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76564" w14:textId="77777777" w:rsidR="00AD4B4F" w:rsidRPr="00CC52A1" w:rsidRDefault="00AD4B4F" w:rsidP="004920BD">
      <w:pPr>
        <w:pStyle w:val="Title"/>
        <w:ind w:right="662"/>
      </w:pPr>
      <w:bookmarkStart w:id="0" w:name="_Toc383787382"/>
      <w:r w:rsidRPr="00CC52A1">
        <w:t>PRODUCT INFORMATION</w:t>
      </w:r>
      <w:bookmarkEnd w:id="0"/>
    </w:p>
    <w:p w14:paraId="6A476565" w14:textId="2DBC6B1E" w:rsidR="00AD4B4F" w:rsidRPr="00CC52A1" w:rsidRDefault="00AD4B4F" w:rsidP="004920BD">
      <w:pPr>
        <w:pStyle w:val="Title"/>
        <w:ind w:right="662"/>
      </w:pPr>
      <w:r w:rsidRPr="00CC52A1">
        <w:t>VENCLEXTA</w:t>
      </w:r>
      <w:r w:rsidR="00366523" w:rsidRPr="00366523">
        <w:rPr>
          <w:vertAlign w:val="superscript"/>
        </w:rPr>
        <w:t>®</w:t>
      </w:r>
      <w:r w:rsidRPr="00CC52A1">
        <w:t xml:space="preserve"> (VENETOCLAX) FILM-COATED TABLETS</w:t>
      </w:r>
    </w:p>
    <w:p w14:paraId="6A476566" w14:textId="77777777" w:rsidR="00AD4B4F" w:rsidRPr="00CC52A1" w:rsidRDefault="00AD4B4F" w:rsidP="00DB386C">
      <w:pPr>
        <w:pStyle w:val="Heading1"/>
        <w:rPr>
          <w:rFonts w:cs="Arial"/>
        </w:rPr>
      </w:pPr>
      <w:bookmarkStart w:id="1" w:name="_Toc383787385"/>
      <w:r w:rsidRPr="00CC52A1">
        <w:rPr>
          <w:rFonts w:cs="Arial"/>
        </w:rPr>
        <w:t>NAME OF THE MEDICINE</w:t>
      </w:r>
      <w:bookmarkEnd w:id="1"/>
    </w:p>
    <w:p w14:paraId="6A476567" w14:textId="77777777" w:rsidR="00AD4B4F" w:rsidRPr="00CC52A1" w:rsidRDefault="00AD4B4F" w:rsidP="00DB386C">
      <w:pPr>
        <w:jc w:val="both"/>
        <w:rPr>
          <w:rFonts w:cs="Arial"/>
        </w:rPr>
      </w:pPr>
      <w:proofErr w:type="spellStart"/>
      <w:r w:rsidRPr="00CC52A1">
        <w:rPr>
          <w:rFonts w:cs="Arial"/>
        </w:rPr>
        <w:t>Venetoclax</w:t>
      </w:r>
      <w:proofErr w:type="spellEnd"/>
    </w:p>
    <w:p w14:paraId="6A476568" w14:textId="77777777" w:rsidR="00AD4B4F" w:rsidRPr="00CC52A1" w:rsidRDefault="00AD4B4F" w:rsidP="00ED7C00">
      <w:pPr>
        <w:pStyle w:val="Heading2"/>
      </w:pPr>
      <w:bookmarkStart w:id="2" w:name="_Toc383787386"/>
      <w:bookmarkStart w:id="3" w:name="Chemical_structure"/>
      <w:r w:rsidRPr="00CC52A1">
        <w:t>Chemical Structure</w:t>
      </w:r>
      <w:bookmarkEnd w:id="2"/>
    </w:p>
    <w:bookmarkEnd w:id="3"/>
    <w:p w14:paraId="00A3DC99" w14:textId="73B3BBD2" w:rsidR="001950DB" w:rsidRDefault="00AD4B4F" w:rsidP="004F7818">
      <w:pPr>
        <w:ind w:right="-164"/>
        <w:jc w:val="both"/>
        <w:rPr>
          <w:rFonts w:cs="Arial"/>
        </w:rPr>
      </w:pPr>
      <w:proofErr w:type="spellStart"/>
      <w:r w:rsidRPr="00CC52A1">
        <w:rPr>
          <w:rFonts w:cs="Arial"/>
        </w:rPr>
        <w:t>Venetoclax</w:t>
      </w:r>
      <w:proofErr w:type="spellEnd"/>
      <w:r w:rsidRPr="00CC52A1">
        <w:rPr>
          <w:rFonts w:cs="Arial"/>
        </w:rPr>
        <w:t xml:space="preserve"> is described chemically as</w:t>
      </w:r>
      <w:r w:rsidR="001950DB">
        <w:rPr>
          <w:rFonts w:cs="Arial"/>
        </w:rPr>
        <w:t xml:space="preserve"> </w:t>
      </w:r>
      <w:r w:rsidRPr="00CC52A1">
        <w:rPr>
          <w:rFonts w:cs="Arial"/>
        </w:rPr>
        <w:t>4-(4-{[2-(4-chlorophenyl)-4,4-dimethylcyclohex-1-en-1-yl]methyl}piperazin-1-yl)-</w:t>
      </w:r>
      <w:r w:rsidRPr="00CC52A1">
        <w:rPr>
          <w:rFonts w:cs="Arial"/>
          <w:i/>
        </w:rPr>
        <w:t>N</w:t>
      </w:r>
      <w:r w:rsidRPr="00CC52A1">
        <w:rPr>
          <w:rFonts w:cs="Arial"/>
        </w:rPr>
        <w:t>-({3-nitro-4-[(tetrahydro-2</w:t>
      </w:r>
      <w:r w:rsidRPr="00CC52A1">
        <w:rPr>
          <w:rFonts w:cs="Arial"/>
          <w:i/>
        </w:rPr>
        <w:t>H</w:t>
      </w:r>
      <w:r w:rsidR="004F7818">
        <w:rPr>
          <w:rFonts w:cs="Arial"/>
        </w:rPr>
        <w:t>-pyran-4-</w:t>
      </w:r>
      <w:r w:rsidRPr="00CC52A1">
        <w:rPr>
          <w:rFonts w:cs="Arial"/>
        </w:rPr>
        <w:t>ylmethyl)amino]phenyl}sulfonyl)-2-(1</w:t>
      </w:r>
      <w:r w:rsidRPr="00CC52A1">
        <w:rPr>
          <w:rFonts w:cs="Arial"/>
          <w:i/>
        </w:rPr>
        <w:t>H</w:t>
      </w:r>
      <w:r w:rsidRPr="00CC52A1">
        <w:rPr>
          <w:rFonts w:cs="Arial"/>
        </w:rPr>
        <w:t>-pyrrolo[2,3-b]pyridin-5-yloxy)benzamide.</w:t>
      </w:r>
    </w:p>
    <w:p w14:paraId="6A47656A" w14:textId="3C6AA21B" w:rsidR="00AD4B4F" w:rsidRPr="00CC52A1" w:rsidRDefault="00AD4B4F" w:rsidP="00DB386C">
      <w:pPr>
        <w:jc w:val="both"/>
        <w:rPr>
          <w:rFonts w:cs="Arial"/>
        </w:rPr>
      </w:pPr>
      <w:r w:rsidRPr="00CC52A1">
        <w:rPr>
          <w:rFonts w:cs="Arial"/>
        </w:rPr>
        <w:t>Chemical structure:</w:t>
      </w:r>
    </w:p>
    <w:p w14:paraId="6A47656B" w14:textId="77777777" w:rsidR="00AD4B4F" w:rsidRPr="00CC52A1" w:rsidRDefault="00AD4B4F" w:rsidP="00DB386C">
      <w:pPr>
        <w:jc w:val="both"/>
        <w:rPr>
          <w:rFonts w:cs="Arial"/>
        </w:rPr>
      </w:pPr>
      <w:r w:rsidRPr="00CC52A1">
        <w:rPr>
          <w:rFonts w:cs="Arial"/>
          <w:noProof/>
          <w:lang w:eastAsia="en-AU"/>
        </w:rPr>
        <w:drawing>
          <wp:inline distT="0" distB="0" distL="0" distR="0" wp14:anchorId="6A47675C" wp14:editId="47AD860B">
            <wp:extent cx="2392045" cy="3179445"/>
            <wp:effectExtent l="0" t="0" r="8255" b="1905"/>
            <wp:docPr id="1" name="Picture 1" descr="This image is a th chemical structure of Venclexta (Venetocl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2045" cy="3179445"/>
                    </a:xfrm>
                    <a:prstGeom prst="rect">
                      <a:avLst/>
                    </a:prstGeom>
                    <a:noFill/>
                    <a:ln>
                      <a:noFill/>
                    </a:ln>
                  </pic:spPr>
                </pic:pic>
              </a:graphicData>
            </a:graphic>
          </wp:inline>
        </w:drawing>
      </w:r>
    </w:p>
    <w:p w14:paraId="5C8DCCBB" w14:textId="77777777" w:rsidR="001950DB" w:rsidRDefault="001950DB" w:rsidP="001950DB">
      <w:pPr>
        <w:tabs>
          <w:tab w:val="left" w:pos="1985"/>
        </w:tabs>
        <w:jc w:val="both"/>
        <w:rPr>
          <w:rFonts w:cs="Arial"/>
        </w:rPr>
      </w:pPr>
      <w:r>
        <w:rPr>
          <w:rFonts w:cs="Arial"/>
        </w:rPr>
        <w:t>Empirical formula:</w:t>
      </w:r>
      <w:r>
        <w:rPr>
          <w:rFonts w:cs="Arial"/>
        </w:rPr>
        <w:tab/>
      </w:r>
      <w:r w:rsidR="00AD4B4F" w:rsidRPr="00CC52A1">
        <w:rPr>
          <w:rFonts w:cs="Arial"/>
        </w:rPr>
        <w:t>C</w:t>
      </w:r>
      <w:r w:rsidR="00AD4B4F" w:rsidRPr="00CC52A1">
        <w:rPr>
          <w:rFonts w:cs="Arial"/>
          <w:vertAlign w:val="subscript"/>
        </w:rPr>
        <w:t>45</w:t>
      </w:r>
      <w:r w:rsidR="00AD4B4F" w:rsidRPr="00CC52A1">
        <w:rPr>
          <w:rFonts w:cs="Arial"/>
        </w:rPr>
        <w:t>H</w:t>
      </w:r>
      <w:r w:rsidR="00AD4B4F" w:rsidRPr="00CC52A1">
        <w:rPr>
          <w:rFonts w:cs="Arial"/>
          <w:vertAlign w:val="subscript"/>
        </w:rPr>
        <w:t>50</w:t>
      </w:r>
      <w:r w:rsidR="00AD4B4F" w:rsidRPr="00CC52A1">
        <w:rPr>
          <w:rFonts w:cs="Arial"/>
        </w:rPr>
        <w:t>ClN</w:t>
      </w:r>
      <w:r w:rsidR="00AD4B4F" w:rsidRPr="00CC52A1">
        <w:rPr>
          <w:rFonts w:cs="Arial"/>
          <w:vertAlign w:val="subscript"/>
        </w:rPr>
        <w:t>7</w:t>
      </w:r>
      <w:r w:rsidR="00AD4B4F" w:rsidRPr="00CC52A1">
        <w:rPr>
          <w:rFonts w:cs="Arial"/>
        </w:rPr>
        <w:t>O</w:t>
      </w:r>
      <w:r w:rsidR="00AD4B4F" w:rsidRPr="00CC52A1">
        <w:rPr>
          <w:rFonts w:cs="Arial"/>
          <w:vertAlign w:val="subscript"/>
        </w:rPr>
        <w:t>7</w:t>
      </w:r>
      <w:r w:rsidR="00AD4B4F" w:rsidRPr="00CC52A1">
        <w:rPr>
          <w:rFonts w:cs="Arial"/>
        </w:rPr>
        <w:t>S</w:t>
      </w:r>
    </w:p>
    <w:p w14:paraId="6A47656D" w14:textId="61D9B335" w:rsidR="00AD4B4F" w:rsidRPr="00CC52A1" w:rsidRDefault="001950DB" w:rsidP="001950DB">
      <w:pPr>
        <w:tabs>
          <w:tab w:val="left" w:pos="1985"/>
        </w:tabs>
        <w:jc w:val="both"/>
        <w:rPr>
          <w:rFonts w:cs="Arial"/>
        </w:rPr>
      </w:pPr>
      <w:r>
        <w:rPr>
          <w:rFonts w:cs="Arial"/>
        </w:rPr>
        <w:t>Molecular weight:</w:t>
      </w:r>
      <w:r>
        <w:rPr>
          <w:rFonts w:cs="Arial"/>
        </w:rPr>
        <w:tab/>
      </w:r>
      <w:r w:rsidR="00AD4B4F" w:rsidRPr="00CC52A1">
        <w:rPr>
          <w:rFonts w:cs="Arial"/>
        </w:rPr>
        <w:t>868.44 Daltons</w:t>
      </w:r>
    </w:p>
    <w:p w14:paraId="6A47656E" w14:textId="1A7F0331" w:rsidR="00AD4B4F" w:rsidRPr="00CC52A1" w:rsidRDefault="00AD4B4F" w:rsidP="001950DB">
      <w:pPr>
        <w:tabs>
          <w:tab w:val="left" w:pos="1985"/>
        </w:tabs>
        <w:jc w:val="both"/>
        <w:rPr>
          <w:rFonts w:cs="Arial"/>
          <w:lang w:eastAsia="en-AU"/>
        </w:rPr>
      </w:pPr>
      <w:bookmarkStart w:id="4" w:name="_Toc383787387"/>
      <w:r w:rsidRPr="00CC52A1">
        <w:rPr>
          <w:rFonts w:cs="Arial"/>
        </w:rPr>
        <w:t>CAS Number</w:t>
      </w:r>
      <w:bookmarkEnd w:id="4"/>
      <w:r w:rsidRPr="00CC52A1">
        <w:rPr>
          <w:rFonts w:cs="Arial"/>
        </w:rPr>
        <w:t>:</w:t>
      </w:r>
      <w:r w:rsidR="001950DB">
        <w:rPr>
          <w:rFonts w:cs="Arial"/>
        </w:rPr>
        <w:tab/>
      </w:r>
      <w:r w:rsidRPr="00CC52A1">
        <w:rPr>
          <w:rFonts w:cs="Arial"/>
          <w:lang w:eastAsia="en-AU"/>
        </w:rPr>
        <w:t>1257044-40-8</w:t>
      </w:r>
    </w:p>
    <w:p w14:paraId="6A476570" w14:textId="77777777" w:rsidR="00AD4B4F" w:rsidRPr="00CC52A1" w:rsidRDefault="00ED7C00" w:rsidP="00ED7C00">
      <w:pPr>
        <w:pStyle w:val="Heading1"/>
        <w:spacing w:before="0" w:after="240" w:line="360" w:lineRule="exact"/>
        <w:rPr>
          <w:rFonts w:cs="Arial"/>
        </w:rPr>
      </w:pPr>
      <w:r>
        <w:rPr>
          <w:rFonts w:cs="Arial"/>
        </w:rPr>
        <w:t>DESCRIPTION</w:t>
      </w:r>
    </w:p>
    <w:p w14:paraId="6A476571" w14:textId="77777777" w:rsidR="00AD4B4F" w:rsidRPr="00CC52A1" w:rsidRDefault="00AD4B4F" w:rsidP="00DB386C">
      <w:pPr>
        <w:jc w:val="both"/>
        <w:rPr>
          <w:rFonts w:cs="Arial"/>
        </w:rPr>
      </w:pPr>
      <w:proofErr w:type="spellStart"/>
      <w:r w:rsidRPr="00CC52A1">
        <w:rPr>
          <w:rFonts w:cs="Arial"/>
        </w:rPr>
        <w:t>Venetoclax</w:t>
      </w:r>
      <w:proofErr w:type="spellEnd"/>
      <w:r w:rsidRPr="00CC52A1">
        <w:rPr>
          <w:rFonts w:cs="Arial"/>
        </w:rPr>
        <w:t xml:space="preserve"> is a light yellow to dark yellow solid, and has very low aqueous solubility.</w:t>
      </w:r>
    </w:p>
    <w:p w14:paraId="6D9BF499" w14:textId="77777777" w:rsidR="001950DB" w:rsidRDefault="00AD4B4F" w:rsidP="00DB386C">
      <w:pPr>
        <w:jc w:val="both"/>
        <w:rPr>
          <w:rFonts w:cs="Arial"/>
        </w:rPr>
      </w:pPr>
      <w:r w:rsidRPr="00CC52A1">
        <w:rPr>
          <w:rFonts w:cs="Arial"/>
        </w:rPr>
        <w:t xml:space="preserve">VENCLEXTA tablets for oral administration are supplied as pale yellow or beige film-coated tablets that contain 10, 50, or 100 mg </w:t>
      </w:r>
      <w:proofErr w:type="spellStart"/>
      <w:r w:rsidRPr="00CC52A1">
        <w:rPr>
          <w:rFonts w:cs="Arial"/>
        </w:rPr>
        <w:t>venetoclax</w:t>
      </w:r>
      <w:proofErr w:type="spellEnd"/>
      <w:r w:rsidRPr="00CC52A1">
        <w:rPr>
          <w:rFonts w:cs="Arial"/>
        </w:rPr>
        <w:t xml:space="preserve"> as the active ingredient.</w:t>
      </w:r>
    </w:p>
    <w:p w14:paraId="6A476573" w14:textId="1A3F5EE5" w:rsidR="00AD4B4F" w:rsidRPr="00CC52A1" w:rsidRDefault="00AD4B4F" w:rsidP="00DB386C">
      <w:pPr>
        <w:jc w:val="both"/>
        <w:rPr>
          <w:rFonts w:cs="Arial"/>
        </w:rPr>
      </w:pPr>
      <w:r w:rsidRPr="00CC52A1">
        <w:rPr>
          <w:rFonts w:cs="Arial"/>
        </w:rPr>
        <w:t xml:space="preserve">VENCLEXTA 10 mg film-coated tablets contain the following inactive ingredients: </w:t>
      </w:r>
      <w:proofErr w:type="spellStart"/>
      <w:r w:rsidRPr="00CC52A1">
        <w:rPr>
          <w:rFonts w:cs="Arial"/>
        </w:rPr>
        <w:t>copovidone</w:t>
      </w:r>
      <w:proofErr w:type="spellEnd"/>
      <w:r w:rsidRPr="00CC52A1">
        <w:rPr>
          <w:rFonts w:cs="Arial"/>
        </w:rPr>
        <w:t xml:space="preserve">, </w:t>
      </w:r>
      <w:r w:rsidR="007D622E">
        <w:rPr>
          <w:rFonts w:cs="Arial"/>
        </w:rPr>
        <w:t>colloidal anhydrous silica</w:t>
      </w:r>
      <w:r w:rsidRPr="00CC52A1">
        <w:rPr>
          <w:rFonts w:cs="Arial"/>
        </w:rPr>
        <w:t xml:space="preserve">, </w:t>
      </w:r>
      <w:proofErr w:type="spellStart"/>
      <w:r w:rsidRPr="00CC52A1">
        <w:rPr>
          <w:rFonts w:cs="Arial"/>
        </w:rPr>
        <w:t>polysorbate</w:t>
      </w:r>
      <w:proofErr w:type="spellEnd"/>
      <w:r w:rsidRPr="00CC52A1">
        <w:rPr>
          <w:rFonts w:cs="Arial"/>
        </w:rPr>
        <w:t xml:space="preserve"> 80, sodium </w:t>
      </w:r>
      <w:proofErr w:type="spellStart"/>
      <w:r w:rsidRPr="00CC52A1">
        <w:rPr>
          <w:rFonts w:cs="Arial"/>
        </w:rPr>
        <w:t>stearylfumarate</w:t>
      </w:r>
      <w:proofErr w:type="spellEnd"/>
      <w:r w:rsidRPr="00CC52A1">
        <w:rPr>
          <w:rFonts w:cs="Arial"/>
        </w:rPr>
        <w:t xml:space="preserve">, calcium hydrogen phosphate, iron oxide yellow, polyvinyl alcohol, </w:t>
      </w:r>
      <w:proofErr w:type="spellStart"/>
      <w:r w:rsidRPr="00CC52A1">
        <w:rPr>
          <w:rFonts w:cs="Arial"/>
        </w:rPr>
        <w:t>macrogol</w:t>
      </w:r>
      <w:proofErr w:type="spellEnd"/>
      <w:r w:rsidRPr="00CC52A1">
        <w:rPr>
          <w:rFonts w:cs="Arial"/>
        </w:rPr>
        <w:t xml:space="preserve"> 3350, </w:t>
      </w:r>
      <w:r w:rsidR="007D622E">
        <w:rPr>
          <w:rFonts w:cs="Arial"/>
        </w:rPr>
        <w:t>purified talc</w:t>
      </w:r>
      <w:r w:rsidRPr="00CC52A1">
        <w:rPr>
          <w:rFonts w:cs="Arial"/>
        </w:rPr>
        <w:t>, and titanium dioxide.</w:t>
      </w:r>
    </w:p>
    <w:p w14:paraId="6A476574" w14:textId="2DC176E4" w:rsidR="00AD4B4F" w:rsidRPr="00CC52A1" w:rsidRDefault="00AD4B4F" w:rsidP="00DB386C">
      <w:pPr>
        <w:jc w:val="both"/>
        <w:rPr>
          <w:rFonts w:cs="Arial"/>
        </w:rPr>
      </w:pPr>
      <w:r w:rsidRPr="00CC52A1">
        <w:rPr>
          <w:rFonts w:cs="Arial"/>
        </w:rPr>
        <w:t xml:space="preserve">VENCLEXTA 50 mg film-coated tablets contain the following inactive ingredients: </w:t>
      </w:r>
      <w:proofErr w:type="spellStart"/>
      <w:r w:rsidRPr="00CC52A1">
        <w:rPr>
          <w:rFonts w:cs="Arial"/>
        </w:rPr>
        <w:t>copovidone</w:t>
      </w:r>
      <w:proofErr w:type="spellEnd"/>
      <w:r w:rsidRPr="00CC52A1">
        <w:rPr>
          <w:rFonts w:cs="Arial"/>
        </w:rPr>
        <w:t xml:space="preserve">, </w:t>
      </w:r>
      <w:r w:rsidR="00A75968">
        <w:rPr>
          <w:rFonts w:cs="Arial"/>
        </w:rPr>
        <w:t>colloidal anhydrous silica</w:t>
      </w:r>
      <w:r w:rsidRPr="00CC52A1">
        <w:rPr>
          <w:rFonts w:cs="Arial"/>
        </w:rPr>
        <w:t xml:space="preserve">, </w:t>
      </w:r>
      <w:proofErr w:type="spellStart"/>
      <w:r w:rsidRPr="00CC52A1">
        <w:rPr>
          <w:rFonts w:cs="Arial"/>
        </w:rPr>
        <w:t>polysorbate</w:t>
      </w:r>
      <w:proofErr w:type="spellEnd"/>
      <w:r w:rsidRPr="00CC52A1">
        <w:rPr>
          <w:rFonts w:cs="Arial"/>
        </w:rPr>
        <w:t xml:space="preserve"> 80, sodium </w:t>
      </w:r>
      <w:proofErr w:type="spellStart"/>
      <w:r w:rsidRPr="00CC52A1">
        <w:rPr>
          <w:rFonts w:cs="Arial"/>
        </w:rPr>
        <w:t>stearylfumarate</w:t>
      </w:r>
      <w:proofErr w:type="spellEnd"/>
      <w:r w:rsidRPr="00CC52A1">
        <w:rPr>
          <w:rFonts w:cs="Arial"/>
        </w:rPr>
        <w:t xml:space="preserve">, calcium hydrogen phosphate, iron oxide yellow, iron oxide red, iron oxide black, polyvinyl alcohol, </w:t>
      </w:r>
      <w:r w:rsidR="00A75968">
        <w:rPr>
          <w:rFonts w:cs="Arial"/>
        </w:rPr>
        <w:t>–</w:t>
      </w:r>
      <w:r w:rsidRPr="00CC52A1">
        <w:rPr>
          <w:rFonts w:cs="Arial"/>
        </w:rPr>
        <w:t>purified</w:t>
      </w:r>
      <w:r w:rsidR="00A75968">
        <w:rPr>
          <w:rFonts w:cs="Arial"/>
        </w:rPr>
        <w:t xml:space="preserve"> talc</w:t>
      </w:r>
      <w:r w:rsidRPr="00CC52A1">
        <w:rPr>
          <w:rFonts w:cs="Arial"/>
        </w:rPr>
        <w:t xml:space="preserve">, </w:t>
      </w:r>
      <w:proofErr w:type="spellStart"/>
      <w:r w:rsidRPr="00CC52A1">
        <w:rPr>
          <w:rFonts w:cs="Arial"/>
        </w:rPr>
        <w:t>macrogol</w:t>
      </w:r>
      <w:proofErr w:type="spellEnd"/>
      <w:r w:rsidRPr="00CC52A1">
        <w:rPr>
          <w:rFonts w:cs="Arial"/>
        </w:rPr>
        <w:t xml:space="preserve"> 3350 and titanium dioxide.</w:t>
      </w:r>
    </w:p>
    <w:p w14:paraId="6A476575" w14:textId="58D425F0" w:rsidR="00AD4B4F" w:rsidRPr="00CC52A1" w:rsidRDefault="00AD4B4F" w:rsidP="00DB386C">
      <w:pPr>
        <w:jc w:val="both"/>
        <w:rPr>
          <w:rFonts w:cs="Arial"/>
        </w:rPr>
      </w:pPr>
      <w:r w:rsidRPr="00CC52A1">
        <w:rPr>
          <w:rFonts w:cs="Arial"/>
        </w:rPr>
        <w:lastRenderedPageBreak/>
        <w:t xml:space="preserve">VENCLEXTA 100 mg film-coated tablets contain the following inactive ingredients: </w:t>
      </w:r>
      <w:proofErr w:type="spellStart"/>
      <w:r w:rsidRPr="00CC52A1">
        <w:rPr>
          <w:rFonts w:cs="Arial"/>
        </w:rPr>
        <w:t>copovidone</w:t>
      </w:r>
      <w:proofErr w:type="spellEnd"/>
      <w:r w:rsidRPr="00CC52A1">
        <w:rPr>
          <w:rFonts w:cs="Arial"/>
        </w:rPr>
        <w:t xml:space="preserve">, </w:t>
      </w:r>
      <w:r w:rsidR="00A75968">
        <w:rPr>
          <w:rFonts w:cs="Arial"/>
        </w:rPr>
        <w:t>colloidal anhydrous silica</w:t>
      </w:r>
      <w:r w:rsidRPr="00CC52A1">
        <w:rPr>
          <w:rFonts w:cs="Arial"/>
        </w:rPr>
        <w:t xml:space="preserve">, </w:t>
      </w:r>
      <w:proofErr w:type="spellStart"/>
      <w:r w:rsidRPr="00CC52A1">
        <w:rPr>
          <w:rFonts w:cs="Arial"/>
        </w:rPr>
        <w:t>polysorbate</w:t>
      </w:r>
      <w:proofErr w:type="spellEnd"/>
      <w:r w:rsidRPr="00CC52A1">
        <w:rPr>
          <w:rFonts w:cs="Arial"/>
        </w:rPr>
        <w:t xml:space="preserve"> 80, sodium </w:t>
      </w:r>
      <w:proofErr w:type="spellStart"/>
      <w:r w:rsidRPr="00CC52A1">
        <w:rPr>
          <w:rFonts w:cs="Arial"/>
        </w:rPr>
        <w:t>stearylfumarate</w:t>
      </w:r>
      <w:proofErr w:type="spellEnd"/>
      <w:r w:rsidRPr="00CC52A1">
        <w:rPr>
          <w:rFonts w:cs="Arial"/>
        </w:rPr>
        <w:t xml:space="preserve">, calcium hydrogen phosphate, iron oxide yellow, polyvinyl alcohol, </w:t>
      </w:r>
      <w:proofErr w:type="spellStart"/>
      <w:r w:rsidRPr="00CC52A1">
        <w:rPr>
          <w:rFonts w:cs="Arial"/>
        </w:rPr>
        <w:t>macrogol</w:t>
      </w:r>
      <w:proofErr w:type="spellEnd"/>
      <w:r w:rsidRPr="00CC52A1">
        <w:rPr>
          <w:rFonts w:cs="Arial"/>
        </w:rPr>
        <w:t xml:space="preserve"> 3350, </w:t>
      </w:r>
      <w:r w:rsidR="00A75968">
        <w:rPr>
          <w:rFonts w:cs="Arial"/>
        </w:rPr>
        <w:t>–</w:t>
      </w:r>
      <w:r w:rsidRPr="00CC52A1">
        <w:rPr>
          <w:rFonts w:cs="Arial"/>
        </w:rPr>
        <w:t>purified</w:t>
      </w:r>
      <w:r w:rsidR="00A75968">
        <w:rPr>
          <w:rFonts w:cs="Arial"/>
        </w:rPr>
        <w:t xml:space="preserve"> talc</w:t>
      </w:r>
      <w:r w:rsidRPr="00CC52A1">
        <w:rPr>
          <w:rFonts w:cs="Arial"/>
        </w:rPr>
        <w:t>, and titanium dioxide.</w:t>
      </w:r>
    </w:p>
    <w:p w14:paraId="6A476577" w14:textId="77777777" w:rsidR="00AD4B4F" w:rsidRPr="00CC52A1" w:rsidRDefault="00CC52A1" w:rsidP="00ED7C00">
      <w:pPr>
        <w:pStyle w:val="Heading1"/>
        <w:spacing w:before="0" w:after="240" w:line="360" w:lineRule="exact"/>
      </w:pPr>
      <w:r w:rsidRPr="00CC52A1">
        <w:t>PHARMACOLOGY</w:t>
      </w:r>
    </w:p>
    <w:p w14:paraId="6A476578" w14:textId="77777777" w:rsidR="00AD4B4F" w:rsidRPr="00CC52A1" w:rsidRDefault="00AD4B4F" w:rsidP="00ED7C00">
      <w:pPr>
        <w:pStyle w:val="Heading2"/>
      </w:pPr>
      <w:r w:rsidRPr="00CC52A1">
        <w:t>Pharmacodynamics</w:t>
      </w:r>
    </w:p>
    <w:p w14:paraId="6A476579" w14:textId="77777777" w:rsidR="00AD4B4F" w:rsidRPr="00ED7C00" w:rsidRDefault="00AD4B4F" w:rsidP="00ED7C00">
      <w:pPr>
        <w:rPr>
          <w:rFonts w:cs="Arial"/>
          <w:noProof/>
        </w:rPr>
      </w:pPr>
      <w:bookmarkStart w:id="5" w:name="_Toc383787390"/>
      <w:proofErr w:type="spellStart"/>
      <w:r w:rsidRPr="00ED7C00">
        <w:rPr>
          <w:rFonts w:cs="Arial"/>
        </w:rPr>
        <w:t>Pharmacotherapeutic</w:t>
      </w:r>
      <w:proofErr w:type="spellEnd"/>
      <w:r w:rsidRPr="00ED7C00">
        <w:rPr>
          <w:rFonts w:cs="Arial"/>
        </w:rPr>
        <w:t xml:space="preserve"> group: </w:t>
      </w:r>
      <w:r w:rsidRPr="00ED7C00">
        <w:rPr>
          <w:rFonts w:cs="Arial"/>
          <w:noProof/>
        </w:rPr>
        <w:t>other antineoplastic agents</w:t>
      </w:r>
    </w:p>
    <w:p w14:paraId="6A47657A" w14:textId="77777777" w:rsidR="00AD4B4F" w:rsidRPr="00CC52A1" w:rsidRDefault="00AD4B4F" w:rsidP="00DB386C">
      <w:pPr>
        <w:jc w:val="both"/>
        <w:rPr>
          <w:rFonts w:cs="Arial"/>
          <w:noProof/>
        </w:rPr>
      </w:pPr>
      <w:r w:rsidRPr="00CC52A1">
        <w:rPr>
          <w:rFonts w:cs="Arial"/>
          <w:noProof/>
        </w:rPr>
        <w:t xml:space="preserve">ATC code: </w:t>
      </w:r>
      <w:bookmarkEnd w:id="5"/>
      <w:r w:rsidR="00DB386C">
        <w:rPr>
          <w:rFonts w:cs="Arial"/>
          <w:noProof/>
        </w:rPr>
        <w:t>not yet assigned</w:t>
      </w:r>
    </w:p>
    <w:p w14:paraId="6A47657B" w14:textId="0E2D09FA" w:rsidR="00AD4B4F" w:rsidRPr="00CC52A1" w:rsidRDefault="00AD4B4F" w:rsidP="001950DB">
      <w:pPr>
        <w:rPr>
          <w:lang w:eastAsia="ja-JP"/>
        </w:rPr>
      </w:pPr>
      <w:proofErr w:type="spellStart"/>
      <w:r w:rsidRPr="00CC52A1">
        <w:rPr>
          <w:lang w:eastAsia="ja-JP"/>
        </w:rPr>
        <w:t>Venetoclax</w:t>
      </w:r>
      <w:proofErr w:type="spellEnd"/>
      <w:r w:rsidRPr="00CC52A1">
        <w:rPr>
          <w:lang w:eastAsia="ja-JP"/>
        </w:rPr>
        <w:t xml:space="preserve"> is a</w:t>
      </w:r>
      <w:r w:rsidR="00A75968">
        <w:rPr>
          <w:lang w:eastAsia="ja-JP"/>
        </w:rPr>
        <w:t>n</w:t>
      </w:r>
      <w:r w:rsidRPr="00CC52A1">
        <w:rPr>
          <w:lang w:eastAsia="ja-JP"/>
        </w:rPr>
        <w:t xml:space="preserve"> orally bioavailable small-molecule inhibitor of BCL-2, an anti-apoptotic protein. Overexpression of BCL-2 has been demonstrated in </w:t>
      </w:r>
      <w:r w:rsidR="00A75968">
        <w:rPr>
          <w:lang w:eastAsia="ja-JP"/>
        </w:rPr>
        <w:t>chronic lymphocytic leukaemia (CLL) cells</w:t>
      </w:r>
      <w:r w:rsidRPr="00CC52A1">
        <w:rPr>
          <w:lang w:eastAsia="ja-JP"/>
        </w:rPr>
        <w:t xml:space="preserve"> and has been implicated </w:t>
      </w:r>
      <w:r w:rsidR="00A75968">
        <w:rPr>
          <w:lang w:eastAsia="ja-JP"/>
        </w:rPr>
        <w:t xml:space="preserve">in resistance to </w:t>
      </w:r>
      <w:r w:rsidRPr="00CC52A1">
        <w:rPr>
          <w:lang w:eastAsia="ja-JP"/>
        </w:rPr>
        <w:t xml:space="preserve">certain therapeutic agents. </w:t>
      </w:r>
      <w:proofErr w:type="spellStart"/>
      <w:r w:rsidRPr="00CC52A1">
        <w:rPr>
          <w:lang w:eastAsia="ja-JP"/>
        </w:rPr>
        <w:t>Venetoclax</w:t>
      </w:r>
      <w:proofErr w:type="spellEnd"/>
      <w:r w:rsidRPr="00CC52A1">
        <w:rPr>
          <w:lang w:eastAsia="ja-JP"/>
        </w:rPr>
        <w:t xml:space="preserve"> helps restore the process of apoptosis by binding directly to the BCL-2 protein, displacing pro-apoptotic proteins like BIM, triggering mitochondrial outer membrane </w:t>
      </w:r>
      <w:proofErr w:type="spellStart"/>
      <w:r w:rsidRPr="00CC52A1">
        <w:rPr>
          <w:lang w:eastAsia="ja-JP"/>
        </w:rPr>
        <w:t>permeabilisation</w:t>
      </w:r>
      <w:proofErr w:type="spellEnd"/>
      <w:r w:rsidR="000E18BA">
        <w:rPr>
          <w:lang w:eastAsia="ja-JP"/>
        </w:rPr>
        <w:t xml:space="preserve">, the release of cytochrome </w:t>
      </w:r>
      <w:r w:rsidR="000E18BA" w:rsidRPr="004012EB">
        <w:rPr>
          <w:i/>
          <w:lang w:eastAsia="ja-JP"/>
        </w:rPr>
        <w:t>c</w:t>
      </w:r>
      <w:r w:rsidR="000E18BA">
        <w:rPr>
          <w:lang w:eastAsia="ja-JP"/>
        </w:rPr>
        <w:t xml:space="preserve"> from mitochondria</w:t>
      </w:r>
      <w:r w:rsidRPr="00CC52A1">
        <w:rPr>
          <w:lang w:eastAsia="ja-JP"/>
        </w:rPr>
        <w:t xml:space="preserve"> and the activation of caspases. In nonclinical studies, </w:t>
      </w:r>
      <w:proofErr w:type="spellStart"/>
      <w:r w:rsidRPr="00CC52A1">
        <w:rPr>
          <w:lang w:eastAsia="ja-JP"/>
        </w:rPr>
        <w:t>venetoclax</w:t>
      </w:r>
      <w:proofErr w:type="spellEnd"/>
      <w:r w:rsidRPr="00CC52A1">
        <w:rPr>
          <w:lang w:eastAsia="ja-JP"/>
        </w:rPr>
        <w:t xml:space="preserve"> demonstrated cytotoxic activity in </w:t>
      </w:r>
      <w:r w:rsidR="00A75968">
        <w:rPr>
          <w:lang w:eastAsia="ja-JP"/>
        </w:rPr>
        <w:t>tumour cells that overexpress B</w:t>
      </w:r>
      <w:r w:rsidR="000E18BA">
        <w:rPr>
          <w:lang w:eastAsia="ja-JP"/>
        </w:rPr>
        <w:t>CL</w:t>
      </w:r>
      <w:r w:rsidR="00A75968">
        <w:rPr>
          <w:lang w:eastAsia="ja-JP"/>
        </w:rPr>
        <w:t>-2</w:t>
      </w:r>
      <w:r w:rsidRPr="00CC52A1">
        <w:rPr>
          <w:lang w:eastAsia="ja-JP"/>
        </w:rPr>
        <w:t>.</w:t>
      </w:r>
    </w:p>
    <w:p w14:paraId="6A47657C" w14:textId="77777777" w:rsidR="00AD4B4F" w:rsidRPr="00CC52A1" w:rsidRDefault="00AD4B4F" w:rsidP="00DB386C">
      <w:pPr>
        <w:jc w:val="both"/>
        <w:rPr>
          <w:rFonts w:cs="Arial"/>
          <w:u w:val="single"/>
        </w:rPr>
      </w:pPr>
      <w:r w:rsidRPr="00CC52A1">
        <w:rPr>
          <w:rFonts w:cs="Arial"/>
          <w:u w:val="single"/>
        </w:rPr>
        <w:t>Cardiac Electrophysiology</w:t>
      </w:r>
    </w:p>
    <w:p w14:paraId="6A47657D" w14:textId="77777777" w:rsidR="00AD4B4F" w:rsidRPr="00CC52A1" w:rsidRDefault="00AD4B4F" w:rsidP="001950DB">
      <w:r w:rsidRPr="00CC52A1">
        <w:t xml:space="preserve">The effect of multiple doses of VENCLEXTA up to 1200 mg once daily on the </w:t>
      </w:r>
      <w:proofErr w:type="spellStart"/>
      <w:r w:rsidRPr="00CC52A1">
        <w:t>QTc</w:t>
      </w:r>
      <w:proofErr w:type="spellEnd"/>
      <w:r w:rsidRPr="00CC52A1">
        <w:t xml:space="preserve"> interval was evaluated in an open-label, single-arm study in 176 patients with previously treated CLL or Non-Hodgkin Lymphoma (NHL). VENCLEXTA had no effect on </w:t>
      </w:r>
      <w:proofErr w:type="spellStart"/>
      <w:r w:rsidRPr="00CC52A1">
        <w:t>QTc</w:t>
      </w:r>
      <w:proofErr w:type="spellEnd"/>
      <w:r w:rsidRPr="00CC52A1">
        <w:t xml:space="preserve"> interval and there was no relationship between </w:t>
      </w:r>
      <w:proofErr w:type="spellStart"/>
      <w:r w:rsidRPr="00CC52A1">
        <w:t>venetoclax</w:t>
      </w:r>
      <w:proofErr w:type="spellEnd"/>
      <w:r w:rsidRPr="00CC52A1">
        <w:t xml:space="preserve"> exposure and change in </w:t>
      </w:r>
      <w:proofErr w:type="spellStart"/>
      <w:r w:rsidRPr="00CC52A1">
        <w:t>QTc</w:t>
      </w:r>
      <w:proofErr w:type="spellEnd"/>
      <w:r w:rsidRPr="00CC52A1">
        <w:t xml:space="preserve"> interval.</w:t>
      </w:r>
    </w:p>
    <w:p w14:paraId="6A47657E" w14:textId="77777777" w:rsidR="00AD4B4F" w:rsidRPr="00CC52A1" w:rsidRDefault="00AD4B4F" w:rsidP="00ED7C00">
      <w:pPr>
        <w:pStyle w:val="Heading2"/>
      </w:pPr>
      <w:bookmarkStart w:id="6" w:name="_Pharmacokinetics"/>
      <w:bookmarkEnd w:id="6"/>
      <w:r w:rsidRPr="00CC52A1">
        <w:t>Pharmacokinetics</w:t>
      </w:r>
    </w:p>
    <w:p w14:paraId="6A47657F" w14:textId="77777777" w:rsidR="00AD4B4F" w:rsidRPr="001950DB" w:rsidRDefault="00AD4B4F" w:rsidP="001950DB">
      <w:pPr>
        <w:pStyle w:val="Heading3"/>
      </w:pPr>
      <w:r w:rsidRPr="001950DB">
        <w:t>Absorption</w:t>
      </w:r>
    </w:p>
    <w:p w14:paraId="76EF3A9E" w14:textId="77777777" w:rsidR="001950DB" w:rsidRDefault="00AD4B4F" w:rsidP="001950DB">
      <w:r w:rsidRPr="00CC52A1">
        <w:t xml:space="preserve">Following multiple oral administrations, the maximum plasma concentration of </w:t>
      </w:r>
      <w:proofErr w:type="spellStart"/>
      <w:r w:rsidRPr="00CC52A1">
        <w:t>venetoclax</w:t>
      </w:r>
      <w:proofErr w:type="spellEnd"/>
      <w:r w:rsidRPr="00CC52A1">
        <w:t xml:space="preserve"> was reached 5 to 8 hours after dosing. </w:t>
      </w:r>
      <w:proofErr w:type="spellStart"/>
      <w:r w:rsidRPr="00CC52A1">
        <w:t>Venetoclax</w:t>
      </w:r>
      <w:proofErr w:type="spellEnd"/>
      <w:r w:rsidRPr="00CC52A1">
        <w:t xml:space="preserve"> steady state AUC increased proportionally over the dose range of 150-800 mg.</w:t>
      </w:r>
    </w:p>
    <w:p w14:paraId="6A476581" w14:textId="0C2841C0" w:rsidR="00AD4B4F" w:rsidRPr="00CC52A1" w:rsidRDefault="00AD4B4F" w:rsidP="001950DB">
      <w:r w:rsidRPr="00CC52A1">
        <w:t xml:space="preserve">Under low-fat meal conditions, </w:t>
      </w:r>
      <w:proofErr w:type="spellStart"/>
      <w:r w:rsidRPr="00CC52A1">
        <w:t>venetoclax</w:t>
      </w:r>
      <w:proofErr w:type="spellEnd"/>
      <w:r w:rsidRPr="00CC52A1">
        <w:t xml:space="preserve"> mean (± standard deviation) steady state </w:t>
      </w:r>
      <w:proofErr w:type="spellStart"/>
      <w:r w:rsidRPr="00CC52A1">
        <w:t>C</w:t>
      </w:r>
      <w:r w:rsidRPr="00CC52A1">
        <w:rPr>
          <w:vertAlign w:val="subscript"/>
        </w:rPr>
        <w:t>max</w:t>
      </w:r>
      <w:proofErr w:type="spellEnd"/>
      <w:r w:rsidRPr="00CC52A1">
        <w:t xml:space="preserve"> was 2.1 ± 1.1 </w:t>
      </w:r>
      <w:proofErr w:type="spellStart"/>
      <w:r w:rsidRPr="00CC52A1">
        <w:t>μg</w:t>
      </w:r>
      <w:proofErr w:type="spellEnd"/>
      <w:r w:rsidRPr="00CC52A1">
        <w:t>/mL and AUC</w:t>
      </w:r>
      <w:r w:rsidRPr="00CC52A1">
        <w:rPr>
          <w:vertAlign w:val="subscript"/>
        </w:rPr>
        <w:t>24</w:t>
      </w:r>
      <w:r w:rsidRPr="00CC52A1">
        <w:t xml:space="preserve"> was 32.8 ± 16.9 </w:t>
      </w:r>
      <w:proofErr w:type="spellStart"/>
      <w:r w:rsidRPr="00CC52A1">
        <w:t>μg•h</w:t>
      </w:r>
      <w:proofErr w:type="spellEnd"/>
      <w:r w:rsidRPr="00CC52A1">
        <w:t>/mL at the 400 mg once daily dose.</w:t>
      </w:r>
    </w:p>
    <w:p w14:paraId="6A476582" w14:textId="6FCEE6F8" w:rsidR="00AD4B4F" w:rsidRPr="00CC52A1" w:rsidRDefault="00AD4B4F" w:rsidP="001950DB">
      <w:pPr>
        <w:rPr>
          <w:rFonts w:cs="Arial"/>
        </w:rPr>
      </w:pPr>
      <w:r w:rsidRPr="00CC52A1">
        <w:rPr>
          <w:rFonts w:cs="Arial"/>
        </w:rPr>
        <w:t xml:space="preserve">Administration with a low-fat meal increased </w:t>
      </w:r>
      <w:proofErr w:type="spellStart"/>
      <w:r w:rsidRPr="00CC52A1">
        <w:rPr>
          <w:rFonts w:cs="Arial"/>
        </w:rPr>
        <w:t>venetoclax</w:t>
      </w:r>
      <w:proofErr w:type="spellEnd"/>
      <w:r w:rsidRPr="00CC52A1">
        <w:rPr>
          <w:rFonts w:cs="Arial"/>
        </w:rPr>
        <w:t xml:space="preserve"> exposure by approximately 3.4-fold and administration with a high-fat meal increased </w:t>
      </w:r>
      <w:proofErr w:type="spellStart"/>
      <w:r w:rsidRPr="00CC52A1">
        <w:rPr>
          <w:rFonts w:cs="Arial"/>
        </w:rPr>
        <w:t>venetoclax</w:t>
      </w:r>
      <w:proofErr w:type="spellEnd"/>
      <w:r w:rsidRPr="00CC52A1">
        <w:rPr>
          <w:rFonts w:cs="Arial"/>
        </w:rPr>
        <w:t xml:space="preserve"> exposure by 5.1- to 5.3-fold compared to fasting conditions. </w:t>
      </w:r>
      <w:proofErr w:type="spellStart"/>
      <w:r w:rsidRPr="00CC52A1">
        <w:rPr>
          <w:rFonts w:cs="Arial"/>
        </w:rPr>
        <w:t>Venetoclax</w:t>
      </w:r>
      <w:proofErr w:type="spellEnd"/>
      <w:r w:rsidRPr="00CC52A1">
        <w:rPr>
          <w:rFonts w:cs="Arial"/>
        </w:rPr>
        <w:t xml:space="preserve"> should be administered with a meal (see </w:t>
      </w:r>
      <w:hyperlink w:anchor="_DOSAGE_AND_ADMINISTRATION" w:history="1">
        <w:r w:rsidR="000D4B1E" w:rsidRPr="001950DB">
          <w:rPr>
            <w:rStyle w:val="Hyperlink"/>
            <w:rFonts w:cs="Arial"/>
          </w:rPr>
          <w:t>DOSAGE AND ADMINISTRATION</w:t>
        </w:r>
      </w:hyperlink>
      <w:r w:rsidRPr="001950DB">
        <w:rPr>
          <w:rFonts w:cs="Arial"/>
        </w:rPr>
        <w:t>).</w:t>
      </w:r>
    </w:p>
    <w:p w14:paraId="6A476583" w14:textId="77777777" w:rsidR="00AD4B4F" w:rsidRPr="001950DB" w:rsidRDefault="00AD4B4F" w:rsidP="001950DB">
      <w:pPr>
        <w:pStyle w:val="Heading3"/>
      </w:pPr>
      <w:r w:rsidRPr="001950DB">
        <w:t>Distribution</w:t>
      </w:r>
    </w:p>
    <w:p w14:paraId="383B33EF" w14:textId="77777777" w:rsidR="001950DB" w:rsidRDefault="00AD4B4F" w:rsidP="00DB386C">
      <w:pPr>
        <w:jc w:val="both"/>
        <w:rPr>
          <w:rFonts w:cs="Arial"/>
        </w:rPr>
      </w:pPr>
      <w:proofErr w:type="spellStart"/>
      <w:r w:rsidRPr="00CC52A1">
        <w:rPr>
          <w:rFonts w:cs="Arial"/>
        </w:rPr>
        <w:t>Venetoclax</w:t>
      </w:r>
      <w:proofErr w:type="spellEnd"/>
      <w:r w:rsidRPr="00CC52A1">
        <w:rPr>
          <w:rFonts w:cs="Arial"/>
        </w:rPr>
        <w:t xml:space="preserve"> is highly bound to human plasma protein with the unbound fraction in plasma &lt;0.01 across a concentration range of 1-30 micromoles (0.87-26 micrograms/mL). The mean blood-to-plasma ratio </w:t>
      </w:r>
      <w:r w:rsidR="000D4B1E">
        <w:rPr>
          <w:rFonts w:cs="Arial"/>
        </w:rPr>
        <w:t>is</w:t>
      </w:r>
      <w:r w:rsidR="000D4B1E" w:rsidRPr="00CC52A1">
        <w:rPr>
          <w:rFonts w:cs="Arial"/>
        </w:rPr>
        <w:t xml:space="preserve"> </w:t>
      </w:r>
      <w:r w:rsidRPr="00CC52A1">
        <w:rPr>
          <w:rFonts w:cs="Arial"/>
        </w:rPr>
        <w:t>0.57.</w:t>
      </w:r>
    </w:p>
    <w:p w14:paraId="6A476585" w14:textId="7F6F0BF5" w:rsidR="00AD4B4F" w:rsidRPr="00CC52A1" w:rsidRDefault="00AD4B4F" w:rsidP="00DB386C">
      <w:pPr>
        <w:jc w:val="both"/>
        <w:rPr>
          <w:rFonts w:cs="Arial"/>
        </w:rPr>
      </w:pPr>
      <w:r w:rsidRPr="00CC52A1">
        <w:rPr>
          <w:rFonts w:cs="Arial"/>
        </w:rPr>
        <w:t>The population estimate for apparent volume of distribution (</w:t>
      </w:r>
      <w:proofErr w:type="spellStart"/>
      <w:r w:rsidRPr="00CC52A1">
        <w:rPr>
          <w:rFonts w:cs="Arial"/>
        </w:rPr>
        <w:t>Vdss</w:t>
      </w:r>
      <w:proofErr w:type="spellEnd"/>
      <w:r w:rsidRPr="00CC52A1">
        <w:rPr>
          <w:rFonts w:cs="Arial"/>
        </w:rPr>
        <w:t xml:space="preserve">/F) of </w:t>
      </w:r>
      <w:proofErr w:type="spellStart"/>
      <w:r w:rsidRPr="00CC52A1">
        <w:rPr>
          <w:rFonts w:cs="Arial"/>
        </w:rPr>
        <w:t>venetoclax</w:t>
      </w:r>
      <w:proofErr w:type="spellEnd"/>
      <w:r w:rsidRPr="00CC52A1">
        <w:rPr>
          <w:rFonts w:cs="Arial"/>
        </w:rPr>
        <w:t xml:space="preserve"> </w:t>
      </w:r>
      <w:r w:rsidR="000D4B1E" w:rsidRPr="00CC52A1">
        <w:rPr>
          <w:rFonts w:cs="Arial"/>
        </w:rPr>
        <w:t>range</w:t>
      </w:r>
      <w:r w:rsidR="000D4B1E">
        <w:rPr>
          <w:rFonts w:cs="Arial"/>
        </w:rPr>
        <w:t>s</w:t>
      </w:r>
      <w:r w:rsidR="000D4B1E" w:rsidRPr="00CC52A1">
        <w:rPr>
          <w:rFonts w:cs="Arial"/>
        </w:rPr>
        <w:t xml:space="preserve"> </w:t>
      </w:r>
      <w:r w:rsidRPr="00CC52A1">
        <w:rPr>
          <w:rFonts w:cs="Arial"/>
        </w:rPr>
        <w:t>from 256-321 L in patients.</w:t>
      </w:r>
    </w:p>
    <w:p w14:paraId="6A476586" w14:textId="77777777" w:rsidR="00AD4B4F" w:rsidRPr="00CC52A1" w:rsidRDefault="00AD4B4F" w:rsidP="001950DB">
      <w:pPr>
        <w:pStyle w:val="Heading3"/>
      </w:pPr>
      <w:r w:rsidRPr="00CC52A1">
        <w:t>Metabolism</w:t>
      </w:r>
    </w:p>
    <w:p w14:paraId="6A476587" w14:textId="77777777" w:rsidR="00AD4B4F" w:rsidRPr="00CC52A1" w:rsidRDefault="00AD4B4F" w:rsidP="00DB386C">
      <w:pPr>
        <w:jc w:val="both"/>
        <w:rPr>
          <w:rFonts w:cs="Arial"/>
        </w:rPr>
      </w:pPr>
      <w:r w:rsidRPr="00CC52A1">
        <w:rPr>
          <w:rFonts w:cs="Arial"/>
          <w:i/>
        </w:rPr>
        <w:t>In vitro</w:t>
      </w:r>
      <w:r w:rsidRPr="00CC52A1">
        <w:rPr>
          <w:rFonts w:cs="Arial"/>
        </w:rPr>
        <w:t xml:space="preserve"> studies demonstrated that </w:t>
      </w:r>
      <w:proofErr w:type="spellStart"/>
      <w:r w:rsidRPr="00CC52A1">
        <w:rPr>
          <w:rFonts w:cs="Arial"/>
        </w:rPr>
        <w:t>venetoclax</w:t>
      </w:r>
      <w:proofErr w:type="spellEnd"/>
      <w:r w:rsidRPr="00CC52A1">
        <w:rPr>
          <w:rFonts w:cs="Arial"/>
        </w:rPr>
        <w:t xml:space="preserve"> is predominantly metabolised by CYP3A4.</w:t>
      </w:r>
    </w:p>
    <w:p w14:paraId="6A476588" w14:textId="77777777" w:rsidR="00AD4B4F" w:rsidRPr="00CC52A1" w:rsidRDefault="00AD4B4F" w:rsidP="00DB386C">
      <w:pPr>
        <w:jc w:val="both"/>
        <w:rPr>
          <w:rFonts w:cs="Arial"/>
        </w:rPr>
      </w:pPr>
      <w:r w:rsidRPr="00CC52A1">
        <w:rPr>
          <w:rFonts w:cs="Arial"/>
        </w:rPr>
        <w:t xml:space="preserve">M27 was identified as a major metabolite in plasma with an inhibitory activity against BCL-2 that is at least 58-fold lower than </w:t>
      </w:r>
      <w:proofErr w:type="spellStart"/>
      <w:r w:rsidRPr="00CC52A1">
        <w:rPr>
          <w:rFonts w:cs="Arial"/>
        </w:rPr>
        <w:t>venetoclax</w:t>
      </w:r>
      <w:proofErr w:type="spellEnd"/>
      <w:r w:rsidRPr="00CC52A1">
        <w:rPr>
          <w:rFonts w:cs="Arial"/>
        </w:rPr>
        <w:t xml:space="preserve"> </w:t>
      </w:r>
      <w:r w:rsidRPr="00CC52A1">
        <w:rPr>
          <w:rFonts w:cs="Arial"/>
          <w:i/>
        </w:rPr>
        <w:t>in vitro</w:t>
      </w:r>
      <w:r w:rsidRPr="00CC52A1">
        <w:rPr>
          <w:rFonts w:cs="Arial"/>
        </w:rPr>
        <w:t>.</w:t>
      </w:r>
    </w:p>
    <w:p w14:paraId="6A476589" w14:textId="77777777" w:rsidR="00AD4B4F" w:rsidRPr="00CC52A1" w:rsidRDefault="00AD4B4F" w:rsidP="001950DB">
      <w:pPr>
        <w:pStyle w:val="Heading3"/>
      </w:pPr>
      <w:r w:rsidRPr="00CC52A1">
        <w:t>Elimination</w:t>
      </w:r>
    </w:p>
    <w:p w14:paraId="7C79FAB9" w14:textId="77777777" w:rsidR="001950DB" w:rsidRDefault="00AD4B4F" w:rsidP="001950DB">
      <w:r w:rsidRPr="00CC52A1">
        <w:t xml:space="preserve">The population estimate for the terminal elimination half-life of </w:t>
      </w:r>
      <w:proofErr w:type="spellStart"/>
      <w:r w:rsidRPr="00CC52A1">
        <w:t>venetoclax</w:t>
      </w:r>
      <w:proofErr w:type="spellEnd"/>
      <w:r w:rsidRPr="00CC52A1">
        <w:t xml:space="preserve"> </w:t>
      </w:r>
      <w:r w:rsidR="000D4B1E">
        <w:t>is</w:t>
      </w:r>
      <w:r w:rsidR="000D4B1E" w:rsidRPr="00CC52A1">
        <w:t xml:space="preserve"> </w:t>
      </w:r>
      <w:r w:rsidRPr="00CC52A1">
        <w:t>approximately 26 hours.</w:t>
      </w:r>
    </w:p>
    <w:p w14:paraId="50190D37" w14:textId="49B52FD3" w:rsidR="001950DB" w:rsidRDefault="00AD4B4F" w:rsidP="001950DB">
      <w:r w:rsidRPr="00CC52A1">
        <w:lastRenderedPageBreak/>
        <w:t xml:space="preserve">After a single oral administration of 200 mg </w:t>
      </w:r>
      <w:proofErr w:type="spellStart"/>
      <w:r w:rsidRPr="00CC52A1">
        <w:t>radiolabeled</w:t>
      </w:r>
      <w:proofErr w:type="spellEnd"/>
      <w:r w:rsidRPr="00CC52A1">
        <w:t xml:space="preserve"> [</w:t>
      </w:r>
      <w:r w:rsidRPr="00CC52A1">
        <w:rPr>
          <w:vertAlign w:val="superscript"/>
        </w:rPr>
        <w:t>14</w:t>
      </w:r>
      <w:r w:rsidRPr="00CC52A1">
        <w:t>C]-</w:t>
      </w:r>
      <w:proofErr w:type="spellStart"/>
      <w:r w:rsidRPr="00CC52A1">
        <w:t>venetoclax</w:t>
      </w:r>
      <w:proofErr w:type="spellEnd"/>
      <w:r w:rsidRPr="00CC52A1">
        <w:t xml:space="preserve"> to healthy subjects, &gt;99.9% of the dose was recovered in faeces and &lt;0.1% of the dose was excreted in urine within 9 days. Unchanged </w:t>
      </w:r>
      <w:proofErr w:type="spellStart"/>
      <w:r w:rsidRPr="00CC52A1">
        <w:t>venetoclax</w:t>
      </w:r>
      <w:proofErr w:type="spellEnd"/>
      <w:r w:rsidRPr="00CC52A1">
        <w:t xml:space="preserve"> accounted for 20.8% of the administered radioactive dose excreted in faeces.</w:t>
      </w:r>
    </w:p>
    <w:p w14:paraId="6A47658C" w14:textId="46F88232" w:rsidR="00AD4B4F" w:rsidRPr="00CC52A1" w:rsidRDefault="00AD4B4F" w:rsidP="001950DB">
      <w:r w:rsidRPr="00CC52A1">
        <w:t xml:space="preserve">The pharmacokinetics of </w:t>
      </w:r>
      <w:proofErr w:type="spellStart"/>
      <w:r w:rsidRPr="00CC52A1">
        <w:t>venetoclax</w:t>
      </w:r>
      <w:proofErr w:type="spellEnd"/>
      <w:r w:rsidRPr="00CC52A1">
        <w:t xml:space="preserve"> does not change over time.</w:t>
      </w:r>
    </w:p>
    <w:p w14:paraId="6A47658D" w14:textId="77777777" w:rsidR="00AD4B4F" w:rsidRPr="00CC52A1" w:rsidRDefault="00AD4B4F" w:rsidP="001950DB">
      <w:pPr>
        <w:pStyle w:val="Heading3"/>
      </w:pPr>
      <w:r w:rsidRPr="00CC52A1">
        <w:t>Special Populations</w:t>
      </w:r>
    </w:p>
    <w:p w14:paraId="6A47658E" w14:textId="77777777" w:rsidR="00AD4B4F" w:rsidRPr="001950DB" w:rsidRDefault="00AD4B4F" w:rsidP="001950DB">
      <w:pPr>
        <w:pStyle w:val="Heading4"/>
      </w:pPr>
      <w:r w:rsidRPr="001950DB">
        <w:t>Age, Race, Sex and Weight</w:t>
      </w:r>
    </w:p>
    <w:p w14:paraId="6A47658F" w14:textId="77777777" w:rsidR="00AD4B4F" w:rsidRPr="00CC52A1" w:rsidRDefault="00AD4B4F" w:rsidP="00DB386C">
      <w:pPr>
        <w:jc w:val="both"/>
        <w:rPr>
          <w:rFonts w:cs="Arial"/>
        </w:rPr>
      </w:pPr>
      <w:r w:rsidRPr="00CC52A1">
        <w:rPr>
          <w:rFonts w:cs="Arial"/>
        </w:rPr>
        <w:t xml:space="preserve">Based on population pharmacokinetic analyses, age, race, sex and weight do not have an effect on </w:t>
      </w:r>
      <w:proofErr w:type="spellStart"/>
      <w:r w:rsidRPr="00CC52A1">
        <w:rPr>
          <w:rFonts w:cs="Arial"/>
        </w:rPr>
        <w:t>venetoclax</w:t>
      </w:r>
      <w:proofErr w:type="spellEnd"/>
      <w:r w:rsidRPr="00CC52A1">
        <w:rPr>
          <w:rFonts w:cs="Arial"/>
        </w:rPr>
        <w:t xml:space="preserve"> clearance.</w:t>
      </w:r>
    </w:p>
    <w:p w14:paraId="6A476590" w14:textId="77777777" w:rsidR="00AD4B4F" w:rsidRPr="00CC52A1" w:rsidRDefault="00AD4B4F" w:rsidP="001950DB">
      <w:pPr>
        <w:pStyle w:val="Heading4"/>
      </w:pPr>
      <w:r w:rsidRPr="00CC52A1">
        <w:t>Paediatric Population (&lt;18 years)</w:t>
      </w:r>
    </w:p>
    <w:p w14:paraId="6A476591" w14:textId="574D64CA" w:rsidR="00AD4B4F" w:rsidRPr="00CC52A1" w:rsidRDefault="00AD4B4F" w:rsidP="00DB386C">
      <w:pPr>
        <w:jc w:val="both"/>
        <w:rPr>
          <w:rFonts w:cs="Arial"/>
        </w:rPr>
      </w:pPr>
      <w:r w:rsidRPr="00CC52A1">
        <w:rPr>
          <w:rFonts w:cs="Arial"/>
        </w:rPr>
        <w:t xml:space="preserve">The pharmacokinetics of VENCLEXTA has not been evaluated in patients &lt;18 years of age (see </w:t>
      </w:r>
      <w:hyperlink w:anchor="_Paediatric_Use" w:history="1">
        <w:r w:rsidR="000D4B1E" w:rsidRPr="00E91B5E">
          <w:rPr>
            <w:rStyle w:val="Hyperlink"/>
            <w:rFonts w:cs="Arial"/>
          </w:rPr>
          <w:t>PRECAUTIONS:</w:t>
        </w:r>
        <w:r w:rsidRPr="00E91B5E">
          <w:rPr>
            <w:rStyle w:val="Hyperlink"/>
            <w:rFonts w:cs="Arial"/>
          </w:rPr>
          <w:t xml:space="preserve"> Paediatric Use</w:t>
        </w:r>
      </w:hyperlink>
      <w:bookmarkStart w:id="7" w:name="_GoBack"/>
      <w:bookmarkEnd w:id="7"/>
      <w:r w:rsidRPr="00CC52A1">
        <w:rPr>
          <w:rFonts w:cs="Arial"/>
        </w:rPr>
        <w:t>).</w:t>
      </w:r>
    </w:p>
    <w:p w14:paraId="6A476592" w14:textId="77777777" w:rsidR="00AD4B4F" w:rsidRPr="00CC52A1" w:rsidRDefault="00AD4B4F" w:rsidP="001950DB">
      <w:pPr>
        <w:pStyle w:val="Heading4"/>
      </w:pPr>
      <w:r w:rsidRPr="00CC52A1">
        <w:t>Renal Impairment</w:t>
      </w:r>
    </w:p>
    <w:p w14:paraId="29692719" w14:textId="04F84872" w:rsidR="004012EB" w:rsidRPr="001950DB" w:rsidRDefault="00AD4B4F" w:rsidP="00DB386C">
      <w:pPr>
        <w:jc w:val="both"/>
        <w:rPr>
          <w:rFonts w:cs="Arial"/>
        </w:rPr>
      </w:pPr>
      <w:r w:rsidRPr="00CC52A1">
        <w:rPr>
          <w:rFonts w:cs="Arial"/>
        </w:rPr>
        <w:t>Based on a population pharmacokinetic analysis that included 211 subjects with mild renal impairment (</w:t>
      </w:r>
      <w:proofErr w:type="spellStart"/>
      <w:r w:rsidRPr="00CC52A1">
        <w:rPr>
          <w:rFonts w:cs="Arial"/>
        </w:rPr>
        <w:t>CrCl</w:t>
      </w:r>
      <w:proofErr w:type="spellEnd"/>
      <w:r w:rsidRPr="00CC52A1">
        <w:rPr>
          <w:rFonts w:cs="Arial"/>
        </w:rPr>
        <w:t xml:space="preserve"> ≥60 and &lt;90 mL/min), 83 subjects with moderate renal impairment (</w:t>
      </w:r>
      <w:proofErr w:type="spellStart"/>
      <w:r w:rsidRPr="00CC52A1">
        <w:rPr>
          <w:rFonts w:cs="Arial"/>
        </w:rPr>
        <w:t>CrCl</w:t>
      </w:r>
      <w:proofErr w:type="spellEnd"/>
      <w:r w:rsidRPr="00CC52A1">
        <w:rPr>
          <w:rFonts w:cs="Arial"/>
        </w:rPr>
        <w:t xml:space="preserve"> ≥30 and &lt;60 mL/min) and 210 subjects with normal renal function (</w:t>
      </w:r>
      <w:proofErr w:type="spellStart"/>
      <w:r w:rsidRPr="00CC52A1">
        <w:rPr>
          <w:rFonts w:cs="Arial"/>
        </w:rPr>
        <w:t>CrCl</w:t>
      </w:r>
      <w:proofErr w:type="spellEnd"/>
      <w:r w:rsidRPr="00CC52A1">
        <w:rPr>
          <w:rFonts w:cs="Arial"/>
        </w:rPr>
        <w:t xml:space="preserve"> ≥90 mL/min), </w:t>
      </w:r>
      <w:proofErr w:type="spellStart"/>
      <w:r w:rsidRPr="00CC52A1">
        <w:rPr>
          <w:rFonts w:cs="Arial"/>
        </w:rPr>
        <w:t>venetoclax</w:t>
      </w:r>
      <w:proofErr w:type="spellEnd"/>
      <w:r w:rsidRPr="00CC52A1">
        <w:rPr>
          <w:rFonts w:cs="Arial"/>
        </w:rPr>
        <w:t xml:space="preserve"> exposures in subjects with mild or moderate renal impairment are similar to those with normal renal function. The pharmacokinetics of </w:t>
      </w:r>
      <w:proofErr w:type="spellStart"/>
      <w:r w:rsidRPr="00CC52A1">
        <w:rPr>
          <w:rFonts w:cs="Arial"/>
        </w:rPr>
        <w:t>venetoclax</w:t>
      </w:r>
      <w:proofErr w:type="spellEnd"/>
      <w:r w:rsidRPr="00CC52A1">
        <w:rPr>
          <w:rFonts w:cs="Arial"/>
        </w:rPr>
        <w:t xml:space="preserve"> has not been studied in subjects with severe renal impairment (</w:t>
      </w:r>
      <w:proofErr w:type="spellStart"/>
      <w:r w:rsidRPr="00CC52A1">
        <w:rPr>
          <w:rFonts w:cs="Arial"/>
        </w:rPr>
        <w:t>CrCl</w:t>
      </w:r>
      <w:proofErr w:type="spellEnd"/>
      <w:r w:rsidRPr="00CC52A1">
        <w:rPr>
          <w:rFonts w:cs="Arial"/>
        </w:rPr>
        <w:t xml:space="preserve"> &lt;30 mL/min) or subjects on dialysis (see </w:t>
      </w:r>
      <w:hyperlink w:anchor="_Renal_Impairment" w:history="1">
        <w:r w:rsidR="00D430AE" w:rsidRPr="00E91B5E">
          <w:rPr>
            <w:rStyle w:val="Hyperlink"/>
            <w:rFonts w:cs="Arial"/>
          </w:rPr>
          <w:t>PRECAUTIONS:</w:t>
        </w:r>
        <w:r w:rsidRPr="00E91B5E">
          <w:rPr>
            <w:rStyle w:val="Hyperlink"/>
            <w:rFonts w:cs="Arial"/>
          </w:rPr>
          <w:t xml:space="preserve"> Renal Impairment</w:t>
        </w:r>
      </w:hyperlink>
      <w:r w:rsidRPr="00CC52A1">
        <w:rPr>
          <w:rFonts w:cs="Arial"/>
        </w:rPr>
        <w:t>).</w:t>
      </w:r>
    </w:p>
    <w:p w14:paraId="6A476594" w14:textId="77777777" w:rsidR="00AD4B4F" w:rsidRPr="00CC52A1" w:rsidRDefault="00AD4B4F" w:rsidP="001950DB">
      <w:pPr>
        <w:pStyle w:val="Heading4"/>
      </w:pPr>
      <w:r w:rsidRPr="00CC52A1">
        <w:t>Hepatic Impairment</w:t>
      </w:r>
    </w:p>
    <w:p w14:paraId="6A476595" w14:textId="68EBA59A" w:rsidR="00AD4B4F" w:rsidRPr="00CC52A1" w:rsidRDefault="00AD4B4F" w:rsidP="00DB386C">
      <w:pPr>
        <w:jc w:val="both"/>
        <w:rPr>
          <w:rFonts w:cs="Arial"/>
        </w:rPr>
      </w:pPr>
      <w:r w:rsidRPr="00CC52A1">
        <w:rPr>
          <w:rFonts w:cs="Arial"/>
        </w:rPr>
        <w:t xml:space="preserve">Based on a population pharmacokinetic analysis that included 69 subjects with mild hepatic impairment, 7 subjects with moderate hepatic impairment and 429 subjects with normal hepatic function, </w:t>
      </w:r>
      <w:proofErr w:type="spellStart"/>
      <w:r w:rsidRPr="00CC52A1">
        <w:rPr>
          <w:rFonts w:cs="Arial"/>
        </w:rPr>
        <w:t>venetoclax</w:t>
      </w:r>
      <w:proofErr w:type="spellEnd"/>
      <w:r w:rsidRPr="00CC52A1">
        <w:rPr>
          <w:rFonts w:cs="Arial"/>
        </w:rPr>
        <w:t xml:space="preserve"> exposures are similar in subjects with mild and moderate </w:t>
      </w:r>
      <w:proofErr w:type="gramStart"/>
      <w:r w:rsidRPr="00CC52A1">
        <w:rPr>
          <w:rFonts w:cs="Arial"/>
        </w:rPr>
        <w:t>hepatic</w:t>
      </w:r>
      <w:proofErr w:type="gramEnd"/>
      <w:r w:rsidRPr="00CC52A1">
        <w:rPr>
          <w:rFonts w:cs="Arial"/>
        </w:rPr>
        <w:t xml:space="preserve"> impairment and normal hepatic function. The National Cancer Institute (NCI) Organ Dysfunction Working Group criteria for hepatic impairment were used in the analysis. Mild hepatic impairment was defined as normal total bilirubin and aspartate transaminase (AST) &gt; upper limit of normal (ULN) or total bilirubin &gt;1.0 to 1.5 times ULN, moderate hepatic impairment as total bilirubin &gt;1.5 to 3.0 times ULN, and severe hepatic impairment as total bilirubin &gt;3.0 ULN. The pharmacokinetics of </w:t>
      </w:r>
      <w:proofErr w:type="spellStart"/>
      <w:r w:rsidRPr="00CC52A1">
        <w:rPr>
          <w:rFonts w:cs="Arial"/>
        </w:rPr>
        <w:t>venetoclax</w:t>
      </w:r>
      <w:proofErr w:type="spellEnd"/>
      <w:r w:rsidRPr="00CC52A1">
        <w:rPr>
          <w:rFonts w:cs="Arial"/>
        </w:rPr>
        <w:t xml:space="preserve"> </w:t>
      </w:r>
      <w:proofErr w:type="gramStart"/>
      <w:r w:rsidRPr="00CC52A1">
        <w:rPr>
          <w:rFonts w:cs="Arial"/>
        </w:rPr>
        <w:t>have</w:t>
      </w:r>
      <w:proofErr w:type="gramEnd"/>
      <w:r w:rsidRPr="00CC52A1">
        <w:rPr>
          <w:rFonts w:cs="Arial"/>
        </w:rPr>
        <w:t xml:space="preserve"> not been studied in subjects with severe hepatic impairment (see </w:t>
      </w:r>
      <w:hyperlink w:anchor="_Hepatic_Impairment" w:history="1">
        <w:r w:rsidR="00F30483" w:rsidRPr="004F7818">
          <w:rPr>
            <w:rStyle w:val="Hyperlink"/>
            <w:rFonts w:cs="Arial"/>
          </w:rPr>
          <w:t>PRECAUTIONS:</w:t>
        </w:r>
        <w:r w:rsidRPr="004F7818">
          <w:rPr>
            <w:rStyle w:val="Hyperlink"/>
            <w:rFonts w:cs="Arial"/>
          </w:rPr>
          <w:t xml:space="preserve"> Hepatic Impairment</w:t>
        </w:r>
      </w:hyperlink>
      <w:r w:rsidRPr="00CC52A1">
        <w:rPr>
          <w:rFonts w:cs="Arial"/>
        </w:rPr>
        <w:t>).</w:t>
      </w:r>
    </w:p>
    <w:p w14:paraId="6A476596" w14:textId="77777777" w:rsidR="00AD4B4F" w:rsidRPr="00CC52A1" w:rsidRDefault="00AD4B4F" w:rsidP="001950DB">
      <w:pPr>
        <w:pStyle w:val="Heading3"/>
      </w:pPr>
      <w:r w:rsidRPr="00CC52A1">
        <w:rPr>
          <w:i/>
        </w:rPr>
        <w:t>In vitro</w:t>
      </w:r>
      <w:r w:rsidRPr="00CC52A1">
        <w:t xml:space="preserve"> Studies</w:t>
      </w:r>
    </w:p>
    <w:p w14:paraId="6A476597" w14:textId="092B682B" w:rsidR="00AD4B4F" w:rsidRPr="00CC52A1" w:rsidRDefault="00AD4B4F" w:rsidP="001950DB">
      <w:r w:rsidRPr="00CC52A1">
        <w:rPr>
          <w:i/>
        </w:rPr>
        <w:t>In vitro</w:t>
      </w:r>
      <w:r w:rsidRPr="00CC52A1">
        <w:t xml:space="preserve"> studies indicated that </w:t>
      </w:r>
      <w:proofErr w:type="spellStart"/>
      <w:r w:rsidRPr="00CC52A1">
        <w:t>venetoclax</w:t>
      </w:r>
      <w:proofErr w:type="spellEnd"/>
      <w:r w:rsidRPr="00CC52A1">
        <w:t xml:space="preserve"> is not an inhibitor of CYP1A2, CYP2B6, CYP2C19, CYP2D6 or CYP3A4 </w:t>
      </w:r>
      <w:r w:rsidR="00A75968">
        <w:t xml:space="preserve">and not an inducer of CYP1A2, 2B6 or 3A4 </w:t>
      </w:r>
      <w:r w:rsidRPr="00CC52A1">
        <w:t xml:space="preserve">at clinically relevant concentrations. </w:t>
      </w:r>
      <w:proofErr w:type="spellStart"/>
      <w:r w:rsidRPr="00CC52A1">
        <w:t>Venetoclax</w:t>
      </w:r>
      <w:proofErr w:type="spellEnd"/>
      <w:r w:rsidRPr="00CC52A1">
        <w:t xml:space="preserve"> is a weak inhibitor of UGT1A1</w:t>
      </w:r>
      <w:r w:rsidR="00A75968">
        <w:t xml:space="preserve">, </w:t>
      </w:r>
      <w:r w:rsidR="001A5FF7">
        <w:t>CYP</w:t>
      </w:r>
      <w:r w:rsidR="00A75968">
        <w:t xml:space="preserve">2C8 and </w:t>
      </w:r>
      <w:r w:rsidR="001A5FF7">
        <w:t>CYP</w:t>
      </w:r>
      <w:r w:rsidR="00A75968">
        <w:t>2C9</w:t>
      </w:r>
      <w:r w:rsidRPr="00CC52A1">
        <w:t xml:space="preserve"> </w:t>
      </w:r>
      <w:r w:rsidRPr="00CC52A1">
        <w:rPr>
          <w:i/>
        </w:rPr>
        <w:t>in vitro</w:t>
      </w:r>
      <w:r w:rsidRPr="00CC52A1">
        <w:t>, but it is not predicted to cause clinically relevant inhibition of</w:t>
      </w:r>
      <w:r w:rsidR="00A75968">
        <w:t xml:space="preserve"> these enzymes due to high plasma protein binding</w:t>
      </w:r>
      <w:r w:rsidRPr="00CC52A1">
        <w:t xml:space="preserve">. </w:t>
      </w:r>
      <w:proofErr w:type="spellStart"/>
      <w:r w:rsidRPr="00CC52A1">
        <w:t>Venetoclax</w:t>
      </w:r>
      <w:proofErr w:type="spellEnd"/>
      <w:r w:rsidRPr="00CC52A1">
        <w:t xml:space="preserve"> is not an inhibitor of UGT1A4, UGT1A6, UGT1A9 and UGT2B7.</w:t>
      </w:r>
    </w:p>
    <w:p w14:paraId="6A476598" w14:textId="77777777" w:rsidR="00AD4B4F" w:rsidRPr="00CC52A1" w:rsidRDefault="00AD4B4F" w:rsidP="001950DB">
      <w:proofErr w:type="spellStart"/>
      <w:r w:rsidRPr="00CC52A1">
        <w:t>Venetoclax</w:t>
      </w:r>
      <w:proofErr w:type="spellEnd"/>
      <w:r w:rsidRPr="00CC52A1">
        <w:t xml:space="preserve"> is a P-</w:t>
      </w:r>
      <w:proofErr w:type="spellStart"/>
      <w:r w:rsidRPr="00CC52A1">
        <w:t>gp</w:t>
      </w:r>
      <w:proofErr w:type="spellEnd"/>
      <w:r w:rsidRPr="00CC52A1">
        <w:t xml:space="preserve"> and BCRP substrate as well as a P-</w:t>
      </w:r>
      <w:proofErr w:type="spellStart"/>
      <w:r w:rsidRPr="00CC52A1">
        <w:t>gp</w:t>
      </w:r>
      <w:proofErr w:type="spellEnd"/>
      <w:r w:rsidRPr="00CC52A1">
        <w:t xml:space="preserve"> and BCRP inhibitor and weak OATP1B1 inhibitor </w:t>
      </w:r>
      <w:r w:rsidRPr="004012EB">
        <w:rPr>
          <w:i/>
        </w:rPr>
        <w:t>in vitro</w:t>
      </w:r>
      <w:r w:rsidRPr="00CC52A1">
        <w:t>. To avoid a potential interaction in the gastrointestinal tract, digoxin, a narrow therapeutic range P-</w:t>
      </w:r>
      <w:proofErr w:type="spellStart"/>
      <w:r w:rsidRPr="00CC52A1">
        <w:t>gp</w:t>
      </w:r>
      <w:proofErr w:type="spellEnd"/>
      <w:r w:rsidRPr="00CC52A1">
        <w:t xml:space="preserve"> substrate, should be taken at least 6 hours before VENCLEXTA. </w:t>
      </w:r>
      <w:proofErr w:type="spellStart"/>
      <w:r w:rsidRPr="00CC52A1">
        <w:t>Venetoclax</w:t>
      </w:r>
      <w:proofErr w:type="spellEnd"/>
      <w:r w:rsidRPr="00CC52A1">
        <w:t xml:space="preserve"> is not expected to inhibit OATP1B3, OCT1, OCT2, OAT1, OAT3, MATE1 or MATE2K at clinically relevant concentrations.</w:t>
      </w:r>
    </w:p>
    <w:p w14:paraId="6A476599" w14:textId="77777777" w:rsidR="00AD4B4F" w:rsidRPr="00CC52A1" w:rsidRDefault="00AD4B4F" w:rsidP="001950DB">
      <w:pPr>
        <w:pStyle w:val="Heading3"/>
      </w:pPr>
      <w:r w:rsidRPr="00CC52A1">
        <w:t>Animal Pharmacology and/or Toxicology</w:t>
      </w:r>
    </w:p>
    <w:p w14:paraId="2F8637AD" w14:textId="111BD3A5" w:rsidR="00C174C0" w:rsidRPr="00CC52A1" w:rsidRDefault="00C174C0" w:rsidP="001950DB">
      <w:r>
        <w:t xml:space="preserve">Toxicities observed in animal studies with </w:t>
      </w:r>
      <w:proofErr w:type="spellStart"/>
      <w:r>
        <w:t>venetoclax</w:t>
      </w:r>
      <w:proofErr w:type="spellEnd"/>
      <w:r>
        <w:t xml:space="preserve"> included dose-</w:t>
      </w:r>
      <w:proofErr w:type="spellStart"/>
      <w:r>
        <w:t>dependant</w:t>
      </w:r>
      <w:proofErr w:type="spellEnd"/>
      <w:r>
        <w:t xml:space="preserve"> reductions in lymphocytes and red blood cell mass. After cessation of dosing w</w:t>
      </w:r>
      <w:r w:rsidR="00C23048">
        <w:t xml:space="preserve">ith </w:t>
      </w:r>
      <w:proofErr w:type="spellStart"/>
      <w:r w:rsidR="00C23048">
        <w:t>venetoclax</w:t>
      </w:r>
      <w:proofErr w:type="spellEnd"/>
      <w:r w:rsidR="00C23048">
        <w:t xml:space="preserve">, red blood cell effects </w:t>
      </w:r>
      <w:r>
        <w:t xml:space="preserve">were reversible, whereas partial reversibility of lymphocytes was observed at the end </w:t>
      </w:r>
      <w:r>
        <w:lastRenderedPageBreak/>
        <w:t>of an 18-week recovery period. Both B- and T- cells were affected, but the most significant decreases occurred with B-cells.</w:t>
      </w:r>
    </w:p>
    <w:p w14:paraId="5AF14BC3" w14:textId="77777777" w:rsidR="001950DB" w:rsidRDefault="00AD4B4F" w:rsidP="001950DB">
      <w:proofErr w:type="spellStart"/>
      <w:r w:rsidRPr="00CC52A1">
        <w:t>Venetoclax</w:t>
      </w:r>
      <w:proofErr w:type="spellEnd"/>
      <w:r w:rsidRPr="00CC52A1">
        <w:t xml:space="preserve"> </w:t>
      </w:r>
      <w:r w:rsidR="00C174C0">
        <w:t xml:space="preserve">also </w:t>
      </w:r>
      <w:r w:rsidRPr="00CC52A1">
        <w:t>caused single-cell necrosis in various tissues, including the gallbladder and exocrine pancreas, with no evidence of disruption of tissue integrity or organ dysfunction; these findings were minimal to mild in magnitude. Following a 4-week dosing period and subsequent 4-week recovery period, minimal single-cell necrosis was still present in some tissues and reversibility has not been assessed following longer periods of dosing or recovery.</w:t>
      </w:r>
    </w:p>
    <w:p w14:paraId="6A47659C" w14:textId="3D02DF84" w:rsidR="00AD4B4F" w:rsidRPr="00CC52A1" w:rsidRDefault="00AD4B4F" w:rsidP="001950DB">
      <w:r w:rsidRPr="00CC52A1">
        <w:t xml:space="preserve">After approximately 3 months of daily dosing in dogs, </w:t>
      </w:r>
      <w:proofErr w:type="spellStart"/>
      <w:r w:rsidRPr="00CC52A1">
        <w:t>venetoclax</w:t>
      </w:r>
      <w:proofErr w:type="spellEnd"/>
      <w:r w:rsidRPr="00CC52A1">
        <w:t xml:space="preserve"> caused progressive white discoloration of the hair coat, due to loss of melanin pigment in the hair. No changes in the quality of the hair coat or skin were observed, nor in other pigmented tissues examined (e.g., the iris and the ocular fundus of the eye). Reversibility of the hair coat changes has not been assessed in dogs.</w:t>
      </w:r>
    </w:p>
    <w:p w14:paraId="6A47659E" w14:textId="77777777" w:rsidR="00AD4B4F" w:rsidRPr="00DB386C" w:rsidRDefault="00DB386C" w:rsidP="001950DB">
      <w:pPr>
        <w:pStyle w:val="Heading1"/>
      </w:pPr>
      <w:r w:rsidRPr="001950DB">
        <w:t>CLINICAL</w:t>
      </w:r>
      <w:r w:rsidRPr="00DB386C">
        <w:t xml:space="preserve"> TRIALS</w:t>
      </w:r>
    </w:p>
    <w:p w14:paraId="6A47659F" w14:textId="6147DCE9" w:rsidR="0013180E" w:rsidRDefault="0013180E" w:rsidP="001950DB">
      <w:r>
        <w:t xml:space="preserve">The </w:t>
      </w:r>
      <w:proofErr w:type="gramStart"/>
      <w:r>
        <w:t xml:space="preserve">approval for the use of VENCLEXTA in </w:t>
      </w:r>
      <w:r w:rsidR="00F30483" w:rsidRPr="00CC52A1">
        <w:t xml:space="preserve">Chronic Lymphocytic Leukaemia </w:t>
      </w:r>
      <w:r w:rsidR="00F30483">
        <w:t>(</w:t>
      </w:r>
      <w:r>
        <w:t>CLL</w:t>
      </w:r>
      <w:r w:rsidR="00F30483">
        <w:t>)</w:t>
      </w:r>
      <w:r w:rsidR="00AB0604">
        <w:t xml:space="preserve"> is based </w:t>
      </w:r>
      <w:r w:rsidR="00EB709F">
        <w:t>on</w:t>
      </w:r>
      <w:r w:rsidR="00AB0604">
        <w:t xml:space="preserve"> </w:t>
      </w:r>
      <w:r w:rsidR="000C1FC0">
        <w:t xml:space="preserve">phase 1 and </w:t>
      </w:r>
      <w:r w:rsidR="00AB0604">
        <w:t>phase</w:t>
      </w:r>
      <w:proofErr w:type="gramEnd"/>
      <w:r w:rsidR="00AB0604">
        <w:t xml:space="preserve"> 2 non-randomised trials. The results of a randomised, active-controlled phase 3 study are awaited.</w:t>
      </w:r>
    </w:p>
    <w:p w14:paraId="6A4765A0" w14:textId="2896D21F" w:rsidR="00AD4B4F" w:rsidRPr="00CC52A1" w:rsidRDefault="00AD4B4F" w:rsidP="00DB386C">
      <w:pPr>
        <w:jc w:val="both"/>
        <w:rPr>
          <w:rFonts w:cs="Arial"/>
        </w:rPr>
      </w:pPr>
      <w:r w:rsidRPr="00CC52A1">
        <w:rPr>
          <w:rFonts w:cs="Arial"/>
        </w:rPr>
        <w:t xml:space="preserve">The safety and efficacy of VENCLEXTA were established in 2 open-label, multicentre clinical trials of patients with CLL who had received at least one prior therapy, including those with deletion of the p13 locus on chromosome 17 (17p </w:t>
      </w:r>
      <w:proofErr w:type="gramStart"/>
      <w:r w:rsidRPr="00CC52A1">
        <w:rPr>
          <w:rFonts w:cs="Arial"/>
        </w:rPr>
        <w:t>del</w:t>
      </w:r>
      <w:proofErr w:type="gramEnd"/>
      <w:r w:rsidRPr="00CC52A1">
        <w:rPr>
          <w:rFonts w:cs="Arial"/>
        </w:rPr>
        <w:t>).</w:t>
      </w:r>
    </w:p>
    <w:p w14:paraId="6A4765A1" w14:textId="77777777" w:rsidR="00AD4B4F" w:rsidRPr="001950DB" w:rsidRDefault="00AD4B4F" w:rsidP="001950DB">
      <w:pPr>
        <w:pStyle w:val="Heading2"/>
        <w:rPr>
          <w:b w:val="0"/>
          <w:u w:val="single"/>
        </w:rPr>
      </w:pPr>
      <w:r w:rsidRPr="001950DB">
        <w:rPr>
          <w:b w:val="0"/>
          <w:u w:val="single"/>
        </w:rPr>
        <w:t>Study M13-982</w:t>
      </w:r>
    </w:p>
    <w:p w14:paraId="6A4765A2" w14:textId="3D07B94B" w:rsidR="00AD4B4F" w:rsidRPr="00CC52A1" w:rsidRDefault="00AD4B4F" w:rsidP="00DB386C">
      <w:pPr>
        <w:jc w:val="both"/>
        <w:rPr>
          <w:rFonts w:cs="Arial"/>
        </w:rPr>
      </w:pPr>
      <w:r w:rsidRPr="00CC52A1">
        <w:rPr>
          <w:rFonts w:cs="Arial"/>
        </w:rPr>
        <w:t xml:space="preserve">Study M13-982 was a multicentre, single-arm open-label trial of 107 previously treated patients </w:t>
      </w:r>
      <w:r w:rsidR="00042384">
        <w:rPr>
          <w:rFonts w:cs="Arial"/>
        </w:rPr>
        <w:t xml:space="preserve">with CLL </w:t>
      </w:r>
      <w:r w:rsidRPr="00CC52A1">
        <w:rPr>
          <w:rFonts w:cs="Arial"/>
        </w:rPr>
        <w:t>with 17p del. Table 1 summarises the baseline demographic and disease characteristics of the study population.</w:t>
      </w:r>
    </w:p>
    <w:p w14:paraId="6A4765A3" w14:textId="7ECA9694" w:rsidR="00AD4B4F" w:rsidRPr="004F7818" w:rsidRDefault="004F7818" w:rsidP="004F7818">
      <w:pPr>
        <w:pStyle w:val="Caption"/>
      </w:pPr>
      <w:proofErr w:type="gramStart"/>
      <w:r>
        <w:t xml:space="preserve">Table </w:t>
      </w:r>
      <w:proofErr w:type="gramEnd"/>
      <w:r>
        <w:fldChar w:fldCharType="begin"/>
      </w:r>
      <w:r>
        <w:instrText xml:space="preserve"> SEQ Table \* ARABIC </w:instrText>
      </w:r>
      <w:r>
        <w:fldChar w:fldCharType="separate"/>
      </w:r>
      <w:r w:rsidR="00202F95">
        <w:rPr>
          <w:noProof/>
        </w:rPr>
        <w:t>1</w:t>
      </w:r>
      <w:r>
        <w:fldChar w:fldCharType="end"/>
      </w:r>
      <w:proofErr w:type="gramStart"/>
      <w:r w:rsidR="00AD4B4F" w:rsidRPr="004F7818">
        <w:t>.</w:t>
      </w:r>
      <w:proofErr w:type="gramEnd"/>
      <w:r w:rsidR="00AD4B4F" w:rsidRPr="004F7818">
        <w:t xml:space="preserve"> Baseline Patient Characteristics in Study M13-982</w:t>
      </w:r>
    </w:p>
    <w:tbl>
      <w:tblPr>
        <w:tblW w:w="4250" w:type="pct"/>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Description w:val="Table 1. Baseline Patient Characteristics in Study M13-982"/>
      </w:tblPr>
      <w:tblGrid>
        <w:gridCol w:w="5805"/>
        <w:gridCol w:w="2034"/>
      </w:tblGrid>
      <w:tr w:rsidR="00AD4B4F" w:rsidRPr="00CC52A1" w14:paraId="6A4765A6" w14:textId="77777777" w:rsidTr="00DB386C">
        <w:trPr>
          <w:tblHead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A4" w14:textId="77777777" w:rsidR="00AD4B4F" w:rsidRPr="00CC52A1" w:rsidRDefault="00AD4B4F" w:rsidP="00DB386C">
            <w:pPr>
              <w:spacing w:after="0"/>
              <w:jc w:val="center"/>
              <w:rPr>
                <w:rFonts w:cs="Arial"/>
                <w:lang w:val="en-US"/>
              </w:rPr>
            </w:pPr>
            <w:r w:rsidRPr="00CC52A1">
              <w:rPr>
                <w:rFonts w:cs="Arial"/>
                <w:b/>
                <w:lang w:val="en-US"/>
              </w:rPr>
              <w:t>Characteristics</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A5" w14:textId="77777777" w:rsidR="00AD4B4F" w:rsidRPr="00CC52A1" w:rsidRDefault="00AD4B4F" w:rsidP="00DB386C">
            <w:pPr>
              <w:spacing w:after="0"/>
              <w:jc w:val="center"/>
              <w:rPr>
                <w:rFonts w:cs="Arial"/>
                <w:lang w:val="en-US"/>
              </w:rPr>
            </w:pPr>
            <w:r w:rsidRPr="00CC52A1">
              <w:rPr>
                <w:rFonts w:cs="Arial"/>
                <w:b/>
                <w:lang w:val="en-US"/>
              </w:rPr>
              <w:t>N = 107</w:t>
            </w:r>
            <w:r w:rsidRPr="00CC52A1">
              <w:rPr>
                <w:rFonts w:cs="Arial"/>
                <w:b/>
                <w:vertAlign w:val="superscript"/>
                <w:lang w:val="en-US"/>
              </w:rPr>
              <w:t>a</w:t>
            </w:r>
          </w:p>
        </w:tc>
      </w:tr>
      <w:tr w:rsidR="00AD4B4F" w:rsidRPr="00CC52A1" w14:paraId="6A4765A9" w14:textId="77777777" w:rsidTr="00DB386C">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A7" w14:textId="77777777" w:rsidR="00AD4B4F" w:rsidRPr="00CC52A1" w:rsidRDefault="00AD4B4F" w:rsidP="004F7818">
            <w:pPr>
              <w:spacing w:after="0"/>
              <w:ind w:left="57"/>
              <w:rPr>
                <w:rFonts w:cs="Arial"/>
                <w:lang w:val="en-US"/>
              </w:rPr>
            </w:pPr>
            <w:r w:rsidRPr="00CC52A1">
              <w:rPr>
                <w:rFonts w:cs="Arial"/>
                <w:lang w:val="en-US"/>
              </w:rPr>
              <w:t>Age, years; median (range)</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A8" w14:textId="77777777" w:rsidR="00AD4B4F" w:rsidRPr="00CC52A1" w:rsidRDefault="00AD4B4F" w:rsidP="00DB386C">
            <w:pPr>
              <w:spacing w:after="0"/>
              <w:jc w:val="center"/>
              <w:rPr>
                <w:rFonts w:cs="Arial"/>
                <w:lang w:val="en-US"/>
              </w:rPr>
            </w:pPr>
            <w:r w:rsidRPr="00CC52A1">
              <w:rPr>
                <w:rFonts w:cs="Arial"/>
                <w:lang w:val="en-US"/>
              </w:rPr>
              <w:t>67 (37 to 85)</w:t>
            </w:r>
          </w:p>
        </w:tc>
      </w:tr>
      <w:tr w:rsidR="00AD4B4F" w:rsidRPr="00CC52A1" w14:paraId="6A4765AC" w14:textId="77777777" w:rsidTr="00DB386C">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AA" w14:textId="77777777" w:rsidR="00AD4B4F" w:rsidRPr="00CC52A1" w:rsidRDefault="00AD4B4F" w:rsidP="004F7818">
            <w:pPr>
              <w:spacing w:after="0"/>
              <w:ind w:left="57"/>
              <w:rPr>
                <w:rFonts w:cs="Arial"/>
                <w:lang w:val="en-US"/>
              </w:rPr>
            </w:pPr>
            <w:r w:rsidRPr="00CC52A1">
              <w:rPr>
                <w:rFonts w:cs="Arial"/>
                <w:lang w:val="en-US"/>
              </w:rPr>
              <w:t>White;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AB" w14:textId="77777777" w:rsidR="00AD4B4F" w:rsidRPr="00CC52A1" w:rsidRDefault="00AD4B4F" w:rsidP="00DB386C">
            <w:pPr>
              <w:spacing w:after="0"/>
              <w:jc w:val="center"/>
              <w:rPr>
                <w:rFonts w:cs="Arial"/>
                <w:lang w:val="en-US"/>
              </w:rPr>
            </w:pPr>
            <w:r w:rsidRPr="00CC52A1">
              <w:rPr>
                <w:rFonts w:cs="Arial"/>
                <w:lang w:val="en-US"/>
              </w:rPr>
              <w:t>97.2</w:t>
            </w:r>
          </w:p>
        </w:tc>
      </w:tr>
      <w:tr w:rsidR="00AD4B4F" w:rsidRPr="00CC52A1" w14:paraId="6A4765AF" w14:textId="77777777" w:rsidTr="00DB386C">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AD" w14:textId="77777777" w:rsidR="00AD4B4F" w:rsidRPr="00CC52A1" w:rsidRDefault="00AD4B4F" w:rsidP="004F7818">
            <w:pPr>
              <w:spacing w:after="0"/>
              <w:ind w:left="57"/>
              <w:rPr>
                <w:rFonts w:cs="Arial"/>
                <w:lang w:val="en-US"/>
              </w:rPr>
            </w:pPr>
            <w:r w:rsidRPr="00CC52A1">
              <w:rPr>
                <w:rFonts w:cs="Arial"/>
                <w:lang w:val="en-US"/>
              </w:rPr>
              <w:t>Male;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AE" w14:textId="77777777" w:rsidR="00AD4B4F" w:rsidRPr="00CC52A1" w:rsidRDefault="00AD4B4F" w:rsidP="00DB386C">
            <w:pPr>
              <w:spacing w:after="0"/>
              <w:jc w:val="center"/>
              <w:rPr>
                <w:rFonts w:cs="Arial"/>
                <w:lang w:val="en-US"/>
              </w:rPr>
            </w:pPr>
            <w:r w:rsidRPr="00CC52A1">
              <w:rPr>
                <w:rFonts w:cs="Arial"/>
                <w:lang w:val="en-US"/>
              </w:rPr>
              <w:t>65.4</w:t>
            </w:r>
          </w:p>
        </w:tc>
      </w:tr>
      <w:tr w:rsidR="00AD4B4F" w:rsidRPr="00CC52A1" w14:paraId="6A4765B3" w14:textId="77777777" w:rsidTr="00DB386C">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B0" w14:textId="6A643AD9" w:rsidR="00AD4B4F" w:rsidRPr="00CC52A1" w:rsidRDefault="001950DB" w:rsidP="004F7818">
            <w:pPr>
              <w:spacing w:after="0"/>
              <w:ind w:left="142" w:hanging="85"/>
              <w:rPr>
                <w:rFonts w:cs="Arial"/>
                <w:lang w:val="en-US"/>
              </w:rPr>
            </w:pPr>
            <w:r>
              <w:rPr>
                <w:rFonts w:cs="Arial"/>
                <w:lang w:val="en-US"/>
              </w:rPr>
              <w:t>ECOG performance status; %</w:t>
            </w:r>
            <w:r>
              <w:rPr>
                <w:rFonts w:cs="Arial"/>
                <w:lang w:val="en-US"/>
              </w:rPr>
              <w:br/>
            </w:r>
            <w:r w:rsidR="00DE1068">
              <w:rPr>
                <w:rFonts w:cs="Arial"/>
                <w:lang w:val="en-US"/>
              </w:rPr>
              <w:t>0</w:t>
            </w:r>
            <w:r w:rsidR="00DE1068">
              <w:rPr>
                <w:rFonts w:cs="Arial"/>
                <w:lang w:val="en-US"/>
              </w:rPr>
              <w:br/>
              <w:t>1</w:t>
            </w:r>
            <w:r w:rsidR="00DE1068">
              <w:rPr>
                <w:rFonts w:cs="Arial"/>
                <w:lang w:val="en-US"/>
              </w:rPr>
              <w:br/>
              <w:t>2</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4765B2" w14:textId="77777777" w:rsidR="00AD4B4F" w:rsidRPr="00CC52A1" w:rsidRDefault="00AD4B4F" w:rsidP="00DB386C">
            <w:pPr>
              <w:spacing w:after="0"/>
              <w:jc w:val="center"/>
              <w:rPr>
                <w:rFonts w:cs="Arial"/>
                <w:lang w:val="en-US"/>
              </w:rPr>
            </w:pPr>
            <w:r w:rsidRPr="00CC52A1">
              <w:rPr>
                <w:rFonts w:cs="Arial"/>
                <w:lang w:val="en-US"/>
              </w:rPr>
              <w:t>39.3</w:t>
            </w:r>
            <w:r w:rsidRPr="00CC52A1">
              <w:rPr>
                <w:rFonts w:cs="Arial"/>
                <w:lang w:val="en-US"/>
              </w:rPr>
              <w:br/>
              <w:t>52.3</w:t>
            </w:r>
            <w:r w:rsidRPr="00CC52A1">
              <w:rPr>
                <w:rFonts w:cs="Arial"/>
                <w:lang w:val="en-US"/>
              </w:rPr>
              <w:br/>
              <w:t>8.4</w:t>
            </w:r>
          </w:p>
        </w:tc>
      </w:tr>
      <w:tr w:rsidR="00AD4B4F" w:rsidRPr="00CC52A1" w14:paraId="6A4765B7" w14:textId="77777777" w:rsidTr="00DB386C">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B4" w14:textId="2284F1C5" w:rsidR="00AD4B4F" w:rsidRPr="00CC52A1" w:rsidRDefault="00AD4B4F" w:rsidP="004F7818">
            <w:pPr>
              <w:spacing w:after="0"/>
              <w:ind w:left="57"/>
              <w:rPr>
                <w:rFonts w:cs="Arial"/>
                <w:lang w:val="en-US"/>
              </w:rPr>
            </w:pPr>
            <w:proofErr w:type="spellStart"/>
            <w:r w:rsidRPr="00CC52A1">
              <w:rPr>
                <w:rFonts w:cs="Arial"/>
                <w:lang w:val="en-US"/>
              </w:rPr>
              <w:t>Tumour</w:t>
            </w:r>
            <w:proofErr w:type="spellEnd"/>
            <w:r w:rsidRPr="00CC52A1">
              <w:rPr>
                <w:rFonts w:cs="Arial"/>
                <w:lang w:val="en-US"/>
              </w:rPr>
              <w:t xml:space="preserve"> burden; %</w:t>
            </w:r>
            <w:r w:rsidRPr="00CC52A1">
              <w:rPr>
                <w:rFonts w:cs="Arial"/>
                <w:lang w:val="en-US"/>
              </w:rPr>
              <w:br/>
              <w:t>Absolute lymphocyte count ≥25 x 10</w:t>
            </w:r>
            <w:r w:rsidRPr="00CC52A1">
              <w:rPr>
                <w:rFonts w:cs="Arial"/>
                <w:vertAlign w:val="superscript"/>
                <w:lang w:val="en-US"/>
              </w:rPr>
              <w:t>9</w:t>
            </w:r>
            <w:r w:rsidRPr="00CC52A1">
              <w:rPr>
                <w:rFonts w:cs="Arial"/>
                <w:lang w:val="en-US"/>
              </w:rPr>
              <w:t>/L</w:t>
            </w:r>
            <w:r w:rsidRPr="00CC52A1">
              <w:rPr>
                <w:rFonts w:cs="Arial"/>
                <w:lang w:val="en-US"/>
              </w:rPr>
              <w:br/>
              <w:t xml:space="preserve">One or more nodes ≥5 cm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4765B6" w14:textId="77777777" w:rsidR="00AD4B4F" w:rsidRPr="00CC52A1" w:rsidRDefault="00AD4B4F" w:rsidP="00DB386C">
            <w:pPr>
              <w:spacing w:after="0"/>
              <w:jc w:val="center"/>
              <w:rPr>
                <w:rFonts w:cs="Arial"/>
                <w:lang w:val="en-US"/>
              </w:rPr>
            </w:pPr>
            <w:r w:rsidRPr="00CC52A1">
              <w:rPr>
                <w:rFonts w:cs="Arial"/>
                <w:lang w:val="en-US"/>
              </w:rPr>
              <w:t>50.5</w:t>
            </w:r>
            <w:r w:rsidRPr="00CC52A1">
              <w:rPr>
                <w:rFonts w:cs="Arial"/>
                <w:lang w:val="en-US"/>
              </w:rPr>
              <w:br/>
              <w:t>53.3</w:t>
            </w:r>
          </w:p>
        </w:tc>
      </w:tr>
      <w:tr w:rsidR="00AD4B4F" w:rsidRPr="00CC52A1" w14:paraId="6A4765BA" w14:textId="77777777" w:rsidTr="00DB386C">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B8" w14:textId="77777777" w:rsidR="00AD4B4F" w:rsidRPr="00CC52A1" w:rsidRDefault="00AD4B4F" w:rsidP="004F7818">
            <w:pPr>
              <w:spacing w:after="0"/>
              <w:ind w:left="57"/>
              <w:rPr>
                <w:rFonts w:cs="Arial"/>
                <w:lang w:val="en-US"/>
              </w:rPr>
            </w:pPr>
            <w:r w:rsidRPr="00CC52A1">
              <w:rPr>
                <w:rFonts w:cs="Arial"/>
                <w:lang w:val="en-US"/>
              </w:rPr>
              <w:t>Number of prior therapies; median (range)</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B9" w14:textId="77777777" w:rsidR="00AD4B4F" w:rsidRPr="00CC52A1" w:rsidRDefault="00AD4B4F" w:rsidP="00DB386C">
            <w:pPr>
              <w:spacing w:after="0"/>
              <w:jc w:val="center"/>
              <w:rPr>
                <w:rFonts w:cs="Arial"/>
                <w:lang w:val="en-US"/>
              </w:rPr>
            </w:pPr>
            <w:r w:rsidRPr="00CC52A1">
              <w:rPr>
                <w:rFonts w:cs="Arial"/>
                <w:lang w:val="en-US"/>
              </w:rPr>
              <w:t>2 (1-10)</w:t>
            </w:r>
          </w:p>
        </w:tc>
      </w:tr>
      <w:tr w:rsidR="00AD4B4F" w:rsidRPr="00CC52A1" w14:paraId="6A4765BD" w14:textId="77777777" w:rsidTr="00DB386C">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BB" w14:textId="77777777" w:rsidR="00AD4B4F" w:rsidRPr="00CC52A1" w:rsidRDefault="00AD4B4F" w:rsidP="004F7818">
            <w:pPr>
              <w:spacing w:after="0"/>
              <w:ind w:left="57"/>
              <w:rPr>
                <w:rFonts w:cs="Arial"/>
                <w:lang w:val="en-US"/>
              </w:rPr>
            </w:pPr>
            <w:r w:rsidRPr="00CC52A1">
              <w:rPr>
                <w:rFonts w:cs="Arial"/>
                <w:lang w:val="en-US"/>
              </w:rPr>
              <w:t>Time since diagnosis, months; median (range)</w:t>
            </w:r>
            <w:r w:rsidRPr="00CC52A1">
              <w:rPr>
                <w:rFonts w:cs="Arial"/>
                <w:vertAlign w:val="superscript"/>
                <w:lang w:val="en-US"/>
              </w:rPr>
              <w:t>b</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BC" w14:textId="77777777" w:rsidR="00AD4B4F" w:rsidRPr="00CC52A1" w:rsidRDefault="00AD4B4F" w:rsidP="00DB386C">
            <w:pPr>
              <w:spacing w:after="0"/>
              <w:jc w:val="center"/>
              <w:rPr>
                <w:rFonts w:cs="Arial"/>
                <w:lang w:val="en-US"/>
              </w:rPr>
            </w:pPr>
            <w:r w:rsidRPr="00CC52A1">
              <w:rPr>
                <w:rFonts w:cs="Arial"/>
                <w:lang w:val="en-US"/>
              </w:rPr>
              <w:t>81.7 (1.2-385.6)</w:t>
            </w:r>
          </w:p>
        </w:tc>
      </w:tr>
      <w:tr w:rsidR="00AD4B4F" w:rsidRPr="00CC52A1" w14:paraId="6A4765BF" w14:textId="77777777" w:rsidTr="00DB386C">
        <w:tc>
          <w:tcPr>
            <w:tcW w:w="769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BE" w14:textId="77777777" w:rsidR="00AD4B4F" w:rsidRPr="00CC52A1" w:rsidRDefault="00AD4B4F" w:rsidP="004F7818">
            <w:pPr>
              <w:spacing w:after="0"/>
              <w:ind w:left="57"/>
              <w:rPr>
                <w:rFonts w:cs="Arial"/>
                <w:sz w:val="20"/>
                <w:lang w:val="en-US"/>
              </w:rPr>
            </w:pPr>
            <w:proofErr w:type="spellStart"/>
            <w:proofErr w:type="gramStart"/>
            <w:r w:rsidRPr="00CC52A1">
              <w:rPr>
                <w:rFonts w:cs="Arial"/>
                <w:sz w:val="20"/>
                <w:vertAlign w:val="superscript"/>
                <w:lang w:val="en-US"/>
              </w:rPr>
              <w:t>a</w:t>
            </w:r>
            <w:r w:rsidRPr="00CC52A1">
              <w:rPr>
                <w:rFonts w:cs="Arial"/>
                <w:sz w:val="20"/>
                <w:lang w:val="en-US"/>
              </w:rPr>
              <w:t>One</w:t>
            </w:r>
            <w:proofErr w:type="spellEnd"/>
            <w:proofErr w:type="gramEnd"/>
            <w:r w:rsidRPr="00CC52A1">
              <w:rPr>
                <w:rFonts w:cs="Arial"/>
                <w:sz w:val="20"/>
                <w:lang w:val="en-US"/>
              </w:rPr>
              <w:t xml:space="preserve"> patient did not </w:t>
            </w:r>
            <w:proofErr w:type="spellStart"/>
            <w:r w:rsidRPr="00CC52A1">
              <w:rPr>
                <w:rFonts w:cs="Arial"/>
                <w:sz w:val="20"/>
                <w:lang w:val="en-US"/>
              </w:rPr>
              <w:t>harbour</w:t>
            </w:r>
            <w:proofErr w:type="spellEnd"/>
            <w:r w:rsidRPr="00CC52A1">
              <w:rPr>
                <w:rFonts w:cs="Arial"/>
                <w:sz w:val="20"/>
                <w:lang w:val="en-US"/>
              </w:rPr>
              <w:t xml:space="preserve"> the 17p deletion.</w:t>
            </w:r>
            <w:r w:rsidRPr="00CC52A1">
              <w:rPr>
                <w:rFonts w:cs="Arial"/>
                <w:sz w:val="20"/>
                <w:lang w:val="en-US"/>
              </w:rPr>
              <w:br/>
            </w:r>
            <w:proofErr w:type="spellStart"/>
            <w:proofErr w:type="gramStart"/>
            <w:r w:rsidRPr="00CC52A1">
              <w:rPr>
                <w:rFonts w:cs="Arial"/>
                <w:sz w:val="20"/>
                <w:vertAlign w:val="superscript"/>
                <w:lang w:val="en-US"/>
              </w:rPr>
              <w:t>b</w:t>
            </w:r>
            <w:r w:rsidRPr="00CC52A1">
              <w:rPr>
                <w:rFonts w:cs="Arial"/>
                <w:sz w:val="20"/>
                <w:lang w:val="en-US"/>
              </w:rPr>
              <w:t>N</w:t>
            </w:r>
            <w:proofErr w:type="spellEnd"/>
            <w:r w:rsidRPr="00CC52A1">
              <w:rPr>
                <w:rFonts w:cs="Arial"/>
                <w:sz w:val="20"/>
                <w:lang w:val="en-US"/>
              </w:rPr>
              <w:t>=</w:t>
            </w:r>
            <w:proofErr w:type="gramEnd"/>
            <w:r w:rsidRPr="00CC52A1">
              <w:rPr>
                <w:rFonts w:cs="Arial"/>
                <w:sz w:val="20"/>
                <w:lang w:val="en-US"/>
              </w:rPr>
              <w:t xml:space="preserve">106. </w:t>
            </w:r>
          </w:p>
        </w:tc>
      </w:tr>
    </w:tbl>
    <w:p w14:paraId="6A4765C1" w14:textId="7A9276C4" w:rsidR="0038739E" w:rsidRPr="00CC52A1" w:rsidRDefault="00AD4B4F" w:rsidP="001950DB">
      <w:r w:rsidRPr="00CC52A1">
        <w:t xml:space="preserve">Among the patients, 37.4% </w:t>
      </w:r>
      <w:r w:rsidR="00E95F00">
        <w:t xml:space="preserve">(34/91) </w:t>
      </w:r>
      <w:r w:rsidRPr="00CC52A1">
        <w:t xml:space="preserve">were </w:t>
      </w:r>
      <w:proofErr w:type="spellStart"/>
      <w:r w:rsidRPr="00CC52A1">
        <w:t>fludarabine</w:t>
      </w:r>
      <w:proofErr w:type="spellEnd"/>
      <w:r w:rsidRPr="00CC52A1">
        <w:t xml:space="preserve"> refractory, 81.1% (30/37) had </w:t>
      </w:r>
      <w:proofErr w:type="spellStart"/>
      <w:r w:rsidRPr="00CC52A1">
        <w:t>unmutated</w:t>
      </w:r>
      <w:proofErr w:type="spellEnd"/>
      <w:r w:rsidRPr="00CC52A1">
        <w:t xml:space="preserve"> </w:t>
      </w:r>
      <w:r w:rsidRPr="00A436AF">
        <w:rPr>
          <w:i/>
        </w:rPr>
        <w:t>IGHV</w:t>
      </w:r>
      <w:r w:rsidRPr="00CC52A1">
        <w:t>, and 23.8% (19/80) had 11q deletion.</w:t>
      </w:r>
    </w:p>
    <w:p w14:paraId="6A4765C2" w14:textId="77777777" w:rsidR="0038739E" w:rsidRPr="00CC52A1" w:rsidRDefault="0038739E" w:rsidP="001950DB">
      <w:r w:rsidRPr="00CC52A1">
        <w:t xml:space="preserve">In the study, patients with 17p </w:t>
      </w:r>
      <w:proofErr w:type="gramStart"/>
      <w:r w:rsidRPr="00CC52A1">
        <w:t>del</w:t>
      </w:r>
      <w:proofErr w:type="gramEnd"/>
      <w:r w:rsidRPr="00CC52A1">
        <w:t xml:space="preserve"> were identified using </w:t>
      </w:r>
      <w:proofErr w:type="spellStart"/>
      <w:r w:rsidRPr="00CC52A1">
        <w:t>Vysis</w:t>
      </w:r>
      <w:proofErr w:type="spellEnd"/>
      <w:r w:rsidRPr="00CC52A1">
        <w:t xml:space="preserve"> CLL FISH Probe Kit. Patients received VENCLEXTA via a weekly dose titration schedule starting at 20 mg and titrating to 50 </w:t>
      </w:r>
      <w:r w:rsidRPr="00CC52A1">
        <w:lastRenderedPageBreak/>
        <w:t>mg, 100 mg, 200 mg and finally 400 mg once daily. Patients continued to receive 400 mg of VENCLEXTA orally once daily until disease progression or unacceptable toxicity. The median time on treatment at the time of evaluation was 12.1 months (range: 0 - 21.5 months).</w:t>
      </w:r>
    </w:p>
    <w:p w14:paraId="6A4765C3" w14:textId="77777777" w:rsidR="00AD4B4F" w:rsidRPr="00CC52A1" w:rsidRDefault="0038739E" w:rsidP="001950DB">
      <w:r w:rsidRPr="00CC52A1">
        <w:t>The primary efficacy endpoint was overall response rate (ORR) as assessed by an Independent Review Committee (IRC) using the International Workshop for Chronic Lymphocytic Leukaemia (IWCLL) updated National Cancer Institute-sponsored Working Group (NCI-WG) guidelines (2008). Efficacy results for Study M13-982 are shown in Table 2.</w:t>
      </w:r>
    </w:p>
    <w:p w14:paraId="6A4765C4" w14:textId="5D8A27EC" w:rsidR="0038739E" w:rsidRPr="00CC52A1" w:rsidRDefault="00202F95" w:rsidP="00202F95">
      <w:pPr>
        <w:pStyle w:val="Caption"/>
      </w:pPr>
      <w:proofErr w:type="gramStart"/>
      <w:r>
        <w:t xml:space="preserve">Table </w:t>
      </w:r>
      <w:proofErr w:type="gramEnd"/>
      <w:r>
        <w:fldChar w:fldCharType="begin"/>
      </w:r>
      <w:r>
        <w:instrText xml:space="preserve"> SEQ Table \* ARABIC </w:instrText>
      </w:r>
      <w:r>
        <w:fldChar w:fldCharType="separate"/>
      </w:r>
      <w:r>
        <w:rPr>
          <w:noProof/>
        </w:rPr>
        <w:t>2</w:t>
      </w:r>
      <w:r>
        <w:fldChar w:fldCharType="end"/>
      </w:r>
      <w:proofErr w:type="gramStart"/>
      <w:r>
        <w:t>.</w:t>
      </w:r>
      <w:proofErr w:type="gramEnd"/>
      <w:r>
        <w:t xml:space="preserve"> </w:t>
      </w:r>
      <w:r w:rsidR="0038739E" w:rsidRPr="00CC52A1">
        <w:rPr>
          <w:lang w:val="en-US"/>
        </w:rPr>
        <w:t>Efficacy Results in Study M13-982</w:t>
      </w:r>
    </w:p>
    <w:tbl>
      <w:tblPr>
        <w:tblW w:w="4250" w:type="pct"/>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Description w:val="Table 2. Efficacy Results in Study M13-982"/>
      </w:tblPr>
      <w:tblGrid>
        <w:gridCol w:w="2417"/>
        <w:gridCol w:w="2358"/>
        <w:gridCol w:w="3064"/>
      </w:tblGrid>
      <w:tr w:rsidR="0038739E" w:rsidRPr="00CC52A1" w14:paraId="6A4765C8" w14:textId="77777777" w:rsidTr="0038739E">
        <w:trPr>
          <w:tblHead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C5" w14:textId="223296BD" w:rsidR="0038739E" w:rsidRPr="00CC52A1" w:rsidRDefault="0038739E" w:rsidP="00DB386C">
            <w:pPr>
              <w:spacing w:after="60"/>
              <w:jc w:val="both"/>
              <w:rPr>
                <w:rFonts w:cs="Arial"/>
                <w:lang w:val="en-US"/>
              </w:rPr>
            </w:pP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C6" w14:textId="77777777" w:rsidR="0038739E" w:rsidRPr="00CC52A1" w:rsidRDefault="0038739E" w:rsidP="00DB386C">
            <w:pPr>
              <w:spacing w:after="60"/>
              <w:jc w:val="center"/>
              <w:rPr>
                <w:rFonts w:cs="Arial"/>
                <w:lang w:val="en-US"/>
              </w:rPr>
            </w:pPr>
            <w:r w:rsidRPr="00CC52A1">
              <w:rPr>
                <w:rFonts w:cs="Arial"/>
                <w:b/>
                <w:lang w:val="en-US"/>
              </w:rPr>
              <w:t>IRC Assessment</w:t>
            </w:r>
            <w:r w:rsidRPr="00CC52A1">
              <w:rPr>
                <w:rFonts w:cs="Arial"/>
                <w:b/>
                <w:lang w:val="en-US"/>
              </w:rPr>
              <w:br/>
              <w:t>(N=107)</w:t>
            </w:r>
            <w:r w:rsidRPr="00CC52A1">
              <w:rPr>
                <w:rFonts w:cs="Arial"/>
                <w:b/>
                <w:vertAlign w:val="superscript"/>
                <w:lang w:val="en-US"/>
              </w:rPr>
              <w:t>a</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C7" w14:textId="77777777" w:rsidR="0038739E" w:rsidRPr="00CC52A1" w:rsidRDefault="0038739E" w:rsidP="00DB386C">
            <w:pPr>
              <w:spacing w:after="60"/>
              <w:jc w:val="center"/>
              <w:rPr>
                <w:rFonts w:cs="Arial"/>
                <w:lang w:val="en-US"/>
              </w:rPr>
            </w:pPr>
            <w:r w:rsidRPr="00CC52A1">
              <w:rPr>
                <w:rFonts w:cs="Arial"/>
                <w:b/>
                <w:lang w:val="en-US"/>
              </w:rPr>
              <w:t>Investigator Assessment</w:t>
            </w:r>
            <w:r w:rsidRPr="00CC52A1">
              <w:rPr>
                <w:rFonts w:cs="Arial"/>
                <w:b/>
                <w:lang w:val="en-US"/>
              </w:rPr>
              <w:br/>
              <w:t>(N=107)</w:t>
            </w:r>
          </w:p>
        </w:tc>
      </w:tr>
      <w:tr w:rsidR="0038739E" w:rsidRPr="00CC52A1" w14:paraId="6A4765CC" w14:textId="77777777" w:rsidTr="0038739E">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C9" w14:textId="5000A4F3" w:rsidR="0038739E" w:rsidRPr="00CC52A1" w:rsidRDefault="0038739E" w:rsidP="004F7818">
            <w:pPr>
              <w:spacing w:after="0"/>
              <w:ind w:left="57"/>
              <w:rPr>
                <w:rFonts w:cs="Arial"/>
                <w:lang w:val="en-US"/>
              </w:rPr>
            </w:pPr>
            <w:r w:rsidRPr="00CC52A1">
              <w:rPr>
                <w:rFonts w:cs="Arial"/>
                <w:lang w:val="en-US"/>
              </w:rPr>
              <w:t xml:space="preserve">ORR, % </w:t>
            </w:r>
            <w:r w:rsidRPr="00CC52A1">
              <w:rPr>
                <w:rFonts w:cs="Arial"/>
                <w:lang w:val="en-US"/>
              </w:rPr>
              <w:br/>
              <w:t xml:space="preserve">(95% CI)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CA" w14:textId="77777777" w:rsidR="0038739E" w:rsidRPr="00CC52A1" w:rsidRDefault="0038739E" w:rsidP="004F7818">
            <w:pPr>
              <w:spacing w:after="0"/>
              <w:jc w:val="center"/>
              <w:rPr>
                <w:rFonts w:cs="Arial"/>
                <w:lang w:val="en-US"/>
              </w:rPr>
            </w:pPr>
            <w:r w:rsidRPr="00CC52A1">
              <w:rPr>
                <w:rFonts w:cs="Arial"/>
                <w:lang w:val="en-US"/>
              </w:rPr>
              <w:t>79.4</w:t>
            </w:r>
            <w:r w:rsidRPr="00CC52A1">
              <w:rPr>
                <w:rFonts w:cs="Arial"/>
                <w:lang w:val="en-US"/>
              </w:rPr>
              <w:br/>
              <w:t>(70.5, 86.6)</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CB" w14:textId="77777777" w:rsidR="0038739E" w:rsidRPr="00CC52A1" w:rsidRDefault="0038739E" w:rsidP="004F7818">
            <w:pPr>
              <w:spacing w:after="0"/>
              <w:jc w:val="center"/>
              <w:rPr>
                <w:rFonts w:cs="Arial"/>
                <w:lang w:val="en-US"/>
              </w:rPr>
            </w:pPr>
            <w:r w:rsidRPr="00CC52A1">
              <w:rPr>
                <w:rFonts w:cs="Arial"/>
                <w:lang w:val="en-US"/>
              </w:rPr>
              <w:t>73.8</w:t>
            </w:r>
            <w:r w:rsidRPr="00CC52A1">
              <w:rPr>
                <w:rFonts w:cs="Arial"/>
                <w:lang w:val="en-US"/>
              </w:rPr>
              <w:br/>
              <w:t>(64.4, 81.9)</w:t>
            </w:r>
          </w:p>
        </w:tc>
      </w:tr>
      <w:tr w:rsidR="0038739E" w:rsidRPr="00CC52A1" w14:paraId="6A4765D0" w14:textId="77777777" w:rsidTr="0038739E">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CD" w14:textId="43C4D0D9" w:rsidR="0038739E" w:rsidRPr="00CC52A1" w:rsidRDefault="0038739E" w:rsidP="004F7818">
            <w:pPr>
              <w:spacing w:after="0"/>
              <w:ind w:left="57"/>
              <w:rPr>
                <w:rFonts w:cs="Arial"/>
                <w:lang w:val="en-US"/>
              </w:rPr>
            </w:pPr>
            <w:r w:rsidRPr="00CC52A1">
              <w:rPr>
                <w:rFonts w:cs="Arial"/>
                <w:lang w:val="en-US"/>
              </w:rPr>
              <w:t xml:space="preserve">CR + </w:t>
            </w:r>
            <w:proofErr w:type="spellStart"/>
            <w:r w:rsidRPr="00CC52A1">
              <w:rPr>
                <w:rFonts w:cs="Arial"/>
                <w:lang w:val="en-US"/>
              </w:rPr>
              <w:t>CRi</w:t>
            </w:r>
            <w:proofErr w:type="spellEnd"/>
            <w:r w:rsidRPr="00CC52A1">
              <w:rPr>
                <w:rFonts w:cs="Arial"/>
                <w:lang w:val="en-US"/>
              </w:rPr>
              <w:t xml:space="preserve">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CE" w14:textId="77777777" w:rsidR="0038739E" w:rsidRPr="00CC52A1" w:rsidRDefault="0038739E" w:rsidP="004F7818">
            <w:pPr>
              <w:spacing w:after="0"/>
              <w:jc w:val="center"/>
              <w:rPr>
                <w:rFonts w:cs="Arial"/>
                <w:lang w:val="en-US"/>
              </w:rPr>
            </w:pPr>
            <w:r w:rsidRPr="00CC52A1">
              <w:rPr>
                <w:rFonts w:cs="Arial"/>
                <w:lang w:val="en-US"/>
              </w:rPr>
              <w:t>7.5</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CF" w14:textId="77777777" w:rsidR="0038739E" w:rsidRPr="00CC52A1" w:rsidRDefault="0038739E" w:rsidP="004F7818">
            <w:pPr>
              <w:spacing w:after="0"/>
              <w:jc w:val="center"/>
              <w:rPr>
                <w:rFonts w:cs="Arial"/>
                <w:lang w:val="en-US"/>
              </w:rPr>
            </w:pPr>
            <w:r w:rsidRPr="00CC52A1">
              <w:rPr>
                <w:rFonts w:cs="Arial"/>
                <w:lang w:val="en-US"/>
              </w:rPr>
              <w:t>15.9</w:t>
            </w:r>
          </w:p>
        </w:tc>
      </w:tr>
      <w:tr w:rsidR="0038739E" w:rsidRPr="00CC52A1" w14:paraId="6A4765D4" w14:textId="77777777" w:rsidTr="0038739E">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D1" w14:textId="708CF51D" w:rsidR="0038739E" w:rsidRPr="00CC52A1" w:rsidRDefault="0038739E" w:rsidP="004F7818">
            <w:pPr>
              <w:spacing w:after="0"/>
              <w:ind w:left="57"/>
              <w:rPr>
                <w:rFonts w:cs="Arial"/>
                <w:lang w:val="en-US"/>
              </w:rPr>
            </w:pPr>
            <w:proofErr w:type="spellStart"/>
            <w:proofErr w:type="gramStart"/>
            <w:r w:rsidRPr="00CC52A1">
              <w:rPr>
                <w:rFonts w:cs="Arial"/>
                <w:lang w:val="en-US"/>
              </w:rPr>
              <w:t>nPR</w:t>
            </w:r>
            <w:proofErr w:type="spellEnd"/>
            <w:proofErr w:type="gramEnd"/>
            <w:r w:rsidRPr="00CC52A1">
              <w:rPr>
                <w:rFonts w:cs="Arial"/>
                <w:lang w:val="en-US"/>
              </w:rPr>
              <w:t xml:space="preserve">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D2" w14:textId="77777777" w:rsidR="0038739E" w:rsidRPr="00CC52A1" w:rsidRDefault="0038739E" w:rsidP="004F7818">
            <w:pPr>
              <w:spacing w:after="0"/>
              <w:jc w:val="center"/>
              <w:rPr>
                <w:rFonts w:cs="Arial"/>
                <w:lang w:val="en-US"/>
              </w:rPr>
            </w:pPr>
            <w:r w:rsidRPr="00CC52A1">
              <w:rPr>
                <w:rFonts w:cs="Arial"/>
                <w:lang w:val="en-US"/>
              </w:rPr>
              <w:t>2.8</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D3" w14:textId="77777777" w:rsidR="0038739E" w:rsidRPr="00CC52A1" w:rsidRDefault="0038739E" w:rsidP="004F7818">
            <w:pPr>
              <w:spacing w:after="0"/>
              <w:jc w:val="center"/>
              <w:rPr>
                <w:rFonts w:cs="Arial"/>
                <w:lang w:val="en-US"/>
              </w:rPr>
            </w:pPr>
            <w:r w:rsidRPr="00CC52A1">
              <w:rPr>
                <w:rFonts w:cs="Arial"/>
                <w:lang w:val="en-US"/>
              </w:rPr>
              <w:t>3.7</w:t>
            </w:r>
          </w:p>
        </w:tc>
      </w:tr>
      <w:tr w:rsidR="0038739E" w:rsidRPr="00CC52A1" w14:paraId="6A4765D8" w14:textId="77777777" w:rsidTr="0038739E">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D5" w14:textId="6AA44308" w:rsidR="0038739E" w:rsidRPr="00CC52A1" w:rsidRDefault="0038739E" w:rsidP="004F7818">
            <w:pPr>
              <w:spacing w:after="0"/>
              <w:ind w:left="57"/>
              <w:rPr>
                <w:rFonts w:cs="Arial"/>
                <w:lang w:val="en-US"/>
              </w:rPr>
            </w:pPr>
            <w:r w:rsidRPr="00CC52A1">
              <w:rPr>
                <w:rFonts w:cs="Arial"/>
                <w:lang w:val="en-US"/>
              </w:rPr>
              <w:t>PR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D6" w14:textId="77777777" w:rsidR="0038739E" w:rsidRPr="00CC52A1" w:rsidRDefault="0038739E" w:rsidP="004F7818">
            <w:pPr>
              <w:spacing w:after="0"/>
              <w:jc w:val="center"/>
              <w:rPr>
                <w:rFonts w:cs="Arial"/>
                <w:lang w:val="en-US"/>
              </w:rPr>
            </w:pPr>
            <w:r w:rsidRPr="00CC52A1">
              <w:rPr>
                <w:rFonts w:cs="Arial"/>
                <w:lang w:val="en-US"/>
              </w:rPr>
              <w:t>69.2</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D7" w14:textId="77777777" w:rsidR="0038739E" w:rsidRPr="00CC52A1" w:rsidRDefault="0038739E" w:rsidP="004F7818">
            <w:pPr>
              <w:spacing w:after="0"/>
              <w:jc w:val="center"/>
              <w:rPr>
                <w:rFonts w:cs="Arial"/>
                <w:lang w:val="en-US"/>
              </w:rPr>
            </w:pPr>
            <w:r w:rsidRPr="00CC52A1">
              <w:rPr>
                <w:rFonts w:cs="Arial"/>
                <w:lang w:val="en-US"/>
              </w:rPr>
              <w:t>54.2</w:t>
            </w:r>
          </w:p>
        </w:tc>
      </w:tr>
      <w:tr w:rsidR="0038739E" w:rsidRPr="00CC52A1" w14:paraId="6A4765DC" w14:textId="77777777" w:rsidTr="0038739E">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D9" w14:textId="29F762AA" w:rsidR="0038739E" w:rsidRPr="00CC52A1" w:rsidRDefault="0038739E" w:rsidP="004F7818">
            <w:pPr>
              <w:pStyle w:val="Tabletext"/>
            </w:pPr>
            <w:r w:rsidRPr="00CC52A1">
              <w:t>DOR, %</w:t>
            </w:r>
            <w:r w:rsidR="001950DB">
              <w:t xml:space="preserve"> </w:t>
            </w:r>
            <w:r w:rsidRPr="00CC52A1">
              <w:t>(95% CI)</w:t>
            </w:r>
            <w:r w:rsidRPr="00CC52A1">
              <w:br/>
              <w:t xml:space="preserve">12-month estimate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DA" w14:textId="77777777" w:rsidR="0038739E" w:rsidRPr="00CC52A1" w:rsidRDefault="0038739E" w:rsidP="004F7818">
            <w:pPr>
              <w:spacing w:after="0"/>
              <w:jc w:val="center"/>
              <w:rPr>
                <w:rFonts w:cs="Arial"/>
                <w:lang w:val="en-US"/>
              </w:rPr>
            </w:pPr>
            <w:r w:rsidRPr="00CC52A1">
              <w:rPr>
                <w:rFonts w:cs="Arial"/>
                <w:lang w:val="en-US"/>
              </w:rPr>
              <w:t>84.7 (74.5, 91.0)</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DB" w14:textId="77777777" w:rsidR="0038739E" w:rsidRPr="00CC52A1" w:rsidRDefault="0038739E" w:rsidP="004F7818">
            <w:pPr>
              <w:spacing w:after="0"/>
              <w:jc w:val="center"/>
              <w:rPr>
                <w:rFonts w:cs="Arial"/>
                <w:lang w:val="en-US"/>
              </w:rPr>
            </w:pPr>
            <w:r w:rsidRPr="00CC52A1">
              <w:rPr>
                <w:rFonts w:cs="Arial"/>
                <w:lang w:val="en-US"/>
              </w:rPr>
              <w:t>89.1 (79.2, 94.4)</w:t>
            </w:r>
          </w:p>
        </w:tc>
      </w:tr>
      <w:tr w:rsidR="0038739E" w:rsidRPr="00CC52A1" w14:paraId="6A4765DF" w14:textId="77777777" w:rsidTr="0038739E">
        <w:tc>
          <w:tcPr>
            <w:tcW w:w="700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DD" w14:textId="77777777" w:rsidR="0038739E" w:rsidRPr="00CC52A1" w:rsidRDefault="0038739E" w:rsidP="004F7818">
            <w:pPr>
              <w:pStyle w:val="Tabletext"/>
              <w:rPr>
                <w:sz w:val="20"/>
              </w:rPr>
            </w:pPr>
            <w:proofErr w:type="spellStart"/>
            <w:proofErr w:type="gramStart"/>
            <w:r w:rsidRPr="00CC52A1">
              <w:rPr>
                <w:sz w:val="20"/>
                <w:vertAlign w:val="superscript"/>
              </w:rPr>
              <w:t>a</w:t>
            </w:r>
            <w:r w:rsidRPr="00CC52A1">
              <w:rPr>
                <w:sz w:val="20"/>
              </w:rPr>
              <w:t>One</w:t>
            </w:r>
            <w:proofErr w:type="spellEnd"/>
            <w:proofErr w:type="gramEnd"/>
            <w:r w:rsidRPr="00CC52A1">
              <w:rPr>
                <w:sz w:val="20"/>
              </w:rPr>
              <w:t xml:space="preserve"> patient did not </w:t>
            </w:r>
            <w:proofErr w:type="spellStart"/>
            <w:r w:rsidRPr="00CC52A1">
              <w:rPr>
                <w:sz w:val="20"/>
              </w:rPr>
              <w:t>harbour</w:t>
            </w:r>
            <w:proofErr w:type="spellEnd"/>
            <w:r w:rsidRPr="00CC52A1">
              <w:rPr>
                <w:sz w:val="20"/>
              </w:rPr>
              <w:t xml:space="preserve"> the 17p deletion.</w:t>
            </w:r>
          </w:p>
          <w:p w14:paraId="6A4765DE" w14:textId="3A2A7CA8" w:rsidR="0038739E" w:rsidRPr="00CC52A1" w:rsidRDefault="0038739E" w:rsidP="004F7818">
            <w:pPr>
              <w:pStyle w:val="Tabletext"/>
              <w:rPr>
                <w:sz w:val="20"/>
              </w:rPr>
            </w:pPr>
            <w:r w:rsidRPr="00CC52A1">
              <w:rPr>
                <w:sz w:val="20"/>
              </w:rPr>
              <w:t xml:space="preserve">CI = confidence interval; CR = complete remission; </w:t>
            </w:r>
            <w:proofErr w:type="spellStart"/>
            <w:r w:rsidRPr="00CC52A1">
              <w:rPr>
                <w:sz w:val="20"/>
              </w:rPr>
              <w:t>CRi</w:t>
            </w:r>
            <w:proofErr w:type="spellEnd"/>
            <w:r w:rsidRPr="00CC52A1">
              <w:rPr>
                <w:sz w:val="20"/>
              </w:rPr>
              <w:t xml:space="preserve"> = complete remission with incomplete marrow recovery; DOR = duration of response; IRC = independent review committee; </w:t>
            </w:r>
            <w:proofErr w:type="spellStart"/>
            <w:r w:rsidRPr="00CC52A1">
              <w:rPr>
                <w:sz w:val="20"/>
              </w:rPr>
              <w:t>nPR</w:t>
            </w:r>
            <w:proofErr w:type="spellEnd"/>
            <w:r w:rsidRPr="00CC52A1">
              <w:rPr>
                <w:sz w:val="20"/>
              </w:rPr>
              <w:t xml:space="preserve"> = nodular partial remission; ORR = overall response rate (CR + </w:t>
            </w:r>
            <w:proofErr w:type="spellStart"/>
            <w:r w:rsidRPr="00CC52A1">
              <w:rPr>
                <w:sz w:val="20"/>
              </w:rPr>
              <w:t>CRi</w:t>
            </w:r>
            <w:proofErr w:type="spellEnd"/>
            <w:r w:rsidRPr="00CC52A1">
              <w:rPr>
                <w:sz w:val="20"/>
              </w:rPr>
              <w:t xml:space="preserve"> + </w:t>
            </w:r>
            <w:proofErr w:type="spellStart"/>
            <w:r w:rsidRPr="00CC52A1">
              <w:rPr>
                <w:sz w:val="20"/>
              </w:rPr>
              <w:t>nPR</w:t>
            </w:r>
            <w:proofErr w:type="spellEnd"/>
            <w:r w:rsidR="004F7818">
              <w:rPr>
                <w:sz w:val="20"/>
              </w:rPr>
              <w:t xml:space="preserve"> + PR); PR = partial remission.</w:t>
            </w:r>
          </w:p>
        </w:tc>
      </w:tr>
    </w:tbl>
    <w:p w14:paraId="6A4765E1" w14:textId="5FE324D4" w:rsidR="0038739E" w:rsidRPr="00CC52A1" w:rsidRDefault="0038739E" w:rsidP="001950DB">
      <w:r w:rsidRPr="00CC52A1">
        <w:t>Median duration of response (DOR) or median progression-free survival (PFS) has not been reached with approximately 12 months median follow-up</w:t>
      </w:r>
      <w:r w:rsidR="00E95F00">
        <w:t>.</w:t>
      </w:r>
    </w:p>
    <w:p w14:paraId="6A4765E2" w14:textId="2E25DFFC" w:rsidR="00AD4B4F" w:rsidRPr="00CC52A1" w:rsidRDefault="0038739E" w:rsidP="001950DB">
      <w:r w:rsidRPr="00CC52A1">
        <w:t>Minimal residual disease (MRD) was evaluated using flow cytometry in 45 of 107 patients who achieved complete remission (CR), complete remission with incomplete marrow recovery (</w:t>
      </w:r>
      <w:proofErr w:type="spellStart"/>
      <w:r w:rsidRPr="00CC52A1">
        <w:t>CRi</w:t>
      </w:r>
      <w:proofErr w:type="spellEnd"/>
      <w:r w:rsidRPr="00CC52A1">
        <w:t xml:space="preserve">), or partial remission (PR) with limited remaining disease with VENCLEXTA </w:t>
      </w:r>
      <w:proofErr w:type="gramStart"/>
      <w:r w:rsidRPr="00CC52A1">
        <w:t>treatment</w:t>
      </w:r>
      <w:proofErr w:type="gramEnd"/>
      <w:r w:rsidRPr="00CC52A1">
        <w:t>. The cut-off for a negative status was one CLL cell per 10</w:t>
      </w:r>
      <w:r w:rsidRPr="00CC52A1">
        <w:rPr>
          <w:vertAlign w:val="superscript"/>
        </w:rPr>
        <w:t>4</w:t>
      </w:r>
      <w:r w:rsidRPr="00CC52A1">
        <w:t xml:space="preserve"> leukocytes in the sample (i.e., an MRD value of &lt;10</w:t>
      </w:r>
      <w:r w:rsidRPr="00CC52A1">
        <w:rPr>
          <w:vertAlign w:val="superscript"/>
        </w:rPr>
        <w:t>-4</w:t>
      </w:r>
      <w:r w:rsidRPr="00CC52A1">
        <w:t xml:space="preserve"> was considered MRD negative). </w:t>
      </w:r>
      <w:r w:rsidR="00697790">
        <w:t>Seventeen percent</w:t>
      </w:r>
      <w:r w:rsidRPr="00CC52A1">
        <w:t xml:space="preserve"> (18/107) of patients were MRD negative in the peripheral blood, including </w:t>
      </w:r>
      <w:r w:rsidR="00286563">
        <w:t>six</w:t>
      </w:r>
      <w:r w:rsidR="00286563" w:rsidRPr="00CC52A1">
        <w:t xml:space="preserve"> </w:t>
      </w:r>
      <w:r w:rsidRPr="00CC52A1">
        <w:t>patients who were also MRD negative in the bone marrow.</w:t>
      </w:r>
    </w:p>
    <w:p w14:paraId="6A4765E3" w14:textId="77777777" w:rsidR="0038739E" w:rsidRPr="001950DB" w:rsidRDefault="0038739E" w:rsidP="001950DB">
      <w:pPr>
        <w:pStyle w:val="Heading2"/>
        <w:rPr>
          <w:b w:val="0"/>
          <w:u w:val="single"/>
        </w:rPr>
      </w:pPr>
      <w:r w:rsidRPr="001950DB">
        <w:rPr>
          <w:b w:val="0"/>
          <w:u w:val="single"/>
          <w:lang w:val="en-US"/>
        </w:rPr>
        <w:t>Study M12-175</w:t>
      </w:r>
    </w:p>
    <w:p w14:paraId="6A4765E4" w14:textId="5CF85E53" w:rsidR="0038739E" w:rsidRPr="00CC52A1" w:rsidRDefault="0038739E" w:rsidP="001950DB">
      <w:r w:rsidRPr="00CC52A1">
        <w:t>Study M12-175 was a multicentre, open-label trial that enrolled previously treated patients</w:t>
      </w:r>
      <w:r w:rsidR="00E95F00">
        <w:t xml:space="preserve"> with CLL</w:t>
      </w:r>
      <w:r w:rsidRPr="00CC52A1">
        <w:t>, including those with 17p del. Efficacy was evaluated in 57 patients who had received a daily dose of 400 mg of VENCLEXTA following a dose titration schedule. Patients continued to receive 400 mg of VENCLEXTA monotherapy orally once daily until disease progression or unacceptable toxicity. The median time on treatment at the time of evaluation was 11.5 months (range: 0.5</w:t>
      </w:r>
      <w:r w:rsidR="00E95F00">
        <w:t xml:space="preserve"> </w:t>
      </w:r>
      <w:r w:rsidRPr="00CC52A1">
        <w:t>-</w:t>
      </w:r>
      <w:r w:rsidR="00E95F00">
        <w:t xml:space="preserve"> </w:t>
      </w:r>
      <w:r w:rsidRPr="00CC52A1">
        <w:t>34.1 months). Table 3 summarises the baseline demographic and disease characteristics of the study population.</w:t>
      </w:r>
    </w:p>
    <w:p w14:paraId="6A4765E8" w14:textId="07AF94CB" w:rsidR="0038739E" w:rsidRPr="00CC52A1" w:rsidRDefault="00202F95" w:rsidP="00202F95">
      <w:pPr>
        <w:pStyle w:val="Caption"/>
        <w:rPr>
          <w:lang w:val="en-US"/>
        </w:rPr>
      </w:pPr>
      <w:proofErr w:type="gramStart"/>
      <w:r>
        <w:t xml:space="preserve">Table </w:t>
      </w:r>
      <w:proofErr w:type="gramEnd"/>
      <w:r>
        <w:fldChar w:fldCharType="begin"/>
      </w:r>
      <w:r>
        <w:instrText xml:space="preserve"> SEQ Table \* ARABIC </w:instrText>
      </w:r>
      <w:r>
        <w:fldChar w:fldCharType="separate"/>
      </w:r>
      <w:r>
        <w:rPr>
          <w:noProof/>
        </w:rPr>
        <w:t>3</w:t>
      </w:r>
      <w:r>
        <w:fldChar w:fldCharType="end"/>
      </w:r>
      <w:proofErr w:type="gramStart"/>
      <w:r w:rsidR="0038739E" w:rsidRPr="00CC52A1">
        <w:rPr>
          <w:lang w:val="en-US"/>
        </w:rPr>
        <w:t>.</w:t>
      </w:r>
      <w:proofErr w:type="gramEnd"/>
      <w:r w:rsidR="0038739E" w:rsidRPr="00CC52A1">
        <w:rPr>
          <w:lang w:val="en-US"/>
        </w:rPr>
        <w:t xml:space="preserve"> Baseline Patient Characteristics of Evaluable Patients in Study M12-175</w:t>
      </w:r>
    </w:p>
    <w:tbl>
      <w:tblPr>
        <w:tblW w:w="425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252"/>
        <w:gridCol w:w="2587"/>
      </w:tblGrid>
      <w:tr w:rsidR="0038739E" w:rsidRPr="00CC52A1" w14:paraId="6A4765EB" w14:textId="77777777" w:rsidTr="0038739E">
        <w:trPr>
          <w:tblHead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E9" w14:textId="77777777" w:rsidR="0038739E" w:rsidRPr="00CC52A1" w:rsidRDefault="0038739E" w:rsidP="00DB386C">
            <w:pPr>
              <w:spacing w:after="0"/>
              <w:jc w:val="center"/>
              <w:rPr>
                <w:rFonts w:cs="Arial"/>
                <w:lang w:val="en-US"/>
              </w:rPr>
            </w:pPr>
            <w:r w:rsidRPr="00CC52A1">
              <w:rPr>
                <w:rFonts w:cs="Arial"/>
                <w:b/>
                <w:lang w:val="en-US"/>
              </w:rPr>
              <w:t>Characteristics</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EA" w14:textId="77777777" w:rsidR="0038739E" w:rsidRPr="00CC52A1" w:rsidRDefault="0038739E" w:rsidP="00DB386C">
            <w:pPr>
              <w:spacing w:after="0"/>
              <w:jc w:val="center"/>
              <w:rPr>
                <w:rFonts w:cs="Arial"/>
                <w:lang w:val="en-US"/>
              </w:rPr>
            </w:pPr>
            <w:r w:rsidRPr="00CC52A1">
              <w:rPr>
                <w:rFonts w:cs="Arial"/>
                <w:b/>
                <w:lang w:val="en-US"/>
              </w:rPr>
              <w:t>N=57</w:t>
            </w:r>
          </w:p>
        </w:tc>
      </w:tr>
      <w:tr w:rsidR="0038739E" w:rsidRPr="00CC52A1" w14:paraId="6A4765EE" w14:textId="77777777" w:rsidTr="0038739E">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EC" w14:textId="77777777" w:rsidR="0038739E" w:rsidRPr="00CC52A1" w:rsidRDefault="0038739E" w:rsidP="00202F95">
            <w:pPr>
              <w:pStyle w:val="Tabletext"/>
            </w:pPr>
            <w:r w:rsidRPr="00CC52A1">
              <w:t>Age, years;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ED" w14:textId="77777777" w:rsidR="0038739E" w:rsidRPr="00CC52A1" w:rsidRDefault="0038739E" w:rsidP="00202F95">
            <w:pPr>
              <w:pStyle w:val="Tabletext"/>
              <w:jc w:val="center"/>
            </w:pPr>
            <w:r w:rsidRPr="00CC52A1">
              <w:t>66 (42 to 84)</w:t>
            </w:r>
          </w:p>
        </w:tc>
      </w:tr>
      <w:tr w:rsidR="0038739E" w:rsidRPr="00CC52A1" w14:paraId="6A4765F1" w14:textId="77777777" w:rsidTr="0038739E">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EF" w14:textId="77777777" w:rsidR="0038739E" w:rsidRPr="00CC52A1" w:rsidRDefault="0038739E" w:rsidP="00202F95">
            <w:pPr>
              <w:pStyle w:val="Tabletext"/>
            </w:pPr>
            <w:r w:rsidRPr="00CC52A1">
              <w:t>White;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F0" w14:textId="77777777" w:rsidR="0038739E" w:rsidRPr="00CC52A1" w:rsidRDefault="0038739E" w:rsidP="00202F95">
            <w:pPr>
              <w:pStyle w:val="Tabletext"/>
              <w:jc w:val="center"/>
            </w:pPr>
            <w:r w:rsidRPr="00CC52A1">
              <w:t>91.2</w:t>
            </w:r>
          </w:p>
        </w:tc>
      </w:tr>
      <w:tr w:rsidR="0038739E" w:rsidRPr="00CC52A1" w14:paraId="6A4765F4" w14:textId="77777777" w:rsidTr="0038739E">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F2" w14:textId="77777777" w:rsidR="0038739E" w:rsidRPr="00CC52A1" w:rsidRDefault="0038739E" w:rsidP="00202F95">
            <w:pPr>
              <w:pStyle w:val="Tabletext"/>
            </w:pPr>
            <w:r w:rsidRPr="00CC52A1">
              <w:t>Male;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F3" w14:textId="77777777" w:rsidR="0038739E" w:rsidRPr="00CC52A1" w:rsidRDefault="0038739E" w:rsidP="00202F95">
            <w:pPr>
              <w:pStyle w:val="Tabletext"/>
              <w:jc w:val="center"/>
            </w:pPr>
            <w:r w:rsidRPr="00CC52A1">
              <w:t>75.4</w:t>
            </w:r>
          </w:p>
        </w:tc>
      </w:tr>
      <w:tr w:rsidR="0038739E" w:rsidRPr="00CC52A1" w14:paraId="6A4765F8" w14:textId="77777777" w:rsidTr="0038739E">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F5" w14:textId="38DE1E8C" w:rsidR="0038739E" w:rsidRPr="00CC52A1" w:rsidRDefault="0038739E" w:rsidP="00202F95">
            <w:pPr>
              <w:pStyle w:val="Tabletext"/>
              <w:ind w:left="142" w:hanging="85"/>
            </w:pPr>
            <w:r w:rsidRPr="00CC52A1">
              <w:lastRenderedPageBreak/>
              <w:t xml:space="preserve">ECOG performance </w:t>
            </w:r>
            <w:proofErr w:type="spellStart"/>
            <w:r w:rsidRPr="00CC52A1">
              <w:t>status</w:t>
            </w:r>
            <w:r w:rsidRPr="00CC52A1">
              <w:rPr>
                <w:vertAlign w:val="superscript"/>
              </w:rPr>
              <w:t>a</w:t>
            </w:r>
            <w:proofErr w:type="spellEnd"/>
            <w:r w:rsidRPr="00CC52A1">
              <w:t>; %</w:t>
            </w:r>
            <w:r w:rsidRPr="00CC52A1">
              <w:br/>
              <w:t>0</w:t>
            </w:r>
            <w:r w:rsidRPr="00CC52A1">
              <w:br/>
              <w:t>1</w:t>
            </w:r>
            <w:r w:rsidRPr="00CC52A1">
              <w:br/>
            </w:r>
            <w:r w:rsidR="001950DB">
              <w:t>2</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4765F7" w14:textId="77777777" w:rsidR="0038739E" w:rsidRPr="00CC52A1" w:rsidRDefault="0038739E" w:rsidP="00202F95">
            <w:pPr>
              <w:pStyle w:val="Tabletext"/>
              <w:jc w:val="center"/>
            </w:pPr>
            <w:r w:rsidRPr="00CC52A1">
              <w:t>45.5</w:t>
            </w:r>
            <w:r w:rsidRPr="00CC52A1">
              <w:br/>
              <w:t>52.7</w:t>
            </w:r>
            <w:r w:rsidRPr="00CC52A1">
              <w:br/>
              <w:t>1.8</w:t>
            </w:r>
          </w:p>
        </w:tc>
      </w:tr>
      <w:tr w:rsidR="0038739E" w:rsidRPr="00CC52A1" w14:paraId="6A4765FC" w14:textId="77777777" w:rsidTr="0038739E">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F9" w14:textId="2C6AECE7" w:rsidR="0038739E" w:rsidRPr="00CC52A1" w:rsidRDefault="0038739E" w:rsidP="00202F95">
            <w:pPr>
              <w:pStyle w:val="Tabletext"/>
            </w:pPr>
            <w:proofErr w:type="spellStart"/>
            <w:r w:rsidRPr="00CC52A1">
              <w:t>Tumour</w:t>
            </w:r>
            <w:proofErr w:type="spellEnd"/>
            <w:r w:rsidRPr="00CC52A1">
              <w:t xml:space="preserve"> burden; %</w:t>
            </w:r>
            <w:r w:rsidRPr="00CC52A1">
              <w:br/>
              <w:t>Absolute lymphocyte count ≥25 x 10</w:t>
            </w:r>
            <w:r w:rsidRPr="00CC52A1">
              <w:rPr>
                <w:vertAlign w:val="superscript"/>
              </w:rPr>
              <w:t>9</w:t>
            </w:r>
            <w:r w:rsidRPr="00CC52A1">
              <w:t>/L</w:t>
            </w:r>
            <w:r w:rsidRPr="00CC52A1">
              <w:br/>
              <w:t xml:space="preserve">One or more nodes ≥5 cm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4765FB" w14:textId="77777777" w:rsidR="0038739E" w:rsidRPr="00CC52A1" w:rsidRDefault="0038739E" w:rsidP="00202F95">
            <w:pPr>
              <w:pStyle w:val="Tabletext"/>
              <w:jc w:val="center"/>
            </w:pPr>
            <w:r w:rsidRPr="00CC52A1">
              <w:t>35.1</w:t>
            </w:r>
            <w:r w:rsidRPr="00CC52A1">
              <w:br/>
              <w:t>66.7</w:t>
            </w:r>
          </w:p>
        </w:tc>
      </w:tr>
      <w:tr w:rsidR="0038739E" w:rsidRPr="00CC52A1" w14:paraId="6A4765FF" w14:textId="77777777" w:rsidTr="0038739E">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FD" w14:textId="77777777" w:rsidR="0038739E" w:rsidRPr="00CC52A1" w:rsidRDefault="0038739E" w:rsidP="00202F95">
            <w:pPr>
              <w:pStyle w:val="Tabletext"/>
            </w:pPr>
            <w:r w:rsidRPr="00CC52A1">
              <w:t>Number of prior therapies;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5FE" w14:textId="77777777" w:rsidR="0038739E" w:rsidRPr="00CC52A1" w:rsidRDefault="0038739E" w:rsidP="00202F95">
            <w:pPr>
              <w:pStyle w:val="Tabletext"/>
              <w:jc w:val="center"/>
            </w:pPr>
            <w:r w:rsidRPr="00CC52A1">
              <w:t>3 (1-11)</w:t>
            </w:r>
          </w:p>
        </w:tc>
      </w:tr>
      <w:tr w:rsidR="0038739E" w:rsidRPr="00CC52A1" w14:paraId="6A476602" w14:textId="77777777" w:rsidTr="0038739E">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00" w14:textId="77777777" w:rsidR="0038739E" w:rsidRPr="00CC52A1" w:rsidRDefault="0038739E" w:rsidP="00202F95">
            <w:pPr>
              <w:pStyle w:val="Tabletext"/>
            </w:pPr>
            <w:r w:rsidRPr="00CC52A1">
              <w:t>Time since diagnosis, months;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01" w14:textId="77777777" w:rsidR="0038739E" w:rsidRPr="00CC52A1" w:rsidRDefault="0038739E" w:rsidP="00202F95">
            <w:pPr>
              <w:pStyle w:val="Tabletext"/>
              <w:jc w:val="center"/>
            </w:pPr>
            <w:r w:rsidRPr="00CC52A1">
              <w:t>108 (13.7-327.6)</w:t>
            </w:r>
          </w:p>
        </w:tc>
      </w:tr>
      <w:tr w:rsidR="0038739E" w:rsidRPr="00CC52A1" w14:paraId="6A476604" w14:textId="77777777" w:rsidTr="0038739E">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03" w14:textId="454DB699" w:rsidR="0038739E" w:rsidRPr="00CC52A1" w:rsidRDefault="0038739E" w:rsidP="00202F95">
            <w:pPr>
              <w:pStyle w:val="Tabletext"/>
              <w:rPr>
                <w:sz w:val="20"/>
              </w:rPr>
            </w:pPr>
            <w:proofErr w:type="spellStart"/>
            <w:proofErr w:type="gramStart"/>
            <w:r w:rsidRPr="00CC52A1">
              <w:rPr>
                <w:sz w:val="20"/>
                <w:vertAlign w:val="superscript"/>
              </w:rPr>
              <w:t>a</w:t>
            </w:r>
            <w:r w:rsidR="004F7818">
              <w:rPr>
                <w:sz w:val="20"/>
              </w:rPr>
              <w:t>Missing</w:t>
            </w:r>
            <w:proofErr w:type="spellEnd"/>
            <w:proofErr w:type="gramEnd"/>
            <w:r w:rsidR="004F7818">
              <w:rPr>
                <w:sz w:val="20"/>
              </w:rPr>
              <w:t xml:space="preserve"> for two patients.</w:t>
            </w:r>
          </w:p>
        </w:tc>
      </w:tr>
    </w:tbl>
    <w:p w14:paraId="6A476606" w14:textId="19B68F12" w:rsidR="0038739E" w:rsidRPr="00CC52A1" w:rsidRDefault="0038739E" w:rsidP="00E91B5E">
      <w:r w:rsidRPr="00CC52A1">
        <w:t xml:space="preserve">Among the patients, 75.4% were </w:t>
      </w:r>
      <w:proofErr w:type="spellStart"/>
      <w:r w:rsidRPr="00CC52A1">
        <w:t>fludarabine</w:t>
      </w:r>
      <w:proofErr w:type="spellEnd"/>
      <w:r w:rsidRPr="00CC52A1">
        <w:t xml:space="preserve"> refractory, 65.6% (21/32) had </w:t>
      </w:r>
      <w:proofErr w:type="spellStart"/>
      <w:r w:rsidRPr="00CC52A1">
        <w:t>unmutated</w:t>
      </w:r>
      <w:proofErr w:type="spellEnd"/>
      <w:r w:rsidRPr="00CC52A1">
        <w:t xml:space="preserve"> </w:t>
      </w:r>
      <w:r w:rsidRPr="00A436AF">
        <w:rPr>
          <w:i/>
        </w:rPr>
        <w:t>IGHV</w:t>
      </w:r>
      <w:r w:rsidRPr="00CC52A1">
        <w:t xml:space="preserve">, 30.4% (17/56) had 11q deletion, and 21.4% (12/56) had 17p </w:t>
      </w:r>
      <w:proofErr w:type="gramStart"/>
      <w:r w:rsidRPr="00CC52A1">
        <w:t>del</w:t>
      </w:r>
      <w:proofErr w:type="gramEnd"/>
      <w:r w:rsidRPr="00CC52A1">
        <w:t>.</w:t>
      </w:r>
    </w:p>
    <w:p w14:paraId="6A476607" w14:textId="424D43CB" w:rsidR="0038739E" w:rsidRPr="00CC52A1" w:rsidRDefault="0038739E" w:rsidP="00DB386C">
      <w:pPr>
        <w:jc w:val="both"/>
        <w:rPr>
          <w:rFonts w:cs="Arial"/>
        </w:rPr>
      </w:pPr>
      <w:r w:rsidRPr="00CC52A1">
        <w:rPr>
          <w:rFonts w:cs="Arial"/>
        </w:rPr>
        <w:t xml:space="preserve">Overall response rate (ORR) and duration of response (DOR) were evaluated by both investigators and an IRC according to the IWCLL NCI-WG criteria. Efficacy results are shown in </w:t>
      </w:r>
      <w:r w:rsidR="00E91B5E">
        <w:rPr>
          <w:rFonts w:cs="Arial"/>
        </w:rPr>
        <w:fldChar w:fldCharType="begin"/>
      </w:r>
      <w:r w:rsidR="00E91B5E">
        <w:rPr>
          <w:rFonts w:cs="Arial"/>
        </w:rPr>
        <w:instrText xml:space="preserve"> REF _Ref499026812 \h </w:instrText>
      </w:r>
      <w:r w:rsidR="00E91B5E">
        <w:rPr>
          <w:rFonts w:cs="Arial"/>
        </w:rPr>
      </w:r>
      <w:r w:rsidR="00E91B5E">
        <w:rPr>
          <w:rFonts w:cs="Arial"/>
        </w:rPr>
        <w:fldChar w:fldCharType="separate"/>
      </w:r>
      <w:r w:rsidR="00E91B5E">
        <w:t xml:space="preserve">Table </w:t>
      </w:r>
      <w:r w:rsidR="00E91B5E">
        <w:rPr>
          <w:noProof/>
        </w:rPr>
        <w:t>4</w:t>
      </w:r>
      <w:r w:rsidR="00E91B5E">
        <w:rPr>
          <w:rFonts w:cs="Arial"/>
        </w:rPr>
        <w:fldChar w:fldCharType="end"/>
      </w:r>
      <w:r w:rsidRPr="00CC52A1">
        <w:rPr>
          <w:rFonts w:cs="Arial"/>
        </w:rPr>
        <w:t>:</w:t>
      </w:r>
    </w:p>
    <w:p w14:paraId="6A476608" w14:textId="5EAA55D4" w:rsidR="0038739E" w:rsidRPr="00CC52A1" w:rsidRDefault="00202F95" w:rsidP="00202F95">
      <w:pPr>
        <w:pStyle w:val="Caption"/>
        <w:rPr>
          <w:lang w:val="en-US"/>
        </w:rPr>
      </w:pPr>
      <w:bookmarkStart w:id="8" w:name="_Ref499026812"/>
      <w:proofErr w:type="gramStart"/>
      <w:r>
        <w:t xml:space="preserve">Table </w:t>
      </w:r>
      <w:r>
        <w:fldChar w:fldCharType="begin"/>
      </w:r>
      <w:r>
        <w:instrText xml:space="preserve"> SEQ Table \* ARABIC </w:instrText>
      </w:r>
      <w:r>
        <w:fldChar w:fldCharType="separate"/>
      </w:r>
      <w:r>
        <w:rPr>
          <w:noProof/>
        </w:rPr>
        <w:t>4</w:t>
      </w:r>
      <w:r>
        <w:fldChar w:fldCharType="end"/>
      </w:r>
      <w:bookmarkEnd w:id="8"/>
      <w:r w:rsidR="0038739E" w:rsidRPr="00CC52A1">
        <w:rPr>
          <w:lang w:val="en-US"/>
        </w:rPr>
        <w:t>.</w:t>
      </w:r>
      <w:proofErr w:type="gramEnd"/>
      <w:r w:rsidR="0038739E" w:rsidRPr="00CC52A1">
        <w:rPr>
          <w:lang w:val="en-US"/>
        </w:rPr>
        <w:t xml:space="preserve"> Efficacy Results in Study M12-175</w:t>
      </w:r>
    </w:p>
    <w:tbl>
      <w:tblPr>
        <w:tblW w:w="4250" w:type="pct"/>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Description w:val="Table 4. Efficacy Results in Study M12-175"/>
      </w:tblPr>
      <w:tblGrid>
        <w:gridCol w:w="2246"/>
        <w:gridCol w:w="2428"/>
        <w:gridCol w:w="3165"/>
      </w:tblGrid>
      <w:tr w:rsidR="0038739E" w:rsidRPr="00CC52A1" w14:paraId="6A47660C" w14:textId="77777777" w:rsidTr="0038739E">
        <w:trPr>
          <w:tblHead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09" w14:textId="0EA77822" w:rsidR="0038739E" w:rsidRPr="00CC52A1" w:rsidRDefault="0038739E" w:rsidP="00DB386C">
            <w:pPr>
              <w:spacing w:after="0"/>
              <w:jc w:val="both"/>
              <w:rPr>
                <w:rFonts w:cs="Arial"/>
                <w:lang w:val="en-US"/>
              </w:rPr>
            </w:pP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0A" w14:textId="77777777" w:rsidR="0038739E" w:rsidRPr="00CC52A1" w:rsidRDefault="0038739E" w:rsidP="00DB386C">
            <w:pPr>
              <w:spacing w:after="0"/>
              <w:jc w:val="center"/>
              <w:rPr>
                <w:rFonts w:cs="Arial"/>
                <w:lang w:val="en-US"/>
              </w:rPr>
            </w:pPr>
            <w:r w:rsidRPr="00CC52A1">
              <w:rPr>
                <w:rFonts w:cs="Arial"/>
                <w:b/>
                <w:lang w:val="en-US"/>
              </w:rPr>
              <w:t>IRC Assessment</w:t>
            </w:r>
            <w:r w:rsidRPr="00CC52A1">
              <w:rPr>
                <w:rFonts w:cs="Arial"/>
                <w:b/>
                <w:lang w:val="en-US"/>
              </w:rPr>
              <w:br/>
              <w:t>N=57</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0B" w14:textId="77777777" w:rsidR="0038739E" w:rsidRPr="00CC52A1" w:rsidRDefault="0038739E" w:rsidP="00DB386C">
            <w:pPr>
              <w:spacing w:after="0"/>
              <w:jc w:val="center"/>
              <w:rPr>
                <w:rFonts w:cs="Arial"/>
                <w:lang w:val="en-US"/>
              </w:rPr>
            </w:pPr>
            <w:r w:rsidRPr="00CC52A1">
              <w:rPr>
                <w:rFonts w:cs="Arial"/>
                <w:b/>
                <w:lang w:val="en-US"/>
              </w:rPr>
              <w:t>Investigator Assessment</w:t>
            </w:r>
            <w:r w:rsidRPr="00CC52A1">
              <w:rPr>
                <w:rFonts w:cs="Arial"/>
                <w:b/>
                <w:lang w:val="en-US"/>
              </w:rPr>
              <w:br/>
              <w:t>N=57</w:t>
            </w:r>
          </w:p>
        </w:tc>
      </w:tr>
      <w:tr w:rsidR="0038739E" w:rsidRPr="00CC52A1" w14:paraId="6A476610" w14:textId="77777777" w:rsidTr="0038739E">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0D" w14:textId="1D0F3136" w:rsidR="0038739E" w:rsidRPr="00CC52A1" w:rsidRDefault="0038739E" w:rsidP="00202F95">
            <w:pPr>
              <w:pStyle w:val="Tabletext"/>
            </w:pPr>
            <w:r w:rsidRPr="00CC52A1">
              <w:t>ORR, %</w:t>
            </w:r>
            <w:r w:rsidRPr="00CC52A1">
              <w:br/>
              <w:t xml:space="preserve">(95% CI)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0E" w14:textId="77777777" w:rsidR="0038739E" w:rsidRPr="00CC52A1" w:rsidRDefault="0038739E" w:rsidP="00202F95">
            <w:pPr>
              <w:pStyle w:val="Tabletext"/>
              <w:jc w:val="center"/>
            </w:pPr>
            <w:r w:rsidRPr="00CC52A1">
              <w:t>73.7</w:t>
            </w:r>
            <w:r w:rsidRPr="00CC52A1">
              <w:br/>
              <w:t>(60.3, 84.5)</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0F" w14:textId="77777777" w:rsidR="0038739E" w:rsidRPr="00CC52A1" w:rsidRDefault="0038739E" w:rsidP="00202F95">
            <w:pPr>
              <w:pStyle w:val="Tabletext"/>
              <w:jc w:val="center"/>
            </w:pPr>
            <w:r w:rsidRPr="00CC52A1">
              <w:t>80.7</w:t>
            </w:r>
            <w:r w:rsidRPr="00CC52A1">
              <w:br/>
              <w:t>(68.1, 90.0)</w:t>
            </w:r>
          </w:p>
        </w:tc>
      </w:tr>
      <w:tr w:rsidR="0038739E" w:rsidRPr="00CC52A1" w14:paraId="6A476614" w14:textId="77777777" w:rsidTr="0038739E">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1" w14:textId="6ADFAF8B" w:rsidR="0038739E" w:rsidRPr="00CC52A1" w:rsidRDefault="0038739E" w:rsidP="00202F95">
            <w:pPr>
              <w:pStyle w:val="Tabletext"/>
            </w:pPr>
            <w:r w:rsidRPr="00CC52A1">
              <w:t xml:space="preserve">CR + </w:t>
            </w:r>
            <w:proofErr w:type="spellStart"/>
            <w:r w:rsidRPr="00CC52A1">
              <w:t>CRi</w:t>
            </w:r>
            <w:proofErr w:type="spellEnd"/>
            <w:r w:rsidRPr="00CC52A1">
              <w:t xml:space="preserv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2" w14:textId="77777777" w:rsidR="0038739E" w:rsidRPr="00CC52A1" w:rsidRDefault="0038739E" w:rsidP="00202F95">
            <w:pPr>
              <w:pStyle w:val="Tabletext"/>
              <w:jc w:val="center"/>
            </w:pPr>
            <w:r w:rsidRPr="00CC52A1">
              <w:t>7.0</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3" w14:textId="77777777" w:rsidR="0038739E" w:rsidRPr="00CC52A1" w:rsidRDefault="0038739E" w:rsidP="00202F95">
            <w:pPr>
              <w:pStyle w:val="Tabletext"/>
              <w:jc w:val="center"/>
            </w:pPr>
            <w:r w:rsidRPr="00CC52A1">
              <w:t>12.3</w:t>
            </w:r>
          </w:p>
        </w:tc>
      </w:tr>
      <w:tr w:rsidR="0038739E" w:rsidRPr="00CC52A1" w14:paraId="6A476618" w14:textId="77777777" w:rsidTr="0038739E">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5" w14:textId="225E59EA" w:rsidR="0038739E" w:rsidRPr="00CC52A1" w:rsidRDefault="0038739E" w:rsidP="00202F95">
            <w:pPr>
              <w:pStyle w:val="Tabletext"/>
            </w:pPr>
            <w:proofErr w:type="spellStart"/>
            <w:proofErr w:type="gramStart"/>
            <w:r w:rsidRPr="00CC52A1">
              <w:t>nPR</w:t>
            </w:r>
            <w:proofErr w:type="spellEnd"/>
            <w:proofErr w:type="gramEnd"/>
            <w:r w:rsidRPr="00CC52A1">
              <w:t xml:space="preserv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6" w14:textId="77777777" w:rsidR="0038739E" w:rsidRPr="00CC52A1" w:rsidRDefault="0038739E" w:rsidP="00202F95">
            <w:pPr>
              <w:pStyle w:val="Tabletext"/>
              <w:jc w:val="center"/>
            </w:pPr>
            <w:r w:rsidRPr="00CC52A1">
              <w:t>0</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7" w14:textId="77777777" w:rsidR="0038739E" w:rsidRPr="00CC52A1" w:rsidRDefault="0038739E" w:rsidP="00202F95">
            <w:pPr>
              <w:pStyle w:val="Tabletext"/>
              <w:jc w:val="center"/>
            </w:pPr>
            <w:r w:rsidRPr="00CC52A1">
              <w:t>3.5</w:t>
            </w:r>
          </w:p>
        </w:tc>
      </w:tr>
      <w:tr w:rsidR="0038739E" w:rsidRPr="00CC52A1" w14:paraId="6A47661C" w14:textId="77777777" w:rsidTr="0038739E">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9" w14:textId="18AC2793" w:rsidR="0038739E" w:rsidRPr="00CC52A1" w:rsidRDefault="0038739E" w:rsidP="00202F95">
            <w:pPr>
              <w:pStyle w:val="Tabletext"/>
            </w:pPr>
            <w:r w:rsidRPr="00CC52A1">
              <w:t>PR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A" w14:textId="77777777" w:rsidR="0038739E" w:rsidRPr="00CC52A1" w:rsidRDefault="0038739E" w:rsidP="00202F95">
            <w:pPr>
              <w:pStyle w:val="Tabletext"/>
              <w:jc w:val="center"/>
            </w:pPr>
            <w:r w:rsidRPr="00CC52A1">
              <w:t>66.7</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B" w14:textId="77777777" w:rsidR="0038739E" w:rsidRPr="00CC52A1" w:rsidRDefault="0038739E" w:rsidP="00202F95">
            <w:pPr>
              <w:pStyle w:val="Tabletext"/>
              <w:jc w:val="center"/>
            </w:pPr>
            <w:r w:rsidRPr="00CC52A1">
              <w:t>64.9</w:t>
            </w:r>
          </w:p>
        </w:tc>
      </w:tr>
      <w:tr w:rsidR="0038739E" w:rsidRPr="00CC52A1" w14:paraId="6A476620" w14:textId="77777777" w:rsidTr="0038739E">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D" w14:textId="61F6CF41" w:rsidR="0038739E" w:rsidRPr="00CC52A1" w:rsidRDefault="0038739E" w:rsidP="00202F95">
            <w:pPr>
              <w:pStyle w:val="Tabletext"/>
            </w:pPr>
            <w:r w:rsidRPr="00CC52A1">
              <w:t>DOR, % (</w:t>
            </w:r>
            <w:r w:rsidR="00DD62A5">
              <w:t>95% CI)</w:t>
            </w:r>
            <w:r w:rsidR="00DD62A5">
              <w:br/>
              <w:t>12-month estimate</w:t>
            </w:r>
            <w:r w:rsidR="001950DB">
              <w:t xml:space="preserve"> </w:t>
            </w:r>
            <w:r w:rsidR="00DD62A5">
              <w:t>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E" w14:textId="77777777" w:rsidR="0038739E" w:rsidRPr="00CC52A1" w:rsidRDefault="0038739E" w:rsidP="00202F95">
            <w:pPr>
              <w:pStyle w:val="Tabletext"/>
              <w:jc w:val="center"/>
            </w:pPr>
            <w:r w:rsidRPr="00CC52A1">
              <w:t>88.8 (67.5, 96.5)</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1F" w14:textId="77777777" w:rsidR="0038739E" w:rsidRPr="00CC52A1" w:rsidRDefault="0038739E" w:rsidP="00202F95">
            <w:pPr>
              <w:pStyle w:val="Tabletext"/>
              <w:jc w:val="center"/>
            </w:pPr>
            <w:r w:rsidRPr="00CC52A1">
              <w:t>96.6 (77.9, 99.5)</w:t>
            </w:r>
          </w:p>
        </w:tc>
      </w:tr>
      <w:tr w:rsidR="0038739E" w:rsidRPr="00CC52A1" w14:paraId="6A476622" w14:textId="77777777" w:rsidTr="0038739E">
        <w:tc>
          <w:tcPr>
            <w:tcW w:w="769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21" w14:textId="77777777" w:rsidR="0038739E" w:rsidRPr="00CC52A1" w:rsidRDefault="0038739E" w:rsidP="00202F95">
            <w:pPr>
              <w:pStyle w:val="Tabletext"/>
              <w:rPr>
                <w:sz w:val="20"/>
              </w:rPr>
            </w:pPr>
            <w:r w:rsidRPr="00CC52A1">
              <w:rPr>
                <w:sz w:val="20"/>
              </w:rPr>
              <w:t xml:space="preserve">CI = confidence interval; CR = complete remission; </w:t>
            </w:r>
            <w:proofErr w:type="spellStart"/>
            <w:r w:rsidRPr="00CC52A1">
              <w:rPr>
                <w:sz w:val="20"/>
              </w:rPr>
              <w:t>CRi</w:t>
            </w:r>
            <w:proofErr w:type="spellEnd"/>
            <w:r w:rsidRPr="00CC52A1">
              <w:rPr>
                <w:sz w:val="20"/>
              </w:rPr>
              <w:t xml:space="preserve"> = complete remission with incomplete marrow recovery; DOR = duration of response; IRC = independent review committee; </w:t>
            </w:r>
            <w:proofErr w:type="spellStart"/>
            <w:r w:rsidRPr="00CC52A1">
              <w:rPr>
                <w:sz w:val="20"/>
              </w:rPr>
              <w:t>nPR</w:t>
            </w:r>
            <w:proofErr w:type="spellEnd"/>
            <w:r w:rsidRPr="00CC52A1">
              <w:rPr>
                <w:sz w:val="20"/>
              </w:rPr>
              <w:t xml:space="preserve"> = nodular partial remission; ORR = overall </w:t>
            </w:r>
            <w:r w:rsidR="00DB386C">
              <w:rPr>
                <w:sz w:val="20"/>
              </w:rPr>
              <w:t>response</w:t>
            </w:r>
            <w:r w:rsidRPr="00CC52A1">
              <w:rPr>
                <w:sz w:val="20"/>
              </w:rPr>
              <w:t xml:space="preserve"> rate (CR + </w:t>
            </w:r>
            <w:proofErr w:type="spellStart"/>
            <w:r w:rsidRPr="00CC52A1">
              <w:rPr>
                <w:sz w:val="20"/>
              </w:rPr>
              <w:t>CRi</w:t>
            </w:r>
            <w:proofErr w:type="spellEnd"/>
            <w:r w:rsidRPr="00CC52A1">
              <w:rPr>
                <w:sz w:val="20"/>
              </w:rPr>
              <w:t xml:space="preserve"> + </w:t>
            </w:r>
            <w:proofErr w:type="spellStart"/>
            <w:r w:rsidRPr="00CC52A1">
              <w:rPr>
                <w:sz w:val="20"/>
              </w:rPr>
              <w:t>nPR</w:t>
            </w:r>
            <w:proofErr w:type="spellEnd"/>
            <w:r w:rsidRPr="00CC52A1">
              <w:rPr>
                <w:sz w:val="20"/>
              </w:rPr>
              <w:t xml:space="preserve"> + PR); PR = partial remission. </w:t>
            </w:r>
          </w:p>
        </w:tc>
      </w:tr>
    </w:tbl>
    <w:p w14:paraId="6A476624" w14:textId="77777777" w:rsidR="0038739E" w:rsidRPr="00DD62A5" w:rsidRDefault="00DD62A5" w:rsidP="001950DB">
      <w:pPr>
        <w:pStyle w:val="Heading1"/>
      </w:pPr>
      <w:r w:rsidRPr="001950DB">
        <w:t>INDICATIONS</w:t>
      </w:r>
    </w:p>
    <w:p w14:paraId="6A476626" w14:textId="77777777" w:rsidR="0083720A" w:rsidRPr="0083720A" w:rsidRDefault="0083720A" w:rsidP="001950DB">
      <w:bookmarkStart w:id="9" w:name="_Toc383787398"/>
      <w:r w:rsidRPr="0083720A">
        <w:t>VENCLEXTA is indicated for the treatment of:</w:t>
      </w:r>
    </w:p>
    <w:p w14:paraId="6A476627" w14:textId="77777777" w:rsidR="0083720A" w:rsidRPr="001950DB" w:rsidRDefault="0083720A" w:rsidP="001950DB">
      <w:pPr>
        <w:pStyle w:val="ListParagraph"/>
        <w:numPr>
          <w:ilvl w:val="0"/>
          <w:numId w:val="13"/>
        </w:numPr>
        <w:rPr>
          <w:rFonts w:cs="Arial"/>
        </w:rPr>
      </w:pPr>
      <w:r w:rsidRPr="001950DB">
        <w:rPr>
          <w:rFonts w:cs="Arial"/>
        </w:rPr>
        <w:t>patients with relapsed or refractory chronic lymphocytic leukaemia (CLL) with 17p deletion, or</w:t>
      </w:r>
    </w:p>
    <w:p w14:paraId="6A476628" w14:textId="6679A0F2" w:rsidR="0083720A" w:rsidRPr="001950DB" w:rsidRDefault="0083720A" w:rsidP="001950DB">
      <w:pPr>
        <w:pStyle w:val="ListParagraph"/>
        <w:numPr>
          <w:ilvl w:val="0"/>
          <w:numId w:val="13"/>
        </w:numPr>
        <w:rPr>
          <w:rFonts w:cs="Arial"/>
        </w:rPr>
      </w:pPr>
      <w:proofErr w:type="gramStart"/>
      <w:r w:rsidRPr="001950DB">
        <w:rPr>
          <w:rFonts w:cs="Arial"/>
        </w:rPr>
        <w:t>patients</w:t>
      </w:r>
      <w:proofErr w:type="gramEnd"/>
      <w:r w:rsidRPr="001950DB">
        <w:rPr>
          <w:rFonts w:cs="Arial"/>
        </w:rPr>
        <w:t xml:space="preserve"> with relapsed or refractory CLL for whom there are no other suitable treatment options.</w:t>
      </w:r>
    </w:p>
    <w:p w14:paraId="6A47662A" w14:textId="7E0E96DE" w:rsidR="00DD62A5" w:rsidRDefault="00AB0604" w:rsidP="001950DB">
      <w:r>
        <w:t>Note to indication</w:t>
      </w:r>
      <w:r w:rsidR="00804560">
        <w:t>s</w:t>
      </w:r>
      <w:r>
        <w:t>. The indication</w:t>
      </w:r>
      <w:r w:rsidR="00804560">
        <w:t>s</w:t>
      </w:r>
      <w:r>
        <w:t xml:space="preserve"> </w:t>
      </w:r>
      <w:r w:rsidR="00697790">
        <w:t>are</w:t>
      </w:r>
      <w:r>
        <w:t xml:space="preserve"> approved based on overall response rates. Duration of response and improvements in overall survival</w:t>
      </w:r>
      <w:r w:rsidR="00804560">
        <w:t>, progression-free survival</w:t>
      </w:r>
      <w:r>
        <w:t xml:space="preserve"> or health-related quality of life </w:t>
      </w:r>
      <w:proofErr w:type="gramStart"/>
      <w:r>
        <w:t>have</w:t>
      </w:r>
      <w:proofErr w:type="gramEnd"/>
      <w:r>
        <w:t xml:space="preserve"> not been established.</w:t>
      </w:r>
    </w:p>
    <w:p w14:paraId="6A47662B" w14:textId="77777777" w:rsidR="0038739E" w:rsidRPr="00DD62A5" w:rsidRDefault="00DD62A5" w:rsidP="001950DB">
      <w:pPr>
        <w:pStyle w:val="Heading1"/>
      </w:pPr>
      <w:bookmarkStart w:id="10" w:name="_CONTRAINDICATIONS"/>
      <w:bookmarkEnd w:id="9"/>
      <w:bookmarkEnd w:id="10"/>
      <w:r w:rsidRPr="001950DB">
        <w:t>CONTRAINDICATIONS</w:t>
      </w:r>
    </w:p>
    <w:p w14:paraId="6A47662C" w14:textId="77777777" w:rsidR="0038739E" w:rsidRPr="00CC52A1" w:rsidRDefault="0038739E" w:rsidP="001950DB">
      <w:proofErr w:type="gramStart"/>
      <w:r w:rsidRPr="00CC52A1">
        <w:t xml:space="preserve">Hypersensitivity to </w:t>
      </w:r>
      <w:proofErr w:type="spellStart"/>
      <w:r w:rsidRPr="00CC52A1">
        <w:t>venetoclax</w:t>
      </w:r>
      <w:proofErr w:type="spellEnd"/>
      <w:r w:rsidRPr="00CC52A1">
        <w:t>, or to any of the excipients within the formulation.</w:t>
      </w:r>
      <w:proofErr w:type="gramEnd"/>
    </w:p>
    <w:p w14:paraId="6A47662D" w14:textId="462E36BB" w:rsidR="0038739E" w:rsidRDefault="0038739E" w:rsidP="001950DB">
      <w:r w:rsidRPr="00CC52A1">
        <w:lastRenderedPageBreak/>
        <w:t xml:space="preserve">Concomitant use of VENCLEXTA with strong CYP3A inhibitors at initiation and during the dose titration phase is contraindicated (see </w:t>
      </w:r>
      <w:hyperlink w:anchor="_DOSAGE_AND_ADMINISTRATION" w:history="1">
        <w:r w:rsidR="00E91B5E">
          <w:rPr>
            <w:rStyle w:val="Hyperlink"/>
          </w:rPr>
          <w:t>DOSAGE AND ADMINISTRATION</w:t>
        </w:r>
      </w:hyperlink>
      <w:r w:rsidRPr="00CC52A1">
        <w:t xml:space="preserve"> and </w:t>
      </w:r>
      <w:hyperlink w:anchor="_INTERACTIONS_WITH_OTHER" w:history="1">
        <w:r w:rsidR="008C6F5E" w:rsidRPr="00E91B5E">
          <w:rPr>
            <w:rStyle w:val="Hyperlink"/>
          </w:rPr>
          <w:t>INTERACTIONS WITH OTHER MEDICINES</w:t>
        </w:r>
      </w:hyperlink>
      <w:r w:rsidRPr="00CC52A1">
        <w:t>).</w:t>
      </w:r>
    </w:p>
    <w:p w14:paraId="6A47662F" w14:textId="77777777" w:rsidR="0038739E" w:rsidRPr="00DD62A5" w:rsidRDefault="00DD62A5" w:rsidP="001950DB">
      <w:pPr>
        <w:pStyle w:val="Heading1"/>
      </w:pPr>
      <w:bookmarkStart w:id="11" w:name="_PRECAUTIONS"/>
      <w:bookmarkEnd w:id="11"/>
      <w:r w:rsidRPr="001950DB">
        <w:t>PRECAUTIONS</w:t>
      </w:r>
    </w:p>
    <w:p w14:paraId="6A476630" w14:textId="77777777" w:rsidR="0038739E" w:rsidRPr="00ED7C00" w:rsidRDefault="0038739E" w:rsidP="001950DB">
      <w:r w:rsidRPr="00ED7C00">
        <w:t>Tumour Lysis Syndrome</w:t>
      </w:r>
    </w:p>
    <w:p w14:paraId="6A476631" w14:textId="59E1B017" w:rsidR="0038739E" w:rsidRDefault="0038739E" w:rsidP="001950DB">
      <w:pPr>
        <w:rPr>
          <w:rFonts w:cs="Arial"/>
        </w:rPr>
      </w:pPr>
      <w:r w:rsidRPr="001950DB">
        <w:t xml:space="preserve">Tumour </w:t>
      </w:r>
      <w:r w:rsidR="0083720A" w:rsidRPr="001950DB">
        <w:t>L</w:t>
      </w:r>
      <w:r w:rsidRPr="001950DB">
        <w:t xml:space="preserve">ysis </w:t>
      </w:r>
      <w:r w:rsidR="00D47A14" w:rsidRPr="001950DB">
        <w:t>S</w:t>
      </w:r>
      <w:r w:rsidRPr="001950DB">
        <w:t xml:space="preserve">yndrome (TLS), </w:t>
      </w:r>
      <w:r w:rsidR="0083720A" w:rsidRPr="001950DB">
        <w:t>which may be life-threatening or fatal</w:t>
      </w:r>
      <w:r w:rsidRPr="001950DB">
        <w:t>, has occurred in patients treated with VENCLEXTA</w:t>
      </w:r>
      <w:r w:rsidRPr="004012EB">
        <w:rPr>
          <w:rFonts w:cs="Arial"/>
          <w:b/>
        </w:rPr>
        <w:t xml:space="preserve"> </w:t>
      </w:r>
      <w:r w:rsidRPr="00CC52A1">
        <w:rPr>
          <w:rFonts w:cs="Arial"/>
        </w:rPr>
        <w:t xml:space="preserve">(see </w:t>
      </w:r>
      <w:r w:rsidR="008C6F5E">
        <w:rPr>
          <w:rFonts w:cs="Arial"/>
          <w:b/>
        </w:rPr>
        <w:t>ADVERSE EFFECTS</w:t>
      </w:r>
      <w:r w:rsidRPr="00CC52A1">
        <w:rPr>
          <w:rFonts w:cs="Arial"/>
        </w:rPr>
        <w:t>).</w:t>
      </w:r>
    </w:p>
    <w:p w14:paraId="6A476632" w14:textId="285032B5" w:rsidR="0083720A" w:rsidRPr="00CC52A1" w:rsidRDefault="0083720A" w:rsidP="001950DB">
      <w:pPr>
        <w:rPr>
          <w:rFonts w:cs="Arial"/>
        </w:rPr>
      </w:pPr>
      <w:r w:rsidRPr="001950DB">
        <w:t>Interrupt or discontinue VENCLEXTA, as recommended, if this adverse event occurs</w:t>
      </w:r>
      <w:r w:rsidR="001950DB">
        <w:t xml:space="preserve"> </w:t>
      </w:r>
      <w:r w:rsidRPr="001950DB">
        <w:t>(see</w:t>
      </w:r>
      <w:r w:rsidRPr="004012EB">
        <w:rPr>
          <w:rFonts w:cs="Arial"/>
        </w:rPr>
        <w:t xml:space="preserve"> </w:t>
      </w:r>
      <w:r w:rsidR="008C6F5E">
        <w:rPr>
          <w:rFonts w:cs="Arial"/>
          <w:b/>
        </w:rPr>
        <w:t>DOSAGE AND ADMINISTRATION</w:t>
      </w:r>
      <w:r w:rsidRPr="00AB0604">
        <w:rPr>
          <w:rFonts w:cs="Arial"/>
          <w:b/>
        </w:rPr>
        <w:t>).</w:t>
      </w:r>
    </w:p>
    <w:p w14:paraId="6A476633" w14:textId="64424CAC" w:rsidR="0038739E" w:rsidRPr="00CC52A1" w:rsidRDefault="0038739E" w:rsidP="001950DB">
      <w:r w:rsidRPr="00CC52A1">
        <w:t xml:space="preserve">VENCLEXTA can cause rapid tumour reduction and thus poses a risk </w:t>
      </w:r>
      <w:r w:rsidR="00571B80">
        <w:t>for</w:t>
      </w:r>
      <w:r w:rsidR="00571B80" w:rsidRPr="00CC52A1">
        <w:t xml:space="preserve"> </w:t>
      </w:r>
      <w:r w:rsidRPr="00CC52A1">
        <w:t>TLS in the initial 5-week dose titration phase. Changes in electrolytes consistent with TLS that require prompt management can occur as early as 6-8 hours following the first dose of VENCLEXTA and at each dose increase.</w:t>
      </w:r>
    </w:p>
    <w:p w14:paraId="6A476634" w14:textId="54A4921E" w:rsidR="0038739E" w:rsidRPr="00CC52A1" w:rsidRDefault="0038739E" w:rsidP="001950DB">
      <w:r w:rsidRPr="00CC52A1">
        <w:t xml:space="preserve">The risk of TLS is a continuum based on multiple factors, including </w:t>
      </w:r>
      <w:r w:rsidR="00571B80">
        <w:t>tumo</w:t>
      </w:r>
      <w:r w:rsidR="00334F2B">
        <w:t>u</w:t>
      </w:r>
      <w:r w:rsidR="00571B80">
        <w:t xml:space="preserve">r burden </w:t>
      </w:r>
      <w:r w:rsidR="00595DD3">
        <w:t>(</w:t>
      </w:r>
      <w:r w:rsidR="004012EB">
        <w:t>see T</w:t>
      </w:r>
      <w:r w:rsidR="00571B80">
        <w:t xml:space="preserve">able </w:t>
      </w:r>
      <w:r w:rsidR="00595DD3">
        <w:t>7</w:t>
      </w:r>
      <w:r w:rsidR="00571B80">
        <w:t xml:space="preserve">) and </w:t>
      </w:r>
      <w:r w:rsidRPr="00CC52A1">
        <w:t>comorbidities. Reduced renal function (</w:t>
      </w:r>
      <w:proofErr w:type="spellStart"/>
      <w:r w:rsidRPr="00CC52A1">
        <w:t>CrCl</w:t>
      </w:r>
      <w:proofErr w:type="spellEnd"/>
      <w:r w:rsidRPr="00CC52A1">
        <w:t xml:space="preserve"> &lt; 80 mL/min) further increases the risk. Patients should be assessed for risk and should receive appropriate prophylaxis for TLS, including hydration and anti-</w:t>
      </w:r>
      <w:proofErr w:type="spellStart"/>
      <w:r w:rsidRPr="00CC52A1">
        <w:t>hyperuricaemics</w:t>
      </w:r>
      <w:proofErr w:type="spellEnd"/>
      <w:r w:rsidRPr="00CC52A1">
        <w:t xml:space="preserve">. Blood chemistries should be monitored and abnormalities managed promptly. Dosing should be interrupted, if needed. More intensive measures (intravenous hydration, frequent monitoring, and hospitalisation) should be employed as overall risk increases (see </w:t>
      </w:r>
      <w:hyperlink w:anchor="_DOSAGE_AND_ADMINISTRATION" w:history="1">
        <w:r w:rsidR="008C6F5E" w:rsidRPr="00E91B5E">
          <w:rPr>
            <w:rStyle w:val="Hyperlink"/>
          </w:rPr>
          <w:t>DOSAGE AND ADMINISTRATION</w:t>
        </w:r>
      </w:hyperlink>
      <w:r w:rsidRPr="00CC52A1">
        <w:t>).</w:t>
      </w:r>
    </w:p>
    <w:p w14:paraId="2745AEF8" w14:textId="3E97533C" w:rsidR="001950DB" w:rsidRDefault="0038739E" w:rsidP="001950DB">
      <w:r w:rsidRPr="00CC52A1">
        <w:t xml:space="preserve">Concomitant use of VENCLEXTA with strong or moderate CYP3A inhibitors increases </w:t>
      </w:r>
      <w:proofErr w:type="spellStart"/>
      <w:r w:rsidRPr="00CC52A1">
        <w:t>venetoclax</w:t>
      </w:r>
      <w:proofErr w:type="spellEnd"/>
      <w:r w:rsidRPr="00CC52A1">
        <w:t xml:space="preserve"> exposure and may increase the risk of TLS at initiation and during dose titration phase (see </w:t>
      </w:r>
      <w:hyperlink w:anchor="_DOSAGE_AND_ADMINISTRATION" w:history="1">
        <w:r w:rsidR="008C6F5E" w:rsidRPr="00E91B5E">
          <w:rPr>
            <w:rStyle w:val="Hyperlink"/>
          </w:rPr>
          <w:t>DOSAGE AND ADMINISTRATION</w:t>
        </w:r>
      </w:hyperlink>
      <w:r w:rsidRPr="00CC52A1">
        <w:t xml:space="preserve"> and</w:t>
      </w:r>
      <w:r w:rsidRPr="00CC52A1">
        <w:rPr>
          <w:b/>
        </w:rPr>
        <w:t xml:space="preserve"> </w:t>
      </w:r>
      <w:hyperlink w:anchor="_INTERACTIONS_WITH_OTHER" w:history="1">
        <w:r w:rsidR="008C6F5E" w:rsidRPr="00E91B5E">
          <w:rPr>
            <w:rStyle w:val="Hyperlink"/>
          </w:rPr>
          <w:t>INTERACTIONS WITH OTHER MEDICINES</w:t>
        </w:r>
      </w:hyperlink>
      <w:r w:rsidRPr="00CC52A1">
        <w:t>).</w:t>
      </w:r>
      <w:r w:rsidR="002B07E8">
        <w:t xml:space="preserve"> Inhibitors of P-</w:t>
      </w:r>
      <w:proofErr w:type="spellStart"/>
      <w:r w:rsidR="002B07E8">
        <w:t>gp</w:t>
      </w:r>
      <w:proofErr w:type="spellEnd"/>
      <w:r w:rsidR="002B07E8">
        <w:t xml:space="preserve"> may also increase </w:t>
      </w:r>
      <w:proofErr w:type="spellStart"/>
      <w:r w:rsidR="002B07E8">
        <w:t>venetoclax</w:t>
      </w:r>
      <w:proofErr w:type="spellEnd"/>
      <w:r w:rsidR="002B07E8">
        <w:t xml:space="preserve"> exposure (see </w:t>
      </w:r>
      <w:hyperlink w:anchor="_INTERACTIONS_WITH_OTHER" w:history="1">
        <w:r w:rsidR="002B07E8" w:rsidRPr="00E91B5E">
          <w:rPr>
            <w:rStyle w:val="Hyperlink"/>
          </w:rPr>
          <w:t>INTERACTIONS WITH OTHER MEDICINES</w:t>
        </w:r>
      </w:hyperlink>
      <w:r w:rsidR="002B07E8">
        <w:t>).</w:t>
      </w:r>
    </w:p>
    <w:p w14:paraId="6A476636" w14:textId="5479E354" w:rsidR="0038739E" w:rsidRPr="00CC52A1" w:rsidRDefault="00DD62A5" w:rsidP="001950DB">
      <w:pPr>
        <w:pStyle w:val="Heading2"/>
      </w:pPr>
      <w:r>
        <w:t>Neu</w:t>
      </w:r>
      <w:r w:rsidR="0038739E" w:rsidRPr="00CC52A1">
        <w:t>tropenia</w:t>
      </w:r>
    </w:p>
    <w:p w14:paraId="6A476637" w14:textId="4E37CF1F" w:rsidR="0038739E" w:rsidRPr="00CC52A1" w:rsidRDefault="0038739E" w:rsidP="001950DB">
      <w:r w:rsidRPr="00CC52A1">
        <w:t>Grade 3 or 4 neutropenia (ANC &lt;1.0 x 10</w:t>
      </w:r>
      <w:r w:rsidRPr="00CC52A1">
        <w:rPr>
          <w:vertAlign w:val="superscript"/>
        </w:rPr>
        <w:t>9</w:t>
      </w:r>
      <w:r w:rsidRPr="00CC52A1">
        <w:t xml:space="preserve">/L) has occurred in 40.8% (98/240) of patients treated with VENCLEXTA (see </w:t>
      </w:r>
      <w:r w:rsidR="008C6F5E">
        <w:rPr>
          <w:b/>
        </w:rPr>
        <w:t>ADVERSE EFFECTS</w:t>
      </w:r>
      <w:r w:rsidRPr="00CC52A1">
        <w:t xml:space="preserve">). Complete blood counts should be monitored throughout the treatment period. Dose interruptions or dose reductions are recommended for severe neutropenia. Supportive measures should be considered, including antimicrobials for any signs of infection, and prophylactic use of growth factors (e.g., </w:t>
      </w:r>
      <w:r w:rsidR="00334F2B">
        <w:t>granulocyte-colony stimulating factor [</w:t>
      </w:r>
      <w:r w:rsidRPr="00CC52A1">
        <w:t>G</w:t>
      </w:r>
      <w:r w:rsidR="00334F2B">
        <w:t>-</w:t>
      </w:r>
      <w:r w:rsidRPr="00CC52A1">
        <w:t>CSF</w:t>
      </w:r>
      <w:r w:rsidR="00334F2B">
        <w:t>]</w:t>
      </w:r>
      <w:r w:rsidRPr="00CC52A1">
        <w:t xml:space="preserve">) (see </w:t>
      </w:r>
      <w:hyperlink w:anchor="_DOSAGE_AND_ADMINISTRATION" w:history="1">
        <w:r w:rsidR="008C6F5E" w:rsidRPr="00202F95">
          <w:rPr>
            <w:rStyle w:val="Hyperlink"/>
          </w:rPr>
          <w:t>DOSAGE AND ADMINISTRATION</w:t>
        </w:r>
      </w:hyperlink>
      <w:r w:rsidRPr="00CC52A1">
        <w:rPr>
          <w:b/>
        </w:rPr>
        <w:t xml:space="preserve">, </w:t>
      </w:r>
      <w:hyperlink w:anchor="_CONTRAINDICATIONS" w:history="1">
        <w:r w:rsidR="008C6F5E" w:rsidRPr="00202F95">
          <w:rPr>
            <w:rStyle w:val="Hyperlink"/>
          </w:rPr>
          <w:t>CONTRAINDICATIONS</w:t>
        </w:r>
      </w:hyperlink>
      <w:r w:rsidRPr="00CC52A1">
        <w:rPr>
          <w:b/>
        </w:rPr>
        <w:t xml:space="preserve">, </w:t>
      </w:r>
      <w:hyperlink w:anchor="_INTERACTIONS_WITH_OTHER" w:history="1">
        <w:r w:rsidR="008C6F5E" w:rsidRPr="00202F95">
          <w:rPr>
            <w:rStyle w:val="Hyperlink"/>
          </w:rPr>
          <w:t>INTERACTIONS WITH OTHER MEDICINES</w:t>
        </w:r>
      </w:hyperlink>
      <w:r w:rsidRPr="00CC52A1">
        <w:rPr>
          <w:b/>
        </w:rPr>
        <w:t xml:space="preserve"> </w:t>
      </w:r>
      <w:r w:rsidRPr="00CC52A1">
        <w:t>and</w:t>
      </w:r>
      <w:r w:rsidRPr="00CC52A1">
        <w:rPr>
          <w:b/>
        </w:rPr>
        <w:t xml:space="preserve"> </w:t>
      </w:r>
      <w:hyperlink w:anchor="_Pharmacokinetics" w:history="1">
        <w:r w:rsidR="008C6F5E" w:rsidRPr="00202F95">
          <w:rPr>
            <w:rStyle w:val="Hyperlink"/>
          </w:rPr>
          <w:t>PHARMACOLOGY:</w:t>
        </w:r>
        <w:r w:rsidRPr="00202F95">
          <w:rPr>
            <w:rStyle w:val="Hyperlink"/>
          </w:rPr>
          <w:t xml:space="preserve"> Pharmacokinetics</w:t>
        </w:r>
      </w:hyperlink>
      <w:r w:rsidRPr="00CC52A1">
        <w:t xml:space="preserve"> for further information on potential interactions with CYP3A inhibitors/inducers).</w:t>
      </w:r>
    </w:p>
    <w:p w14:paraId="6A476638" w14:textId="77777777" w:rsidR="0038739E" w:rsidRPr="00CC52A1" w:rsidRDefault="0038739E" w:rsidP="001950DB">
      <w:pPr>
        <w:pStyle w:val="Heading2"/>
      </w:pPr>
      <w:r w:rsidRPr="001950DB">
        <w:t>Immunisation</w:t>
      </w:r>
    </w:p>
    <w:p w14:paraId="6A476639" w14:textId="75547E2B" w:rsidR="0038739E" w:rsidRPr="00CC52A1" w:rsidRDefault="0038739E" w:rsidP="001950DB">
      <w:r w:rsidRPr="00CC52A1">
        <w:t xml:space="preserve">The safety and efficacy of immunisation with live attenuated vaccines during or following VENCLEXTA therapy have not been studied. </w:t>
      </w:r>
      <w:r w:rsidR="00F54FB8">
        <w:t>Do not administer live attenuated vaccines prior to, during, or after treatment with VENCLEXTA until B-cell recovery occurs.</w:t>
      </w:r>
    </w:p>
    <w:p w14:paraId="6A47663A" w14:textId="77777777" w:rsidR="0038739E" w:rsidRPr="00CC52A1" w:rsidRDefault="0038739E" w:rsidP="00ED7C00">
      <w:pPr>
        <w:pStyle w:val="Heading2"/>
        <w:rPr>
          <w:lang w:eastAsia="ja-JP"/>
        </w:rPr>
      </w:pPr>
      <w:bookmarkStart w:id="12" w:name="_Hepatic_Impairment"/>
      <w:bookmarkEnd w:id="12"/>
      <w:r w:rsidRPr="00CC52A1">
        <w:rPr>
          <w:lang w:eastAsia="ja-JP"/>
        </w:rPr>
        <w:t>Hepatic Impairment</w:t>
      </w:r>
    </w:p>
    <w:p w14:paraId="6A47663B" w14:textId="3DCDA43F" w:rsidR="0038739E" w:rsidRPr="00CC52A1" w:rsidRDefault="0038739E" w:rsidP="001950DB">
      <w:r w:rsidRPr="00CC52A1">
        <w:t>No specific clinical trials have been conducted in subjects with hepatic impairment. No dose adjustment is recommended in patients with mild or moderate hepatic impairment based on results of the population pharmacokinetic analysis (see</w:t>
      </w:r>
      <w:r w:rsidR="004012EB">
        <w:t xml:space="preserve"> </w:t>
      </w:r>
      <w:hyperlink w:anchor="_Pharmacokinetics" w:history="1">
        <w:r w:rsidR="00E67E64" w:rsidRPr="00202F95">
          <w:rPr>
            <w:rStyle w:val="Hyperlink"/>
          </w:rPr>
          <w:t>PHARMACOLOGY:</w:t>
        </w:r>
        <w:r w:rsidRPr="00202F95">
          <w:rPr>
            <w:rStyle w:val="Hyperlink"/>
          </w:rPr>
          <w:t xml:space="preserve"> Pharmacokinetics</w:t>
        </w:r>
      </w:hyperlink>
      <w:r w:rsidRPr="00CC52A1">
        <w:t>). A recommended dose has not been determined for patients with severe hepatic impairment.</w:t>
      </w:r>
    </w:p>
    <w:p w14:paraId="6A47663C" w14:textId="77777777" w:rsidR="00DD62A5" w:rsidRPr="00CC52A1" w:rsidRDefault="00DD62A5" w:rsidP="00ED7C00">
      <w:pPr>
        <w:pStyle w:val="Heading2"/>
        <w:rPr>
          <w:lang w:eastAsia="ja-JP"/>
        </w:rPr>
      </w:pPr>
      <w:bookmarkStart w:id="13" w:name="_Renal_Impairment"/>
      <w:bookmarkEnd w:id="13"/>
      <w:r>
        <w:rPr>
          <w:lang w:eastAsia="ja-JP"/>
        </w:rPr>
        <w:lastRenderedPageBreak/>
        <w:t>Renal</w:t>
      </w:r>
      <w:r w:rsidRPr="00CC52A1">
        <w:rPr>
          <w:lang w:eastAsia="ja-JP"/>
        </w:rPr>
        <w:t xml:space="preserve"> Impairment</w:t>
      </w:r>
    </w:p>
    <w:p w14:paraId="6D893341" w14:textId="47465361" w:rsidR="001950DB" w:rsidRDefault="006C11D2" w:rsidP="001950DB">
      <w:r w:rsidRPr="00CC52A1">
        <w:rPr>
          <w:lang w:eastAsia="ja-JP"/>
        </w:rPr>
        <w:t>No specific clinical trials have been conducted in subjects with renal impairment. After a single oral administration of 200 mg radiolabeled [14C]-</w:t>
      </w:r>
      <w:proofErr w:type="spellStart"/>
      <w:r w:rsidRPr="00CC52A1">
        <w:rPr>
          <w:lang w:eastAsia="ja-JP"/>
        </w:rPr>
        <w:t>venetoclax</w:t>
      </w:r>
      <w:proofErr w:type="spellEnd"/>
      <w:r w:rsidRPr="00CC52A1">
        <w:rPr>
          <w:lang w:eastAsia="ja-JP"/>
        </w:rPr>
        <w:t xml:space="preserve"> to healthy subjects, less than 0.1% of radioactive VENCLEXTA dose was detected in urine. No dose adjustment is needed for patients with mild or moderate renal impairment (</w:t>
      </w:r>
      <w:proofErr w:type="spellStart"/>
      <w:r w:rsidRPr="00CC52A1">
        <w:rPr>
          <w:lang w:eastAsia="ja-JP"/>
        </w:rPr>
        <w:t>CrCl</w:t>
      </w:r>
      <w:proofErr w:type="spellEnd"/>
      <w:r w:rsidRPr="00CC52A1">
        <w:rPr>
          <w:lang w:eastAsia="ja-JP"/>
        </w:rPr>
        <w:t xml:space="preserve"> ≥30 mL/min) based on the results of the population pharmacokinetic analysis </w:t>
      </w:r>
      <w:r w:rsidRPr="00CC52A1">
        <w:t>(see</w:t>
      </w:r>
      <w:r w:rsidR="004012EB">
        <w:t xml:space="preserve"> </w:t>
      </w:r>
      <w:hyperlink w:anchor="_Pharmacokinetics" w:history="1">
        <w:r w:rsidR="00E67E64" w:rsidRPr="00202F95">
          <w:rPr>
            <w:rStyle w:val="Hyperlink"/>
          </w:rPr>
          <w:t>PHARMACOLOGY:</w:t>
        </w:r>
        <w:r w:rsidRPr="00202F95">
          <w:rPr>
            <w:rStyle w:val="Hyperlink"/>
          </w:rPr>
          <w:t xml:space="preserve"> Pharmacokinetics</w:t>
        </w:r>
      </w:hyperlink>
      <w:r w:rsidRPr="00CC52A1">
        <w:t>).</w:t>
      </w:r>
    </w:p>
    <w:p w14:paraId="6A47663E" w14:textId="040ABAEA" w:rsidR="006C11D2" w:rsidRPr="00CC52A1" w:rsidRDefault="006C11D2" w:rsidP="001950DB">
      <w:pPr>
        <w:rPr>
          <w:lang w:eastAsia="ja-JP"/>
        </w:rPr>
      </w:pPr>
      <w:r w:rsidRPr="00CC52A1">
        <w:rPr>
          <w:lang w:eastAsia="ja-JP"/>
        </w:rPr>
        <w:t>Patients with reduced renal function (</w:t>
      </w:r>
      <w:proofErr w:type="spellStart"/>
      <w:r w:rsidRPr="00CC52A1">
        <w:rPr>
          <w:lang w:eastAsia="ja-JP"/>
        </w:rPr>
        <w:t>CrCl</w:t>
      </w:r>
      <w:proofErr w:type="spellEnd"/>
      <w:r w:rsidRPr="00CC52A1">
        <w:rPr>
          <w:lang w:eastAsia="ja-JP"/>
        </w:rPr>
        <w:t xml:space="preserve"> &lt;80 mL/min) may require more intensive prophylaxis and monitoring to reduce the risk of TLS when initiating treatment with VENCLEXTA (see </w:t>
      </w:r>
      <w:hyperlink w:anchor="_DOSAGE_AND_ADMINISTRATION" w:history="1">
        <w:r w:rsidR="00E67E64" w:rsidRPr="00202F95">
          <w:rPr>
            <w:rStyle w:val="Hyperlink"/>
            <w:lang w:eastAsia="ja-JP"/>
          </w:rPr>
          <w:t>DOSAGE AND ADMINISTRATION</w:t>
        </w:r>
      </w:hyperlink>
      <w:r w:rsidRPr="00CC52A1">
        <w:rPr>
          <w:lang w:eastAsia="ja-JP"/>
        </w:rPr>
        <w:t>). A recommended dose has not been determined for patients with severe renal impairment (</w:t>
      </w:r>
      <w:proofErr w:type="spellStart"/>
      <w:r w:rsidRPr="00CC52A1">
        <w:rPr>
          <w:lang w:eastAsia="ja-JP"/>
        </w:rPr>
        <w:t>CrCl</w:t>
      </w:r>
      <w:proofErr w:type="spellEnd"/>
      <w:r w:rsidRPr="00CC52A1">
        <w:rPr>
          <w:lang w:eastAsia="ja-JP"/>
        </w:rPr>
        <w:t xml:space="preserve"> &lt;30 mL/min) or patients on dialysis.</w:t>
      </w:r>
    </w:p>
    <w:p w14:paraId="6A47663F" w14:textId="77777777" w:rsidR="006C11D2" w:rsidRPr="00CC52A1" w:rsidRDefault="006C11D2" w:rsidP="00ED7C00">
      <w:pPr>
        <w:pStyle w:val="Heading2"/>
        <w:rPr>
          <w:bCs/>
          <w:caps w:val="0"/>
        </w:rPr>
      </w:pPr>
      <w:r w:rsidRPr="00CC52A1">
        <w:t>Effects on Fertility</w:t>
      </w:r>
    </w:p>
    <w:p w14:paraId="6A476640" w14:textId="77777777" w:rsidR="006C11D2" w:rsidRPr="00CC52A1" w:rsidRDefault="006C11D2" w:rsidP="001950DB">
      <w:r w:rsidRPr="00CC52A1">
        <w:t xml:space="preserve">No human data on the effect of </w:t>
      </w:r>
      <w:proofErr w:type="spellStart"/>
      <w:r w:rsidRPr="00CC52A1">
        <w:t>venetoclax</w:t>
      </w:r>
      <w:proofErr w:type="spellEnd"/>
      <w:r w:rsidRPr="00CC52A1">
        <w:t xml:space="preserve"> on fertility are available. Based on findings in animals, male fertility may be compromised by treatment with VENCLEXTA.</w:t>
      </w:r>
    </w:p>
    <w:p w14:paraId="6A476641" w14:textId="43BA2844" w:rsidR="006C11D2" w:rsidRPr="00CC52A1" w:rsidRDefault="006C11D2" w:rsidP="00202F95">
      <w:r w:rsidRPr="00CC52A1">
        <w:t xml:space="preserve">Fertility and early embryonic development studies were conducted in male and female mice. </w:t>
      </w:r>
      <w:proofErr w:type="gramStart"/>
      <w:r w:rsidRPr="00CC52A1">
        <w:t>These studies evaluated mating, fertilisation, and embryonic development through implantation.</w:t>
      </w:r>
      <w:proofErr w:type="gramEnd"/>
      <w:r w:rsidRPr="00CC52A1">
        <w:t xml:space="preserve"> There were no effects of </w:t>
      </w:r>
      <w:proofErr w:type="spellStart"/>
      <w:r w:rsidRPr="00CC52A1">
        <w:t>venetoclax</w:t>
      </w:r>
      <w:proofErr w:type="spellEnd"/>
      <w:r w:rsidRPr="00CC52A1">
        <w:t xml:space="preserve"> on oestrus cycles, mating, fertility, corpora </w:t>
      </w:r>
      <w:proofErr w:type="spellStart"/>
      <w:r w:rsidRPr="00CC52A1">
        <w:t>lutea</w:t>
      </w:r>
      <w:proofErr w:type="spellEnd"/>
      <w:r w:rsidRPr="00CC52A1">
        <w:t xml:space="preserve">, uterine implants or live embryos per litter at dosages up to 600 mg/kg/day (in male and female mice, approximately </w:t>
      </w:r>
      <w:r w:rsidR="003E0B87">
        <w:t>3</w:t>
      </w:r>
      <w:r w:rsidRPr="00CC52A1">
        <w:t xml:space="preserve"> times the human AUC exposure at the recommended dose). However, a risk to human male fertility exists based on testicular toxicity (germ cell loss) observed in dogs at all dose levels examined (exposures of 0.5 to 18 times the human AUC exposure at the recommend dose). Reversibility of this finding has not been demonstrated.</w:t>
      </w:r>
    </w:p>
    <w:p w14:paraId="6A476642" w14:textId="77777777" w:rsidR="006C11D2" w:rsidRPr="00DD62A5" w:rsidRDefault="006C11D2" w:rsidP="00ED7C00">
      <w:pPr>
        <w:pStyle w:val="Heading2"/>
      </w:pPr>
      <w:bookmarkStart w:id="14" w:name="_Toc383787402"/>
      <w:r w:rsidRPr="00DD62A5">
        <w:t>Use in Pregnancy</w:t>
      </w:r>
      <w:bookmarkEnd w:id="14"/>
    </w:p>
    <w:p w14:paraId="6A476643" w14:textId="77777777" w:rsidR="006C11D2" w:rsidRPr="00CC52A1" w:rsidRDefault="006C11D2" w:rsidP="001950DB">
      <w:pPr>
        <w:pStyle w:val="Heading3"/>
      </w:pPr>
      <w:r w:rsidRPr="00CC52A1">
        <w:t>Pregnancy Category C</w:t>
      </w:r>
    </w:p>
    <w:p w14:paraId="6A476644" w14:textId="7FA80990" w:rsidR="006C11D2" w:rsidRPr="00CC52A1" w:rsidRDefault="006C11D2" w:rsidP="001950DB">
      <w:pPr>
        <w:rPr>
          <w:rFonts w:eastAsia="Times New Roman"/>
        </w:rPr>
      </w:pPr>
      <w:r w:rsidRPr="00CC52A1">
        <w:t xml:space="preserve">There are no adequate and well-controlled studies of </w:t>
      </w:r>
      <w:proofErr w:type="spellStart"/>
      <w:r w:rsidRPr="00CC52A1">
        <w:t>venetoclax</w:t>
      </w:r>
      <w:proofErr w:type="spellEnd"/>
      <w:r w:rsidRPr="00CC52A1">
        <w:t xml:space="preserve"> in pregnant women. Based on embryo-</w:t>
      </w:r>
      <w:proofErr w:type="spellStart"/>
      <w:r w:rsidRPr="00CC52A1">
        <w:t>fetal</w:t>
      </w:r>
      <w:proofErr w:type="spellEnd"/>
      <w:r w:rsidRPr="00CC52A1">
        <w:t xml:space="preserve"> toxicity observed in mice, VENCLEXTA may have effects on the </w:t>
      </w:r>
      <w:proofErr w:type="spellStart"/>
      <w:r w:rsidRPr="00CC52A1">
        <w:t>fetus</w:t>
      </w:r>
      <w:proofErr w:type="spellEnd"/>
      <w:r w:rsidRPr="00CC52A1">
        <w:t xml:space="preserve"> when administered to pregnant women.</w:t>
      </w:r>
    </w:p>
    <w:p w14:paraId="6A476645" w14:textId="6C83CBA7" w:rsidR="006C11D2" w:rsidRPr="00CC52A1" w:rsidRDefault="006C11D2" w:rsidP="001950DB">
      <w:r w:rsidRPr="00CC52A1">
        <w:t>VENCLEXTA should not be used during pregnancy. Women of child bearing potential must</w:t>
      </w:r>
      <w:r w:rsidR="004C7601" w:rsidRPr="00CC52A1">
        <w:t xml:space="preserve"> </w:t>
      </w:r>
      <w:r w:rsidRPr="00CC52A1">
        <w:t xml:space="preserve">use highly effective contraceptive measures during treatment with VENCLEXTA and for at least 30 days after the last dose of treatment. If </w:t>
      </w:r>
      <w:proofErr w:type="spellStart"/>
      <w:r w:rsidRPr="00CC52A1">
        <w:t>venetoclax</w:t>
      </w:r>
      <w:proofErr w:type="spellEnd"/>
      <w:r w:rsidRPr="00CC52A1">
        <w:t xml:space="preserve"> is used during pregnancy or if the patient becomes pregnant while taking VENCLEXTA, the patient should be apprised of the potential hazard to a </w:t>
      </w:r>
      <w:proofErr w:type="spellStart"/>
      <w:r w:rsidRPr="00CC52A1">
        <w:t>fetus</w:t>
      </w:r>
      <w:proofErr w:type="spellEnd"/>
      <w:r w:rsidRPr="00CC52A1">
        <w:t>. The time period following treatment with VENCLEXTA where it is safe to become pregnant is unknown.</w:t>
      </w:r>
    </w:p>
    <w:p w14:paraId="6A476646" w14:textId="77777777" w:rsidR="006C11D2" w:rsidRPr="00CC52A1" w:rsidRDefault="006C11D2" w:rsidP="001950DB">
      <w:r w:rsidRPr="00CC52A1">
        <w:t>Women of child bearing potential should undergo pregnancy testing before initiation of VENCLEXTA.</w:t>
      </w:r>
    </w:p>
    <w:p w14:paraId="6A476647" w14:textId="3B07C617" w:rsidR="0038739E" w:rsidRPr="00CC52A1" w:rsidRDefault="006C11D2" w:rsidP="001950DB">
      <w:r w:rsidRPr="00CC52A1">
        <w:t>In embryo-</w:t>
      </w:r>
      <w:proofErr w:type="spellStart"/>
      <w:r w:rsidRPr="00CC52A1">
        <w:t>fetal</w:t>
      </w:r>
      <w:proofErr w:type="spellEnd"/>
      <w:r w:rsidRPr="00CC52A1">
        <w:t xml:space="preserve"> development studies, </w:t>
      </w:r>
      <w:proofErr w:type="spellStart"/>
      <w:r w:rsidR="007652C2">
        <w:t>venetoclax</w:t>
      </w:r>
      <w:proofErr w:type="spellEnd"/>
      <w:r w:rsidR="007652C2" w:rsidRPr="00CC52A1">
        <w:t xml:space="preserve"> </w:t>
      </w:r>
      <w:r w:rsidRPr="00CC52A1">
        <w:t>was administered to pregnant mice and rabbits. These studies evaluated potential effects after implantation and subsequent embryo-</w:t>
      </w:r>
      <w:proofErr w:type="spellStart"/>
      <w:r w:rsidRPr="00CC52A1">
        <w:t>fetal</w:t>
      </w:r>
      <w:proofErr w:type="spellEnd"/>
      <w:r w:rsidRPr="00CC52A1">
        <w:t xml:space="preserve"> development during the respective periods of major organogenesis in mice and rabbits. In mice, </w:t>
      </w:r>
      <w:proofErr w:type="spellStart"/>
      <w:r w:rsidR="007652C2">
        <w:t>venetoclax</w:t>
      </w:r>
      <w:proofErr w:type="spellEnd"/>
      <w:r w:rsidR="007652C2" w:rsidRPr="00CC52A1">
        <w:t xml:space="preserve"> </w:t>
      </w:r>
      <w:r w:rsidRPr="00CC52A1">
        <w:t xml:space="preserve">was associated with increased post-implantation loss and decreased </w:t>
      </w:r>
      <w:proofErr w:type="spellStart"/>
      <w:r w:rsidRPr="00CC52A1">
        <w:t>fetal</w:t>
      </w:r>
      <w:proofErr w:type="spellEnd"/>
      <w:r w:rsidRPr="00CC52A1">
        <w:t xml:space="preserve"> body weight at 150 mg/kg/day (maternal exposures approximately 1.2 times the human AUC exposure at the recommended dose). In rabbits, </w:t>
      </w:r>
      <w:proofErr w:type="spellStart"/>
      <w:r w:rsidR="007652C2">
        <w:t>venetoclax</w:t>
      </w:r>
      <w:proofErr w:type="spellEnd"/>
      <w:r w:rsidR="007652C2" w:rsidRPr="00CC52A1">
        <w:t xml:space="preserve"> </w:t>
      </w:r>
      <w:r w:rsidRPr="00CC52A1">
        <w:t xml:space="preserve">at 300 mg/kg/day produced maternal toxicity, but no </w:t>
      </w:r>
      <w:proofErr w:type="spellStart"/>
      <w:r w:rsidRPr="00CC52A1">
        <w:t>fetal</w:t>
      </w:r>
      <w:proofErr w:type="spellEnd"/>
      <w:r w:rsidRPr="00CC52A1">
        <w:t xml:space="preserve"> toxicity (maternal exposures approximately 0.</w:t>
      </w:r>
      <w:r w:rsidR="007652C2">
        <w:t>14</w:t>
      </w:r>
      <w:r w:rsidRPr="00CC52A1">
        <w:t xml:space="preserve"> times the human AUC exposure at the recommended dose). No teratogenicity was observed in either the mouse or the rabbit.</w:t>
      </w:r>
    </w:p>
    <w:p w14:paraId="6A476648" w14:textId="77777777" w:rsidR="006C11D2" w:rsidRPr="00CC52A1" w:rsidRDefault="006C11D2" w:rsidP="00ED7C00">
      <w:pPr>
        <w:pStyle w:val="Heading2"/>
      </w:pPr>
      <w:r w:rsidRPr="00CC52A1">
        <w:t>Use in Lactation</w:t>
      </w:r>
    </w:p>
    <w:p w14:paraId="6A476649" w14:textId="77777777" w:rsidR="006C11D2" w:rsidRPr="00CC52A1" w:rsidRDefault="006C11D2" w:rsidP="001950DB">
      <w:r w:rsidRPr="00CC52A1">
        <w:t xml:space="preserve">It is not known whether </w:t>
      </w:r>
      <w:proofErr w:type="spellStart"/>
      <w:r w:rsidRPr="00CC52A1">
        <w:t>venetoclax</w:t>
      </w:r>
      <w:proofErr w:type="spellEnd"/>
      <w:r w:rsidRPr="00CC52A1">
        <w:t xml:space="preserve"> or its metabolites are excreted in human breast milk. A risk to newborns/infants cannot be excluded. </w:t>
      </w:r>
      <w:r w:rsidRPr="00CC52A1">
        <w:rPr>
          <w:bCs/>
        </w:rPr>
        <w:t xml:space="preserve">Because many drugs are excreted in human breast milk and because the potential for serious adverse reactions in breastfed infants from </w:t>
      </w:r>
      <w:r w:rsidRPr="00CC52A1">
        <w:rPr>
          <w:bCs/>
        </w:rPr>
        <w:lastRenderedPageBreak/>
        <w:t>VENCLEXTA is unknown, nursing women should be advised to discontinue breastfeeding during treatment with VENCLEXTA.</w:t>
      </w:r>
    </w:p>
    <w:p w14:paraId="6A47664A" w14:textId="77777777" w:rsidR="00DD62A5" w:rsidRPr="00CC52A1" w:rsidRDefault="00DD62A5" w:rsidP="00ED7C00">
      <w:pPr>
        <w:pStyle w:val="Heading2"/>
      </w:pPr>
      <w:bookmarkStart w:id="15" w:name="_Paediatric_Use"/>
      <w:bookmarkEnd w:id="15"/>
      <w:r>
        <w:t>Paediatric Use</w:t>
      </w:r>
    </w:p>
    <w:p w14:paraId="6A47664B" w14:textId="77777777" w:rsidR="006C11D2" w:rsidRPr="00CC52A1" w:rsidRDefault="006C11D2" w:rsidP="001950DB">
      <w:r w:rsidRPr="00CC52A1">
        <w:t>The safety and efficacy of VENCLEXTA in children and adolescents less than 18 years of age have not been established.</w:t>
      </w:r>
    </w:p>
    <w:p w14:paraId="6A47664C" w14:textId="77777777" w:rsidR="00DD62A5" w:rsidRPr="00CC52A1" w:rsidRDefault="00DD62A5" w:rsidP="00ED7C00">
      <w:pPr>
        <w:pStyle w:val="Heading2"/>
      </w:pPr>
      <w:r w:rsidRPr="00CC52A1">
        <w:t xml:space="preserve">Use in </w:t>
      </w:r>
      <w:r>
        <w:t>the Elderly</w:t>
      </w:r>
    </w:p>
    <w:p w14:paraId="6A47664D" w14:textId="77777777" w:rsidR="006C11D2" w:rsidRPr="00CC52A1" w:rsidRDefault="006C11D2" w:rsidP="001950DB">
      <w:pPr>
        <w:rPr>
          <w:lang w:eastAsia="ja-JP"/>
        </w:rPr>
      </w:pPr>
      <w:r w:rsidRPr="00CC52A1">
        <w:rPr>
          <w:lang w:eastAsia="ja-JP"/>
        </w:rPr>
        <w:t>No specific dose adjustment is required for elderly patients (aged ≥65 years).</w:t>
      </w:r>
    </w:p>
    <w:p w14:paraId="6A47664E" w14:textId="5641C57A" w:rsidR="006C11D2" w:rsidRPr="00CC52A1" w:rsidRDefault="006C11D2" w:rsidP="001950DB">
      <w:r w:rsidRPr="00CC52A1">
        <w:t xml:space="preserve">Of the 164 previously treated patients </w:t>
      </w:r>
      <w:r w:rsidR="004F5C6E">
        <w:t xml:space="preserve">with CLL </w:t>
      </w:r>
      <w:r w:rsidRPr="00CC52A1">
        <w:t>evaluated for efficacy by an Independent Review Committee in Studies M13-982 and M12-175, 91 (55.5%) patients were ≥65 years of age and 28 (17.1%) patients were ≥75 years of age. No overall difference in effectiveness was observed between these and younger patients.</w:t>
      </w:r>
    </w:p>
    <w:p w14:paraId="6A47664F" w14:textId="3441B45C" w:rsidR="006C11D2" w:rsidRPr="00CC52A1" w:rsidRDefault="006C11D2" w:rsidP="001950DB">
      <w:r w:rsidRPr="00CC52A1">
        <w:t xml:space="preserve">Of the 240 patients </w:t>
      </w:r>
      <w:r w:rsidR="004F5C6E">
        <w:t xml:space="preserve">with CLL </w:t>
      </w:r>
      <w:r w:rsidRPr="00CC52A1">
        <w:t>evaluated for safety from 3 open-label clinical trials, 138 (57.5%) patients were ≥65 years of age and 40 (16.7%) patients were ≥75 years of age. No overall difference in safety was observed between these patients and younger patients.</w:t>
      </w:r>
    </w:p>
    <w:p w14:paraId="6A476650" w14:textId="77777777" w:rsidR="00DD62A5" w:rsidRPr="00CC52A1" w:rsidRDefault="00DD62A5" w:rsidP="00ED7C00">
      <w:pPr>
        <w:pStyle w:val="Heading2"/>
      </w:pPr>
      <w:r>
        <w:t>Genotoxicity</w:t>
      </w:r>
    </w:p>
    <w:p w14:paraId="6A476651" w14:textId="57B0FB7F" w:rsidR="006C11D2" w:rsidRPr="00CC52A1" w:rsidRDefault="006C11D2" w:rsidP="001950DB">
      <w:proofErr w:type="spellStart"/>
      <w:r w:rsidRPr="00CC52A1">
        <w:t>Venetoclax</w:t>
      </w:r>
      <w:proofErr w:type="spellEnd"/>
      <w:r w:rsidRPr="00CC52A1">
        <w:t xml:space="preserve"> was not mutagenic in an </w:t>
      </w:r>
      <w:r w:rsidRPr="00CC52A1">
        <w:rPr>
          <w:i/>
        </w:rPr>
        <w:t>in vitro</w:t>
      </w:r>
      <w:r w:rsidRPr="00CC52A1">
        <w:t xml:space="preserve"> bacterial mutagenicity (Ames) assay, did not induce numerical or structural aberrations in an </w:t>
      </w:r>
      <w:r w:rsidRPr="00CC52A1">
        <w:rPr>
          <w:i/>
        </w:rPr>
        <w:t>in vitro</w:t>
      </w:r>
      <w:r w:rsidRPr="00CC52A1">
        <w:t xml:space="preserve"> chromosome aberration assay using human peripheral blood lymphocytes, and was not </w:t>
      </w:r>
      <w:proofErr w:type="spellStart"/>
      <w:r w:rsidRPr="00CC52A1">
        <w:t>clastogenic</w:t>
      </w:r>
      <w:proofErr w:type="spellEnd"/>
      <w:r w:rsidRPr="00CC52A1">
        <w:t xml:space="preserve"> in an</w:t>
      </w:r>
      <w:r w:rsidRPr="00CC52A1">
        <w:rPr>
          <w:i/>
        </w:rPr>
        <w:t xml:space="preserve"> in vivo</w:t>
      </w:r>
      <w:r w:rsidRPr="00CC52A1">
        <w:t xml:space="preserve"> mouse bone marrow micronucleus assay </w:t>
      </w:r>
      <w:r w:rsidR="007652C2">
        <w:t>at a single oral dose up to 835</w:t>
      </w:r>
      <w:r w:rsidRPr="00CC52A1">
        <w:t xml:space="preserve"> mg/kg</w:t>
      </w:r>
      <w:r w:rsidR="007652C2">
        <w:t xml:space="preserve"> (~3 times the clinical </w:t>
      </w:r>
      <w:proofErr w:type="spellStart"/>
      <w:r w:rsidR="007652C2">
        <w:t>C</w:t>
      </w:r>
      <w:r w:rsidR="007652C2" w:rsidRPr="004012EB">
        <w:rPr>
          <w:vertAlign w:val="subscript"/>
        </w:rPr>
        <w:t>max</w:t>
      </w:r>
      <w:proofErr w:type="spellEnd"/>
      <w:r w:rsidR="007652C2">
        <w:t xml:space="preserve"> at the maximum recommended dose of 400 mg/day)</w:t>
      </w:r>
      <w:r w:rsidRPr="00CC52A1">
        <w:t xml:space="preserve">. The M27 metabolite was negative for genotoxic activity in </w:t>
      </w:r>
      <w:r w:rsidRPr="00CC52A1">
        <w:rPr>
          <w:i/>
        </w:rPr>
        <w:t>in vitro</w:t>
      </w:r>
      <w:r w:rsidRPr="00CC52A1">
        <w:t xml:space="preserve"> Ames and chromosome aberration assays.</w:t>
      </w:r>
    </w:p>
    <w:p w14:paraId="6A476652" w14:textId="77777777" w:rsidR="00DD62A5" w:rsidRPr="00CC52A1" w:rsidRDefault="00DD62A5" w:rsidP="00ED7C00">
      <w:pPr>
        <w:pStyle w:val="Heading2"/>
      </w:pPr>
      <w:r>
        <w:t>Carcinogenicity</w:t>
      </w:r>
    </w:p>
    <w:p w14:paraId="6A476653" w14:textId="77777777" w:rsidR="006C11D2" w:rsidRPr="00CC52A1" w:rsidRDefault="006C11D2" w:rsidP="001950DB">
      <w:r w:rsidRPr="00CC52A1">
        <w:t xml:space="preserve">Carcinogenicity studies have not been conducted with </w:t>
      </w:r>
      <w:proofErr w:type="spellStart"/>
      <w:r w:rsidRPr="00CC52A1">
        <w:t>venetoclax</w:t>
      </w:r>
      <w:proofErr w:type="spellEnd"/>
      <w:r w:rsidRPr="00CC52A1">
        <w:t>.</w:t>
      </w:r>
    </w:p>
    <w:p w14:paraId="6A476654" w14:textId="77777777" w:rsidR="00DD62A5" w:rsidRPr="00CC52A1" w:rsidRDefault="00DD62A5" w:rsidP="00ED7C00">
      <w:pPr>
        <w:pStyle w:val="Heading2"/>
      </w:pPr>
      <w:r>
        <w:t>Effects on ability to drive and Use machines</w:t>
      </w:r>
    </w:p>
    <w:p w14:paraId="6A476655" w14:textId="77777777" w:rsidR="006C11D2" w:rsidRDefault="006C11D2" w:rsidP="001950DB">
      <w:pPr>
        <w:rPr>
          <w:lang w:val="en-GB"/>
        </w:rPr>
      </w:pPr>
      <w:r w:rsidRPr="00CC52A1">
        <w:rPr>
          <w:lang w:val="en-GB"/>
        </w:rPr>
        <w:t>No studies on the effects of VENCLEXTA on the ability to drive and use machines have been performed. The pharmacological activity and adverse events reported to date do not indicate that such an effect is likely.</w:t>
      </w:r>
    </w:p>
    <w:p w14:paraId="6A476657" w14:textId="77777777" w:rsidR="00DD62A5" w:rsidRPr="00DD62A5" w:rsidRDefault="00DD62A5" w:rsidP="00124336">
      <w:pPr>
        <w:pStyle w:val="Heading1"/>
        <w:spacing w:before="0" w:after="240" w:line="360" w:lineRule="exact"/>
      </w:pPr>
      <w:bookmarkStart w:id="16" w:name="_INTERACTIONS_WITH_OTHER"/>
      <w:bookmarkEnd w:id="16"/>
      <w:r>
        <w:t>INTERACTIONS WITH OTHER MEDICINES</w:t>
      </w:r>
    </w:p>
    <w:p w14:paraId="6A476658" w14:textId="77777777" w:rsidR="006C11D2" w:rsidRPr="00CC52A1" w:rsidRDefault="006C11D2" w:rsidP="00ED7C00">
      <w:pPr>
        <w:pStyle w:val="Heading2"/>
      </w:pPr>
      <w:r w:rsidRPr="00CC52A1">
        <w:t>Potential Effects of Other Medicines on VENCLEXTA</w:t>
      </w:r>
    </w:p>
    <w:p w14:paraId="373425E1" w14:textId="77777777" w:rsidR="001950DB" w:rsidRDefault="006C11D2" w:rsidP="00DB386C">
      <w:pPr>
        <w:spacing w:line="300" w:lineRule="auto"/>
        <w:jc w:val="both"/>
        <w:rPr>
          <w:rFonts w:cs="Arial"/>
        </w:rPr>
      </w:pPr>
      <w:proofErr w:type="spellStart"/>
      <w:r w:rsidRPr="00CC52A1">
        <w:rPr>
          <w:rFonts w:cs="Arial"/>
        </w:rPr>
        <w:t>Venetoclax</w:t>
      </w:r>
      <w:proofErr w:type="spellEnd"/>
      <w:r w:rsidRPr="00CC52A1">
        <w:rPr>
          <w:rFonts w:cs="Arial"/>
        </w:rPr>
        <w:t xml:space="preserve"> is predominantly metabolised by CYP3A4.</w:t>
      </w:r>
    </w:p>
    <w:p w14:paraId="6A47665A" w14:textId="67C979A6" w:rsidR="006C11D2" w:rsidRPr="00CC52A1" w:rsidRDefault="006C11D2" w:rsidP="001950DB">
      <w:pPr>
        <w:pStyle w:val="Heading3"/>
        <w:rPr>
          <w:i/>
        </w:rPr>
      </w:pPr>
      <w:r w:rsidRPr="00CC52A1">
        <w:t>CYP3A Inhibitors</w:t>
      </w:r>
    </w:p>
    <w:p w14:paraId="6A47665B" w14:textId="426C2BC3" w:rsidR="006C11D2" w:rsidRPr="00CC52A1" w:rsidRDefault="006C11D2" w:rsidP="001950DB">
      <w:pPr>
        <w:rPr>
          <w:szCs w:val="20"/>
          <w:lang w:eastAsia="ja-JP"/>
        </w:rPr>
      </w:pPr>
      <w:r w:rsidRPr="00CC52A1">
        <w:rPr>
          <w:lang w:eastAsia="ja-JP"/>
        </w:rPr>
        <w:t>Co-administration of 400 mg once daily ketoconazole, a strong CYP3A, P-</w:t>
      </w:r>
      <w:proofErr w:type="spellStart"/>
      <w:r w:rsidRPr="00CC52A1">
        <w:rPr>
          <w:lang w:eastAsia="ja-JP"/>
        </w:rPr>
        <w:t>gp</w:t>
      </w:r>
      <w:proofErr w:type="spellEnd"/>
      <w:r w:rsidRPr="00CC52A1">
        <w:rPr>
          <w:lang w:eastAsia="ja-JP"/>
        </w:rPr>
        <w:t xml:space="preserve"> and BCRP inhibitor, for 7 days in 11 previously treated NHL patients increased </w:t>
      </w:r>
      <w:proofErr w:type="spellStart"/>
      <w:r w:rsidRPr="00CC52A1">
        <w:rPr>
          <w:lang w:eastAsia="ja-JP"/>
        </w:rPr>
        <w:t>venetoclax</w:t>
      </w:r>
      <w:proofErr w:type="spellEnd"/>
      <w:r w:rsidRPr="00CC52A1">
        <w:rPr>
          <w:lang w:eastAsia="ja-JP"/>
        </w:rPr>
        <w:t xml:space="preserve"> </w:t>
      </w:r>
      <w:proofErr w:type="spellStart"/>
      <w:r w:rsidRPr="00CC52A1">
        <w:rPr>
          <w:lang w:eastAsia="ja-JP"/>
        </w:rPr>
        <w:t>C</w:t>
      </w:r>
      <w:r w:rsidRPr="00CC52A1">
        <w:rPr>
          <w:vertAlign w:val="subscript"/>
          <w:lang w:eastAsia="ja-JP"/>
        </w:rPr>
        <w:t>max</w:t>
      </w:r>
      <w:proofErr w:type="spellEnd"/>
      <w:r w:rsidRPr="00CC52A1">
        <w:rPr>
          <w:lang w:eastAsia="ja-JP"/>
        </w:rPr>
        <w:t xml:space="preserve"> by 2.3-fold and AUC</w:t>
      </w:r>
      <w:r w:rsidRPr="00CC52A1">
        <w:rPr>
          <w:vertAlign w:val="subscript"/>
          <w:lang w:eastAsia="ja-JP"/>
        </w:rPr>
        <w:t>∞</w:t>
      </w:r>
      <w:r w:rsidRPr="00CC52A1">
        <w:rPr>
          <w:lang w:eastAsia="ja-JP"/>
        </w:rPr>
        <w:t xml:space="preserve"> by 6.4-fold. Concomitant use of VENCLEXTA with strong CYP3A inhibitors (e.g., ketoconazole, ritonavir, clarithromycin, </w:t>
      </w:r>
      <w:proofErr w:type="spellStart"/>
      <w:r w:rsidRPr="00CC52A1">
        <w:rPr>
          <w:lang w:eastAsia="ja-JP"/>
        </w:rPr>
        <w:t>itraconazole</w:t>
      </w:r>
      <w:proofErr w:type="spellEnd"/>
      <w:r w:rsidRPr="00CC52A1">
        <w:rPr>
          <w:lang w:eastAsia="ja-JP"/>
        </w:rPr>
        <w:t xml:space="preserve">, </w:t>
      </w:r>
      <w:proofErr w:type="spellStart"/>
      <w:r w:rsidRPr="00CC52A1">
        <w:rPr>
          <w:lang w:eastAsia="ja-JP"/>
        </w:rPr>
        <w:t>voriconazole</w:t>
      </w:r>
      <w:proofErr w:type="spellEnd"/>
      <w:r w:rsidR="00A43710">
        <w:rPr>
          <w:lang w:eastAsia="ja-JP"/>
        </w:rPr>
        <w:t xml:space="preserve">, </w:t>
      </w:r>
      <w:proofErr w:type="spellStart"/>
      <w:r w:rsidR="00A43710">
        <w:rPr>
          <w:lang w:eastAsia="ja-JP"/>
        </w:rPr>
        <w:t>posaconazole</w:t>
      </w:r>
      <w:proofErr w:type="spellEnd"/>
      <w:r w:rsidRPr="00CC52A1">
        <w:rPr>
          <w:lang w:eastAsia="ja-JP"/>
        </w:rPr>
        <w:t xml:space="preserve">) at initiation and during the ramp-up phase is contraindicated (see </w:t>
      </w:r>
      <w:r w:rsidRPr="00CC52A1">
        <w:rPr>
          <w:b/>
          <w:lang w:eastAsia="ja-JP"/>
        </w:rPr>
        <w:t>Contraindications</w:t>
      </w:r>
      <w:r w:rsidRPr="00CC52A1">
        <w:rPr>
          <w:lang w:eastAsia="ja-JP"/>
        </w:rPr>
        <w:t>).</w:t>
      </w:r>
    </w:p>
    <w:p w14:paraId="6A47665C" w14:textId="3BAD1B51" w:rsidR="006C11D2" w:rsidRPr="00CC52A1" w:rsidRDefault="006C11D2" w:rsidP="001950DB">
      <w:pPr>
        <w:rPr>
          <w:lang w:eastAsia="ja-JP"/>
        </w:rPr>
      </w:pPr>
      <w:r w:rsidRPr="00CC52A1">
        <w:rPr>
          <w:lang w:eastAsia="ja-JP"/>
        </w:rPr>
        <w:t>Grapefruit products, Seville oranges, and starfruit should be avoided during treatment with VENCLEXTA, as they contain inhibitors of CYP3A.</w:t>
      </w:r>
    </w:p>
    <w:p w14:paraId="6A47665D" w14:textId="77777777" w:rsidR="006C11D2" w:rsidRPr="00CC52A1" w:rsidRDefault="006C11D2" w:rsidP="001950DB">
      <w:pPr>
        <w:pStyle w:val="Heading4"/>
        <w:rPr>
          <w:lang w:eastAsia="ja-JP"/>
        </w:rPr>
      </w:pPr>
      <w:r w:rsidRPr="00CC52A1">
        <w:rPr>
          <w:lang w:eastAsia="ja-JP"/>
        </w:rPr>
        <w:t>Initiation and Dose Titration Phase</w:t>
      </w:r>
    </w:p>
    <w:p w14:paraId="6A47665E" w14:textId="32188C75" w:rsidR="006C11D2" w:rsidRPr="00CC52A1" w:rsidRDefault="006C11D2" w:rsidP="001950DB">
      <w:pPr>
        <w:rPr>
          <w:lang w:eastAsia="ja-JP"/>
        </w:rPr>
      </w:pPr>
      <w:r w:rsidRPr="00CC52A1">
        <w:rPr>
          <w:lang w:eastAsia="ja-JP"/>
        </w:rPr>
        <w:t>Concomitant use of moderate CYP3A inhibitors (e.g., erythromycin, ciprofloxacin, diltiazem, fluconazole, verapamil) should be avoided with VENCLEXTA at i</w:t>
      </w:r>
      <w:r w:rsidR="007F3D22">
        <w:rPr>
          <w:lang w:eastAsia="ja-JP"/>
        </w:rPr>
        <w:t>nitiation and during the dose titration</w:t>
      </w:r>
      <w:r w:rsidRPr="00CC52A1">
        <w:rPr>
          <w:lang w:eastAsia="ja-JP"/>
        </w:rPr>
        <w:t xml:space="preserve"> phase. Alternative treatments should be considered. If a moderate CYP3A inhibitor must be used, the initiation and dose titration doses of VENCLEXTA should be reduced by at </w:t>
      </w:r>
      <w:r w:rsidRPr="00CC52A1">
        <w:rPr>
          <w:lang w:eastAsia="ja-JP"/>
        </w:rPr>
        <w:lastRenderedPageBreak/>
        <w:t xml:space="preserve">least 2-fold. Patients should be monitored more closely for signs of VENCLEXTA toxicities (see </w:t>
      </w:r>
      <w:hyperlink w:anchor="_DOSAGE_AND_ADMINISTRATION" w:history="1">
        <w:r w:rsidR="0013441C" w:rsidRPr="00202F95">
          <w:rPr>
            <w:rStyle w:val="Hyperlink"/>
            <w:lang w:eastAsia="ja-JP"/>
          </w:rPr>
          <w:t>DOSAGE AND ADMINISTRATION</w:t>
        </w:r>
      </w:hyperlink>
      <w:r w:rsidRPr="00CC52A1">
        <w:rPr>
          <w:lang w:eastAsia="ja-JP"/>
        </w:rPr>
        <w:t>).</w:t>
      </w:r>
    </w:p>
    <w:p w14:paraId="6A47665F" w14:textId="77777777" w:rsidR="006C11D2" w:rsidRPr="00CC52A1" w:rsidRDefault="006C11D2" w:rsidP="001950DB">
      <w:pPr>
        <w:pStyle w:val="Heading4"/>
        <w:rPr>
          <w:lang w:eastAsia="ja-JP"/>
        </w:rPr>
      </w:pPr>
      <w:r w:rsidRPr="00CC52A1">
        <w:rPr>
          <w:lang w:eastAsia="ja-JP"/>
        </w:rPr>
        <w:t>After Dose Titration Phase</w:t>
      </w:r>
    </w:p>
    <w:p w14:paraId="6A476660" w14:textId="623C843C" w:rsidR="006C11D2" w:rsidRPr="00CC52A1" w:rsidRDefault="006C11D2" w:rsidP="001950DB">
      <w:pPr>
        <w:rPr>
          <w:lang w:eastAsia="ja-JP"/>
        </w:rPr>
      </w:pPr>
      <w:r w:rsidRPr="00CC52A1">
        <w:rPr>
          <w:lang w:eastAsia="ja-JP"/>
        </w:rPr>
        <w:t xml:space="preserve">For patients who have completed the dose titration phase and are on a steady daily dose of VENCLEXTA, VENCLEXTA dose should be reduced by at least 2-fold when used concomitantly with moderate CYP3A inhibitors and by at least 4-fold when used concomitantly with strong CYP3A inhibitors. VENCLEXTA dose that was used prior to initiating the CYP3A inhibitor can be resumed 2 to 3 days after discontinuation of the inhibitor (see </w:t>
      </w:r>
      <w:hyperlink w:anchor="_DOSAGE_AND_ADMINISTRATION" w:history="1">
        <w:r w:rsidR="0013441C" w:rsidRPr="00202F95">
          <w:rPr>
            <w:rStyle w:val="Hyperlink"/>
            <w:lang w:eastAsia="ja-JP"/>
          </w:rPr>
          <w:t>DOSAGE AND ADMINISTRATION</w:t>
        </w:r>
      </w:hyperlink>
      <w:r w:rsidRPr="00CC52A1">
        <w:rPr>
          <w:lang w:eastAsia="ja-JP"/>
        </w:rPr>
        <w:t>).</w:t>
      </w:r>
    </w:p>
    <w:p w14:paraId="6A476662" w14:textId="77777777" w:rsidR="009D3922" w:rsidRPr="00CC52A1" w:rsidRDefault="009D3922" w:rsidP="001950DB">
      <w:pPr>
        <w:pStyle w:val="Heading3"/>
        <w:rPr>
          <w:lang w:eastAsia="ja-JP"/>
        </w:rPr>
      </w:pPr>
      <w:r w:rsidRPr="00CC52A1">
        <w:rPr>
          <w:lang w:eastAsia="ja-JP"/>
        </w:rPr>
        <w:t>OATP1B1/1B3 and P-</w:t>
      </w:r>
      <w:proofErr w:type="spellStart"/>
      <w:r w:rsidRPr="00CC52A1">
        <w:rPr>
          <w:lang w:eastAsia="ja-JP"/>
        </w:rPr>
        <w:t>gp</w:t>
      </w:r>
      <w:proofErr w:type="spellEnd"/>
      <w:r w:rsidRPr="00CC52A1">
        <w:rPr>
          <w:lang w:eastAsia="ja-JP"/>
        </w:rPr>
        <w:t xml:space="preserve"> Inhibitors</w:t>
      </w:r>
    </w:p>
    <w:p w14:paraId="6A476663" w14:textId="3BCAC9A3" w:rsidR="009D3922" w:rsidRPr="00CC52A1" w:rsidRDefault="009D3922" w:rsidP="001950DB">
      <w:pPr>
        <w:rPr>
          <w:lang w:eastAsia="ja-JP"/>
        </w:rPr>
      </w:pPr>
      <w:r w:rsidRPr="00CC52A1">
        <w:rPr>
          <w:lang w:eastAsia="ja-JP"/>
        </w:rPr>
        <w:t xml:space="preserve">Co-administration of a 600 mg single dose of </w:t>
      </w:r>
      <w:proofErr w:type="spellStart"/>
      <w:r w:rsidRPr="00CC52A1">
        <w:rPr>
          <w:lang w:eastAsia="ja-JP"/>
        </w:rPr>
        <w:t>rifampin</w:t>
      </w:r>
      <w:proofErr w:type="spellEnd"/>
      <w:r w:rsidRPr="00CC52A1">
        <w:rPr>
          <w:lang w:eastAsia="ja-JP"/>
        </w:rPr>
        <w:t>, an OATP1B1/1B3 and P-</w:t>
      </w:r>
      <w:proofErr w:type="spellStart"/>
      <w:r w:rsidRPr="00CC52A1">
        <w:rPr>
          <w:lang w:eastAsia="ja-JP"/>
        </w:rPr>
        <w:t>gp</w:t>
      </w:r>
      <w:proofErr w:type="spellEnd"/>
      <w:r w:rsidRPr="00CC52A1">
        <w:rPr>
          <w:lang w:eastAsia="ja-JP"/>
        </w:rPr>
        <w:t xml:space="preserve"> inhibitor, in 11 healthy subjects increased </w:t>
      </w:r>
      <w:proofErr w:type="spellStart"/>
      <w:r w:rsidRPr="00CC52A1">
        <w:rPr>
          <w:lang w:eastAsia="ja-JP"/>
        </w:rPr>
        <w:t>venetoclax</w:t>
      </w:r>
      <w:proofErr w:type="spellEnd"/>
      <w:r w:rsidRPr="00CC52A1">
        <w:rPr>
          <w:lang w:eastAsia="ja-JP"/>
        </w:rPr>
        <w:t xml:space="preserve"> </w:t>
      </w:r>
      <w:proofErr w:type="spellStart"/>
      <w:r w:rsidRPr="00CC52A1">
        <w:rPr>
          <w:lang w:eastAsia="ja-JP"/>
        </w:rPr>
        <w:t>C</w:t>
      </w:r>
      <w:r w:rsidRPr="00CC52A1">
        <w:rPr>
          <w:vertAlign w:val="subscript"/>
          <w:lang w:eastAsia="ja-JP"/>
        </w:rPr>
        <w:t>max</w:t>
      </w:r>
      <w:proofErr w:type="spellEnd"/>
      <w:r w:rsidRPr="00CC52A1">
        <w:rPr>
          <w:lang w:eastAsia="ja-JP"/>
        </w:rPr>
        <w:t xml:space="preserve"> by 106% and AUC</w:t>
      </w:r>
      <w:r w:rsidRPr="00CC52A1">
        <w:rPr>
          <w:sz w:val="24"/>
          <w:szCs w:val="24"/>
          <w:vertAlign w:val="subscript"/>
          <w:lang w:eastAsia="ja-JP"/>
        </w:rPr>
        <w:t>∞</w:t>
      </w:r>
      <w:r w:rsidRPr="00CC52A1">
        <w:rPr>
          <w:lang w:eastAsia="ja-JP"/>
        </w:rPr>
        <w:t xml:space="preserve"> by 78%. </w:t>
      </w:r>
      <w:r w:rsidR="00A82A13" w:rsidRPr="00A82A13">
        <w:rPr>
          <w:lang w:eastAsia="ja-JP"/>
        </w:rPr>
        <w:t xml:space="preserve">Concomitant use of </w:t>
      </w:r>
      <w:proofErr w:type="spellStart"/>
      <w:r w:rsidR="00A82A13" w:rsidRPr="00A82A13">
        <w:rPr>
          <w:lang w:eastAsia="ja-JP"/>
        </w:rPr>
        <w:t>venetoclax</w:t>
      </w:r>
      <w:proofErr w:type="spellEnd"/>
      <w:r w:rsidR="00A82A13" w:rsidRPr="00A82A13">
        <w:rPr>
          <w:lang w:eastAsia="ja-JP"/>
        </w:rPr>
        <w:t xml:space="preserve"> with P-</w:t>
      </w:r>
      <w:proofErr w:type="spellStart"/>
      <w:r w:rsidR="00A82A13" w:rsidRPr="00A82A13">
        <w:rPr>
          <w:lang w:eastAsia="ja-JP"/>
        </w:rPr>
        <w:t>gp</w:t>
      </w:r>
      <w:proofErr w:type="spellEnd"/>
      <w:r w:rsidR="00A82A13" w:rsidRPr="00A82A13">
        <w:rPr>
          <w:lang w:eastAsia="ja-JP"/>
        </w:rPr>
        <w:t xml:space="preserve"> inhibitors at initiation and during the dose titration phase should be avoided; if a P-</w:t>
      </w:r>
      <w:proofErr w:type="spellStart"/>
      <w:r w:rsidR="00A82A13" w:rsidRPr="00A82A13">
        <w:rPr>
          <w:lang w:eastAsia="ja-JP"/>
        </w:rPr>
        <w:t>gp</w:t>
      </w:r>
      <w:proofErr w:type="spellEnd"/>
      <w:r w:rsidR="00A82A13" w:rsidRPr="00A82A13">
        <w:rPr>
          <w:lang w:eastAsia="ja-JP"/>
        </w:rPr>
        <w:t xml:space="preserve"> inhibitor must be used, patients should be monitored closely for signs of toxicities.</w:t>
      </w:r>
    </w:p>
    <w:p w14:paraId="6A476664" w14:textId="77777777" w:rsidR="009D3922" w:rsidRPr="00CC52A1" w:rsidRDefault="009D3922" w:rsidP="00DB386C">
      <w:pPr>
        <w:jc w:val="both"/>
        <w:rPr>
          <w:rFonts w:eastAsia="TimesNewRoman" w:cs="Arial"/>
          <w:u w:val="single"/>
          <w:lang w:eastAsia="ja-JP"/>
        </w:rPr>
      </w:pPr>
      <w:r w:rsidRPr="00CC52A1">
        <w:rPr>
          <w:rFonts w:eastAsia="TimesNewRoman" w:cs="Arial"/>
          <w:u w:val="single"/>
          <w:lang w:eastAsia="ja-JP"/>
        </w:rPr>
        <w:t>CYP3A I</w:t>
      </w:r>
      <w:r w:rsidRPr="001950DB">
        <w:rPr>
          <w:rStyle w:val="Heading3Char"/>
          <w:rFonts w:eastAsiaTheme="minorHAnsi"/>
        </w:rPr>
        <w:t>n</w:t>
      </w:r>
      <w:proofErr w:type="spellStart"/>
      <w:r w:rsidRPr="00CC52A1">
        <w:rPr>
          <w:rFonts w:eastAsia="TimesNewRoman" w:cs="Arial"/>
          <w:u w:val="single"/>
          <w:lang w:eastAsia="ja-JP"/>
        </w:rPr>
        <w:t>ducers</w:t>
      </w:r>
      <w:proofErr w:type="spellEnd"/>
    </w:p>
    <w:p w14:paraId="6A476665" w14:textId="32E16342" w:rsidR="009D3922" w:rsidRPr="00CC52A1" w:rsidRDefault="009D3922" w:rsidP="001950DB">
      <w:pPr>
        <w:rPr>
          <w:lang w:eastAsia="ja-JP"/>
        </w:rPr>
      </w:pPr>
      <w:r w:rsidRPr="00CC52A1">
        <w:rPr>
          <w:lang w:eastAsia="ja-JP"/>
        </w:rPr>
        <w:t xml:space="preserve">Co-administration of 600 mg once daily rifampicin, a strong CYP3A inducer, for 13 days in 10 healthy subjects decreased </w:t>
      </w:r>
      <w:proofErr w:type="spellStart"/>
      <w:r w:rsidRPr="00CC52A1">
        <w:rPr>
          <w:lang w:eastAsia="ja-JP"/>
        </w:rPr>
        <w:t>venetoclax</w:t>
      </w:r>
      <w:proofErr w:type="spellEnd"/>
      <w:r w:rsidRPr="00CC52A1">
        <w:rPr>
          <w:lang w:eastAsia="ja-JP"/>
        </w:rPr>
        <w:t xml:space="preserve"> </w:t>
      </w:r>
      <w:proofErr w:type="spellStart"/>
      <w:r w:rsidRPr="00CC52A1">
        <w:rPr>
          <w:lang w:eastAsia="ja-JP"/>
        </w:rPr>
        <w:t>C</w:t>
      </w:r>
      <w:r w:rsidRPr="00CC52A1">
        <w:rPr>
          <w:vertAlign w:val="subscript"/>
          <w:lang w:eastAsia="ja-JP"/>
        </w:rPr>
        <w:t>max</w:t>
      </w:r>
      <w:proofErr w:type="spellEnd"/>
      <w:r w:rsidRPr="00CC52A1">
        <w:rPr>
          <w:lang w:eastAsia="ja-JP"/>
        </w:rPr>
        <w:t xml:space="preserve"> by 42% and AUC</w:t>
      </w:r>
      <w:r w:rsidRPr="00CC52A1">
        <w:rPr>
          <w:sz w:val="24"/>
          <w:szCs w:val="24"/>
          <w:vertAlign w:val="subscript"/>
          <w:lang w:eastAsia="ja-JP"/>
        </w:rPr>
        <w:t>∞</w:t>
      </w:r>
      <w:r w:rsidRPr="00CC52A1">
        <w:rPr>
          <w:lang w:eastAsia="ja-JP"/>
        </w:rPr>
        <w:t xml:space="preserve"> by 71%. Concomitant use of VENCLEXTA with strong CYP3A inducers (e.g., carbamazepine, phenytoin, rifampicin, St. John’s wort (</w:t>
      </w:r>
      <w:proofErr w:type="spellStart"/>
      <w:r w:rsidRPr="00CC52A1">
        <w:rPr>
          <w:i/>
          <w:lang w:eastAsia="ja-JP"/>
        </w:rPr>
        <w:t>Hypericum</w:t>
      </w:r>
      <w:proofErr w:type="spellEnd"/>
      <w:r w:rsidRPr="00CC52A1">
        <w:rPr>
          <w:i/>
          <w:lang w:eastAsia="ja-JP"/>
        </w:rPr>
        <w:t xml:space="preserve"> </w:t>
      </w:r>
      <w:proofErr w:type="spellStart"/>
      <w:r w:rsidRPr="00CC52A1">
        <w:rPr>
          <w:i/>
          <w:lang w:eastAsia="ja-JP"/>
        </w:rPr>
        <w:t>perforatum</w:t>
      </w:r>
      <w:proofErr w:type="spellEnd"/>
      <w:r w:rsidRPr="00CC52A1">
        <w:rPr>
          <w:lang w:eastAsia="ja-JP"/>
        </w:rPr>
        <w:t xml:space="preserve">)) or moderate CYP3A inducers (e.g., </w:t>
      </w:r>
      <w:proofErr w:type="spellStart"/>
      <w:r w:rsidRPr="00CC52A1">
        <w:rPr>
          <w:lang w:eastAsia="ja-JP"/>
        </w:rPr>
        <w:t>bosentan</w:t>
      </w:r>
      <w:proofErr w:type="spellEnd"/>
      <w:r w:rsidRPr="00CC52A1">
        <w:rPr>
          <w:lang w:eastAsia="ja-JP"/>
        </w:rPr>
        <w:t xml:space="preserve">, </w:t>
      </w:r>
      <w:proofErr w:type="spellStart"/>
      <w:r w:rsidRPr="00CC52A1">
        <w:rPr>
          <w:lang w:eastAsia="ja-JP"/>
        </w:rPr>
        <w:t>efavirenz</w:t>
      </w:r>
      <w:proofErr w:type="spellEnd"/>
      <w:r w:rsidRPr="00CC52A1">
        <w:rPr>
          <w:lang w:eastAsia="ja-JP"/>
        </w:rPr>
        <w:t xml:space="preserve">, </w:t>
      </w:r>
      <w:proofErr w:type="spellStart"/>
      <w:r w:rsidRPr="00CC52A1">
        <w:rPr>
          <w:lang w:eastAsia="ja-JP"/>
        </w:rPr>
        <w:t>etravirine</w:t>
      </w:r>
      <w:proofErr w:type="spellEnd"/>
      <w:r w:rsidRPr="00CC52A1">
        <w:rPr>
          <w:lang w:eastAsia="ja-JP"/>
        </w:rPr>
        <w:t xml:space="preserve">, </w:t>
      </w:r>
      <w:proofErr w:type="spellStart"/>
      <w:r w:rsidRPr="00CC52A1">
        <w:rPr>
          <w:lang w:eastAsia="ja-JP"/>
        </w:rPr>
        <w:t>modafinil</w:t>
      </w:r>
      <w:proofErr w:type="spellEnd"/>
      <w:r w:rsidRPr="00CC52A1">
        <w:rPr>
          <w:lang w:eastAsia="ja-JP"/>
        </w:rPr>
        <w:t xml:space="preserve">, </w:t>
      </w:r>
      <w:proofErr w:type="spellStart"/>
      <w:proofErr w:type="gramStart"/>
      <w:r w:rsidRPr="00CC52A1">
        <w:rPr>
          <w:lang w:eastAsia="ja-JP"/>
        </w:rPr>
        <w:t>nafcillin</w:t>
      </w:r>
      <w:proofErr w:type="spellEnd"/>
      <w:proofErr w:type="gramEnd"/>
      <w:r w:rsidRPr="00CC52A1">
        <w:rPr>
          <w:lang w:eastAsia="ja-JP"/>
        </w:rPr>
        <w:t xml:space="preserve">) should be avoided. Alternative treatments with less CYP3A induction should be considered (see </w:t>
      </w:r>
      <w:hyperlink w:anchor="_Pharmacokinetics" w:history="1">
        <w:r w:rsidR="0013441C" w:rsidRPr="00202F95">
          <w:rPr>
            <w:rStyle w:val="Hyperlink"/>
            <w:lang w:eastAsia="ja-JP"/>
          </w:rPr>
          <w:t>PHARMACOLOGY:</w:t>
        </w:r>
        <w:r w:rsidRPr="00202F95">
          <w:rPr>
            <w:rStyle w:val="Hyperlink"/>
            <w:lang w:eastAsia="ja-JP"/>
          </w:rPr>
          <w:t xml:space="preserve"> Pharmacokinetics</w:t>
        </w:r>
      </w:hyperlink>
      <w:r w:rsidRPr="00CC52A1">
        <w:rPr>
          <w:lang w:eastAsia="ja-JP"/>
        </w:rPr>
        <w:t>).</w:t>
      </w:r>
    </w:p>
    <w:p w14:paraId="6A476666" w14:textId="77777777" w:rsidR="009D3922" w:rsidRPr="00CC52A1" w:rsidRDefault="009D3922" w:rsidP="001950DB">
      <w:pPr>
        <w:pStyle w:val="Heading3"/>
      </w:pPr>
      <w:r w:rsidRPr="00CC52A1">
        <w:t>Gastric Acid Reducing Agents</w:t>
      </w:r>
    </w:p>
    <w:p w14:paraId="6A476667" w14:textId="77777777" w:rsidR="009D3922" w:rsidRPr="00CC52A1" w:rsidRDefault="009D3922" w:rsidP="00202F95">
      <w:r w:rsidRPr="00CC52A1">
        <w:t xml:space="preserve">Based on population pharmacokinetic analysis, gastric acid reducing agents (e.g., proton pump inhibitors, H2-receptor antagonists, antacids) do not affect </w:t>
      </w:r>
      <w:proofErr w:type="spellStart"/>
      <w:r w:rsidRPr="00CC52A1">
        <w:t>venetoclax</w:t>
      </w:r>
      <w:proofErr w:type="spellEnd"/>
      <w:r w:rsidRPr="00CC52A1">
        <w:t xml:space="preserve"> bioavailability.</w:t>
      </w:r>
    </w:p>
    <w:p w14:paraId="6A476668" w14:textId="77777777" w:rsidR="009D3922" w:rsidRPr="00CC52A1" w:rsidRDefault="009D3922" w:rsidP="001950DB">
      <w:pPr>
        <w:pStyle w:val="Heading2"/>
      </w:pPr>
      <w:r w:rsidRPr="00CC52A1">
        <w:t xml:space="preserve">Potential </w:t>
      </w:r>
      <w:r w:rsidRPr="001950DB">
        <w:t>Effects</w:t>
      </w:r>
      <w:r w:rsidRPr="00CC52A1">
        <w:t xml:space="preserve"> of VENCLEXTA on Other Medicines</w:t>
      </w:r>
    </w:p>
    <w:p w14:paraId="6A476669" w14:textId="77777777" w:rsidR="009D3922" w:rsidRPr="00CC52A1" w:rsidRDefault="009D3922" w:rsidP="001950DB">
      <w:pPr>
        <w:pStyle w:val="Heading3"/>
      </w:pPr>
      <w:r w:rsidRPr="00CC52A1">
        <w:t>Warfarin</w:t>
      </w:r>
    </w:p>
    <w:p w14:paraId="6A47666A" w14:textId="77777777" w:rsidR="009D3922" w:rsidRDefault="009D3922" w:rsidP="001950DB">
      <w:r w:rsidRPr="00CC52A1">
        <w:t xml:space="preserve">In a drug-drug interaction study in healthy volunteers, administration of a single 400 mg dose of </w:t>
      </w:r>
      <w:proofErr w:type="spellStart"/>
      <w:r w:rsidRPr="00CC52A1">
        <w:t>venetoclax</w:t>
      </w:r>
      <w:proofErr w:type="spellEnd"/>
      <w:r w:rsidRPr="00CC52A1">
        <w:t xml:space="preserve"> with 5 mg warfarin resulted in an 18% to 28% increase in </w:t>
      </w:r>
      <w:proofErr w:type="spellStart"/>
      <w:r w:rsidRPr="00CC52A1">
        <w:t>C</w:t>
      </w:r>
      <w:r w:rsidRPr="00CC52A1">
        <w:rPr>
          <w:vertAlign w:val="subscript"/>
        </w:rPr>
        <w:t>max</w:t>
      </w:r>
      <w:proofErr w:type="spellEnd"/>
      <w:r w:rsidRPr="00CC52A1">
        <w:t xml:space="preserve"> and AUC</w:t>
      </w:r>
      <w:r w:rsidRPr="00CC52A1">
        <w:rPr>
          <w:sz w:val="24"/>
          <w:szCs w:val="24"/>
          <w:vertAlign w:val="subscript"/>
        </w:rPr>
        <w:t>∞</w:t>
      </w:r>
      <w:r w:rsidRPr="00CC52A1">
        <w:t xml:space="preserve"> of R-warfarin and S-warfarin. Because </w:t>
      </w:r>
      <w:proofErr w:type="spellStart"/>
      <w:r w:rsidRPr="00CC52A1">
        <w:t>venetoclax</w:t>
      </w:r>
      <w:proofErr w:type="spellEnd"/>
      <w:r w:rsidRPr="00CC52A1">
        <w:t xml:space="preserve"> was not dosed to steady state, it is recommended that the international normalised ratio (INR) be monitored closely in patients receiving warfarin.</w:t>
      </w:r>
    </w:p>
    <w:p w14:paraId="6A47666C" w14:textId="77777777" w:rsidR="00DD62A5" w:rsidRPr="00DD62A5" w:rsidRDefault="00DD62A5" w:rsidP="00124336">
      <w:pPr>
        <w:pStyle w:val="Heading1"/>
        <w:spacing w:before="0" w:after="240" w:line="360" w:lineRule="exact"/>
      </w:pPr>
      <w:r>
        <w:t>ADVERSE EFFECTS</w:t>
      </w:r>
    </w:p>
    <w:p w14:paraId="6A47666D" w14:textId="77777777" w:rsidR="009D3922" w:rsidRPr="00CC52A1" w:rsidRDefault="009D3922" w:rsidP="00ED7C00">
      <w:pPr>
        <w:pStyle w:val="Heading2"/>
      </w:pPr>
      <w:r w:rsidRPr="00CC52A1">
        <w:t>Clinical Trial Experience</w:t>
      </w:r>
    </w:p>
    <w:p w14:paraId="6A47666E" w14:textId="77777777" w:rsidR="009D3922" w:rsidRPr="00CC52A1" w:rsidRDefault="009D3922" w:rsidP="001950DB">
      <w:r w:rsidRPr="00CC52A1">
        <w:t>Because clinical trials are conducted under widely variable conditions, adverse event rates observed in clinical trials of a drug cannot be directly compared with rates of clinical trials of another drug and may not reflect the rates observed in practice.</w:t>
      </w:r>
    </w:p>
    <w:p w14:paraId="6A47666F" w14:textId="2EC016E0" w:rsidR="009D3922" w:rsidRPr="00CC52A1" w:rsidRDefault="009D3922" w:rsidP="001950DB">
      <w:r w:rsidRPr="00CC52A1">
        <w:t xml:space="preserve">The safety of single agent VENCLEXTA at the 400 mg recommended daily dose following a dose titration schedule was evaluated in 240 patients with previously treated CLL, including 160 patients with 17p del, in 3 open-label, non-randomised trials (two phase 2 studies and one phase 1 study). Study M13-982 enrolled previously treated patients </w:t>
      </w:r>
      <w:r w:rsidR="00A43710">
        <w:t xml:space="preserve">with CLL </w:t>
      </w:r>
      <w:r w:rsidRPr="00CC52A1">
        <w:t xml:space="preserve">with 17p </w:t>
      </w:r>
      <w:proofErr w:type="gramStart"/>
      <w:r w:rsidRPr="00CC52A1">
        <w:t>del</w:t>
      </w:r>
      <w:proofErr w:type="gramEnd"/>
      <w:r w:rsidRPr="00CC52A1">
        <w:t xml:space="preserve">, Study M12-175 enrolled previously treated patients </w:t>
      </w:r>
      <w:r w:rsidR="00A43710">
        <w:t xml:space="preserve">with CLL </w:t>
      </w:r>
      <w:r w:rsidRPr="00CC52A1">
        <w:t xml:space="preserve">including those with 17p del, and Study M14-032 enrolled patients </w:t>
      </w:r>
      <w:r w:rsidR="00A43710">
        <w:t xml:space="preserve">with CLL </w:t>
      </w:r>
      <w:r w:rsidRPr="00CC52A1">
        <w:t xml:space="preserve">who had failed an inhibitor of the B-cell receptor pathway. In the pooled dataset, the median age of these patients was 66 years (range: 29 to 85 years), 94.5% were white, and 69.2% were male. The median number of prior therapies was 3 (range: 1 to 12) and the median duration of treatment at the time of data analysis was </w:t>
      </w:r>
      <w:r w:rsidRPr="00CC52A1">
        <w:lastRenderedPageBreak/>
        <w:t>approximately 10.3 months (range: 0 to 34.1 months); approximately 46% of patients received VENCLEXTA for more than 48 weeks.</w:t>
      </w:r>
    </w:p>
    <w:p w14:paraId="6A476670" w14:textId="77777777" w:rsidR="009D3922" w:rsidRPr="00CC52A1" w:rsidRDefault="009D3922" w:rsidP="001950DB">
      <w:pPr>
        <w:pStyle w:val="Heading3"/>
      </w:pPr>
      <w:r w:rsidRPr="00CC52A1">
        <w:t>Tabulated list of adverse reactions</w:t>
      </w:r>
    </w:p>
    <w:p w14:paraId="73B93424" w14:textId="77777777" w:rsidR="001950DB" w:rsidRDefault="009D3922" w:rsidP="001950DB">
      <w:pPr>
        <w:rPr>
          <w:lang w:val="en-US"/>
        </w:rPr>
      </w:pPr>
      <w:r w:rsidRPr="00CC52A1">
        <w:rPr>
          <w:lang w:val="en-US"/>
        </w:rPr>
        <w:t xml:space="preserve">The frequencies of adverse drug reactions (ADRs) reported with </w:t>
      </w:r>
      <w:r w:rsidRPr="00CC52A1">
        <w:rPr>
          <w:lang w:val="en-GB"/>
        </w:rPr>
        <w:t>VENCLEXTA</w:t>
      </w:r>
      <w:r w:rsidRPr="00CC52A1">
        <w:rPr>
          <w:lang w:val="en-US"/>
        </w:rPr>
        <w:t xml:space="preserve"> are </w:t>
      </w:r>
      <w:proofErr w:type="spellStart"/>
      <w:r w:rsidRPr="00CC52A1">
        <w:rPr>
          <w:lang w:val="en-US"/>
        </w:rPr>
        <w:t>summarised</w:t>
      </w:r>
      <w:proofErr w:type="spellEnd"/>
      <w:r w:rsidRPr="00CC52A1">
        <w:rPr>
          <w:lang w:val="en-US"/>
        </w:rPr>
        <w:t xml:space="preserve"> in Table 5. Adverse reactions are listed below by </w:t>
      </w:r>
      <w:proofErr w:type="spellStart"/>
      <w:r w:rsidRPr="00CC52A1">
        <w:rPr>
          <w:lang w:val="en-US"/>
        </w:rPr>
        <w:t>MedDRA</w:t>
      </w:r>
      <w:proofErr w:type="spellEnd"/>
      <w:r w:rsidRPr="00CC52A1">
        <w:rPr>
          <w:lang w:val="en-US"/>
        </w:rPr>
        <w:t xml:space="preserve"> body system organ class and by frequency. Frequencies are defined as very common (≥1/10), common (≥1/100 to &lt;1/10), uncommon (≥1/1,000 to &lt;1/100), rare (≥1/10,000 to &lt;1/1,000), very rare (&lt;1/10,000), not known (cannot be estimated from available data). Within each frequency grouping, undesirable effects are presented in order of decreasing seriousness.</w:t>
      </w:r>
    </w:p>
    <w:p w14:paraId="6A476672" w14:textId="7781675E" w:rsidR="009D3922" w:rsidRPr="00CC52A1" w:rsidRDefault="00202F95" w:rsidP="00202F95">
      <w:pPr>
        <w:pStyle w:val="Caption"/>
        <w:rPr>
          <w:lang w:val="en-GB"/>
        </w:rPr>
      </w:pPr>
      <w:proofErr w:type="gramStart"/>
      <w:r>
        <w:t xml:space="preserve">Table </w:t>
      </w:r>
      <w:proofErr w:type="gramEnd"/>
      <w:r>
        <w:fldChar w:fldCharType="begin"/>
      </w:r>
      <w:r>
        <w:instrText xml:space="preserve"> SEQ Table \* ARABIC </w:instrText>
      </w:r>
      <w:r>
        <w:fldChar w:fldCharType="separate"/>
      </w:r>
      <w:r>
        <w:rPr>
          <w:noProof/>
        </w:rPr>
        <w:t>5</w:t>
      </w:r>
      <w:r>
        <w:fldChar w:fldCharType="end"/>
      </w:r>
      <w:proofErr w:type="gramStart"/>
      <w:r>
        <w:t>.</w:t>
      </w:r>
      <w:proofErr w:type="gramEnd"/>
      <w:r w:rsidR="009D3922" w:rsidRPr="00CC52A1">
        <w:rPr>
          <w:lang w:val="en-US"/>
        </w:rPr>
        <w:t xml:space="preserve"> </w:t>
      </w:r>
      <w:r w:rsidR="009D3922" w:rsidRPr="00CC52A1">
        <w:rPr>
          <w:lang w:val="en-GB"/>
        </w:rPr>
        <w:t xml:space="preserve">Adverse drug reactions reported in patients </w:t>
      </w:r>
      <w:r w:rsidR="00E0039E">
        <w:rPr>
          <w:lang w:val="en-GB"/>
        </w:rPr>
        <w:t xml:space="preserve">with CLL </w:t>
      </w:r>
      <w:r w:rsidR="00450B1A">
        <w:rPr>
          <w:lang w:val="en-GB"/>
        </w:rPr>
        <w:t>treated with VENCLEXTA</w:t>
      </w:r>
    </w:p>
    <w:tbl>
      <w:tblPr>
        <w:tblW w:w="81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5: Adverse drug reactions reported in patients with CLL treated with VENCLEXTA "/>
      </w:tblPr>
      <w:tblGrid>
        <w:gridCol w:w="2254"/>
        <w:gridCol w:w="2366"/>
        <w:gridCol w:w="3570"/>
      </w:tblGrid>
      <w:tr w:rsidR="009D3922" w:rsidRPr="00CC52A1" w14:paraId="6A476676" w14:textId="77777777" w:rsidTr="00202F95">
        <w:trPr>
          <w:trHeight w:val="289"/>
          <w:tblHeader/>
        </w:trPr>
        <w:tc>
          <w:tcPr>
            <w:tcW w:w="2254" w:type="dxa"/>
            <w:tcBorders>
              <w:top w:val="single" w:sz="4" w:space="0" w:color="auto"/>
              <w:left w:val="single" w:sz="4" w:space="0" w:color="auto"/>
              <w:bottom w:val="single" w:sz="4" w:space="0" w:color="auto"/>
              <w:right w:val="single" w:sz="4" w:space="0" w:color="auto"/>
            </w:tcBorders>
            <w:vAlign w:val="center"/>
            <w:hideMark/>
          </w:tcPr>
          <w:p w14:paraId="6A476673" w14:textId="77777777" w:rsidR="009D3922" w:rsidRPr="00CC52A1" w:rsidRDefault="009D3922" w:rsidP="00202F95">
            <w:pPr>
              <w:tabs>
                <w:tab w:val="left" w:pos="1440"/>
              </w:tabs>
              <w:spacing w:after="60"/>
              <w:jc w:val="center"/>
              <w:rPr>
                <w:rFonts w:cs="Arial"/>
                <w:b/>
                <w:bCs/>
                <w:lang w:val="en-GB"/>
              </w:rPr>
            </w:pPr>
            <w:r w:rsidRPr="00CC52A1">
              <w:rPr>
                <w:rFonts w:cs="Arial"/>
                <w:b/>
                <w:bCs/>
                <w:lang w:val="en-GB"/>
              </w:rPr>
              <w:t>System Organ Class</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A476674" w14:textId="3A677BE2" w:rsidR="009D3922" w:rsidRPr="00CC52A1" w:rsidRDefault="009D3922" w:rsidP="00202F95">
            <w:pPr>
              <w:tabs>
                <w:tab w:val="left" w:pos="1440"/>
              </w:tabs>
              <w:jc w:val="center"/>
              <w:rPr>
                <w:rFonts w:cs="Arial"/>
                <w:b/>
                <w:bCs/>
                <w:lang w:val="en-GB"/>
              </w:rPr>
            </w:pPr>
            <w:r w:rsidRPr="00CC52A1">
              <w:rPr>
                <w:rFonts w:cs="Arial"/>
                <w:b/>
                <w:bCs/>
                <w:lang w:val="en-GB"/>
              </w:rPr>
              <w:t>Frequency</w:t>
            </w:r>
            <w:r w:rsidR="00B956FA">
              <w:rPr>
                <w:rFonts w:cs="Arial"/>
                <w:b/>
                <w:bCs/>
                <w:lang w:val="en-GB"/>
              </w:rPr>
              <w:t xml:space="preserve"> </w:t>
            </w:r>
            <w:r w:rsidRPr="00CC52A1">
              <w:rPr>
                <w:rFonts w:cs="Arial"/>
                <w:b/>
                <w:bCs/>
                <w:lang w:val="en-GB"/>
              </w:rPr>
              <w:t>(All Grades)</w:t>
            </w:r>
          </w:p>
        </w:tc>
        <w:tc>
          <w:tcPr>
            <w:tcW w:w="3570" w:type="dxa"/>
            <w:tcBorders>
              <w:top w:val="single" w:sz="4" w:space="0" w:color="auto"/>
              <w:left w:val="single" w:sz="4" w:space="0" w:color="auto"/>
              <w:bottom w:val="single" w:sz="4" w:space="0" w:color="auto"/>
              <w:right w:val="single" w:sz="4" w:space="0" w:color="auto"/>
            </w:tcBorders>
            <w:vAlign w:val="center"/>
            <w:hideMark/>
          </w:tcPr>
          <w:p w14:paraId="6A476675" w14:textId="77777777" w:rsidR="009D3922" w:rsidRPr="00CC52A1" w:rsidRDefault="009D3922" w:rsidP="00202F95">
            <w:pPr>
              <w:tabs>
                <w:tab w:val="left" w:pos="1440"/>
              </w:tabs>
              <w:spacing w:after="60"/>
              <w:ind w:right="-108"/>
              <w:jc w:val="center"/>
              <w:rPr>
                <w:rFonts w:cs="Arial"/>
                <w:b/>
                <w:bCs/>
                <w:lang w:val="en-GB"/>
              </w:rPr>
            </w:pPr>
            <w:r w:rsidRPr="00CC52A1">
              <w:rPr>
                <w:rFonts w:cs="Arial"/>
                <w:b/>
                <w:bCs/>
                <w:lang w:val="en-GB"/>
              </w:rPr>
              <w:t>Preferred Term</w:t>
            </w:r>
          </w:p>
        </w:tc>
      </w:tr>
      <w:tr w:rsidR="009D3922" w:rsidRPr="00CC52A1" w14:paraId="6A47667A" w14:textId="77777777" w:rsidTr="0028625F">
        <w:trPr>
          <w:trHeight w:val="289"/>
        </w:trPr>
        <w:tc>
          <w:tcPr>
            <w:tcW w:w="2254" w:type="dxa"/>
            <w:vMerge w:val="restart"/>
            <w:tcBorders>
              <w:top w:val="single" w:sz="4" w:space="0" w:color="auto"/>
              <w:left w:val="single" w:sz="4" w:space="0" w:color="auto"/>
              <w:bottom w:val="single" w:sz="4" w:space="0" w:color="auto"/>
              <w:right w:val="single" w:sz="4" w:space="0" w:color="auto"/>
            </w:tcBorders>
            <w:hideMark/>
          </w:tcPr>
          <w:p w14:paraId="6A476677" w14:textId="77777777" w:rsidR="009D3922" w:rsidRPr="00202F95" w:rsidRDefault="009D3922" w:rsidP="00202F95">
            <w:pPr>
              <w:pStyle w:val="Tabletext"/>
              <w:rPr>
                <w:b/>
              </w:rPr>
            </w:pPr>
            <w:r w:rsidRPr="00202F95">
              <w:rPr>
                <w:b/>
              </w:rPr>
              <w:t>Infections and infestations</w:t>
            </w:r>
          </w:p>
        </w:tc>
        <w:tc>
          <w:tcPr>
            <w:tcW w:w="2366" w:type="dxa"/>
            <w:tcBorders>
              <w:top w:val="single" w:sz="4" w:space="0" w:color="auto"/>
              <w:left w:val="single" w:sz="4" w:space="0" w:color="auto"/>
              <w:bottom w:val="single" w:sz="4" w:space="0" w:color="auto"/>
              <w:right w:val="single" w:sz="4" w:space="0" w:color="auto"/>
            </w:tcBorders>
            <w:hideMark/>
          </w:tcPr>
          <w:p w14:paraId="6A476678" w14:textId="77777777" w:rsidR="009D3922" w:rsidRPr="00CC52A1" w:rsidRDefault="009D3922" w:rsidP="00202F95">
            <w:pPr>
              <w:pStyle w:val="Tabletext"/>
            </w:pPr>
            <w:r w:rsidRPr="00CC52A1">
              <w:t>Very common</w:t>
            </w:r>
          </w:p>
        </w:tc>
        <w:tc>
          <w:tcPr>
            <w:tcW w:w="3570" w:type="dxa"/>
            <w:tcBorders>
              <w:top w:val="single" w:sz="4" w:space="0" w:color="auto"/>
              <w:left w:val="single" w:sz="4" w:space="0" w:color="auto"/>
              <w:bottom w:val="single" w:sz="4" w:space="0" w:color="auto"/>
              <w:right w:val="single" w:sz="4" w:space="0" w:color="auto"/>
            </w:tcBorders>
            <w:hideMark/>
          </w:tcPr>
          <w:p w14:paraId="6A476679" w14:textId="77777777" w:rsidR="009D3922" w:rsidRPr="00CC52A1" w:rsidRDefault="009D3922" w:rsidP="00202F95">
            <w:pPr>
              <w:pStyle w:val="Tabletext"/>
              <w:rPr>
                <w:b/>
              </w:rPr>
            </w:pPr>
            <w:r w:rsidRPr="00CC52A1">
              <w:t>Upper respiratory tract infection</w:t>
            </w:r>
          </w:p>
        </w:tc>
      </w:tr>
      <w:tr w:rsidR="009D3922" w:rsidRPr="00CC52A1" w14:paraId="6A47667F" w14:textId="77777777" w:rsidTr="0028625F">
        <w:trPr>
          <w:trHeight w:val="289"/>
        </w:trPr>
        <w:tc>
          <w:tcPr>
            <w:tcW w:w="2254" w:type="dxa"/>
            <w:vMerge/>
            <w:tcBorders>
              <w:top w:val="single" w:sz="4" w:space="0" w:color="auto"/>
              <w:left w:val="single" w:sz="4" w:space="0" w:color="auto"/>
              <w:bottom w:val="single" w:sz="4" w:space="0" w:color="auto"/>
              <w:right w:val="single" w:sz="4" w:space="0" w:color="auto"/>
            </w:tcBorders>
            <w:vAlign w:val="center"/>
            <w:hideMark/>
          </w:tcPr>
          <w:p w14:paraId="6A47667B" w14:textId="77777777" w:rsidR="009D3922" w:rsidRPr="00202F95" w:rsidRDefault="009D3922" w:rsidP="00202F95">
            <w:pPr>
              <w:pStyle w:val="Tabletext"/>
              <w:rPr>
                <w:b/>
              </w:rPr>
            </w:pPr>
          </w:p>
        </w:tc>
        <w:tc>
          <w:tcPr>
            <w:tcW w:w="2366" w:type="dxa"/>
            <w:tcBorders>
              <w:top w:val="single" w:sz="4" w:space="0" w:color="auto"/>
              <w:left w:val="single" w:sz="4" w:space="0" w:color="auto"/>
              <w:bottom w:val="single" w:sz="4" w:space="0" w:color="auto"/>
              <w:right w:val="single" w:sz="4" w:space="0" w:color="auto"/>
            </w:tcBorders>
            <w:hideMark/>
          </w:tcPr>
          <w:p w14:paraId="6A47667C" w14:textId="77777777" w:rsidR="009D3922" w:rsidRPr="00CC52A1" w:rsidRDefault="009D3922" w:rsidP="00202F95">
            <w:pPr>
              <w:pStyle w:val="Tabletext"/>
            </w:pPr>
            <w:r w:rsidRPr="00CC52A1">
              <w:t>Common</w:t>
            </w:r>
          </w:p>
        </w:tc>
        <w:tc>
          <w:tcPr>
            <w:tcW w:w="3570" w:type="dxa"/>
            <w:tcBorders>
              <w:top w:val="single" w:sz="4" w:space="0" w:color="auto"/>
              <w:left w:val="single" w:sz="4" w:space="0" w:color="auto"/>
              <w:bottom w:val="single" w:sz="4" w:space="0" w:color="auto"/>
              <w:right w:val="single" w:sz="4" w:space="0" w:color="auto"/>
            </w:tcBorders>
            <w:hideMark/>
          </w:tcPr>
          <w:p w14:paraId="6A47667D" w14:textId="77777777" w:rsidR="009D3922" w:rsidRPr="00CC52A1" w:rsidRDefault="009D3922" w:rsidP="00202F95">
            <w:pPr>
              <w:pStyle w:val="Tabletext"/>
            </w:pPr>
            <w:r w:rsidRPr="00CC52A1">
              <w:t>Pneumonia</w:t>
            </w:r>
          </w:p>
          <w:p w14:paraId="6A47667E" w14:textId="77777777" w:rsidR="009D3922" w:rsidRPr="00CC52A1" w:rsidRDefault="009D3922" w:rsidP="00202F95">
            <w:pPr>
              <w:pStyle w:val="Tabletext"/>
            </w:pPr>
            <w:r w:rsidRPr="00CC52A1">
              <w:t>Urinary tract infection</w:t>
            </w:r>
          </w:p>
        </w:tc>
      </w:tr>
      <w:tr w:rsidR="00A43710" w:rsidRPr="00CC52A1" w14:paraId="6A476683" w14:textId="77777777" w:rsidTr="0028625F">
        <w:trPr>
          <w:trHeight w:val="458"/>
        </w:trPr>
        <w:tc>
          <w:tcPr>
            <w:tcW w:w="2254" w:type="dxa"/>
            <w:vMerge w:val="restart"/>
            <w:tcBorders>
              <w:top w:val="single" w:sz="4" w:space="0" w:color="auto"/>
              <w:left w:val="single" w:sz="4" w:space="0" w:color="auto"/>
              <w:right w:val="single" w:sz="4" w:space="0" w:color="auto"/>
            </w:tcBorders>
            <w:hideMark/>
          </w:tcPr>
          <w:p w14:paraId="6A476680" w14:textId="77777777" w:rsidR="00A43710" w:rsidRPr="00202F95" w:rsidRDefault="00A43710" w:rsidP="00202F95">
            <w:pPr>
              <w:pStyle w:val="Tabletext"/>
              <w:rPr>
                <w:b/>
              </w:rPr>
            </w:pPr>
            <w:r w:rsidRPr="00202F95">
              <w:rPr>
                <w:b/>
              </w:rPr>
              <w:t>Blood and lymphatic system disorders</w:t>
            </w:r>
          </w:p>
        </w:tc>
        <w:tc>
          <w:tcPr>
            <w:tcW w:w="2366" w:type="dxa"/>
            <w:vMerge w:val="restart"/>
            <w:tcBorders>
              <w:top w:val="single" w:sz="4" w:space="0" w:color="auto"/>
              <w:left w:val="single" w:sz="4" w:space="0" w:color="auto"/>
              <w:right w:val="single" w:sz="4" w:space="0" w:color="auto"/>
            </w:tcBorders>
            <w:hideMark/>
          </w:tcPr>
          <w:p w14:paraId="6A476681" w14:textId="77777777" w:rsidR="00A43710" w:rsidRPr="00CC52A1" w:rsidRDefault="00A43710" w:rsidP="00202F95">
            <w:pPr>
              <w:pStyle w:val="Tabletext"/>
            </w:pPr>
            <w:r w:rsidRPr="00CC52A1">
              <w:t>Very common</w:t>
            </w:r>
          </w:p>
        </w:tc>
        <w:tc>
          <w:tcPr>
            <w:tcW w:w="3570" w:type="dxa"/>
            <w:tcBorders>
              <w:top w:val="single" w:sz="4" w:space="0" w:color="auto"/>
              <w:left w:val="single" w:sz="4" w:space="0" w:color="auto"/>
              <w:bottom w:val="single" w:sz="4" w:space="0" w:color="auto"/>
              <w:right w:val="single" w:sz="4" w:space="0" w:color="auto"/>
            </w:tcBorders>
            <w:hideMark/>
          </w:tcPr>
          <w:p w14:paraId="6A476682" w14:textId="77777777" w:rsidR="00A43710" w:rsidRPr="00CC52A1" w:rsidRDefault="00A43710" w:rsidP="00202F95">
            <w:pPr>
              <w:pStyle w:val="Tabletext"/>
            </w:pPr>
            <w:proofErr w:type="spellStart"/>
            <w:r w:rsidRPr="00CC52A1">
              <w:t>Neutropenia</w:t>
            </w:r>
            <w:r w:rsidRPr="00CC52A1">
              <w:rPr>
                <w:vertAlign w:val="superscript"/>
              </w:rPr>
              <w:t>a</w:t>
            </w:r>
            <w:proofErr w:type="spellEnd"/>
          </w:p>
        </w:tc>
      </w:tr>
      <w:tr w:rsidR="00A43710" w:rsidRPr="00CC52A1" w14:paraId="00EFDAE5" w14:textId="77777777" w:rsidTr="0028625F">
        <w:trPr>
          <w:trHeight w:val="458"/>
        </w:trPr>
        <w:tc>
          <w:tcPr>
            <w:tcW w:w="2254" w:type="dxa"/>
            <w:vMerge/>
            <w:tcBorders>
              <w:top w:val="single" w:sz="4" w:space="0" w:color="auto"/>
              <w:left w:val="single" w:sz="4" w:space="0" w:color="auto"/>
              <w:right w:val="single" w:sz="4" w:space="0" w:color="auto"/>
            </w:tcBorders>
          </w:tcPr>
          <w:p w14:paraId="1D78D67E" w14:textId="77777777" w:rsidR="00A43710" w:rsidRPr="00202F95" w:rsidRDefault="00A43710" w:rsidP="00202F95">
            <w:pPr>
              <w:pStyle w:val="Tabletext"/>
              <w:rPr>
                <w:b/>
              </w:rPr>
            </w:pPr>
          </w:p>
        </w:tc>
        <w:tc>
          <w:tcPr>
            <w:tcW w:w="2366" w:type="dxa"/>
            <w:vMerge/>
            <w:tcBorders>
              <w:left w:val="single" w:sz="4" w:space="0" w:color="auto"/>
              <w:bottom w:val="single" w:sz="4" w:space="0" w:color="auto"/>
              <w:right w:val="single" w:sz="4" w:space="0" w:color="auto"/>
            </w:tcBorders>
          </w:tcPr>
          <w:p w14:paraId="3FC9739E" w14:textId="77777777" w:rsidR="00A43710" w:rsidRPr="00CC52A1" w:rsidRDefault="00A43710" w:rsidP="00202F95">
            <w:pPr>
              <w:pStyle w:val="Tabletext"/>
            </w:pPr>
          </w:p>
        </w:tc>
        <w:tc>
          <w:tcPr>
            <w:tcW w:w="3570" w:type="dxa"/>
            <w:tcBorders>
              <w:top w:val="single" w:sz="4" w:space="0" w:color="auto"/>
              <w:left w:val="single" w:sz="4" w:space="0" w:color="auto"/>
              <w:bottom w:val="single" w:sz="4" w:space="0" w:color="auto"/>
              <w:right w:val="single" w:sz="4" w:space="0" w:color="auto"/>
            </w:tcBorders>
          </w:tcPr>
          <w:p w14:paraId="2E65580E" w14:textId="6183EC90" w:rsidR="00A43710" w:rsidRPr="00CC52A1" w:rsidRDefault="00A43710" w:rsidP="00202F95">
            <w:pPr>
              <w:pStyle w:val="Tabletext"/>
            </w:pPr>
            <w:proofErr w:type="spellStart"/>
            <w:r>
              <w:t>Anaemia</w:t>
            </w:r>
            <w:r w:rsidRPr="00CC52A1">
              <w:rPr>
                <w:vertAlign w:val="superscript"/>
              </w:rPr>
              <w:t>b</w:t>
            </w:r>
            <w:proofErr w:type="spellEnd"/>
          </w:p>
        </w:tc>
      </w:tr>
      <w:tr w:rsidR="00A43710" w:rsidRPr="00CC52A1" w14:paraId="6A476687" w14:textId="77777777" w:rsidTr="0028625F">
        <w:trPr>
          <w:trHeight w:val="539"/>
        </w:trPr>
        <w:tc>
          <w:tcPr>
            <w:tcW w:w="2254" w:type="dxa"/>
            <w:vMerge/>
            <w:tcBorders>
              <w:left w:val="single" w:sz="4" w:space="0" w:color="auto"/>
              <w:right w:val="single" w:sz="4" w:space="0" w:color="auto"/>
            </w:tcBorders>
            <w:vAlign w:val="center"/>
            <w:hideMark/>
          </w:tcPr>
          <w:p w14:paraId="6A476684" w14:textId="77777777" w:rsidR="00A43710" w:rsidRPr="00202F95" w:rsidRDefault="00A43710" w:rsidP="00202F95">
            <w:pPr>
              <w:pStyle w:val="Tabletext"/>
              <w:rPr>
                <w:b/>
              </w:rPr>
            </w:pPr>
          </w:p>
        </w:tc>
        <w:tc>
          <w:tcPr>
            <w:tcW w:w="2366" w:type="dxa"/>
            <w:vMerge w:val="restart"/>
            <w:tcBorders>
              <w:top w:val="single" w:sz="4" w:space="0" w:color="auto"/>
              <w:left w:val="single" w:sz="4" w:space="0" w:color="auto"/>
              <w:right w:val="single" w:sz="4" w:space="0" w:color="auto"/>
            </w:tcBorders>
            <w:hideMark/>
          </w:tcPr>
          <w:p w14:paraId="6A476685" w14:textId="77777777" w:rsidR="00A43710" w:rsidRPr="00CC52A1" w:rsidRDefault="00A43710" w:rsidP="00202F95">
            <w:pPr>
              <w:pStyle w:val="Tabletext"/>
            </w:pPr>
            <w:r w:rsidRPr="00CC52A1">
              <w:t>Common</w:t>
            </w:r>
          </w:p>
        </w:tc>
        <w:tc>
          <w:tcPr>
            <w:tcW w:w="3570" w:type="dxa"/>
            <w:tcBorders>
              <w:top w:val="single" w:sz="4" w:space="0" w:color="auto"/>
              <w:left w:val="single" w:sz="4" w:space="0" w:color="auto"/>
              <w:bottom w:val="single" w:sz="4" w:space="0" w:color="auto"/>
              <w:right w:val="single" w:sz="4" w:space="0" w:color="auto"/>
            </w:tcBorders>
            <w:hideMark/>
          </w:tcPr>
          <w:p w14:paraId="6A476686" w14:textId="77777777" w:rsidR="00A43710" w:rsidRPr="00CC52A1" w:rsidRDefault="00A43710" w:rsidP="00202F95">
            <w:pPr>
              <w:pStyle w:val="Tabletext"/>
            </w:pPr>
            <w:r w:rsidRPr="00CC52A1">
              <w:t>Febrile neutropenia</w:t>
            </w:r>
          </w:p>
        </w:tc>
      </w:tr>
      <w:tr w:rsidR="00A43710" w:rsidRPr="00CC52A1" w14:paraId="7E3D7688" w14:textId="77777777" w:rsidTr="0028625F">
        <w:trPr>
          <w:trHeight w:val="539"/>
        </w:trPr>
        <w:tc>
          <w:tcPr>
            <w:tcW w:w="2254" w:type="dxa"/>
            <w:vMerge/>
            <w:tcBorders>
              <w:left w:val="single" w:sz="4" w:space="0" w:color="auto"/>
              <w:bottom w:val="single" w:sz="4" w:space="0" w:color="auto"/>
              <w:right w:val="single" w:sz="4" w:space="0" w:color="auto"/>
            </w:tcBorders>
            <w:vAlign w:val="center"/>
          </w:tcPr>
          <w:p w14:paraId="7B8B16FB" w14:textId="77777777" w:rsidR="00A43710" w:rsidRPr="00202F95" w:rsidRDefault="00A43710" w:rsidP="00202F95">
            <w:pPr>
              <w:pStyle w:val="Tabletext"/>
              <w:rPr>
                <w:b/>
              </w:rPr>
            </w:pPr>
          </w:p>
        </w:tc>
        <w:tc>
          <w:tcPr>
            <w:tcW w:w="2366" w:type="dxa"/>
            <w:vMerge/>
            <w:tcBorders>
              <w:left w:val="single" w:sz="4" w:space="0" w:color="auto"/>
              <w:bottom w:val="single" w:sz="4" w:space="0" w:color="auto"/>
              <w:right w:val="single" w:sz="4" w:space="0" w:color="auto"/>
            </w:tcBorders>
          </w:tcPr>
          <w:p w14:paraId="21FD947F" w14:textId="77777777" w:rsidR="00A43710" w:rsidRPr="00CC52A1" w:rsidRDefault="00A43710" w:rsidP="00202F95">
            <w:pPr>
              <w:pStyle w:val="Tabletext"/>
            </w:pPr>
          </w:p>
        </w:tc>
        <w:tc>
          <w:tcPr>
            <w:tcW w:w="3570" w:type="dxa"/>
            <w:tcBorders>
              <w:top w:val="single" w:sz="4" w:space="0" w:color="auto"/>
              <w:left w:val="single" w:sz="4" w:space="0" w:color="auto"/>
              <w:bottom w:val="single" w:sz="4" w:space="0" w:color="auto"/>
              <w:right w:val="single" w:sz="4" w:space="0" w:color="auto"/>
            </w:tcBorders>
          </w:tcPr>
          <w:p w14:paraId="1836829D" w14:textId="5D74E2B4" w:rsidR="00A43710" w:rsidRPr="00CC52A1" w:rsidRDefault="00A43710" w:rsidP="00202F95">
            <w:pPr>
              <w:pStyle w:val="Tabletext"/>
            </w:pPr>
            <w:proofErr w:type="spellStart"/>
            <w:r>
              <w:t>Lymphopenia</w:t>
            </w:r>
            <w:r w:rsidR="008F4D3F" w:rsidRPr="008F4D3F">
              <w:rPr>
                <w:vertAlign w:val="superscript"/>
              </w:rPr>
              <w:t>c</w:t>
            </w:r>
            <w:proofErr w:type="spellEnd"/>
          </w:p>
        </w:tc>
      </w:tr>
      <w:tr w:rsidR="009D3922" w:rsidRPr="00CC52A1" w14:paraId="6A47668B" w14:textId="77777777" w:rsidTr="0028625F">
        <w:trPr>
          <w:trHeight w:val="289"/>
        </w:trPr>
        <w:tc>
          <w:tcPr>
            <w:tcW w:w="2254" w:type="dxa"/>
            <w:vMerge w:val="restart"/>
            <w:tcBorders>
              <w:top w:val="single" w:sz="4" w:space="0" w:color="auto"/>
              <w:left w:val="single" w:sz="4" w:space="0" w:color="auto"/>
              <w:bottom w:val="single" w:sz="4" w:space="0" w:color="auto"/>
              <w:right w:val="single" w:sz="4" w:space="0" w:color="auto"/>
            </w:tcBorders>
            <w:hideMark/>
          </w:tcPr>
          <w:p w14:paraId="6A476688" w14:textId="77777777" w:rsidR="009D3922" w:rsidRPr="00202F95" w:rsidRDefault="009D3922" w:rsidP="00202F95">
            <w:pPr>
              <w:pStyle w:val="Tabletext"/>
              <w:rPr>
                <w:b/>
              </w:rPr>
            </w:pPr>
            <w:r w:rsidRPr="00202F95">
              <w:rPr>
                <w:b/>
              </w:rPr>
              <w:t>Metabolism and nutrition disorders</w:t>
            </w:r>
          </w:p>
        </w:tc>
        <w:tc>
          <w:tcPr>
            <w:tcW w:w="2366" w:type="dxa"/>
            <w:tcBorders>
              <w:top w:val="single" w:sz="4" w:space="0" w:color="auto"/>
              <w:left w:val="single" w:sz="4" w:space="0" w:color="auto"/>
              <w:bottom w:val="single" w:sz="4" w:space="0" w:color="auto"/>
              <w:right w:val="single" w:sz="4" w:space="0" w:color="auto"/>
            </w:tcBorders>
            <w:hideMark/>
          </w:tcPr>
          <w:p w14:paraId="6A476689" w14:textId="77777777" w:rsidR="009D3922" w:rsidRPr="00CC52A1" w:rsidRDefault="009D3922" w:rsidP="00202F95">
            <w:pPr>
              <w:pStyle w:val="Tabletext"/>
            </w:pPr>
            <w:r w:rsidRPr="00CC52A1">
              <w:t>Very Common</w:t>
            </w:r>
          </w:p>
        </w:tc>
        <w:tc>
          <w:tcPr>
            <w:tcW w:w="3570" w:type="dxa"/>
            <w:tcBorders>
              <w:top w:val="single" w:sz="4" w:space="0" w:color="auto"/>
              <w:left w:val="single" w:sz="4" w:space="0" w:color="auto"/>
              <w:bottom w:val="single" w:sz="4" w:space="0" w:color="auto"/>
              <w:right w:val="single" w:sz="4" w:space="0" w:color="auto"/>
            </w:tcBorders>
            <w:hideMark/>
          </w:tcPr>
          <w:p w14:paraId="6A47668A" w14:textId="03621DFE" w:rsidR="009D3922" w:rsidRPr="00CC52A1" w:rsidRDefault="008F4D3F" w:rsidP="00202F95">
            <w:pPr>
              <w:pStyle w:val="Tabletext"/>
            </w:pPr>
            <w:proofErr w:type="spellStart"/>
            <w:r w:rsidRPr="00CC52A1">
              <w:t>Hyperphosphataemia</w:t>
            </w:r>
            <w:r>
              <w:rPr>
                <w:vertAlign w:val="superscript"/>
              </w:rPr>
              <w:t>d</w:t>
            </w:r>
            <w:proofErr w:type="spellEnd"/>
            <w:r w:rsidRPr="00CC52A1">
              <w:t xml:space="preserve"> </w:t>
            </w:r>
          </w:p>
        </w:tc>
      </w:tr>
      <w:tr w:rsidR="009D3922" w:rsidRPr="00CC52A1" w14:paraId="6A476692" w14:textId="77777777" w:rsidTr="0028625F">
        <w:trPr>
          <w:trHeight w:val="1088"/>
        </w:trPr>
        <w:tc>
          <w:tcPr>
            <w:tcW w:w="2254" w:type="dxa"/>
            <w:vMerge/>
            <w:tcBorders>
              <w:top w:val="single" w:sz="4" w:space="0" w:color="auto"/>
              <w:left w:val="single" w:sz="4" w:space="0" w:color="auto"/>
              <w:bottom w:val="single" w:sz="4" w:space="0" w:color="auto"/>
              <w:right w:val="single" w:sz="4" w:space="0" w:color="auto"/>
            </w:tcBorders>
            <w:vAlign w:val="center"/>
            <w:hideMark/>
          </w:tcPr>
          <w:p w14:paraId="6A47668C" w14:textId="77777777" w:rsidR="009D3922" w:rsidRPr="00202F95" w:rsidRDefault="009D3922" w:rsidP="00202F95">
            <w:pPr>
              <w:pStyle w:val="Tabletext"/>
              <w:rPr>
                <w:b/>
              </w:rPr>
            </w:pPr>
          </w:p>
        </w:tc>
        <w:tc>
          <w:tcPr>
            <w:tcW w:w="2366" w:type="dxa"/>
            <w:tcBorders>
              <w:top w:val="single" w:sz="4" w:space="0" w:color="auto"/>
              <w:left w:val="single" w:sz="4" w:space="0" w:color="auto"/>
              <w:bottom w:val="single" w:sz="4" w:space="0" w:color="auto"/>
              <w:right w:val="single" w:sz="4" w:space="0" w:color="auto"/>
            </w:tcBorders>
            <w:hideMark/>
          </w:tcPr>
          <w:p w14:paraId="6A47668D" w14:textId="77777777" w:rsidR="009D3922" w:rsidRPr="00CC52A1" w:rsidRDefault="009D3922" w:rsidP="00202F95">
            <w:pPr>
              <w:pStyle w:val="Tabletext"/>
            </w:pPr>
            <w:r w:rsidRPr="00CC52A1">
              <w:t>Common</w:t>
            </w:r>
          </w:p>
        </w:tc>
        <w:tc>
          <w:tcPr>
            <w:tcW w:w="3570" w:type="dxa"/>
            <w:tcBorders>
              <w:top w:val="single" w:sz="4" w:space="0" w:color="auto"/>
              <w:left w:val="single" w:sz="4" w:space="0" w:color="auto"/>
              <w:bottom w:val="single" w:sz="4" w:space="0" w:color="auto"/>
              <w:right w:val="single" w:sz="4" w:space="0" w:color="auto"/>
            </w:tcBorders>
            <w:hideMark/>
          </w:tcPr>
          <w:p w14:paraId="6A47668E" w14:textId="77777777" w:rsidR="009D3922" w:rsidRPr="00CC52A1" w:rsidRDefault="009D3922" w:rsidP="00202F95">
            <w:pPr>
              <w:pStyle w:val="Tabletext"/>
            </w:pPr>
            <w:proofErr w:type="spellStart"/>
            <w:r w:rsidRPr="00CC52A1">
              <w:t>Tumour</w:t>
            </w:r>
            <w:proofErr w:type="spellEnd"/>
            <w:r w:rsidRPr="00CC52A1">
              <w:t xml:space="preserve"> lysis syndrome</w:t>
            </w:r>
          </w:p>
          <w:p w14:paraId="6A47668F" w14:textId="3EC7C164" w:rsidR="009D3922" w:rsidRPr="00CC52A1" w:rsidRDefault="008F4D3F" w:rsidP="00202F95">
            <w:pPr>
              <w:pStyle w:val="Tabletext"/>
            </w:pPr>
            <w:proofErr w:type="spellStart"/>
            <w:r w:rsidRPr="00CC52A1">
              <w:t>Hyperkalaemia</w:t>
            </w:r>
            <w:r>
              <w:rPr>
                <w:vertAlign w:val="superscript"/>
              </w:rPr>
              <w:t>e</w:t>
            </w:r>
            <w:proofErr w:type="spellEnd"/>
          </w:p>
          <w:p w14:paraId="6A476690" w14:textId="56EBE573" w:rsidR="009D3922" w:rsidRPr="00CC52A1" w:rsidRDefault="008F4D3F" w:rsidP="00202F95">
            <w:pPr>
              <w:pStyle w:val="Tabletext"/>
            </w:pPr>
            <w:proofErr w:type="spellStart"/>
            <w:r w:rsidRPr="00CC52A1">
              <w:t>Hyperuricaemia</w:t>
            </w:r>
            <w:r>
              <w:rPr>
                <w:vertAlign w:val="superscript"/>
              </w:rPr>
              <w:t>f</w:t>
            </w:r>
            <w:proofErr w:type="spellEnd"/>
          </w:p>
          <w:p w14:paraId="6A476691" w14:textId="319CC8DC" w:rsidR="009D3922" w:rsidRPr="00CC52A1" w:rsidRDefault="008F4D3F" w:rsidP="00202F95">
            <w:pPr>
              <w:pStyle w:val="Tabletext"/>
            </w:pPr>
            <w:proofErr w:type="spellStart"/>
            <w:r w:rsidRPr="00CC52A1">
              <w:t>Hypocalcaemia</w:t>
            </w:r>
            <w:r>
              <w:rPr>
                <w:vertAlign w:val="superscript"/>
              </w:rPr>
              <w:t>g</w:t>
            </w:r>
            <w:proofErr w:type="spellEnd"/>
          </w:p>
        </w:tc>
      </w:tr>
      <w:tr w:rsidR="009D3922" w:rsidRPr="00CC52A1" w14:paraId="6A476699" w14:textId="77777777" w:rsidTr="00366523">
        <w:trPr>
          <w:trHeight w:val="440"/>
        </w:trPr>
        <w:tc>
          <w:tcPr>
            <w:tcW w:w="2254" w:type="dxa"/>
            <w:tcBorders>
              <w:top w:val="single" w:sz="4" w:space="0" w:color="auto"/>
              <w:left w:val="single" w:sz="4" w:space="0" w:color="auto"/>
              <w:bottom w:val="single" w:sz="4" w:space="0" w:color="auto"/>
              <w:right w:val="single" w:sz="4" w:space="0" w:color="auto"/>
            </w:tcBorders>
            <w:hideMark/>
          </w:tcPr>
          <w:p w14:paraId="6A476693" w14:textId="77777777" w:rsidR="009D3922" w:rsidRPr="00202F95" w:rsidRDefault="009D3922" w:rsidP="00202F95">
            <w:pPr>
              <w:pStyle w:val="Tabletext"/>
              <w:rPr>
                <w:b/>
              </w:rPr>
            </w:pPr>
            <w:r w:rsidRPr="00202F95">
              <w:rPr>
                <w:b/>
              </w:rPr>
              <w:t>Gastrointestinal disorders</w:t>
            </w:r>
          </w:p>
        </w:tc>
        <w:tc>
          <w:tcPr>
            <w:tcW w:w="2366" w:type="dxa"/>
            <w:tcBorders>
              <w:top w:val="single" w:sz="4" w:space="0" w:color="auto"/>
              <w:left w:val="single" w:sz="4" w:space="0" w:color="auto"/>
              <w:bottom w:val="single" w:sz="4" w:space="0" w:color="auto"/>
              <w:right w:val="single" w:sz="4" w:space="0" w:color="auto"/>
            </w:tcBorders>
            <w:hideMark/>
          </w:tcPr>
          <w:p w14:paraId="6A476694" w14:textId="77777777" w:rsidR="009D3922" w:rsidRPr="00CC52A1" w:rsidRDefault="009D3922" w:rsidP="00202F95">
            <w:pPr>
              <w:pStyle w:val="Tabletext"/>
            </w:pPr>
            <w:r w:rsidRPr="00CC52A1">
              <w:t>Very common</w:t>
            </w:r>
          </w:p>
        </w:tc>
        <w:tc>
          <w:tcPr>
            <w:tcW w:w="3570" w:type="dxa"/>
            <w:tcBorders>
              <w:top w:val="single" w:sz="4" w:space="0" w:color="auto"/>
              <w:left w:val="single" w:sz="4" w:space="0" w:color="auto"/>
              <w:bottom w:val="single" w:sz="4" w:space="0" w:color="auto"/>
              <w:right w:val="single" w:sz="4" w:space="0" w:color="auto"/>
            </w:tcBorders>
            <w:hideMark/>
          </w:tcPr>
          <w:p w14:paraId="6A476695" w14:textId="77777777" w:rsidR="009D3922" w:rsidRPr="00CC52A1" w:rsidRDefault="009D3922" w:rsidP="00202F95">
            <w:pPr>
              <w:pStyle w:val="Tabletext"/>
            </w:pPr>
            <w:proofErr w:type="spellStart"/>
            <w:r w:rsidRPr="00CC52A1">
              <w:t>Diarrhoea</w:t>
            </w:r>
            <w:proofErr w:type="spellEnd"/>
          </w:p>
          <w:p w14:paraId="6A476696" w14:textId="77777777" w:rsidR="009D3922" w:rsidRPr="00CC52A1" w:rsidRDefault="009D3922" w:rsidP="00202F95">
            <w:pPr>
              <w:pStyle w:val="Tabletext"/>
            </w:pPr>
            <w:r w:rsidRPr="00CC52A1">
              <w:t>Vomiting</w:t>
            </w:r>
          </w:p>
          <w:p w14:paraId="6A476697" w14:textId="77777777" w:rsidR="009D3922" w:rsidRPr="00CC52A1" w:rsidRDefault="009D3922" w:rsidP="00202F95">
            <w:pPr>
              <w:pStyle w:val="Tabletext"/>
            </w:pPr>
            <w:r w:rsidRPr="00CC52A1">
              <w:t>Nausea</w:t>
            </w:r>
          </w:p>
          <w:p w14:paraId="6A476698" w14:textId="77777777" w:rsidR="009D3922" w:rsidRPr="00CC52A1" w:rsidRDefault="009D3922" w:rsidP="00202F95">
            <w:pPr>
              <w:pStyle w:val="Tabletext"/>
            </w:pPr>
            <w:r w:rsidRPr="00CC52A1">
              <w:t>Constipation</w:t>
            </w:r>
          </w:p>
        </w:tc>
      </w:tr>
      <w:tr w:rsidR="009D3922" w:rsidRPr="00CC52A1" w14:paraId="6A47669D" w14:textId="77777777" w:rsidTr="0028625F">
        <w:trPr>
          <w:trHeight w:val="584"/>
        </w:trPr>
        <w:tc>
          <w:tcPr>
            <w:tcW w:w="2254" w:type="dxa"/>
            <w:tcBorders>
              <w:top w:val="single" w:sz="4" w:space="0" w:color="auto"/>
              <w:left w:val="single" w:sz="4" w:space="0" w:color="auto"/>
              <w:bottom w:val="single" w:sz="4" w:space="0" w:color="auto"/>
              <w:right w:val="single" w:sz="4" w:space="0" w:color="auto"/>
            </w:tcBorders>
            <w:hideMark/>
          </w:tcPr>
          <w:p w14:paraId="6A47669A" w14:textId="77777777" w:rsidR="009D3922" w:rsidRPr="00202F95" w:rsidRDefault="009D3922" w:rsidP="00202F95">
            <w:pPr>
              <w:pStyle w:val="Tabletext"/>
              <w:rPr>
                <w:b/>
              </w:rPr>
            </w:pPr>
            <w:r w:rsidRPr="00202F95">
              <w:rPr>
                <w:b/>
              </w:rPr>
              <w:t>General disorders and administration site conditions</w:t>
            </w:r>
          </w:p>
        </w:tc>
        <w:tc>
          <w:tcPr>
            <w:tcW w:w="2366" w:type="dxa"/>
            <w:tcBorders>
              <w:top w:val="single" w:sz="4" w:space="0" w:color="auto"/>
              <w:left w:val="single" w:sz="4" w:space="0" w:color="auto"/>
              <w:bottom w:val="single" w:sz="4" w:space="0" w:color="auto"/>
              <w:right w:val="single" w:sz="4" w:space="0" w:color="auto"/>
            </w:tcBorders>
            <w:hideMark/>
          </w:tcPr>
          <w:p w14:paraId="6A47669B" w14:textId="77777777" w:rsidR="009D3922" w:rsidRPr="00CC52A1" w:rsidRDefault="009D3922" w:rsidP="00202F95">
            <w:pPr>
              <w:pStyle w:val="Tabletext"/>
            </w:pPr>
            <w:r w:rsidRPr="00CC52A1">
              <w:t>Very common</w:t>
            </w:r>
          </w:p>
        </w:tc>
        <w:tc>
          <w:tcPr>
            <w:tcW w:w="3570" w:type="dxa"/>
            <w:tcBorders>
              <w:top w:val="single" w:sz="4" w:space="0" w:color="auto"/>
              <w:left w:val="single" w:sz="4" w:space="0" w:color="auto"/>
              <w:bottom w:val="single" w:sz="4" w:space="0" w:color="auto"/>
              <w:right w:val="single" w:sz="4" w:space="0" w:color="auto"/>
            </w:tcBorders>
            <w:hideMark/>
          </w:tcPr>
          <w:p w14:paraId="6A47669C" w14:textId="77777777" w:rsidR="009D3922" w:rsidRPr="00CC52A1" w:rsidRDefault="009D3922" w:rsidP="00202F95">
            <w:pPr>
              <w:pStyle w:val="Tabletext"/>
            </w:pPr>
            <w:r w:rsidRPr="00CC52A1">
              <w:t>Fatigue</w:t>
            </w:r>
          </w:p>
        </w:tc>
      </w:tr>
      <w:tr w:rsidR="009D3922" w:rsidRPr="00CC52A1" w14:paraId="6A4766A1" w14:textId="77777777" w:rsidTr="0028625F">
        <w:trPr>
          <w:trHeight w:val="332"/>
        </w:trPr>
        <w:tc>
          <w:tcPr>
            <w:tcW w:w="2254" w:type="dxa"/>
            <w:tcBorders>
              <w:top w:val="single" w:sz="4" w:space="0" w:color="auto"/>
              <w:left w:val="single" w:sz="4" w:space="0" w:color="auto"/>
              <w:bottom w:val="single" w:sz="4" w:space="0" w:color="auto"/>
              <w:right w:val="single" w:sz="4" w:space="0" w:color="auto"/>
            </w:tcBorders>
            <w:hideMark/>
          </w:tcPr>
          <w:p w14:paraId="6A47669E" w14:textId="77777777" w:rsidR="009D3922" w:rsidRPr="00202F95" w:rsidRDefault="009D3922" w:rsidP="00202F95">
            <w:pPr>
              <w:pStyle w:val="Tabletext"/>
              <w:rPr>
                <w:b/>
              </w:rPr>
            </w:pPr>
            <w:r w:rsidRPr="00202F95">
              <w:rPr>
                <w:b/>
              </w:rPr>
              <w:t>Investigations</w:t>
            </w:r>
          </w:p>
        </w:tc>
        <w:tc>
          <w:tcPr>
            <w:tcW w:w="2366" w:type="dxa"/>
            <w:tcBorders>
              <w:top w:val="single" w:sz="4" w:space="0" w:color="auto"/>
              <w:left w:val="single" w:sz="4" w:space="0" w:color="auto"/>
              <w:bottom w:val="single" w:sz="4" w:space="0" w:color="auto"/>
              <w:right w:val="single" w:sz="4" w:space="0" w:color="auto"/>
            </w:tcBorders>
            <w:hideMark/>
          </w:tcPr>
          <w:p w14:paraId="6A47669F" w14:textId="77777777" w:rsidR="009D3922" w:rsidRPr="00CC52A1" w:rsidRDefault="009D3922" w:rsidP="00202F95">
            <w:pPr>
              <w:pStyle w:val="Tabletext"/>
            </w:pPr>
            <w:r w:rsidRPr="00CC52A1">
              <w:t>Common</w:t>
            </w:r>
          </w:p>
        </w:tc>
        <w:tc>
          <w:tcPr>
            <w:tcW w:w="3570" w:type="dxa"/>
            <w:tcBorders>
              <w:top w:val="single" w:sz="4" w:space="0" w:color="auto"/>
              <w:left w:val="single" w:sz="4" w:space="0" w:color="auto"/>
              <w:bottom w:val="single" w:sz="4" w:space="0" w:color="auto"/>
              <w:right w:val="single" w:sz="4" w:space="0" w:color="auto"/>
            </w:tcBorders>
            <w:hideMark/>
          </w:tcPr>
          <w:p w14:paraId="6A4766A0" w14:textId="77777777" w:rsidR="009D3922" w:rsidRPr="00CC52A1" w:rsidRDefault="009D3922" w:rsidP="00202F95">
            <w:pPr>
              <w:pStyle w:val="Tabletext"/>
            </w:pPr>
            <w:r w:rsidRPr="00CC52A1">
              <w:t>Blood creatinine increased</w:t>
            </w:r>
          </w:p>
        </w:tc>
      </w:tr>
      <w:tr w:rsidR="009D3922" w:rsidRPr="009D3922" w14:paraId="6A4766A7" w14:textId="77777777" w:rsidTr="0028625F">
        <w:trPr>
          <w:trHeight w:val="530"/>
        </w:trPr>
        <w:tc>
          <w:tcPr>
            <w:tcW w:w="8190" w:type="dxa"/>
            <w:gridSpan w:val="3"/>
            <w:tcBorders>
              <w:top w:val="single" w:sz="4" w:space="0" w:color="auto"/>
              <w:left w:val="single" w:sz="4" w:space="0" w:color="auto"/>
              <w:bottom w:val="single" w:sz="4" w:space="0" w:color="auto"/>
              <w:right w:val="single" w:sz="4" w:space="0" w:color="auto"/>
            </w:tcBorders>
            <w:vAlign w:val="center"/>
            <w:hideMark/>
          </w:tcPr>
          <w:p w14:paraId="6A4766A2" w14:textId="77777777" w:rsidR="009D3922" w:rsidRDefault="009D3922" w:rsidP="00202F95">
            <w:pPr>
              <w:pStyle w:val="Tabletext"/>
            </w:pPr>
            <w:proofErr w:type="spellStart"/>
            <w:proofErr w:type="gramStart"/>
            <w:r w:rsidRPr="009D3922">
              <w:rPr>
                <w:vertAlign w:val="superscript"/>
              </w:rPr>
              <w:t>a</w:t>
            </w:r>
            <w:r w:rsidRPr="009D3922">
              <w:t>Neutropenia</w:t>
            </w:r>
            <w:proofErr w:type="spellEnd"/>
            <w:r w:rsidRPr="009D3922">
              <w:t>/neutrophil</w:t>
            </w:r>
            <w:proofErr w:type="gramEnd"/>
            <w:r w:rsidRPr="009D3922">
              <w:t xml:space="preserve"> count decreased.</w:t>
            </w:r>
          </w:p>
          <w:p w14:paraId="186317E3" w14:textId="1BD241CA" w:rsidR="008F4D3F" w:rsidRDefault="008F4D3F" w:rsidP="00202F95">
            <w:pPr>
              <w:pStyle w:val="Tabletext"/>
            </w:pPr>
            <w:proofErr w:type="spellStart"/>
            <w:proofErr w:type="gramStart"/>
            <w:r w:rsidRPr="00503347">
              <w:rPr>
                <w:vertAlign w:val="superscript"/>
              </w:rPr>
              <w:t>b</w:t>
            </w:r>
            <w:r>
              <w:t>Anaemia</w:t>
            </w:r>
            <w:proofErr w:type="spellEnd"/>
            <w:r>
              <w:t>/</w:t>
            </w:r>
            <w:proofErr w:type="spellStart"/>
            <w:r>
              <w:t>h</w:t>
            </w:r>
            <w:r w:rsidR="00BD13A7">
              <w:t>a</w:t>
            </w:r>
            <w:r>
              <w:t>emoglobin</w:t>
            </w:r>
            <w:proofErr w:type="spellEnd"/>
            <w:proofErr w:type="gramEnd"/>
            <w:r>
              <w:t xml:space="preserve"> decreased.</w:t>
            </w:r>
          </w:p>
          <w:p w14:paraId="74D0E3C4" w14:textId="6829FEE9" w:rsidR="008F4D3F" w:rsidRPr="009D3922" w:rsidRDefault="008F4D3F" w:rsidP="00202F95">
            <w:pPr>
              <w:pStyle w:val="Tabletext"/>
            </w:pPr>
            <w:proofErr w:type="spellStart"/>
            <w:r>
              <w:rPr>
                <w:vertAlign w:val="superscript"/>
              </w:rPr>
              <w:t>c</w:t>
            </w:r>
            <w:r w:rsidRPr="008F4D3F">
              <w:t>Lymphopenia</w:t>
            </w:r>
            <w:proofErr w:type="spellEnd"/>
            <w:r w:rsidRPr="008F4D3F">
              <w:t>/lymphocyte count decreased</w:t>
            </w:r>
          </w:p>
          <w:p w14:paraId="6A4766A3" w14:textId="3311C576" w:rsidR="009D3922" w:rsidRPr="009D3922" w:rsidRDefault="008F4D3F" w:rsidP="00202F95">
            <w:pPr>
              <w:pStyle w:val="Tabletext"/>
              <w:rPr>
                <w:vertAlign w:val="superscript"/>
              </w:rPr>
            </w:pPr>
            <w:proofErr w:type="spellStart"/>
            <w:proofErr w:type="gramStart"/>
            <w:r>
              <w:rPr>
                <w:vertAlign w:val="superscript"/>
              </w:rPr>
              <w:t>d</w:t>
            </w:r>
            <w:r w:rsidRPr="009D3922">
              <w:t>Hyperphosphataemia</w:t>
            </w:r>
            <w:proofErr w:type="spellEnd"/>
            <w:r w:rsidR="009D3922" w:rsidRPr="009D3922">
              <w:t>/blood</w:t>
            </w:r>
            <w:proofErr w:type="gramEnd"/>
            <w:r w:rsidR="009D3922" w:rsidRPr="009D3922">
              <w:t xml:space="preserve"> phosphorus increased.</w:t>
            </w:r>
          </w:p>
          <w:p w14:paraId="04132AAB" w14:textId="77777777" w:rsidR="001950DB" w:rsidRDefault="008F4D3F" w:rsidP="00202F95">
            <w:pPr>
              <w:pStyle w:val="Tabletext"/>
              <w:rPr>
                <w:vertAlign w:val="superscript"/>
              </w:rPr>
            </w:pPr>
            <w:proofErr w:type="spellStart"/>
            <w:proofErr w:type="gramStart"/>
            <w:r>
              <w:rPr>
                <w:vertAlign w:val="superscript"/>
              </w:rPr>
              <w:t>e</w:t>
            </w:r>
            <w:r w:rsidRPr="009D3922">
              <w:t>Hyperkalaemia</w:t>
            </w:r>
            <w:proofErr w:type="spellEnd"/>
            <w:r w:rsidR="009D3922" w:rsidRPr="009D3922">
              <w:t>/blood</w:t>
            </w:r>
            <w:proofErr w:type="gramEnd"/>
            <w:r w:rsidR="009D3922" w:rsidRPr="009D3922">
              <w:t xml:space="preserve"> potassium increased.</w:t>
            </w:r>
          </w:p>
          <w:p w14:paraId="6A4766A5" w14:textId="6E589824" w:rsidR="009D3922" w:rsidRPr="009D3922" w:rsidRDefault="001950DB" w:rsidP="00202F95">
            <w:pPr>
              <w:pStyle w:val="Tabletext"/>
            </w:pPr>
            <w:r>
              <w:rPr>
                <w:vertAlign w:val="superscript"/>
              </w:rPr>
              <w:t xml:space="preserve"> </w:t>
            </w:r>
            <w:proofErr w:type="spellStart"/>
            <w:proofErr w:type="gramStart"/>
            <w:r w:rsidR="008F4D3F">
              <w:rPr>
                <w:vertAlign w:val="superscript"/>
              </w:rPr>
              <w:t>f</w:t>
            </w:r>
            <w:r w:rsidR="008F4D3F" w:rsidRPr="009D3922">
              <w:t>Hyperuricaemia</w:t>
            </w:r>
            <w:proofErr w:type="spellEnd"/>
            <w:r w:rsidR="009D3922" w:rsidRPr="009D3922">
              <w:t>/blood</w:t>
            </w:r>
            <w:proofErr w:type="gramEnd"/>
            <w:r w:rsidR="009D3922" w:rsidRPr="009D3922">
              <w:t xml:space="preserve"> uric acid increased.</w:t>
            </w:r>
          </w:p>
          <w:p w14:paraId="6A4766A6" w14:textId="5C7644F0" w:rsidR="009D3922" w:rsidRPr="009D3922" w:rsidRDefault="008F4D3F" w:rsidP="00202F95">
            <w:pPr>
              <w:pStyle w:val="Tabletext"/>
            </w:pPr>
            <w:proofErr w:type="spellStart"/>
            <w:proofErr w:type="gramStart"/>
            <w:r>
              <w:rPr>
                <w:vertAlign w:val="superscript"/>
              </w:rPr>
              <w:t>g</w:t>
            </w:r>
            <w:r w:rsidRPr="009D3922">
              <w:t>Hypocalcaemia</w:t>
            </w:r>
            <w:proofErr w:type="spellEnd"/>
            <w:r w:rsidR="009D3922" w:rsidRPr="009D3922">
              <w:t>/blood</w:t>
            </w:r>
            <w:proofErr w:type="gramEnd"/>
            <w:r w:rsidR="009D3922" w:rsidRPr="009D3922">
              <w:t xml:space="preserve"> calcium decreased.</w:t>
            </w:r>
          </w:p>
        </w:tc>
      </w:tr>
    </w:tbl>
    <w:p w14:paraId="6A4766A9" w14:textId="77777777" w:rsidR="009D3922" w:rsidRPr="004012EB" w:rsidRDefault="009D3922" w:rsidP="00450B1A">
      <w:pPr>
        <w:pStyle w:val="Heading4"/>
      </w:pPr>
      <w:r w:rsidRPr="004012EB">
        <w:t>Summary of the safety profile</w:t>
      </w:r>
    </w:p>
    <w:p w14:paraId="6A4766AA" w14:textId="6251D305" w:rsidR="009D3922" w:rsidRPr="00CC52A1" w:rsidRDefault="009D3922" w:rsidP="00450B1A">
      <w:r w:rsidRPr="00CC52A1">
        <w:t>The most common adverse reactions (≥20%) of any grade were neutropenia</w:t>
      </w:r>
      <w:r w:rsidR="00AD59C7">
        <w:t>/neutrophil count decreased</w:t>
      </w:r>
      <w:r w:rsidRPr="00CC52A1">
        <w:t>, diarrhoea, nausea, anaemia, upper respiratory tract infection, fatigue</w:t>
      </w:r>
      <w:r w:rsidR="00AD59C7">
        <w:t xml:space="preserve">, </w:t>
      </w:r>
      <w:proofErr w:type="spellStart"/>
      <w:r w:rsidR="00AD59C7" w:rsidRPr="00AD59C7">
        <w:t>hyperphosphataemia</w:t>
      </w:r>
      <w:proofErr w:type="spellEnd"/>
      <w:r w:rsidR="00AD59C7" w:rsidRPr="00AD59C7">
        <w:t>, vomiting, and constipation</w:t>
      </w:r>
      <w:r w:rsidRPr="00CC52A1">
        <w:t>.</w:t>
      </w:r>
    </w:p>
    <w:p w14:paraId="6A4766AB" w14:textId="140D20DB" w:rsidR="009D3922" w:rsidRPr="00CC52A1" w:rsidRDefault="009D3922" w:rsidP="00450B1A">
      <w:r w:rsidRPr="00CC52A1">
        <w:lastRenderedPageBreak/>
        <w:t>The most frequently reported serious adverse reactions (≥2%) were pneumonia, febrile neutropenia, and TLS.</w:t>
      </w:r>
    </w:p>
    <w:p w14:paraId="6A4766AC" w14:textId="0E6E377A" w:rsidR="009D3922" w:rsidRPr="00CC52A1" w:rsidRDefault="009D3922" w:rsidP="00450B1A">
      <w:r w:rsidRPr="00CC52A1">
        <w:t xml:space="preserve">Discontinuations due to adverse reactions </w:t>
      </w:r>
      <w:r w:rsidR="003F234A">
        <w:t>occurred in 8.3</w:t>
      </w:r>
      <w:r w:rsidRPr="00CC52A1">
        <w:t>% of patients. No patients discontinued VENCLEXTA treatment due to neutropenia.</w:t>
      </w:r>
    </w:p>
    <w:p w14:paraId="6A4766AD" w14:textId="77777777" w:rsidR="009D3922" w:rsidRPr="00CC52A1" w:rsidRDefault="009D3922" w:rsidP="00450B1A">
      <w:r w:rsidRPr="00CC52A1">
        <w:t>Dosage adjustments due to adverse reactions occurred in 9.6% of patients.</w:t>
      </w:r>
    </w:p>
    <w:p w14:paraId="6A4766AE" w14:textId="77777777" w:rsidR="009D3922" w:rsidRPr="00202F95" w:rsidRDefault="009D3922" w:rsidP="00202F95">
      <w:pPr>
        <w:pStyle w:val="Heading4"/>
      </w:pPr>
      <w:r w:rsidRPr="00202F95">
        <w:t>Tumour Lysis Syndrome</w:t>
      </w:r>
    </w:p>
    <w:p w14:paraId="1F55074A" w14:textId="77777777" w:rsidR="001950DB" w:rsidRDefault="009D3922" w:rsidP="00450B1A">
      <w:r w:rsidRPr="00CC52A1">
        <w:t xml:space="preserve">Tumour lysis syndrome is an important identified risk when initiating VENCLEXTA. In the initial Phase 1 dose-finding trials, which had a relatively short (2-3 week) dose titration phase and relatively high starting dose, the incidence of TLS was </w:t>
      </w:r>
      <w:r w:rsidR="00C76636" w:rsidRPr="00CC52A1">
        <w:t>1</w:t>
      </w:r>
      <w:r w:rsidR="00C76636">
        <w:t>3</w:t>
      </w:r>
      <w:r w:rsidRPr="00CC52A1">
        <w:t>% (</w:t>
      </w:r>
      <w:r w:rsidR="007A31BC">
        <w:t>10</w:t>
      </w:r>
      <w:r w:rsidRPr="00CC52A1">
        <w:t xml:space="preserve">/77; </w:t>
      </w:r>
      <w:r w:rsidR="00C76636">
        <w:t>5</w:t>
      </w:r>
      <w:r w:rsidR="00C76636" w:rsidRPr="00CC52A1">
        <w:t xml:space="preserve"> </w:t>
      </w:r>
      <w:r w:rsidRPr="00CC52A1">
        <w:t>laboratory TLS, 5 clinical TLS), including 2 fatal events and 3 events of acute renal failure, 1 requiring dialysis.</w:t>
      </w:r>
    </w:p>
    <w:p w14:paraId="37CDB278" w14:textId="01C02576" w:rsidR="001950DB" w:rsidRDefault="009D3922" w:rsidP="00450B1A">
      <w:pPr>
        <w:rPr>
          <w:rFonts w:cs="Arial"/>
        </w:rPr>
      </w:pPr>
      <w:r w:rsidRPr="00CC52A1">
        <w:rPr>
          <w:rFonts w:cs="Arial"/>
        </w:rPr>
        <w:t xml:space="preserve">The risk of TLS was reduced after revision of the dosing regimen and modification to prophylaxis and monitoring measures (see </w:t>
      </w:r>
      <w:hyperlink w:anchor="_DOSAGE_AND_ADMINISTRATION" w:history="1">
        <w:r w:rsidR="00612E1E" w:rsidRPr="00202F95">
          <w:rPr>
            <w:rStyle w:val="Hyperlink"/>
            <w:rFonts w:cs="Arial"/>
          </w:rPr>
          <w:t>DOSAGE AND ADMINISTRATION</w:t>
        </w:r>
      </w:hyperlink>
      <w:r w:rsidRPr="00CC52A1">
        <w:rPr>
          <w:rFonts w:cs="Arial"/>
        </w:rPr>
        <w:t xml:space="preserve">). In </w:t>
      </w:r>
      <w:proofErr w:type="spellStart"/>
      <w:r w:rsidRPr="00CC52A1">
        <w:rPr>
          <w:rFonts w:cs="Arial"/>
        </w:rPr>
        <w:t>venetoclax</w:t>
      </w:r>
      <w:proofErr w:type="spellEnd"/>
      <w:r w:rsidRPr="00CC52A1">
        <w:rPr>
          <w:rFonts w:cs="Arial"/>
        </w:rPr>
        <w:t xml:space="preserve"> clinical trials, patients with any measurable lymph node ≥10 cm or those with </w:t>
      </w:r>
      <w:proofErr w:type="gramStart"/>
      <w:r w:rsidRPr="00CC52A1">
        <w:rPr>
          <w:rFonts w:cs="Arial"/>
        </w:rPr>
        <w:t>both an</w:t>
      </w:r>
      <w:proofErr w:type="gramEnd"/>
      <w:r w:rsidRPr="00CC52A1">
        <w:rPr>
          <w:rFonts w:cs="Arial"/>
        </w:rPr>
        <w:t xml:space="preserve"> ALC ≥25 x 10</w:t>
      </w:r>
      <w:r w:rsidRPr="00CC52A1">
        <w:rPr>
          <w:rFonts w:cs="Arial"/>
          <w:vertAlign w:val="superscript"/>
        </w:rPr>
        <w:t>9</w:t>
      </w:r>
      <w:r w:rsidRPr="00CC52A1">
        <w:rPr>
          <w:rFonts w:cs="Arial"/>
        </w:rPr>
        <w:t>/L and any measurable lymph node ≥5 cm were hospitalised to enable more intensive hydration and monitoring for the first day of dosing at 20 mg and 50 mg during the dose titration phase.</w:t>
      </w:r>
    </w:p>
    <w:p w14:paraId="6A4766B1" w14:textId="16B9E412" w:rsidR="009D3922" w:rsidRDefault="009D3922" w:rsidP="00450B1A">
      <w:pPr>
        <w:rPr>
          <w:rFonts w:cs="Arial"/>
        </w:rPr>
      </w:pPr>
      <w:r w:rsidRPr="00CC52A1">
        <w:rPr>
          <w:rFonts w:cs="Arial"/>
        </w:rPr>
        <w:t xml:space="preserve">In 66 patients </w:t>
      </w:r>
      <w:r w:rsidR="00D03D81">
        <w:rPr>
          <w:rFonts w:cs="Arial"/>
        </w:rPr>
        <w:t xml:space="preserve">with CLL </w:t>
      </w:r>
      <w:r w:rsidRPr="00CC52A1">
        <w:rPr>
          <w:rFonts w:cs="Arial"/>
        </w:rPr>
        <w:t xml:space="preserve">starting with a daily dose of 20 mg and increasing over 5 weeks to a daily dose of 400 mg, the rate of TLS was 6%. All events were laboratory TLS (laboratory abnormalities that met ≥2 of the following criteria within 24 hours of each other: potassium &gt;6 </w:t>
      </w:r>
      <w:proofErr w:type="spellStart"/>
      <w:r w:rsidRPr="00CC52A1">
        <w:rPr>
          <w:rFonts w:cs="Arial"/>
        </w:rPr>
        <w:t>mmol</w:t>
      </w:r>
      <w:proofErr w:type="spellEnd"/>
      <w:r w:rsidRPr="00CC52A1">
        <w:rPr>
          <w:rFonts w:cs="Arial"/>
        </w:rPr>
        <w:t>/L, uric acid &gt;476 µ</w:t>
      </w:r>
      <w:proofErr w:type="spellStart"/>
      <w:r w:rsidRPr="00CC52A1">
        <w:rPr>
          <w:rFonts w:cs="Arial"/>
        </w:rPr>
        <w:t>mol</w:t>
      </w:r>
      <w:proofErr w:type="spellEnd"/>
      <w:r w:rsidRPr="00CC52A1">
        <w:rPr>
          <w:rFonts w:cs="Arial"/>
        </w:rPr>
        <w:t xml:space="preserve">/L, calcium &lt;1.75 </w:t>
      </w:r>
      <w:proofErr w:type="spellStart"/>
      <w:r w:rsidRPr="00CC52A1">
        <w:rPr>
          <w:rFonts w:cs="Arial"/>
        </w:rPr>
        <w:t>mmol</w:t>
      </w:r>
      <w:proofErr w:type="spellEnd"/>
      <w:r w:rsidRPr="00CC52A1">
        <w:rPr>
          <w:rFonts w:cs="Arial"/>
        </w:rPr>
        <w:t xml:space="preserve">/L, or phosphorus &gt;1.5 </w:t>
      </w:r>
      <w:proofErr w:type="spellStart"/>
      <w:r w:rsidRPr="00CC52A1">
        <w:rPr>
          <w:rFonts w:cs="Arial"/>
        </w:rPr>
        <w:t>mmol</w:t>
      </w:r>
      <w:proofErr w:type="spellEnd"/>
      <w:r w:rsidRPr="00CC52A1">
        <w:rPr>
          <w:rFonts w:cs="Arial"/>
        </w:rPr>
        <w:t xml:space="preserve">/L; or </w:t>
      </w:r>
      <w:r w:rsidR="006E3CE8">
        <w:rPr>
          <w:rFonts w:cs="Arial"/>
        </w:rPr>
        <w:t>were reported as TLS events</w:t>
      </w:r>
      <w:r w:rsidRPr="00CC52A1">
        <w:rPr>
          <w:rFonts w:cs="Arial"/>
        </w:rPr>
        <w:t>) and occurred in patients who had a lymph node(s) ≥5 cm or ALC ≥25 x 10</w:t>
      </w:r>
      <w:r w:rsidRPr="00CC52A1">
        <w:rPr>
          <w:rFonts w:cs="Arial"/>
          <w:vertAlign w:val="superscript"/>
        </w:rPr>
        <w:t>9</w:t>
      </w:r>
      <w:r w:rsidRPr="00CC52A1">
        <w:rPr>
          <w:rFonts w:cs="Arial"/>
        </w:rPr>
        <w:t xml:space="preserve">/L. No TLS with clinical consequences such as acute renal failure, cardiac arrhythmias or sudden death and/or seizures was observed in these patients. All patients had </w:t>
      </w:r>
      <w:proofErr w:type="spellStart"/>
      <w:r w:rsidRPr="00CC52A1">
        <w:rPr>
          <w:rFonts w:cs="Arial"/>
        </w:rPr>
        <w:t>CrCl</w:t>
      </w:r>
      <w:proofErr w:type="spellEnd"/>
      <w:r w:rsidRPr="00CC52A1">
        <w:rPr>
          <w:rFonts w:cs="Arial"/>
        </w:rPr>
        <w:t xml:space="preserve"> ≥50 mL/min.</w:t>
      </w:r>
    </w:p>
    <w:p w14:paraId="6A4766B3" w14:textId="77777777" w:rsidR="00DD62A5" w:rsidRPr="00DD62A5" w:rsidRDefault="00DD62A5" w:rsidP="00124336">
      <w:pPr>
        <w:pStyle w:val="Heading1"/>
        <w:spacing w:before="0" w:after="240" w:line="360" w:lineRule="exact"/>
      </w:pPr>
      <w:bookmarkStart w:id="17" w:name="_DOSAGE_AND_ADMINISTRATION"/>
      <w:bookmarkEnd w:id="17"/>
      <w:r>
        <w:t>DOSAGE AND ADMINISTRATION</w:t>
      </w:r>
    </w:p>
    <w:p w14:paraId="6A4766B4" w14:textId="77777777" w:rsidR="009D3922" w:rsidRPr="00CC52A1" w:rsidRDefault="009D3922" w:rsidP="00450B1A">
      <w:r w:rsidRPr="00CC52A1">
        <w:t>VENCLEXTA should be taken orally once daily until disease progression or unacceptable toxicity is observed. Patients should be instructed to take VENCLEXTA tablets with a meal and water at approximately the same time each day. VENCLEXTA tablets should be swallowed whole and not chewed, crushed, or broken prior to swallowing.</w:t>
      </w:r>
    </w:p>
    <w:p w14:paraId="6A4766B5" w14:textId="77777777" w:rsidR="009D3922" w:rsidRPr="00CC52A1" w:rsidRDefault="009D3922" w:rsidP="00450B1A">
      <w:pPr>
        <w:pStyle w:val="Heading2"/>
        <w:rPr>
          <w:lang w:val="en-US" w:eastAsia="ja-JP"/>
        </w:rPr>
      </w:pPr>
      <w:bookmarkStart w:id="18" w:name="_Recommended_Dosage_Regimen"/>
      <w:bookmarkEnd w:id="18"/>
      <w:r w:rsidRPr="00450B1A">
        <w:t>Recommended</w:t>
      </w:r>
      <w:r w:rsidRPr="00CC52A1">
        <w:rPr>
          <w:lang w:val="en-US" w:eastAsia="ja-JP"/>
        </w:rPr>
        <w:t xml:space="preserve"> Dosage Regimen</w:t>
      </w:r>
    </w:p>
    <w:p w14:paraId="578176C6" w14:textId="77777777" w:rsidR="001950DB" w:rsidRDefault="009D3922" w:rsidP="00450B1A">
      <w:pPr>
        <w:rPr>
          <w:lang w:val="en-US" w:eastAsia="ja-JP"/>
        </w:rPr>
      </w:pPr>
      <w:r w:rsidRPr="00CC52A1">
        <w:rPr>
          <w:lang w:val="en-US" w:eastAsia="ja-JP"/>
        </w:rPr>
        <w:t>The starting dose of VENCLEXTA is 20 mg once daily for 7 days. The VENCLEXTA dose must be administered according to a weekly dose titration schedule to the recommended daily dose of 400 mg over a period of 5 weeks as shown in Table 6.</w:t>
      </w:r>
    </w:p>
    <w:p w14:paraId="4F4B028C" w14:textId="299BE090" w:rsidR="001950DB" w:rsidRDefault="009D3922" w:rsidP="00450B1A">
      <w:pPr>
        <w:rPr>
          <w:lang w:val="en-US" w:eastAsia="ja-JP"/>
        </w:rPr>
      </w:pPr>
      <w:r w:rsidRPr="00CC52A1">
        <w:rPr>
          <w:lang w:val="en-US" w:eastAsia="ja-JP"/>
        </w:rPr>
        <w:t xml:space="preserve">The 5-week dose titration schedule is designed to gradually reduce </w:t>
      </w:r>
      <w:proofErr w:type="spellStart"/>
      <w:r w:rsidRPr="00CC52A1">
        <w:rPr>
          <w:lang w:val="en-US" w:eastAsia="ja-JP"/>
        </w:rPr>
        <w:t>tumour</w:t>
      </w:r>
      <w:proofErr w:type="spellEnd"/>
      <w:r w:rsidRPr="00CC52A1">
        <w:rPr>
          <w:lang w:val="en-US" w:eastAsia="ja-JP"/>
        </w:rPr>
        <w:t xml:space="preserve"> burden (</w:t>
      </w:r>
      <w:proofErr w:type="spellStart"/>
      <w:r w:rsidRPr="00CC52A1">
        <w:rPr>
          <w:lang w:val="en-US" w:eastAsia="ja-JP"/>
        </w:rPr>
        <w:t>debulking</w:t>
      </w:r>
      <w:proofErr w:type="spellEnd"/>
      <w:r w:rsidRPr="00CC52A1">
        <w:rPr>
          <w:lang w:val="en-US" w:eastAsia="ja-JP"/>
        </w:rPr>
        <w:t>) and decrease the risk of TLS.</w:t>
      </w:r>
    </w:p>
    <w:p w14:paraId="6A4766B8" w14:textId="03C48603" w:rsidR="009D3922" w:rsidRPr="00CC52A1" w:rsidRDefault="00202F95" w:rsidP="00202F95">
      <w:pPr>
        <w:pStyle w:val="Caption"/>
        <w:rPr>
          <w:lang w:val="en-US" w:eastAsia="ja-JP"/>
        </w:rPr>
      </w:pPr>
      <w:proofErr w:type="gramStart"/>
      <w:r>
        <w:t xml:space="preserve">Table </w:t>
      </w:r>
      <w:proofErr w:type="gramEnd"/>
      <w:r>
        <w:fldChar w:fldCharType="begin"/>
      </w:r>
      <w:r>
        <w:instrText xml:space="preserve"> SEQ Table \* ARABIC </w:instrText>
      </w:r>
      <w:r>
        <w:fldChar w:fldCharType="separate"/>
      </w:r>
      <w:r>
        <w:rPr>
          <w:noProof/>
        </w:rPr>
        <w:t>6</w:t>
      </w:r>
      <w:r>
        <w:fldChar w:fldCharType="end"/>
      </w:r>
      <w:proofErr w:type="gramStart"/>
      <w:r w:rsidR="009D3922" w:rsidRPr="00CC52A1">
        <w:rPr>
          <w:lang w:val="en-US" w:eastAsia="ja-JP"/>
        </w:rPr>
        <w:t>.</w:t>
      </w:r>
      <w:proofErr w:type="gramEnd"/>
      <w:r w:rsidR="009D3922" w:rsidRPr="00CC52A1">
        <w:rPr>
          <w:lang w:val="en-US" w:eastAsia="ja-JP"/>
        </w:rPr>
        <w:t xml:space="preserve"> Dosing Schedule for Dose Titration Phase</w:t>
      </w:r>
    </w:p>
    <w:tbl>
      <w:tblPr>
        <w:tblW w:w="4250" w:type="pct"/>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Description w:val="Table 6. Dosing Schedule for Dose Titration Phase"/>
      </w:tblPr>
      <w:tblGrid>
        <w:gridCol w:w="3544"/>
        <w:gridCol w:w="4295"/>
      </w:tblGrid>
      <w:tr w:rsidR="009D3922" w:rsidRPr="00CC52A1" w14:paraId="6A4766BB" w14:textId="77777777" w:rsidTr="009D3922">
        <w:trPr>
          <w:tblHeader/>
        </w:trPr>
        <w:tc>
          <w:tcPr>
            <w:tcW w:w="36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B9" w14:textId="77777777" w:rsidR="009D3922" w:rsidRPr="00CC52A1" w:rsidRDefault="009D3922" w:rsidP="00DD62A5">
            <w:pPr>
              <w:spacing w:after="60"/>
              <w:jc w:val="center"/>
              <w:rPr>
                <w:rFonts w:eastAsia="TimesNewRoman" w:cs="Arial"/>
                <w:color w:val="000000"/>
                <w:lang w:val="en-US" w:eastAsia="ja-JP"/>
              </w:rPr>
            </w:pPr>
            <w:r w:rsidRPr="00CC52A1">
              <w:rPr>
                <w:rFonts w:eastAsia="TimesNewRoman" w:cs="Arial"/>
                <w:b/>
                <w:color w:val="000000"/>
                <w:lang w:val="en-US" w:eastAsia="ja-JP"/>
              </w:rPr>
              <w:t>Week</w:t>
            </w:r>
          </w:p>
        </w:tc>
        <w:tc>
          <w:tcPr>
            <w:tcW w:w="43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BA" w14:textId="77777777" w:rsidR="009D3922" w:rsidRPr="00CC52A1" w:rsidRDefault="009D3922" w:rsidP="00DD62A5">
            <w:pPr>
              <w:spacing w:after="60"/>
              <w:jc w:val="center"/>
              <w:rPr>
                <w:rFonts w:eastAsia="TimesNewRoman" w:cs="Arial"/>
                <w:color w:val="000000"/>
                <w:lang w:val="en-US" w:eastAsia="ja-JP"/>
              </w:rPr>
            </w:pPr>
            <w:r w:rsidRPr="00CC52A1">
              <w:rPr>
                <w:rFonts w:eastAsia="TimesNewRoman" w:cs="Arial"/>
                <w:b/>
                <w:color w:val="000000"/>
                <w:lang w:val="en-US" w:eastAsia="ja-JP"/>
              </w:rPr>
              <w:t xml:space="preserve">VENCLEXTA </w:t>
            </w:r>
            <w:r w:rsidRPr="00CC52A1">
              <w:rPr>
                <w:rFonts w:eastAsia="TimesNewRoman" w:cs="Arial"/>
                <w:b/>
                <w:color w:val="000000"/>
                <w:lang w:val="en-US" w:eastAsia="ja-JP"/>
              </w:rPr>
              <w:br/>
              <w:t>Daily Dose</w:t>
            </w:r>
          </w:p>
        </w:tc>
      </w:tr>
      <w:tr w:rsidR="009D3922" w:rsidRPr="00CC52A1" w14:paraId="6A4766BE" w14:textId="77777777" w:rsidTr="009D3922">
        <w:tc>
          <w:tcPr>
            <w:tcW w:w="36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BC" w14:textId="77777777" w:rsidR="009D3922" w:rsidRPr="00CC52A1" w:rsidRDefault="009D3922" w:rsidP="00202F95">
            <w:pPr>
              <w:pStyle w:val="Tabletext"/>
              <w:jc w:val="center"/>
              <w:rPr>
                <w:lang w:eastAsia="ja-JP"/>
              </w:rPr>
            </w:pPr>
            <w:r w:rsidRPr="00CC52A1">
              <w:rPr>
                <w:lang w:eastAsia="ja-JP"/>
              </w:rPr>
              <w:t>1</w:t>
            </w:r>
          </w:p>
        </w:tc>
        <w:tc>
          <w:tcPr>
            <w:tcW w:w="43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BD" w14:textId="77777777" w:rsidR="009D3922" w:rsidRPr="00CC52A1" w:rsidRDefault="009D3922" w:rsidP="00202F95">
            <w:pPr>
              <w:pStyle w:val="Tabletext"/>
              <w:jc w:val="center"/>
              <w:rPr>
                <w:lang w:eastAsia="ja-JP"/>
              </w:rPr>
            </w:pPr>
            <w:r w:rsidRPr="00CC52A1">
              <w:rPr>
                <w:lang w:eastAsia="ja-JP"/>
              </w:rPr>
              <w:t>20 mg</w:t>
            </w:r>
          </w:p>
        </w:tc>
      </w:tr>
      <w:tr w:rsidR="009D3922" w:rsidRPr="00CC52A1" w14:paraId="6A4766C1" w14:textId="77777777" w:rsidTr="009D3922">
        <w:tc>
          <w:tcPr>
            <w:tcW w:w="36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BF" w14:textId="77777777" w:rsidR="009D3922" w:rsidRPr="00CC52A1" w:rsidRDefault="009D3922" w:rsidP="00202F95">
            <w:pPr>
              <w:pStyle w:val="Tabletext"/>
              <w:jc w:val="center"/>
              <w:rPr>
                <w:lang w:eastAsia="ja-JP"/>
              </w:rPr>
            </w:pPr>
            <w:r w:rsidRPr="00CC52A1">
              <w:rPr>
                <w:lang w:eastAsia="ja-JP"/>
              </w:rPr>
              <w:t>2</w:t>
            </w:r>
          </w:p>
        </w:tc>
        <w:tc>
          <w:tcPr>
            <w:tcW w:w="43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C0" w14:textId="77777777" w:rsidR="009D3922" w:rsidRPr="00CC52A1" w:rsidRDefault="009D3922" w:rsidP="00202F95">
            <w:pPr>
              <w:pStyle w:val="Tabletext"/>
              <w:jc w:val="center"/>
              <w:rPr>
                <w:lang w:eastAsia="ja-JP"/>
              </w:rPr>
            </w:pPr>
            <w:r w:rsidRPr="00CC52A1">
              <w:rPr>
                <w:lang w:eastAsia="ja-JP"/>
              </w:rPr>
              <w:t>50 mg</w:t>
            </w:r>
          </w:p>
        </w:tc>
      </w:tr>
      <w:tr w:rsidR="009D3922" w:rsidRPr="00CC52A1" w14:paraId="6A4766C4" w14:textId="77777777" w:rsidTr="009D3922">
        <w:tc>
          <w:tcPr>
            <w:tcW w:w="36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C2" w14:textId="77777777" w:rsidR="009D3922" w:rsidRPr="00CC52A1" w:rsidRDefault="009D3922" w:rsidP="00202F95">
            <w:pPr>
              <w:pStyle w:val="Tabletext"/>
              <w:jc w:val="center"/>
              <w:rPr>
                <w:lang w:eastAsia="ja-JP"/>
              </w:rPr>
            </w:pPr>
            <w:r w:rsidRPr="00CC52A1">
              <w:rPr>
                <w:lang w:eastAsia="ja-JP"/>
              </w:rPr>
              <w:t>3</w:t>
            </w:r>
          </w:p>
        </w:tc>
        <w:tc>
          <w:tcPr>
            <w:tcW w:w="43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C3" w14:textId="77777777" w:rsidR="009D3922" w:rsidRPr="00CC52A1" w:rsidRDefault="009D3922" w:rsidP="00202F95">
            <w:pPr>
              <w:pStyle w:val="Tabletext"/>
              <w:jc w:val="center"/>
              <w:rPr>
                <w:lang w:eastAsia="ja-JP"/>
              </w:rPr>
            </w:pPr>
            <w:r w:rsidRPr="00CC52A1">
              <w:rPr>
                <w:lang w:eastAsia="ja-JP"/>
              </w:rPr>
              <w:t>100 mg</w:t>
            </w:r>
          </w:p>
        </w:tc>
      </w:tr>
      <w:tr w:rsidR="009D3922" w:rsidRPr="00CC52A1" w14:paraId="6A4766C7" w14:textId="77777777" w:rsidTr="009D3922">
        <w:tc>
          <w:tcPr>
            <w:tcW w:w="36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C5" w14:textId="77777777" w:rsidR="009D3922" w:rsidRPr="00CC52A1" w:rsidRDefault="009D3922" w:rsidP="00202F95">
            <w:pPr>
              <w:pStyle w:val="Tabletext"/>
              <w:jc w:val="center"/>
              <w:rPr>
                <w:lang w:eastAsia="ja-JP"/>
              </w:rPr>
            </w:pPr>
            <w:r w:rsidRPr="00CC52A1">
              <w:rPr>
                <w:lang w:eastAsia="ja-JP"/>
              </w:rPr>
              <w:t>4</w:t>
            </w:r>
          </w:p>
        </w:tc>
        <w:tc>
          <w:tcPr>
            <w:tcW w:w="43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C6" w14:textId="77777777" w:rsidR="009D3922" w:rsidRPr="00CC52A1" w:rsidRDefault="009D3922" w:rsidP="00202F95">
            <w:pPr>
              <w:pStyle w:val="Tabletext"/>
              <w:jc w:val="center"/>
              <w:rPr>
                <w:lang w:eastAsia="ja-JP"/>
              </w:rPr>
            </w:pPr>
            <w:r w:rsidRPr="00CC52A1">
              <w:rPr>
                <w:lang w:eastAsia="ja-JP"/>
              </w:rPr>
              <w:t>200 mg</w:t>
            </w:r>
          </w:p>
        </w:tc>
      </w:tr>
      <w:tr w:rsidR="009D3922" w:rsidRPr="00CC52A1" w14:paraId="6A4766CA" w14:textId="77777777" w:rsidTr="009D3922">
        <w:tc>
          <w:tcPr>
            <w:tcW w:w="36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C8" w14:textId="77777777" w:rsidR="009D3922" w:rsidRPr="00CC52A1" w:rsidRDefault="009D3922" w:rsidP="00202F95">
            <w:pPr>
              <w:pStyle w:val="Tabletext"/>
              <w:jc w:val="center"/>
              <w:rPr>
                <w:lang w:eastAsia="ja-JP"/>
              </w:rPr>
            </w:pPr>
            <w:r w:rsidRPr="00CC52A1">
              <w:rPr>
                <w:lang w:eastAsia="ja-JP"/>
              </w:rPr>
              <w:t>5 and beyond</w:t>
            </w:r>
          </w:p>
        </w:tc>
        <w:tc>
          <w:tcPr>
            <w:tcW w:w="43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C9" w14:textId="77777777" w:rsidR="009D3922" w:rsidRPr="00CC52A1" w:rsidRDefault="009D3922" w:rsidP="00202F95">
            <w:pPr>
              <w:pStyle w:val="Tabletext"/>
              <w:jc w:val="center"/>
              <w:rPr>
                <w:lang w:eastAsia="ja-JP"/>
              </w:rPr>
            </w:pPr>
            <w:r w:rsidRPr="00CC52A1">
              <w:rPr>
                <w:lang w:eastAsia="ja-JP"/>
              </w:rPr>
              <w:t>400 mg</w:t>
            </w:r>
          </w:p>
        </w:tc>
      </w:tr>
    </w:tbl>
    <w:p w14:paraId="6A4766CC" w14:textId="6DA98505" w:rsidR="009D3922" w:rsidRPr="00CC52A1" w:rsidRDefault="009D3922" w:rsidP="00202F95">
      <w:pPr>
        <w:rPr>
          <w:lang w:eastAsia="ja-JP"/>
        </w:rPr>
      </w:pPr>
      <w:r w:rsidRPr="00CC52A1">
        <w:rPr>
          <w:lang w:val="en-US" w:eastAsia="ja-JP"/>
        </w:rPr>
        <w:lastRenderedPageBreak/>
        <w:t xml:space="preserve">Treatment should continue until disease progression or </w:t>
      </w:r>
      <w:proofErr w:type="spellStart"/>
      <w:r w:rsidRPr="00CC52A1">
        <w:rPr>
          <w:lang w:val="en-US" w:eastAsia="ja-JP"/>
        </w:rPr>
        <w:t>venetoclax</w:t>
      </w:r>
      <w:proofErr w:type="spellEnd"/>
      <w:r w:rsidRPr="00CC52A1">
        <w:rPr>
          <w:lang w:val="en-US" w:eastAsia="ja-JP"/>
        </w:rPr>
        <w:t xml:space="preserve"> is no longer tolerated by the patient.</w:t>
      </w:r>
    </w:p>
    <w:p w14:paraId="6A4766CD" w14:textId="77777777" w:rsidR="00785A71" w:rsidRPr="00CC52A1" w:rsidRDefault="00785A71" w:rsidP="00ED7C00">
      <w:pPr>
        <w:pStyle w:val="Heading2"/>
      </w:pPr>
      <w:bookmarkStart w:id="19" w:name="_Risk_Assessment_and"/>
      <w:bookmarkEnd w:id="19"/>
      <w:r w:rsidRPr="00CC52A1">
        <w:t>Risk Assessment and Prophylaxis for Tumour Lysis Syndrome</w:t>
      </w:r>
    </w:p>
    <w:p w14:paraId="6B708B4A" w14:textId="77777777" w:rsidR="001950DB" w:rsidRDefault="00785A71" w:rsidP="00DB386C">
      <w:pPr>
        <w:jc w:val="both"/>
        <w:rPr>
          <w:rFonts w:cs="Arial"/>
        </w:rPr>
      </w:pPr>
      <w:r w:rsidRPr="00CC52A1">
        <w:rPr>
          <w:rFonts w:cs="Arial"/>
        </w:rPr>
        <w:t>VENCLEXTA can cause rapid tumour reduction and thus poses a risk for TLS in the initial 5-week dose titration phase. Changes in electrolytes consistent with TLS that require prompt management can occur as early as 6</w:t>
      </w:r>
      <w:r w:rsidR="00342FDC">
        <w:rPr>
          <w:rFonts w:cs="Arial"/>
        </w:rPr>
        <w:t xml:space="preserve"> to </w:t>
      </w:r>
      <w:r w:rsidRPr="00CC52A1">
        <w:rPr>
          <w:rFonts w:cs="Arial"/>
        </w:rPr>
        <w:t>8 hours following the first dose of VENCLEXTA and at each dose increase.</w:t>
      </w:r>
    </w:p>
    <w:p w14:paraId="7D8574C1" w14:textId="77B6A5E6" w:rsidR="001950DB" w:rsidRDefault="00785A71" w:rsidP="00450B1A">
      <w:r w:rsidRPr="00CC52A1">
        <w:t xml:space="preserve">The risk of TLS is a continuum based on multiple factors, including </w:t>
      </w:r>
      <w:r w:rsidR="00081FA6">
        <w:t xml:space="preserve">tumour burden and </w:t>
      </w:r>
      <w:r w:rsidRPr="00CC52A1">
        <w:t>comorbidities. Reduced renal function (creatinine clearance [</w:t>
      </w:r>
      <w:proofErr w:type="spellStart"/>
      <w:r w:rsidRPr="00CC52A1">
        <w:t>CrCl</w:t>
      </w:r>
      <w:proofErr w:type="spellEnd"/>
      <w:r w:rsidRPr="00CC52A1">
        <w:t xml:space="preserve">] &lt;80 mL/min) further increases the risk. The risk may decrease as tumour burden decreases with VENCLEXTA treatment (see </w:t>
      </w:r>
      <w:hyperlink w:anchor="_PRECAUTIONS" w:history="1">
        <w:r w:rsidR="00612E1E" w:rsidRPr="00202F95">
          <w:rPr>
            <w:rStyle w:val="Hyperlink"/>
          </w:rPr>
          <w:t>PRECAUTIONS:</w:t>
        </w:r>
        <w:r w:rsidRPr="00202F95">
          <w:rPr>
            <w:rStyle w:val="Hyperlink"/>
          </w:rPr>
          <w:t xml:space="preserve"> Tumour Lysis Syndrome</w:t>
        </w:r>
      </w:hyperlink>
      <w:r w:rsidRPr="00CC52A1">
        <w:t>).</w:t>
      </w:r>
      <w:r w:rsidR="00081FA6">
        <w:t xml:space="preserve"> </w:t>
      </w:r>
      <w:r w:rsidR="00081FA6" w:rsidRPr="00081FA6">
        <w:t>Perform tumo</w:t>
      </w:r>
      <w:r w:rsidR="00081FA6">
        <w:t>u</w:t>
      </w:r>
      <w:r w:rsidR="00081FA6" w:rsidRPr="00081FA6">
        <w:t>r burden assessments, including radiographic evaluation (e.g., CT scan), assess blood chemistry (potassium, uric acid, phosphorus, calcium, and creatinine) in all patients and correct pre-existing abnormalities prior to initiation of treatment with VENCLEXTA.</w:t>
      </w:r>
    </w:p>
    <w:p w14:paraId="1383E613" w14:textId="0DF4D53F" w:rsidR="00450B1A" w:rsidRDefault="00081FA6" w:rsidP="00450B1A">
      <w:pPr>
        <w:rPr>
          <w:lang w:val="en-US"/>
        </w:rPr>
      </w:pPr>
      <w:r w:rsidRPr="00081FA6">
        <w:rPr>
          <w:lang w:val="en-US"/>
        </w:rPr>
        <w:t xml:space="preserve">Table </w:t>
      </w:r>
      <w:r w:rsidR="0076553D">
        <w:rPr>
          <w:lang w:val="en-US"/>
        </w:rPr>
        <w:t>7</w:t>
      </w:r>
      <w:r w:rsidRPr="00081FA6">
        <w:rPr>
          <w:lang w:val="en-US"/>
        </w:rPr>
        <w:t xml:space="preserve"> below describes the recommended TLS prophylaxis and monitoring during VENCLEXTA treatment based on </w:t>
      </w:r>
      <w:proofErr w:type="spellStart"/>
      <w:r w:rsidRPr="00081FA6">
        <w:rPr>
          <w:lang w:val="en-US"/>
        </w:rPr>
        <w:t>tumo</w:t>
      </w:r>
      <w:r w:rsidR="00325A6A">
        <w:rPr>
          <w:lang w:val="en-US"/>
        </w:rPr>
        <w:t>u</w:t>
      </w:r>
      <w:r w:rsidRPr="00081FA6">
        <w:rPr>
          <w:lang w:val="en-US"/>
        </w:rPr>
        <w:t>r</w:t>
      </w:r>
      <w:proofErr w:type="spellEnd"/>
      <w:r w:rsidRPr="00081FA6">
        <w:rPr>
          <w:lang w:val="en-US"/>
        </w:rPr>
        <w:t xml:space="preserve"> burden determination from clinical trial data.</w:t>
      </w:r>
      <w:bookmarkStart w:id="20" w:name="table_2"/>
      <w:bookmarkEnd w:id="20"/>
    </w:p>
    <w:p w14:paraId="07F0A2D9" w14:textId="56464A4D" w:rsidR="004012EB" w:rsidRPr="00450B1A" w:rsidRDefault="00202F95" w:rsidP="00202F95">
      <w:pPr>
        <w:pStyle w:val="Caption"/>
        <w:rPr>
          <w:lang w:val="en-US"/>
        </w:rPr>
      </w:pPr>
      <w:proofErr w:type="gramStart"/>
      <w:r>
        <w:t xml:space="preserve">Table </w:t>
      </w:r>
      <w:proofErr w:type="gramEnd"/>
      <w:r>
        <w:fldChar w:fldCharType="begin"/>
      </w:r>
      <w:r>
        <w:instrText xml:space="preserve"> SEQ Table \* ARABIC </w:instrText>
      </w:r>
      <w:r>
        <w:fldChar w:fldCharType="separate"/>
      </w:r>
      <w:r>
        <w:rPr>
          <w:noProof/>
        </w:rPr>
        <w:t>7</w:t>
      </w:r>
      <w:r>
        <w:fldChar w:fldCharType="end"/>
      </w:r>
      <w:proofErr w:type="gramStart"/>
      <w:r w:rsidR="00081FA6" w:rsidRPr="00366523">
        <w:rPr>
          <w:lang w:val="en-US"/>
        </w:rPr>
        <w:t>.</w:t>
      </w:r>
      <w:proofErr w:type="gramEnd"/>
      <w:r w:rsidR="00081FA6" w:rsidRPr="00366523">
        <w:rPr>
          <w:lang w:val="en-US"/>
        </w:rPr>
        <w:t xml:space="preserve"> Recommended TLS Prophylaxis Based on </w:t>
      </w:r>
      <w:proofErr w:type="spellStart"/>
      <w:r w:rsidR="00081FA6" w:rsidRPr="00366523">
        <w:rPr>
          <w:lang w:val="en-US"/>
        </w:rPr>
        <w:t>Tumo</w:t>
      </w:r>
      <w:r w:rsidR="00325A6A" w:rsidRPr="00366523">
        <w:rPr>
          <w:lang w:val="en-US"/>
        </w:rPr>
        <w:t>u</w:t>
      </w:r>
      <w:r w:rsidR="00081FA6" w:rsidRPr="00366523">
        <w:rPr>
          <w:lang w:val="en-US"/>
        </w:rPr>
        <w:t>r</w:t>
      </w:r>
      <w:proofErr w:type="spellEnd"/>
      <w:r w:rsidR="00081FA6" w:rsidRPr="00366523">
        <w:rPr>
          <w:lang w:val="en-US"/>
        </w:rPr>
        <w:t xml:space="preserve"> Burden </w:t>
      </w:r>
      <w:proofErr w:type="gramStart"/>
      <w:r w:rsidR="00081FA6" w:rsidRPr="00366523">
        <w:rPr>
          <w:lang w:val="en-US"/>
        </w:rPr>
        <w:t>From</w:t>
      </w:r>
      <w:proofErr w:type="gramEnd"/>
      <w:r w:rsidR="00081FA6" w:rsidRPr="00366523">
        <w:rPr>
          <w:lang w:val="en-US"/>
        </w:rPr>
        <w:t xml:space="preserve"> Clinical Trial Data (consider all patient co-morbidities before final determination of prophylaxis and monitoring schedule)</w:t>
      </w:r>
    </w:p>
    <w:tbl>
      <w:tblPr>
        <w:tblW w:w="4829" w:type="pct"/>
        <w:tblLayout w:type="fixed"/>
        <w:tblCellMar>
          <w:top w:w="15" w:type="dxa"/>
          <w:left w:w="15" w:type="dxa"/>
          <w:bottom w:w="15" w:type="dxa"/>
          <w:right w:w="15" w:type="dxa"/>
        </w:tblCellMar>
        <w:tblLook w:val="04A0" w:firstRow="1" w:lastRow="0" w:firstColumn="1" w:lastColumn="0" w:noHBand="0" w:noVBand="1"/>
        <w:tblDescription w:val="Table 7. Recommended TLS Prophylaxis Based on Tumour Burden From Clinical Trial Data (consider all patient co-morbidities before final determination of prophylaxis and monitoring schedule)"/>
      </w:tblPr>
      <w:tblGrid>
        <w:gridCol w:w="1024"/>
        <w:gridCol w:w="1842"/>
        <w:gridCol w:w="1550"/>
        <w:gridCol w:w="1792"/>
        <w:gridCol w:w="2699"/>
      </w:tblGrid>
      <w:tr w:rsidR="0076553D" w:rsidRPr="00081FA6" w14:paraId="1F10897A" w14:textId="77777777" w:rsidTr="00202F95">
        <w:trPr>
          <w:tblHeader/>
        </w:trPr>
        <w:tc>
          <w:tcPr>
            <w:tcW w:w="1609" w:type="pct"/>
            <w:gridSpan w:val="2"/>
            <w:vMerge w:val="restart"/>
            <w:tcBorders>
              <w:top w:val="single" w:sz="6" w:space="0" w:color="000000"/>
              <w:left w:val="single" w:sz="6" w:space="0" w:color="000000"/>
              <w:right w:val="single" w:sz="6" w:space="0" w:color="000000"/>
            </w:tcBorders>
            <w:vAlign w:val="center"/>
            <w:hideMark/>
          </w:tcPr>
          <w:p w14:paraId="2FFCA3C6" w14:textId="3FB0EC30" w:rsidR="0076553D" w:rsidRPr="00450B1A" w:rsidRDefault="0076553D" w:rsidP="00450B1A">
            <w:pPr>
              <w:pStyle w:val="ListParagraph"/>
              <w:ind w:left="0"/>
              <w:jc w:val="center"/>
              <w:rPr>
                <w:rFonts w:cs="Arial"/>
                <w:lang w:val="en-US"/>
              </w:rPr>
            </w:pPr>
            <w:proofErr w:type="spellStart"/>
            <w:r w:rsidRPr="00081FA6">
              <w:rPr>
                <w:rFonts w:cs="Arial"/>
                <w:b/>
                <w:lang w:val="en-US"/>
              </w:rPr>
              <w:t>Tumo</w:t>
            </w:r>
            <w:r w:rsidR="00325A6A">
              <w:rPr>
                <w:rFonts w:cs="Arial"/>
                <w:b/>
                <w:lang w:val="en-US"/>
              </w:rPr>
              <w:t>u</w:t>
            </w:r>
            <w:r w:rsidRPr="00081FA6">
              <w:rPr>
                <w:rFonts w:cs="Arial"/>
                <w:b/>
                <w:lang w:val="en-US"/>
              </w:rPr>
              <w:t>r</w:t>
            </w:r>
            <w:proofErr w:type="spellEnd"/>
            <w:r w:rsidRPr="00081FA6">
              <w:rPr>
                <w:rFonts w:cs="Arial"/>
                <w:b/>
                <w:lang w:val="en-US"/>
              </w:rPr>
              <w:t xml:space="preserve"> Burden</w:t>
            </w:r>
          </w:p>
        </w:tc>
        <w:tc>
          <w:tcPr>
            <w:tcW w:w="1875" w:type="pct"/>
            <w:gridSpan w:val="2"/>
            <w:tcBorders>
              <w:top w:val="single" w:sz="6" w:space="0" w:color="000000"/>
              <w:left w:val="single" w:sz="6" w:space="0" w:color="000000"/>
              <w:bottom w:val="single" w:sz="6" w:space="0" w:color="000000"/>
              <w:right w:val="single" w:sz="6" w:space="0" w:color="000000"/>
            </w:tcBorders>
            <w:vAlign w:val="center"/>
            <w:hideMark/>
          </w:tcPr>
          <w:p w14:paraId="0A23C2FE" w14:textId="77777777" w:rsidR="0076553D" w:rsidRPr="00081FA6" w:rsidRDefault="0076553D" w:rsidP="008C3701">
            <w:pPr>
              <w:pStyle w:val="ListParagraph"/>
              <w:ind w:left="0"/>
              <w:jc w:val="center"/>
              <w:rPr>
                <w:rFonts w:cs="Arial"/>
                <w:lang w:val="en-US"/>
              </w:rPr>
            </w:pPr>
            <w:r w:rsidRPr="00081FA6">
              <w:rPr>
                <w:rFonts w:cs="Arial"/>
                <w:b/>
                <w:lang w:val="en-US"/>
              </w:rPr>
              <w:t>Prophylaxis</w:t>
            </w:r>
          </w:p>
        </w:tc>
        <w:tc>
          <w:tcPr>
            <w:tcW w:w="1516" w:type="pct"/>
            <w:tcBorders>
              <w:top w:val="single" w:sz="6" w:space="0" w:color="000000"/>
              <w:left w:val="single" w:sz="6" w:space="0" w:color="000000"/>
              <w:bottom w:val="single" w:sz="6" w:space="0" w:color="000000"/>
              <w:right w:val="single" w:sz="6" w:space="0" w:color="000000"/>
            </w:tcBorders>
            <w:hideMark/>
          </w:tcPr>
          <w:p w14:paraId="18FC3882" w14:textId="77777777" w:rsidR="0076553D" w:rsidRPr="00081FA6" w:rsidRDefault="0076553D" w:rsidP="008C3701">
            <w:pPr>
              <w:pStyle w:val="ListParagraph"/>
              <w:ind w:left="24"/>
              <w:jc w:val="center"/>
              <w:rPr>
                <w:rFonts w:cs="Arial"/>
                <w:lang w:val="en-US"/>
              </w:rPr>
            </w:pPr>
            <w:r w:rsidRPr="00081FA6">
              <w:rPr>
                <w:rFonts w:cs="Arial"/>
                <w:b/>
                <w:lang w:val="en-US"/>
              </w:rPr>
              <w:t>Blood Chemistry</w:t>
            </w:r>
            <w:r w:rsidRPr="00081FA6">
              <w:rPr>
                <w:rFonts w:cs="Arial"/>
                <w:b/>
                <w:lang w:val="en-US"/>
              </w:rPr>
              <w:br/>
            </w:r>
            <w:proofErr w:type="spellStart"/>
            <w:r w:rsidRPr="00081FA6">
              <w:rPr>
                <w:rFonts w:cs="Arial"/>
                <w:b/>
                <w:lang w:val="en-US"/>
              </w:rPr>
              <w:t>Monitoring</w:t>
            </w:r>
            <w:r w:rsidRPr="00081FA6">
              <w:rPr>
                <w:rFonts w:cs="Arial"/>
                <w:b/>
                <w:vertAlign w:val="superscript"/>
                <w:lang w:val="en-US"/>
              </w:rPr>
              <w:t>c,d</w:t>
            </w:r>
            <w:proofErr w:type="spellEnd"/>
          </w:p>
        </w:tc>
      </w:tr>
      <w:tr w:rsidR="0076553D" w:rsidRPr="00081FA6" w14:paraId="7BB4852E" w14:textId="77777777" w:rsidTr="00202F95">
        <w:trPr>
          <w:tblHeader/>
        </w:trPr>
        <w:tc>
          <w:tcPr>
            <w:tcW w:w="1609" w:type="pct"/>
            <w:gridSpan w:val="2"/>
            <w:vMerge/>
            <w:tcBorders>
              <w:left w:val="single" w:sz="6" w:space="0" w:color="000000"/>
              <w:bottom w:val="single" w:sz="6" w:space="0" w:color="000000"/>
              <w:right w:val="single" w:sz="6" w:space="0" w:color="000000"/>
            </w:tcBorders>
            <w:vAlign w:val="center"/>
            <w:hideMark/>
          </w:tcPr>
          <w:p w14:paraId="5876D447" w14:textId="0CEA3FCC" w:rsidR="0076553D" w:rsidRPr="00081FA6" w:rsidRDefault="0076553D" w:rsidP="00081FA6">
            <w:pPr>
              <w:pStyle w:val="ListParagraph"/>
              <w:rPr>
                <w:rFonts w:cs="Arial"/>
                <w:lang w:val="en-US"/>
              </w:rPr>
            </w:pPr>
          </w:p>
        </w:tc>
        <w:tc>
          <w:tcPr>
            <w:tcW w:w="870" w:type="pct"/>
            <w:tcBorders>
              <w:top w:val="single" w:sz="6" w:space="0" w:color="000000"/>
              <w:left w:val="single" w:sz="6" w:space="0" w:color="000000"/>
              <w:bottom w:val="single" w:sz="6" w:space="0" w:color="000000"/>
              <w:right w:val="single" w:sz="6" w:space="0" w:color="000000"/>
            </w:tcBorders>
            <w:hideMark/>
          </w:tcPr>
          <w:p w14:paraId="61BA8228" w14:textId="77777777" w:rsidR="0076553D" w:rsidRPr="00081FA6" w:rsidRDefault="0076553D" w:rsidP="008C3701">
            <w:pPr>
              <w:pStyle w:val="ListParagraph"/>
              <w:ind w:left="0"/>
              <w:jc w:val="center"/>
              <w:rPr>
                <w:rFonts w:cs="Arial"/>
                <w:lang w:val="en-US"/>
              </w:rPr>
            </w:pPr>
            <w:proofErr w:type="spellStart"/>
            <w:r w:rsidRPr="00081FA6">
              <w:rPr>
                <w:rFonts w:cs="Arial"/>
                <w:b/>
                <w:lang w:val="en-US"/>
              </w:rPr>
              <w:t>Hydration</w:t>
            </w:r>
            <w:r w:rsidRPr="00081FA6">
              <w:rPr>
                <w:rFonts w:cs="Arial"/>
                <w:b/>
                <w:vertAlign w:val="superscript"/>
                <w:lang w:val="en-US"/>
              </w:rPr>
              <w:t>a</w:t>
            </w:r>
            <w:proofErr w:type="spellEnd"/>
          </w:p>
        </w:tc>
        <w:tc>
          <w:tcPr>
            <w:tcW w:w="1006" w:type="pct"/>
            <w:tcBorders>
              <w:top w:val="single" w:sz="6" w:space="0" w:color="000000"/>
              <w:left w:val="single" w:sz="6" w:space="0" w:color="000000"/>
              <w:bottom w:val="single" w:sz="6" w:space="0" w:color="000000"/>
              <w:right w:val="single" w:sz="6" w:space="0" w:color="000000"/>
            </w:tcBorders>
            <w:hideMark/>
          </w:tcPr>
          <w:p w14:paraId="4B20149E" w14:textId="77777777" w:rsidR="0076553D" w:rsidRPr="00081FA6" w:rsidRDefault="0076553D" w:rsidP="008C3701">
            <w:pPr>
              <w:pStyle w:val="ListParagraph"/>
              <w:ind w:left="0"/>
              <w:jc w:val="center"/>
              <w:rPr>
                <w:rFonts w:cs="Arial"/>
                <w:lang w:val="en-US"/>
              </w:rPr>
            </w:pPr>
            <w:r w:rsidRPr="00081FA6">
              <w:rPr>
                <w:rFonts w:cs="Arial"/>
                <w:b/>
                <w:lang w:val="en-US"/>
              </w:rPr>
              <w:t>Anti-</w:t>
            </w:r>
            <w:proofErr w:type="spellStart"/>
            <w:r w:rsidRPr="00081FA6">
              <w:rPr>
                <w:rFonts w:cs="Arial"/>
                <w:b/>
                <w:lang w:val="en-US"/>
              </w:rPr>
              <w:t>hyperuricemics</w:t>
            </w:r>
            <w:proofErr w:type="spellEnd"/>
          </w:p>
        </w:tc>
        <w:tc>
          <w:tcPr>
            <w:tcW w:w="1516" w:type="pct"/>
            <w:tcBorders>
              <w:top w:val="single" w:sz="6" w:space="0" w:color="000000"/>
              <w:left w:val="single" w:sz="6" w:space="0" w:color="000000"/>
              <w:bottom w:val="single" w:sz="6" w:space="0" w:color="000000"/>
              <w:right w:val="single" w:sz="6" w:space="0" w:color="000000"/>
            </w:tcBorders>
            <w:hideMark/>
          </w:tcPr>
          <w:p w14:paraId="28C3D44E" w14:textId="77777777" w:rsidR="0076553D" w:rsidRPr="00081FA6" w:rsidRDefault="0076553D" w:rsidP="008C3701">
            <w:pPr>
              <w:pStyle w:val="ListParagraph"/>
              <w:ind w:left="24"/>
              <w:jc w:val="center"/>
              <w:rPr>
                <w:rFonts w:cs="Arial"/>
                <w:lang w:val="en-US"/>
              </w:rPr>
            </w:pPr>
            <w:r w:rsidRPr="00081FA6">
              <w:rPr>
                <w:rFonts w:cs="Arial"/>
                <w:b/>
                <w:lang w:val="en-US"/>
              </w:rPr>
              <w:t>Setting and</w:t>
            </w:r>
            <w:r w:rsidRPr="00081FA6">
              <w:rPr>
                <w:rFonts w:cs="Arial"/>
                <w:b/>
                <w:lang w:val="en-US"/>
              </w:rPr>
              <w:br/>
              <w:t>Frequency of</w:t>
            </w:r>
            <w:r w:rsidRPr="00081FA6">
              <w:rPr>
                <w:rFonts w:cs="Arial"/>
                <w:b/>
                <w:lang w:val="en-US"/>
              </w:rPr>
              <w:br/>
              <w:t>Assessments</w:t>
            </w:r>
          </w:p>
        </w:tc>
      </w:tr>
      <w:tr w:rsidR="0076553D" w:rsidRPr="00081FA6" w14:paraId="07A76EFD" w14:textId="77777777" w:rsidTr="00202F95">
        <w:tc>
          <w:tcPr>
            <w:tcW w:w="575" w:type="pct"/>
            <w:tcBorders>
              <w:top w:val="single" w:sz="6" w:space="0" w:color="000000"/>
              <w:left w:val="single" w:sz="6" w:space="0" w:color="000000"/>
              <w:bottom w:val="single" w:sz="6" w:space="0" w:color="000000"/>
              <w:right w:val="single" w:sz="6" w:space="0" w:color="000000"/>
            </w:tcBorders>
            <w:hideMark/>
          </w:tcPr>
          <w:p w14:paraId="5766358A" w14:textId="77777777" w:rsidR="00081FA6" w:rsidRPr="00081FA6" w:rsidRDefault="00081FA6" w:rsidP="00202F95">
            <w:pPr>
              <w:pStyle w:val="Tabletext"/>
            </w:pPr>
            <w:r w:rsidRPr="00081FA6">
              <w:t>Low</w:t>
            </w:r>
          </w:p>
        </w:tc>
        <w:tc>
          <w:tcPr>
            <w:tcW w:w="1034" w:type="pct"/>
            <w:tcBorders>
              <w:top w:val="single" w:sz="6" w:space="0" w:color="000000"/>
              <w:left w:val="single" w:sz="6" w:space="0" w:color="000000"/>
              <w:bottom w:val="single" w:sz="6" w:space="0" w:color="000000"/>
              <w:right w:val="single" w:sz="6" w:space="0" w:color="000000"/>
            </w:tcBorders>
            <w:hideMark/>
          </w:tcPr>
          <w:p w14:paraId="0720C454" w14:textId="109BE1AD" w:rsidR="00081FA6" w:rsidRPr="00081FA6" w:rsidRDefault="00081FA6" w:rsidP="00202F95">
            <w:pPr>
              <w:pStyle w:val="Tabletext"/>
            </w:pPr>
            <w:r w:rsidRPr="00081FA6">
              <w:t>All LN &lt;5 cm AND</w:t>
            </w:r>
            <w:r w:rsidRPr="00081FA6">
              <w:br/>
              <w:t>ALC &lt;25 x10</w:t>
            </w:r>
            <w:r w:rsidRPr="00081FA6">
              <w:rPr>
                <w:vertAlign w:val="superscript"/>
              </w:rPr>
              <w:t>9</w:t>
            </w:r>
            <w:r w:rsidR="00202F95">
              <w:t>/L</w:t>
            </w:r>
          </w:p>
        </w:tc>
        <w:tc>
          <w:tcPr>
            <w:tcW w:w="870" w:type="pct"/>
            <w:tcBorders>
              <w:top w:val="single" w:sz="6" w:space="0" w:color="000000"/>
              <w:left w:val="single" w:sz="6" w:space="0" w:color="000000"/>
              <w:bottom w:val="single" w:sz="6" w:space="0" w:color="000000"/>
              <w:right w:val="single" w:sz="6" w:space="0" w:color="000000"/>
            </w:tcBorders>
            <w:hideMark/>
          </w:tcPr>
          <w:p w14:paraId="0F189226" w14:textId="11238224" w:rsidR="00081FA6" w:rsidRPr="00081FA6" w:rsidRDefault="00202F95" w:rsidP="00202F95">
            <w:pPr>
              <w:pStyle w:val="Tabletext"/>
            </w:pPr>
            <w:r>
              <w:t>Oral</w:t>
            </w:r>
            <w:r>
              <w:br/>
              <w:t>(1.5-2 L)</w:t>
            </w:r>
          </w:p>
        </w:tc>
        <w:tc>
          <w:tcPr>
            <w:tcW w:w="1006" w:type="pct"/>
            <w:tcBorders>
              <w:top w:val="single" w:sz="6" w:space="0" w:color="000000"/>
              <w:left w:val="single" w:sz="6" w:space="0" w:color="000000"/>
              <w:bottom w:val="single" w:sz="6" w:space="0" w:color="000000"/>
              <w:right w:val="single" w:sz="6" w:space="0" w:color="000000"/>
            </w:tcBorders>
            <w:hideMark/>
          </w:tcPr>
          <w:p w14:paraId="3CAB8828" w14:textId="1A4468F6" w:rsidR="00081FA6" w:rsidRPr="00081FA6" w:rsidRDefault="00081FA6" w:rsidP="00202F95">
            <w:pPr>
              <w:pStyle w:val="Tabletext"/>
            </w:pPr>
            <w:proofErr w:type="spellStart"/>
            <w:r w:rsidRPr="00081FA6">
              <w:t>Allopurinol</w:t>
            </w:r>
            <w:r w:rsidRPr="00081FA6">
              <w:rPr>
                <w:vertAlign w:val="superscript"/>
              </w:rPr>
              <w:t>b</w:t>
            </w:r>
            <w:proofErr w:type="spellEnd"/>
          </w:p>
        </w:tc>
        <w:tc>
          <w:tcPr>
            <w:tcW w:w="1516" w:type="pct"/>
            <w:tcBorders>
              <w:top w:val="single" w:sz="6" w:space="0" w:color="000000"/>
              <w:left w:val="single" w:sz="6" w:space="0" w:color="000000"/>
              <w:bottom w:val="single" w:sz="6" w:space="0" w:color="000000"/>
              <w:right w:val="single" w:sz="6" w:space="0" w:color="000000"/>
            </w:tcBorders>
            <w:vAlign w:val="center"/>
            <w:hideMark/>
          </w:tcPr>
          <w:p w14:paraId="1B9343E5" w14:textId="77777777" w:rsidR="00081FA6" w:rsidRPr="00081FA6" w:rsidRDefault="00081FA6" w:rsidP="00202F95">
            <w:pPr>
              <w:pStyle w:val="Tabletext"/>
            </w:pPr>
            <w:r w:rsidRPr="00081FA6">
              <w:t>Outpatient</w:t>
            </w:r>
            <w:bookmarkStart w:id="21" w:name="l256323291458912587"/>
            <w:bookmarkEnd w:id="21"/>
          </w:p>
          <w:p w14:paraId="7BA0681A" w14:textId="77777777" w:rsidR="00081FA6" w:rsidRPr="00081FA6" w:rsidRDefault="00081FA6" w:rsidP="00202F95">
            <w:pPr>
              <w:pStyle w:val="Tabletext"/>
            </w:pPr>
            <w:r w:rsidRPr="00081FA6">
              <w:t>Pre-dose, 6 to 8 hours, 24 hours at first dose of 20 mg and 50 mg</w:t>
            </w:r>
          </w:p>
          <w:p w14:paraId="53C6AB53" w14:textId="77777777" w:rsidR="00081FA6" w:rsidRPr="00081FA6" w:rsidRDefault="00081FA6" w:rsidP="00202F95">
            <w:pPr>
              <w:pStyle w:val="Tabletext"/>
            </w:pPr>
            <w:r w:rsidRPr="00081FA6">
              <w:t>Pre-dose at subsequent ramp-up doses</w:t>
            </w:r>
          </w:p>
        </w:tc>
      </w:tr>
      <w:tr w:rsidR="0076553D" w:rsidRPr="00081FA6" w14:paraId="554D4EBB" w14:textId="77777777" w:rsidTr="00202F95">
        <w:tc>
          <w:tcPr>
            <w:tcW w:w="575" w:type="pct"/>
            <w:tcBorders>
              <w:top w:val="single" w:sz="6" w:space="0" w:color="000000"/>
              <w:left w:val="single" w:sz="6" w:space="0" w:color="000000"/>
              <w:bottom w:val="single" w:sz="6" w:space="0" w:color="000000"/>
              <w:right w:val="single" w:sz="6" w:space="0" w:color="000000"/>
            </w:tcBorders>
            <w:hideMark/>
          </w:tcPr>
          <w:p w14:paraId="3D599F9A" w14:textId="77777777" w:rsidR="00081FA6" w:rsidRPr="00081FA6" w:rsidRDefault="00081FA6" w:rsidP="00202F95">
            <w:pPr>
              <w:pStyle w:val="Tabletext"/>
            </w:pPr>
            <w:r w:rsidRPr="00081FA6">
              <w:t>Medium</w:t>
            </w:r>
          </w:p>
        </w:tc>
        <w:tc>
          <w:tcPr>
            <w:tcW w:w="1034" w:type="pct"/>
            <w:tcBorders>
              <w:top w:val="single" w:sz="6" w:space="0" w:color="000000"/>
              <w:left w:val="single" w:sz="6" w:space="0" w:color="000000"/>
              <w:bottom w:val="single" w:sz="6" w:space="0" w:color="000000"/>
              <w:right w:val="single" w:sz="6" w:space="0" w:color="000000"/>
            </w:tcBorders>
            <w:hideMark/>
          </w:tcPr>
          <w:p w14:paraId="324C998F" w14:textId="35EE61F5" w:rsidR="00081FA6" w:rsidRPr="00081FA6" w:rsidRDefault="00081FA6" w:rsidP="00202F95">
            <w:pPr>
              <w:pStyle w:val="Tabletext"/>
            </w:pPr>
            <w:r w:rsidRPr="00081FA6">
              <w:t>Any LN 5 cm to &lt;10 cm</w:t>
            </w:r>
            <w:r w:rsidRPr="00081FA6">
              <w:br/>
              <w:t>OR</w:t>
            </w:r>
            <w:r w:rsidRPr="00081FA6">
              <w:br/>
              <w:t>ALC ≥25 x10</w:t>
            </w:r>
            <w:r w:rsidRPr="00081FA6">
              <w:rPr>
                <w:vertAlign w:val="superscript"/>
              </w:rPr>
              <w:t>9</w:t>
            </w:r>
            <w:r w:rsidR="00202F95">
              <w:t>/L</w:t>
            </w:r>
          </w:p>
        </w:tc>
        <w:tc>
          <w:tcPr>
            <w:tcW w:w="870" w:type="pct"/>
            <w:tcBorders>
              <w:top w:val="single" w:sz="6" w:space="0" w:color="000000"/>
              <w:left w:val="single" w:sz="6" w:space="0" w:color="000000"/>
              <w:bottom w:val="single" w:sz="6" w:space="0" w:color="000000"/>
              <w:right w:val="single" w:sz="6" w:space="0" w:color="000000"/>
            </w:tcBorders>
            <w:hideMark/>
          </w:tcPr>
          <w:p w14:paraId="3FABC8C8" w14:textId="77777777" w:rsidR="00081FA6" w:rsidRPr="00081FA6" w:rsidRDefault="00081FA6" w:rsidP="00202F95">
            <w:pPr>
              <w:pStyle w:val="Tabletext"/>
            </w:pPr>
            <w:r w:rsidRPr="00081FA6">
              <w:t>Oral</w:t>
            </w:r>
            <w:r w:rsidRPr="00081FA6">
              <w:br/>
              <w:t>(1.5-2 L)</w:t>
            </w:r>
            <w:r w:rsidRPr="00081FA6">
              <w:br/>
              <w:t xml:space="preserve">and consider additional intravenous </w:t>
            </w:r>
          </w:p>
        </w:tc>
        <w:tc>
          <w:tcPr>
            <w:tcW w:w="1006" w:type="pct"/>
            <w:tcBorders>
              <w:top w:val="single" w:sz="6" w:space="0" w:color="000000"/>
              <w:left w:val="single" w:sz="6" w:space="0" w:color="000000"/>
              <w:bottom w:val="single" w:sz="6" w:space="0" w:color="000000"/>
              <w:right w:val="single" w:sz="6" w:space="0" w:color="000000"/>
            </w:tcBorders>
            <w:hideMark/>
          </w:tcPr>
          <w:p w14:paraId="3C428596" w14:textId="77777777" w:rsidR="00081FA6" w:rsidRPr="00081FA6" w:rsidRDefault="00081FA6" w:rsidP="00202F95">
            <w:pPr>
              <w:pStyle w:val="Tabletext"/>
            </w:pPr>
            <w:r w:rsidRPr="00081FA6">
              <w:t>Allopurinol</w:t>
            </w:r>
          </w:p>
        </w:tc>
        <w:tc>
          <w:tcPr>
            <w:tcW w:w="1516" w:type="pct"/>
            <w:tcBorders>
              <w:top w:val="single" w:sz="6" w:space="0" w:color="000000"/>
              <w:left w:val="single" w:sz="6" w:space="0" w:color="000000"/>
              <w:bottom w:val="single" w:sz="6" w:space="0" w:color="000000"/>
              <w:right w:val="single" w:sz="6" w:space="0" w:color="000000"/>
            </w:tcBorders>
            <w:hideMark/>
          </w:tcPr>
          <w:p w14:paraId="5F0B98AB" w14:textId="77777777" w:rsidR="00081FA6" w:rsidRPr="00081FA6" w:rsidRDefault="00081FA6" w:rsidP="00202F95">
            <w:pPr>
              <w:pStyle w:val="Tabletext"/>
            </w:pPr>
            <w:r w:rsidRPr="00081FA6">
              <w:t>Outpatient</w:t>
            </w:r>
            <w:bookmarkStart w:id="22" w:name="l258581291458912723"/>
            <w:bookmarkEnd w:id="22"/>
          </w:p>
          <w:p w14:paraId="5AECB568" w14:textId="77777777" w:rsidR="00081FA6" w:rsidRPr="00081FA6" w:rsidRDefault="00081FA6" w:rsidP="00202F95">
            <w:pPr>
              <w:pStyle w:val="Tabletext"/>
            </w:pPr>
            <w:r w:rsidRPr="00081FA6">
              <w:t>Pre-dose, 6 to 8 hours, 24 hours at first dose of 20 mg and 50 mg</w:t>
            </w:r>
          </w:p>
          <w:p w14:paraId="45F83617" w14:textId="77777777" w:rsidR="00081FA6" w:rsidRPr="00081FA6" w:rsidRDefault="00081FA6" w:rsidP="00202F95">
            <w:pPr>
              <w:pStyle w:val="Tabletext"/>
            </w:pPr>
            <w:r w:rsidRPr="00081FA6">
              <w:t>Pre-dose at subsequent ramp-up doses</w:t>
            </w:r>
          </w:p>
          <w:p w14:paraId="5E3FEBFE" w14:textId="1EDF9889" w:rsidR="00081FA6" w:rsidRPr="00081FA6" w:rsidRDefault="00081FA6" w:rsidP="00202F95">
            <w:pPr>
              <w:pStyle w:val="Tabletext"/>
            </w:pPr>
            <w:r w:rsidRPr="00081FA6">
              <w:t xml:space="preserve">Consider </w:t>
            </w:r>
            <w:proofErr w:type="spellStart"/>
            <w:r w:rsidRPr="00081FA6">
              <w:t>hospitali</w:t>
            </w:r>
            <w:r w:rsidR="00EA01EB">
              <w:t>s</w:t>
            </w:r>
            <w:r w:rsidRPr="00081FA6">
              <w:t>ation</w:t>
            </w:r>
            <w:proofErr w:type="spellEnd"/>
            <w:r w:rsidRPr="00081FA6">
              <w:t xml:space="preserve"> for patients with </w:t>
            </w:r>
            <w:proofErr w:type="spellStart"/>
            <w:r w:rsidRPr="00081FA6">
              <w:t>CrCl</w:t>
            </w:r>
            <w:proofErr w:type="spellEnd"/>
            <w:r w:rsidRPr="00081FA6">
              <w:t xml:space="preserve"> &lt;80ml/min at first dose of 20 mg and 50 mg; see below for monitoring in hospital</w:t>
            </w:r>
          </w:p>
        </w:tc>
      </w:tr>
      <w:tr w:rsidR="0076553D" w:rsidRPr="00081FA6" w14:paraId="28AB075D" w14:textId="77777777" w:rsidTr="00202F95">
        <w:tc>
          <w:tcPr>
            <w:tcW w:w="575" w:type="pct"/>
            <w:tcBorders>
              <w:top w:val="single" w:sz="6" w:space="0" w:color="000000"/>
              <w:left w:val="single" w:sz="6" w:space="0" w:color="000000"/>
              <w:bottom w:val="single" w:sz="6" w:space="0" w:color="000000"/>
              <w:right w:val="single" w:sz="6" w:space="0" w:color="000000"/>
            </w:tcBorders>
            <w:hideMark/>
          </w:tcPr>
          <w:p w14:paraId="11D24583" w14:textId="77777777" w:rsidR="00081FA6" w:rsidRPr="00081FA6" w:rsidRDefault="00081FA6" w:rsidP="00202F95">
            <w:pPr>
              <w:pStyle w:val="Tabletext"/>
            </w:pPr>
            <w:r w:rsidRPr="00081FA6">
              <w:t>High</w:t>
            </w:r>
          </w:p>
        </w:tc>
        <w:tc>
          <w:tcPr>
            <w:tcW w:w="1034" w:type="pct"/>
            <w:tcBorders>
              <w:top w:val="single" w:sz="6" w:space="0" w:color="000000"/>
              <w:left w:val="single" w:sz="6" w:space="0" w:color="000000"/>
              <w:bottom w:val="single" w:sz="6" w:space="0" w:color="000000"/>
              <w:right w:val="single" w:sz="6" w:space="0" w:color="000000"/>
            </w:tcBorders>
            <w:hideMark/>
          </w:tcPr>
          <w:p w14:paraId="4AC16371" w14:textId="7288E547" w:rsidR="00081FA6" w:rsidRPr="00081FA6" w:rsidRDefault="00081FA6" w:rsidP="00202F95">
            <w:pPr>
              <w:pStyle w:val="Tabletext"/>
            </w:pPr>
            <w:r w:rsidRPr="00081FA6">
              <w:t xml:space="preserve">Any LN ≥10 cm OR </w:t>
            </w:r>
            <w:r w:rsidRPr="00081FA6">
              <w:br/>
              <w:t>ALC ≥25 x10</w:t>
            </w:r>
            <w:r w:rsidRPr="00081FA6">
              <w:rPr>
                <w:vertAlign w:val="superscript"/>
              </w:rPr>
              <w:t>9</w:t>
            </w:r>
            <w:r w:rsidR="00202F95">
              <w:t>/L AND</w:t>
            </w:r>
            <w:r w:rsidR="00202F95">
              <w:br/>
              <w:t>any LN ≥5 cm</w:t>
            </w:r>
          </w:p>
        </w:tc>
        <w:tc>
          <w:tcPr>
            <w:tcW w:w="870" w:type="pct"/>
            <w:tcBorders>
              <w:top w:val="single" w:sz="6" w:space="0" w:color="000000"/>
              <w:left w:val="single" w:sz="6" w:space="0" w:color="000000"/>
              <w:bottom w:val="single" w:sz="6" w:space="0" w:color="000000"/>
              <w:right w:val="single" w:sz="6" w:space="0" w:color="000000"/>
            </w:tcBorders>
            <w:hideMark/>
          </w:tcPr>
          <w:p w14:paraId="7810D05F" w14:textId="0C94E64D" w:rsidR="00081FA6" w:rsidRPr="00081FA6" w:rsidRDefault="00081FA6" w:rsidP="00202F95">
            <w:pPr>
              <w:pStyle w:val="Tabletext"/>
            </w:pPr>
            <w:r w:rsidRPr="00081FA6">
              <w:t>Oral (1.5-2L)</w:t>
            </w:r>
            <w:r w:rsidRPr="00081FA6">
              <w:br/>
              <w:t>and intraveno</w:t>
            </w:r>
            <w:r w:rsidR="00202F95">
              <w:t>us</w:t>
            </w:r>
            <w:r w:rsidR="00202F95">
              <w:br/>
              <w:t>(150-200 mL/</w:t>
            </w:r>
            <w:proofErr w:type="spellStart"/>
            <w:r w:rsidR="00202F95">
              <w:t>hr</w:t>
            </w:r>
            <w:proofErr w:type="spellEnd"/>
            <w:r w:rsidR="00202F95">
              <w:br/>
              <w:t>as tolerated)</w:t>
            </w:r>
          </w:p>
        </w:tc>
        <w:tc>
          <w:tcPr>
            <w:tcW w:w="1006" w:type="pct"/>
            <w:tcBorders>
              <w:top w:val="single" w:sz="6" w:space="0" w:color="000000"/>
              <w:left w:val="single" w:sz="6" w:space="0" w:color="000000"/>
              <w:bottom w:val="single" w:sz="6" w:space="0" w:color="000000"/>
              <w:right w:val="single" w:sz="6" w:space="0" w:color="000000"/>
            </w:tcBorders>
            <w:hideMark/>
          </w:tcPr>
          <w:p w14:paraId="3816C30D" w14:textId="77777777" w:rsidR="00081FA6" w:rsidRPr="00081FA6" w:rsidRDefault="00081FA6" w:rsidP="00202F95">
            <w:pPr>
              <w:pStyle w:val="Tabletext"/>
            </w:pPr>
            <w:r w:rsidRPr="00081FA6">
              <w:t xml:space="preserve">Allopurinol; consider </w:t>
            </w:r>
            <w:proofErr w:type="spellStart"/>
            <w:r w:rsidRPr="00081FA6">
              <w:t>rasburicase</w:t>
            </w:r>
            <w:proofErr w:type="spellEnd"/>
            <w:r w:rsidRPr="00081FA6">
              <w:t xml:space="preserve"> if baseline uric acid is elevated</w:t>
            </w:r>
          </w:p>
        </w:tc>
        <w:tc>
          <w:tcPr>
            <w:tcW w:w="1516" w:type="pct"/>
            <w:tcBorders>
              <w:top w:val="single" w:sz="6" w:space="0" w:color="000000"/>
              <w:left w:val="single" w:sz="6" w:space="0" w:color="000000"/>
              <w:bottom w:val="single" w:sz="6" w:space="0" w:color="000000"/>
              <w:right w:val="single" w:sz="6" w:space="0" w:color="000000"/>
            </w:tcBorders>
            <w:hideMark/>
          </w:tcPr>
          <w:p w14:paraId="5C458AD5" w14:textId="77777777" w:rsidR="00081FA6" w:rsidRPr="00081FA6" w:rsidRDefault="00081FA6" w:rsidP="00202F95">
            <w:pPr>
              <w:pStyle w:val="Tabletext"/>
            </w:pPr>
            <w:r w:rsidRPr="00081FA6">
              <w:t>In hospital at first dose of 20 mg and 50 mg</w:t>
            </w:r>
            <w:bookmarkStart w:id="23" w:name="l258761291458912845"/>
            <w:bookmarkEnd w:id="23"/>
          </w:p>
          <w:p w14:paraId="72EC07A9" w14:textId="77777777" w:rsidR="00081FA6" w:rsidRPr="00081FA6" w:rsidRDefault="00081FA6" w:rsidP="00202F95">
            <w:pPr>
              <w:pStyle w:val="Tabletext"/>
            </w:pPr>
            <w:r w:rsidRPr="00081FA6">
              <w:t>Pre-dose, 4, 8,12 and 24 hours</w:t>
            </w:r>
          </w:p>
          <w:p w14:paraId="63EEC904" w14:textId="77777777" w:rsidR="00081FA6" w:rsidRPr="00081FA6" w:rsidRDefault="00081FA6" w:rsidP="00202F95">
            <w:pPr>
              <w:pStyle w:val="Tabletext"/>
            </w:pPr>
            <w:r w:rsidRPr="00081FA6">
              <w:t>Outpatient at subsequent ramp-up doses</w:t>
            </w:r>
            <w:bookmarkStart w:id="24" w:name="l258971291458912956"/>
            <w:bookmarkEnd w:id="24"/>
          </w:p>
          <w:p w14:paraId="5AA28A93" w14:textId="77777777" w:rsidR="00081FA6" w:rsidRPr="00081FA6" w:rsidRDefault="00081FA6" w:rsidP="00202F95">
            <w:pPr>
              <w:pStyle w:val="Tabletext"/>
            </w:pPr>
            <w:r w:rsidRPr="00081FA6">
              <w:t xml:space="preserve">Pre-dose, 6 to 8 hours, 24 </w:t>
            </w:r>
            <w:r w:rsidRPr="00081FA6">
              <w:lastRenderedPageBreak/>
              <w:t>hours</w:t>
            </w:r>
          </w:p>
        </w:tc>
      </w:tr>
      <w:tr w:rsidR="00081FA6" w:rsidRPr="00081FA6" w14:paraId="57E19E8A" w14:textId="77777777" w:rsidTr="00202F95">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14:paraId="44464C15" w14:textId="77777777" w:rsidR="00081FA6" w:rsidRPr="004012EB" w:rsidRDefault="00081FA6" w:rsidP="00202F95">
            <w:pPr>
              <w:pStyle w:val="Tabletext"/>
              <w:rPr>
                <w:sz w:val="20"/>
              </w:rPr>
            </w:pPr>
            <w:r w:rsidRPr="004012EB">
              <w:rPr>
                <w:sz w:val="20"/>
              </w:rPr>
              <w:lastRenderedPageBreak/>
              <w:t>ALC = absolute lymphocyte count; LN = lymph node.</w:t>
            </w:r>
            <w:r w:rsidRPr="004012EB">
              <w:rPr>
                <w:sz w:val="20"/>
              </w:rPr>
              <w:br/>
            </w:r>
            <w:proofErr w:type="spellStart"/>
            <w:proofErr w:type="gramStart"/>
            <w:r w:rsidRPr="004012EB">
              <w:rPr>
                <w:sz w:val="20"/>
                <w:vertAlign w:val="superscript"/>
              </w:rPr>
              <w:t>a</w:t>
            </w:r>
            <w:r w:rsidRPr="004012EB">
              <w:rPr>
                <w:sz w:val="20"/>
              </w:rPr>
              <w:t>Administer</w:t>
            </w:r>
            <w:proofErr w:type="spellEnd"/>
            <w:proofErr w:type="gramEnd"/>
            <w:r w:rsidRPr="004012EB">
              <w:rPr>
                <w:sz w:val="20"/>
              </w:rPr>
              <w:t xml:space="preserve"> intravenous hydration for any patient who cannot tolerate oral hydration. </w:t>
            </w:r>
            <w:r w:rsidRPr="004012EB">
              <w:rPr>
                <w:sz w:val="20"/>
              </w:rPr>
              <w:br/>
            </w:r>
            <w:proofErr w:type="spellStart"/>
            <w:proofErr w:type="gramStart"/>
            <w:r w:rsidRPr="004012EB">
              <w:rPr>
                <w:sz w:val="20"/>
                <w:vertAlign w:val="superscript"/>
              </w:rPr>
              <w:t>b</w:t>
            </w:r>
            <w:r w:rsidRPr="004012EB">
              <w:rPr>
                <w:sz w:val="20"/>
              </w:rPr>
              <w:t>Start</w:t>
            </w:r>
            <w:proofErr w:type="spellEnd"/>
            <w:proofErr w:type="gramEnd"/>
            <w:r w:rsidRPr="004012EB">
              <w:rPr>
                <w:sz w:val="20"/>
              </w:rPr>
              <w:t xml:space="preserve"> allopurinol or xanthine oxidase inhibitor 2 to 3 days prior to initiation of VENCLEXTA.</w:t>
            </w:r>
            <w:r w:rsidRPr="004012EB">
              <w:rPr>
                <w:sz w:val="20"/>
              </w:rPr>
              <w:br/>
            </w:r>
            <w:proofErr w:type="spellStart"/>
            <w:proofErr w:type="gramStart"/>
            <w:r w:rsidRPr="004012EB">
              <w:rPr>
                <w:sz w:val="20"/>
                <w:vertAlign w:val="superscript"/>
              </w:rPr>
              <w:t>c</w:t>
            </w:r>
            <w:r w:rsidRPr="004012EB">
              <w:rPr>
                <w:sz w:val="20"/>
              </w:rPr>
              <w:t>Evaluate</w:t>
            </w:r>
            <w:proofErr w:type="spellEnd"/>
            <w:proofErr w:type="gramEnd"/>
            <w:r w:rsidRPr="004012EB">
              <w:rPr>
                <w:sz w:val="20"/>
              </w:rPr>
              <w:t xml:space="preserve"> blood chemistries (potassium, uric acid, phosphorus, calcium, and creatinine); review in real time. </w:t>
            </w:r>
            <w:r w:rsidRPr="004012EB">
              <w:rPr>
                <w:sz w:val="20"/>
              </w:rPr>
              <w:br/>
            </w:r>
            <w:proofErr w:type="spellStart"/>
            <w:r w:rsidRPr="004012EB">
              <w:rPr>
                <w:sz w:val="20"/>
                <w:vertAlign w:val="superscript"/>
              </w:rPr>
              <w:t>d</w:t>
            </w:r>
            <w:r w:rsidRPr="004012EB">
              <w:rPr>
                <w:sz w:val="20"/>
              </w:rPr>
              <w:t>For</w:t>
            </w:r>
            <w:proofErr w:type="spellEnd"/>
            <w:r w:rsidRPr="004012EB">
              <w:rPr>
                <w:sz w:val="20"/>
              </w:rPr>
              <w:t xml:space="preserve"> patients at risk of TLS, monitor blood chemistries at 6 to 8 hours and at 24 hours at each subsequent ramp-up dose. </w:t>
            </w:r>
          </w:p>
        </w:tc>
      </w:tr>
    </w:tbl>
    <w:p w14:paraId="6A4766DA" w14:textId="77777777" w:rsidR="00785A71" w:rsidRPr="00CC52A1" w:rsidRDefault="00785A71" w:rsidP="00ED7C00">
      <w:pPr>
        <w:pStyle w:val="Heading2"/>
      </w:pPr>
      <w:bookmarkStart w:id="25" w:name="_Dose_Modifications_Based"/>
      <w:bookmarkEnd w:id="25"/>
      <w:r w:rsidRPr="00CC52A1">
        <w:t>Dose Modifications Based on Toxicities</w:t>
      </w:r>
    </w:p>
    <w:p w14:paraId="6A4766DB" w14:textId="33517351" w:rsidR="006C11D2" w:rsidRPr="00CC52A1" w:rsidRDefault="00785A71" w:rsidP="00450B1A">
      <w:pPr>
        <w:rPr>
          <w:b/>
        </w:rPr>
      </w:pPr>
      <w:r w:rsidRPr="00CC52A1">
        <w:t xml:space="preserve">Dosing interruption and/or dose reduction may be required. See Table </w:t>
      </w:r>
      <w:r w:rsidR="00F646F8">
        <w:t>8</w:t>
      </w:r>
      <w:r w:rsidRPr="00CC52A1">
        <w:t xml:space="preserve"> for dose modifications for </w:t>
      </w:r>
      <w:proofErr w:type="spellStart"/>
      <w:r w:rsidRPr="00CC52A1">
        <w:t>haematologic</w:t>
      </w:r>
      <w:proofErr w:type="spellEnd"/>
      <w:r w:rsidRPr="00CC52A1">
        <w:t xml:space="preserve"> and other toxicities related to VENCLEXTA. For patients who have had a dosing interruption greater than 1 week during the first 5 weeks of dose titration phase or greater than 2 weeks when at the daily dose of 400 mg, the risk of TLS is to be reassessed to determine if re-initiation with a reduced dose is necessary (e.g., all or some levels of the dose titration schedule) (see</w:t>
      </w:r>
      <w:r w:rsidR="004012EB">
        <w:t xml:space="preserve"> </w:t>
      </w:r>
      <w:hyperlink w:anchor="_DOSAGE_AND_ADMINISTRATION" w:history="1">
        <w:r w:rsidR="00612E1E" w:rsidRPr="00E91B5E">
          <w:rPr>
            <w:rStyle w:val="Hyperlink"/>
          </w:rPr>
          <w:t>DOSAGE AND ADMINISTRATION</w:t>
        </w:r>
      </w:hyperlink>
      <w:r w:rsidRPr="00CC52A1">
        <w:rPr>
          <w:b/>
        </w:rPr>
        <w:t xml:space="preserve"> </w:t>
      </w:r>
      <w:hyperlink w:anchor="_Recommended_Dosage_Regimen" w:history="1">
        <w:r w:rsidRPr="00E91B5E">
          <w:rPr>
            <w:rStyle w:val="Hyperlink"/>
          </w:rPr>
          <w:t>Recommended Dosage Regimen</w:t>
        </w:r>
      </w:hyperlink>
      <w:r w:rsidRPr="00CC52A1">
        <w:rPr>
          <w:b/>
          <w:i/>
        </w:rPr>
        <w:t xml:space="preserve"> </w:t>
      </w:r>
      <w:r w:rsidRPr="004012EB">
        <w:t>and</w:t>
      </w:r>
      <w:r w:rsidRPr="00CC52A1">
        <w:rPr>
          <w:b/>
          <w:i/>
        </w:rPr>
        <w:t xml:space="preserve"> </w:t>
      </w:r>
      <w:hyperlink w:anchor="_Risk_Assessment_and" w:history="1">
        <w:r w:rsidRPr="00E91B5E">
          <w:rPr>
            <w:rStyle w:val="Hyperlink"/>
          </w:rPr>
          <w:t>Risk Assessment and Prophylaxis for Tumour Lysis Syndrome</w:t>
        </w:r>
      </w:hyperlink>
      <w:r w:rsidRPr="00CC52A1">
        <w:t>).</w:t>
      </w:r>
    </w:p>
    <w:p w14:paraId="6A4766DC" w14:textId="5B8F1E72" w:rsidR="00785A71" w:rsidRPr="00CC52A1" w:rsidRDefault="00202F95" w:rsidP="00202F95">
      <w:pPr>
        <w:pStyle w:val="Caption"/>
        <w:rPr>
          <w:lang w:val="en-US"/>
        </w:rPr>
      </w:pPr>
      <w:proofErr w:type="gramStart"/>
      <w:r>
        <w:t xml:space="preserve">Table </w:t>
      </w:r>
      <w:proofErr w:type="gramEnd"/>
      <w:r>
        <w:fldChar w:fldCharType="begin"/>
      </w:r>
      <w:r>
        <w:instrText xml:space="preserve"> SEQ Table \* ARABIC </w:instrText>
      </w:r>
      <w:r>
        <w:fldChar w:fldCharType="separate"/>
      </w:r>
      <w:r>
        <w:rPr>
          <w:noProof/>
        </w:rPr>
        <w:t>8</w:t>
      </w:r>
      <w:r>
        <w:fldChar w:fldCharType="end"/>
      </w:r>
      <w:proofErr w:type="gramStart"/>
      <w:r w:rsidR="00785A71" w:rsidRPr="00CC52A1">
        <w:rPr>
          <w:lang w:val="en-US"/>
        </w:rPr>
        <w:t>.</w:t>
      </w:r>
      <w:proofErr w:type="gramEnd"/>
      <w:r w:rsidR="00785A71" w:rsidRPr="00CC52A1">
        <w:rPr>
          <w:lang w:val="en-US"/>
        </w:rPr>
        <w:t xml:space="preserve"> Recommended Dose Modifications for Toxicities</w:t>
      </w:r>
    </w:p>
    <w:tbl>
      <w:tblPr>
        <w:tblW w:w="5033"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Description w:val="Table 8. Recommended Dose Modifications for Toxicities"/>
      </w:tblPr>
      <w:tblGrid>
        <w:gridCol w:w="1886"/>
        <w:gridCol w:w="17"/>
        <w:gridCol w:w="173"/>
        <w:gridCol w:w="2898"/>
        <w:gridCol w:w="4309"/>
      </w:tblGrid>
      <w:tr w:rsidR="00CC52A1" w:rsidRPr="00CC52A1" w14:paraId="6A4766E0" w14:textId="77777777" w:rsidTr="00202F95">
        <w:trPr>
          <w:trHeight w:val="397"/>
          <w:tblHeader/>
        </w:trPr>
        <w:tc>
          <w:tcPr>
            <w:tcW w:w="10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DD" w14:textId="77777777" w:rsidR="00785A71" w:rsidRPr="00CC52A1" w:rsidRDefault="00785A71" w:rsidP="00DD62A5">
            <w:pPr>
              <w:spacing w:after="0"/>
              <w:jc w:val="center"/>
              <w:rPr>
                <w:rFonts w:cs="Arial"/>
                <w:lang w:val="en-US"/>
              </w:rPr>
            </w:pPr>
            <w:r w:rsidRPr="00CC52A1">
              <w:rPr>
                <w:rFonts w:cs="Arial"/>
                <w:b/>
                <w:lang w:val="en-US"/>
              </w:rPr>
              <w:t>Event</w:t>
            </w:r>
          </w:p>
        </w:tc>
        <w:tc>
          <w:tcPr>
            <w:tcW w:w="166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DE" w14:textId="77777777" w:rsidR="00785A71" w:rsidRPr="00CC52A1" w:rsidRDefault="00785A71" w:rsidP="00DD62A5">
            <w:pPr>
              <w:spacing w:after="0"/>
              <w:jc w:val="center"/>
              <w:rPr>
                <w:rFonts w:cs="Arial"/>
                <w:lang w:val="en-US"/>
              </w:rPr>
            </w:pPr>
            <w:r w:rsidRPr="00CC52A1">
              <w:rPr>
                <w:rFonts w:cs="Arial"/>
                <w:b/>
                <w:lang w:val="en-US"/>
              </w:rPr>
              <w:t>Occurrence</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DF" w14:textId="77777777" w:rsidR="00785A71" w:rsidRPr="00CC52A1" w:rsidRDefault="00785A71" w:rsidP="00DD62A5">
            <w:pPr>
              <w:spacing w:after="0"/>
              <w:jc w:val="center"/>
              <w:rPr>
                <w:rFonts w:cs="Arial"/>
                <w:lang w:val="en-US"/>
              </w:rPr>
            </w:pPr>
            <w:r w:rsidRPr="00CC52A1">
              <w:rPr>
                <w:rFonts w:cs="Arial"/>
                <w:b/>
                <w:lang w:val="en-US"/>
              </w:rPr>
              <w:t>Action</w:t>
            </w:r>
          </w:p>
        </w:tc>
      </w:tr>
      <w:tr w:rsidR="00CC52A1" w:rsidRPr="00CC52A1" w14:paraId="6A4766E2" w14:textId="77777777" w:rsidTr="00CC52A1">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E1" w14:textId="77777777" w:rsidR="00785A71" w:rsidRPr="00CC52A1" w:rsidRDefault="00785A71" w:rsidP="00202F95">
            <w:pPr>
              <w:pStyle w:val="Tabletext"/>
              <w:jc w:val="center"/>
            </w:pPr>
            <w:proofErr w:type="spellStart"/>
            <w:r w:rsidRPr="00CC52A1">
              <w:t>Tumour</w:t>
            </w:r>
            <w:proofErr w:type="spellEnd"/>
            <w:r w:rsidRPr="00CC52A1">
              <w:t xml:space="preserve"> Lysis Syndrome</w:t>
            </w:r>
          </w:p>
        </w:tc>
      </w:tr>
      <w:tr w:rsidR="00CC52A1" w:rsidRPr="00CC52A1" w14:paraId="6A4766E6" w14:textId="77777777" w:rsidTr="00CC52A1">
        <w:tc>
          <w:tcPr>
            <w:tcW w:w="1025" w:type="pct"/>
            <w:gridSpan w:val="2"/>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6A4766E3" w14:textId="77777777" w:rsidR="00785A71" w:rsidRPr="00CC52A1" w:rsidRDefault="00785A71" w:rsidP="00202F95">
            <w:pPr>
              <w:pStyle w:val="Tabletext"/>
            </w:pPr>
            <w:r w:rsidRPr="00CC52A1">
              <w:t>Blood chemistry changes or symptoms suggestive of TLS</w:t>
            </w:r>
          </w:p>
        </w:tc>
        <w:tc>
          <w:tcPr>
            <w:tcW w:w="1654" w:type="pct"/>
            <w:gridSpan w:val="2"/>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6A4766E4" w14:textId="77777777" w:rsidR="00785A71" w:rsidRPr="00CC52A1" w:rsidRDefault="00785A71" w:rsidP="00202F95">
            <w:pPr>
              <w:pStyle w:val="Tabletext"/>
            </w:pPr>
            <w:r w:rsidRPr="00CC52A1">
              <w:t>Any</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E5" w14:textId="77777777" w:rsidR="00785A71" w:rsidRPr="00CC52A1" w:rsidRDefault="00785A71" w:rsidP="00202F95">
            <w:pPr>
              <w:pStyle w:val="Tabletext"/>
            </w:pPr>
            <w:r w:rsidRPr="00CC52A1">
              <w:t>Withhold the next day’s dose. If resolved within 24-48 hours of last dose, resume at the same dose.</w:t>
            </w:r>
          </w:p>
        </w:tc>
      </w:tr>
      <w:tr w:rsidR="00CC52A1" w:rsidRPr="00CC52A1" w14:paraId="6A4766EA" w14:textId="77777777" w:rsidTr="00CC52A1">
        <w:tc>
          <w:tcPr>
            <w:tcW w:w="1025" w:type="pct"/>
            <w:gridSpan w:val="2"/>
            <w:vMerge/>
            <w:tcBorders>
              <w:left w:val="single" w:sz="6" w:space="0" w:color="000000"/>
              <w:right w:val="single" w:sz="6" w:space="0" w:color="000000"/>
            </w:tcBorders>
            <w:vAlign w:val="center"/>
            <w:hideMark/>
          </w:tcPr>
          <w:p w14:paraId="6A4766E7" w14:textId="77777777" w:rsidR="00785A71" w:rsidRPr="00CC52A1" w:rsidRDefault="00785A71" w:rsidP="00DD62A5">
            <w:pPr>
              <w:spacing w:after="0"/>
              <w:rPr>
                <w:rFonts w:cs="Arial"/>
                <w:lang w:val="en-US"/>
              </w:rPr>
            </w:pPr>
          </w:p>
        </w:tc>
        <w:tc>
          <w:tcPr>
            <w:tcW w:w="1654" w:type="pct"/>
            <w:gridSpan w:val="2"/>
            <w:vMerge/>
            <w:tcBorders>
              <w:left w:val="single" w:sz="6" w:space="0" w:color="000000"/>
              <w:right w:val="single" w:sz="6" w:space="0" w:color="000000"/>
            </w:tcBorders>
            <w:vAlign w:val="center"/>
            <w:hideMark/>
          </w:tcPr>
          <w:p w14:paraId="6A4766E8" w14:textId="77777777" w:rsidR="00785A71" w:rsidRPr="00CC52A1" w:rsidRDefault="00785A71" w:rsidP="00DD62A5">
            <w:pPr>
              <w:spacing w:after="0"/>
              <w:rPr>
                <w:rFonts w:cs="Arial"/>
                <w:lang w:val="en-US"/>
              </w:rPr>
            </w:pP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E9" w14:textId="7B36DD8E" w:rsidR="00785A71" w:rsidRPr="00CC52A1" w:rsidRDefault="00785A71" w:rsidP="00202F95">
            <w:pPr>
              <w:pStyle w:val="Tabletext"/>
            </w:pPr>
            <w:r w:rsidRPr="00CC52A1">
              <w:t xml:space="preserve">For any blood chemistry changes requiring more than 48 hours </w:t>
            </w:r>
            <w:proofErr w:type="gramStart"/>
            <w:r w:rsidRPr="00CC52A1">
              <w:t>to resolve, resume</w:t>
            </w:r>
            <w:proofErr w:type="gramEnd"/>
            <w:r w:rsidRPr="00CC52A1">
              <w:t xml:space="preserve"> at a reduced dose (see Table </w:t>
            </w:r>
            <w:r w:rsidR="0097629E">
              <w:t>9</w:t>
            </w:r>
            <w:r w:rsidRPr="00CC52A1">
              <w:t xml:space="preserve">) (see </w:t>
            </w:r>
            <w:hyperlink w:anchor="_DOSAGE_AND_ADMINISTRATION" w:history="1">
              <w:r w:rsidRPr="00202F95">
                <w:rPr>
                  <w:rStyle w:val="Hyperlink"/>
                  <w:b/>
                </w:rPr>
                <w:t>D</w:t>
              </w:r>
              <w:r w:rsidR="0057620A" w:rsidRPr="00202F95">
                <w:rPr>
                  <w:rStyle w:val="Hyperlink"/>
                  <w:b/>
                </w:rPr>
                <w:t>OSAGE AND ADMINISTRATION</w:t>
              </w:r>
            </w:hyperlink>
            <w:r w:rsidRPr="00CC52A1">
              <w:t xml:space="preserve">; </w:t>
            </w:r>
            <w:hyperlink w:anchor="_Risk_Assessment_and" w:history="1">
              <w:r w:rsidRPr="00E91B5E">
                <w:rPr>
                  <w:rStyle w:val="Hyperlink"/>
                  <w:i/>
                </w:rPr>
                <w:t xml:space="preserve">Risk Assessment and Prophylaxis </w:t>
              </w:r>
              <w:r w:rsidR="00ED31DF" w:rsidRPr="00E91B5E">
                <w:rPr>
                  <w:rStyle w:val="Hyperlink"/>
                  <w:i/>
                </w:rPr>
                <w:t xml:space="preserve">for </w:t>
              </w:r>
              <w:proofErr w:type="spellStart"/>
              <w:r w:rsidRPr="00E91B5E">
                <w:rPr>
                  <w:rStyle w:val="Hyperlink"/>
                  <w:i/>
                </w:rPr>
                <w:t>Tumour</w:t>
              </w:r>
              <w:proofErr w:type="spellEnd"/>
              <w:r w:rsidRPr="00E91B5E">
                <w:rPr>
                  <w:rStyle w:val="Hyperlink"/>
                  <w:i/>
                </w:rPr>
                <w:t xml:space="preserve"> Lysis Syndrome</w:t>
              </w:r>
            </w:hyperlink>
            <w:r w:rsidRPr="00CC52A1">
              <w:t>).</w:t>
            </w:r>
          </w:p>
        </w:tc>
      </w:tr>
      <w:tr w:rsidR="00CC52A1" w:rsidRPr="00CC52A1" w14:paraId="6A4766EE" w14:textId="77777777" w:rsidTr="00CC52A1">
        <w:tc>
          <w:tcPr>
            <w:tcW w:w="1025" w:type="pct"/>
            <w:gridSpan w:val="2"/>
            <w:vMerge/>
            <w:tcBorders>
              <w:left w:val="single" w:sz="6" w:space="0" w:color="000000"/>
              <w:bottom w:val="single" w:sz="6" w:space="0" w:color="000000"/>
              <w:right w:val="single" w:sz="6" w:space="0" w:color="000000"/>
            </w:tcBorders>
            <w:vAlign w:val="center"/>
            <w:hideMark/>
          </w:tcPr>
          <w:p w14:paraId="6A4766EB" w14:textId="77777777" w:rsidR="00785A71" w:rsidRPr="00CC52A1" w:rsidRDefault="00785A71" w:rsidP="00DD62A5">
            <w:pPr>
              <w:spacing w:after="0"/>
              <w:rPr>
                <w:rFonts w:cs="Arial"/>
                <w:lang w:val="en-US"/>
              </w:rPr>
            </w:pPr>
          </w:p>
        </w:tc>
        <w:tc>
          <w:tcPr>
            <w:tcW w:w="1654" w:type="pct"/>
            <w:gridSpan w:val="2"/>
            <w:vMerge/>
            <w:tcBorders>
              <w:left w:val="single" w:sz="6" w:space="0" w:color="000000"/>
              <w:bottom w:val="single" w:sz="6" w:space="0" w:color="000000"/>
              <w:right w:val="single" w:sz="6" w:space="0" w:color="000000"/>
            </w:tcBorders>
            <w:vAlign w:val="center"/>
            <w:hideMark/>
          </w:tcPr>
          <w:p w14:paraId="6A4766EC" w14:textId="77777777" w:rsidR="00785A71" w:rsidRPr="00CC52A1" w:rsidRDefault="00785A71" w:rsidP="00DD62A5">
            <w:pPr>
              <w:spacing w:after="0"/>
              <w:rPr>
                <w:rFonts w:cs="Arial"/>
                <w:lang w:val="en-US"/>
              </w:rPr>
            </w:pP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ED" w14:textId="18F133F5" w:rsidR="00785A71" w:rsidRPr="00CC52A1" w:rsidRDefault="00785A71" w:rsidP="00202F95">
            <w:pPr>
              <w:pStyle w:val="Tabletext"/>
            </w:pPr>
            <w:r w:rsidRPr="00CC52A1">
              <w:t>For any events of clinical TLS,</w:t>
            </w:r>
            <w:r w:rsidRPr="00CC52A1">
              <w:rPr>
                <w:vertAlign w:val="superscript"/>
              </w:rPr>
              <w:t xml:space="preserve"> </w:t>
            </w:r>
            <w:r w:rsidRPr="00CC52A1">
              <w:t xml:space="preserve">resume at a reduced dose following resolution (see Table </w:t>
            </w:r>
            <w:r w:rsidR="000D503B">
              <w:t>9</w:t>
            </w:r>
            <w:r w:rsidRPr="00CC52A1">
              <w:t xml:space="preserve">) (see </w:t>
            </w:r>
            <w:hyperlink w:anchor="_DOSAGE_AND_ADMINISTRATION" w:history="1">
              <w:r w:rsidRPr="00202F95">
                <w:rPr>
                  <w:rStyle w:val="Hyperlink"/>
                  <w:b/>
                </w:rPr>
                <w:t>D</w:t>
              </w:r>
              <w:r w:rsidR="0057620A" w:rsidRPr="00202F95">
                <w:rPr>
                  <w:rStyle w:val="Hyperlink"/>
                  <w:b/>
                </w:rPr>
                <w:t>OSAGE AND ADMINISTRATION</w:t>
              </w:r>
            </w:hyperlink>
            <w:r w:rsidRPr="00CC52A1">
              <w:t xml:space="preserve">; </w:t>
            </w:r>
            <w:hyperlink w:anchor="_Risk_Assessment_and" w:history="1">
              <w:r w:rsidRPr="00E91B5E">
                <w:rPr>
                  <w:rStyle w:val="Hyperlink"/>
                  <w:i/>
                </w:rPr>
                <w:t xml:space="preserve">Risk Assessment and Prophylaxis </w:t>
              </w:r>
              <w:r w:rsidR="00ED31DF" w:rsidRPr="00E91B5E">
                <w:rPr>
                  <w:rStyle w:val="Hyperlink"/>
                  <w:i/>
                </w:rPr>
                <w:t xml:space="preserve">for </w:t>
              </w:r>
              <w:proofErr w:type="spellStart"/>
              <w:r w:rsidRPr="00E91B5E">
                <w:rPr>
                  <w:rStyle w:val="Hyperlink"/>
                  <w:i/>
                </w:rPr>
                <w:t>Tumour</w:t>
              </w:r>
              <w:proofErr w:type="spellEnd"/>
              <w:r w:rsidRPr="00E91B5E">
                <w:rPr>
                  <w:rStyle w:val="Hyperlink"/>
                  <w:i/>
                </w:rPr>
                <w:t xml:space="preserve"> Lysis Syndrome</w:t>
              </w:r>
            </w:hyperlink>
            <w:r w:rsidRPr="00CC52A1">
              <w:t>).</w:t>
            </w:r>
          </w:p>
        </w:tc>
      </w:tr>
      <w:tr w:rsidR="00CC52A1" w:rsidRPr="00CC52A1" w14:paraId="6A4766F0" w14:textId="77777777" w:rsidTr="00CC52A1">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EF" w14:textId="77777777" w:rsidR="00785A71" w:rsidRPr="00CC52A1" w:rsidRDefault="00785A71" w:rsidP="00202F95">
            <w:pPr>
              <w:pStyle w:val="Tabletext"/>
              <w:jc w:val="center"/>
            </w:pPr>
            <w:r w:rsidRPr="00CC52A1">
              <w:t>Non-</w:t>
            </w:r>
            <w:proofErr w:type="spellStart"/>
            <w:r w:rsidRPr="00CC52A1">
              <w:t>Haematologic</w:t>
            </w:r>
            <w:proofErr w:type="spellEnd"/>
            <w:r w:rsidRPr="00CC52A1">
              <w:t xml:space="preserve"> Toxicities</w:t>
            </w:r>
          </w:p>
        </w:tc>
      </w:tr>
      <w:tr w:rsidR="00CC52A1" w:rsidRPr="00CC52A1" w14:paraId="6A4766F4" w14:textId="77777777" w:rsidTr="00A75968">
        <w:tc>
          <w:tcPr>
            <w:tcW w:w="1025" w:type="pct"/>
            <w:gridSpan w:val="2"/>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6A4766F1" w14:textId="77777777" w:rsidR="00CC52A1" w:rsidRPr="00CC52A1" w:rsidRDefault="00CC52A1" w:rsidP="00202F95">
            <w:pPr>
              <w:pStyle w:val="Tabletext"/>
            </w:pPr>
            <w:r w:rsidRPr="00CC52A1">
              <w:t>Grade 3 or 4 non-</w:t>
            </w:r>
            <w:proofErr w:type="spellStart"/>
            <w:r w:rsidRPr="00CC52A1">
              <w:t>haematologic</w:t>
            </w:r>
            <w:proofErr w:type="spellEnd"/>
            <w:r w:rsidRPr="00CC52A1">
              <w:t xml:space="preserve"> toxicities </w:t>
            </w:r>
          </w:p>
        </w:tc>
        <w:tc>
          <w:tcPr>
            <w:tcW w:w="165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4766F2" w14:textId="77777777" w:rsidR="00CC52A1" w:rsidRPr="00CC52A1" w:rsidRDefault="00CC52A1" w:rsidP="00202F95">
            <w:pPr>
              <w:pStyle w:val="Tabletext"/>
            </w:pPr>
            <w:r w:rsidRPr="00CC52A1">
              <w:t>1</w:t>
            </w:r>
            <w:r w:rsidRPr="00CC52A1">
              <w:rPr>
                <w:vertAlign w:val="superscript"/>
              </w:rPr>
              <w:t>st</w:t>
            </w:r>
            <w:r w:rsidRPr="00CC52A1">
              <w:t xml:space="preserve"> occurrence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F3" w14:textId="77777777" w:rsidR="00CC52A1" w:rsidRPr="00CC52A1" w:rsidRDefault="00CC52A1" w:rsidP="00202F95">
            <w:pPr>
              <w:pStyle w:val="Tabletext"/>
            </w:pPr>
            <w:r w:rsidRPr="00CC52A1">
              <w:t>Interrupt VENCLEXTA.</w:t>
            </w:r>
            <w:r w:rsidRPr="00CC52A1">
              <w:br/>
              <w:t xml:space="preserve">Once the toxicity has resolved to Grade 1 or baseline level, VENCLEXTA therapy may be resumed at the same dose. No dose modification is required. </w:t>
            </w:r>
          </w:p>
        </w:tc>
      </w:tr>
      <w:tr w:rsidR="00CC52A1" w:rsidRPr="00CC52A1" w14:paraId="6A4766F8" w14:textId="77777777" w:rsidTr="00A75968">
        <w:tc>
          <w:tcPr>
            <w:tcW w:w="1025" w:type="pct"/>
            <w:gridSpan w:val="2"/>
            <w:vMerge/>
            <w:tcBorders>
              <w:left w:val="single" w:sz="6" w:space="0" w:color="000000"/>
              <w:bottom w:val="single" w:sz="6" w:space="0" w:color="000000"/>
              <w:right w:val="single" w:sz="6" w:space="0" w:color="000000"/>
            </w:tcBorders>
            <w:vAlign w:val="center"/>
            <w:hideMark/>
          </w:tcPr>
          <w:p w14:paraId="6A4766F5" w14:textId="77777777" w:rsidR="00CC52A1" w:rsidRPr="00CC52A1" w:rsidRDefault="00CC52A1" w:rsidP="00202F95">
            <w:pPr>
              <w:pStyle w:val="Tabletext"/>
            </w:pPr>
          </w:p>
        </w:tc>
        <w:tc>
          <w:tcPr>
            <w:tcW w:w="165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4766F6" w14:textId="77777777" w:rsidR="00CC52A1" w:rsidRPr="00CC52A1" w:rsidRDefault="00CC52A1" w:rsidP="00202F95">
            <w:pPr>
              <w:pStyle w:val="Tabletext"/>
            </w:pPr>
            <w:r w:rsidRPr="00CC52A1">
              <w:t>2</w:t>
            </w:r>
            <w:r w:rsidRPr="00CC52A1">
              <w:rPr>
                <w:vertAlign w:val="superscript"/>
              </w:rPr>
              <w:t>nd</w:t>
            </w:r>
            <w:r w:rsidRPr="00CC52A1">
              <w:t xml:space="preserve"> and subsequent occurrences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F7" w14:textId="4FFF5568" w:rsidR="00CC52A1" w:rsidRPr="00CC52A1" w:rsidRDefault="00CC52A1" w:rsidP="00202F95">
            <w:pPr>
              <w:pStyle w:val="Tabletext"/>
            </w:pPr>
            <w:r w:rsidRPr="00CC52A1">
              <w:t>Interrupt VENCLEXTA.</w:t>
            </w:r>
            <w:r w:rsidRPr="00CC52A1">
              <w:br/>
              <w:t xml:space="preserve">Follow dose reduction guidelines in Table </w:t>
            </w:r>
            <w:r w:rsidR="0097629E">
              <w:t>9</w:t>
            </w:r>
            <w:r w:rsidR="0097629E" w:rsidRPr="00CC52A1">
              <w:t xml:space="preserve"> </w:t>
            </w:r>
            <w:r w:rsidRPr="00CC52A1">
              <w:t xml:space="preserve">when resuming treatment with VENCLEXTA after resolution. A larger dose reduction may occur at the discretion </w:t>
            </w:r>
            <w:r w:rsidRPr="00CC52A1">
              <w:lastRenderedPageBreak/>
              <w:t xml:space="preserve">of the physician. </w:t>
            </w:r>
          </w:p>
        </w:tc>
      </w:tr>
      <w:tr w:rsidR="00CC52A1" w:rsidRPr="00CC52A1" w14:paraId="6A4766FA" w14:textId="77777777" w:rsidTr="00CC52A1">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6F9" w14:textId="77777777" w:rsidR="00CC52A1" w:rsidRPr="00CC52A1" w:rsidRDefault="00CC52A1" w:rsidP="00202F95">
            <w:pPr>
              <w:pStyle w:val="Tabletext"/>
              <w:jc w:val="center"/>
            </w:pPr>
            <w:proofErr w:type="spellStart"/>
            <w:r w:rsidRPr="00CC52A1">
              <w:lastRenderedPageBreak/>
              <w:t>Haematologic</w:t>
            </w:r>
            <w:proofErr w:type="spellEnd"/>
            <w:r w:rsidRPr="00CC52A1">
              <w:t xml:space="preserve"> Toxicities</w:t>
            </w:r>
          </w:p>
        </w:tc>
      </w:tr>
      <w:tr w:rsidR="00CC52A1" w:rsidRPr="00CC52A1" w14:paraId="6A4766FE" w14:textId="77777777" w:rsidTr="00A75968">
        <w:tc>
          <w:tcPr>
            <w:tcW w:w="1118" w:type="pct"/>
            <w:gridSpan w:val="3"/>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6A4766FB" w14:textId="77777777" w:rsidR="00CC52A1" w:rsidRPr="00CC52A1" w:rsidRDefault="00CC52A1" w:rsidP="00202F95">
            <w:pPr>
              <w:pStyle w:val="Tabletext"/>
            </w:pPr>
            <w:r w:rsidRPr="00CC52A1">
              <w:t xml:space="preserve">Grade 3 or 4 neutropenia with infection or fever; or Grade 4 </w:t>
            </w:r>
            <w:proofErr w:type="spellStart"/>
            <w:r w:rsidRPr="00CC52A1">
              <w:t>haematologic</w:t>
            </w:r>
            <w:proofErr w:type="spellEnd"/>
            <w:r w:rsidRPr="00CC52A1">
              <w:t xml:space="preserve"> toxicities (except </w:t>
            </w:r>
            <w:proofErr w:type="spellStart"/>
            <w:r w:rsidRPr="00CC52A1">
              <w:t>lymphopaenia</w:t>
            </w:r>
            <w:proofErr w:type="spellEnd"/>
            <w:r w:rsidRPr="00CC52A1">
              <w:t xml:space="preserve">) </w:t>
            </w:r>
            <w:r w:rsidRPr="00CC52A1">
              <w:rPr>
                <w:i/>
              </w:rPr>
              <w:t>(</w:t>
            </w:r>
            <w:r w:rsidRPr="00CC52A1">
              <w:t xml:space="preserve">see </w:t>
            </w:r>
            <w:r w:rsidRPr="00CC52A1">
              <w:rPr>
                <w:b/>
              </w:rPr>
              <w:t>Precautions;</w:t>
            </w:r>
            <w:r w:rsidRPr="00CC52A1">
              <w:rPr>
                <w:b/>
                <w:i/>
              </w:rPr>
              <w:t xml:space="preserve"> Neutropenia</w:t>
            </w:r>
            <w:r w:rsidRPr="00CC52A1">
              <w:rPr>
                <w:i/>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4766FC" w14:textId="77777777" w:rsidR="00CC52A1" w:rsidRPr="00CC52A1" w:rsidRDefault="00CC52A1" w:rsidP="00202F95">
            <w:pPr>
              <w:pStyle w:val="Tabletext"/>
            </w:pPr>
            <w:r w:rsidRPr="00CC52A1">
              <w:t>1</w:t>
            </w:r>
            <w:r w:rsidRPr="00CC52A1">
              <w:rPr>
                <w:vertAlign w:val="superscript"/>
              </w:rPr>
              <w:t>st</w:t>
            </w:r>
            <w:r w:rsidRPr="00CC52A1">
              <w:t xml:space="preserve"> occurrence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4766FD" w14:textId="686A3E3A" w:rsidR="00CC52A1" w:rsidRPr="00CC52A1" w:rsidRDefault="00CC52A1" w:rsidP="00202F95">
            <w:pPr>
              <w:pStyle w:val="Tabletext"/>
            </w:pPr>
            <w:r w:rsidRPr="00CC52A1">
              <w:t>Interrupt VENCLEXTA.</w:t>
            </w:r>
            <w:r w:rsidRPr="00CC52A1">
              <w:br/>
              <w:t xml:space="preserve">To reduce the infection risks associated with neutropenia, G-CSF may be administered with VENCLEXTA if clinically indicated. Once the toxicity has resolved to Grade 1 or baseline level, VENCLEXTA therapy may be resumed at the same dose. </w:t>
            </w:r>
          </w:p>
        </w:tc>
      </w:tr>
      <w:tr w:rsidR="00CC52A1" w:rsidRPr="00CC52A1" w14:paraId="6A476702" w14:textId="77777777" w:rsidTr="00A75968">
        <w:tc>
          <w:tcPr>
            <w:tcW w:w="1118" w:type="pct"/>
            <w:gridSpan w:val="3"/>
            <w:vMerge/>
            <w:tcBorders>
              <w:left w:val="single" w:sz="6" w:space="0" w:color="000000"/>
              <w:bottom w:val="single" w:sz="6" w:space="0" w:color="000000"/>
              <w:right w:val="single" w:sz="6" w:space="0" w:color="000000"/>
            </w:tcBorders>
            <w:vAlign w:val="center"/>
            <w:hideMark/>
          </w:tcPr>
          <w:p w14:paraId="6A4766FF" w14:textId="77777777" w:rsidR="00CC52A1" w:rsidRPr="00CC52A1" w:rsidRDefault="00CC52A1" w:rsidP="00DD62A5">
            <w:pPr>
              <w:spacing w:after="0"/>
              <w:rPr>
                <w:rFonts w:cs="Arial"/>
                <w:lang w:val="en-US"/>
              </w:rPr>
            </w:pP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476700" w14:textId="77777777" w:rsidR="00CC52A1" w:rsidRPr="00CC52A1" w:rsidRDefault="00CC52A1" w:rsidP="00202F95">
            <w:pPr>
              <w:pStyle w:val="Tabletext"/>
            </w:pPr>
            <w:r w:rsidRPr="00CC52A1">
              <w:t>2</w:t>
            </w:r>
            <w:r w:rsidRPr="00CC52A1">
              <w:rPr>
                <w:vertAlign w:val="superscript"/>
              </w:rPr>
              <w:t>nd</w:t>
            </w:r>
            <w:r w:rsidRPr="00CC52A1">
              <w:t xml:space="preserve"> and subsequent occurrences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476701" w14:textId="65F3DE62" w:rsidR="00CC52A1" w:rsidRPr="00CC52A1" w:rsidRDefault="00CC52A1" w:rsidP="00202F95">
            <w:pPr>
              <w:pStyle w:val="Tabletext"/>
            </w:pPr>
            <w:r w:rsidRPr="00CC52A1">
              <w:t>Interrupt VENCLEXTA.</w:t>
            </w:r>
            <w:r w:rsidRPr="00CC52A1">
              <w:br/>
              <w:t>Consider using G-CSF as clinically indicated.</w:t>
            </w:r>
            <w:r w:rsidRPr="00CC52A1">
              <w:br/>
              <w:t xml:space="preserve">Follow dose reduction guidelines in Table </w:t>
            </w:r>
            <w:r w:rsidR="000D503B">
              <w:t>9</w:t>
            </w:r>
            <w:r w:rsidRPr="00CC52A1">
              <w:t xml:space="preserve"> when resuming treatment with VENCLEXTA after resolution. A larger dose reduction may occur at t</w:t>
            </w:r>
            <w:r w:rsidR="00202F95">
              <w:t>he discretion of the physician.</w:t>
            </w:r>
          </w:p>
        </w:tc>
      </w:tr>
      <w:tr w:rsidR="00CC52A1" w:rsidRPr="00CC52A1" w14:paraId="6A476704" w14:textId="77777777" w:rsidTr="00CC52A1">
        <w:tc>
          <w:tcPr>
            <w:tcW w:w="5000"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03" w14:textId="77777777" w:rsidR="00CC52A1" w:rsidRPr="00CC52A1" w:rsidRDefault="00CC52A1" w:rsidP="00202F95">
            <w:pPr>
              <w:pStyle w:val="Tabletext"/>
            </w:pPr>
            <w:r w:rsidRPr="00CC52A1">
              <w:t>Consider discontinuing VENCLEXTA for patients who require dose reductions to less than 100 mg for more than 2 weeks.</w:t>
            </w:r>
          </w:p>
        </w:tc>
      </w:tr>
    </w:tbl>
    <w:p w14:paraId="6A476706" w14:textId="7C37FFA9" w:rsidR="00CC52A1" w:rsidRPr="00CC52A1" w:rsidRDefault="00202F95" w:rsidP="00202F95">
      <w:pPr>
        <w:pStyle w:val="Caption"/>
        <w:rPr>
          <w:lang w:val="en-US"/>
        </w:rPr>
      </w:pPr>
      <w:proofErr w:type="gramStart"/>
      <w:r>
        <w:t xml:space="preserve">Table </w:t>
      </w:r>
      <w:r>
        <w:fldChar w:fldCharType="begin"/>
      </w:r>
      <w:r>
        <w:instrText xml:space="preserve"> SEQ Table \* ARABIC </w:instrText>
      </w:r>
      <w:r>
        <w:fldChar w:fldCharType="separate"/>
      </w:r>
      <w:r>
        <w:rPr>
          <w:noProof/>
        </w:rPr>
        <w:t>9</w:t>
      </w:r>
      <w:r>
        <w:fldChar w:fldCharType="end"/>
      </w:r>
      <w:r w:rsidR="00CC52A1" w:rsidRPr="00CC52A1">
        <w:rPr>
          <w:lang w:val="en-US"/>
        </w:rPr>
        <w:t>.</w:t>
      </w:r>
      <w:proofErr w:type="gramEnd"/>
      <w:r w:rsidR="00CC52A1" w:rsidRPr="00CC52A1">
        <w:rPr>
          <w:lang w:val="en-US"/>
        </w:rPr>
        <w:t xml:space="preserve"> Dose Modification for Toxicity </w:t>
      </w:r>
      <w:proofErr w:type="gramStart"/>
      <w:r w:rsidR="00CC52A1" w:rsidRPr="00CC52A1">
        <w:rPr>
          <w:lang w:val="en-US"/>
        </w:rPr>
        <w:t>During</w:t>
      </w:r>
      <w:proofErr w:type="gramEnd"/>
      <w:r w:rsidR="00CC52A1" w:rsidRPr="00CC52A1">
        <w:rPr>
          <w:lang w:val="en-US"/>
        </w:rPr>
        <w:t xml:space="preserve"> VENCLEXTA Treatment</w:t>
      </w:r>
    </w:p>
    <w:tbl>
      <w:tblPr>
        <w:tblW w:w="425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Description w:val="Table 9. Dose Modification for Toxicity During VENCLEXTA Treatment"/>
      </w:tblPr>
      <w:tblGrid>
        <w:gridCol w:w="3919"/>
        <w:gridCol w:w="3920"/>
      </w:tblGrid>
      <w:tr w:rsidR="00CC52A1" w:rsidRPr="00CC52A1" w14:paraId="6A476709" w14:textId="77777777" w:rsidTr="00202F95">
        <w:trPr>
          <w:trHeight w:val="397"/>
          <w:tblHead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07" w14:textId="77777777" w:rsidR="00CC52A1" w:rsidRPr="00CC52A1" w:rsidRDefault="00CC52A1" w:rsidP="004920BD">
            <w:pPr>
              <w:spacing w:after="0"/>
              <w:jc w:val="center"/>
              <w:rPr>
                <w:rFonts w:cs="Arial"/>
                <w:lang w:val="en-US"/>
              </w:rPr>
            </w:pPr>
            <w:r w:rsidRPr="00CC52A1">
              <w:rPr>
                <w:rFonts w:cs="Arial"/>
                <w:b/>
                <w:lang w:val="en-US"/>
              </w:rPr>
              <w:t>Dose at Interruption, mg</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08" w14:textId="77777777" w:rsidR="00CC52A1" w:rsidRPr="00CC52A1" w:rsidRDefault="00CC52A1" w:rsidP="004920BD">
            <w:pPr>
              <w:spacing w:after="0"/>
              <w:jc w:val="center"/>
              <w:rPr>
                <w:rFonts w:cs="Arial"/>
                <w:lang w:val="en-US"/>
              </w:rPr>
            </w:pPr>
            <w:r w:rsidRPr="00CC52A1">
              <w:rPr>
                <w:rFonts w:cs="Arial"/>
                <w:b/>
                <w:lang w:val="en-US"/>
              </w:rPr>
              <w:t xml:space="preserve">Restart Dose, </w:t>
            </w:r>
            <w:proofErr w:type="spellStart"/>
            <w:r w:rsidRPr="00CC52A1">
              <w:rPr>
                <w:rFonts w:cs="Arial"/>
                <w:b/>
                <w:lang w:val="en-US"/>
              </w:rPr>
              <w:t>mg</w:t>
            </w:r>
            <w:r w:rsidRPr="00CC52A1">
              <w:rPr>
                <w:rFonts w:cs="Arial"/>
                <w:b/>
                <w:vertAlign w:val="superscript"/>
                <w:lang w:val="en-US"/>
              </w:rPr>
              <w:t>a</w:t>
            </w:r>
            <w:proofErr w:type="spellEnd"/>
          </w:p>
        </w:tc>
      </w:tr>
      <w:tr w:rsidR="00CC52A1" w:rsidRPr="00CC52A1" w14:paraId="6A47670C" w14:textId="77777777" w:rsidTr="00CC52A1">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0A" w14:textId="77777777" w:rsidR="00CC52A1" w:rsidRPr="00CC52A1" w:rsidRDefault="00CC52A1" w:rsidP="00202F95">
            <w:pPr>
              <w:pStyle w:val="Tabletext"/>
              <w:jc w:val="center"/>
            </w:pPr>
            <w:r w:rsidRPr="00CC52A1">
              <w:t>400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0B" w14:textId="77777777" w:rsidR="00CC52A1" w:rsidRPr="00CC52A1" w:rsidRDefault="00CC52A1" w:rsidP="00202F95">
            <w:pPr>
              <w:pStyle w:val="Tabletext"/>
              <w:jc w:val="center"/>
            </w:pPr>
            <w:r w:rsidRPr="00CC52A1">
              <w:t>300</w:t>
            </w:r>
          </w:p>
        </w:tc>
      </w:tr>
      <w:tr w:rsidR="00CC52A1" w:rsidRPr="00CC52A1" w14:paraId="6A47670F" w14:textId="77777777" w:rsidTr="00CC52A1">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0D" w14:textId="77777777" w:rsidR="00CC52A1" w:rsidRPr="00CC52A1" w:rsidRDefault="00CC52A1" w:rsidP="00202F95">
            <w:pPr>
              <w:pStyle w:val="Tabletext"/>
              <w:jc w:val="center"/>
            </w:pPr>
            <w:r w:rsidRPr="00CC52A1">
              <w:t>300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0E" w14:textId="77777777" w:rsidR="00CC52A1" w:rsidRPr="00CC52A1" w:rsidRDefault="00CC52A1" w:rsidP="00202F95">
            <w:pPr>
              <w:pStyle w:val="Tabletext"/>
              <w:jc w:val="center"/>
            </w:pPr>
            <w:r w:rsidRPr="00CC52A1">
              <w:t>200</w:t>
            </w:r>
          </w:p>
        </w:tc>
      </w:tr>
      <w:tr w:rsidR="00CC52A1" w:rsidRPr="00CC52A1" w14:paraId="6A476712" w14:textId="77777777" w:rsidTr="00CC52A1">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10" w14:textId="77777777" w:rsidR="00CC52A1" w:rsidRPr="00CC52A1" w:rsidRDefault="00CC52A1" w:rsidP="00202F95">
            <w:pPr>
              <w:pStyle w:val="Tabletext"/>
              <w:jc w:val="center"/>
            </w:pPr>
            <w:r w:rsidRPr="00CC52A1">
              <w:t>200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11" w14:textId="77777777" w:rsidR="00CC52A1" w:rsidRPr="00CC52A1" w:rsidRDefault="00CC52A1" w:rsidP="00202F95">
            <w:pPr>
              <w:pStyle w:val="Tabletext"/>
              <w:jc w:val="center"/>
            </w:pPr>
            <w:r w:rsidRPr="00CC52A1">
              <w:t>100</w:t>
            </w:r>
          </w:p>
        </w:tc>
      </w:tr>
      <w:tr w:rsidR="00CC52A1" w:rsidRPr="00CC52A1" w14:paraId="6A476715" w14:textId="77777777" w:rsidTr="00CC52A1">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13" w14:textId="77777777" w:rsidR="00CC52A1" w:rsidRPr="00CC52A1" w:rsidRDefault="00CC52A1" w:rsidP="00202F95">
            <w:pPr>
              <w:pStyle w:val="Tabletext"/>
              <w:jc w:val="center"/>
            </w:pPr>
            <w:r w:rsidRPr="00CC52A1">
              <w:t>100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14" w14:textId="77777777" w:rsidR="00CC52A1" w:rsidRPr="00CC52A1" w:rsidRDefault="00CC52A1" w:rsidP="00202F95">
            <w:pPr>
              <w:pStyle w:val="Tabletext"/>
              <w:jc w:val="center"/>
            </w:pPr>
            <w:r w:rsidRPr="00CC52A1">
              <w:t>50</w:t>
            </w:r>
          </w:p>
        </w:tc>
      </w:tr>
      <w:tr w:rsidR="00CC52A1" w:rsidRPr="00CC52A1" w14:paraId="6A476718" w14:textId="77777777" w:rsidTr="00CC52A1">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16" w14:textId="77777777" w:rsidR="00CC52A1" w:rsidRPr="00CC52A1" w:rsidRDefault="00CC52A1" w:rsidP="00202F95">
            <w:pPr>
              <w:pStyle w:val="Tabletext"/>
              <w:jc w:val="center"/>
            </w:pPr>
            <w:r w:rsidRPr="00CC52A1">
              <w:t>50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17" w14:textId="77777777" w:rsidR="00CC52A1" w:rsidRPr="00CC52A1" w:rsidRDefault="00CC52A1" w:rsidP="00202F95">
            <w:pPr>
              <w:pStyle w:val="Tabletext"/>
              <w:jc w:val="center"/>
            </w:pPr>
            <w:r w:rsidRPr="00CC52A1">
              <w:t>20</w:t>
            </w:r>
          </w:p>
        </w:tc>
      </w:tr>
      <w:tr w:rsidR="00CC52A1" w:rsidRPr="00CC52A1" w14:paraId="6A47671B" w14:textId="77777777" w:rsidTr="00CC52A1">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19" w14:textId="77777777" w:rsidR="00CC52A1" w:rsidRPr="00CC52A1" w:rsidRDefault="00CC52A1" w:rsidP="00202F95">
            <w:pPr>
              <w:pStyle w:val="Tabletext"/>
              <w:jc w:val="center"/>
            </w:pPr>
            <w:r w:rsidRPr="00CC52A1">
              <w:t>20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1A" w14:textId="77777777" w:rsidR="00CC52A1" w:rsidRPr="00CC52A1" w:rsidRDefault="00CC52A1" w:rsidP="00202F95">
            <w:pPr>
              <w:pStyle w:val="Tabletext"/>
              <w:jc w:val="center"/>
            </w:pPr>
            <w:r w:rsidRPr="00CC52A1">
              <w:t>10</w:t>
            </w:r>
          </w:p>
        </w:tc>
      </w:tr>
      <w:tr w:rsidR="00CC52A1" w:rsidRPr="00CC52A1" w14:paraId="6A47671D" w14:textId="77777777" w:rsidTr="00CC52A1">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1C" w14:textId="45AAFF36" w:rsidR="00CC52A1" w:rsidRPr="00CC52A1" w:rsidRDefault="00CC52A1" w:rsidP="00202F95">
            <w:pPr>
              <w:pStyle w:val="Tabletext"/>
              <w:jc w:val="center"/>
              <w:rPr>
                <w:sz w:val="20"/>
              </w:rPr>
            </w:pPr>
            <w:proofErr w:type="spellStart"/>
            <w:proofErr w:type="gramStart"/>
            <w:r w:rsidRPr="00CC52A1">
              <w:rPr>
                <w:sz w:val="20"/>
                <w:vertAlign w:val="superscript"/>
              </w:rPr>
              <w:t>a</w:t>
            </w:r>
            <w:r w:rsidRPr="00CC52A1">
              <w:rPr>
                <w:sz w:val="20"/>
              </w:rPr>
              <w:t>Continue</w:t>
            </w:r>
            <w:proofErr w:type="spellEnd"/>
            <w:proofErr w:type="gramEnd"/>
            <w:r w:rsidRPr="00CC52A1">
              <w:rPr>
                <w:sz w:val="20"/>
              </w:rPr>
              <w:t xml:space="preserve"> the reduced dose for 1 week before increasing the dos</w:t>
            </w:r>
            <w:r w:rsidR="00202F95">
              <w:rPr>
                <w:sz w:val="20"/>
              </w:rPr>
              <w:t>e.</w:t>
            </w:r>
          </w:p>
        </w:tc>
      </w:tr>
    </w:tbl>
    <w:p w14:paraId="6A47671F" w14:textId="77777777" w:rsidR="00CC52A1" w:rsidRPr="00CC52A1" w:rsidRDefault="00CC52A1" w:rsidP="00ED7C00">
      <w:pPr>
        <w:pStyle w:val="Heading2"/>
      </w:pPr>
      <w:r w:rsidRPr="00CC52A1">
        <w:t>Dose Modifications for Use with CYP3A Inhibitors</w:t>
      </w:r>
    </w:p>
    <w:p w14:paraId="6A476720" w14:textId="1E372228" w:rsidR="00CC52A1" w:rsidRPr="00CC52A1" w:rsidRDefault="00CC52A1" w:rsidP="00450B1A">
      <w:r w:rsidRPr="00CC52A1">
        <w:t xml:space="preserve">Concomitant use of VENCLEXTA with strong or moderate CYP3A inhibitors increases </w:t>
      </w:r>
      <w:proofErr w:type="spellStart"/>
      <w:r w:rsidRPr="00CC52A1">
        <w:t>venetoclax</w:t>
      </w:r>
      <w:proofErr w:type="spellEnd"/>
      <w:r w:rsidRPr="00CC52A1">
        <w:t xml:space="preserve"> exposure and may increase the risk for TLS at initiation and during dose titration phase. Concomitant use of VENCLEXTA with strong CYP3A inhibitors at initiation and during dose titration phase is contraindicated (see </w:t>
      </w:r>
      <w:hyperlink w:anchor="_CONTRAINDICATIONS" w:history="1">
        <w:r w:rsidR="005B1928" w:rsidRPr="00202F95">
          <w:rPr>
            <w:rStyle w:val="Hyperlink"/>
          </w:rPr>
          <w:t>CONTRAINDICATIONS</w:t>
        </w:r>
      </w:hyperlink>
      <w:r w:rsidRPr="00CC52A1">
        <w:t>).</w:t>
      </w:r>
    </w:p>
    <w:p w14:paraId="6A476721" w14:textId="77777777" w:rsidR="00CC52A1" w:rsidRPr="00CC52A1" w:rsidRDefault="00CC52A1" w:rsidP="00450B1A">
      <w:r w:rsidRPr="00CC52A1">
        <w:t>Concomitant use of VENCLEXTA with moderate CYP3A inhibitors should be avoided at initiation and during dose titration phase. Consider alternative treatments. If a moderate CYP3A inhibitor must be used, the initiation and dose titration doses of VENCLEXTA should be reduced by at least 2-fold.</w:t>
      </w:r>
    </w:p>
    <w:p w14:paraId="6A476722" w14:textId="41BC5F36" w:rsidR="00CC52A1" w:rsidRPr="00CC52A1" w:rsidRDefault="00CC52A1" w:rsidP="00450B1A">
      <w:pPr>
        <w:rPr>
          <w:iCs/>
        </w:rPr>
      </w:pPr>
      <w:r w:rsidRPr="00CC52A1">
        <w:t xml:space="preserve">Patients should be monitored more closely for signs of toxicities </w:t>
      </w:r>
      <w:r w:rsidRPr="00CC52A1">
        <w:rPr>
          <w:iCs/>
        </w:rPr>
        <w:t xml:space="preserve">(see </w:t>
      </w:r>
      <w:hyperlink w:anchor="_Dose_Modifications_Based" w:history="1">
        <w:r w:rsidR="005B1928" w:rsidRPr="00202F95">
          <w:rPr>
            <w:rStyle w:val="Hyperlink"/>
            <w:iCs/>
          </w:rPr>
          <w:t>DOS</w:t>
        </w:r>
        <w:r w:rsidR="00440D01" w:rsidRPr="00202F95">
          <w:rPr>
            <w:rStyle w:val="Hyperlink"/>
            <w:iCs/>
          </w:rPr>
          <w:t>A</w:t>
        </w:r>
        <w:r w:rsidR="005B1928" w:rsidRPr="00202F95">
          <w:rPr>
            <w:rStyle w:val="Hyperlink"/>
            <w:iCs/>
          </w:rPr>
          <w:t>GE AND ADMINISTRATION:</w:t>
        </w:r>
        <w:r w:rsidRPr="00202F95">
          <w:rPr>
            <w:rStyle w:val="Hyperlink"/>
            <w:iCs/>
          </w:rPr>
          <w:t xml:space="preserve"> Dose Modifications </w:t>
        </w:r>
        <w:r w:rsidR="005B1928" w:rsidRPr="00202F95">
          <w:rPr>
            <w:rStyle w:val="Hyperlink"/>
            <w:iCs/>
          </w:rPr>
          <w:t>B</w:t>
        </w:r>
        <w:r w:rsidRPr="00202F95">
          <w:rPr>
            <w:rStyle w:val="Hyperlink"/>
            <w:iCs/>
          </w:rPr>
          <w:t>ased on Toxicities</w:t>
        </w:r>
      </w:hyperlink>
      <w:r w:rsidRPr="00CC52A1">
        <w:rPr>
          <w:iCs/>
        </w:rPr>
        <w:t>).</w:t>
      </w:r>
    </w:p>
    <w:p w14:paraId="6A476723" w14:textId="25DB344F" w:rsidR="00CC52A1" w:rsidRPr="00CC52A1" w:rsidRDefault="00CC52A1" w:rsidP="00450B1A">
      <w:pPr>
        <w:rPr>
          <w:iCs/>
        </w:rPr>
      </w:pPr>
      <w:r w:rsidRPr="00CC52A1">
        <w:t xml:space="preserve">For patients who have completed the dose titration phase and are on a steady daily dose of VENCLEXTA, the VENCLEXTA dose should be reduced by at least 2-fold when used concomitantly with moderate CYP3A inhibitors and by at least 4-fold when used concomitantly with strong CYP3A inhibitors. Patients should be monitored more closely for signs of toxicities. The VENCLEXTA dose that was used prior to initiating the CYP3A inhibitor can be resumed 2 </w:t>
      </w:r>
      <w:r w:rsidRPr="00CC52A1">
        <w:lastRenderedPageBreak/>
        <w:t xml:space="preserve">to 3 days after discontinuation of the inhibitor </w:t>
      </w:r>
      <w:r w:rsidRPr="00CC52A1">
        <w:rPr>
          <w:iCs/>
        </w:rPr>
        <w:t xml:space="preserve">(see </w:t>
      </w:r>
      <w:hyperlink w:anchor="_Dose_Modifications_Based" w:history="1">
        <w:r w:rsidR="003767BF" w:rsidRPr="00202F95">
          <w:rPr>
            <w:rStyle w:val="Hyperlink"/>
            <w:iCs/>
          </w:rPr>
          <w:t>DOSAGE AND ADMINISTRATION:</w:t>
        </w:r>
        <w:r w:rsidRPr="00202F95">
          <w:rPr>
            <w:rStyle w:val="Hyperlink"/>
            <w:iCs/>
          </w:rPr>
          <w:t xml:space="preserve"> Dose Modifications </w:t>
        </w:r>
        <w:r w:rsidR="003767BF" w:rsidRPr="00202F95">
          <w:rPr>
            <w:rStyle w:val="Hyperlink"/>
            <w:iCs/>
          </w:rPr>
          <w:t>B</w:t>
        </w:r>
        <w:r w:rsidRPr="00202F95">
          <w:rPr>
            <w:rStyle w:val="Hyperlink"/>
            <w:iCs/>
          </w:rPr>
          <w:t>ased on Toxicities</w:t>
        </w:r>
      </w:hyperlink>
      <w:r w:rsidRPr="00CC52A1">
        <w:rPr>
          <w:b/>
          <w:i/>
          <w:iCs/>
        </w:rPr>
        <w:t xml:space="preserve"> </w:t>
      </w:r>
      <w:r w:rsidRPr="004012EB">
        <w:rPr>
          <w:iCs/>
        </w:rPr>
        <w:t>and</w:t>
      </w:r>
      <w:r w:rsidRPr="00CC52A1">
        <w:rPr>
          <w:b/>
          <w:i/>
          <w:iCs/>
        </w:rPr>
        <w:t xml:space="preserve"> </w:t>
      </w:r>
      <w:hyperlink w:anchor="_INTERACTIONS_WITH_OTHER" w:history="1">
        <w:r w:rsidR="003767BF" w:rsidRPr="00202F95">
          <w:rPr>
            <w:rStyle w:val="Hyperlink"/>
            <w:iCs/>
          </w:rPr>
          <w:t>INTERACTIONS WITH OTHER MEDICINES</w:t>
        </w:r>
      </w:hyperlink>
      <w:r w:rsidRPr="00CC52A1">
        <w:rPr>
          <w:iCs/>
        </w:rPr>
        <w:t>).</w:t>
      </w:r>
    </w:p>
    <w:p w14:paraId="6A476724" w14:textId="57E0490C" w:rsidR="00CC52A1" w:rsidRPr="00CC52A1" w:rsidRDefault="00CC52A1" w:rsidP="0074250A">
      <w:pPr>
        <w:pStyle w:val="Heading1"/>
      </w:pPr>
      <w:r w:rsidRPr="00CC52A1">
        <w:t>M</w:t>
      </w:r>
      <w:r w:rsidR="00AE3AD8">
        <w:t>ISSED DOSE</w:t>
      </w:r>
    </w:p>
    <w:p w14:paraId="6A476725" w14:textId="77777777" w:rsidR="00CC52A1" w:rsidRPr="00CC52A1" w:rsidRDefault="00CC52A1" w:rsidP="00450B1A">
      <w:r w:rsidRPr="00CC52A1">
        <w:t>If the patient misses a dose of VENCLEXTA within 8 hours of the time it is usually taken, the patient should be instructed to take the missed dose as soon as possible and resume the normal daily dosing schedule. If a patient misses a dose by more than 8 hours, the patient should not take the missed dose but resume the usual dosing schedule the next day.</w:t>
      </w:r>
    </w:p>
    <w:p w14:paraId="6A476726" w14:textId="77777777" w:rsidR="00CC52A1" w:rsidRDefault="00CC52A1" w:rsidP="005D1180">
      <w:r w:rsidRPr="00CC52A1">
        <w:t>If the patient vomits following dosing, no additional dose should be taken that day. The next prescribed dose should be taken at the usual time.</w:t>
      </w:r>
    </w:p>
    <w:p w14:paraId="6A476728" w14:textId="77777777" w:rsidR="00CC52A1" w:rsidRPr="0074250A" w:rsidRDefault="00CC52A1" w:rsidP="0074250A">
      <w:pPr>
        <w:pStyle w:val="Heading1"/>
      </w:pPr>
      <w:r w:rsidRPr="00CC52A1">
        <w:t>OVERDOSAGE</w:t>
      </w:r>
    </w:p>
    <w:p w14:paraId="6A476729" w14:textId="77777777" w:rsidR="00CC52A1" w:rsidRPr="00CC52A1" w:rsidRDefault="00CC52A1" w:rsidP="00DB386C">
      <w:pPr>
        <w:widowControl w:val="0"/>
        <w:autoSpaceDE w:val="0"/>
        <w:autoSpaceDN w:val="0"/>
        <w:adjustRightInd w:val="0"/>
        <w:spacing w:line="247" w:lineRule="auto"/>
        <w:ind w:right="175"/>
        <w:jc w:val="both"/>
        <w:rPr>
          <w:rFonts w:cs="Arial"/>
        </w:rPr>
      </w:pPr>
      <w:r w:rsidRPr="00CC52A1">
        <w:rPr>
          <w:rFonts w:cs="Arial"/>
        </w:rPr>
        <w:t>Daily doses of up to 1200 mg of VENCLEXTA have been evaluated in clinical trials. There has been no experience with overdose in clinical trials. If an overdose is suspected, treatment should consist of general supportive measures.</w:t>
      </w:r>
    </w:p>
    <w:p w14:paraId="6A47672A" w14:textId="77777777" w:rsidR="00CC52A1" w:rsidRDefault="00CC52A1" w:rsidP="00DB386C">
      <w:pPr>
        <w:jc w:val="both"/>
        <w:rPr>
          <w:rFonts w:cs="Arial"/>
        </w:rPr>
      </w:pPr>
      <w:r w:rsidRPr="00CC52A1">
        <w:rPr>
          <w:rFonts w:cs="Arial"/>
        </w:rPr>
        <w:t>For information on the management of overdose in Australia contact the Poison Information Centre on 131126.</w:t>
      </w:r>
    </w:p>
    <w:p w14:paraId="6A47672C" w14:textId="77777777" w:rsidR="00CC52A1" w:rsidRPr="00CC52A1" w:rsidRDefault="00ED7C00" w:rsidP="0074250A">
      <w:pPr>
        <w:pStyle w:val="Heading1"/>
      </w:pPr>
      <w:r w:rsidRPr="0074250A">
        <w:t>PRESENTATION</w:t>
      </w:r>
      <w:r>
        <w:t xml:space="preserve"> AND STORAGE CONDITIONS</w:t>
      </w:r>
    </w:p>
    <w:p w14:paraId="6A47672D" w14:textId="77777777" w:rsidR="00CC52A1" w:rsidRPr="00CC52A1" w:rsidRDefault="00CC52A1" w:rsidP="0074250A">
      <w:r w:rsidRPr="00CC52A1">
        <w:t>VENCLEXTA 10 mg film-coated tablets: round, biconvex shaped, pale yellow debossed with “V” on one side and “10” on the other side.</w:t>
      </w:r>
    </w:p>
    <w:p w14:paraId="6A47672E" w14:textId="77777777" w:rsidR="00CC52A1" w:rsidRPr="00CC52A1" w:rsidRDefault="00CC52A1" w:rsidP="0074250A">
      <w:r w:rsidRPr="00CC52A1">
        <w:t>VENCLEXTA 50 mg film-coated tablets: oblong, biconvex shaped, beige debossed with “V” on one side and “50” on the other side.</w:t>
      </w:r>
    </w:p>
    <w:p w14:paraId="6A47672F" w14:textId="77777777" w:rsidR="00CC52A1" w:rsidRPr="00CC52A1" w:rsidRDefault="00CC52A1" w:rsidP="0074250A">
      <w:pPr>
        <w:rPr>
          <w:b/>
        </w:rPr>
      </w:pPr>
      <w:r w:rsidRPr="00CC52A1">
        <w:t>VENCLEXTA 100 mg film-coated tablets: oblong, biconvex shaped, pale yellow debossed with “V” on one side and “100” on the other side.</w:t>
      </w:r>
    </w:p>
    <w:p w14:paraId="6A476731" w14:textId="5BC1459F" w:rsidR="00CC52A1" w:rsidRPr="00CC52A1" w:rsidRDefault="00CC52A1" w:rsidP="0074250A">
      <w:pPr>
        <w:rPr>
          <w:lang w:val="en-US"/>
        </w:rPr>
      </w:pPr>
      <w:r w:rsidRPr="00CC52A1">
        <w:rPr>
          <w:lang w:val="en-US"/>
        </w:rPr>
        <w:t>VENCLEXTA is dispensed as follows:</w:t>
      </w:r>
    </w:p>
    <w:tbl>
      <w:tblPr>
        <w:tblW w:w="360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Description w:val="This table list how VENCLEXTA is dispensed by Packaging presentation and number of tablets."/>
      </w:tblPr>
      <w:tblGrid>
        <w:gridCol w:w="2235"/>
        <w:gridCol w:w="4405"/>
      </w:tblGrid>
      <w:tr w:rsidR="00CC52A1" w:rsidRPr="00CC52A1" w14:paraId="6A476734" w14:textId="77777777" w:rsidTr="00CC52A1">
        <w:trPr>
          <w:tblHeade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32" w14:textId="77777777" w:rsidR="00CC52A1" w:rsidRPr="00CC52A1" w:rsidRDefault="00CC52A1" w:rsidP="004920BD">
            <w:pPr>
              <w:spacing w:after="0"/>
              <w:jc w:val="center"/>
              <w:rPr>
                <w:rFonts w:cs="Arial"/>
                <w:lang w:val="en-US"/>
              </w:rPr>
            </w:pPr>
            <w:r w:rsidRPr="00CC52A1">
              <w:rPr>
                <w:rFonts w:cs="Arial"/>
                <w:b/>
                <w:lang w:val="en-US"/>
              </w:rPr>
              <w:t>Packaging Presentation</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33" w14:textId="77777777" w:rsidR="00CC52A1" w:rsidRPr="00CC52A1" w:rsidRDefault="00CC52A1" w:rsidP="004920BD">
            <w:pPr>
              <w:spacing w:after="0"/>
              <w:jc w:val="center"/>
              <w:rPr>
                <w:rFonts w:cs="Arial"/>
                <w:lang w:val="en-US"/>
              </w:rPr>
            </w:pPr>
            <w:r w:rsidRPr="00CC52A1">
              <w:rPr>
                <w:rFonts w:cs="Arial"/>
                <w:b/>
                <w:lang w:val="en-US"/>
              </w:rPr>
              <w:t>Number of Tablets</w:t>
            </w:r>
          </w:p>
        </w:tc>
      </w:tr>
      <w:tr w:rsidR="00CC52A1" w:rsidRPr="00CC52A1" w14:paraId="6A47673B" w14:textId="77777777" w:rsidTr="00CC52A1">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35" w14:textId="77777777" w:rsidR="00CC52A1" w:rsidRPr="00CC52A1" w:rsidRDefault="00CC52A1" w:rsidP="00202F95">
            <w:pPr>
              <w:pStyle w:val="Tabletext"/>
            </w:pPr>
            <w:r w:rsidRPr="00CC52A1">
              <w:t>Starting Pack</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36" w14:textId="77777777" w:rsidR="00CC52A1" w:rsidRPr="00CC52A1" w:rsidRDefault="00CC52A1" w:rsidP="00202F95">
            <w:pPr>
              <w:pStyle w:val="Tabletext"/>
            </w:pPr>
            <w:r w:rsidRPr="00CC52A1">
              <w:t>Each pack contains four weekly wallets containing blister packs:</w:t>
            </w:r>
          </w:p>
          <w:p w14:paraId="6A476737" w14:textId="77777777" w:rsidR="00CC52A1" w:rsidRPr="0074250A" w:rsidRDefault="00CC52A1" w:rsidP="00202F95">
            <w:pPr>
              <w:pStyle w:val="Tabletext"/>
              <w:numPr>
                <w:ilvl w:val="0"/>
                <w:numId w:val="15"/>
              </w:numPr>
            </w:pPr>
            <w:r w:rsidRPr="0074250A">
              <w:t>Week 1 (14 x 10 mg tablets)</w:t>
            </w:r>
          </w:p>
          <w:p w14:paraId="5CB73528" w14:textId="77777777" w:rsidR="001950DB" w:rsidRPr="0074250A" w:rsidRDefault="00CC52A1" w:rsidP="00202F95">
            <w:pPr>
              <w:pStyle w:val="Tabletext"/>
              <w:numPr>
                <w:ilvl w:val="0"/>
                <w:numId w:val="15"/>
              </w:numPr>
            </w:pPr>
            <w:r w:rsidRPr="0074250A">
              <w:t>Week 2 (7 x 50 mg tablets)</w:t>
            </w:r>
          </w:p>
          <w:p w14:paraId="6A476739" w14:textId="47FFA6DA" w:rsidR="00CC52A1" w:rsidRPr="0074250A" w:rsidRDefault="00CC52A1" w:rsidP="00202F95">
            <w:pPr>
              <w:pStyle w:val="Tabletext"/>
              <w:numPr>
                <w:ilvl w:val="0"/>
                <w:numId w:val="15"/>
              </w:numPr>
            </w:pPr>
            <w:r w:rsidRPr="0074250A">
              <w:t>Week 3 (7 x 100 mg tablets)</w:t>
            </w:r>
          </w:p>
          <w:p w14:paraId="6A47673A" w14:textId="77777777" w:rsidR="00CC52A1" w:rsidRPr="0074250A" w:rsidRDefault="00CC52A1" w:rsidP="00202F95">
            <w:pPr>
              <w:pStyle w:val="Tabletext"/>
              <w:numPr>
                <w:ilvl w:val="0"/>
                <w:numId w:val="15"/>
              </w:numPr>
            </w:pPr>
            <w:r w:rsidRPr="0074250A">
              <w:t>Week 4 (14 x 100 mg tablets)</w:t>
            </w:r>
          </w:p>
        </w:tc>
      </w:tr>
      <w:tr w:rsidR="00CC52A1" w:rsidRPr="00CC52A1" w14:paraId="6A47673E" w14:textId="77777777" w:rsidTr="00CC52A1">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3C" w14:textId="77777777" w:rsidR="00CC52A1" w:rsidRPr="00CC52A1" w:rsidRDefault="00CC52A1" w:rsidP="00202F95">
            <w:pPr>
              <w:pStyle w:val="Tabletext"/>
            </w:pPr>
            <w:r w:rsidRPr="00CC52A1">
              <w:t xml:space="preserve">10 mg Wallet </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3D" w14:textId="77777777" w:rsidR="00CC52A1" w:rsidRPr="00CC52A1" w:rsidRDefault="00CC52A1" w:rsidP="00202F95">
            <w:pPr>
              <w:pStyle w:val="Tabletext"/>
            </w:pPr>
            <w:r w:rsidRPr="00CC52A1">
              <w:t>14 x 10 mg tablets</w:t>
            </w:r>
          </w:p>
        </w:tc>
      </w:tr>
      <w:tr w:rsidR="00CC52A1" w:rsidRPr="00CC52A1" w14:paraId="6A476741" w14:textId="77777777" w:rsidTr="00CC52A1">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3F" w14:textId="77777777" w:rsidR="00CC52A1" w:rsidRPr="00CC52A1" w:rsidRDefault="00CC52A1" w:rsidP="00202F95">
            <w:pPr>
              <w:pStyle w:val="Tabletext"/>
            </w:pPr>
            <w:r w:rsidRPr="00CC52A1">
              <w:t>50 mg Wallet</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40" w14:textId="77777777" w:rsidR="00CC52A1" w:rsidRPr="00CC52A1" w:rsidRDefault="00CC52A1" w:rsidP="00202F95">
            <w:pPr>
              <w:pStyle w:val="Tabletext"/>
            </w:pPr>
            <w:r w:rsidRPr="00CC52A1">
              <w:t>7 x 50 mg tablets</w:t>
            </w:r>
          </w:p>
        </w:tc>
      </w:tr>
      <w:tr w:rsidR="00CC52A1" w:rsidRPr="00CC52A1" w14:paraId="6A476744" w14:textId="77777777" w:rsidTr="00CC52A1">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42" w14:textId="77777777" w:rsidR="00CC52A1" w:rsidRPr="00CC52A1" w:rsidRDefault="00CC52A1" w:rsidP="00202F95">
            <w:pPr>
              <w:pStyle w:val="Tabletext"/>
            </w:pPr>
            <w:r w:rsidRPr="00CC52A1">
              <w:t>100 mg Blister pack</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43" w14:textId="52F5AAD1" w:rsidR="00CC52A1" w:rsidRPr="00CC52A1" w:rsidRDefault="00D20CC5" w:rsidP="00202F95">
            <w:pPr>
              <w:pStyle w:val="Tabletext"/>
            </w:pPr>
            <w:r>
              <w:t xml:space="preserve">7, 14, </w:t>
            </w:r>
            <w:r w:rsidR="00CC52A1" w:rsidRPr="00CC52A1">
              <w:t>112 x 100 mg tablets</w:t>
            </w:r>
          </w:p>
        </w:tc>
      </w:tr>
      <w:tr w:rsidR="00CC52A1" w:rsidRPr="00CC52A1" w14:paraId="6A476747" w14:textId="77777777" w:rsidTr="00CC52A1">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45" w14:textId="77777777" w:rsidR="00CC52A1" w:rsidRPr="00CC52A1" w:rsidRDefault="00CC52A1" w:rsidP="00202F95">
            <w:pPr>
              <w:pStyle w:val="Tabletext"/>
            </w:pPr>
            <w:r w:rsidRPr="00CC52A1">
              <w:t>100 mg Bottle</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76746" w14:textId="77777777" w:rsidR="00CC52A1" w:rsidRPr="00CC52A1" w:rsidRDefault="00CC52A1" w:rsidP="00202F95">
            <w:pPr>
              <w:pStyle w:val="Tabletext"/>
            </w:pPr>
            <w:r w:rsidRPr="00CC52A1">
              <w:t>120 x 100 mg tablets</w:t>
            </w:r>
          </w:p>
        </w:tc>
      </w:tr>
    </w:tbl>
    <w:p w14:paraId="6A476749" w14:textId="77777777" w:rsidR="00F30280" w:rsidRPr="00CC52A1" w:rsidRDefault="00F30280" w:rsidP="0074250A">
      <w:r>
        <w:t>Not all presentations may be marketed.</w:t>
      </w:r>
    </w:p>
    <w:p w14:paraId="6A47674A" w14:textId="77777777" w:rsidR="00CC52A1" w:rsidRDefault="00CC52A1" w:rsidP="00DB386C">
      <w:pPr>
        <w:jc w:val="both"/>
        <w:rPr>
          <w:rFonts w:cs="Arial"/>
        </w:rPr>
      </w:pPr>
      <w:r w:rsidRPr="00CC52A1">
        <w:rPr>
          <w:rFonts w:cs="Arial"/>
        </w:rPr>
        <w:t>Store below 30°C.</w:t>
      </w:r>
    </w:p>
    <w:p w14:paraId="6A47674C" w14:textId="77777777" w:rsidR="004920BD" w:rsidRPr="00CC52A1" w:rsidRDefault="004920BD" w:rsidP="0074250A">
      <w:pPr>
        <w:pStyle w:val="Heading1"/>
      </w:pPr>
      <w:r w:rsidRPr="0074250A">
        <w:t>NAME</w:t>
      </w:r>
      <w:r>
        <w:t xml:space="preserve"> AND ADDRESS OF THE SPONSOR</w:t>
      </w:r>
    </w:p>
    <w:p w14:paraId="6A47674D" w14:textId="77777777" w:rsidR="00CC52A1" w:rsidRPr="00CC52A1" w:rsidRDefault="00CC52A1" w:rsidP="0074250A">
      <w:pPr>
        <w:spacing w:before="20" w:after="20"/>
      </w:pPr>
      <w:r w:rsidRPr="00CC52A1">
        <w:t>AbbVie Pty Ltd</w:t>
      </w:r>
    </w:p>
    <w:p w14:paraId="6A47674E" w14:textId="77777777" w:rsidR="00CC52A1" w:rsidRPr="00CC52A1" w:rsidRDefault="00CC52A1" w:rsidP="0074250A">
      <w:pPr>
        <w:spacing w:before="20" w:after="20"/>
      </w:pPr>
      <w:r w:rsidRPr="00CC52A1">
        <w:t xml:space="preserve">241 </w:t>
      </w:r>
      <w:proofErr w:type="spellStart"/>
      <w:r w:rsidRPr="00CC52A1">
        <w:t>O’Riordan</w:t>
      </w:r>
      <w:proofErr w:type="spellEnd"/>
      <w:r w:rsidRPr="00CC52A1">
        <w:t xml:space="preserve"> Street</w:t>
      </w:r>
    </w:p>
    <w:p w14:paraId="6A47674F" w14:textId="77777777" w:rsidR="00CC52A1" w:rsidRPr="00CC52A1" w:rsidRDefault="00CC52A1" w:rsidP="0074250A">
      <w:pPr>
        <w:spacing w:before="20" w:after="20"/>
      </w:pPr>
      <w:r w:rsidRPr="00CC52A1">
        <w:t>Mascot NSW 2020</w:t>
      </w:r>
    </w:p>
    <w:p w14:paraId="6A476750" w14:textId="77777777" w:rsidR="00CC52A1" w:rsidRDefault="00CC52A1" w:rsidP="0074250A">
      <w:pPr>
        <w:spacing w:before="20" w:after="20"/>
      </w:pPr>
      <w:r w:rsidRPr="00CC52A1">
        <w:lastRenderedPageBreak/>
        <w:t>Australia</w:t>
      </w:r>
    </w:p>
    <w:p w14:paraId="6A476752" w14:textId="77777777" w:rsidR="004920BD" w:rsidRPr="00CC52A1" w:rsidRDefault="004920BD" w:rsidP="0074250A">
      <w:pPr>
        <w:pStyle w:val="Heading1"/>
      </w:pPr>
      <w:r w:rsidRPr="0074250A">
        <w:t>POISONS</w:t>
      </w:r>
      <w:r>
        <w:t xml:space="preserve"> SCHEDULE OF THE MEDICINE</w:t>
      </w:r>
    </w:p>
    <w:p w14:paraId="6A476753" w14:textId="77777777" w:rsidR="00CC52A1" w:rsidRPr="00CC52A1" w:rsidRDefault="00CC52A1" w:rsidP="00DB386C">
      <w:pPr>
        <w:jc w:val="both"/>
        <w:rPr>
          <w:rFonts w:cs="Arial"/>
        </w:rPr>
      </w:pPr>
      <w:r w:rsidRPr="00CC52A1">
        <w:rPr>
          <w:rFonts w:cs="Arial"/>
        </w:rPr>
        <w:t>Schedule 4</w:t>
      </w:r>
    </w:p>
    <w:p w14:paraId="6A476754" w14:textId="77777777" w:rsidR="00CC52A1" w:rsidRPr="00CC52A1" w:rsidRDefault="004920BD" w:rsidP="0074250A">
      <w:pPr>
        <w:pStyle w:val="Heading1"/>
      </w:pPr>
      <w:r>
        <w:t>DATE OF FIRST INCLUSION IN THE ARTG</w:t>
      </w:r>
    </w:p>
    <w:p w14:paraId="6A476756" w14:textId="010FA6C0" w:rsidR="00CC52A1" w:rsidRDefault="00366523" w:rsidP="00DB386C">
      <w:pPr>
        <w:jc w:val="both"/>
        <w:rPr>
          <w:rFonts w:cs="Arial"/>
        </w:rPr>
      </w:pPr>
      <w:r>
        <w:rPr>
          <w:rFonts w:cs="Arial"/>
        </w:rPr>
        <w:t>05 January 2017</w:t>
      </w:r>
    </w:p>
    <w:sectPr w:rsidR="00CC52A1" w:rsidSect="004F7818">
      <w:headerReference w:type="default" r:id="rId13"/>
      <w:footerReference w:type="default" r:id="rId14"/>
      <w:pgSz w:w="11906" w:h="16838"/>
      <w:pgMar w:top="1521" w:right="1274"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03D60" w14:textId="77777777" w:rsidR="00450B1A" w:rsidRDefault="00450B1A" w:rsidP="00CC52A1">
      <w:pPr>
        <w:spacing w:after="0"/>
      </w:pPr>
      <w:r>
        <w:separator/>
      </w:r>
    </w:p>
  </w:endnote>
  <w:endnote w:type="continuationSeparator" w:id="0">
    <w:p w14:paraId="57394F6D" w14:textId="77777777" w:rsidR="00450B1A" w:rsidRDefault="00450B1A" w:rsidP="00CC52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Description w:val="Footer notes"/>
    </w:tblPr>
    <w:tblGrid>
      <w:gridCol w:w="3173"/>
      <w:gridCol w:w="3104"/>
      <w:gridCol w:w="3131"/>
    </w:tblGrid>
    <w:tr w:rsidR="00450B1A" w14:paraId="6A476788" w14:textId="77777777" w:rsidTr="00CC52A1">
      <w:tc>
        <w:tcPr>
          <w:tcW w:w="3382" w:type="dxa"/>
          <w:tcBorders>
            <w:top w:val="single" w:sz="4" w:space="0" w:color="auto"/>
            <w:left w:val="nil"/>
            <w:bottom w:val="nil"/>
            <w:right w:val="nil"/>
          </w:tcBorders>
          <w:hideMark/>
        </w:tcPr>
        <w:p w14:paraId="6A476785" w14:textId="543CEF5D" w:rsidR="00450B1A" w:rsidRDefault="00450B1A" w:rsidP="00CC52A1">
          <w:pPr>
            <w:pStyle w:val="Footer"/>
            <w:framePr w:hSpace="180" w:wrap="around" w:vAnchor="text" w:hAnchor="text" w:y="1"/>
            <w:tabs>
              <w:tab w:val="right" w:pos="-1843"/>
              <w:tab w:val="center" w:pos="4962"/>
              <w:tab w:val="right" w:pos="9923"/>
              <w:tab w:val="right" w:pos="10632"/>
            </w:tabs>
            <w:rPr>
              <w:rStyle w:val="PageNumber"/>
              <w:bCs/>
              <w:i/>
              <w:iCs/>
              <w:sz w:val="16"/>
            </w:rPr>
          </w:pPr>
          <w:proofErr w:type="spellStart"/>
          <w:r>
            <w:rPr>
              <w:bCs/>
              <w:i/>
              <w:iCs/>
            </w:rPr>
            <w:t>Venclexta</w:t>
          </w:r>
          <w:proofErr w:type="spellEnd"/>
          <w:r>
            <w:rPr>
              <w:bCs/>
              <w:i/>
              <w:iCs/>
            </w:rPr>
            <w:t xml:space="preserve"> PI</w:t>
          </w:r>
        </w:p>
      </w:tc>
      <w:tc>
        <w:tcPr>
          <w:tcW w:w="3382" w:type="dxa"/>
          <w:tcBorders>
            <w:top w:val="single" w:sz="4" w:space="0" w:color="auto"/>
            <w:left w:val="nil"/>
            <w:bottom w:val="nil"/>
            <w:right w:val="nil"/>
          </w:tcBorders>
          <w:hideMark/>
        </w:tcPr>
        <w:p w14:paraId="6A476786" w14:textId="656F2F46" w:rsidR="00450B1A" w:rsidRDefault="00450B1A" w:rsidP="00CC52A1">
          <w:pPr>
            <w:pStyle w:val="Footer"/>
            <w:framePr w:hSpace="180" w:wrap="around" w:vAnchor="text" w:hAnchor="text" w:y="1"/>
            <w:tabs>
              <w:tab w:val="right" w:pos="-1843"/>
              <w:tab w:val="center" w:pos="4962"/>
              <w:tab w:val="right" w:pos="9923"/>
              <w:tab w:val="right" w:pos="10632"/>
            </w:tabs>
            <w:jc w:val="center"/>
            <w:rPr>
              <w:rStyle w:val="PageNumber"/>
              <w:bCs/>
              <w:i/>
              <w:iCs/>
            </w:rPr>
          </w:pPr>
          <w:r>
            <w:rPr>
              <w:rStyle w:val="PageNumber"/>
              <w:bCs/>
              <w:i/>
              <w:iCs/>
            </w:rPr>
            <w:t>v1</w:t>
          </w:r>
        </w:p>
      </w:tc>
      <w:tc>
        <w:tcPr>
          <w:tcW w:w="3382" w:type="dxa"/>
          <w:tcBorders>
            <w:top w:val="single" w:sz="4" w:space="0" w:color="auto"/>
            <w:left w:val="nil"/>
            <w:bottom w:val="nil"/>
            <w:right w:val="nil"/>
          </w:tcBorders>
          <w:hideMark/>
        </w:tcPr>
        <w:p w14:paraId="6A476787" w14:textId="77777777" w:rsidR="00450B1A" w:rsidRDefault="00450B1A" w:rsidP="00CC52A1">
          <w:pPr>
            <w:pStyle w:val="Footer"/>
            <w:framePr w:hSpace="180" w:wrap="around" w:vAnchor="text" w:hAnchor="text" w:y="1"/>
            <w:tabs>
              <w:tab w:val="right" w:pos="-1843"/>
              <w:tab w:val="center" w:pos="4962"/>
              <w:tab w:val="right" w:pos="9923"/>
              <w:tab w:val="right" w:pos="10632"/>
            </w:tabs>
            <w:jc w:val="right"/>
            <w:rPr>
              <w:rStyle w:val="PageNumber"/>
              <w:bCs/>
              <w:i/>
              <w:iCs/>
              <w:highlight w:val="yellow"/>
            </w:rPr>
          </w:pPr>
          <w:r>
            <w:rPr>
              <w:bCs/>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sidR="0074161B">
            <w:rPr>
              <w:rStyle w:val="PageNumber"/>
              <w:i/>
              <w:iCs/>
              <w:noProof/>
            </w:rPr>
            <w:t>1</w:t>
          </w:r>
          <w:r>
            <w:rPr>
              <w:rStyle w:val="PageNumber"/>
              <w:i/>
              <w:iCs/>
            </w:rPr>
            <w:fldChar w:fldCharType="end"/>
          </w:r>
          <w:r>
            <w:rPr>
              <w:bCs/>
              <w:i/>
              <w:iCs/>
            </w:rPr>
            <w:t xml:space="preserve"> </w:t>
          </w:r>
        </w:p>
      </w:tc>
    </w:tr>
  </w:tbl>
  <w:p w14:paraId="6A476789" w14:textId="77777777" w:rsidR="00450B1A" w:rsidRDefault="00450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3C1D9" w14:textId="77777777" w:rsidR="00450B1A" w:rsidRDefault="00450B1A" w:rsidP="00CC52A1">
      <w:pPr>
        <w:spacing w:after="0"/>
      </w:pPr>
      <w:r>
        <w:separator/>
      </w:r>
    </w:p>
  </w:footnote>
  <w:footnote w:type="continuationSeparator" w:id="0">
    <w:p w14:paraId="68FD708A" w14:textId="77777777" w:rsidR="00450B1A" w:rsidRDefault="00450B1A" w:rsidP="00CC52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27394" w14:textId="289F1896" w:rsidR="00620982" w:rsidRPr="00620982" w:rsidRDefault="00620982" w:rsidP="00620982">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D361CA">
      <w:rPr>
        <w:b/>
        <w:sz w:val="20"/>
        <w:szCs w:val="20"/>
      </w:rPr>
      <w:t xml:space="preserve">Attachment 1: Product information for </w:t>
    </w:r>
    <w:proofErr w:type="spellStart"/>
    <w:r w:rsidRPr="00620982">
      <w:rPr>
        <w:b/>
        <w:sz w:val="20"/>
        <w:szCs w:val="20"/>
      </w:rPr>
      <w:t>AusPAR</w:t>
    </w:r>
    <w:proofErr w:type="spellEnd"/>
    <w:r w:rsidRPr="00620982">
      <w:rPr>
        <w:b/>
        <w:sz w:val="20"/>
        <w:szCs w:val="20"/>
      </w:rPr>
      <w:t xml:space="preserve"> </w:t>
    </w:r>
    <w:proofErr w:type="spellStart"/>
    <w:r w:rsidRPr="00620982">
      <w:rPr>
        <w:b/>
        <w:sz w:val="20"/>
        <w:szCs w:val="20"/>
      </w:rPr>
      <w:t>Venclexta</w:t>
    </w:r>
    <w:proofErr w:type="spellEnd"/>
    <w:r w:rsidRPr="00620982">
      <w:rPr>
        <w:b/>
        <w:sz w:val="20"/>
        <w:szCs w:val="20"/>
      </w:rPr>
      <w:t xml:space="preserve"> </w:t>
    </w:r>
    <w:proofErr w:type="spellStart"/>
    <w:r w:rsidRPr="00620982">
      <w:rPr>
        <w:b/>
        <w:sz w:val="20"/>
        <w:szCs w:val="20"/>
      </w:rPr>
      <w:t>Venetoclax</w:t>
    </w:r>
    <w:proofErr w:type="spellEnd"/>
    <w:r w:rsidRPr="00620982">
      <w:rPr>
        <w:b/>
        <w:sz w:val="20"/>
        <w:szCs w:val="20"/>
      </w:rPr>
      <w:t xml:space="preserve"> AbbVie Pty Ltd PM-2015-04328-1-4 Final 9 November 2017</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D43"/>
    <w:multiLevelType w:val="hybridMultilevel"/>
    <w:tmpl w:val="95E26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0651BCD"/>
    <w:multiLevelType w:val="multilevel"/>
    <w:tmpl w:val="5F4A32F8"/>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
    <w:nsid w:val="18553110"/>
    <w:multiLevelType w:val="multilevel"/>
    <w:tmpl w:val="EF729846"/>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3">
    <w:nsid w:val="1DAC7798"/>
    <w:multiLevelType w:val="multilevel"/>
    <w:tmpl w:val="8A3A3E5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
    <w:nsid w:val="20981E02"/>
    <w:multiLevelType w:val="hybridMultilevel"/>
    <w:tmpl w:val="EE945C7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5">
    <w:nsid w:val="3C46013E"/>
    <w:multiLevelType w:val="hybridMultilevel"/>
    <w:tmpl w:val="A600E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41E23B74"/>
    <w:multiLevelType w:val="multilevel"/>
    <w:tmpl w:val="3D64735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7">
    <w:nsid w:val="4C56531C"/>
    <w:multiLevelType w:val="hybridMultilevel"/>
    <w:tmpl w:val="493A9506"/>
    <w:lvl w:ilvl="0" w:tplc="B2CA92E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0650525"/>
    <w:multiLevelType w:val="hybridMultilevel"/>
    <w:tmpl w:val="F2DC7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21E11E9"/>
    <w:multiLevelType w:val="multilevel"/>
    <w:tmpl w:val="A46A29F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0">
    <w:nsid w:val="5730157D"/>
    <w:multiLevelType w:val="hybridMultilevel"/>
    <w:tmpl w:val="3AFAF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5717576"/>
    <w:multiLevelType w:val="hybridMultilevel"/>
    <w:tmpl w:val="0842489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nsid w:val="6A2972FC"/>
    <w:multiLevelType w:val="multilevel"/>
    <w:tmpl w:val="E8500204"/>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13">
    <w:nsid w:val="6E5A436A"/>
    <w:multiLevelType w:val="multilevel"/>
    <w:tmpl w:val="F9ACCFA2"/>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1"/>
  </w:num>
  <w:num w:numId="5">
    <w:abstractNumId w:val="10"/>
  </w:num>
  <w:num w:numId="6">
    <w:abstractNumId w:val="7"/>
  </w:num>
  <w:num w:numId="7">
    <w:abstractNumId w:val="8"/>
  </w:num>
  <w:num w:numId="8">
    <w:abstractNumId w:val="12"/>
  </w:num>
  <w:num w:numId="9">
    <w:abstractNumId w:val="3"/>
  </w:num>
  <w:num w:numId="10">
    <w:abstractNumId w:val="13"/>
  </w:num>
  <w:num w:numId="11">
    <w:abstractNumId w:val="6"/>
  </w:num>
  <w:num w:numId="12">
    <w:abstractNumId w:val="9"/>
  </w:num>
  <w:num w:numId="13">
    <w:abstractNumId w:val="5"/>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4F"/>
    <w:rsid w:val="000118FF"/>
    <w:rsid w:val="00015DA5"/>
    <w:rsid w:val="0004165E"/>
    <w:rsid w:val="00042384"/>
    <w:rsid w:val="00045AA7"/>
    <w:rsid w:val="000553C4"/>
    <w:rsid w:val="00062A97"/>
    <w:rsid w:val="00081FA6"/>
    <w:rsid w:val="00094160"/>
    <w:rsid w:val="000C1FC0"/>
    <w:rsid w:val="000D4B1E"/>
    <w:rsid w:val="000D503B"/>
    <w:rsid w:val="000E18BA"/>
    <w:rsid w:val="000E72FC"/>
    <w:rsid w:val="00124336"/>
    <w:rsid w:val="001276CF"/>
    <w:rsid w:val="0013180E"/>
    <w:rsid w:val="0013441C"/>
    <w:rsid w:val="00163D3F"/>
    <w:rsid w:val="00167ED8"/>
    <w:rsid w:val="001950DB"/>
    <w:rsid w:val="001A334A"/>
    <w:rsid w:val="001A5FF7"/>
    <w:rsid w:val="001A7463"/>
    <w:rsid w:val="001B38BD"/>
    <w:rsid w:val="001C55C0"/>
    <w:rsid w:val="001D2E52"/>
    <w:rsid w:val="001E559A"/>
    <w:rsid w:val="00202F95"/>
    <w:rsid w:val="00245C18"/>
    <w:rsid w:val="0026293D"/>
    <w:rsid w:val="00271160"/>
    <w:rsid w:val="00281287"/>
    <w:rsid w:val="0028625F"/>
    <w:rsid w:val="00286563"/>
    <w:rsid w:val="00294161"/>
    <w:rsid w:val="002B07E8"/>
    <w:rsid w:val="002E10B2"/>
    <w:rsid w:val="002E19F2"/>
    <w:rsid w:val="002F11E2"/>
    <w:rsid w:val="00325A6A"/>
    <w:rsid w:val="00325BB9"/>
    <w:rsid w:val="00334F2B"/>
    <w:rsid w:val="00341077"/>
    <w:rsid w:val="00342FDC"/>
    <w:rsid w:val="00351EA8"/>
    <w:rsid w:val="00363FEB"/>
    <w:rsid w:val="00366523"/>
    <w:rsid w:val="003767BF"/>
    <w:rsid w:val="00386E82"/>
    <w:rsid w:val="0038739E"/>
    <w:rsid w:val="003C0237"/>
    <w:rsid w:val="003D7AFB"/>
    <w:rsid w:val="003E0B87"/>
    <w:rsid w:val="003F0130"/>
    <w:rsid w:val="003F234A"/>
    <w:rsid w:val="003F4370"/>
    <w:rsid w:val="003F59D4"/>
    <w:rsid w:val="004012EB"/>
    <w:rsid w:val="00405F18"/>
    <w:rsid w:val="00415A1A"/>
    <w:rsid w:val="00420CC3"/>
    <w:rsid w:val="00440D01"/>
    <w:rsid w:val="00441C87"/>
    <w:rsid w:val="00445F51"/>
    <w:rsid w:val="00450B1A"/>
    <w:rsid w:val="004601F8"/>
    <w:rsid w:val="00475548"/>
    <w:rsid w:val="004868C7"/>
    <w:rsid w:val="00487AC7"/>
    <w:rsid w:val="004920BD"/>
    <w:rsid w:val="004B4A30"/>
    <w:rsid w:val="004C04E7"/>
    <w:rsid w:val="004C5989"/>
    <w:rsid w:val="004C7601"/>
    <w:rsid w:val="004D6F7B"/>
    <w:rsid w:val="004E2953"/>
    <w:rsid w:val="004F5C6E"/>
    <w:rsid w:val="004F7818"/>
    <w:rsid w:val="00503347"/>
    <w:rsid w:val="005221A0"/>
    <w:rsid w:val="005261A0"/>
    <w:rsid w:val="0053464E"/>
    <w:rsid w:val="0055641B"/>
    <w:rsid w:val="00560EF1"/>
    <w:rsid w:val="00571B80"/>
    <w:rsid w:val="0057620A"/>
    <w:rsid w:val="00594B8E"/>
    <w:rsid w:val="00595DD3"/>
    <w:rsid w:val="005B1928"/>
    <w:rsid w:val="005B2B34"/>
    <w:rsid w:val="005D1180"/>
    <w:rsid w:val="005D200C"/>
    <w:rsid w:val="005E6376"/>
    <w:rsid w:val="005F4C34"/>
    <w:rsid w:val="00606C52"/>
    <w:rsid w:val="00612E1E"/>
    <w:rsid w:val="00614051"/>
    <w:rsid w:val="00620982"/>
    <w:rsid w:val="00623E5A"/>
    <w:rsid w:val="00631582"/>
    <w:rsid w:val="00642210"/>
    <w:rsid w:val="00656AEA"/>
    <w:rsid w:val="0066061B"/>
    <w:rsid w:val="0068275D"/>
    <w:rsid w:val="00685C57"/>
    <w:rsid w:val="00687276"/>
    <w:rsid w:val="00697790"/>
    <w:rsid w:val="006C11D2"/>
    <w:rsid w:val="006C5F48"/>
    <w:rsid w:val="006C5FF2"/>
    <w:rsid w:val="006D2F53"/>
    <w:rsid w:val="006E3CE8"/>
    <w:rsid w:val="006F291B"/>
    <w:rsid w:val="007273CA"/>
    <w:rsid w:val="00733243"/>
    <w:rsid w:val="00735C45"/>
    <w:rsid w:val="0074161B"/>
    <w:rsid w:val="0074212B"/>
    <w:rsid w:val="0074250A"/>
    <w:rsid w:val="00754DB4"/>
    <w:rsid w:val="00760736"/>
    <w:rsid w:val="007652C2"/>
    <w:rsid w:val="0076553D"/>
    <w:rsid w:val="00784869"/>
    <w:rsid w:val="00785A71"/>
    <w:rsid w:val="007A31BC"/>
    <w:rsid w:val="007C31F9"/>
    <w:rsid w:val="007D622E"/>
    <w:rsid w:val="007F1DE0"/>
    <w:rsid w:val="007F3D22"/>
    <w:rsid w:val="00804560"/>
    <w:rsid w:val="00806F18"/>
    <w:rsid w:val="0083720A"/>
    <w:rsid w:val="0084238A"/>
    <w:rsid w:val="00874384"/>
    <w:rsid w:val="00887B2B"/>
    <w:rsid w:val="008A7E2A"/>
    <w:rsid w:val="008B5A4F"/>
    <w:rsid w:val="008B6A01"/>
    <w:rsid w:val="008C3701"/>
    <w:rsid w:val="008C6F5E"/>
    <w:rsid w:val="008E3D50"/>
    <w:rsid w:val="008F4D3F"/>
    <w:rsid w:val="008F6083"/>
    <w:rsid w:val="00923666"/>
    <w:rsid w:val="00926B5E"/>
    <w:rsid w:val="00930A77"/>
    <w:rsid w:val="0094285E"/>
    <w:rsid w:val="00942E78"/>
    <w:rsid w:val="009479FF"/>
    <w:rsid w:val="009605F8"/>
    <w:rsid w:val="00963792"/>
    <w:rsid w:val="00975BE1"/>
    <w:rsid w:val="0097629E"/>
    <w:rsid w:val="009853E9"/>
    <w:rsid w:val="009D3922"/>
    <w:rsid w:val="00A03AB7"/>
    <w:rsid w:val="00A04BB8"/>
    <w:rsid w:val="00A3524A"/>
    <w:rsid w:val="00A436AF"/>
    <w:rsid w:val="00A43710"/>
    <w:rsid w:val="00A57E3B"/>
    <w:rsid w:val="00A75968"/>
    <w:rsid w:val="00A82A13"/>
    <w:rsid w:val="00A93202"/>
    <w:rsid w:val="00A97E2A"/>
    <w:rsid w:val="00AB0604"/>
    <w:rsid w:val="00AD20C2"/>
    <w:rsid w:val="00AD4B4F"/>
    <w:rsid w:val="00AD59C7"/>
    <w:rsid w:val="00AE3AD8"/>
    <w:rsid w:val="00AF1AE6"/>
    <w:rsid w:val="00B03D03"/>
    <w:rsid w:val="00B379A7"/>
    <w:rsid w:val="00B430D3"/>
    <w:rsid w:val="00B43FDF"/>
    <w:rsid w:val="00B555F2"/>
    <w:rsid w:val="00B63569"/>
    <w:rsid w:val="00B7406F"/>
    <w:rsid w:val="00B956FA"/>
    <w:rsid w:val="00BA4BDD"/>
    <w:rsid w:val="00BA7F80"/>
    <w:rsid w:val="00BD0C46"/>
    <w:rsid w:val="00BD13A7"/>
    <w:rsid w:val="00BE7241"/>
    <w:rsid w:val="00BF75D7"/>
    <w:rsid w:val="00C008B8"/>
    <w:rsid w:val="00C174C0"/>
    <w:rsid w:val="00C23048"/>
    <w:rsid w:val="00C637E4"/>
    <w:rsid w:val="00C76636"/>
    <w:rsid w:val="00C855E0"/>
    <w:rsid w:val="00CB0861"/>
    <w:rsid w:val="00CC0888"/>
    <w:rsid w:val="00CC52A1"/>
    <w:rsid w:val="00CD4C81"/>
    <w:rsid w:val="00D03D81"/>
    <w:rsid w:val="00D114C2"/>
    <w:rsid w:val="00D12AA3"/>
    <w:rsid w:val="00D131CD"/>
    <w:rsid w:val="00D14BF4"/>
    <w:rsid w:val="00D20CC5"/>
    <w:rsid w:val="00D42415"/>
    <w:rsid w:val="00D430AE"/>
    <w:rsid w:val="00D45D15"/>
    <w:rsid w:val="00D47A14"/>
    <w:rsid w:val="00D70AE7"/>
    <w:rsid w:val="00D74017"/>
    <w:rsid w:val="00DA4B16"/>
    <w:rsid w:val="00DA6884"/>
    <w:rsid w:val="00DB0441"/>
    <w:rsid w:val="00DB386C"/>
    <w:rsid w:val="00DC1B70"/>
    <w:rsid w:val="00DC7810"/>
    <w:rsid w:val="00DD32B7"/>
    <w:rsid w:val="00DD62A5"/>
    <w:rsid w:val="00DE1068"/>
    <w:rsid w:val="00E0039E"/>
    <w:rsid w:val="00E16593"/>
    <w:rsid w:val="00E244C6"/>
    <w:rsid w:val="00E25613"/>
    <w:rsid w:val="00E41681"/>
    <w:rsid w:val="00E42E85"/>
    <w:rsid w:val="00E509C7"/>
    <w:rsid w:val="00E60321"/>
    <w:rsid w:val="00E67E64"/>
    <w:rsid w:val="00E91B5E"/>
    <w:rsid w:val="00E95F00"/>
    <w:rsid w:val="00EA01EB"/>
    <w:rsid w:val="00EB709F"/>
    <w:rsid w:val="00EC166C"/>
    <w:rsid w:val="00EC5497"/>
    <w:rsid w:val="00EC5B35"/>
    <w:rsid w:val="00ED31DF"/>
    <w:rsid w:val="00ED7C00"/>
    <w:rsid w:val="00EE20E8"/>
    <w:rsid w:val="00EE3DE6"/>
    <w:rsid w:val="00EE5E33"/>
    <w:rsid w:val="00F11CCD"/>
    <w:rsid w:val="00F30280"/>
    <w:rsid w:val="00F30483"/>
    <w:rsid w:val="00F54FB8"/>
    <w:rsid w:val="00F6239A"/>
    <w:rsid w:val="00F646F8"/>
    <w:rsid w:val="00F66E0E"/>
    <w:rsid w:val="00F73E9A"/>
    <w:rsid w:val="00F94FD8"/>
    <w:rsid w:val="00FB2B7A"/>
    <w:rsid w:val="00FB3A8C"/>
    <w:rsid w:val="00FB57D5"/>
    <w:rsid w:val="00FB6404"/>
    <w:rsid w:val="00FC2844"/>
    <w:rsid w:val="00FC71E8"/>
    <w:rsid w:val="00FD6622"/>
    <w:rsid w:val="00FF43B7"/>
    <w:rsid w:val="00FF44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B5E"/>
    <w:pPr>
      <w:spacing w:before="120" w:after="120" w:line="240" w:lineRule="auto"/>
    </w:pPr>
    <w:rPr>
      <w:rFonts w:ascii="Arial" w:hAnsi="Arial"/>
    </w:rPr>
  </w:style>
  <w:style w:type="paragraph" w:styleId="Heading1">
    <w:name w:val="heading 1"/>
    <w:basedOn w:val="Normal"/>
    <w:next w:val="Normal"/>
    <w:link w:val="Heading1Char"/>
    <w:qFormat/>
    <w:rsid w:val="00AD4B4F"/>
    <w:pPr>
      <w:keepNext/>
      <w:spacing w:before="240" w:after="60"/>
      <w:jc w:val="both"/>
      <w:outlineLvl w:val="0"/>
    </w:pPr>
    <w:rPr>
      <w:rFonts w:eastAsia="Times New Roman" w:cs="Times New Roman"/>
      <w:b/>
      <w:caps/>
      <w:sz w:val="24"/>
      <w:szCs w:val="20"/>
    </w:rPr>
  </w:style>
  <w:style w:type="paragraph" w:styleId="Heading2">
    <w:name w:val="heading 2"/>
    <w:basedOn w:val="Heading1"/>
    <w:next w:val="Normal"/>
    <w:link w:val="Heading2Char"/>
    <w:uiPriority w:val="9"/>
    <w:unhideWhenUsed/>
    <w:qFormat/>
    <w:rsid w:val="00450B1A"/>
    <w:pPr>
      <w:spacing w:before="120" w:after="120"/>
      <w:outlineLvl w:val="1"/>
    </w:pPr>
    <w:rPr>
      <w:rFonts w:cs="Arial"/>
      <w:sz w:val="22"/>
    </w:rPr>
  </w:style>
  <w:style w:type="paragraph" w:styleId="Heading3">
    <w:name w:val="heading 3"/>
    <w:basedOn w:val="Heading2"/>
    <w:next w:val="Normal"/>
    <w:link w:val="Heading3Char"/>
    <w:uiPriority w:val="9"/>
    <w:unhideWhenUsed/>
    <w:qFormat/>
    <w:rsid w:val="004F7818"/>
    <w:pPr>
      <w:outlineLvl w:val="2"/>
    </w:pPr>
    <w:rPr>
      <w:b w:val="0"/>
      <w:caps w:val="0"/>
      <w:u w:val="single"/>
      <w:lang w:val="en-GB"/>
    </w:rPr>
  </w:style>
  <w:style w:type="paragraph" w:styleId="Heading4">
    <w:name w:val="heading 4"/>
    <w:basedOn w:val="Heading3"/>
    <w:next w:val="Normal"/>
    <w:link w:val="Heading4Char"/>
    <w:uiPriority w:val="9"/>
    <w:unhideWhenUsed/>
    <w:qFormat/>
    <w:rsid w:val="00450B1A"/>
    <w:pPr>
      <w:outlineLvl w:val="3"/>
    </w:pPr>
    <w:rPr>
      <w:i/>
      <w:u w:val="none"/>
    </w:rPr>
  </w:style>
  <w:style w:type="paragraph" w:styleId="Heading5">
    <w:name w:val="heading 5"/>
    <w:basedOn w:val="Normal"/>
    <w:next w:val="Normal"/>
    <w:link w:val="Heading5Char"/>
    <w:uiPriority w:val="9"/>
    <w:semiHidden/>
    <w:unhideWhenUsed/>
    <w:qFormat/>
    <w:rsid w:val="0038739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50DB"/>
    <w:pPr>
      <w:spacing w:before="240" w:after="60"/>
      <w:contextualSpacing/>
      <w:jc w:val="center"/>
    </w:pPr>
    <w:rPr>
      <w:rFonts w:eastAsia="Times New Roman" w:cs="Arial"/>
      <w:b/>
      <w:bCs/>
      <w:caps/>
      <w:kern w:val="28"/>
      <w:sz w:val="28"/>
      <w:szCs w:val="32"/>
    </w:rPr>
  </w:style>
  <w:style w:type="character" w:customStyle="1" w:styleId="TitleChar">
    <w:name w:val="Title Char"/>
    <w:basedOn w:val="DefaultParagraphFont"/>
    <w:link w:val="Title"/>
    <w:rsid w:val="001950DB"/>
    <w:rPr>
      <w:rFonts w:ascii="Arial" w:eastAsia="Times New Roman" w:hAnsi="Arial" w:cs="Arial"/>
      <w:b/>
      <w:bCs/>
      <w:caps/>
      <w:kern w:val="28"/>
      <w:sz w:val="28"/>
      <w:szCs w:val="32"/>
    </w:rPr>
  </w:style>
  <w:style w:type="character" w:customStyle="1" w:styleId="Heading1Char">
    <w:name w:val="Heading 1 Char"/>
    <w:basedOn w:val="DefaultParagraphFont"/>
    <w:link w:val="Heading1"/>
    <w:rsid w:val="00AD4B4F"/>
    <w:rPr>
      <w:rFonts w:ascii="Arial" w:eastAsia="Times New Roman" w:hAnsi="Arial" w:cs="Times New Roman"/>
      <w:b/>
      <w:caps/>
      <w:sz w:val="24"/>
      <w:szCs w:val="20"/>
    </w:rPr>
  </w:style>
  <w:style w:type="paragraph" w:styleId="BalloonText">
    <w:name w:val="Balloon Text"/>
    <w:basedOn w:val="Normal"/>
    <w:link w:val="BalloonTextChar"/>
    <w:uiPriority w:val="99"/>
    <w:semiHidden/>
    <w:unhideWhenUsed/>
    <w:rsid w:val="00AD4B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B4F"/>
    <w:rPr>
      <w:rFonts w:ascii="Tahoma" w:hAnsi="Tahoma" w:cs="Tahoma"/>
      <w:sz w:val="16"/>
      <w:szCs w:val="16"/>
    </w:rPr>
  </w:style>
  <w:style w:type="paragraph" w:customStyle="1" w:styleId="GTCBodyText">
    <w:name w:val="GTC Body Text"/>
    <w:basedOn w:val="Normal"/>
    <w:rsid w:val="0038739E"/>
    <w:pPr>
      <w:spacing w:before="240" w:after="240" w:line="216" w:lineRule="auto"/>
      <w:jc w:val="both"/>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38739E"/>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6C11D2"/>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0B1A"/>
    <w:rPr>
      <w:rFonts w:ascii="Arial" w:eastAsia="Times New Roman" w:hAnsi="Arial" w:cs="Arial"/>
      <w:b/>
      <w:caps/>
      <w:szCs w:val="20"/>
    </w:rPr>
  </w:style>
  <w:style w:type="paragraph" w:styleId="ListParagraph">
    <w:name w:val="List Paragraph"/>
    <w:basedOn w:val="Normal"/>
    <w:uiPriority w:val="34"/>
    <w:qFormat/>
    <w:rsid w:val="00785A71"/>
    <w:pPr>
      <w:spacing w:after="60"/>
      <w:ind w:left="720"/>
      <w:contextualSpacing/>
      <w:jc w:val="both"/>
    </w:pPr>
    <w:rPr>
      <w:rFonts w:eastAsia="Times New Roman" w:cs="Times New Roman"/>
      <w:szCs w:val="20"/>
    </w:rPr>
  </w:style>
  <w:style w:type="paragraph" w:styleId="Header">
    <w:name w:val="header"/>
    <w:basedOn w:val="Normal"/>
    <w:link w:val="HeaderChar"/>
    <w:uiPriority w:val="99"/>
    <w:unhideWhenUsed/>
    <w:rsid w:val="00CC52A1"/>
    <w:pPr>
      <w:tabs>
        <w:tab w:val="center" w:pos="4513"/>
        <w:tab w:val="right" w:pos="9026"/>
      </w:tabs>
      <w:spacing w:after="0"/>
    </w:pPr>
  </w:style>
  <w:style w:type="character" w:customStyle="1" w:styleId="HeaderChar">
    <w:name w:val="Header Char"/>
    <w:basedOn w:val="DefaultParagraphFont"/>
    <w:link w:val="Header"/>
    <w:uiPriority w:val="99"/>
    <w:rsid w:val="00CC52A1"/>
  </w:style>
  <w:style w:type="paragraph" w:styleId="Footer">
    <w:name w:val="footer"/>
    <w:basedOn w:val="Normal"/>
    <w:link w:val="FooterChar"/>
    <w:unhideWhenUsed/>
    <w:rsid w:val="00CC52A1"/>
    <w:pPr>
      <w:tabs>
        <w:tab w:val="center" w:pos="4513"/>
        <w:tab w:val="right" w:pos="9026"/>
      </w:tabs>
      <w:spacing w:after="0"/>
    </w:pPr>
  </w:style>
  <w:style w:type="character" w:customStyle="1" w:styleId="FooterChar">
    <w:name w:val="Footer Char"/>
    <w:basedOn w:val="DefaultParagraphFont"/>
    <w:link w:val="Footer"/>
    <w:rsid w:val="00CC52A1"/>
  </w:style>
  <w:style w:type="character" w:customStyle="1" w:styleId="ParagraphChar">
    <w:name w:val="Paragraph Char"/>
    <w:link w:val="Paragraph"/>
    <w:locked/>
    <w:rsid w:val="00CC52A1"/>
    <w:rPr>
      <w:rFonts w:ascii="MS Mincho" w:eastAsia="MS Mincho" w:hAnsi="MS Mincho"/>
      <w:sz w:val="24"/>
      <w:szCs w:val="24"/>
      <w:lang w:val="en-US" w:eastAsia="ja-JP"/>
    </w:rPr>
  </w:style>
  <w:style w:type="paragraph" w:customStyle="1" w:styleId="Paragraph">
    <w:name w:val="Paragraph"/>
    <w:link w:val="ParagraphChar"/>
    <w:rsid w:val="00CC52A1"/>
    <w:pPr>
      <w:spacing w:after="240" w:line="360" w:lineRule="exact"/>
    </w:pPr>
    <w:rPr>
      <w:rFonts w:ascii="MS Mincho" w:eastAsia="MS Mincho" w:hAnsi="MS Mincho"/>
      <w:sz w:val="24"/>
      <w:szCs w:val="24"/>
      <w:lang w:val="en-US" w:eastAsia="ja-JP"/>
    </w:rPr>
  </w:style>
  <w:style w:type="character" w:styleId="PageNumber">
    <w:name w:val="page number"/>
    <w:basedOn w:val="DefaultParagraphFont"/>
    <w:semiHidden/>
    <w:unhideWhenUsed/>
    <w:rsid w:val="00CC52A1"/>
  </w:style>
  <w:style w:type="character" w:styleId="CommentReference">
    <w:name w:val="annotation reference"/>
    <w:basedOn w:val="DefaultParagraphFont"/>
    <w:uiPriority w:val="99"/>
    <w:semiHidden/>
    <w:unhideWhenUsed/>
    <w:rsid w:val="007D622E"/>
    <w:rPr>
      <w:sz w:val="16"/>
      <w:szCs w:val="16"/>
    </w:rPr>
  </w:style>
  <w:style w:type="paragraph" w:styleId="CommentText">
    <w:name w:val="annotation text"/>
    <w:basedOn w:val="Normal"/>
    <w:link w:val="CommentTextChar"/>
    <w:uiPriority w:val="99"/>
    <w:unhideWhenUsed/>
    <w:rsid w:val="007D622E"/>
    <w:rPr>
      <w:sz w:val="20"/>
      <w:szCs w:val="20"/>
    </w:rPr>
  </w:style>
  <w:style w:type="character" w:customStyle="1" w:styleId="CommentTextChar">
    <w:name w:val="Comment Text Char"/>
    <w:basedOn w:val="DefaultParagraphFont"/>
    <w:link w:val="CommentText"/>
    <w:uiPriority w:val="99"/>
    <w:rsid w:val="007D622E"/>
    <w:rPr>
      <w:sz w:val="20"/>
      <w:szCs w:val="20"/>
    </w:rPr>
  </w:style>
  <w:style w:type="paragraph" w:styleId="CommentSubject">
    <w:name w:val="annotation subject"/>
    <w:basedOn w:val="CommentText"/>
    <w:next w:val="CommentText"/>
    <w:link w:val="CommentSubjectChar"/>
    <w:uiPriority w:val="99"/>
    <w:semiHidden/>
    <w:unhideWhenUsed/>
    <w:rsid w:val="007D622E"/>
    <w:rPr>
      <w:b/>
      <w:bCs/>
    </w:rPr>
  </w:style>
  <w:style w:type="character" w:customStyle="1" w:styleId="CommentSubjectChar">
    <w:name w:val="Comment Subject Char"/>
    <w:basedOn w:val="CommentTextChar"/>
    <w:link w:val="CommentSubject"/>
    <w:uiPriority w:val="99"/>
    <w:semiHidden/>
    <w:rsid w:val="007D622E"/>
    <w:rPr>
      <w:b/>
      <w:bCs/>
      <w:sz w:val="20"/>
      <w:szCs w:val="20"/>
    </w:rPr>
  </w:style>
  <w:style w:type="paragraph" w:styleId="Revision">
    <w:name w:val="Revision"/>
    <w:hidden/>
    <w:uiPriority w:val="99"/>
    <w:semiHidden/>
    <w:rsid w:val="00FB2B7A"/>
    <w:pPr>
      <w:spacing w:after="0" w:line="240" w:lineRule="auto"/>
    </w:pPr>
  </w:style>
  <w:style w:type="character" w:customStyle="1" w:styleId="Heading3Char">
    <w:name w:val="Heading 3 Char"/>
    <w:basedOn w:val="DefaultParagraphFont"/>
    <w:link w:val="Heading3"/>
    <w:uiPriority w:val="9"/>
    <w:rsid w:val="004F7818"/>
    <w:rPr>
      <w:rFonts w:ascii="Arial" w:eastAsia="Times New Roman" w:hAnsi="Arial" w:cs="Arial"/>
      <w:szCs w:val="20"/>
      <w:u w:val="single"/>
      <w:lang w:val="en-GB"/>
    </w:rPr>
  </w:style>
  <w:style w:type="character" w:styleId="Hyperlink">
    <w:name w:val="Hyperlink"/>
    <w:basedOn w:val="DefaultParagraphFont"/>
    <w:uiPriority w:val="99"/>
    <w:unhideWhenUsed/>
    <w:rsid w:val="001950DB"/>
    <w:rPr>
      <w:color w:val="0000FF" w:themeColor="hyperlink"/>
      <w:u w:val="single"/>
    </w:rPr>
  </w:style>
  <w:style w:type="character" w:customStyle="1" w:styleId="Heading4Char">
    <w:name w:val="Heading 4 Char"/>
    <w:basedOn w:val="DefaultParagraphFont"/>
    <w:link w:val="Heading4"/>
    <w:uiPriority w:val="9"/>
    <w:rsid w:val="00450B1A"/>
    <w:rPr>
      <w:rFonts w:ascii="Arial" w:hAnsi="Arial" w:cs="Arial"/>
      <w:i/>
      <w:lang w:val="en-GB"/>
    </w:rPr>
  </w:style>
  <w:style w:type="paragraph" w:styleId="Caption">
    <w:name w:val="caption"/>
    <w:basedOn w:val="Normal"/>
    <w:next w:val="Normal"/>
    <w:uiPriority w:val="35"/>
    <w:unhideWhenUsed/>
    <w:qFormat/>
    <w:rsid w:val="00202F95"/>
    <w:pPr>
      <w:keepNext/>
    </w:pPr>
    <w:rPr>
      <w:b/>
      <w:bCs/>
      <w:sz w:val="20"/>
      <w:szCs w:val="18"/>
    </w:rPr>
  </w:style>
  <w:style w:type="paragraph" w:customStyle="1" w:styleId="Tabletext">
    <w:name w:val="Table text"/>
    <w:basedOn w:val="Normal"/>
    <w:qFormat/>
    <w:rsid w:val="00202F95"/>
    <w:pPr>
      <w:spacing w:before="20" w:after="20"/>
      <w:ind w:left="57"/>
    </w:pPr>
    <w:rPr>
      <w:rFonts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B5E"/>
    <w:pPr>
      <w:spacing w:before="120" w:after="120" w:line="240" w:lineRule="auto"/>
    </w:pPr>
    <w:rPr>
      <w:rFonts w:ascii="Arial" w:hAnsi="Arial"/>
    </w:rPr>
  </w:style>
  <w:style w:type="paragraph" w:styleId="Heading1">
    <w:name w:val="heading 1"/>
    <w:basedOn w:val="Normal"/>
    <w:next w:val="Normal"/>
    <w:link w:val="Heading1Char"/>
    <w:qFormat/>
    <w:rsid w:val="00AD4B4F"/>
    <w:pPr>
      <w:keepNext/>
      <w:spacing w:before="240" w:after="60"/>
      <w:jc w:val="both"/>
      <w:outlineLvl w:val="0"/>
    </w:pPr>
    <w:rPr>
      <w:rFonts w:eastAsia="Times New Roman" w:cs="Times New Roman"/>
      <w:b/>
      <w:caps/>
      <w:sz w:val="24"/>
      <w:szCs w:val="20"/>
    </w:rPr>
  </w:style>
  <w:style w:type="paragraph" w:styleId="Heading2">
    <w:name w:val="heading 2"/>
    <w:basedOn w:val="Heading1"/>
    <w:next w:val="Normal"/>
    <w:link w:val="Heading2Char"/>
    <w:uiPriority w:val="9"/>
    <w:unhideWhenUsed/>
    <w:qFormat/>
    <w:rsid w:val="00450B1A"/>
    <w:pPr>
      <w:spacing w:before="120" w:after="120"/>
      <w:outlineLvl w:val="1"/>
    </w:pPr>
    <w:rPr>
      <w:rFonts w:cs="Arial"/>
      <w:sz w:val="22"/>
    </w:rPr>
  </w:style>
  <w:style w:type="paragraph" w:styleId="Heading3">
    <w:name w:val="heading 3"/>
    <w:basedOn w:val="Heading2"/>
    <w:next w:val="Normal"/>
    <w:link w:val="Heading3Char"/>
    <w:uiPriority w:val="9"/>
    <w:unhideWhenUsed/>
    <w:qFormat/>
    <w:rsid w:val="004F7818"/>
    <w:pPr>
      <w:outlineLvl w:val="2"/>
    </w:pPr>
    <w:rPr>
      <w:b w:val="0"/>
      <w:caps w:val="0"/>
      <w:u w:val="single"/>
      <w:lang w:val="en-GB"/>
    </w:rPr>
  </w:style>
  <w:style w:type="paragraph" w:styleId="Heading4">
    <w:name w:val="heading 4"/>
    <w:basedOn w:val="Heading3"/>
    <w:next w:val="Normal"/>
    <w:link w:val="Heading4Char"/>
    <w:uiPriority w:val="9"/>
    <w:unhideWhenUsed/>
    <w:qFormat/>
    <w:rsid w:val="00450B1A"/>
    <w:pPr>
      <w:outlineLvl w:val="3"/>
    </w:pPr>
    <w:rPr>
      <w:i/>
      <w:u w:val="none"/>
    </w:rPr>
  </w:style>
  <w:style w:type="paragraph" w:styleId="Heading5">
    <w:name w:val="heading 5"/>
    <w:basedOn w:val="Normal"/>
    <w:next w:val="Normal"/>
    <w:link w:val="Heading5Char"/>
    <w:uiPriority w:val="9"/>
    <w:semiHidden/>
    <w:unhideWhenUsed/>
    <w:qFormat/>
    <w:rsid w:val="0038739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50DB"/>
    <w:pPr>
      <w:spacing w:before="240" w:after="60"/>
      <w:contextualSpacing/>
      <w:jc w:val="center"/>
    </w:pPr>
    <w:rPr>
      <w:rFonts w:eastAsia="Times New Roman" w:cs="Arial"/>
      <w:b/>
      <w:bCs/>
      <w:caps/>
      <w:kern w:val="28"/>
      <w:sz w:val="28"/>
      <w:szCs w:val="32"/>
    </w:rPr>
  </w:style>
  <w:style w:type="character" w:customStyle="1" w:styleId="TitleChar">
    <w:name w:val="Title Char"/>
    <w:basedOn w:val="DefaultParagraphFont"/>
    <w:link w:val="Title"/>
    <w:rsid w:val="001950DB"/>
    <w:rPr>
      <w:rFonts w:ascii="Arial" w:eastAsia="Times New Roman" w:hAnsi="Arial" w:cs="Arial"/>
      <w:b/>
      <w:bCs/>
      <w:caps/>
      <w:kern w:val="28"/>
      <w:sz w:val="28"/>
      <w:szCs w:val="32"/>
    </w:rPr>
  </w:style>
  <w:style w:type="character" w:customStyle="1" w:styleId="Heading1Char">
    <w:name w:val="Heading 1 Char"/>
    <w:basedOn w:val="DefaultParagraphFont"/>
    <w:link w:val="Heading1"/>
    <w:rsid w:val="00AD4B4F"/>
    <w:rPr>
      <w:rFonts w:ascii="Arial" w:eastAsia="Times New Roman" w:hAnsi="Arial" w:cs="Times New Roman"/>
      <w:b/>
      <w:caps/>
      <w:sz w:val="24"/>
      <w:szCs w:val="20"/>
    </w:rPr>
  </w:style>
  <w:style w:type="paragraph" w:styleId="BalloonText">
    <w:name w:val="Balloon Text"/>
    <w:basedOn w:val="Normal"/>
    <w:link w:val="BalloonTextChar"/>
    <w:uiPriority w:val="99"/>
    <w:semiHidden/>
    <w:unhideWhenUsed/>
    <w:rsid w:val="00AD4B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B4F"/>
    <w:rPr>
      <w:rFonts w:ascii="Tahoma" w:hAnsi="Tahoma" w:cs="Tahoma"/>
      <w:sz w:val="16"/>
      <w:szCs w:val="16"/>
    </w:rPr>
  </w:style>
  <w:style w:type="paragraph" w:customStyle="1" w:styleId="GTCBodyText">
    <w:name w:val="GTC Body Text"/>
    <w:basedOn w:val="Normal"/>
    <w:rsid w:val="0038739E"/>
    <w:pPr>
      <w:spacing w:before="240" w:after="240" w:line="216" w:lineRule="auto"/>
      <w:jc w:val="both"/>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38739E"/>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6C11D2"/>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0B1A"/>
    <w:rPr>
      <w:rFonts w:ascii="Arial" w:eastAsia="Times New Roman" w:hAnsi="Arial" w:cs="Arial"/>
      <w:b/>
      <w:caps/>
      <w:szCs w:val="20"/>
    </w:rPr>
  </w:style>
  <w:style w:type="paragraph" w:styleId="ListParagraph">
    <w:name w:val="List Paragraph"/>
    <w:basedOn w:val="Normal"/>
    <w:uiPriority w:val="34"/>
    <w:qFormat/>
    <w:rsid w:val="00785A71"/>
    <w:pPr>
      <w:spacing w:after="60"/>
      <w:ind w:left="720"/>
      <w:contextualSpacing/>
      <w:jc w:val="both"/>
    </w:pPr>
    <w:rPr>
      <w:rFonts w:eastAsia="Times New Roman" w:cs="Times New Roman"/>
      <w:szCs w:val="20"/>
    </w:rPr>
  </w:style>
  <w:style w:type="paragraph" w:styleId="Header">
    <w:name w:val="header"/>
    <w:basedOn w:val="Normal"/>
    <w:link w:val="HeaderChar"/>
    <w:uiPriority w:val="99"/>
    <w:unhideWhenUsed/>
    <w:rsid w:val="00CC52A1"/>
    <w:pPr>
      <w:tabs>
        <w:tab w:val="center" w:pos="4513"/>
        <w:tab w:val="right" w:pos="9026"/>
      </w:tabs>
      <w:spacing w:after="0"/>
    </w:pPr>
  </w:style>
  <w:style w:type="character" w:customStyle="1" w:styleId="HeaderChar">
    <w:name w:val="Header Char"/>
    <w:basedOn w:val="DefaultParagraphFont"/>
    <w:link w:val="Header"/>
    <w:uiPriority w:val="99"/>
    <w:rsid w:val="00CC52A1"/>
  </w:style>
  <w:style w:type="paragraph" w:styleId="Footer">
    <w:name w:val="footer"/>
    <w:basedOn w:val="Normal"/>
    <w:link w:val="FooterChar"/>
    <w:unhideWhenUsed/>
    <w:rsid w:val="00CC52A1"/>
    <w:pPr>
      <w:tabs>
        <w:tab w:val="center" w:pos="4513"/>
        <w:tab w:val="right" w:pos="9026"/>
      </w:tabs>
      <w:spacing w:after="0"/>
    </w:pPr>
  </w:style>
  <w:style w:type="character" w:customStyle="1" w:styleId="FooterChar">
    <w:name w:val="Footer Char"/>
    <w:basedOn w:val="DefaultParagraphFont"/>
    <w:link w:val="Footer"/>
    <w:rsid w:val="00CC52A1"/>
  </w:style>
  <w:style w:type="character" w:customStyle="1" w:styleId="ParagraphChar">
    <w:name w:val="Paragraph Char"/>
    <w:link w:val="Paragraph"/>
    <w:locked/>
    <w:rsid w:val="00CC52A1"/>
    <w:rPr>
      <w:rFonts w:ascii="MS Mincho" w:eastAsia="MS Mincho" w:hAnsi="MS Mincho"/>
      <w:sz w:val="24"/>
      <w:szCs w:val="24"/>
      <w:lang w:val="en-US" w:eastAsia="ja-JP"/>
    </w:rPr>
  </w:style>
  <w:style w:type="paragraph" w:customStyle="1" w:styleId="Paragraph">
    <w:name w:val="Paragraph"/>
    <w:link w:val="ParagraphChar"/>
    <w:rsid w:val="00CC52A1"/>
    <w:pPr>
      <w:spacing w:after="240" w:line="360" w:lineRule="exact"/>
    </w:pPr>
    <w:rPr>
      <w:rFonts w:ascii="MS Mincho" w:eastAsia="MS Mincho" w:hAnsi="MS Mincho"/>
      <w:sz w:val="24"/>
      <w:szCs w:val="24"/>
      <w:lang w:val="en-US" w:eastAsia="ja-JP"/>
    </w:rPr>
  </w:style>
  <w:style w:type="character" w:styleId="PageNumber">
    <w:name w:val="page number"/>
    <w:basedOn w:val="DefaultParagraphFont"/>
    <w:semiHidden/>
    <w:unhideWhenUsed/>
    <w:rsid w:val="00CC52A1"/>
  </w:style>
  <w:style w:type="character" w:styleId="CommentReference">
    <w:name w:val="annotation reference"/>
    <w:basedOn w:val="DefaultParagraphFont"/>
    <w:uiPriority w:val="99"/>
    <w:semiHidden/>
    <w:unhideWhenUsed/>
    <w:rsid w:val="007D622E"/>
    <w:rPr>
      <w:sz w:val="16"/>
      <w:szCs w:val="16"/>
    </w:rPr>
  </w:style>
  <w:style w:type="paragraph" w:styleId="CommentText">
    <w:name w:val="annotation text"/>
    <w:basedOn w:val="Normal"/>
    <w:link w:val="CommentTextChar"/>
    <w:uiPriority w:val="99"/>
    <w:unhideWhenUsed/>
    <w:rsid w:val="007D622E"/>
    <w:rPr>
      <w:sz w:val="20"/>
      <w:szCs w:val="20"/>
    </w:rPr>
  </w:style>
  <w:style w:type="character" w:customStyle="1" w:styleId="CommentTextChar">
    <w:name w:val="Comment Text Char"/>
    <w:basedOn w:val="DefaultParagraphFont"/>
    <w:link w:val="CommentText"/>
    <w:uiPriority w:val="99"/>
    <w:rsid w:val="007D622E"/>
    <w:rPr>
      <w:sz w:val="20"/>
      <w:szCs w:val="20"/>
    </w:rPr>
  </w:style>
  <w:style w:type="paragraph" w:styleId="CommentSubject">
    <w:name w:val="annotation subject"/>
    <w:basedOn w:val="CommentText"/>
    <w:next w:val="CommentText"/>
    <w:link w:val="CommentSubjectChar"/>
    <w:uiPriority w:val="99"/>
    <w:semiHidden/>
    <w:unhideWhenUsed/>
    <w:rsid w:val="007D622E"/>
    <w:rPr>
      <w:b/>
      <w:bCs/>
    </w:rPr>
  </w:style>
  <w:style w:type="character" w:customStyle="1" w:styleId="CommentSubjectChar">
    <w:name w:val="Comment Subject Char"/>
    <w:basedOn w:val="CommentTextChar"/>
    <w:link w:val="CommentSubject"/>
    <w:uiPriority w:val="99"/>
    <w:semiHidden/>
    <w:rsid w:val="007D622E"/>
    <w:rPr>
      <w:b/>
      <w:bCs/>
      <w:sz w:val="20"/>
      <w:szCs w:val="20"/>
    </w:rPr>
  </w:style>
  <w:style w:type="paragraph" w:styleId="Revision">
    <w:name w:val="Revision"/>
    <w:hidden/>
    <w:uiPriority w:val="99"/>
    <w:semiHidden/>
    <w:rsid w:val="00FB2B7A"/>
    <w:pPr>
      <w:spacing w:after="0" w:line="240" w:lineRule="auto"/>
    </w:pPr>
  </w:style>
  <w:style w:type="character" w:customStyle="1" w:styleId="Heading3Char">
    <w:name w:val="Heading 3 Char"/>
    <w:basedOn w:val="DefaultParagraphFont"/>
    <w:link w:val="Heading3"/>
    <w:uiPriority w:val="9"/>
    <w:rsid w:val="004F7818"/>
    <w:rPr>
      <w:rFonts w:ascii="Arial" w:eastAsia="Times New Roman" w:hAnsi="Arial" w:cs="Arial"/>
      <w:szCs w:val="20"/>
      <w:u w:val="single"/>
      <w:lang w:val="en-GB"/>
    </w:rPr>
  </w:style>
  <w:style w:type="character" w:styleId="Hyperlink">
    <w:name w:val="Hyperlink"/>
    <w:basedOn w:val="DefaultParagraphFont"/>
    <w:uiPriority w:val="99"/>
    <w:unhideWhenUsed/>
    <w:rsid w:val="001950DB"/>
    <w:rPr>
      <w:color w:val="0000FF" w:themeColor="hyperlink"/>
      <w:u w:val="single"/>
    </w:rPr>
  </w:style>
  <w:style w:type="character" w:customStyle="1" w:styleId="Heading4Char">
    <w:name w:val="Heading 4 Char"/>
    <w:basedOn w:val="DefaultParagraphFont"/>
    <w:link w:val="Heading4"/>
    <w:uiPriority w:val="9"/>
    <w:rsid w:val="00450B1A"/>
    <w:rPr>
      <w:rFonts w:ascii="Arial" w:hAnsi="Arial" w:cs="Arial"/>
      <w:i/>
      <w:lang w:val="en-GB"/>
    </w:rPr>
  </w:style>
  <w:style w:type="paragraph" w:styleId="Caption">
    <w:name w:val="caption"/>
    <w:basedOn w:val="Normal"/>
    <w:next w:val="Normal"/>
    <w:uiPriority w:val="35"/>
    <w:unhideWhenUsed/>
    <w:qFormat/>
    <w:rsid w:val="00202F95"/>
    <w:pPr>
      <w:keepNext/>
    </w:pPr>
    <w:rPr>
      <w:b/>
      <w:bCs/>
      <w:sz w:val="20"/>
      <w:szCs w:val="18"/>
    </w:rPr>
  </w:style>
  <w:style w:type="paragraph" w:customStyle="1" w:styleId="Tabletext">
    <w:name w:val="Table text"/>
    <w:basedOn w:val="Normal"/>
    <w:qFormat/>
    <w:rsid w:val="00202F95"/>
    <w:pPr>
      <w:spacing w:before="20" w:after="20"/>
      <w:ind w:left="57"/>
    </w:pPr>
    <w:rPr>
      <w:rFonts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541">
      <w:bodyDiv w:val="1"/>
      <w:marLeft w:val="0"/>
      <w:marRight w:val="0"/>
      <w:marTop w:val="0"/>
      <w:marBottom w:val="0"/>
      <w:divBdr>
        <w:top w:val="none" w:sz="0" w:space="0" w:color="auto"/>
        <w:left w:val="none" w:sz="0" w:space="0" w:color="auto"/>
        <w:bottom w:val="none" w:sz="0" w:space="0" w:color="auto"/>
        <w:right w:val="none" w:sz="0" w:space="0" w:color="auto"/>
      </w:divBdr>
    </w:div>
    <w:div w:id="30422270">
      <w:bodyDiv w:val="1"/>
      <w:marLeft w:val="0"/>
      <w:marRight w:val="0"/>
      <w:marTop w:val="0"/>
      <w:marBottom w:val="0"/>
      <w:divBdr>
        <w:top w:val="none" w:sz="0" w:space="0" w:color="auto"/>
        <w:left w:val="none" w:sz="0" w:space="0" w:color="auto"/>
        <w:bottom w:val="none" w:sz="0" w:space="0" w:color="auto"/>
        <w:right w:val="none" w:sz="0" w:space="0" w:color="auto"/>
      </w:divBdr>
    </w:div>
    <w:div w:id="47383990">
      <w:bodyDiv w:val="1"/>
      <w:marLeft w:val="0"/>
      <w:marRight w:val="0"/>
      <w:marTop w:val="0"/>
      <w:marBottom w:val="0"/>
      <w:divBdr>
        <w:top w:val="none" w:sz="0" w:space="0" w:color="auto"/>
        <w:left w:val="none" w:sz="0" w:space="0" w:color="auto"/>
        <w:bottom w:val="none" w:sz="0" w:space="0" w:color="auto"/>
        <w:right w:val="none" w:sz="0" w:space="0" w:color="auto"/>
      </w:divBdr>
    </w:div>
    <w:div w:id="86777687">
      <w:bodyDiv w:val="1"/>
      <w:marLeft w:val="0"/>
      <w:marRight w:val="0"/>
      <w:marTop w:val="0"/>
      <w:marBottom w:val="0"/>
      <w:divBdr>
        <w:top w:val="none" w:sz="0" w:space="0" w:color="auto"/>
        <w:left w:val="none" w:sz="0" w:space="0" w:color="auto"/>
        <w:bottom w:val="none" w:sz="0" w:space="0" w:color="auto"/>
        <w:right w:val="none" w:sz="0" w:space="0" w:color="auto"/>
      </w:divBdr>
    </w:div>
    <w:div w:id="92559495">
      <w:bodyDiv w:val="1"/>
      <w:marLeft w:val="0"/>
      <w:marRight w:val="0"/>
      <w:marTop w:val="0"/>
      <w:marBottom w:val="0"/>
      <w:divBdr>
        <w:top w:val="none" w:sz="0" w:space="0" w:color="auto"/>
        <w:left w:val="none" w:sz="0" w:space="0" w:color="auto"/>
        <w:bottom w:val="none" w:sz="0" w:space="0" w:color="auto"/>
        <w:right w:val="none" w:sz="0" w:space="0" w:color="auto"/>
      </w:divBdr>
    </w:div>
    <w:div w:id="100104920">
      <w:bodyDiv w:val="1"/>
      <w:marLeft w:val="0"/>
      <w:marRight w:val="0"/>
      <w:marTop w:val="0"/>
      <w:marBottom w:val="0"/>
      <w:divBdr>
        <w:top w:val="none" w:sz="0" w:space="0" w:color="auto"/>
        <w:left w:val="none" w:sz="0" w:space="0" w:color="auto"/>
        <w:bottom w:val="none" w:sz="0" w:space="0" w:color="auto"/>
        <w:right w:val="none" w:sz="0" w:space="0" w:color="auto"/>
      </w:divBdr>
    </w:div>
    <w:div w:id="102965516">
      <w:bodyDiv w:val="1"/>
      <w:marLeft w:val="0"/>
      <w:marRight w:val="0"/>
      <w:marTop w:val="0"/>
      <w:marBottom w:val="0"/>
      <w:divBdr>
        <w:top w:val="none" w:sz="0" w:space="0" w:color="auto"/>
        <w:left w:val="none" w:sz="0" w:space="0" w:color="auto"/>
        <w:bottom w:val="none" w:sz="0" w:space="0" w:color="auto"/>
        <w:right w:val="none" w:sz="0" w:space="0" w:color="auto"/>
      </w:divBdr>
    </w:div>
    <w:div w:id="150873549">
      <w:bodyDiv w:val="1"/>
      <w:marLeft w:val="0"/>
      <w:marRight w:val="0"/>
      <w:marTop w:val="0"/>
      <w:marBottom w:val="0"/>
      <w:divBdr>
        <w:top w:val="none" w:sz="0" w:space="0" w:color="auto"/>
        <w:left w:val="none" w:sz="0" w:space="0" w:color="auto"/>
        <w:bottom w:val="none" w:sz="0" w:space="0" w:color="auto"/>
        <w:right w:val="none" w:sz="0" w:space="0" w:color="auto"/>
      </w:divBdr>
    </w:div>
    <w:div w:id="187641307">
      <w:bodyDiv w:val="1"/>
      <w:marLeft w:val="0"/>
      <w:marRight w:val="0"/>
      <w:marTop w:val="0"/>
      <w:marBottom w:val="0"/>
      <w:divBdr>
        <w:top w:val="none" w:sz="0" w:space="0" w:color="auto"/>
        <w:left w:val="none" w:sz="0" w:space="0" w:color="auto"/>
        <w:bottom w:val="none" w:sz="0" w:space="0" w:color="auto"/>
        <w:right w:val="none" w:sz="0" w:space="0" w:color="auto"/>
      </w:divBdr>
    </w:div>
    <w:div w:id="190343975">
      <w:bodyDiv w:val="1"/>
      <w:marLeft w:val="0"/>
      <w:marRight w:val="0"/>
      <w:marTop w:val="0"/>
      <w:marBottom w:val="0"/>
      <w:divBdr>
        <w:top w:val="none" w:sz="0" w:space="0" w:color="auto"/>
        <w:left w:val="none" w:sz="0" w:space="0" w:color="auto"/>
        <w:bottom w:val="none" w:sz="0" w:space="0" w:color="auto"/>
        <w:right w:val="none" w:sz="0" w:space="0" w:color="auto"/>
      </w:divBdr>
    </w:div>
    <w:div w:id="211770386">
      <w:bodyDiv w:val="1"/>
      <w:marLeft w:val="0"/>
      <w:marRight w:val="0"/>
      <w:marTop w:val="0"/>
      <w:marBottom w:val="0"/>
      <w:divBdr>
        <w:top w:val="none" w:sz="0" w:space="0" w:color="auto"/>
        <w:left w:val="none" w:sz="0" w:space="0" w:color="auto"/>
        <w:bottom w:val="none" w:sz="0" w:space="0" w:color="auto"/>
        <w:right w:val="none" w:sz="0" w:space="0" w:color="auto"/>
      </w:divBdr>
    </w:div>
    <w:div w:id="252016178">
      <w:bodyDiv w:val="1"/>
      <w:marLeft w:val="0"/>
      <w:marRight w:val="0"/>
      <w:marTop w:val="0"/>
      <w:marBottom w:val="0"/>
      <w:divBdr>
        <w:top w:val="none" w:sz="0" w:space="0" w:color="auto"/>
        <w:left w:val="none" w:sz="0" w:space="0" w:color="auto"/>
        <w:bottom w:val="none" w:sz="0" w:space="0" w:color="auto"/>
        <w:right w:val="none" w:sz="0" w:space="0" w:color="auto"/>
      </w:divBdr>
    </w:div>
    <w:div w:id="267741194">
      <w:bodyDiv w:val="1"/>
      <w:marLeft w:val="0"/>
      <w:marRight w:val="0"/>
      <w:marTop w:val="0"/>
      <w:marBottom w:val="0"/>
      <w:divBdr>
        <w:top w:val="none" w:sz="0" w:space="0" w:color="auto"/>
        <w:left w:val="none" w:sz="0" w:space="0" w:color="auto"/>
        <w:bottom w:val="none" w:sz="0" w:space="0" w:color="auto"/>
        <w:right w:val="none" w:sz="0" w:space="0" w:color="auto"/>
      </w:divBdr>
    </w:div>
    <w:div w:id="280694122">
      <w:bodyDiv w:val="1"/>
      <w:marLeft w:val="0"/>
      <w:marRight w:val="0"/>
      <w:marTop w:val="0"/>
      <w:marBottom w:val="0"/>
      <w:divBdr>
        <w:top w:val="none" w:sz="0" w:space="0" w:color="auto"/>
        <w:left w:val="none" w:sz="0" w:space="0" w:color="auto"/>
        <w:bottom w:val="none" w:sz="0" w:space="0" w:color="auto"/>
        <w:right w:val="none" w:sz="0" w:space="0" w:color="auto"/>
      </w:divBdr>
    </w:div>
    <w:div w:id="297422994">
      <w:bodyDiv w:val="1"/>
      <w:marLeft w:val="0"/>
      <w:marRight w:val="0"/>
      <w:marTop w:val="0"/>
      <w:marBottom w:val="0"/>
      <w:divBdr>
        <w:top w:val="none" w:sz="0" w:space="0" w:color="auto"/>
        <w:left w:val="none" w:sz="0" w:space="0" w:color="auto"/>
        <w:bottom w:val="none" w:sz="0" w:space="0" w:color="auto"/>
        <w:right w:val="none" w:sz="0" w:space="0" w:color="auto"/>
      </w:divBdr>
    </w:div>
    <w:div w:id="335613448">
      <w:bodyDiv w:val="1"/>
      <w:marLeft w:val="0"/>
      <w:marRight w:val="0"/>
      <w:marTop w:val="0"/>
      <w:marBottom w:val="0"/>
      <w:divBdr>
        <w:top w:val="none" w:sz="0" w:space="0" w:color="auto"/>
        <w:left w:val="none" w:sz="0" w:space="0" w:color="auto"/>
        <w:bottom w:val="none" w:sz="0" w:space="0" w:color="auto"/>
        <w:right w:val="none" w:sz="0" w:space="0" w:color="auto"/>
      </w:divBdr>
    </w:div>
    <w:div w:id="349842414">
      <w:bodyDiv w:val="1"/>
      <w:marLeft w:val="0"/>
      <w:marRight w:val="0"/>
      <w:marTop w:val="0"/>
      <w:marBottom w:val="0"/>
      <w:divBdr>
        <w:top w:val="none" w:sz="0" w:space="0" w:color="auto"/>
        <w:left w:val="none" w:sz="0" w:space="0" w:color="auto"/>
        <w:bottom w:val="none" w:sz="0" w:space="0" w:color="auto"/>
        <w:right w:val="none" w:sz="0" w:space="0" w:color="auto"/>
      </w:divBdr>
    </w:div>
    <w:div w:id="371467647">
      <w:bodyDiv w:val="1"/>
      <w:marLeft w:val="0"/>
      <w:marRight w:val="0"/>
      <w:marTop w:val="0"/>
      <w:marBottom w:val="0"/>
      <w:divBdr>
        <w:top w:val="none" w:sz="0" w:space="0" w:color="auto"/>
        <w:left w:val="none" w:sz="0" w:space="0" w:color="auto"/>
        <w:bottom w:val="none" w:sz="0" w:space="0" w:color="auto"/>
        <w:right w:val="none" w:sz="0" w:space="0" w:color="auto"/>
      </w:divBdr>
    </w:div>
    <w:div w:id="399059682">
      <w:bodyDiv w:val="1"/>
      <w:marLeft w:val="0"/>
      <w:marRight w:val="0"/>
      <w:marTop w:val="0"/>
      <w:marBottom w:val="0"/>
      <w:divBdr>
        <w:top w:val="none" w:sz="0" w:space="0" w:color="auto"/>
        <w:left w:val="none" w:sz="0" w:space="0" w:color="auto"/>
        <w:bottom w:val="none" w:sz="0" w:space="0" w:color="auto"/>
        <w:right w:val="none" w:sz="0" w:space="0" w:color="auto"/>
      </w:divBdr>
    </w:div>
    <w:div w:id="401104523">
      <w:bodyDiv w:val="1"/>
      <w:marLeft w:val="0"/>
      <w:marRight w:val="0"/>
      <w:marTop w:val="0"/>
      <w:marBottom w:val="0"/>
      <w:divBdr>
        <w:top w:val="none" w:sz="0" w:space="0" w:color="auto"/>
        <w:left w:val="none" w:sz="0" w:space="0" w:color="auto"/>
        <w:bottom w:val="none" w:sz="0" w:space="0" w:color="auto"/>
        <w:right w:val="none" w:sz="0" w:space="0" w:color="auto"/>
      </w:divBdr>
    </w:div>
    <w:div w:id="401564428">
      <w:bodyDiv w:val="1"/>
      <w:marLeft w:val="0"/>
      <w:marRight w:val="0"/>
      <w:marTop w:val="0"/>
      <w:marBottom w:val="0"/>
      <w:divBdr>
        <w:top w:val="none" w:sz="0" w:space="0" w:color="auto"/>
        <w:left w:val="none" w:sz="0" w:space="0" w:color="auto"/>
        <w:bottom w:val="none" w:sz="0" w:space="0" w:color="auto"/>
        <w:right w:val="none" w:sz="0" w:space="0" w:color="auto"/>
      </w:divBdr>
    </w:div>
    <w:div w:id="414980783">
      <w:bodyDiv w:val="1"/>
      <w:marLeft w:val="0"/>
      <w:marRight w:val="0"/>
      <w:marTop w:val="0"/>
      <w:marBottom w:val="0"/>
      <w:divBdr>
        <w:top w:val="none" w:sz="0" w:space="0" w:color="auto"/>
        <w:left w:val="none" w:sz="0" w:space="0" w:color="auto"/>
        <w:bottom w:val="none" w:sz="0" w:space="0" w:color="auto"/>
        <w:right w:val="none" w:sz="0" w:space="0" w:color="auto"/>
      </w:divBdr>
    </w:div>
    <w:div w:id="415903397">
      <w:bodyDiv w:val="1"/>
      <w:marLeft w:val="0"/>
      <w:marRight w:val="0"/>
      <w:marTop w:val="0"/>
      <w:marBottom w:val="0"/>
      <w:divBdr>
        <w:top w:val="none" w:sz="0" w:space="0" w:color="auto"/>
        <w:left w:val="none" w:sz="0" w:space="0" w:color="auto"/>
        <w:bottom w:val="none" w:sz="0" w:space="0" w:color="auto"/>
        <w:right w:val="none" w:sz="0" w:space="0" w:color="auto"/>
      </w:divBdr>
    </w:div>
    <w:div w:id="448665027">
      <w:bodyDiv w:val="1"/>
      <w:marLeft w:val="0"/>
      <w:marRight w:val="0"/>
      <w:marTop w:val="0"/>
      <w:marBottom w:val="0"/>
      <w:divBdr>
        <w:top w:val="none" w:sz="0" w:space="0" w:color="auto"/>
        <w:left w:val="none" w:sz="0" w:space="0" w:color="auto"/>
        <w:bottom w:val="none" w:sz="0" w:space="0" w:color="auto"/>
        <w:right w:val="none" w:sz="0" w:space="0" w:color="auto"/>
      </w:divBdr>
    </w:div>
    <w:div w:id="487015000">
      <w:bodyDiv w:val="1"/>
      <w:marLeft w:val="0"/>
      <w:marRight w:val="0"/>
      <w:marTop w:val="0"/>
      <w:marBottom w:val="0"/>
      <w:divBdr>
        <w:top w:val="none" w:sz="0" w:space="0" w:color="auto"/>
        <w:left w:val="none" w:sz="0" w:space="0" w:color="auto"/>
        <w:bottom w:val="none" w:sz="0" w:space="0" w:color="auto"/>
        <w:right w:val="none" w:sz="0" w:space="0" w:color="auto"/>
      </w:divBdr>
    </w:div>
    <w:div w:id="536813766">
      <w:bodyDiv w:val="1"/>
      <w:marLeft w:val="0"/>
      <w:marRight w:val="0"/>
      <w:marTop w:val="0"/>
      <w:marBottom w:val="0"/>
      <w:divBdr>
        <w:top w:val="none" w:sz="0" w:space="0" w:color="auto"/>
        <w:left w:val="none" w:sz="0" w:space="0" w:color="auto"/>
        <w:bottom w:val="none" w:sz="0" w:space="0" w:color="auto"/>
        <w:right w:val="none" w:sz="0" w:space="0" w:color="auto"/>
      </w:divBdr>
    </w:div>
    <w:div w:id="540283597">
      <w:bodyDiv w:val="1"/>
      <w:marLeft w:val="0"/>
      <w:marRight w:val="0"/>
      <w:marTop w:val="0"/>
      <w:marBottom w:val="0"/>
      <w:divBdr>
        <w:top w:val="none" w:sz="0" w:space="0" w:color="auto"/>
        <w:left w:val="none" w:sz="0" w:space="0" w:color="auto"/>
        <w:bottom w:val="none" w:sz="0" w:space="0" w:color="auto"/>
        <w:right w:val="none" w:sz="0" w:space="0" w:color="auto"/>
      </w:divBdr>
    </w:div>
    <w:div w:id="551577667">
      <w:bodyDiv w:val="1"/>
      <w:marLeft w:val="0"/>
      <w:marRight w:val="0"/>
      <w:marTop w:val="0"/>
      <w:marBottom w:val="0"/>
      <w:divBdr>
        <w:top w:val="none" w:sz="0" w:space="0" w:color="auto"/>
        <w:left w:val="none" w:sz="0" w:space="0" w:color="auto"/>
        <w:bottom w:val="none" w:sz="0" w:space="0" w:color="auto"/>
        <w:right w:val="none" w:sz="0" w:space="0" w:color="auto"/>
      </w:divBdr>
    </w:div>
    <w:div w:id="557977458">
      <w:bodyDiv w:val="1"/>
      <w:marLeft w:val="0"/>
      <w:marRight w:val="0"/>
      <w:marTop w:val="0"/>
      <w:marBottom w:val="0"/>
      <w:divBdr>
        <w:top w:val="none" w:sz="0" w:space="0" w:color="auto"/>
        <w:left w:val="none" w:sz="0" w:space="0" w:color="auto"/>
        <w:bottom w:val="none" w:sz="0" w:space="0" w:color="auto"/>
        <w:right w:val="none" w:sz="0" w:space="0" w:color="auto"/>
      </w:divBdr>
    </w:div>
    <w:div w:id="565460457">
      <w:bodyDiv w:val="1"/>
      <w:marLeft w:val="0"/>
      <w:marRight w:val="0"/>
      <w:marTop w:val="0"/>
      <w:marBottom w:val="0"/>
      <w:divBdr>
        <w:top w:val="none" w:sz="0" w:space="0" w:color="auto"/>
        <w:left w:val="none" w:sz="0" w:space="0" w:color="auto"/>
        <w:bottom w:val="none" w:sz="0" w:space="0" w:color="auto"/>
        <w:right w:val="none" w:sz="0" w:space="0" w:color="auto"/>
      </w:divBdr>
    </w:div>
    <w:div w:id="576598852">
      <w:bodyDiv w:val="1"/>
      <w:marLeft w:val="0"/>
      <w:marRight w:val="0"/>
      <w:marTop w:val="0"/>
      <w:marBottom w:val="0"/>
      <w:divBdr>
        <w:top w:val="none" w:sz="0" w:space="0" w:color="auto"/>
        <w:left w:val="none" w:sz="0" w:space="0" w:color="auto"/>
        <w:bottom w:val="none" w:sz="0" w:space="0" w:color="auto"/>
        <w:right w:val="none" w:sz="0" w:space="0" w:color="auto"/>
      </w:divBdr>
    </w:div>
    <w:div w:id="586766004">
      <w:bodyDiv w:val="1"/>
      <w:marLeft w:val="0"/>
      <w:marRight w:val="0"/>
      <w:marTop w:val="0"/>
      <w:marBottom w:val="0"/>
      <w:divBdr>
        <w:top w:val="none" w:sz="0" w:space="0" w:color="auto"/>
        <w:left w:val="none" w:sz="0" w:space="0" w:color="auto"/>
        <w:bottom w:val="none" w:sz="0" w:space="0" w:color="auto"/>
        <w:right w:val="none" w:sz="0" w:space="0" w:color="auto"/>
      </w:divBdr>
    </w:div>
    <w:div w:id="590164955">
      <w:bodyDiv w:val="1"/>
      <w:marLeft w:val="0"/>
      <w:marRight w:val="0"/>
      <w:marTop w:val="0"/>
      <w:marBottom w:val="0"/>
      <w:divBdr>
        <w:top w:val="none" w:sz="0" w:space="0" w:color="auto"/>
        <w:left w:val="none" w:sz="0" w:space="0" w:color="auto"/>
        <w:bottom w:val="none" w:sz="0" w:space="0" w:color="auto"/>
        <w:right w:val="none" w:sz="0" w:space="0" w:color="auto"/>
      </w:divBdr>
    </w:div>
    <w:div w:id="594675793">
      <w:bodyDiv w:val="1"/>
      <w:marLeft w:val="0"/>
      <w:marRight w:val="0"/>
      <w:marTop w:val="0"/>
      <w:marBottom w:val="0"/>
      <w:divBdr>
        <w:top w:val="none" w:sz="0" w:space="0" w:color="auto"/>
        <w:left w:val="none" w:sz="0" w:space="0" w:color="auto"/>
        <w:bottom w:val="none" w:sz="0" w:space="0" w:color="auto"/>
        <w:right w:val="none" w:sz="0" w:space="0" w:color="auto"/>
      </w:divBdr>
    </w:div>
    <w:div w:id="623583417">
      <w:bodyDiv w:val="1"/>
      <w:marLeft w:val="0"/>
      <w:marRight w:val="0"/>
      <w:marTop w:val="0"/>
      <w:marBottom w:val="0"/>
      <w:divBdr>
        <w:top w:val="none" w:sz="0" w:space="0" w:color="auto"/>
        <w:left w:val="none" w:sz="0" w:space="0" w:color="auto"/>
        <w:bottom w:val="none" w:sz="0" w:space="0" w:color="auto"/>
        <w:right w:val="none" w:sz="0" w:space="0" w:color="auto"/>
      </w:divBdr>
    </w:div>
    <w:div w:id="669599084">
      <w:bodyDiv w:val="1"/>
      <w:marLeft w:val="0"/>
      <w:marRight w:val="0"/>
      <w:marTop w:val="0"/>
      <w:marBottom w:val="0"/>
      <w:divBdr>
        <w:top w:val="none" w:sz="0" w:space="0" w:color="auto"/>
        <w:left w:val="none" w:sz="0" w:space="0" w:color="auto"/>
        <w:bottom w:val="none" w:sz="0" w:space="0" w:color="auto"/>
        <w:right w:val="none" w:sz="0" w:space="0" w:color="auto"/>
      </w:divBdr>
    </w:div>
    <w:div w:id="738748336">
      <w:bodyDiv w:val="1"/>
      <w:marLeft w:val="0"/>
      <w:marRight w:val="0"/>
      <w:marTop w:val="0"/>
      <w:marBottom w:val="0"/>
      <w:divBdr>
        <w:top w:val="none" w:sz="0" w:space="0" w:color="auto"/>
        <w:left w:val="none" w:sz="0" w:space="0" w:color="auto"/>
        <w:bottom w:val="none" w:sz="0" w:space="0" w:color="auto"/>
        <w:right w:val="none" w:sz="0" w:space="0" w:color="auto"/>
      </w:divBdr>
    </w:div>
    <w:div w:id="751780252">
      <w:bodyDiv w:val="1"/>
      <w:marLeft w:val="0"/>
      <w:marRight w:val="0"/>
      <w:marTop w:val="0"/>
      <w:marBottom w:val="0"/>
      <w:divBdr>
        <w:top w:val="none" w:sz="0" w:space="0" w:color="auto"/>
        <w:left w:val="none" w:sz="0" w:space="0" w:color="auto"/>
        <w:bottom w:val="none" w:sz="0" w:space="0" w:color="auto"/>
        <w:right w:val="none" w:sz="0" w:space="0" w:color="auto"/>
      </w:divBdr>
    </w:div>
    <w:div w:id="762144804">
      <w:bodyDiv w:val="1"/>
      <w:marLeft w:val="0"/>
      <w:marRight w:val="0"/>
      <w:marTop w:val="0"/>
      <w:marBottom w:val="0"/>
      <w:divBdr>
        <w:top w:val="none" w:sz="0" w:space="0" w:color="auto"/>
        <w:left w:val="none" w:sz="0" w:space="0" w:color="auto"/>
        <w:bottom w:val="none" w:sz="0" w:space="0" w:color="auto"/>
        <w:right w:val="none" w:sz="0" w:space="0" w:color="auto"/>
      </w:divBdr>
    </w:div>
    <w:div w:id="768157697">
      <w:bodyDiv w:val="1"/>
      <w:marLeft w:val="0"/>
      <w:marRight w:val="0"/>
      <w:marTop w:val="0"/>
      <w:marBottom w:val="0"/>
      <w:divBdr>
        <w:top w:val="none" w:sz="0" w:space="0" w:color="auto"/>
        <w:left w:val="none" w:sz="0" w:space="0" w:color="auto"/>
        <w:bottom w:val="none" w:sz="0" w:space="0" w:color="auto"/>
        <w:right w:val="none" w:sz="0" w:space="0" w:color="auto"/>
      </w:divBdr>
    </w:div>
    <w:div w:id="858545119">
      <w:bodyDiv w:val="1"/>
      <w:marLeft w:val="0"/>
      <w:marRight w:val="0"/>
      <w:marTop w:val="0"/>
      <w:marBottom w:val="0"/>
      <w:divBdr>
        <w:top w:val="none" w:sz="0" w:space="0" w:color="auto"/>
        <w:left w:val="none" w:sz="0" w:space="0" w:color="auto"/>
        <w:bottom w:val="none" w:sz="0" w:space="0" w:color="auto"/>
        <w:right w:val="none" w:sz="0" w:space="0" w:color="auto"/>
      </w:divBdr>
    </w:div>
    <w:div w:id="902302112">
      <w:bodyDiv w:val="1"/>
      <w:marLeft w:val="0"/>
      <w:marRight w:val="0"/>
      <w:marTop w:val="0"/>
      <w:marBottom w:val="0"/>
      <w:divBdr>
        <w:top w:val="none" w:sz="0" w:space="0" w:color="auto"/>
        <w:left w:val="none" w:sz="0" w:space="0" w:color="auto"/>
        <w:bottom w:val="none" w:sz="0" w:space="0" w:color="auto"/>
        <w:right w:val="none" w:sz="0" w:space="0" w:color="auto"/>
      </w:divBdr>
    </w:div>
    <w:div w:id="937056896">
      <w:bodyDiv w:val="1"/>
      <w:marLeft w:val="0"/>
      <w:marRight w:val="0"/>
      <w:marTop w:val="0"/>
      <w:marBottom w:val="0"/>
      <w:divBdr>
        <w:top w:val="none" w:sz="0" w:space="0" w:color="auto"/>
        <w:left w:val="none" w:sz="0" w:space="0" w:color="auto"/>
        <w:bottom w:val="none" w:sz="0" w:space="0" w:color="auto"/>
        <w:right w:val="none" w:sz="0" w:space="0" w:color="auto"/>
      </w:divBdr>
    </w:div>
    <w:div w:id="945694753">
      <w:bodyDiv w:val="1"/>
      <w:marLeft w:val="0"/>
      <w:marRight w:val="0"/>
      <w:marTop w:val="0"/>
      <w:marBottom w:val="0"/>
      <w:divBdr>
        <w:top w:val="none" w:sz="0" w:space="0" w:color="auto"/>
        <w:left w:val="none" w:sz="0" w:space="0" w:color="auto"/>
        <w:bottom w:val="none" w:sz="0" w:space="0" w:color="auto"/>
        <w:right w:val="none" w:sz="0" w:space="0" w:color="auto"/>
      </w:divBdr>
    </w:div>
    <w:div w:id="952173366">
      <w:bodyDiv w:val="1"/>
      <w:marLeft w:val="0"/>
      <w:marRight w:val="0"/>
      <w:marTop w:val="0"/>
      <w:marBottom w:val="0"/>
      <w:divBdr>
        <w:top w:val="none" w:sz="0" w:space="0" w:color="auto"/>
        <w:left w:val="none" w:sz="0" w:space="0" w:color="auto"/>
        <w:bottom w:val="none" w:sz="0" w:space="0" w:color="auto"/>
        <w:right w:val="none" w:sz="0" w:space="0" w:color="auto"/>
      </w:divBdr>
    </w:div>
    <w:div w:id="955209388">
      <w:bodyDiv w:val="1"/>
      <w:marLeft w:val="0"/>
      <w:marRight w:val="0"/>
      <w:marTop w:val="0"/>
      <w:marBottom w:val="0"/>
      <w:divBdr>
        <w:top w:val="none" w:sz="0" w:space="0" w:color="auto"/>
        <w:left w:val="none" w:sz="0" w:space="0" w:color="auto"/>
        <w:bottom w:val="none" w:sz="0" w:space="0" w:color="auto"/>
        <w:right w:val="none" w:sz="0" w:space="0" w:color="auto"/>
      </w:divBdr>
    </w:div>
    <w:div w:id="1012150163">
      <w:bodyDiv w:val="1"/>
      <w:marLeft w:val="0"/>
      <w:marRight w:val="0"/>
      <w:marTop w:val="0"/>
      <w:marBottom w:val="0"/>
      <w:divBdr>
        <w:top w:val="none" w:sz="0" w:space="0" w:color="auto"/>
        <w:left w:val="none" w:sz="0" w:space="0" w:color="auto"/>
        <w:bottom w:val="none" w:sz="0" w:space="0" w:color="auto"/>
        <w:right w:val="none" w:sz="0" w:space="0" w:color="auto"/>
      </w:divBdr>
    </w:div>
    <w:div w:id="1033462286">
      <w:bodyDiv w:val="1"/>
      <w:marLeft w:val="0"/>
      <w:marRight w:val="0"/>
      <w:marTop w:val="0"/>
      <w:marBottom w:val="0"/>
      <w:divBdr>
        <w:top w:val="none" w:sz="0" w:space="0" w:color="auto"/>
        <w:left w:val="none" w:sz="0" w:space="0" w:color="auto"/>
        <w:bottom w:val="none" w:sz="0" w:space="0" w:color="auto"/>
        <w:right w:val="none" w:sz="0" w:space="0" w:color="auto"/>
      </w:divBdr>
    </w:div>
    <w:div w:id="1037048871">
      <w:bodyDiv w:val="1"/>
      <w:marLeft w:val="0"/>
      <w:marRight w:val="0"/>
      <w:marTop w:val="0"/>
      <w:marBottom w:val="0"/>
      <w:divBdr>
        <w:top w:val="none" w:sz="0" w:space="0" w:color="auto"/>
        <w:left w:val="none" w:sz="0" w:space="0" w:color="auto"/>
        <w:bottom w:val="none" w:sz="0" w:space="0" w:color="auto"/>
        <w:right w:val="none" w:sz="0" w:space="0" w:color="auto"/>
      </w:divBdr>
    </w:div>
    <w:div w:id="1038241366">
      <w:bodyDiv w:val="1"/>
      <w:marLeft w:val="0"/>
      <w:marRight w:val="0"/>
      <w:marTop w:val="0"/>
      <w:marBottom w:val="0"/>
      <w:divBdr>
        <w:top w:val="none" w:sz="0" w:space="0" w:color="auto"/>
        <w:left w:val="none" w:sz="0" w:space="0" w:color="auto"/>
        <w:bottom w:val="none" w:sz="0" w:space="0" w:color="auto"/>
        <w:right w:val="none" w:sz="0" w:space="0" w:color="auto"/>
      </w:divBdr>
    </w:div>
    <w:div w:id="1080373877">
      <w:bodyDiv w:val="1"/>
      <w:marLeft w:val="0"/>
      <w:marRight w:val="0"/>
      <w:marTop w:val="0"/>
      <w:marBottom w:val="0"/>
      <w:divBdr>
        <w:top w:val="none" w:sz="0" w:space="0" w:color="auto"/>
        <w:left w:val="none" w:sz="0" w:space="0" w:color="auto"/>
        <w:bottom w:val="none" w:sz="0" w:space="0" w:color="auto"/>
        <w:right w:val="none" w:sz="0" w:space="0" w:color="auto"/>
      </w:divBdr>
    </w:div>
    <w:div w:id="1123230047">
      <w:bodyDiv w:val="1"/>
      <w:marLeft w:val="0"/>
      <w:marRight w:val="0"/>
      <w:marTop w:val="0"/>
      <w:marBottom w:val="0"/>
      <w:divBdr>
        <w:top w:val="none" w:sz="0" w:space="0" w:color="auto"/>
        <w:left w:val="none" w:sz="0" w:space="0" w:color="auto"/>
        <w:bottom w:val="none" w:sz="0" w:space="0" w:color="auto"/>
        <w:right w:val="none" w:sz="0" w:space="0" w:color="auto"/>
      </w:divBdr>
    </w:div>
    <w:div w:id="1131705216">
      <w:bodyDiv w:val="1"/>
      <w:marLeft w:val="0"/>
      <w:marRight w:val="0"/>
      <w:marTop w:val="0"/>
      <w:marBottom w:val="0"/>
      <w:divBdr>
        <w:top w:val="none" w:sz="0" w:space="0" w:color="auto"/>
        <w:left w:val="none" w:sz="0" w:space="0" w:color="auto"/>
        <w:bottom w:val="none" w:sz="0" w:space="0" w:color="auto"/>
        <w:right w:val="none" w:sz="0" w:space="0" w:color="auto"/>
      </w:divBdr>
    </w:div>
    <w:div w:id="1153907078">
      <w:bodyDiv w:val="1"/>
      <w:marLeft w:val="0"/>
      <w:marRight w:val="0"/>
      <w:marTop w:val="0"/>
      <w:marBottom w:val="0"/>
      <w:divBdr>
        <w:top w:val="none" w:sz="0" w:space="0" w:color="auto"/>
        <w:left w:val="none" w:sz="0" w:space="0" w:color="auto"/>
        <w:bottom w:val="none" w:sz="0" w:space="0" w:color="auto"/>
        <w:right w:val="none" w:sz="0" w:space="0" w:color="auto"/>
      </w:divBdr>
    </w:div>
    <w:div w:id="1173304410">
      <w:bodyDiv w:val="1"/>
      <w:marLeft w:val="0"/>
      <w:marRight w:val="0"/>
      <w:marTop w:val="0"/>
      <w:marBottom w:val="0"/>
      <w:divBdr>
        <w:top w:val="none" w:sz="0" w:space="0" w:color="auto"/>
        <w:left w:val="none" w:sz="0" w:space="0" w:color="auto"/>
        <w:bottom w:val="none" w:sz="0" w:space="0" w:color="auto"/>
        <w:right w:val="none" w:sz="0" w:space="0" w:color="auto"/>
      </w:divBdr>
    </w:div>
    <w:div w:id="1223711737">
      <w:bodyDiv w:val="1"/>
      <w:marLeft w:val="0"/>
      <w:marRight w:val="0"/>
      <w:marTop w:val="0"/>
      <w:marBottom w:val="0"/>
      <w:divBdr>
        <w:top w:val="none" w:sz="0" w:space="0" w:color="auto"/>
        <w:left w:val="none" w:sz="0" w:space="0" w:color="auto"/>
        <w:bottom w:val="none" w:sz="0" w:space="0" w:color="auto"/>
        <w:right w:val="none" w:sz="0" w:space="0" w:color="auto"/>
      </w:divBdr>
    </w:div>
    <w:div w:id="1245650062">
      <w:bodyDiv w:val="1"/>
      <w:marLeft w:val="0"/>
      <w:marRight w:val="0"/>
      <w:marTop w:val="0"/>
      <w:marBottom w:val="0"/>
      <w:divBdr>
        <w:top w:val="none" w:sz="0" w:space="0" w:color="auto"/>
        <w:left w:val="none" w:sz="0" w:space="0" w:color="auto"/>
        <w:bottom w:val="none" w:sz="0" w:space="0" w:color="auto"/>
        <w:right w:val="none" w:sz="0" w:space="0" w:color="auto"/>
      </w:divBdr>
    </w:div>
    <w:div w:id="1267469364">
      <w:bodyDiv w:val="1"/>
      <w:marLeft w:val="0"/>
      <w:marRight w:val="0"/>
      <w:marTop w:val="0"/>
      <w:marBottom w:val="0"/>
      <w:divBdr>
        <w:top w:val="none" w:sz="0" w:space="0" w:color="auto"/>
        <w:left w:val="none" w:sz="0" w:space="0" w:color="auto"/>
        <w:bottom w:val="none" w:sz="0" w:space="0" w:color="auto"/>
        <w:right w:val="none" w:sz="0" w:space="0" w:color="auto"/>
      </w:divBdr>
    </w:div>
    <w:div w:id="1328049183">
      <w:bodyDiv w:val="1"/>
      <w:marLeft w:val="0"/>
      <w:marRight w:val="0"/>
      <w:marTop w:val="0"/>
      <w:marBottom w:val="0"/>
      <w:divBdr>
        <w:top w:val="none" w:sz="0" w:space="0" w:color="auto"/>
        <w:left w:val="none" w:sz="0" w:space="0" w:color="auto"/>
        <w:bottom w:val="none" w:sz="0" w:space="0" w:color="auto"/>
        <w:right w:val="none" w:sz="0" w:space="0" w:color="auto"/>
      </w:divBdr>
    </w:div>
    <w:div w:id="1330601484">
      <w:bodyDiv w:val="1"/>
      <w:marLeft w:val="0"/>
      <w:marRight w:val="0"/>
      <w:marTop w:val="0"/>
      <w:marBottom w:val="0"/>
      <w:divBdr>
        <w:top w:val="none" w:sz="0" w:space="0" w:color="auto"/>
        <w:left w:val="none" w:sz="0" w:space="0" w:color="auto"/>
        <w:bottom w:val="none" w:sz="0" w:space="0" w:color="auto"/>
        <w:right w:val="none" w:sz="0" w:space="0" w:color="auto"/>
      </w:divBdr>
    </w:div>
    <w:div w:id="1333801150">
      <w:bodyDiv w:val="1"/>
      <w:marLeft w:val="0"/>
      <w:marRight w:val="0"/>
      <w:marTop w:val="0"/>
      <w:marBottom w:val="0"/>
      <w:divBdr>
        <w:top w:val="none" w:sz="0" w:space="0" w:color="auto"/>
        <w:left w:val="none" w:sz="0" w:space="0" w:color="auto"/>
        <w:bottom w:val="none" w:sz="0" w:space="0" w:color="auto"/>
        <w:right w:val="none" w:sz="0" w:space="0" w:color="auto"/>
      </w:divBdr>
    </w:div>
    <w:div w:id="1346400051">
      <w:bodyDiv w:val="1"/>
      <w:marLeft w:val="0"/>
      <w:marRight w:val="0"/>
      <w:marTop w:val="0"/>
      <w:marBottom w:val="0"/>
      <w:divBdr>
        <w:top w:val="none" w:sz="0" w:space="0" w:color="auto"/>
        <w:left w:val="none" w:sz="0" w:space="0" w:color="auto"/>
        <w:bottom w:val="none" w:sz="0" w:space="0" w:color="auto"/>
        <w:right w:val="none" w:sz="0" w:space="0" w:color="auto"/>
      </w:divBdr>
    </w:div>
    <w:div w:id="1380670933">
      <w:bodyDiv w:val="1"/>
      <w:marLeft w:val="0"/>
      <w:marRight w:val="0"/>
      <w:marTop w:val="0"/>
      <w:marBottom w:val="0"/>
      <w:divBdr>
        <w:top w:val="none" w:sz="0" w:space="0" w:color="auto"/>
        <w:left w:val="none" w:sz="0" w:space="0" w:color="auto"/>
        <w:bottom w:val="none" w:sz="0" w:space="0" w:color="auto"/>
        <w:right w:val="none" w:sz="0" w:space="0" w:color="auto"/>
      </w:divBdr>
    </w:div>
    <w:div w:id="1385061731">
      <w:bodyDiv w:val="1"/>
      <w:marLeft w:val="0"/>
      <w:marRight w:val="0"/>
      <w:marTop w:val="0"/>
      <w:marBottom w:val="0"/>
      <w:divBdr>
        <w:top w:val="none" w:sz="0" w:space="0" w:color="auto"/>
        <w:left w:val="none" w:sz="0" w:space="0" w:color="auto"/>
        <w:bottom w:val="none" w:sz="0" w:space="0" w:color="auto"/>
        <w:right w:val="none" w:sz="0" w:space="0" w:color="auto"/>
      </w:divBdr>
    </w:div>
    <w:div w:id="1386949234">
      <w:bodyDiv w:val="1"/>
      <w:marLeft w:val="0"/>
      <w:marRight w:val="0"/>
      <w:marTop w:val="0"/>
      <w:marBottom w:val="0"/>
      <w:divBdr>
        <w:top w:val="none" w:sz="0" w:space="0" w:color="auto"/>
        <w:left w:val="none" w:sz="0" w:space="0" w:color="auto"/>
        <w:bottom w:val="none" w:sz="0" w:space="0" w:color="auto"/>
        <w:right w:val="none" w:sz="0" w:space="0" w:color="auto"/>
      </w:divBdr>
    </w:div>
    <w:div w:id="1389648043">
      <w:bodyDiv w:val="1"/>
      <w:marLeft w:val="0"/>
      <w:marRight w:val="0"/>
      <w:marTop w:val="0"/>
      <w:marBottom w:val="0"/>
      <w:divBdr>
        <w:top w:val="none" w:sz="0" w:space="0" w:color="auto"/>
        <w:left w:val="none" w:sz="0" w:space="0" w:color="auto"/>
        <w:bottom w:val="none" w:sz="0" w:space="0" w:color="auto"/>
        <w:right w:val="none" w:sz="0" w:space="0" w:color="auto"/>
      </w:divBdr>
    </w:div>
    <w:div w:id="1401519638">
      <w:bodyDiv w:val="1"/>
      <w:marLeft w:val="0"/>
      <w:marRight w:val="0"/>
      <w:marTop w:val="0"/>
      <w:marBottom w:val="0"/>
      <w:divBdr>
        <w:top w:val="none" w:sz="0" w:space="0" w:color="auto"/>
        <w:left w:val="none" w:sz="0" w:space="0" w:color="auto"/>
        <w:bottom w:val="none" w:sz="0" w:space="0" w:color="auto"/>
        <w:right w:val="none" w:sz="0" w:space="0" w:color="auto"/>
      </w:divBdr>
    </w:div>
    <w:div w:id="1463113942">
      <w:bodyDiv w:val="1"/>
      <w:marLeft w:val="0"/>
      <w:marRight w:val="0"/>
      <w:marTop w:val="0"/>
      <w:marBottom w:val="0"/>
      <w:divBdr>
        <w:top w:val="none" w:sz="0" w:space="0" w:color="auto"/>
        <w:left w:val="none" w:sz="0" w:space="0" w:color="auto"/>
        <w:bottom w:val="none" w:sz="0" w:space="0" w:color="auto"/>
        <w:right w:val="none" w:sz="0" w:space="0" w:color="auto"/>
      </w:divBdr>
    </w:div>
    <w:div w:id="1463117523">
      <w:bodyDiv w:val="1"/>
      <w:marLeft w:val="0"/>
      <w:marRight w:val="0"/>
      <w:marTop w:val="0"/>
      <w:marBottom w:val="0"/>
      <w:divBdr>
        <w:top w:val="none" w:sz="0" w:space="0" w:color="auto"/>
        <w:left w:val="none" w:sz="0" w:space="0" w:color="auto"/>
        <w:bottom w:val="none" w:sz="0" w:space="0" w:color="auto"/>
        <w:right w:val="none" w:sz="0" w:space="0" w:color="auto"/>
      </w:divBdr>
    </w:div>
    <w:div w:id="1465000698">
      <w:bodyDiv w:val="1"/>
      <w:marLeft w:val="0"/>
      <w:marRight w:val="0"/>
      <w:marTop w:val="0"/>
      <w:marBottom w:val="0"/>
      <w:divBdr>
        <w:top w:val="none" w:sz="0" w:space="0" w:color="auto"/>
        <w:left w:val="none" w:sz="0" w:space="0" w:color="auto"/>
        <w:bottom w:val="none" w:sz="0" w:space="0" w:color="auto"/>
        <w:right w:val="none" w:sz="0" w:space="0" w:color="auto"/>
      </w:divBdr>
    </w:div>
    <w:div w:id="1497262448">
      <w:bodyDiv w:val="1"/>
      <w:marLeft w:val="0"/>
      <w:marRight w:val="0"/>
      <w:marTop w:val="0"/>
      <w:marBottom w:val="0"/>
      <w:divBdr>
        <w:top w:val="none" w:sz="0" w:space="0" w:color="auto"/>
        <w:left w:val="none" w:sz="0" w:space="0" w:color="auto"/>
        <w:bottom w:val="none" w:sz="0" w:space="0" w:color="auto"/>
        <w:right w:val="none" w:sz="0" w:space="0" w:color="auto"/>
      </w:divBdr>
    </w:div>
    <w:div w:id="1537813403">
      <w:bodyDiv w:val="1"/>
      <w:marLeft w:val="0"/>
      <w:marRight w:val="0"/>
      <w:marTop w:val="0"/>
      <w:marBottom w:val="0"/>
      <w:divBdr>
        <w:top w:val="none" w:sz="0" w:space="0" w:color="auto"/>
        <w:left w:val="none" w:sz="0" w:space="0" w:color="auto"/>
        <w:bottom w:val="none" w:sz="0" w:space="0" w:color="auto"/>
        <w:right w:val="none" w:sz="0" w:space="0" w:color="auto"/>
      </w:divBdr>
    </w:div>
    <w:div w:id="1563373851">
      <w:bodyDiv w:val="1"/>
      <w:marLeft w:val="0"/>
      <w:marRight w:val="0"/>
      <w:marTop w:val="0"/>
      <w:marBottom w:val="0"/>
      <w:divBdr>
        <w:top w:val="none" w:sz="0" w:space="0" w:color="auto"/>
        <w:left w:val="none" w:sz="0" w:space="0" w:color="auto"/>
        <w:bottom w:val="none" w:sz="0" w:space="0" w:color="auto"/>
        <w:right w:val="none" w:sz="0" w:space="0" w:color="auto"/>
      </w:divBdr>
    </w:div>
    <w:div w:id="1567296764">
      <w:bodyDiv w:val="1"/>
      <w:marLeft w:val="0"/>
      <w:marRight w:val="0"/>
      <w:marTop w:val="0"/>
      <w:marBottom w:val="0"/>
      <w:divBdr>
        <w:top w:val="none" w:sz="0" w:space="0" w:color="auto"/>
        <w:left w:val="none" w:sz="0" w:space="0" w:color="auto"/>
        <w:bottom w:val="none" w:sz="0" w:space="0" w:color="auto"/>
        <w:right w:val="none" w:sz="0" w:space="0" w:color="auto"/>
      </w:divBdr>
    </w:div>
    <w:div w:id="1572042455">
      <w:bodyDiv w:val="1"/>
      <w:marLeft w:val="0"/>
      <w:marRight w:val="0"/>
      <w:marTop w:val="0"/>
      <w:marBottom w:val="0"/>
      <w:divBdr>
        <w:top w:val="none" w:sz="0" w:space="0" w:color="auto"/>
        <w:left w:val="none" w:sz="0" w:space="0" w:color="auto"/>
        <w:bottom w:val="none" w:sz="0" w:space="0" w:color="auto"/>
        <w:right w:val="none" w:sz="0" w:space="0" w:color="auto"/>
      </w:divBdr>
    </w:div>
    <w:div w:id="1582177931">
      <w:bodyDiv w:val="1"/>
      <w:marLeft w:val="0"/>
      <w:marRight w:val="0"/>
      <w:marTop w:val="0"/>
      <w:marBottom w:val="0"/>
      <w:divBdr>
        <w:top w:val="none" w:sz="0" w:space="0" w:color="auto"/>
        <w:left w:val="none" w:sz="0" w:space="0" w:color="auto"/>
        <w:bottom w:val="none" w:sz="0" w:space="0" w:color="auto"/>
        <w:right w:val="none" w:sz="0" w:space="0" w:color="auto"/>
      </w:divBdr>
    </w:div>
    <w:div w:id="1611473999">
      <w:bodyDiv w:val="1"/>
      <w:marLeft w:val="0"/>
      <w:marRight w:val="0"/>
      <w:marTop w:val="0"/>
      <w:marBottom w:val="0"/>
      <w:divBdr>
        <w:top w:val="none" w:sz="0" w:space="0" w:color="auto"/>
        <w:left w:val="none" w:sz="0" w:space="0" w:color="auto"/>
        <w:bottom w:val="none" w:sz="0" w:space="0" w:color="auto"/>
        <w:right w:val="none" w:sz="0" w:space="0" w:color="auto"/>
      </w:divBdr>
    </w:div>
    <w:div w:id="1624651312">
      <w:bodyDiv w:val="1"/>
      <w:marLeft w:val="0"/>
      <w:marRight w:val="0"/>
      <w:marTop w:val="0"/>
      <w:marBottom w:val="0"/>
      <w:divBdr>
        <w:top w:val="none" w:sz="0" w:space="0" w:color="auto"/>
        <w:left w:val="none" w:sz="0" w:space="0" w:color="auto"/>
        <w:bottom w:val="none" w:sz="0" w:space="0" w:color="auto"/>
        <w:right w:val="none" w:sz="0" w:space="0" w:color="auto"/>
      </w:divBdr>
    </w:div>
    <w:div w:id="1631938624">
      <w:bodyDiv w:val="1"/>
      <w:marLeft w:val="0"/>
      <w:marRight w:val="0"/>
      <w:marTop w:val="0"/>
      <w:marBottom w:val="0"/>
      <w:divBdr>
        <w:top w:val="none" w:sz="0" w:space="0" w:color="auto"/>
        <w:left w:val="none" w:sz="0" w:space="0" w:color="auto"/>
        <w:bottom w:val="none" w:sz="0" w:space="0" w:color="auto"/>
        <w:right w:val="none" w:sz="0" w:space="0" w:color="auto"/>
      </w:divBdr>
    </w:div>
    <w:div w:id="1654991999">
      <w:bodyDiv w:val="1"/>
      <w:marLeft w:val="0"/>
      <w:marRight w:val="0"/>
      <w:marTop w:val="0"/>
      <w:marBottom w:val="0"/>
      <w:divBdr>
        <w:top w:val="none" w:sz="0" w:space="0" w:color="auto"/>
        <w:left w:val="none" w:sz="0" w:space="0" w:color="auto"/>
        <w:bottom w:val="none" w:sz="0" w:space="0" w:color="auto"/>
        <w:right w:val="none" w:sz="0" w:space="0" w:color="auto"/>
      </w:divBdr>
    </w:div>
    <w:div w:id="1686252017">
      <w:bodyDiv w:val="1"/>
      <w:marLeft w:val="0"/>
      <w:marRight w:val="0"/>
      <w:marTop w:val="0"/>
      <w:marBottom w:val="0"/>
      <w:divBdr>
        <w:top w:val="none" w:sz="0" w:space="0" w:color="auto"/>
        <w:left w:val="none" w:sz="0" w:space="0" w:color="auto"/>
        <w:bottom w:val="none" w:sz="0" w:space="0" w:color="auto"/>
        <w:right w:val="none" w:sz="0" w:space="0" w:color="auto"/>
      </w:divBdr>
    </w:div>
    <w:div w:id="1697660906">
      <w:bodyDiv w:val="1"/>
      <w:marLeft w:val="0"/>
      <w:marRight w:val="0"/>
      <w:marTop w:val="0"/>
      <w:marBottom w:val="0"/>
      <w:divBdr>
        <w:top w:val="none" w:sz="0" w:space="0" w:color="auto"/>
        <w:left w:val="none" w:sz="0" w:space="0" w:color="auto"/>
        <w:bottom w:val="none" w:sz="0" w:space="0" w:color="auto"/>
        <w:right w:val="none" w:sz="0" w:space="0" w:color="auto"/>
      </w:divBdr>
    </w:div>
    <w:div w:id="1710763872">
      <w:bodyDiv w:val="1"/>
      <w:marLeft w:val="0"/>
      <w:marRight w:val="0"/>
      <w:marTop w:val="0"/>
      <w:marBottom w:val="0"/>
      <w:divBdr>
        <w:top w:val="none" w:sz="0" w:space="0" w:color="auto"/>
        <w:left w:val="none" w:sz="0" w:space="0" w:color="auto"/>
        <w:bottom w:val="none" w:sz="0" w:space="0" w:color="auto"/>
        <w:right w:val="none" w:sz="0" w:space="0" w:color="auto"/>
      </w:divBdr>
    </w:div>
    <w:div w:id="1737044125">
      <w:bodyDiv w:val="1"/>
      <w:marLeft w:val="0"/>
      <w:marRight w:val="0"/>
      <w:marTop w:val="0"/>
      <w:marBottom w:val="0"/>
      <w:divBdr>
        <w:top w:val="none" w:sz="0" w:space="0" w:color="auto"/>
        <w:left w:val="none" w:sz="0" w:space="0" w:color="auto"/>
        <w:bottom w:val="none" w:sz="0" w:space="0" w:color="auto"/>
        <w:right w:val="none" w:sz="0" w:space="0" w:color="auto"/>
      </w:divBdr>
    </w:div>
    <w:div w:id="1740861501">
      <w:bodyDiv w:val="1"/>
      <w:marLeft w:val="0"/>
      <w:marRight w:val="0"/>
      <w:marTop w:val="0"/>
      <w:marBottom w:val="0"/>
      <w:divBdr>
        <w:top w:val="none" w:sz="0" w:space="0" w:color="auto"/>
        <w:left w:val="none" w:sz="0" w:space="0" w:color="auto"/>
        <w:bottom w:val="none" w:sz="0" w:space="0" w:color="auto"/>
        <w:right w:val="none" w:sz="0" w:space="0" w:color="auto"/>
      </w:divBdr>
    </w:div>
    <w:div w:id="1745101516">
      <w:bodyDiv w:val="1"/>
      <w:marLeft w:val="0"/>
      <w:marRight w:val="0"/>
      <w:marTop w:val="0"/>
      <w:marBottom w:val="0"/>
      <w:divBdr>
        <w:top w:val="none" w:sz="0" w:space="0" w:color="auto"/>
        <w:left w:val="none" w:sz="0" w:space="0" w:color="auto"/>
        <w:bottom w:val="none" w:sz="0" w:space="0" w:color="auto"/>
        <w:right w:val="none" w:sz="0" w:space="0" w:color="auto"/>
      </w:divBdr>
    </w:div>
    <w:div w:id="1750883934">
      <w:bodyDiv w:val="1"/>
      <w:marLeft w:val="0"/>
      <w:marRight w:val="0"/>
      <w:marTop w:val="0"/>
      <w:marBottom w:val="0"/>
      <w:divBdr>
        <w:top w:val="none" w:sz="0" w:space="0" w:color="auto"/>
        <w:left w:val="none" w:sz="0" w:space="0" w:color="auto"/>
        <w:bottom w:val="none" w:sz="0" w:space="0" w:color="auto"/>
        <w:right w:val="none" w:sz="0" w:space="0" w:color="auto"/>
      </w:divBdr>
    </w:div>
    <w:div w:id="1799254328">
      <w:bodyDiv w:val="1"/>
      <w:marLeft w:val="0"/>
      <w:marRight w:val="0"/>
      <w:marTop w:val="0"/>
      <w:marBottom w:val="0"/>
      <w:divBdr>
        <w:top w:val="none" w:sz="0" w:space="0" w:color="auto"/>
        <w:left w:val="none" w:sz="0" w:space="0" w:color="auto"/>
        <w:bottom w:val="none" w:sz="0" w:space="0" w:color="auto"/>
        <w:right w:val="none" w:sz="0" w:space="0" w:color="auto"/>
      </w:divBdr>
    </w:div>
    <w:div w:id="1804619663">
      <w:bodyDiv w:val="1"/>
      <w:marLeft w:val="0"/>
      <w:marRight w:val="0"/>
      <w:marTop w:val="0"/>
      <w:marBottom w:val="0"/>
      <w:divBdr>
        <w:top w:val="none" w:sz="0" w:space="0" w:color="auto"/>
        <w:left w:val="none" w:sz="0" w:space="0" w:color="auto"/>
        <w:bottom w:val="none" w:sz="0" w:space="0" w:color="auto"/>
        <w:right w:val="none" w:sz="0" w:space="0" w:color="auto"/>
      </w:divBdr>
    </w:div>
    <w:div w:id="1854176467">
      <w:bodyDiv w:val="1"/>
      <w:marLeft w:val="0"/>
      <w:marRight w:val="0"/>
      <w:marTop w:val="0"/>
      <w:marBottom w:val="0"/>
      <w:divBdr>
        <w:top w:val="none" w:sz="0" w:space="0" w:color="auto"/>
        <w:left w:val="none" w:sz="0" w:space="0" w:color="auto"/>
        <w:bottom w:val="none" w:sz="0" w:space="0" w:color="auto"/>
        <w:right w:val="none" w:sz="0" w:space="0" w:color="auto"/>
      </w:divBdr>
    </w:div>
    <w:div w:id="1894585588">
      <w:bodyDiv w:val="1"/>
      <w:marLeft w:val="0"/>
      <w:marRight w:val="0"/>
      <w:marTop w:val="0"/>
      <w:marBottom w:val="0"/>
      <w:divBdr>
        <w:top w:val="none" w:sz="0" w:space="0" w:color="auto"/>
        <w:left w:val="none" w:sz="0" w:space="0" w:color="auto"/>
        <w:bottom w:val="none" w:sz="0" w:space="0" w:color="auto"/>
        <w:right w:val="none" w:sz="0" w:space="0" w:color="auto"/>
      </w:divBdr>
    </w:div>
    <w:div w:id="1895773973">
      <w:bodyDiv w:val="1"/>
      <w:marLeft w:val="0"/>
      <w:marRight w:val="0"/>
      <w:marTop w:val="0"/>
      <w:marBottom w:val="0"/>
      <w:divBdr>
        <w:top w:val="none" w:sz="0" w:space="0" w:color="auto"/>
        <w:left w:val="none" w:sz="0" w:space="0" w:color="auto"/>
        <w:bottom w:val="none" w:sz="0" w:space="0" w:color="auto"/>
        <w:right w:val="none" w:sz="0" w:space="0" w:color="auto"/>
      </w:divBdr>
    </w:div>
    <w:div w:id="1921525800">
      <w:bodyDiv w:val="1"/>
      <w:marLeft w:val="0"/>
      <w:marRight w:val="0"/>
      <w:marTop w:val="0"/>
      <w:marBottom w:val="0"/>
      <w:divBdr>
        <w:top w:val="none" w:sz="0" w:space="0" w:color="auto"/>
        <w:left w:val="none" w:sz="0" w:space="0" w:color="auto"/>
        <w:bottom w:val="none" w:sz="0" w:space="0" w:color="auto"/>
        <w:right w:val="none" w:sz="0" w:space="0" w:color="auto"/>
      </w:divBdr>
    </w:div>
    <w:div w:id="1961957964">
      <w:bodyDiv w:val="1"/>
      <w:marLeft w:val="0"/>
      <w:marRight w:val="0"/>
      <w:marTop w:val="0"/>
      <w:marBottom w:val="0"/>
      <w:divBdr>
        <w:top w:val="none" w:sz="0" w:space="0" w:color="auto"/>
        <w:left w:val="none" w:sz="0" w:space="0" w:color="auto"/>
        <w:bottom w:val="none" w:sz="0" w:space="0" w:color="auto"/>
        <w:right w:val="none" w:sz="0" w:space="0" w:color="auto"/>
      </w:divBdr>
    </w:div>
    <w:div w:id="2029793614">
      <w:bodyDiv w:val="1"/>
      <w:marLeft w:val="0"/>
      <w:marRight w:val="0"/>
      <w:marTop w:val="0"/>
      <w:marBottom w:val="0"/>
      <w:divBdr>
        <w:top w:val="none" w:sz="0" w:space="0" w:color="auto"/>
        <w:left w:val="none" w:sz="0" w:space="0" w:color="auto"/>
        <w:bottom w:val="none" w:sz="0" w:space="0" w:color="auto"/>
        <w:right w:val="none" w:sz="0" w:space="0" w:color="auto"/>
      </w:divBdr>
    </w:div>
    <w:div w:id="2032685062">
      <w:bodyDiv w:val="1"/>
      <w:marLeft w:val="0"/>
      <w:marRight w:val="0"/>
      <w:marTop w:val="0"/>
      <w:marBottom w:val="0"/>
      <w:divBdr>
        <w:top w:val="none" w:sz="0" w:space="0" w:color="auto"/>
        <w:left w:val="none" w:sz="0" w:space="0" w:color="auto"/>
        <w:bottom w:val="none" w:sz="0" w:space="0" w:color="auto"/>
        <w:right w:val="none" w:sz="0" w:space="0" w:color="auto"/>
      </w:divBdr>
    </w:div>
    <w:div w:id="2048411786">
      <w:bodyDiv w:val="1"/>
      <w:marLeft w:val="0"/>
      <w:marRight w:val="0"/>
      <w:marTop w:val="0"/>
      <w:marBottom w:val="0"/>
      <w:divBdr>
        <w:top w:val="none" w:sz="0" w:space="0" w:color="auto"/>
        <w:left w:val="none" w:sz="0" w:space="0" w:color="auto"/>
        <w:bottom w:val="none" w:sz="0" w:space="0" w:color="auto"/>
        <w:right w:val="none" w:sz="0" w:space="0" w:color="auto"/>
      </w:divBdr>
    </w:div>
    <w:div w:id="2091079333">
      <w:bodyDiv w:val="1"/>
      <w:marLeft w:val="0"/>
      <w:marRight w:val="0"/>
      <w:marTop w:val="0"/>
      <w:marBottom w:val="0"/>
      <w:divBdr>
        <w:top w:val="none" w:sz="0" w:space="0" w:color="auto"/>
        <w:left w:val="none" w:sz="0" w:space="0" w:color="auto"/>
        <w:bottom w:val="none" w:sz="0" w:space="0" w:color="auto"/>
        <w:right w:val="none" w:sz="0" w:space="0" w:color="auto"/>
      </w:divBdr>
    </w:div>
    <w:div w:id="2121293790">
      <w:bodyDiv w:val="1"/>
      <w:marLeft w:val="0"/>
      <w:marRight w:val="0"/>
      <w:marTop w:val="0"/>
      <w:marBottom w:val="0"/>
      <w:divBdr>
        <w:top w:val="none" w:sz="0" w:space="0" w:color="auto"/>
        <w:left w:val="none" w:sz="0" w:space="0" w:color="auto"/>
        <w:bottom w:val="none" w:sz="0" w:space="0" w:color="auto"/>
        <w:right w:val="none" w:sz="0" w:space="0" w:color="auto"/>
      </w:divBdr>
    </w:div>
    <w:div w:id="2121294399">
      <w:bodyDiv w:val="1"/>
      <w:marLeft w:val="0"/>
      <w:marRight w:val="0"/>
      <w:marTop w:val="0"/>
      <w:marBottom w:val="0"/>
      <w:divBdr>
        <w:top w:val="none" w:sz="0" w:space="0" w:color="auto"/>
        <w:left w:val="none" w:sz="0" w:space="0" w:color="auto"/>
        <w:bottom w:val="none" w:sz="0" w:space="0" w:color="auto"/>
        <w:right w:val="none" w:sz="0" w:space="0" w:color="auto"/>
      </w:divBdr>
    </w:div>
    <w:div w:id="21440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belRequestDocument" ma:contentTypeID="0x0101008E29687AFEA8E949B91049EDC21A5F2C03000F2122328C737B49807295C3EE8D8A25" ma:contentTypeVersion="2" ma:contentTypeDescription="" ma:contentTypeScope="" ma:versionID="b6e99866784b1df02f0f300331148e26">
  <xsd:schema xmlns:xsd="http://www.w3.org/2001/XMLSchema" xmlns:xs="http://www.w3.org/2001/XMLSchema" xmlns:p="http://schemas.microsoft.com/office/2006/metadata/properties" xmlns:ns2="05dc35ab-f44d-4281-8d39-be71e585678f" targetNamespace="http://schemas.microsoft.com/office/2006/metadata/properties" ma:root="true" ma:fieldsID="7f7100fda836371ae429ee3b02f7e327" ns2:_="">
    <xsd:import namespace="05dc35ab-f44d-4281-8d39-be71e585678f"/>
    <xsd:element name="properties">
      <xsd:complexType>
        <xsd:sequence>
          <xsd:element name="documentManagement">
            <xsd:complexType>
              <xsd:all>
                <xsd:element ref="ns2:GenericName" minOccurs="0"/>
                <xsd:element ref="ns2:PurgePolicyDate" minOccurs="0"/>
                <xsd:element ref="ns2:DocumentType" minOccurs="0"/>
                <xsd:element ref="ns2:RequestID" minOccurs="0"/>
                <xsd:element ref="ns2:RequestType" minOccurs="0"/>
                <xsd:element ref="ns2: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c35ab-f44d-4281-8d39-be71e585678f" elementFormDefault="qualified">
    <xsd:import namespace="http://schemas.microsoft.com/office/2006/documentManagement/types"/>
    <xsd:import namespace="http://schemas.microsoft.com/office/infopath/2007/PartnerControls"/>
    <xsd:element name="GenericName" ma:index="8" nillable="true" ma:displayName="GenericName" ma:internalName="GenericName">
      <xsd:simpleType>
        <xsd:restriction base="dms:Text">
          <xsd:maxLength value="255"/>
        </xsd:restriction>
      </xsd:simpleType>
    </xsd:element>
    <xsd:element name="PurgePolicyDate" ma:index="9" nillable="true" ma:displayName="PurgePolicyDate" ma:format="DateOnly" ma:internalName="PurgePolicyDate">
      <xsd:simpleType>
        <xsd:restriction base="dms:DateTime"/>
      </xsd:simpleType>
    </xsd:element>
    <xsd:element name="DocumentType" ma:index="10" nillable="true" ma:displayName="DocumentType" ma:internalName="DocumentType">
      <xsd:simpleType>
        <xsd:restriction base="dms:Text">
          <xsd:maxLength value="255"/>
        </xsd:restriction>
      </xsd:simpleType>
    </xsd:element>
    <xsd:element name="RequestID" ma:index="11" nillable="true" ma:displayName="RequestID" ma:indexed="true" ma:internalName="RequestID">
      <xsd:simpleType>
        <xsd:restriction base="dms:Text">
          <xsd:maxLength value="255"/>
        </xsd:restriction>
      </xsd:simpleType>
    </xsd:element>
    <xsd:element name="RequestType" ma:index="12" nillable="true" ma:displayName="RequestType" ma:internalName="RequestType">
      <xsd:simpleType>
        <xsd:restriction base="dms:Text">
          <xsd:maxLength value="255"/>
        </xsd:restriction>
      </xsd:simpleType>
    </xsd:element>
    <xsd:element name="Languages" ma:index="13" nillable="true" ma:displayName="Languages" ma:internalName="Languag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s xmlns="05dc35ab-f44d-4281-8d39-be71e585678f">English</Languages>
    <GenericName xmlns="05dc35ab-f44d-4281-8d39-be71e585678f">Venetoclax</GenericName>
    <RequestID xmlns="05dc35ab-f44d-4281-8d39-be71e585678f">LCR-20282</RequestID>
    <RequestType xmlns="05dc35ab-f44d-4281-8d39-be71e585678f">Label Change Request</RequestType>
    <PurgePolicyDate xmlns="05dc35ab-f44d-4281-8d39-be71e585678f" xsi:nil="true"/>
    <DocumentType xmlns="05dc35ab-f44d-4281-8d39-be71e585678f">Prescribing Information (Combined/Individual)</Document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05869-14F2-4CDA-8F8E-D941D23C6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c35ab-f44d-4281-8d39-be71e585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921F-B0D9-4E55-A0D0-B7F29F42991E}">
  <ds:schemaRefs>
    <ds:schemaRef ds:uri="http://schemas.microsoft.com/sharepoint/v3/contenttype/forms"/>
  </ds:schemaRefs>
</ds:datastoreItem>
</file>

<file path=customXml/itemProps3.xml><?xml version="1.0" encoding="utf-8"?>
<ds:datastoreItem xmlns:ds="http://schemas.openxmlformats.org/officeDocument/2006/customXml" ds:itemID="{1ED63035-A585-4F46-BE96-F42001557664}">
  <ds:schemaRefs>
    <ds:schemaRef ds:uri="http://schemas.openxmlformats.org/package/2006/metadata/core-properties"/>
    <ds:schemaRef ds:uri="http://purl.org/dc/dcmitype/"/>
    <ds:schemaRef ds:uri="05dc35ab-f44d-4281-8d39-be71e585678f"/>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D3B6770-90EB-48DA-B8FC-72C0F10F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17</Pages>
  <Words>6455</Words>
  <Characters>36151</Characters>
  <Application>Microsoft Office Word</Application>
  <DocSecurity>0</DocSecurity>
  <Lines>769</Lines>
  <Paragraphs>380</Paragraphs>
  <ScaleCrop>false</ScaleCrop>
  <HeadingPairs>
    <vt:vector size="2" baseType="variant">
      <vt:variant>
        <vt:lpstr>Title</vt:lpstr>
      </vt:variant>
      <vt:variant>
        <vt:i4>1</vt:i4>
      </vt:variant>
    </vt:vector>
  </HeadingPairs>
  <TitlesOfParts>
    <vt:vector size="1" baseType="lpstr">
      <vt:lpstr> Venetoclax </vt:lpstr>
    </vt:vector>
  </TitlesOfParts>
  <Company/>
  <LinksUpToDate>false</LinksUpToDate>
  <CharactersWithSpaces>42226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Venetoclax </dc:title>
  <dc:subject>prescription medicines </dc:subject>
  <dc:creator>Therapeutic Goods Administration</dc:creator>
  <cp:keywords>auspar</cp:keywords>
  <cp:lastModifiedBy>Therapeutic Goods Administration (TGA) </cp:lastModifiedBy>
  <cp:revision>14</cp:revision>
  <dcterms:created xsi:type="dcterms:W3CDTF">2017-08-23T23:35:00Z</dcterms:created>
  <dcterms:modified xsi:type="dcterms:W3CDTF">2017-11-21T00:51:00Z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0x0101008E29687AFEA8E949B91049EDC21A5F2C03000F2122328C737B49807295C3EE8D8A25</vt:lpwstr>
  </property>
</Properties>
</file>