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4170"/>
        <w:tblW w:w="8777" w:type="dxa"/>
        <w:tblLayout w:type="fixed"/>
        <w:tblCellMar>
          <w:left w:w="0" w:type="dxa"/>
          <w:right w:w="0" w:type="dxa"/>
        </w:tblCellMar>
        <w:tblLook w:val="04A0"/>
      </w:tblPr>
      <w:tblGrid>
        <w:gridCol w:w="8777"/>
      </w:tblGrid>
      <w:tr w:rsidR="00DE02AE" w:rsidRPr="005A27B0" w:rsidTr="005A27B0">
        <w:trPr>
          <w:trHeight w:val="2763"/>
        </w:trPr>
        <w:tc>
          <w:tcPr>
            <w:tcW w:w="8777" w:type="dxa"/>
          </w:tcPr>
          <w:p w:rsidR="009C50CA" w:rsidRPr="009C50CA" w:rsidRDefault="002F1FA0" w:rsidP="009C50CA">
            <w:pPr>
              <w:rPr>
                <w:rFonts w:ascii="Arial" w:hAnsi="Arial" w:cs="Arial"/>
                <w:color w:val="FFFFFF" w:themeColor="background1"/>
                <w:sz w:val="52"/>
                <w:szCs w:val="52"/>
              </w:rPr>
            </w:pPr>
            <w:r w:rsidRPr="009C50CA">
              <w:rPr>
                <w:rFonts w:ascii="Arial" w:hAnsi="Arial" w:cs="Arial"/>
                <w:color w:val="FFFFFF" w:themeColor="background1"/>
                <w:sz w:val="52"/>
                <w:szCs w:val="52"/>
              </w:rPr>
              <w:t xml:space="preserve">Australian Public Assessment Report for </w:t>
            </w:r>
            <w:r w:rsidR="00F016D0" w:rsidRPr="009C50CA">
              <w:rPr>
                <w:rFonts w:ascii="Arial" w:hAnsi="Arial" w:cs="Arial"/>
                <w:color w:val="FFFFFF" w:themeColor="background1"/>
                <w:sz w:val="52"/>
                <w:szCs w:val="52"/>
              </w:rPr>
              <w:fldChar w:fldCharType="begin"/>
            </w:r>
            <w:r w:rsidR="009C50CA" w:rsidRPr="009C50CA">
              <w:rPr>
                <w:rFonts w:ascii="Arial" w:hAnsi="Arial" w:cs="Arial"/>
                <w:color w:val="FFFFFF" w:themeColor="background1"/>
                <w:sz w:val="52"/>
                <w:szCs w:val="52"/>
              </w:rPr>
              <w:instrText xml:space="preserve"> MERGEFIELD GENERIC </w:instrText>
            </w:r>
            <w:r w:rsidR="00F016D0" w:rsidRPr="009C50CA">
              <w:rPr>
                <w:rFonts w:ascii="Arial" w:hAnsi="Arial" w:cs="Arial"/>
                <w:color w:val="FFFFFF" w:themeColor="background1"/>
                <w:sz w:val="52"/>
                <w:szCs w:val="52"/>
              </w:rPr>
              <w:fldChar w:fldCharType="separate"/>
            </w:r>
            <w:r w:rsidR="009C50CA">
              <w:rPr>
                <w:rFonts w:ascii="Arial" w:hAnsi="Arial" w:cs="Arial"/>
                <w:noProof/>
                <w:color w:val="FFFFFF" w:themeColor="background1"/>
                <w:sz w:val="52"/>
                <w:szCs w:val="52"/>
              </w:rPr>
              <w:t>V</w:t>
            </w:r>
            <w:r w:rsidR="009C50CA" w:rsidRPr="009C50CA">
              <w:rPr>
                <w:rFonts w:ascii="Arial" w:hAnsi="Arial" w:cs="Arial"/>
                <w:noProof/>
                <w:color w:val="FFFFFF" w:themeColor="background1"/>
                <w:sz w:val="52"/>
                <w:szCs w:val="52"/>
              </w:rPr>
              <w:t>emurafenib</w:t>
            </w:r>
            <w:r w:rsidR="00F016D0" w:rsidRPr="009C50CA">
              <w:rPr>
                <w:rFonts w:ascii="Arial" w:hAnsi="Arial" w:cs="Arial"/>
                <w:color w:val="FFFFFF" w:themeColor="background1"/>
                <w:sz w:val="52"/>
                <w:szCs w:val="52"/>
              </w:rPr>
              <w:fldChar w:fldCharType="end"/>
            </w:r>
          </w:p>
          <w:p w:rsidR="002F1FA0" w:rsidRPr="005A27B0" w:rsidRDefault="002F1FA0" w:rsidP="005A27B0">
            <w:pPr>
              <w:rPr>
                <w:color w:val="FFFFFF"/>
              </w:rPr>
            </w:pPr>
          </w:p>
          <w:p w:rsidR="002F1FA0" w:rsidRPr="009C50CA" w:rsidRDefault="002F1FA0" w:rsidP="005A27B0">
            <w:pPr>
              <w:pStyle w:val="Subtitle"/>
              <w:rPr>
                <w:color w:val="FFFFFF"/>
              </w:rPr>
            </w:pPr>
            <w:r w:rsidRPr="009C50CA">
              <w:rPr>
                <w:color w:val="FFFFFF"/>
              </w:rPr>
              <w:t xml:space="preserve">Proprietary Product Name: </w:t>
            </w:r>
            <w:r w:rsidR="00F016D0" w:rsidRPr="009C50CA">
              <w:rPr>
                <w:color w:val="FFFFFF"/>
              </w:rPr>
              <w:fldChar w:fldCharType="begin"/>
            </w:r>
            <w:r w:rsidR="00F651B3" w:rsidRPr="009C50CA">
              <w:rPr>
                <w:color w:val="FFFFFF"/>
              </w:rPr>
              <w:instrText xml:space="preserve"> MERGEFIELD TRADE </w:instrText>
            </w:r>
            <w:r w:rsidR="00F016D0" w:rsidRPr="009C50CA">
              <w:rPr>
                <w:color w:val="FFFFFF"/>
              </w:rPr>
              <w:fldChar w:fldCharType="separate"/>
            </w:r>
            <w:r w:rsidR="009C50CA" w:rsidRPr="009C50CA">
              <w:rPr>
                <w:noProof/>
                <w:color w:val="FFFFFF"/>
              </w:rPr>
              <w:t>Zelboraf</w:t>
            </w:r>
            <w:r w:rsidR="00F016D0" w:rsidRPr="009C50CA">
              <w:rPr>
                <w:color w:val="FFFFFF"/>
              </w:rPr>
              <w:fldChar w:fldCharType="end"/>
            </w:r>
          </w:p>
          <w:p w:rsidR="002F1FA0" w:rsidRPr="005A27B0" w:rsidRDefault="002F1FA0" w:rsidP="005A27B0">
            <w:pPr>
              <w:pStyle w:val="Subtitle"/>
              <w:rPr>
                <w:color w:val="FFFFFF"/>
              </w:rPr>
            </w:pPr>
            <w:r w:rsidRPr="009C50CA">
              <w:rPr>
                <w:color w:val="FFFFFF"/>
              </w:rPr>
              <w:t xml:space="preserve">Sponsor: </w:t>
            </w:r>
            <w:r w:rsidR="00F016D0" w:rsidRPr="009C50CA">
              <w:rPr>
                <w:color w:val="FFFFFF"/>
              </w:rPr>
              <w:fldChar w:fldCharType="begin"/>
            </w:r>
            <w:r w:rsidR="00F651B3" w:rsidRPr="009C50CA">
              <w:rPr>
                <w:color w:val="FFFFFF"/>
              </w:rPr>
              <w:instrText xml:space="preserve"> MERGEFIELD SPONSOR </w:instrText>
            </w:r>
            <w:r w:rsidR="00F016D0" w:rsidRPr="009C50CA">
              <w:rPr>
                <w:color w:val="FFFFFF"/>
              </w:rPr>
              <w:fldChar w:fldCharType="separate"/>
            </w:r>
            <w:r w:rsidR="00F54D40" w:rsidRPr="009C50CA">
              <w:rPr>
                <w:noProof/>
                <w:color w:val="FFFFFF"/>
              </w:rPr>
              <w:t>Roche Products Pty Limited</w:t>
            </w:r>
            <w:r w:rsidR="00F016D0" w:rsidRPr="009C50CA">
              <w:rPr>
                <w:color w:val="FFFFFF"/>
              </w:rPr>
              <w:fldChar w:fldCharType="end"/>
            </w:r>
          </w:p>
          <w:p w:rsidR="002F1FA0" w:rsidRPr="005A27B0" w:rsidRDefault="002F1FA0" w:rsidP="005A27B0">
            <w:pPr>
              <w:rPr>
                <w:color w:val="FFFFFF"/>
              </w:rPr>
            </w:pPr>
          </w:p>
        </w:tc>
      </w:tr>
      <w:tr w:rsidR="00DE02AE" w:rsidRPr="005A27B0" w:rsidTr="005A27B0">
        <w:trPr>
          <w:trHeight w:val="559"/>
        </w:trPr>
        <w:tc>
          <w:tcPr>
            <w:tcW w:w="8777" w:type="dxa"/>
          </w:tcPr>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952100" w:rsidP="00952100">
            <w:pPr>
              <w:pStyle w:val="Date"/>
              <w:rPr>
                <w:color w:val="006DA7"/>
              </w:rPr>
            </w:pPr>
            <w:r>
              <w:rPr>
                <w:rFonts w:cs="Arial"/>
                <w:b/>
                <w:color w:val="002C47"/>
                <w:sz w:val="36"/>
                <w:szCs w:val="36"/>
              </w:rPr>
              <w:t>December</w:t>
            </w:r>
            <w:r w:rsidRPr="005A27B0">
              <w:rPr>
                <w:rFonts w:cs="Arial"/>
                <w:b/>
                <w:color w:val="002C47"/>
                <w:sz w:val="36"/>
                <w:szCs w:val="36"/>
              </w:rPr>
              <w:t xml:space="preserve"> 201</w:t>
            </w:r>
            <w:r>
              <w:rPr>
                <w:rFonts w:cs="Arial"/>
                <w:b/>
                <w:color w:val="002C47"/>
                <w:sz w:val="36"/>
                <w:szCs w:val="36"/>
              </w:rPr>
              <w:t>2</w:t>
            </w:r>
          </w:p>
          <w:p w:rsidR="00FE0DC9" w:rsidRPr="005A27B0" w:rsidRDefault="00FE0DC9" w:rsidP="005A27B0">
            <w:pPr>
              <w:pStyle w:val="Date"/>
              <w:jc w:val="right"/>
              <w:rPr>
                <w:color w:val="006DA7"/>
              </w:rPr>
            </w:pPr>
          </w:p>
          <w:p w:rsidR="00DE02AE" w:rsidRPr="005A27B0" w:rsidRDefault="00DE02AE" w:rsidP="005A27B0">
            <w:pPr>
              <w:pStyle w:val="Date"/>
              <w:jc w:val="right"/>
              <w:rPr>
                <w:color w:val="006DA7"/>
              </w:rPr>
            </w:pPr>
          </w:p>
        </w:tc>
      </w:tr>
    </w:tbl>
    <w:tbl>
      <w:tblPr>
        <w:tblpPr w:leftFromText="180" w:rightFromText="180" w:vertAnchor="text" w:horzAnchor="margin" w:tblpY="90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tblGrid>
      <w:tr w:rsidR="00417AD2" w:rsidRPr="005A27B0" w:rsidTr="005A27B0">
        <w:tc>
          <w:tcPr>
            <w:tcW w:w="3369" w:type="dxa"/>
            <w:tcBorders>
              <w:top w:val="nil"/>
              <w:left w:val="nil"/>
              <w:bottom w:val="nil"/>
              <w:right w:val="nil"/>
            </w:tcBorders>
          </w:tcPr>
          <w:p w:rsidR="00417AD2" w:rsidRPr="005A27B0" w:rsidRDefault="00417AD2" w:rsidP="005A27B0">
            <w:pPr>
              <w:rPr>
                <w:rFonts w:ascii="Arial" w:hAnsi="Arial" w:cs="Arial"/>
                <w:b/>
                <w:color w:val="002C47"/>
                <w:sz w:val="36"/>
                <w:szCs w:val="36"/>
              </w:rPr>
            </w:pPr>
          </w:p>
          <w:p w:rsidR="00417AD2" w:rsidRPr="005A27B0" w:rsidRDefault="00417AD2" w:rsidP="005A27B0">
            <w:pPr>
              <w:pStyle w:val="Date"/>
              <w:jc w:val="right"/>
              <w:rPr>
                <w:color w:val="006DA7"/>
              </w:rPr>
            </w:pPr>
          </w:p>
        </w:tc>
      </w:tr>
    </w:tbl>
    <w:p w:rsidR="002F1FA0" w:rsidRDefault="002F1FA0"/>
    <w:p w:rsidR="00952100" w:rsidRPr="001F6CBA" w:rsidRDefault="00952100" w:rsidP="00952100">
      <w:pPr>
        <w:pStyle w:val="NonTOCHeading2"/>
      </w:pPr>
      <w:r w:rsidRPr="001F6CBA">
        <w:t>About the Therapeutic Goods Administration (TGA)</w:t>
      </w:r>
    </w:p>
    <w:p w:rsidR="00952100" w:rsidRDefault="00952100" w:rsidP="00952100">
      <w:pPr>
        <w:pStyle w:val="ListBullet"/>
        <w:numPr>
          <w:ilvl w:val="0"/>
          <w:numId w:val="1"/>
        </w:numPr>
        <w:spacing w:before="120" w:after="120"/>
        <w:ind w:left="357" w:hanging="357"/>
      </w:pPr>
      <w:r>
        <w:t xml:space="preserve">The Therapeutic Goods Administration (TGA) is part of the Australian Government Department of Health and </w:t>
      </w:r>
      <w:r w:rsidRPr="007652FF">
        <w:t>Ageing</w:t>
      </w:r>
      <w:r>
        <w:t>, and is responsible for regulating medicines and medical devices.</w:t>
      </w:r>
    </w:p>
    <w:p w:rsidR="00952100" w:rsidRDefault="00952100" w:rsidP="00952100">
      <w:pPr>
        <w:pStyle w:val="ListBullet"/>
        <w:numPr>
          <w:ilvl w:val="0"/>
          <w:numId w:val="1"/>
        </w:numPr>
        <w:spacing w:before="120" w:after="120"/>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952100" w:rsidRDefault="00952100" w:rsidP="00952100">
      <w:pPr>
        <w:pStyle w:val="ListBullet"/>
        <w:numPr>
          <w:ilvl w:val="0"/>
          <w:numId w:val="1"/>
        </w:numPr>
        <w:spacing w:before="120" w:after="120"/>
        <w:ind w:left="357" w:hanging="357"/>
      </w:pPr>
      <w:r>
        <w:t>The work of the TGA is based on applying scientific and clinical expertise to decision-making, to ensure that the benefits to consumers outweigh any risks associated with the use of medicines and medical devices.</w:t>
      </w:r>
    </w:p>
    <w:p w:rsidR="00952100" w:rsidRDefault="00952100" w:rsidP="00952100">
      <w:pPr>
        <w:pStyle w:val="ListBullet"/>
        <w:numPr>
          <w:ilvl w:val="0"/>
          <w:numId w:val="1"/>
        </w:numPr>
        <w:spacing w:before="120" w:after="120"/>
        <w:ind w:left="357" w:hanging="357"/>
      </w:pPr>
      <w:r>
        <w:t>The TGA relies on the public, healthcare professionals and industry to report problems with medicines or medical devices. TGA investigates reports received by it to determine any necessary regulatory action.</w:t>
      </w:r>
    </w:p>
    <w:p w:rsidR="00952100" w:rsidRDefault="00952100" w:rsidP="00952100">
      <w:pPr>
        <w:pStyle w:val="ListBullet"/>
        <w:numPr>
          <w:ilvl w:val="0"/>
          <w:numId w:val="1"/>
        </w:numPr>
        <w:spacing w:before="120" w:after="120"/>
        <w:ind w:left="357" w:hanging="357"/>
      </w:pPr>
      <w:r>
        <w:t>To report a problem with a medicine or medical device, please see the information on the TGA website &lt;</w:t>
      </w:r>
      <w:hyperlink r:id="rId8" w:history="1">
        <w:r w:rsidRPr="00112F56">
          <w:rPr>
            <w:rStyle w:val="Hyperlink"/>
          </w:rPr>
          <w:t>www.tga.gov.au</w:t>
        </w:r>
      </w:hyperlink>
      <w:r>
        <w:t>&gt;.</w:t>
      </w:r>
    </w:p>
    <w:p w:rsidR="00952100" w:rsidRDefault="00952100" w:rsidP="00F24394">
      <w:pPr>
        <w:pStyle w:val="NonTOCHeading2"/>
        <w:spacing w:before="240"/>
      </w:pPr>
      <w:r>
        <w:t>About AusPARs</w:t>
      </w:r>
    </w:p>
    <w:p w:rsidR="00952100" w:rsidRDefault="00952100" w:rsidP="00952100">
      <w:pPr>
        <w:pStyle w:val="ListBullet"/>
        <w:numPr>
          <w:ilvl w:val="0"/>
          <w:numId w:val="1"/>
        </w:numPr>
        <w:spacing w:before="120" w:after="120"/>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952100" w:rsidRDefault="00952100" w:rsidP="00952100">
      <w:pPr>
        <w:pStyle w:val="ListBullet"/>
        <w:numPr>
          <w:ilvl w:val="0"/>
          <w:numId w:val="1"/>
        </w:numPr>
        <w:spacing w:before="120" w:after="120"/>
        <w:ind w:left="357" w:hanging="357"/>
      </w:pPr>
      <w:r>
        <w:t>AusPARs are prepared and published by the TGA.</w:t>
      </w:r>
    </w:p>
    <w:p w:rsidR="00952100" w:rsidRDefault="00952100" w:rsidP="00952100">
      <w:pPr>
        <w:pStyle w:val="ListBullet"/>
        <w:numPr>
          <w:ilvl w:val="0"/>
          <w:numId w:val="1"/>
        </w:numPr>
        <w:spacing w:before="120" w:after="120"/>
        <w:ind w:left="357" w:hanging="357"/>
      </w:pPr>
      <w:r>
        <w:t>An AusPAR is prepared for submissions that relate to new chemical entities, generic medicines, major variations, and extensions of indications.</w:t>
      </w:r>
    </w:p>
    <w:p w:rsidR="00952100" w:rsidRDefault="00952100" w:rsidP="00952100">
      <w:pPr>
        <w:pStyle w:val="ListBullet"/>
        <w:numPr>
          <w:ilvl w:val="0"/>
          <w:numId w:val="1"/>
        </w:numPr>
        <w:spacing w:before="120" w:after="120"/>
        <w:ind w:left="357" w:hanging="357"/>
      </w:pPr>
      <w:r>
        <w:t>An AusPAR is a static document, in that it will provide information that relates to a submission at a particular point in time.</w:t>
      </w:r>
    </w:p>
    <w:p w:rsidR="00952100" w:rsidRDefault="00952100" w:rsidP="00952100">
      <w:pPr>
        <w:pStyle w:val="ListBullet"/>
        <w:numPr>
          <w:ilvl w:val="0"/>
          <w:numId w:val="1"/>
        </w:numPr>
        <w:spacing w:before="120" w:after="120"/>
        <w:ind w:left="357" w:hanging="357"/>
      </w:pPr>
      <w:r>
        <w:t>A new AusPAR will be developed to reflect changes to indications and/or major variations to a prescription medicine subject to evaluation by the TGA.</w:t>
      </w:r>
    </w:p>
    <w:p w:rsidR="00952100" w:rsidRPr="00DF1D7F" w:rsidRDefault="00952100" w:rsidP="00BB49CA">
      <w:pPr>
        <w:pStyle w:val="LegalSubheading"/>
        <w:spacing w:before="3000"/>
      </w:pPr>
      <w:r w:rsidRPr="00DF1D7F">
        <w:t>Copyright</w:t>
      </w:r>
    </w:p>
    <w:p w:rsidR="00952100" w:rsidRDefault="00952100" w:rsidP="00952100">
      <w:pPr>
        <w:pStyle w:val="LegalCopy"/>
      </w:pPr>
      <w:r w:rsidRPr="00191B3B">
        <w:rPr>
          <w:rFonts w:cs="Arial"/>
          <w:lang w:val="en-GB"/>
        </w:rPr>
        <w:t>© Comm</w:t>
      </w:r>
      <w:r>
        <w:rPr>
          <w:rFonts w:cs="Arial"/>
          <w:lang w:val="en-GB"/>
        </w:rPr>
        <w:t>onwealth of Australia 2012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7A19BE" w:rsidRDefault="007A19BE" w:rsidP="007A19BE">
      <w:pPr>
        <w:pStyle w:val="LegalCopy"/>
        <w:sectPr w:rsidR="007A19BE" w:rsidSect="00664167">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p w:rsidR="008C159F" w:rsidRPr="00F61989" w:rsidRDefault="004564A7" w:rsidP="00BB49CA">
      <w:pPr>
        <w:pStyle w:val="Contents"/>
        <w:spacing w:after="120"/>
        <w:rPr>
          <w:sz w:val="48"/>
          <w:szCs w:val="48"/>
        </w:rPr>
      </w:pPr>
      <w:r w:rsidRPr="00F61989">
        <w:rPr>
          <w:sz w:val="48"/>
          <w:szCs w:val="48"/>
        </w:rPr>
        <w:lastRenderedPageBreak/>
        <w:t>Contents</w:t>
      </w:r>
    </w:p>
    <w:p w:rsidR="00581386" w:rsidRDefault="00F016D0">
      <w:pPr>
        <w:pStyle w:val="TOC2"/>
        <w:rPr>
          <w:rFonts w:asciiTheme="minorHAnsi" w:eastAsiaTheme="minorEastAsia" w:hAnsiTheme="minorHAnsi" w:cstheme="minorBidi"/>
          <w:b w:val="0"/>
          <w:noProof/>
          <w:sz w:val="22"/>
          <w:lang w:eastAsia="en-AU"/>
        </w:rPr>
      </w:pPr>
      <w:r w:rsidRPr="00F016D0">
        <w:fldChar w:fldCharType="begin"/>
      </w:r>
      <w:r w:rsidR="007A19BE">
        <w:instrText xml:space="preserve"> TOC \o "1-3" \h \z </w:instrText>
      </w:r>
      <w:r w:rsidRPr="00F016D0">
        <w:fldChar w:fldCharType="separate"/>
      </w:r>
      <w:hyperlink w:anchor="_Toc345675758" w:history="1">
        <w:r w:rsidR="00581386" w:rsidRPr="00CC213F">
          <w:rPr>
            <w:rStyle w:val="Hyperlink"/>
            <w:noProof/>
          </w:rPr>
          <w:t>I. Introduction to product submission</w:t>
        </w:r>
        <w:r w:rsidR="00581386">
          <w:rPr>
            <w:noProof/>
            <w:webHidden/>
          </w:rPr>
          <w:tab/>
        </w:r>
        <w:r w:rsidR="00581386">
          <w:rPr>
            <w:noProof/>
            <w:webHidden/>
          </w:rPr>
          <w:fldChar w:fldCharType="begin"/>
        </w:r>
        <w:r w:rsidR="00581386">
          <w:rPr>
            <w:noProof/>
            <w:webHidden/>
          </w:rPr>
          <w:instrText xml:space="preserve"> PAGEREF _Toc345675758 \h </w:instrText>
        </w:r>
        <w:r w:rsidR="00581386">
          <w:rPr>
            <w:noProof/>
            <w:webHidden/>
          </w:rPr>
        </w:r>
        <w:r w:rsidR="00581386">
          <w:rPr>
            <w:noProof/>
            <w:webHidden/>
          </w:rPr>
          <w:fldChar w:fldCharType="separate"/>
        </w:r>
        <w:r w:rsidR="00581386">
          <w:rPr>
            <w:noProof/>
            <w:webHidden/>
          </w:rPr>
          <w:t>4</w:t>
        </w:r>
        <w:r w:rsidR="00581386">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59" w:history="1">
        <w:r w:rsidRPr="00CC213F">
          <w:rPr>
            <w:rStyle w:val="Hyperlink"/>
            <w:noProof/>
            <w:lang w:eastAsia="en-AU"/>
          </w:rPr>
          <w:t>Submission details</w:t>
        </w:r>
        <w:r>
          <w:rPr>
            <w:noProof/>
            <w:webHidden/>
          </w:rPr>
          <w:tab/>
        </w:r>
        <w:r>
          <w:rPr>
            <w:noProof/>
            <w:webHidden/>
          </w:rPr>
          <w:fldChar w:fldCharType="begin"/>
        </w:r>
        <w:r>
          <w:rPr>
            <w:noProof/>
            <w:webHidden/>
          </w:rPr>
          <w:instrText xml:space="preserve"> PAGEREF _Toc345675759 \h </w:instrText>
        </w:r>
        <w:r>
          <w:rPr>
            <w:noProof/>
            <w:webHidden/>
          </w:rPr>
        </w:r>
        <w:r>
          <w:rPr>
            <w:noProof/>
            <w:webHidden/>
          </w:rPr>
          <w:fldChar w:fldCharType="separate"/>
        </w:r>
        <w:r>
          <w:rPr>
            <w:noProof/>
            <w:webHidden/>
          </w:rPr>
          <w:t>4</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60" w:history="1">
        <w:r w:rsidRPr="00CC213F">
          <w:rPr>
            <w:rStyle w:val="Hyperlink"/>
            <w:noProof/>
          </w:rPr>
          <w:t>Product background</w:t>
        </w:r>
        <w:r>
          <w:rPr>
            <w:noProof/>
            <w:webHidden/>
          </w:rPr>
          <w:tab/>
        </w:r>
        <w:r>
          <w:rPr>
            <w:noProof/>
            <w:webHidden/>
          </w:rPr>
          <w:fldChar w:fldCharType="begin"/>
        </w:r>
        <w:r>
          <w:rPr>
            <w:noProof/>
            <w:webHidden/>
          </w:rPr>
          <w:instrText xml:space="preserve"> PAGEREF _Toc345675760 \h </w:instrText>
        </w:r>
        <w:r>
          <w:rPr>
            <w:noProof/>
            <w:webHidden/>
          </w:rPr>
        </w:r>
        <w:r>
          <w:rPr>
            <w:noProof/>
            <w:webHidden/>
          </w:rPr>
          <w:fldChar w:fldCharType="separate"/>
        </w:r>
        <w:r>
          <w:rPr>
            <w:noProof/>
            <w:webHidden/>
          </w:rPr>
          <w:t>4</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61" w:history="1">
        <w:r w:rsidRPr="00CC213F">
          <w:rPr>
            <w:rStyle w:val="Hyperlink"/>
            <w:noProof/>
          </w:rPr>
          <w:t>Regulatory status</w:t>
        </w:r>
        <w:r>
          <w:rPr>
            <w:noProof/>
            <w:webHidden/>
          </w:rPr>
          <w:tab/>
        </w:r>
        <w:r>
          <w:rPr>
            <w:noProof/>
            <w:webHidden/>
          </w:rPr>
          <w:fldChar w:fldCharType="begin"/>
        </w:r>
        <w:r>
          <w:rPr>
            <w:noProof/>
            <w:webHidden/>
          </w:rPr>
          <w:instrText xml:space="preserve"> PAGEREF _Toc345675761 \h </w:instrText>
        </w:r>
        <w:r>
          <w:rPr>
            <w:noProof/>
            <w:webHidden/>
          </w:rPr>
        </w:r>
        <w:r>
          <w:rPr>
            <w:noProof/>
            <w:webHidden/>
          </w:rPr>
          <w:fldChar w:fldCharType="separate"/>
        </w:r>
        <w:r>
          <w:rPr>
            <w:noProof/>
            <w:webHidden/>
          </w:rPr>
          <w:t>5</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62" w:history="1">
        <w:r w:rsidRPr="00CC213F">
          <w:rPr>
            <w:rStyle w:val="Hyperlink"/>
            <w:noProof/>
          </w:rPr>
          <w:t>Product Information</w:t>
        </w:r>
        <w:r>
          <w:rPr>
            <w:noProof/>
            <w:webHidden/>
          </w:rPr>
          <w:tab/>
        </w:r>
        <w:r>
          <w:rPr>
            <w:noProof/>
            <w:webHidden/>
          </w:rPr>
          <w:fldChar w:fldCharType="begin"/>
        </w:r>
        <w:r>
          <w:rPr>
            <w:noProof/>
            <w:webHidden/>
          </w:rPr>
          <w:instrText xml:space="preserve"> PAGEREF _Toc345675762 \h </w:instrText>
        </w:r>
        <w:r>
          <w:rPr>
            <w:noProof/>
            <w:webHidden/>
          </w:rPr>
        </w:r>
        <w:r>
          <w:rPr>
            <w:noProof/>
            <w:webHidden/>
          </w:rPr>
          <w:fldChar w:fldCharType="separate"/>
        </w:r>
        <w:r>
          <w:rPr>
            <w:noProof/>
            <w:webHidden/>
          </w:rPr>
          <w:t>6</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63" w:history="1">
        <w:r w:rsidRPr="00CC213F">
          <w:rPr>
            <w:rStyle w:val="Hyperlink"/>
            <w:noProof/>
          </w:rPr>
          <w:t>List of abbreviations</w:t>
        </w:r>
        <w:r>
          <w:rPr>
            <w:noProof/>
            <w:webHidden/>
          </w:rPr>
          <w:tab/>
        </w:r>
        <w:r>
          <w:rPr>
            <w:noProof/>
            <w:webHidden/>
          </w:rPr>
          <w:fldChar w:fldCharType="begin"/>
        </w:r>
        <w:r>
          <w:rPr>
            <w:noProof/>
            <w:webHidden/>
          </w:rPr>
          <w:instrText xml:space="preserve"> PAGEREF _Toc345675763 \h </w:instrText>
        </w:r>
        <w:r>
          <w:rPr>
            <w:noProof/>
            <w:webHidden/>
          </w:rPr>
        </w:r>
        <w:r>
          <w:rPr>
            <w:noProof/>
            <w:webHidden/>
          </w:rPr>
          <w:fldChar w:fldCharType="separate"/>
        </w:r>
        <w:r>
          <w:rPr>
            <w:noProof/>
            <w:webHidden/>
          </w:rPr>
          <w:t>6</w:t>
        </w:r>
        <w:r>
          <w:rPr>
            <w:noProof/>
            <w:webHidden/>
          </w:rPr>
          <w:fldChar w:fldCharType="end"/>
        </w:r>
      </w:hyperlink>
    </w:p>
    <w:p w:rsidR="00581386" w:rsidRDefault="00581386">
      <w:pPr>
        <w:pStyle w:val="TOC2"/>
        <w:rPr>
          <w:rFonts w:asciiTheme="minorHAnsi" w:eastAsiaTheme="minorEastAsia" w:hAnsiTheme="minorHAnsi" w:cstheme="minorBidi"/>
          <w:b w:val="0"/>
          <w:noProof/>
          <w:sz w:val="22"/>
          <w:lang w:eastAsia="en-AU"/>
        </w:rPr>
      </w:pPr>
      <w:hyperlink w:anchor="_Toc345675764" w:history="1">
        <w:r w:rsidRPr="00CC213F">
          <w:rPr>
            <w:rStyle w:val="Hyperlink"/>
            <w:noProof/>
          </w:rPr>
          <w:t>II. Quality findings</w:t>
        </w:r>
        <w:r>
          <w:rPr>
            <w:noProof/>
            <w:webHidden/>
          </w:rPr>
          <w:tab/>
        </w:r>
        <w:r>
          <w:rPr>
            <w:noProof/>
            <w:webHidden/>
          </w:rPr>
          <w:fldChar w:fldCharType="begin"/>
        </w:r>
        <w:r>
          <w:rPr>
            <w:noProof/>
            <w:webHidden/>
          </w:rPr>
          <w:instrText xml:space="preserve"> PAGEREF _Toc345675764 \h </w:instrText>
        </w:r>
        <w:r>
          <w:rPr>
            <w:noProof/>
            <w:webHidden/>
          </w:rPr>
        </w:r>
        <w:r>
          <w:rPr>
            <w:noProof/>
            <w:webHidden/>
          </w:rPr>
          <w:fldChar w:fldCharType="separate"/>
        </w:r>
        <w:r>
          <w:rPr>
            <w:noProof/>
            <w:webHidden/>
          </w:rPr>
          <w:t>7</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65" w:history="1">
        <w:r w:rsidRPr="00CC213F">
          <w:rPr>
            <w:rStyle w:val="Hyperlink"/>
            <w:noProof/>
          </w:rPr>
          <w:t>Drug substance (active ingredient)</w:t>
        </w:r>
        <w:r>
          <w:rPr>
            <w:noProof/>
            <w:webHidden/>
          </w:rPr>
          <w:tab/>
        </w:r>
        <w:r>
          <w:rPr>
            <w:noProof/>
            <w:webHidden/>
          </w:rPr>
          <w:fldChar w:fldCharType="begin"/>
        </w:r>
        <w:r>
          <w:rPr>
            <w:noProof/>
            <w:webHidden/>
          </w:rPr>
          <w:instrText xml:space="preserve"> PAGEREF _Toc345675765 \h </w:instrText>
        </w:r>
        <w:r>
          <w:rPr>
            <w:noProof/>
            <w:webHidden/>
          </w:rPr>
        </w:r>
        <w:r>
          <w:rPr>
            <w:noProof/>
            <w:webHidden/>
          </w:rPr>
          <w:fldChar w:fldCharType="separate"/>
        </w:r>
        <w:r>
          <w:rPr>
            <w:noProof/>
            <w:webHidden/>
          </w:rPr>
          <w:t>7</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66" w:history="1">
        <w:r w:rsidRPr="00CC213F">
          <w:rPr>
            <w:rStyle w:val="Hyperlink"/>
            <w:noProof/>
          </w:rPr>
          <w:t>Drug product</w:t>
        </w:r>
        <w:r>
          <w:rPr>
            <w:noProof/>
            <w:webHidden/>
          </w:rPr>
          <w:tab/>
        </w:r>
        <w:r>
          <w:rPr>
            <w:noProof/>
            <w:webHidden/>
          </w:rPr>
          <w:fldChar w:fldCharType="begin"/>
        </w:r>
        <w:r>
          <w:rPr>
            <w:noProof/>
            <w:webHidden/>
          </w:rPr>
          <w:instrText xml:space="preserve"> PAGEREF _Toc345675766 \h </w:instrText>
        </w:r>
        <w:r>
          <w:rPr>
            <w:noProof/>
            <w:webHidden/>
          </w:rPr>
        </w:r>
        <w:r>
          <w:rPr>
            <w:noProof/>
            <w:webHidden/>
          </w:rPr>
          <w:fldChar w:fldCharType="separate"/>
        </w:r>
        <w:r>
          <w:rPr>
            <w:noProof/>
            <w:webHidden/>
          </w:rPr>
          <w:t>8</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67" w:history="1">
        <w:r w:rsidRPr="00CC213F">
          <w:rPr>
            <w:rStyle w:val="Hyperlink"/>
            <w:noProof/>
          </w:rPr>
          <w:t>Biopharmaceutics</w:t>
        </w:r>
        <w:r>
          <w:rPr>
            <w:noProof/>
            <w:webHidden/>
          </w:rPr>
          <w:tab/>
        </w:r>
        <w:r>
          <w:rPr>
            <w:noProof/>
            <w:webHidden/>
          </w:rPr>
          <w:fldChar w:fldCharType="begin"/>
        </w:r>
        <w:r>
          <w:rPr>
            <w:noProof/>
            <w:webHidden/>
          </w:rPr>
          <w:instrText xml:space="preserve"> PAGEREF _Toc345675767 \h </w:instrText>
        </w:r>
        <w:r>
          <w:rPr>
            <w:noProof/>
            <w:webHidden/>
          </w:rPr>
        </w:r>
        <w:r>
          <w:rPr>
            <w:noProof/>
            <w:webHidden/>
          </w:rPr>
          <w:fldChar w:fldCharType="separate"/>
        </w:r>
        <w:r>
          <w:rPr>
            <w:noProof/>
            <w:webHidden/>
          </w:rPr>
          <w:t>8</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68" w:history="1">
        <w:r w:rsidRPr="00CC213F">
          <w:rPr>
            <w:rStyle w:val="Hyperlink"/>
            <w:noProof/>
          </w:rPr>
          <w:t>Advisory committee considerations</w:t>
        </w:r>
        <w:r>
          <w:rPr>
            <w:noProof/>
            <w:webHidden/>
          </w:rPr>
          <w:tab/>
        </w:r>
        <w:r>
          <w:rPr>
            <w:noProof/>
            <w:webHidden/>
          </w:rPr>
          <w:fldChar w:fldCharType="begin"/>
        </w:r>
        <w:r>
          <w:rPr>
            <w:noProof/>
            <w:webHidden/>
          </w:rPr>
          <w:instrText xml:space="preserve"> PAGEREF _Toc345675768 \h </w:instrText>
        </w:r>
        <w:r>
          <w:rPr>
            <w:noProof/>
            <w:webHidden/>
          </w:rPr>
        </w:r>
        <w:r>
          <w:rPr>
            <w:noProof/>
            <w:webHidden/>
          </w:rPr>
          <w:fldChar w:fldCharType="separate"/>
        </w:r>
        <w:r>
          <w:rPr>
            <w:noProof/>
            <w:webHidden/>
          </w:rPr>
          <w:t>8</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69" w:history="1">
        <w:r w:rsidRPr="00CC213F">
          <w:rPr>
            <w:rStyle w:val="Hyperlink"/>
            <w:noProof/>
          </w:rPr>
          <w:t>Quality summary and conclusions</w:t>
        </w:r>
        <w:r>
          <w:rPr>
            <w:noProof/>
            <w:webHidden/>
          </w:rPr>
          <w:tab/>
        </w:r>
        <w:r>
          <w:rPr>
            <w:noProof/>
            <w:webHidden/>
          </w:rPr>
          <w:fldChar w:fldCharType="begin"/>
        </w:r>
        <w:r>
          <w:rPr>
            <w:noProof/>
            <w:webHidden/>
          </w:rPr>
          <w:instrText xml:space="preserve"> PAGEREF _Toc345675769 \h </w:instrText>
        </w:r>
        <w:r>
          <w:rPr>
            <w:noProof/>
            <w:webHidden/>
          </w:rPr>
        </w:r>
        <w:r>
          <w:rPr>
            <w:noProof/>
            <w:webHidden/>
          </w:rPr>
          <w:fldChar w:fldCharType="separate"/>
        </w:r>
        <w:r>
          <w:rPr>
            <w:noProof/>
            <w:webHidden/>
          </w:rPr>
          <w:t>9</w:t>
        </w:r>
        <w:r>
          <w:rPr>
            <w:noProof/>
            <w:webHidden/>
          </w:rPr>
          <w:fldChar w:fldCharType="end"/>
        </w:r>
      </w:hyperlink>
    </w:p>
    <w:p w:rsidR="00581386" w:rsidRDefault="00581386">
      <w:pPr>
        <w:pStyle w:val="TOC2"/>
        <w:rPr>
          <w:rFonts w:asciiTheme="minorHAnsi" w:eastAsiaTheme="minorEastAsia" w:hAnsiTheme="minorHAnsi" w:cstheme="minorBidi"/>
          <w:b w:val="0"/>
          <w:noProof/>
          <w:sz w:val="22"/>
          <w:lang w:eastAsia="en-AU"/>
        </w:rPr>
      </w:pPr>
      <w:hyperlink w:anchor="_Toc345675770" w:history="1">
        <w:r w:rsidRPr="00CC213F">
          <w:rPr>
            <w:rStyle w:val="Hyperlink"/>
            <w:noProof/>
          </w:rPr>
          <w:t>III. Nonclinical findings</w:t>
        </w:r>
        <w:r>
          <w:rPr>
            <w:noProof/>
            <w:webHidden/>
          </w:rPr>
          <w:tab/>
        </w:r>
        <w:r>
          <w:rPr>
            <w:noProof/>
            <w:webHidden/>
          </w:rPr>
          <w:fldChar w:fldCharType="begin"/>
        </w:r>
        <w:r>
          <w:rPr>
            <w:noProof/>
            <w:webHidden/>
          </w:rPr>
          <w:instrText xml:space="preserve"> PAGEREF _Toc345675770 \h </w:instrText>
        </w:r>
        <w:r>
          <w:rPr>
            <w:noProof/>
            <w:webHidden/>
          </w:rPr>
        </w:r>
        <w:r>
          <w:rPr>
            <w:noProof/>
            <w:webHidden/>
          </w:rPr>
          <w:fldChar w:fldCharType="separate"/>
        </w:r>
        <w:r>
          <w:rPr>
            <w:noProof/>
            <w:webHidden/>
          </w:rPr>
          <w:t>9</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71" w:history="1">
        <w:r w:rsidRPr="00CC213F">
          <w:rPr>
            <w:rStyle w:val="Hyperlink"/>
            <w:noProof/>
          </w:rPr>
          <w:t>Introduction</w:t>
        </w:r>
        <w:r>
          <w:rPr>
            <w:noProof/>
            <w:webHidden/>
          </w:rPr>
          <w:tab/>
        </w:r>
        <w:r>
          <w:rPr>
            <w:noProof/>
            <w:webHidden/>
          </w:rPr>
          <w:fldChar w:fldCharType="begin"/>
        </w:r>
        <w:r>
          <w:rPr>
            <w:noProof/>
            <w:webHidden/>
          </w:rPr>
          <w:instrText xml:space="preserve"> PAGEREF _Toc345675771 \h </w:instrText>
        </w:r>
        <w:r>
          <w:rPr>
            <w:noProof/>
            <w:webHidden/>
          </w:rPr>
        </w:r>
        <w:r>
          <w:rPr>
            <w:noProof/>
            <w:webHidden/>
          </w:rPr>
          <w:fldChar w:fldCharType="separate"/>
        </w:r>
        <w:r>
          <w:rPr>
            <w:noProof/>
            <w:webHidden/>
          </w:rPr>
          <w:t>9</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72" w:history="1">
        <w:r w:rsidRPr="00CC213F">
          <w:rPr>
            <w:rStyle w:val="Hyperlink"/>
            <w:noProof/>
          </w:rPr>
          <w:t>Pharmacology</w:t>
        </w:r>
        <w:r>
          <w:rPr>
            <w:noProof/>
            <w:webHidden/>
          </w:rPr>
          <w:tab/>
        </w:r>
        <w:r>
          <w:rPr>
            <w:noProof/>
            <w:webHidden/>
          </w:rPr>
          <w:fldChar w:fldCharType="begin"/>
        </w:r>
        <w:r>
          <w:rPr>
            <w:noProof/>
            <w:webHidden/>
          </w:rPr>
          <w:instrText xml:space="preserve"> PAGEREF _Toc345675772 \h </w:instrText>
        </w:r>
        <w:r>
          <w:rPr>
            <w:noProof/>
            <w:webHidden/>
          </w:rPr>
        </w:r>
        <w:r>
          <w:rPr>
            <w:noProof/>
            <w:webHidden/>
          </w:rPr>
          <w:fldChar w:fldCharType="separate"/>
        </w:r>
        <w:r>
          <w:rPr>
            <w:noProof/>
            <w:webHidden/>
          </w:rPr>
          <w:t>9</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73" w:history="1">
        <w:r w:rsidRPr="00CC213F">
          <w:rPr>
            <w:rStyle w:val="Hyperlink"/>
            <w:noProof/>
          </w:rPr>
          <w:t>Pharmacokinetics</w:t>
        </w:r>
        <w:r>
          <w:rPr>
            <w:noProof/>
            <w:webHidden/>
          </w:rPr>
          <w:tab/>
        </w:r>
        <w:r>
          <w:rPr>
            <w:noProof/>
            <w:webHidden/>
          </w:rPr>
          <w:fldChar w:fldCharType="begin"/>
        </w:r>
        <w:r>
          <w:rPr>
            <w:noProof/>
            <w:webHidden/>
          </w:rPr>
          <w:instrText xml:space="preserve"> PAGEREF _Toc345675773 \h </w:instrText>
        </w:r>
        <w:r>
          <w:rPr>
            <w:noProof/>
            <w:webHidden/>
          </w:rPr>
        </w:r>
        <w:r>
          <w:rPr>
            <w:noProof/>
            <w:webHidden/>
          </w:rPr>
          <w:fldChar w:fldCharType="separate"/>
        </w:r>
        <w:r>
          <w:rPr>
            <w:noProof/>
            <w:webHidden/>
          </w:rPr>
          <w:t>13</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74" w:history="1">
        <w:r w:rsidRPr="00CC213F">
          <w:rPr>
            <w:rStyle w:val="Hyperlink"/>
            <w:noProof/>
          </w:rPr>
          <w:t>Toxicology</w:t>
        </w:r>
        <w:r>
          <w:rPr>
            <w:noProof/>
            <w:webHidden/>
          </w:rPr>
          <w:tab/>
        </w:r>
        <w:r>
          <w:rPr>
            <w:noProof/>
            <w:webHidden/>
          </w:rPr>
          <w:fldChar w:fldCharType="begin"/>
        </w:r>
        <w:r>
          <w:rPr>
            <w:noProof/>
            <w:webHidden/>
          </w:rPr>
          <w:instrText xml:space="preserve"> PAGEREF _Toc345675774 \h </w:instrText>
        </w:r>
        <w:r>
          <w:rPr>
            <w:noProof/>
            <w:webHidden/>
          </w:rPr>
        </w:r>
        <w:r>
          <w:rPr>
            <w:noProof/>
            <w:webHidden/>
          </w:rPr>
          <w:fldChar w:fldCharType="separate"/>
        </w:r>
        <w:r>
          <w:rPr>
            <w:noProof/>
            <w:webHidden/>
          </w:rPr>
          <w:t>14</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75" w:history="1">
        <w:r w:rsidRPr="00CC213F">
          <w:rPr>
            <w:rStyle w:val="Hyperlink"/>
            <w:noProof/>
          </w:rPr>
          <w:t>Nonclinical summary and conclusions</w:t>
        </w:r>
        <w:r>
          <w:rPr>
            <w:noProof/>
            <w:webHidden/>
          </w:rPr>
          <w:tab/>
        </w:r>
        <w:r>
          <w:rPr>
            <w:noProof/>
            <w:webHidden/>
          </w:rPr>
          <w:fldChar w:fldCharType="begin"/>
        </w:r>
        <w:r>
          <w:rPr>
            <w:noProof/>
            <w:webHidden/>
          </w:rPr>
          <w:instrText xml:space="preserve"> PAGEREF _Toc345675775 \h </w:instrText>
        </w:r>
        <w:r>
          <w:rPr>
            <w:noProof/>
            <w:webHidden/>
          </w:rPr>
        </w:r>
        <w:r>
          <w:rPr>
            <w:noProof/>
            <w:webHidden/>
          </w:rPr>
          <w:fldChar w:fldCharType="separate"/>
        </w:r>
        <w:r>
          <w:rPr>
            <w:noProof/>
            <w:webHidden/>
          </w:rPr>
          <w:t>19</w:t>
        </w:r>
        <w:r>
          <w:rPr>
            <w:noProof/>
            <w:webHidden/>
          </w:rPr>
          <w:fldChar w:fldCharType="end"/>
        </w:r>
      </w:hyperlink>
    </w:p>
    <w:p w:rsidR="00581386" w:rsidRDefault="00581386">
      <w:pPr>
        <w:pStyle w:val="TOC2"/>
        <w:rPr>
          <w:rFonts w:asciiTheme="minorHAnsi" w:eastAsiaTheme="minorEastAsia" w:hAnsiTheme="minorHAnsi" w:cstheme="minorBidi"/>
          <w:b w:val="0"/>
          <w:noProof/>
          <w:sz w:val="22"/>
          <w:lang w:eastAsia="en-AU"/>
        </w:rPr>
      </w:pPr>
      <w:hyperlink w:anchor="_Toc345675776" w:history="1">
        <w:r w:rsidRPr="00CC213F">
          <w:rPr>
            <w:rStyle w:val="Hyperlink"/>
            <w:noProof/>
          </w:rPr>
          <w:t>IV. Clinical findings</w:t>
        </w:r>
        <w:r>
          <w:rPr>
            <w:noProof/>
            <w:webHidden/>
          </w:rPr>
          <w:tab/>
        </w:r>
        <w:r>
          <w:rPr>
            <w:noProof/>
            <w:webHidden/>
          </w:rPr>
          <w:fldChar w:fldCharType="begin"/>
        </w:r>
        <w:r>
          <w:rPr>
            <w:noProof/>
            <w:webHidden/>
          </w:rPr>
          <w:instrText xml:space="preserve"> PAGEREF _Toc345675776 \h </w:instrText>
        </w:r>
        <w:r>
          <w:rPr>
            <w:noProof/>
            <w:webHidden/>
          </w:rPr>
        </w:r>
        <w:r>
          <w:rPr>
            <w:noProof/>
            <w:webHidden/>
          </w:rPr>
          <w:fldChar w:fldCharType="separate"/>
        </w:r>
        <w:r>
          <w:rPr>
            <w:noProof/>
            <w:webHidden/>
          </w:rPr>
          <w:t>21</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77" w:history="1">
        <w:r w:rsidRPr="00CC213F">
          <w:rPr>
            <w:rStyle w:val="Hyperlink"/>
            <w:noProof/>
          </w:rPr>
          <w:t>Introduction</w:t>
        </w:r>
        <w:r>
          <w:rPr>
            <w:noProof/>
            <w:webHidden/>
          </w:rPr>
          <w:tab/>
        </w:r>
        <w:r>
          <w:rPr>
            <w:noProof/>
            <w:webHidden/>
          </w:rPr>
          <w:fldChar w:fldCharType="begin"/>
        </w:r>
        <w:r>
          <w:rPr>
            <w:noProof/>
            <w:webHidden/>
          </w:rPr>
          <w:instrText xml:space="preserve"> PAGEREF _Toc345675777 \h </w:instrText>
        </w:r>
        <w:r>
          <w:rPr>
            <w:noProof/>
            <w:webHidden/>
          </w:rPr>
        </w:r>
        <w:r>
          <w:rPr>
            <w:noProof/>
            <w:webHidden/>
          </w:rPr>
          <w:fldChar w:fldCharType="separate"/>
        </w:r>
        <w:r>
          <w:rPr>
            <w:noProof/>
            <w:webHidden/>
          </w:rPr>
          <w:t>21</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78" w:history="1">
        <w:r w:rsidRPr="00CC213F">
          <w:rPr>
            <w:rStyle w:val="Hyperlink"/>
            <w:noProof/>
          </w:rPr>
          <w:t>Pharmacokinetics</w:t>
        </w:r>
        <w:r>
          <w:rPr>
            <w:noProof/>
            <w:webHidden/>
          </w:rPr>
          <w:tab/>
        </w:r>
        <w:r>
          <w:rPr>
            <w:noProof/>
            <w:webHidden/>
          </w:rPr>
          <w:fldChar w:fldCharType="begin"/>
        </w:r>
        <w:r>
          <w:rPr>
            <w:noProof/>
            <w:webHidden/>
          </w:rPr>
          <w:instrText xml:space="preserve"> PAGEREF _Toc345675778 \h </w:instrText>
        </w:r>
        <w:r>
          <w:rPr>
            <w:noProof/>
            <w:webHidden/>
          </w:rPr>
        </w:r>
        <w:r>
          <w:rPr>
            <w:noProof/>
            <w:webHidden/>
          </w:rPr>
          <w:fldChar w:fldCharType="separate"/>
        </w:r>
        <w:r>
          <w:rPr>
            <w:noProof/>
            <w:webHidden/>
          </w:rPr>
          <w:t>22</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79" w:history="1">
        <w:r w:rsidRPr="00CC213F">
          <w:rPr>
            <w:rStyle w:val="Hyperlink"/>
            <w:noProof/>
          </w:rPr>
          <w:t>Pharmacodynamics</w:t>
        </w:r>
        <w:r>
          <w:rPr>
            <w:noProof/>
            <w:webHidden/>
          </w:rPr>
          <w:tab/>
        </w:r>
        <w:r>
          <w:rPr>
            <w:noProof/>
            <w:webHidden/>
          </w:rPr>
          <w:fldChar w:fldCharType="begin"/>
        </w:r>
        <w:r>
          <w:rPr>
            <w:noProof/>
            <w:webHidden/>
          </w:rPr>
          <w:instrText xml:space="preserve"> PAGEREF _Toc345675779 \h </w:instrText>
        </w:r>
        <w:r>
          <w:rPr>
            <w:noProof/>
            <w:webHidden/>
          </w:rPr>
        </w:r>
        <w:r>
          <w:rPr>
            <w:noProof/>
            <w:webHidden/>
          </w:rPr>
          <w:fldChar w:fldCharType="separate"/>
        </w:r>
        <w:r>
          <w:rPr>
            <w:noProof/>
            <w:webHidden/>
          </w:rPr>
          <w:t>51</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80" w:history="1">
        <w:r w:rsidRPr="00CC213F">
          <w:rPr>
            <w:rStyle w:val="Hyperlink"/>
            <w:noProof/>
          </w:rPr>
          <w:t>Dosage selection for the pivotal studies</w:t>
        </w:r>
        <w:r>
          <w:rPr>
            <w:noProof/>
            <w:webHidden/>
          </w:rPr>
          <w:tab/>
        </w:r>
        <w:r>
          <w:rPr>
            <w:noProof/>
            <w:webHidden/>
          </w:rPr>
          <w:fldChar w:fldCharType="begin"/>
        </w:r>
        <w:r>
          <w:rPr>
            <w:noProof/>
            <w:webHidden/>
          </w:rPr>
          <w:instrText xml:space="preserve"> PAGEREF _Toc345675780 \h </w:instrText>
        </w:r>
        <w:r>
          <w:rPr>
            <w:noProof/>
            <w:webHidden/>
          </w:rPr>
        </w:r>
        <w:r>
          <w:rPr>
            <w:noProof/>
            <w:webHidden/>
          </w:rPr>
          <w:fldChar w:fldCharType="separate"/>
        </w:r>
        <w:r>
          <w:rPr>
            <w:noProof/>
            <w:webHidden/>
          </w:rPr>
          <w:t>51</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81" w:history="1">
        <w:r w:rsidRPr="00CC213F">
          <w:rPr>
            <w:rStyle w:val="Hyperlink"/>
            <w:noProof/>
          </w:rPr>
          <w:t>Efficacy</w:t>
        </w:r>
        <w:r>
          <w:rPr>
            <w:noProof/>
            <w:webHidden/>
          </w:rPr>
          <w:tab/>
        </w:r>
        <w:r>
          <w:rPr>
            <w:noProof/>
            <w:webHidden/>
          </w:rPr>
          <w:fldChar w:fldCharType="begin"/>
        </w:r>
        <w:r>
          <w:rPr>
            <w:noProof/>
            <w:webHidden/>
          </w:rPr>
          <w:instrText xml:space="preserve"> PAGEREF _Toc345675781 \h </w:instrText>
        </w:r>
        <w:r>
          <w:rPr>
            <w:noProof/>
            <w:webHidden/>
          </w:rPr>
        </w:r>
        <w:r>
          <w:rPr>
            <w:noProof/>
            <w:webHidden/>
          </w:rPr>
          <w:fldChar w:fldCharType="separate"/>
        </w:r>
        <w:r>
          <w:rPr>
            <w:noProof/>
            <w:webHidden/>
          </w:rPr>
          <w:t>52</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82" w:history="1">
        <w:r w:rsidRPr="00CC213F">
          <w:rPr>
            <w:rStyle w:val="Hyperlink"/>
            <w:noProof/>
          </w:rPr>
          <w:t>Safety</w:t>
        </w:r>
        <w:r>
          <w:rPr>
            <w:noProof/>
            <w:webHidden/>
          </w:rPr>
          <w:tab/>
        </w:r>
        <w:r>
          <w:rPr>
            <w:noProof/>
            <w:webHidden/>
          </w:rPr>
          <w:fldChar w:fldCharType="begin"/>
        </w:r>
        <w:r>
          <w:rPr>
            <w:noProof/>
            <w:webHidden/>
          </w:rPr>
          <w:instrText xml:space="preserve"> PAGEREF _Toc345675782 \h </w:instrText>
        </w:r>
        <w:r>
          <w:rPr>
            <w:noProof/>
            <w:webHidden/>
          </w:rPr>
        </w:r>
        <w:r>
          <w:rPr>
            <w:noProof/>
            <w:webHidden/>
          </w:rPr>
          <w:fldChar w:fldCharType="separate"/>
        </w:r>
        <w:r>
          <w:rPr>
            <w:noProof/>
            <w:webHidden/>
          </w:rPr>
          <w:t>64</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83" w:history="1">
        <w:r w:rsidRPr="00CC213F">
          <w:rPr>
            <w:rStyle w:val="Hyperlink"/>
            <w:noProof/>
          </w:rPr>
          <w:t>Clinical summary and conclusions</w:t>
        </w:r>
        <w:r>
          <w:rPr>
            <w:noProof/>
            <w:webHidden/>
          </w:rPr>
          <w:tab/>
        </w:r>
        <w:r>
          <w:rPr>
            <w:noProof/>
            <w:webHidden/>
          </w:rPr>
          <w:fldChar w:fldCharType="begin"/>
        </w:r>
        <w:r>
          <w:rPr>
            <w:noProof/>
            <w:webHidden/>
          </w:rPr>
          <w:instrText xml:space="preserve"> PAGEREF _Toc345675783 \h </w:instrText>
        </w:r>
        <w:r>
          <w:rPr>
            <w:noProof/>
            <w:webHidden/>
          </w:rPr>
        </w:r>
        <w:r>
          <w:rPr>
            <w:noProof/>
            <w:webHidden/>
          </w:rPr>
          <w:fldChar w:fldCharType="separate"/>
        </w:r>
        <w:r>
          <w:rPr>
            <w:noProof/>
            <w:webHidden/>
          </w:rPr>
          <w:t>80</w:t>
        </w:r>
        <w:r>
          <w:rPr>
            <w:noProof/>
            <w:webHidden/>
          </w:rPr>
          <w:fldChar w:fldCharType="end"/>
        </w:r>
      </w:hyperlink>
    </w:p>
    <w:p w:rsidR="00581386" w:rsidRDefault="00581386">
      <w:pPr>
        <w:pStyle w:val="TOC2"/>
        <w:rPr>
          <w:rFonts w:asciiTheme="minorHAnsi" w:eastAsiaTheme="minorEastAsia" w:hAnsiTheme="minorHAnsi" w:cstheme="minorBidi"/>
          <w:b w:val="0"/>
          <w:noProof/>
          <w:sz w:val="22"/>
          <w:lang w:eastAsia="en-AU"/>
        </w:rPr>
      </w:pPr>
      <w:hyperlink w:anchor="_Toc345675784" w:history="1">
        <w:r w:rsidRPr="00CC213F">
          <w:rPr>
            <w:rStyle w:val="Hyperlink"/>
            <w:noProof/>
          </w:rPr>
          <w:t>V. Pharmacovigilance findings</w:t>
        </w:r>
        <w:r>
          <w:rPr>
            <w:noProof/>
            <w:webHidden/>
          </w:rPr>
          <w:tab/>
        </w:r>
        <w:r>
          <w:rPr>
            <w:noProof/>
            <w:webHidden/>
          </w:rPr>
          <w:fldChar w:fldCharType="begin"/>
        </w:r>
        <w:r>
          <w:rPr>
            <w:noProof/>
            <w:webHidden/>
          </w:rPr>
          <w:instrText xml:space="preserve"> PAGEREF _Toc345675784 \h </w:instrText>
        </w:r>
        <w:r>
          <w:rPr>
            <w:noProof/>
            <w:webHidden/>
          </w:rPr>
        </w:r>
        <w:r>
          <w:rPr>
            <w:noProof/>
            <w:webHidden/>
          </w:rPr>
          <w:fldChar w:fldCharType="separate"/>
        </w:r>
        <w:r>
          <w:rPr>
            <w:noProof/>
            <w:webHidden/>
          </w:rPr>
          <w:t>82</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85" w:history="1">
        <w:r w:rsidRPr="00CC213F">
          <w:rPr>
            <w:rStyle w:val="Hyperlink"/>
            <w:noProof/>
            <w:lang w:eastAsia="en-AU"/>
          </w:rPr>
          <w:t>Risk management plan</w:t>
        </w:r>
        <w:r>
          <w:rPr>
            <w:noProof/>
            <w:webHidden/>
          </w:rPr>
          <w:tab/>
        </w:r>
        <w:r>
          <w:rPr>
            <w:noProof/>
            <w:webHidden/>
          </w:rPr>
          <w:fldChar w:fldCharType="begin"/>
        </w:r>
        <w:r>
          <w:rPr>
            <w:noProof/>
            <w:webHidden/>
          </w:rPr>
          <w:instrText xml:space="preserve"> PAGEREF _Toc345675785 \h </w:instrText>
        </w:r>
        <w:r>
          <w:rPr>
            <w:noProof/>
            <w:webHidden/>
          </w:rPr>
        </w:r>
        <w:r>
          <w:rPr>
            <w:noProof/>
            <w:webHidden/>
          </w:rPr>
          <w:fldChar w:fldCharType="separate"/>
        </w:r>
        <w:r>
          <w:rPr>
            <w:noProof/>
            <w:webHidden/>
          </w:rPr>
          <w:t>82</w:t>
        </w:r>
        <w:r>
          <w:rPr>
            <w:noProof/>
            <w:webHidden/>
          </w:rPr>
          <w:fldChar w:fldCharType="end"/>
        </w:r>
      </w:hyperlink>
    </w:p>
    <w:p w:rsidR="00581386" w:rsidRDefault="00581386">
      <w:pPr>
        <w:pStyle w:val="TOC2"/>
        <w:rPr>
          <w:rFonts w:asciiTheme="minorHAnsi" w:eastAsiaTheme="minorEastAsia" w:hAnsiTheme="minorHAnsi" w:cstheme="minorBidi"/>
          <w:b w:val="0"/>
          <w:noProof/>
          <w:sz w:val="22"/>
          <w:lang w:eastAsia="en-AU"/>
        </w:rPr>
      </w:pPr>
      <w:hyperlink w:anchor="_Toc345675786" w:history="1">
        <w:r w:rsidRPr="00CC213F">
          <w:rPr>
            <w:rStyle w:val="Hyperlink"/>
            <w:noProof/>
          </w:rPr>
          <w:t>VI. Overall conclusion and risk/benefit assessment</w:t>
        </w:r>
        <w:r>
          <w:rPr>
            <w:noProof/>
            <w:webHidden/>
          </w:rPr>
          <w:tab/>
        </w:r>
        <w:r>
          <w:rPr>
            <w:noProof/>
            <w:webHidden/>
          </w:rPr>
          <w:fldChar w:fldCharType="begin"/>
        </w:r>
        <w:r>
          <w:rPr>
            <w:noProof/>
            <w:webHidden/>
          </w:rPr>
          <w:instrText xml:space="preserve"> PAGEREF _Toc345675786 \h </w:instrText>
        </w:r>
        <w:r>
          <w:rPr>
            <w:noProof/>
            <w:webHidden/>
          </w:rPr>
        </w:r>
        <w:r>
          <w:rPr>
            <w:noProof/>
            <w:webHidden/>
          </w:rPr>
          <w:fldChar w:fldCharType="separate"/>
        </w:r>
        <w:r>
          <w:rPr>
            <w:noProof/>
            <w:webHidden/>
          </w:rPr>
          <w:t>84</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87" w:history="1">
        <w:r w:rsidRPr="00CC213F">
          <w:rPr>
            <w:rStyle w:val="Hyperlink"/>
            <w:noProof/>
          </w:rPr>
          <w:t>Quality</w:t>
        </w:r>
        <w:r>
          <w:rPr>
            <w:noProof/>
            <w:webHidden/>
          </w:rPr>
          <w:tab/>
        </w:r>
        <w:r>
          <w:rPr>
            <w:noProof/>
            <w:webHidden/>
          </w:rPr>
          <w:fldChar w:fldCharType="begin"/>
        </w:r>
        <w:r>
          <w:rPr>
            <w:noProof/>
            <w:webHidden/>
          </w:rPr>
          <w:instrText xml:space="preserve"> PAGEREF _Toc345675787 \h </w:instrText>
        </w:r>
        <w:r>
          <w:rPr>
            <w:noProof/>
            <w:webHidden/>
          </w:rPr>
        </w:r>
        <w:r>
          <w:rPr>
            <w:noProof/>
            <w:webHidden/>
          </w:rPr>
          <w:fldChar w:fldCharType="separate"/>
        </w:r>
        <w:r>
          <w:rPr>
            <w:noProof/>
            <w:webHidden/>
          </w:rPr>
          <w:t>84</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88" w:history="1">
        <w:r w:rsidRPr="00CC213F">
          <w:rPr>
            <w:rStyle w:val="Hyperlink"/>
            <w:noProof/>
          </w:rPr>
          <w:t>Nonclinical</w:t>
        </w:r>
        <w:r>
          <w:rPr>
            <w:noProof/>
            <w:webHidden/>
          </w:rPr>
          <w:tab/>
        </w:r>
        <w:r>
          <w:rPr>
            <w:noProof/>
            <w:webHidden/>
          </w:rPr>
          <w:fldChar w:fldCharType="begin"/>
        </w:r>
        <w:r>
          <w:rPr>
            <w:noProof/>
            <w:webHidden/>
          </w:rPr>
          <w:instrText xml:space="preserve"> PAGEREF _Toc345675788 \h </w:instrText>
        </w:r>
        <w:r>
          <w:rPr>
            <w:noProof/>
            <w:webHidden/>
          </w:rPr>
        </w:r>
        <w:r>
          <w:rPr>
            <w:noProof/>
            <w:webHidden/>
          </w:rPr>
          <w:fldChar w:fldCharType="separate"/>
        </w:r>
        <w:r>
          <w:rPr>
            <w:noProof/>
            <w:webHidden/>
          </w:rPr>
          <w:t>84</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89" w:history="1">
        <w:r w:rsidRPr="00CC213F">
          <w:rPr>
            <w:rStyle w:val="Hyperlink"/>
            <w:noProof/>
          </w:rPr>
          <w:t>Clinical</w:t>
        </w:r>
        <w:r>
          <w:rPr>
            <w:noProof/>
            <w:webHidden/>
          </w:rPr>
          <w:tab/>
        </w:r>
        <w:r>
          <w:rPr>
            <w:noProof/>
            <w:webHidden/>
          </w:rPr>
          <w:fldChar w:fldCharType="begin"/>
        </w:r>
        <w:r>
          <w:rPr>
            <w:noProof/>
            <w:webHidden/>
          </w:rPr>
          <w:instrText xml:space="preserve"> PAGEREF _Toc345675789 \h </w:instrText>
        </w:r>
        <w:r>
          <w:rPr>
            <w:noProof/>
            <w:webHidden/>
          </w:rPr>
        </w:r>
        <w:r>
          <w:rPr>
            <w:noProof/>
            <w:webHidden/>
          </w:rPr>
          <w:fldChar w:fldCharType="separate"/>
        </w:r>
        <w:r>
          <w:rPr>
            <w:noProof/>
            <w:webHidden/>
          </w:rPr>
          <w:t>85</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90" w:history="1">
        <w:r w:rsidRPr="00CC213F">
          <w:rPr>
            <w:rStyle w:val="Hyperlink"/>
            <w:noProof/>
            <w:lang w:eastAsia="en-AU"/>
          </w:rPr>
          <w:t>Risk management plan</w:t>
        </w:r>
        <w:r>
          <w:rPr>
            <w:noProof/>
            <w:webHidden/>
          </w:rPr>
          <w:tab/>
        </w:r>
        <w:r>
          <w:rPr>
            <w:noProof/>
            <w:webHidden/>
          </w:rPr>
          <w:fldChar w:fldCharType="begin"/>
        </w:r>
        <w:r>
          <w:rPr>
            <w:noProof/>
            <w:webHidden/>
          </w:rPr>
          <w:instrText xml:space="preserve"> PAGEREF _Toc345675790 \h </w:instrText>
        </w:r>
        <w:r>
          <w:rPr>
            <w:noProof/>
            <w:webHidden/>
          </w:rPr>
        </w:r>
        <w:r>
          <w:rPr>
            <w:noProof/>
            <w:webHidden/>
          </w:rPr>
          <w:fldChar w:fldCharType="separate"/>
        </w:r>
        <w:r>
          <w:rPr>
            <w:noProof/>
            <w:webHidden/>
          </w:rPr>
          <w:t>88</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91" w:history="1">
        <w:r w:rsidRPr="00CC213F">
          <w:rPr>
            <w:rStyle w:val="Hyperlink"/>
            <w:noProof/>
          </w:rPr>
          <w:t>Risk-benefit analysis</w:t>
        </w:r>
        <w:r>
          <w:rPr>
            <w:noProof/>
            <w:webHidden/>
          </w:rPr>
          <w:tab/>
        </w:r>
        <w:r>
          <w:rPr>
            <w:noProof/>
            <w:webHidden/>
          </w:rPr>
          <w:fldChar w:fldCharType="begin"/>
        </w:r>
        <w:r>
          <w:rPr>
            <w:noProof/>
            <w:webHidden/>
          </w:rPr>
          <w:instrText xml:space="preserve"> PAGEREF _Toc345675791 \h </w:instrText>
        </w:r>
        <w:r>
          <w:rPr>
            <w:noProof/>
            <w:webHidden/>
          </w:rPr>
        </w:r>
        <w:r>
          <w:rPr>
            <w:noProof/>
            <w:webHidden/>
          </w:rPr>
          <w:fldChar w:fldCharType="separate"/>
        </w:r>
        <w:r>
          <w:rPr>
            <w:noProof/>
            <w:webHidden/>
          </w:rPr>
          <w:t>88</w:t>
        </w:r>
        <w:r>
          <w:rPr>
            <w:noProof/>
            <w:webHidden/>
          </w:rPr>
          <w:fldChar w:fldCharType="end"/>
        </w:r>
      </w:hyperlink>
    </w:p>
    <w:p w:rsidR="00581386" w:rsidRDefault="00581386">
      <w:pPr>
        <w:pStyle w:val="TOC3"/>
        <w:rPr>
          <w:rFonts w:asciiTheme="minorHAnsi" w:eastAsiaTheme="minorEastAsia" w:hAnsiTheme="minorHAnsi" w:cstheme="minorBidi"/>
          <w:noProof/>
          <w:sz w:val="22"/>
          <w:lang w:eastAsia="en-AU"/>
        </w:rPr>
      </w:pPr>
      <w:hyperlink w:anchor="_Toc345675792" w:history="1">
        <w:r w:rsidRPr="00CC213F">
          <w:rPr>
            <w:rStyle w:val="Hyperlink"/>
            <w:noProof/>
          </w:rPr>
          <w:t>Outcome</w:t>
        </w:r>
        <w:r>
          <w:rPr>
            <w:noProof/>
            <w:webHidden/>
          </w:rPr>
          <w:tab/>
        </w:r>
        <w:r>
          <w:rPr>
            <w:noProof/>
            <w:webHidden/>
          </w:rPr>
          <w:fldChar w:fldCharType="begin"/>
        </w:r>
        <w:r>
          <w:rPr>
            <w:noProof/>
            <w:webHidden/>
          </w:rPr>
          <w:instrText xml:space="preserve"> PAGEREF _Toc345675792 \h </w:instrText>
        </w:r>
        <w:r>
          <w:rPr>
            <w:noProof/>
            <w:webHidden/>
          </w:rPr>
        </w:r>
        <w:r>
          <w:rPr>
            <w:noProof/>
            <w:webHidden/>
          </w:rPr>
          <w:fldChar w:fldCharType="separate"/>
        </w:r>
        <w:r>
          <w:rPr>
            <w:noProof/>
            <w:webHidden/>
          </w:rPr>
          <w:t>95</w:t>
        </w:r>
        <w:r>
          <w:rPr>
            <w:noProof/>
            <w:webHidden/>
          </w:rPr>
          <w:fldChar w:fldCharType="end"/>
        </w:r>
      </w:hyperlink>
    </w:p>
    <w:p w:rsidR="00581386" w:rsidRDefault="00581386">
      <w:pPr>
        <w:pStyle w:val="TOC2"/>
        <w:tabs>
          <w:tab w:val="left" w:pos="2448"/>
        </w:tabs>
        <w:rPr>
          <w:rFonts w:asciiTheme="minorHAnsi" w:eastAsiaTheme="minorEastAsia" w:hAnsiTheme="minorHAnsi" w:cstheme="minorBidi"/>
          <w:b w:val="0"/>
          <w:noProof/>
          <w:sz w:val="22"/>
          <w:lang w:eastAsia="en-AU"/>
        </w:rPr>
      </w:pPr>
      <w:hyperlink w:anchor="_Toc345675793" w:history="1">
        <w:r w:rsidRPr="00CC213F">
          <w:rPr>
            <w:rStyle w:val="Hyperlink"/>
            <w:noProof/>
          </w:rPr>
          <w:t>Attachment 1.</w:t>
        </w:r>
        <w:r>
          <w:rPr>
            <w:rFonts w:asciiTheme="minorHAnsi" w:eastAsiaTheme="minorEastAsia" w:hAnsiTheme="minorHAnsi" w:cstheme="minorBidi"/>
            <w:b w:val="0"/>
            <w:noProof/>
            <w:sz w:val="22"/>
            <w:lang w:eastAsia="en-AU"/>
          </w:rPr>
          <w:tab/>
        </w:r>
        <w:r w:rsidRPr="00CC213F">
          <w:rPr>
            <w:rStyle w:val="Hyperlink"/>
            <w:noProof/>
          </w:rPr>
          <w:t>Product Information</w:t>
        </w:r>
        <w:r>
          <w:rPr>
            <w:noProof/>
            <w:webHidden/>
          </w:rPr>
          <w:tab/>
        </w:r>
        <w:r>
          <w:rPr>
            <w:noProof/>
            <w:webHidden/>
          </w:rPr>
          <w:fldChar w:fldCharType="begin"/>
        </w:r>
        <w:r>
          <w:rPr>
            <w:noProof/>
            <w:webHidden/>
          </w:rPr>
          <w:instrText xml:space="preserve"> PAGEREF _Toc345675793 \h </w:instrText>
        </w:r>
        <w:r>
          <w:rPr>
            <w:noProof/>
            <w:webHidden/>
          </w:rPr>
        </w:r>
        <w:r>
          <w:rPr>
            <w:noProof/>
            <w:webHidden/>
          </w:rPr>
          <w:fldChar w:fldCharType="separate"/>
        </w:r>
        <w:r>
          <w:rPr>
            <w:noProof/>
            <w:webHidden/>
          </w:rPr>
          <w:t>95</w:t>
        </w:r>
        <w:r>
          <w:rPr>
            <w:noProof/>
            <w:webHidden/>
          </w:rPr>
          <w:fldChar w:fldCharType="end"/>
        </w:r>
      </w:hyperlink>
    </w:p>
    <w:p w:rsidR="00116AE6" w:rsidRDefault="00F016D0" w:rsidP="00F26005">
      <w:pPr>
        <w:pStyle w:val="Heading2"/>
      </w:pPr>
      <w:r>
        <w:lastRenderedPageBreak/>
        <w:fldChar w:fldCharType="end"/>
      </w:r>
      <w:bookmarkStart w:id="0" w:name="_Toc247691501"/>
      <w:bookmarkStart w:id="1" w:name="_Toc196046425"/>
      <w:bookmarkStart w:id="2" w:name="_Toc345675758"/>
      <w:r w:rsidR="008A6D16">
        <w:t>I.</w:t>
      </w:r>
      <w:r w:rsidR="005777FF">
        <w:t xml:space="preserve"> </w:t>
      </w:r>
      <w:r w:rsidR="00154DE3">
        <w:t>Introduction to product s</w:t>
      </w:r>
      <w:r w:rsidR="00116AE6">
        <w:t>ubmission</w:t>
      </w:r>
      <w:bookmarkEnd w:id="0"/>
      <w:bookmarkEnd w:id="2"/>
    </w:p>
    <w:p w:rsidR="00154DE3" w:rsidRDefault="00154DE3" w:rsidP="00154DE3">
      <w:pPr>
        <w:pStyle w:val="Heading3"/>
        <w:rPr>
          <w:lang w:eastAsia="en-AU"/>
        </w:rPr>
      </w:pPr>
      <w:bookmarkStart w:id="3" w:name="_Toc247691502"/>
    </w:p>
    <w:p w:rsidR="00116AE6" w:rsidRDefault="00154DE3" w:rsidP="00154DE3">
      <w:pPr>
        <w:pStyle w:val="Heading3"/>
        <w:rPr>
          <w:lang w:eastAsia="en-AU"/>
        </w:rPr>
      </w:pPr>
      <w:bookmarkStart w:id="4" w:name="_Toc345675759"/>
      <w:r>
        <w:rPr>
          <w:lang w:eastAsia="en-AU"/>
        </w:rPr>
        <w:t>Submission d</w:t>
      </w:r>
      <w:r w:rsidR="00116AE6">
        <w:rPr>
          <w:lang w:eastAsia="en-AU"/>
        </w:rPr>
        <w:t>etails</w:t>
      </w:r>
      <w:bookmarkEnd w:id="3"/>
      <w:bookmarkEnd w:id="4"/>
    </w:p>
    <w:tbl>
      <w:tblPr>
        <w:tblW w:w="9497" w:type="dxa"/>
        <w:tblInd w:w="108" w:type="dxa"/>
        <w:tblLook w:val="01E0"/>
      </w:tblPr>
      <w:tblGrid>
        <w:gridCol w:w="2907"/>
        <w:gridCol w:w="6590"/>
      </w:tblGrid>
      <w:tr w:rsidR="00116AE6" w:rsidRPr="009C50CA" w:rsidTr="00BC73C9">
        <w:tc>
          <w:tcPr>
            <w:tcW w:w="2907" w:type="dxa"/>
          </w:tcPr>
          <w:p w:rsidR="00116AE6" w:rsidRPr="00154DE3" w:rsidRDefault="00116AE6" w:rsidP="009C50CA">
            <w:pPr>
              <w:rPr>
                <w:i/>
              </w:rPr>
            </w:pPr>
            <w:r w:rsidRPr="00154DE3">
              <w:rPr>
                <w:i/>
              </w:rPr>
              <w:t>Type of Submission</w:t>
            </w:r>
          </w:p>
        </w:tc>
        <w:tc>
          <w:tcPr>
            <w:tcW w:w="6590" w:type="dxa"/>
          </w:tcPr>
          <w:p w:rsidR="00116AE6" w:rsidRPr="009C50CA" w:rsidRDefault="00F016D0" w:rsidP="009C50CA">
            <w:r w:rsidRPr="009C50CA">
              <w:fldChar w:fldCharType="begin"/>
            </w:r>
            <w:r w:rsidR="00F651B3" w:rsidRPr="009C50CA">
              <w:instrText xml:space="preserve"> MERGEFIELD TYPE </w:instrText>
            </w:r>
            <w:r w:rsidRPr="009C50CA">
              <w:fldChar w:fldCharType="separate"/>
            </w:r>
            <w:r w:rsidR="00F54D40" w:rsidRPr="009C50CA">
              <w:rPr>
                <w:noProof/>
              </w:rPr>
              <w:t>New Chemical Entity</w:t>
            </w:r>
            <w:r w:rsidRPr="009C50CA">
              <w:fldChar w:fldCharType="end"/>
            </w:r>
          </w:p>
        </w:tc>
      </w:tr>
      <w:tr w:rsidR="00116AE6" w:rsidRPr="009C50CA" w:rsidTr="00BC73C9">
        <w:tc>
          <w:tcPr>
            <w:tcW w:w="2907" w:type="dxa"/>
          </w:tcPr>
          <w:p w:rsidR="00116AE6" w:rsidRPr="00154DE3" w:rsidRDefault="00116AE6" w:rsidP="009C50CA">
            <w:pPr>
              <w:rPr>
                <w:i/>
              </w:rPr>
            </w:pPr>
            <w:r w:rsidRPr="00154DE3">
              <w:rPr>
                <w:i/>
              </w:rPr>
              <w:t>Decision:</w:t>
            </w:r>
          </w:p>
        </w:tc>
        <w:tc>
          <w:tcPr>
            <w:tcW w:w="6590" w:type="dxa"/>
          </w:tcPr>
          <w:p w:rsidR="00116AE6" w:rsidRPr="009C50CA" w:rsidRDefault="00116AE6" w:rsidP="009C50CA">
            <w:r w:rsidRPr="009C50CA">
              <w:t xml:space="preserve">Approved </w:t>
            </w:r>
          </w:p>
        </w:tc>
      </w:tr>
      <w:tr w:rsidR="00116AE6" w:rsidRPr="009C50CA" w:rsidTr="00BC73C9">
        <w:tc>
          <w:tcPr>
            <w:tcW w:w="2907" w:type="dxa"/>
          </w:tcPr>
          <w:p w:rsidR="00116AE6" w:rsidRPr="00154DE3" w:rsidRDefault="00116AE6" w:rsidP="009C50CA">
            <w:pPr>
              <w:rPr>
                <w:i/>
              </w:rPr>
            </w:pPr>
            <w:r w:rsidRPr="00154DE3">
              <w:rPr>
                <w:i/>
              </w:rPr>
              <w:t>Date of Decision:</w:t>
            </w:r>
          </w:p>
        </w:tc>
        <w:tc>
          <w:tcPr>
            <w:tcW w:w="6590" w:type="dxa"/>
          </w:tcPr>
          <w:p w:rsidR="00116AE6" w:rsidRPr="009C50CA" w:rsidRDefault="009C50CA" w:rsidP="009C50CA">
            <w:r w:rsidRPr="009C50CA">
              <w:t>April 2012</w:t>
            </w:r>
          </w:p>
        </w:tc>
      </w:tr>
    </w:tbl>
    <w:p w:rsidR="00116AE6" w:rsidRPr="009C50CA" w:rsidRDefault="00116AE6" w:rsidP="009C50CA"/>
    <w:tbl>
      <w:tblPr>
        <w:tblW w:w="9497" w:type="dxa"/>
        <w:tblInd w:w="108" w:type="dxa"/>
        <w:tblLook w:val="01E0"/>
      </w:tblPr>
      <w:tblGrid>
        <w:gridCol w:w="2907"/>
        <w:gridCol w:w="6590"/>
      </w:tblGrid>
      <w:tr w:rsidR="00116AE6" w:rsidRPr="009C50CA" w:rsidTr="00BC73C9">
        <w:tc>
          <w:tcPr>
            <w:tcW w:w="2907" w:type="dxa"/>
          </w:tcPr>
          <w:p w:rsidR="00116AE6" w:rsidRPr="00154DE3" w:rsidRDefault="00116AE6" w:rsidP="009C50CA">
            <w:pPr>
              <w:rPr>
                <w:i/>
              </w:rPr>
            </w:pPr>
            <w:r w:rsidRPr="00154DE3">
              <w:rPr>
                <w:i/>
              </w:rPr>
              <w:t xml:space="preserve">Active ingredient(s): </w:t>
            </w:r>
          </w:p>
        </w:tc>
        <w:tc>
          <w:tcPr>
            <w:tcW w:w="6590" w:type="dxa"/>
          </w:tcPr>
          <w:p w:rsidR="00116AE6" w:rsidRPr="009C50CA" w:rsidRDefault="00F016D0" w:rsidP="009C50CA">
            <w:r w:rsidRPr="009C50CA">
              <w:fldChar w:fldCharType="begin"/>
            </w:r>
            <w:r w:rsidR="00F651B3" w:rsidRPr="009C50CA">
              <w:instrText xml:space="preserve"> MERGEFIELD GENERIC </w:instrText>
            </w:r>
            <w:r w:rsidRPr="009C50CA">
              <w:fldChar w:fldCharType="separate"/>
            </w:r>
            <w:r w:rsidR="009C50CA" w:rsidRPr="009C50CA">
              <w:rPr>
                <w:noProof/>
              </w:rPr>
              <w:t>V</w:t>
            </w:r>
            <w:r w:rsidR="00F54D40" w:rsidRPr="009C50CA">
              <w:rPr>
                <w:noProof/>
              </w:rPr>
              <w:t>emurafenib</w:t>
            </w:r>
            <w:r w:rsidRPr="009C50CA">
              <w:fldChar w:fldCharType="end"/>
            </w:r>
          </w:p>
        </w:tc>
      </w:tr>
      <w:tr w:rsidR="00116AE6" w:rsidRPr="009C50CA" w:rsidTr="00BC73C9">
        <w:tc>
          <w:tcPr>
            <w:tcW w:w="2907" w:type="dxa"/>
          </w:tcPr>
          <w:p w:rsidR="00116AE6" w:rsidRPr="00154DE3" w:rsidRDefault="00116AE6" w:rsidP="009C50CA">
            <w:pPr>
              <w:rPr>
                <w:i/>
              </w:rPr>
            </w:pPr>
            <w:r w:rsidRPr="00154DE3">
              <w:rPr>
                <w:i/>
              </w:rPr>
              <w:t xml:space="preserve">Product Name(s): </w:t>
            </w:r>
          </w:p>
        </w:tc>
        <w:tc>
          <w:tcPr>
            <w:tcW w:w="6590" w:type="dxa"/>
          </w:tcPr>
          <w:p w:rsidR="00116AE6" w:rsidRPr="009C50CA" w:rsidRDefault="00F016D0" w:rsidP="009C50CA">
            <w:r w:rsidRPr="009C50CA">
              <w:fldChar w:fldCharType="begin"/>
            </w:r>
            <w:r w:rsidR="00F651B3" w:rsidRPr="009C50CA">
              <w:instrText xml:space="preserve"> MERGEFIELD TRADE </w:instrText>
            </w:r>
            <w:r w:rsidRPr="009C50CA">
              <w:fldChar w:fldCharType="separate"/>
            </w:r>
            <w:r w:rsidR="009C50CA" w:rsidRPr="009C50CA">
              <w:rPr>
                <w:noProof/>
              </w:rPr>
              <w:t>Zelboraf</w:t>
            </w:r>
            <w:r w:rsidRPr="009C50CA">
              <w:fldChar w:fldCharType="end"/>
            </w:r>
          </w:p>
        </w:tc>
      </w:tr>
      <w:tr w:rsidR="00116AE6" w:rsidRPr="009C50CA" w:rsidTr="00BC73C9">
        <w:tc>
          <w:tcPr>
            <w:tcW w:w="2907" w:type="dxa"/>
          </w:tcPr>
          <w:p w:rsidR="00116AE6" w:rsidRPr="00154DE3" w:rsidRDefault="00116AE6" w:rsidP="009C50CA">
            <w:pPr>
              <w:rPr>
                <w:i/>
              </w:rPr>
            </w:pPr>
            <w:r w:rsidRPr="00154DE3">
              <w:rPr>
                <w:i/>
              </w:rPr>
              <w:t xml:space="preserve">Sponsor’s Name </w:t>
            </w:r>
          </w:p>
        </w:tc>
        <w:tc>
          <w:tcPr>
            <w:tcW w:w="6590" w:type="dxa"/>
          </w:tcPr>
          <w:p w:rsidR="00116AE6" w:rsidRPr="009C50CA" w:rsidRDefault="00F016D0" w:rsidP="009C50CA">
            <w:r w:rsidRPr="009C50CA">
              <w:fldChar w:fldCharType="begin"/>
            </w:r>
            <w:r w:rsidR="00F651B3" w:rsidRPr="009C50CA">
              <w:instrText xml:space="preserve"> MERGEFIELD SPONSOR </w:instrText>
            </w:r>
            <w:r w:rsidRPr="009C50CA">
              <w:fldChar w:fldCharType="separate"/>
            </w:r>
            <w:r w:rsidR="00F54D40" w:rsidRPr="009C50CA">
              <w:rPr>
                <w:noProof/>
              </w:rPr>
              <w:t>Roche Products Pty Limited</w:t>
            </w:r>
            <w:r w:rsidRPr="009C50CA">
              <w:fldChar w:fldCharType="end"/>
            </w:r>
            <w:r w:rsidR="00F651B3" w:rsidRPr="009C50CA">
              <w:t xml:space="preserve"> </w:t>
            </w:r>
          </w:p>
        </w:tc>
      </w:tr>
      <w:tr w:rsidR="00116AE6" w:rsidRPr="009C50CA" w:rsidTr="00BC73C9">
        <w:tc>
          <w:tcPr>
            <w:tcW w:w="2907" w:type="dxa"/>
          </w:tcPr>
          <w:p w:rsidR="00116AE6" w:rsidRPr="00154DE3" w:rsidRDefault="00116AE6" w:rsidP="009C50CA">
            <w:pPr>
              <w:rPr>
                <w:i/>
              </w:rPr>
            </w:pPr>
            <w:r w:rsidRPr="00154DE3">
              <w:rPr>
                <w:i/>
              </w:rPr>
              <w:t xml:space="preserve">Dose form(s): </w:t>
            </w:r>
          </w:p>
        </w:tc>
        <w:tc>
          <w:tcPr>
            <w:tcW w:w="6590" w:type="dxa"/>
          </w:tcPr>
          <w:p w:rsidR="00116AE6" w:rsidRPr="009C50CA" w:rsidRDefault="009C50CA" w:rsidP="009C50CA">
            <w:r w:rsidRPr="009C50CA">
              <w:t>Tablet</w:t>
            </w:r>
          </w:p>
        </w:tc>
      </w:tr>
      <w:tr w:rsidR="00116AE6" w:rsidRPr="009C50CA" w:rsidTr="00F651B3">
        <w:trPr>
          <w:trHeight w:val="509"/>
        </w:trPr>
        <w:tc>
          <w:tcPr>
            <w:tcW w:w="2907" w:type="dxa"/>
          </w:tcPr>
          <w:p w:rsidR="00116AE6" w:rsidRPr="00154DE3" w:rsidRDefault="00116AE6" w:rsidP="009C50CA">
            <w:pPr>
              <w:rPr>
                <w:i/>
              </w:rPr>
            </w:pPr>
            <w:r w:rsidRPr="00154DE3">
              <w:rPr>
                <w:i/>
              </w:rPr>
              <w:t xml:space="preserve">Strength(s): </w:t>
            </w:r>
          </w:p>
        </w:tc>
        <w:tc>
          <w:tcPr>
            <w:tcW w:w="6590" w:type="dxa"/>
          </w:tcPr>
          <w:p w:rsidR="00116AE6" w:rsidRPr="009C50CA" w:rsidRDefault="00F016D0" w:rsidP="00B25B29">
            <w:r w:rsidRPr="009C50CA">
              <w:fldChar w:fldCharType="begin"/>
            </w:r>
            <w:r w:rsidR="00F651B3" w:rsidRPr="009C50CA">
              <w:instrText xml:space="preserve"> MERGEFIELD STRENGTH </w:instrText>
            </w:r>
            <w:r w:rsidRPr="009C50CA">
              <w:fldChar w:fldCharType="separate"/>
            </w:r>
            <w:r w:rsidR="00F54D40" w:rsidRPr="009C50CA">
              <w:rPr>
                <w:noProof/>
              </w:rPr>
              <w:t>240 mg</w:t>
            </w:r>
            <w:r w:rsidRPr="009C50CA">
              <w:fldChar w:fldCharType="end"/>
            </w:r>
          </w:p>
        </w:tc>
      </w:tr>
      <w:tr w:rsidR="00116AE6" w:rsidRPr="009C50CA" w:rsidTr="00BC73C9">
        <w:tc>
          <w:tcPr>
            <w:tcW w:w="2907" w:type="dxa"/>
          </w:tcPr>
          <w:p w:rsidR="00116AE6" w:rsidRPr="00154DE3" w:rsidRDefault="00116AE6" w:rsidP="009C50CA">
            <w:pPr>
              <w:rPr>
                <w:i/>
              </w:rPr>
            </w:pPr>
            <w:r w:rsidRPr="00154DE3">
              <w:rPr>
                <w:i/>
              </w:rPr>
              <w:t>Container(s):</w:t>
            </w:r>
          </w:p>
        </w:tc>
        <w:tc>
          <w:tcPr>
            <w:tcW w:w="6590" w:type="dxa"/>
          </w:tcPr>
          <w:p w:rsidR="00116AE6" w:rsidRPr="009C50CA" w:rsidRDefault="00B25B29" w:rsidP="00CB3224">
            <w:r>
              <w:t>Aluminium (Al/Al</w:t>
            </w:r>
            <w:r w:rsidR="00CB3224">
              <w:t>)</w:t>
            </w:r>
            <w:r>
              <w:t xml:space="preserve"> blister pack</w:t>
            </w:r>
          </w:p>
        </w:tc>
      </w:tr>
      <w:tr w:rsidR="00116AE6" w:rsidRPr="009C50CA" w:rsidTr="00BC73C9">
        <w:tc>
          <w:tcPr>
            <w:tcW w:w="2907" w:type="dxa"/>
          </w:tcPr>
          <w:p w:rsidR="00116AE6" w:rsidRPr="00154DE3" w:rsidRDefault="00116AE6" w:rsidP="009C50CA">
            <w:pPr>
              <w:rPr>
                <w:i/>
              </w:rPr>
            </w:pPr>
            <w:r w:rsidRPr="00154DE3">
              <w:rPr>
                <w:i/>
              </w:rPr>
              <w:t>Pack size(s):</w:t>
            </w:r>
          </w:p>
        </w:tc>
        <w:tc>
          <w:tcPr>
            <w:tcW w:w="6590" w:type="dxa"/>
          </w:tcPr>
          <w:p w:rsidR="00116AE6" w:rsidRPr="009C50CA" w:rsidRDefault="00B25B29" w:rsidP="00B25B29">
            <w:r>
              <w:t>56 tablets</w:t>
            </w:r>
          </w:p>
        </w:tc>
      </w:tr>
      <w:tr w:rsidR="00116AE6" w:rsidRPr="009C50CA" w:rsidTr="00BC73C9">
        <w:tc>
          <w:tcPr>
            <w:tcW w:w="2907" w:type="dxa"/>
          </w:tcPr>
          <w:p w:rsidR="00116AE6" w:rsidRPr="00154DE3" w:rsidRDefault="00116AE6" w:rsidP="009C50CA">
            <w:pPr>
              <w:rPr>
                <w:i/>
              </w:rPr>
            </w:pPr>
            <w:r w:rsidRPr="00154DE3">
              <w:rPr>
                <w:i/>
              </w:rPr>
              <w:t>Approved Therapeutic use:</w:t>
            </w:r>
          </w:p>
        </w:tc>
        <w:tc>
          <w:tcPr>
            <w:tcW w:w="6590" w:type="dxa"/>
          </w:tcPr>
          <w:p w:rsidR="00116AE6" w:rsidRPr="009C50CA" w:rsidRDefault="009C50CA" w:rsidP="00B25B29">
            <w:r w:rsidRPr="009C50CA">
              <w:t>Zelboraf is indicated for</w:t>
            </w:r>
            <w:r>
              <w:t xml:space="preserve"> the treatment of unresectable Stage IIIC or S</w:t>
            </w:r>
            <w:r w:rsidRPr="009C50CA">
              <w:t>tage IV metastatic melanoma positive for a BRAF V600 mutation</w:t>
            </w:r>
          </w:p>
        </w:tc>
      </w:tr>
      <w:tr w:rsidR="00116AE6" w:rsidRPr="009C50CA" w:rsidTr="00BC73C9">
        <w:tc>
          <w:tcPr>
            <w:tcW w:w="2907" w:type="dxa"/>
          </w:tcPr>
          <w:p w:rsidR="00116AE6" w:rsidRPr="00154DE3" w:rsidRDefault="00116AE6" w:rsidP="009C50CA">
            <w:pPr>
              <w:rPr>
                <w:i/>
              </w:rPr>
            </w:pPr>
            <w:r w:rsidRPr="00154DE3">
              <w:rPr>
                <w:i/>
              </w:rPr>
              <w:t>Route(s) of administration:</w:t>
            </w:r>
          </w:p>
        </w:tc>
        <w:tc>
          <w:tcPr>
            <w:tcW w:w="6590" w:type="dxa"/>
          </w:tcPr>
          <w:p w:rsidR="00116AE6" w:rsidRPr="009C50CA" w:rsidRDefault="00F016D0" w:rsidP="00B25B29">
            <w:r w:rsidRPr="009C50CA">
              <w:fldChar w:fldCharType="begin"/>
            </w:r>
            <w:r w:rsidR="00F651B3" w:rsidRPr="009C50CA">
              <w:instrText xml:space="preserve"> MERGEFIELD ROUTE </w:instrText>
            </w:r>
            <w:r w:rsidRPr="009C50CA">
              <w:fldChar w:fldCharType="separate"/>
            </w:r>
            <w:r w:rsidR="00F54D40" w:rsidRPr="009C50CA">
              <w:rPr>
                <w:noProof/>
              </w:rPr>
              <w:t>Oral</w:t>
            </w:r>
            <w:r w:rsidRPr="009C50CA">
              <w:fldChar w:fldCharType="end"/>
            </w:r>
          </w:p>
        </w:tc>
      </w:tr>
      <w:tr w:rsidR="00116AE6" w:rsidRPr="009C50CA" w:rsidTr="00BC73C9">
        <w:tc>
          <w:tcPr>
            <w:tcW w:w="2907" w:type="dxa"/>
          </w:tcPr>
          <w:p w:rsidR="00116AE6" w:rsidRPr="00154DE3" w:rsidRDefault="00116AE6" w:rsidP="009C50CA">
            <w:pPr>
              <w:rPr>
                <w:i/>
              </w:rPr>
            </w:pPr>
            <w:r w:rsidRPr="00154DE3">
              <w:rPr>
                <w:i/>
              </w:rPr>
              <w:t>Dosage:</w:t>
            </w:r>
          </w:p>
        </w:tc>
        <w:tc>
          <w:tcPr>
            <w:tcW w:w="6590" w:type="dxa"/>
          </w:tcPr>
          <w:p w:rsidR="00116AE6" w:rsidRPr="009C50CA" w:rsidRDefault="00F016D0" w:rsidP="009C50CA">
            <w:r w:rsidRPr="009C50CA">
              <w:fldChar w:fldCharType="begin"/>
            </w:r>
            <w:r w:rsidR="00F651B3" w:rsidRPr="009C50CA">
              <w:instrText xml:space="preserve"> MERGEFIELD "DOSAGE" </w:instrText>
            </w:r>
            <w:r w:rsidRPr="009C50CA">
              <w:fldChar w:fldCharType="separate"/>
            </w:r>
            <w:r w:rsidR="00F54D40" w:rsidRPr="009C50CA">
              <w:rPr>
                <w:noProof/>
              </w:rPr>
              <w:t>960 mg twice daily</w:t>
            </w:r>
            <w:r w:rsidRPr="009C50CA">
              <w:fldChar w:fldCharType="end"/>
            </w:r>
          </w:p>
        </w:tc>
      </w:tr>
      <w:tr w:rsidR="00116AE6" w:rsidRPr="009C50CA" w:rsidTr="00BC73C9">
        <w:tc>
          <w:tcPr>
            <w:tcW w:w="2907" w:type="dxa"/>
          </w:tcPr>
          <w:p w:rsidR="00116AE6" w:rsidRPr="00154DE3" w:rsidRDefault="00116AE6" w:rsidP="009C50CA">
            <w:pPr>
              <w:rPr>
                <w:i/>
              </w:rPr>
            </w:pPr>
            <w:r w:rsidRPr="00154DE3">
              <w:rPr>
                <w:i/>
              </w:rPr>
              <w:t>ARTG Number (s)</w:t>
            </w:r>
          </w:p>
        </w:tc>
        <w:tc>
          <w:tcPr>
            <w:tcW w:w="6590" w:type="dxa"/>
          </w:tcPr>
          <w:p w:rsidR="00116AE6" w:rsidRPr="009C50CA" w:rsidRDefault="00E8012C" w:rsidP="00E8012C">
            <w:r>
              <w:rPr>
                <w:lang w:eastAsia="en-AU"/>
              </w:rPr>
              <w:t>183674</w:t>
            </w:r>
          </w:p>
        </w:tc>
      </w:tr>
    </w:tbl>
    <w:p w:rsidR="00116AE6" w:rsidRDefault="00116AE6" w:rsidP="00116AE6">
      <w:pPr>
        <w:pStyle w:val="Heading3"/>
      </w:pPr>
      <w:bookmarkStart w:id="5" w:name="_Toc247691503"/>
    </w:p>
    <w:p w:rsidR="00116AE6" w:rsidRDefault="00154DE3" w:rsidP="00116AE6">
      <w:pPr>
        <w:pStyle w:val="Heading3"/>
      </w:pPr>
      <w:bookmarkStart w:id="6" w:name="_Toc345675760"/>
      <w:r>
        <w:t>Product b</w:t>
      </w:r>
      <w:r w:rsidR="00116AE6">
        <w:t>ackground</w:t>
      </w:r>
      <w:bookmarkEnd w:id="5"/>
      <w:bookmarkEnd w:id="6"/>
    </w:p>
    <w:p w:rsidR="005777FF" w:rsidRDefault="005777FF" w:rsidP="005777FF">
      <w:bookmarkStart w:id="7" w:name="_Toc247691504"/>
      <w:r>
        <w:t>Roche Products Pty Ltd has applied to register the new chemical entity, vemurafenib (</w:t>
      </w:r>
      <w:r w:rsidRPr="005777FF">
        <w:t>Zelboraf</w:t>
      </w:r>
      <w:r>
        <w:t>), for the treatment of patients with unresectable Stage IIIC or Stage IV metastatic melanoma whose tumours are positive for a BRAF V600 mutation. The proposed regimen is 960 mg (four 240 mg tablets) twice daily (equivalent to a total daily dose of 1920 mg).</w:t>
      </w:r>
    </w:p>
    <w:p w:rsidR="005A0DB6" w:rsidRPr="000A4E05" w:rsidRDefault="005A0DB6" w:rsidP="005A0DB6">
      <w:pPr>
        <w:rPr>
          <w:rFonts w:eastAsia="Times New Roman"/>
        </w:rPr>
      </w:pPr>
      <w:r>
        <w:t xml:space="preserve">Vemurafenib is an inhibitor of some mutated forms of BRAF kinase, including V600E. It inhibits proliferation and survival of cells with BRAF kinase mutations by suppressing signals in the mitogen-activated protein kinase (MAPK) pathway. Mutations in BRAF </w:t>
      </w:r>
      <w:r w:rsidRPr="000A4E05">
        <w:t>kinase, mostly V600E, occur in about half of patients with metastatic melanoma.</w:t>
      </w:r>
    </w:p>
    <w:p w:rsidR="00FC282A" w:rsidRPr="000A4E05" w:rsidRDefault="00FC282A" w:rsidP="00FC282A">
      <w:pPr>
        <w:jc w:val="both"/>
      </w:pPr>
      <w:r w:rsidRPr="000A4E05">
        <w:t>The rationale for identifying a compound that targets activating mutations in the BRAF gene is based on the prevalence of mutations in a variety of cancers, the most common of which results in a valine to glutamic acid substitution and residue 600 (BRAF</w:t>
      </w:r>
      <w:r w:rsidRPr="000A4E05">
        <w:rPr>
          <w:vertAlign w:val="superscript"/>
        </w:rPr>
        <w:t>V600E</w:t>
      </w:r>
      <w:r w:rsidRPr="000A4E05">
        <w:t xml:space="preserve">). Oncogenic mutations in BRAF kinase predominantly V600E have been observed in approximately 8% of all solid tumours including 50% of metastatic melanomas. Recent biological insights and characterisation of the role of oncogenic BRAF mutations highlights the central role of this kinase in signalling pathways that control cellular proliferation. Oncogenic mutations in BRAF result in constitutive activation of BRAF kinase, which causes disregulated downstream signalling via MEK and ERK leading to excessive self-proliferation and survival. </w:t>
      </w:r>
    </w:p>
    <w:p w:rsidR="00FC282A" w:rsidRPr="000A4E05" w:rsidRDefault="00FC282A" w:rsidP="00FC282A">
      <w:pPr>
        <w:jc w:val="both"/>
      </w:pPr>
      <w:r w:rsidRPr="000A4E05">
        <w:lastRenderedPageBreak/>
        <w:t xml:space="preserve">The therapeutic relevance of oncogenic BRAF is an important target in melanoma and supported by several lines of evidence. Depletion of mRNA for oncogenic BRAF with small interfering RNA (siRNA) inhibits the growth of melanoma cell lines </w:t>
      </w:r>
      <w:r w:rsidRPr="000A4E05">
        <w:rPr>
          <w:i/>
        </w:rPr>
        <w:t>in vitro</w:t>
      </w:r>
      <w:r w:rsidRPr="000A4E05">
        <w:t xml:space="preserve"> and the growth of tumours in human melanoma xenograft models. For these reasons, </w:t>
      </w:r>
      <w:r w:rsidR="001941D7">
        <w:t>vemurafenib (</w:t>
      </w:r>
      <w:r w:rsidRPr="000A4E05">
        <w:t>VEM</w:t>
      </w:r>
      <w:r w:rsidR="001941D7">
        <w:t>)</w:t>
      </w:r>
      <w:r w:rsidRPr="000A4E05">
        <w:t xml:space="preserve"> was developed as </w:t>
      </w:r>
      <w:r w:rsidR="000A4E05" w:rsidRPr="000A4E05">
        <w:t xml:space="preserve">a </w:t>
      </w:r>
      <w:r w:rsidRPr="000A4E05">
        <w:t>first in class selective low molecular weight orally bioavailable inhibitor of oncogenic BRAF kinase for the treatment of patients with metastatic melanoma. Given the target of activity of VEM the clinical development program was designed to evaluate the activity of VEM in patients whose tumours tested positive for BRAF</w:t>
      </w:r>
      <w:r w:rsidRPr="000A4E05">
        <w:rPr>
          <w:vertAlign w:val="superscript"/>
        </w:rPr>
        <w:t xml:space="preserve">V600 </w:t>
      </w:r>
      <w:r w:rsidRPr="000A4E05">
        <w:t xml:space="preserve">mutations by a companion diagnostic test. </w:t>
      </w:r>
    </w:p>
    <w:p w:rsidR="00FC282A" w:rsidRPr="000A4E05" w:rsidRDefault="00FC282A" w:rsidP="00FC282A">
      <w:pPr>
        <w:jc w:val="both"/>
      </w:pPr>
      <w:r w:rsidRPr="000A4E05">
        <w:t>The cobas 4800 BR</w:t>
      </w:r>
      <w:r w:rsidRPr="00D217F1">
        <w:t>AF</w:t>
      </w:r>
      <w:r w:rsidR="006E7895">
        <w:t xml:space="preserve"> </w:t>
      </w:r>
      <w:r w:rsidR="008305A0" w:rsidRPr="008305A0">
        <w:t>V600</w:t>
      </w:r>
      <w:r w:rsidRPr="000A4E05">
        <w:t xml:space="preserve"> </w:t>
      </w:r>
      <w:r w:rsidR="00F2067A">
        <w:t>M</w:t>
      </w:r>
      <w:r w:rsidRPr="000A4E05">
        <w:t xml:space="preserve">utation </w:t>
      </w:r>
      <w:r w:rsidR="00F2067A">
        <w:t>T</w:t>
      </w:r>
      <w:r w:rsidRPr="000A4E05">
        <w:t>est, which was developed as a companion diagnostic test for VEM, is a real</w:t>
      </w:r>
      <w:r w:rsidR="00D217F1">
        <w:t>-</w:t>
      </w:r>
      <w:r w:rsidRPr="000A4E05">
        <w:t>time polymerase chain reaction (PCR) test intended to be used to select melanoma patients whose tumours carry BRAF</w:t>
      </w:r>
      <w:r w:rsidRPr="000A4E05">
        <w:rPr>
          <w:vertAlign w:val="superscript"/>
        </w:rPr>
        <w:t xml:space="preserve">V600 </w:t>
      </w:r>
      <w:r w:rsidRPr="000A4E05">
        <w:t xml:space="preserve">mutations for treatment with VEM. It was designed to detect the predominant V600E mutation with high sensitivity. </w:t>
      </w:r>
    </w:p>
    <w:p w:rsidR="005A0DB6" w:rsidRPr="000A4E05" w:rsidRDefault="005A0DB6" w:rsidP="005A0DB6">
      <w:r w:rsidRPr="000A4E05">
        <w:t>The drug was given orphan designation for the proposed indication in Australia on 14 April 2011.</w:t>
      </w:r>
    </w:p>
    <w:p w:rsidR="00246873" w:rsidRDefault="005A0DB6" w:rsidP="005A0DB6">
      <w:r w:rsidRPr="000A4E05">
        <w:t>The proposed indication is d</w:t>
      </w:r>
      <w:r>
        <w:t xml:space="preserve">ependent on the availability of an appropriate test for the BRAF V600 mutation. The test in the pivotal trials was the cobas 4800 BRAF V600 Mutation Test (Roche Molecular Systems Inc). </w:t>
      </w:r>
      <w:r w:rsidR="00246873">
        <w:rPr>
          <w:rStyle w:val="FootnoteReference"/>
        </w:rPr>
        <w:footnoteReference w:id="1"/>
      </w:r>
    </w:p>
    <w:p w:rsidR="005A0DB6" w:rsidRDefault="005A0DB6" w:rsidP="005A0DB6">
      <w:r>
        <w:t>The multikinase inhibitor, sorafenib (Nexavar), is a related drug. It inhibits BRAF V600 kinase and other kinases. It is used in hepatocellular and renal cell carcinoma.</w:t>
      </w:r>
    </w:p>
    <w:p w:rsidR="005A0DB6" w:rsidRDefault="005A0DB6" w:rsidP="005A0DB6">
      <w:pPr>
        <w:rPr>
          <w:rFonts w:ascii="Arial" w:hAnsi="Arial"/>
          <w:b/>
          <w:u w:val="single"/>
        </w:rPr>
      </w:pPr>
      <w:r>
        <w:t xml:space="preserve">The </w:t>
      </w:r>
      <w:r>
        <w:rPr>
          <w:szCs w:val="24"/>
          <w:lang w:eastAsia="en-AU"/>
        </w:rPr>
        <w:t xml:space="preserve">TGA adopted European Medicines Agency (EMA) </w:t>
      </w:r>
      <w:r>
        <w:rPr>
          <w:i/>
          <w:iCs/>
          <w:szCs w:val="24"/>
          <w:lang w:eastAsia="en-AU"/>
        </w:rPr>
        <w:t>Guideline on the Evaluation of Anticancer Medicinal Products in Man</w:t>
      </w:r>
      <w:r>
        <w:rPr>
          <w:rStyle w:val="FootnoteReference"/>
          <w:szCs w:val="24"/>
          <w:lang w:eastAsia="en-AU"/>
        </w:rPr>
        <w:footnoteReference w:id="2"/>
      </w:r>
      <w:r>
        <w:rPr>
          <w:szCs w:val="24"/>
          <w:lang w:eastAsia="en-AU"/>
        </w:rPr>
        <w:t xml:space="preserve"> is relevant to this application.</w:t>
      </w:r>
    </w:p>
    <w:p w:rsidR="00116AE6" w:rsidRPr="003F31A2" w:rsidRDefault="00A408DA" w:rsidP="00116AE6">
      <w:pPr>
        <w:pStyle w:val="Heading3"/>
      </w:pPr>
      <w:bookmarkStart w:id="8" w:name="_Toc345675761"/>
      <w:r>
        <w:t>Regulatory s</w:t>
      </w:r>
      <w:r w:rsidR="00116AE6">
        <w:t>tatus</w:t>
      </w:r>
      <w:bookmarkEnd w:id="8"/>
      <w:r w:rsidR="00116AE6">
        <w:t xml:space="preserve"> </w:t>
      </w:r>
      <w:bookmarkEnd w:id="7"/>
    </w:p>
    <w:p w:rsidR="009C50CA" w:rsidRDefault="009C50CA" w:rsidP="009C50CA">
      <w:bookmarkStart w:id="9" w:name="_Toc247691505"/>
      <w:r>
        <w:t xml:space="preserve"> Zelboraf has been approved in the regions shown </w:t>
      </w:r>
      <w:r w:rsidR="004C3829">
        <w:t xml:space="preserve">in Table 1 </w:t>
      </w:r>
      <w:r>
        <w:t xml:space="preserve">below. </w:t>
      </w:r>
    </w:p>
    <w:p w:rsidR="004C3829" w:rsidRDefault="004C3829" w:rsidP="004C3829">
      <w:pPr>
        <w:pStyle w:val="FigureTitle"/>
        <w:keepNext/>
      </w:pPr>
      <w:r>
        <w:lastRenderedPageBreak/>
        <w:t>Table 1. International regulatory status</w:t>
      </w:r>
    </w:p>
    <w:tbl>
      <w:tblPr>
        <w:tblStyle w:val="TableTGA1"/>
        <w:tblW w:w="0" w:type="auto"/>
        <w:tblLook w:val="04A0"/>
      </w:tblPr>
      <w:tblGrid>
        <w:gridCol w:w="1838"/>
        <w:gridCol w:w="2126"/>
        <w:gridCol w:w="4643"/>
      </w:tblGrid>
      <w:tr w:rsidR="004C3829" w:rsidTr="004C3829">
        <w:trPr>
          <w:cnfStyle w:val="100000000000"/>
        </w:trPr>
        <w:tc>
          <w:tcPr>
            <w:tcW w:w="1838" w:type="dxa"/>
          </w:tcPr>
          <w:p w:rsidR="004C3829" w:rsidRPr="004C3829" w:rsidRDefault="004C3829" w:rsidP="004C3829">
            <w:pPr>
              <w:pStyle w:val="Default"/>
              <w:keepNext/>
              <w:rPr>
                <w:rFonts w:ascii="Cambria" w:hAnsi="Cambria"/>
                <w:color w:val="FFFFFF" w:themeColor="background1"/>
                <w:sz w:val="22"/>
                <w:szCs w:val="22"/>
              </w:rPr>
            </w:pPr>
            <w:r w:rsidRPr="004C3829">
              <w:rPr>
                <w:rFonts w:ascii="Cambria" w:hAnsi="Cambria"/>
                <w:color w:val="FFFFFF" w:themeColor="background1"/>
                <w:sz w:val="22"/>
                <w:szCs w:val="22"/>
              </w:rPr>
              <w:t xml:space="preserve"> </w:t>
            </w:r>
            <w:r w:rsidRPr="004C3829">
              <w:rPr>
                <w:rFonts w:ascii="Cambria" w:hAnsi="Cambria"/>
                <w:bCs/>
                <w:color w:val="FFFFFF" w:themeColor="background1"/>
                <w:sz w:val="22"/>
                <w:szCs w:val="22"/>
              </w:rPr>
              <w:t xml:space="preserve">Region </w:t>
            </w:r>
          </w:p>
        </w:tc>
        <w:tc>
          <w:tcPr>
            <w:tcW w:w="2126" w:type="dxa"/>
          </w:tcPr>
          <w:p w:rsidR="004C3829" w:rsidRPr="004C3829" w:rsidRDefault="004C3829" w:rsidP="004C3829">
            <w:pPr>
              <w:pStyle w:val="Default"/>
              <w:keepNext/>
              <w:rPr>
                <w:rFonts w:ascii="Cambria" w:hAnsi="Cambria"/>
                <w:color w:val="FFFFFF" w:themeColor="background1"/>
                <w:sz w:val="22"/>
                <w:szCs w:val="22"/>
              </w:rPr>
            </w:pPr>
            <w:r w:rsidRPr="004C3829">
              <w:rPr>
                <w:rFonts w:ascii="Cambria" w:hAnsi="Cambria"/>
                <w:bCs/>
                <w:color w:val="FFFFFF" w:themeColor="background1"/>
                <w:sz w:val="22"/>
                <w:szCs w:val="22"/>
              </w:rPr>
              <w:t xml:space="preserve">Approval date </w:t>
            </w:r>
          </w:p>
        </w:tc>
        <w:tc>
          <w:tcPr>
            <w:tcW w:w="4643" w:type="dxa"/>
          </w:tcPr>
          <w:p w:rsidR="004C3829" w:rsidRPr="004C3829" w:rsidRDefault="004C3829" w:rsidP="004C3829">
            <w:pPr>
              <w:pStyle w:val="Default"/>
              <w:keepNext/>
              <w:rPr>
                <w:rFonts w:ascii="Cambria" w:hAnsi="Cambria"/>
                <w:color w:val="FFFFFF" w:themeColor="background1"/>
                <w:sz w:val="22"/>
                <w:szCs w:val="22"/>
              </w:rPr>
            </w:pPr>
            <w:r w:rsidRPr="004C3829">
              <w:rPr>
                <w:rFonts w:ascii="Cambria" w:hAnsi="Cambria"/>
                <w:bCs/>
                <w:color w:val="FFFFFF" w:themeColor="background1"/>
                <w:sz w:val="22"/>
                <w:szCs w:val="22"/>
              </w:rPr>
              <w:t xml:space="preserve">Indication in the country </w:t>
            </w:r>
          </w:p>
        </w:tc>
      </w:tr>
      <w:tr w:rsidR="004C3829" w:rsidTr="004C3829">
        <w:tc>
          <w:tcPr>
            <w:tcW w:w="1838"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United States </w:t>
            </w:r>
          </w:p>
        </w:tc>
        <w:tc>
          <w:tcPr>
            <w:tcW w:w="2126"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17 August 2011 </w:t>
            </w:r>
          </w:p>
        </w:tc>
        <w:tc>
          <w:tcPr>
            <w:tcW w:w="4643"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Zelboraf</w:t>
            </w:r>
            <w:r w:rsidR="008305A0" w:rsidRPr="008305A0">
              <w:rPr>
                <w:rFonts w:ascii="Cambria" w:hAnsi="Cambria"/>
                <w:sz w:val="20"/>
                <w:szCs w:val="20"/>
                <w:vertAlign w:val="superscript"/>
              </w:rPr>
              <w:t>®</w:t>
            </w:r>
            <w:r w:rsidRPr="004C3829">
              <w:rPr>
                <w:rFonts w:ascii="Cambria" w:hAnsi="Cambria"/>
                <w:sz w:val="20"/>
                <w:szCs w:val="20"/>
              </w:rPr>
              <w:t xml:space="preserve"> is indicated for the treatment of patients with unresectable or metastatic melanoma with </w:t>
            </w:r>
          </w:p>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BRAFV600E mutation as detected by an FDA-approved test. </w:t>
            </w:r>
          </w:p>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Limitation of Use: Zelboraf is not recommended for use in patients with wild-type BRAF melanoma. </w:t>
            </w:r>
          </w:p>
        </w:tc>
      </w:tr>
      <w:tr w:rsidR="004C3829" w:rsidTr="004C3829">
        <w:tc>
          <w:tcPr>
            <w:tcW w:w="1838"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Switzerland </w:t>
            </w:r>
          </w:p>
        </w:tc>
        <w:tc>
          <w:tcPr>
            <w:tcW w:w="2126"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18 October 2011 </w:t>
            </w:r>
          </w:p>
        </w:tc>
        <w:tc>
          <w:tcPr>
            <w:tcW w:w="4643"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Treatment of unresectable or metastatic melanoma patients with a BRAF V600 mutation. </w:t>
            </w:r>
          </w:p>
        </w:tc>
      </w:tr>
      <w:tr w:rsidR="004C3829" w:rsidTr="004C3829">
        <w:tc>
          <w:tcPr>
            <w:tcW w:w="1838"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Brazil </w:t>
            </w:r>
          </w:p>
        </w:tc>
        <w:tc>
          <w:tcPr>
            <w:tcW w:w="2126"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26 December 2011 </w:t>
            </w:r>
          </w:p>
        </w:tc>
        <w:tc>
          <w:tcPr>
            <w:tcW w:w="4643"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Zelboraf (vemurafenib) is indicated for the treatment of BRAF V600E mutation-positive unresectable or metastatic melanoma, when detected by an ANVISA-approved test. </w:t>
            </w:r>
          </w:p>
        </w:tc>
      </w:tr>
      <w:tr w:rsidR="004C3829" w:rsidTr="004C3829">
        <w:tc>
          <w:tcPr>
            <w:tcW w:w="1838"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Israel </w:t>
            </w:r>
          </w:p>
        </w:tc>
        <w:tc>
          <w:tcPr>
            <w:tcW w:w="2126"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16 January 2012 </w:t>
            </w:r>
          </w:p>
        </w:tc>
        <w:tc>
          <w:tcPr>
            <w:tcW w:w="4643"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Zelboraf is indicated for the treatment of BRAFV600 mutation-positive unresectable or metastatic melanoma. </w:t>
            </w:r>
          </w:p>
        </w:tc>
      </w:tr>
      <w:tr w:rsidR="004C3829" w:rsidTr="004C3829">
        <w:tc>
          <w:tcPr>
            <w:tcW w:w="1838"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Canada </w:t>
            </w:r>
          </w:p>
        </w:tc>
        <w:tc>
          <w:tcPr>
            <w:tcW w:w="2126"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15 February 2012 </w:t>
            </w:r>
          </w:p>
        </w:tc>
        <w:tc>
          <w:tcPr>
            <w:tcW w:w="4643"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Zelboraf</w:t>
            </w:r>
            <w:r w:rsidR="008305A0" w:rsidRPr="008305A0">
              <w:rPr>
                <w:rFonts w:ascii="Cambria" w:hAnsi="Cambria"/>
                <w:sz w:val="20"/>
                <w:szCs w:val="20"/>
                <w:vertAlign w:val="superscript"/>
              </w:rPr>
              <w:t>TM</w:t>
            </w:r>
            <w:r w:rsidRPr="004C3829">
              <w:rPr>
                <w:rFonts w:ascii="Cambria" w:hAnsi="Cambria"/>
                <w:sz w:val="20"/>
                <w:szCs w:val="20"/>
              </w:rPr>
              <w:t xml:space="preserve"> (vemurafenib) is indicated as a monotherapy for the treatment of BRAF V600 mutation-positive unresectable or metastatic melanoma. A validated test is required to identify BRAF V600 mutation status. </w:t>
            </w:r>
          </w:p>
        </w:tc>
      </w:tr>
      <w:tr w:rsidR="004C3829" w:rsidTr="004C3829">
        <w:tc>
          <w:tcPr>
            <w:tcW w:w="1838"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New Zealand </w:t>
            </w:r>
          </w:p>
        </w:tc>
        <w:tc>
          <w:tcPr>
            <w:tcW w:w="2126"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16 February 2012 </w:t>
            </w:r>
          </w:p>
        </w:tc>
        <w:tc>
          <w:tcPr>
            <w:tcW w:w="4643"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Zelboraf is indicated for the treatment of unresectable stage IIIC or stage IV metastatic melanoma positive for the BRAF V600 mutation. </w:t>
            </w:r>
          </w:p>
        </w:tc>
      </w:tr>
      <w:tr w:rsidR="004C3829" w:rsidTr="004C3829">
        <w:tc>
          <w:tcPr>
            <w:tcW w:w="1838"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European Union </w:t>
            </w:r>
          </w:p>
        </w:tc>
        <w:tc>
          <w:tcPr>
            <w:tcW w:w="2126"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17 February 2012 </w:t>
            </w:r>
          </w:p>
        </w:tc>
        <w:tc>
          <w:tcPr>
            <w:tcW w:w="4643"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Vemurafenib is indicated in monotherapy for the treatment of adult patients with BRAF V600 mutation-positive unresectable or metastatic melanoma. </w:t>
            </w:r>
          </w:p>
        </w:tc>
      </w:tr>
      <w:tr w:rsidR="004C3829" w:rsidTr="004C3829">
        <w:tc>
          <w:tcPr>
            <w:tcW w:w="1838"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Mexico </w:t>
            </w:r>
          </w:p>
        </w:tc>
        <w:tc>
          <w:tcPr>
            <w:tcW w:w="2126"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20 February 2012 </w:t>
            </w:r>
          </w:p>
        </w:tc>
        <w:tc>
          <w:tcPr>
            <w:tcW w:w="4643" w:type="dxa"/>
          </w:tcPr>
          <w:p w:rsidR="004C3829" w:rsidRPr="004C3829" w:rsidRDefault="004C3829" w:rsidP="004C3829">
            <w:pPr>
              <w:pStyle w:val="Default"/>
              <w:keepNext/>
              <w:rPr>
                <w:rFonts w:ascii="Cambria" w:hAnsi="Cambria"/>
                <w:sz w:val="20"/>
                <w:szCs w:val="20"/>
              </w:rPr>
            </w:pPr>
            <w:r w:rsidRPr="004C3829">
              <w:rPr>
                <w:rFonts w:ascii="Cambria" w:hAnsi="Cambria"/>
                <w:sz w:val="20"/>
                <w:szCs w:val="20"/>
              </w:rPr>
              <w:t xml:space="preserve">Zelboraf is indicated for the treatment of BRAF V600 mutation-positive unresectable or metastatic melanoma. </w:t>
            </w:r>
          </w:p>
        </w:tc>
      </w:tr>
    </w:tbl>
    <w:p w:rsidR="009C50CA" w:rsidRDefault="009C50CA" w:rsidP="009C50CA">
      <w:pPr>
        <w:pStyle w:val="Default"/>
      </w:pPr>
    </w:p>
    <w:p w:rsidR="00116AE6" w:rsidRDefault="00116AE6" w:rsidP="009C50CA">
      <w:pPr>
        <w:pStyle w:val="Heading3"/>
      </w:pPr>
      <w:bookmarkStart w:id="10" w:name="_Toc345675762"/>
      <w:r>
        <w:t>Product Information</w:t>
      </w:r>
      <w:bookmarkEnd w:id="9"/>
      <w:bookmarkEnd w:id="10"/>
    </w:p>
    <w:p w:rsidR="00116AE6" w:rsidRDefault="00116AE6" w:rsidP="00116AE6">
      <w:r>
        <w:t>The approved product information (PI) current at the time this AusPAR was prepared can be found as Attachment 1.</w:t>
      </w:r>
    </w:p>
    <w:p w:rsidR="00FC282A" w:rsidRDefault="00FC282A" w:rsidP="00FC282A">
      <w:pPr>
        <w:pStyle w:val="Heading3"/>
      </w:pPr>
      <w:bookmarkStart w:id="11" w:name="_Toc345675763"/>
      <w:r>
        <w:t>List of abbreviations</w:t>
      </w:r>
      <w:bookmarkEnd w:id="11"/>
    </w:p>
    <w:p w:rsidR="00FC282A" w:rsidRDefault="00FC282A" w:rsidP="00116AE6">
      <w:r>
        <w:t>The following is a list of abbreviations used in this AusPAR:</w:t>
      </w:r>
    </w:p>
    <w:p w:rsidR="00FC282A" w:rsidRDefault="00FC282A" w:rsidP="00FC282A">
      <w:pPr>
        <w:spacing w:line="360" w:lineRule="auto"/>
      </w:pPr>
      <w:r>
        <w:t>PCR</w:t>
      </w:r>
      <w:r>
        <w:tab/>
      </w:r>
      <w:r>
        <w:tab/>
        <w:t>polymerase chain reaction</w:t>
      </w:r>
    </w:p>
    <w:p w:rsidR="00FC282A" w:rsidRDefault="00FC282A" w:rsidP="00FC282A">
      <w:pPr>
        <w:spacing w:line="360" w:lineRule="auto"/>
      </w:pPr>
      <w:r>
        <w:t>PFS</w:t>
      </w:r>
      <w:r>
        <w:tab/>
      </w:r>
      <w:r>
        <w:tab/>
        <w:t>progression free survival</w:t>
      </w:r>
    </w:p>
    <w:p w:rsidR="00FC282A" w:rsidRDefault="00FC282A" w:rsidP="00FC282A">
      <w:pPr>
        <w:spacing w:line="360" w:lineRule="auto"/>
      </w:pPr>
      <w:r>
        <w:t>OS</w:t>
      </w:r>
      <w:r>
        <w:tab/>
      </w:r>
      <w:r>
        <w:tab/>
        <w:t>overall survival</w:t>
      </w:r>
    </w:p>
    <w:p w:rsidR="00FC282A" w:rsidRDefault="00FC282A" w:rsidP="00FC282A">
      <w:pPr>
        <w:spacing w:line="360" w:lineRule="auto"/>
      </w:pPr>
      <w:r>
        <w:t>IRC</w:t>
      </w:r>
      <w:r>
        <w:tab/>
      </w:r>
      <w:r>
        <w:tab/>
        <w:t>independent review committee</w:t>
      </w:r>
    </w:p>
    <w:p w:rsidR="00FC282A" w:rsidRDefault="00FC282A" w:rsidP="00FC282A">
      <w:pPr>
        <w:spacing w:line="360" w:lineRule="auto"/>
      </w:pPr>
      <w:r>
        <w:lastRenderedPageBreak/>
        <w:t>NCA</w:t>
      </w:r>
      <w:r>
        <w:tab/>
      </w:r>
      <w:r>
        <w:tab/>
        <w:t>non compartmental analysis</w:t>
      </w:r>
    </w:p>
    <w:p w:rsidR="00FC282A" w:rsidRDefault="00FC282A" w:rsidP="00FC282A">
      <w:pPr>
        <w:spacing w:line="360" w:lineRule="auto"/>
      </w:pPr>
      <w:r>
        <w:t>PK</w:t>
      </w:r>
      <w:r>
        <w:tab/>
      </w:r>
      <w:r>
        <w:tab/>
        <w:t>pharmacokinetics</w:t>
      </w:r>
    </w:p>
    <w:p w:rsidR="00FC282A" w:rsidRDefault="00FC282A" w:rsidP="00FC282A">
      <w:pPr>
        <w:spacing w:line="360" w:lineRule="auto"/>
      </w:pPr>
      <w:r>
        <w:t>CRC</w:t>
      </w:r>
      <w:r>
        <w:tab/>
      </w:r>
      <w:r>
        <w:tab/>
        <w:t>colorectal cancer</w:t>
      </w:r>
    </w:p>
    <w:p w:rsidR="00FC282A" w:rsidRDefault="00FC282A" w:rsidP="00FC282A">
      <w:pPr>
        <w:spacing w:line="360" w:lineRule="auto"/>
      </w:pPr>
      <w:r>
        <w:t>DLT</w:t>
      </w:r>
      <w:r>
        <w:tab/>
      </w:r>
      <w:r>
        <w:tab/>
        <w:t>dose limiting toxicity</w:t>
      </w:r>
    </w:p>
    <w:p w:rsidR="00FC282A" w:rsidRDefault="00FC282A" w:rsidP="00FC282A">
      <w:pPr>
        <w:spacing w:line="360" w:lineRule="auto"/>
      </w:pPr>
      <w:r>
        <w:t>CuSCC</w:t>
      </w:r>
      <w:r>
        <w:tab/>
      </w:r>
      <w:r>
        <w:tab/>
        <w:t>cutaneous squamous cell carcinoma</w:t>
      </w:r>
    </w:p>
    <w:p w:rsidR="00FC282A" w:rsidRDefault="00FC282A" w:rsidP="00FC282A">
      <w:pPr>
        <w:spacing w:line="360" w:lineRule="auto"/>
      </w:pPr>
      <w:r>
        <w:t>MTD</w:t>
      </w:r>
      <w:r>
        <w:tab/>
      </w:r>
      <w:r>
        <w:tab/>
        <w:t>maximum tolerated dose</w:t>
      </w:r>
    </w:p>
    <w:p w:rsidR="00FC282A" w:rsidRDefault="00FC282A" w:rsidP="00FC282A">
      <w:pPr>
        <w:spacing w:line="360" w:lineRule="auto"/>
      </w:pPr>
      <w:r>
        <w:t>AE</w:t>
      </w:r>
      <w:r>
        <w:tab/>
      </w:r>
      <w:r>
        <w:tab/>
        <w:t>adverse event</w:t>
      </w:r>
    </w:p>
    <w:p w:rsidR="00FC282A" w:rsidRDefault="00FC282A" w:rsidP="00FC282A">
      <w:pPr>
        <w:spacing w:line="360" w:lineRule="auto"/>
      </w:pPr>
      <w:r>
        <w:t>BORR</w:t>
      </w:r>
      <w:r>
        <w:tab/>
      </w:r>
      <w:r>
        <w:tab/>
        <w:t>best overall response rate</w:t>
      </w:r>
    </w:p>
    <w:p w:rsidR="00FC282A" w:rsidRDefault="00FC282A" w:rsidP="00FC282A">
      <w:pPr>
        <w:spacing w:line="360" w:lineRule="auto"/>
      </w:pPr>
      <w:r>
        <w:t>AESI</w:t>
      </w:r>
      <w:r>
        <w:tab/>
      </w:r>
      <w:r>
        <w:tab/>
        <w:t>adverse events of special interest</w:t>
      </w:r>
    </w:p>
    <w:p w:rsidR="00FC282A" w:rsidRDefault="00FC282A" w:rsidP="00FC282A">
      <w:pPr>
        <w:spacing w:line="360" w:lineRule="auto"/>
      </w:pPr>
      <w:r>
        <w:t>KA</w:t>
      </w:r>
      <w:r>
        <w:tab/>
      </w:r>
      <w:r>
        <w:tab/>
        <w:t>keratoacanthoma</w:t>
      </w:r>
    </w:p>
    <w:p w:rsidR="00FC282A" w:rsidRPr="00572868" w:rsidRDefault="00FC282A" w:rsidP="00116AE6"/>
    <w:p w:rsidR="00116AE6" w:rsidRPr="003602A9" w:rsidRDefault="00D21C4E" w:rsidP="00D21C4E">
      <w:pPr>
        <w:pStyle w:val="Heading2"/>
        <w:ind w:left="-11"/>
      </w:pPr>
      <w:bookmarkStart w:id="12" w:name="_Toc247691506"/>
      <w:bookmarkStart w:id="13" w:name="_Toc345675764"/>
      <w:r>
        <w:t xml:space="preserve">II. </w:t>
      </w:r>
      <w:r w:rsidR="00116AE6">
        <w:t>Quality</w:t>
      </w:r>
      <w:bookmarkEnd w:id="1"/>
      <w:r w:rsidR="00116AE6">
        <w:t xml:space="preserve"> </w:t>
      </w:r>
      <w:r w:rsidR="00A408DA">
        <w:t>f</w:t>
      </w:r>
      <w:r w:rsidR="00116AE6">
        <w:t>indings</w:t>
      </w:r>
      <w:bookmarkEnd w:id="12"/>
      <w:bookmarkEnd w:id="13"/>
    </w:p>
    <w:p w:rsidR="00116AE6" w:rsidRDefault="00116AE6" w:rsidP="00116AE6">
      <w:pPr>
        <w:pStyle w:val="Heading3"/>
      </w:pPr>
      <w:bookmarkStart w:id="14" w:name="_Toc247691507"/>
      <w:bookmarkStart w:id="15" w:name="_Toc345675765"/>
      <w:r w:rsidRPr="008751DC">
        <w:t xml:space="preserve">Drug </w:t>
      </w:r>
      <w:r w:rsidR="00A408DA">
        <w:t>s</w:t>
      </w:r>
      <w:r w:rsidRPr="008751DC">
        <w:t>ubstance</w:t>
      </w:r>
      <w:r>
        <w:t xml:space="preserve"> (active ingredient)</w:t>
      </w:r>
      <w:bookmarkEnd w:id="14"/>
      <w:bookmarkEnd w:id="15"/>
    </w:p>
    <w:p w:rsidR="00B4514F" w:rsidRDefault="00B4514F" w:rsidP="00B4514F">
      <w:pPr>
        <w:spacing w:after="0"/>
        <w:rPr>
          <w:szCs w:val="24"/>
        </w:rPr>
      </w:pPr>
      <w:r>
        <w:rPr>
          <w:szCs w:val="24"/>
        </w:rPr>
        <w:t>Vemurafenib is a substituted azaindole; it also contains a sulfonamide moiety but shows little structural relationship to ‘sulfonamide’ drugs (see Figure 1 below).</w:t>
      </w:r>
    </w:p>
    <w:p w:rsidR="00B4514F" w:rsidRDefault="00B4514F" w:rsidP="00B25B29">
      <w:pPr>
        <w:pStyle w:val="FigureTitle"/>
        <w:rPr>
          <w:sz w:val="6"/>
          <w:szCs w:val="6"/>
        </w:rPr>
      </w:pPr>
      <w:r>
        <w:t>Figure 1. Chemical structure</w:t>
      </w:r>
    </w:p>
    <w:p w:rsidR="00B4514F" w:rsidRDefault="005B75BE" w:rsidP="00B4514F">
      <w:pPr>
        <w:spacing w:after="0"/>
        <w:jc w:val="center"/>
        <w:rPr>
          <w:sz w:val="24"/>
          <w:szCs w:val="24"/>
        </w:rPr>
      </w:pPr>
      <w:r>
        <w:rPr>
          <w:noProof/>
          <w:szCs w:val="24"/>
          <w:lang w:eastAsia="en-AU"/>
        </w:rPr>
        <w:drawing>
          <wp:inline distT="0" distB="0" distL="0" distR="0">
            <wp:extent cx="2924175" cy="1704975"/>
            <wp:effectExtent l="19050" t="0" r="9525" b="0"/>
            <wp:docPr id="3"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1704975"/>
                    </a:xfrm>
                    <a:prstGeom prst="rect">
                      <a:avLst/>
                    </a:prstGeom>
                    <a:noFill/>
                    <a:ln>
                      <a:noFill/>
                    </a:ln>
                  </pic:spPr>
                </pic:pic>
              </a:graphicData>
            </a:graphic>
          </wp:inline>
        </w:drawing>
      </w:r>
    </w:p>
    <w:p w:rsidR="00B4514F" w:rsidRPr="000A4E05" w:rsidRDefault="00B4514F" w:rsidP="00B4514F">
      <w:pPr>
        <w:spacing w:after="60"/>
        <w:jc w:val="center"/>
        <w:rPr>
          <w:rFonts w:cs="Times-Roman"/>
          <w:b/>
        </w:rPr>
      </w:pPr>
      <w:r w:rsidRPr="000A4E05">
        <w:rPr>
          <w:rFonts w:cs="Times-Roman"/>
          <w:b/>
        </w:rPr>
        <w:t>vemurafenib</w:t>
      </w:r>
    </w:p>
    <w:p w:rsidR="00B4514F" w:rsidRPr="000A4E05" w:rsidRDefault="00B4514F" w:rsidP="00B4514F">
      <w:pPr>
        <w:spacing w:after="0"/>
        <w:jc w:val="center"/>
        <w:rPr>
          <w:sz w:val="20"/>
        </w:rPr>
      </w:pPr>
      <w:r w:rsidRPr="000A4E05">
        <w:rPr>
          <w:sz w:val="20"/>
        </w:rPr>
        <w:t>molecular formula: C</w:t>
      </w:r>
      <w:r w:rsidRPr="000A4E05">
        <w:rPr>
          <w:sz w:val="20"/>
          <w:vertAlign w:val="subscript"/>
        </w:rPr>
        <w:t>23</w:t>
      </w:r>
      <w:r w:rsidRPr="000A4E05">
        <w:rPr>
          <w:sz w:val="20"/>
        </w:rPr>
        <w:t>H</w:t>
      </w:r>
      <w:r w:rsidRPr="000A4E05">
        <w:rPr>
          <w:sz w:val="20"/>
          <w:vertAlign w:val="subscript"/>
        </w:rPr>
        <w:t>18</w:t>
      </w:r>
      <w:r w:rsidRPr="000A4E05">
        <w:rPr>
          <w:sz w:val="20"/>
        </w:rPr>
        <w:t>ClF</w:t>
      </w:r>
      <w:r w:rsidRPr="000A4E05">
        <w:rPr>
          <w:sz w:val="20"/>
          <w:vertAlign w:val="subscript"/>
        </w:rPr>
        <w:t>2</w:t>
      </w:r>
      <w:r w:rsidRPr="000A4E05">
        <w:rPr>
          <w:sz w:val="20"/>
        </w:rPr>
        <w:t>N</w:t>
      </w:r>
      <w:r w:rsidRPr="000A4E05">
        <w:rPr>
          <w:sz w:val="20"/>
          <w:vertAlign w:val="subscript"/>
        </w:rPr>
        <w:t>3</w:t>
      </w:r>
      <w:r w:rsidRPr="000A4E05">
        <w:rPr>
          <w:sz w:val="20"/>
        </w:rPr>
        <w:t>O</w:t>
      </w:r>
      <w:r w:rsidRPr="000A4E05">
        <w:rPr>
          <w:sz w:val="20"/>
          <w:vertAlign w:val="subscript"/>
        </w:rPr>
        <w:t>3</w:t>
      </w:r>
      <w:r w:rsidRPr="000A4E05">
        <w:rPr>
          <w:sz w:val="20"/>
        </w:rPr>
        <w:t>S; molecular weight: 489.93</w:t>
      </w:r>
    </w:p>
    <w:p w:rsidR="00B4514F" w:rsidRDefault="00B4514F" w:rsidP="00B4514F">
      <w:pPr>
        <w:spacing w:after="0"/>
        <w:jc w:val="center"/>
        <w:rPr>
          <w:sz w:val="12"/>
          <w:szCs w:val="12"/>
        </w:rPr>
      </w:pPr>
    </w:p>
    <w:p w:rsidR="00B4514F" w:rsidRDefault="00B4514F" w:rsidP="00B4514F">
      <w:pPr>
        <w:spacing w:after="0"/>
        <w:rPr>
          <w:sz w:val="24"/>
          <w:szCs w:val="20"/>
        </w:rPr>
      </w:pPr>
      <w:r>
        <w:rPr>
          <w:szCs w:val="24"/>
        </w:rPr>
        <w:t>Vemurafenib is achiral and does not show stereoisomerism.</w:t>
      </w:r>
      <w:r>
        <w:t xml:space="preserve"> Reported pKa values are 7.9 and 11.1 and the partition coefficient in water is 3.0. Aqueous solubility is </w:t>
      </w:r>
      <w:r w:rsidRPr="00B4514F">
        <w:t>very low and</w:t>
      </w:r>
      <w:r>
        <w:t xml:space="preserve"> independent of pH.</w:t>
      </w:r>
    </w:p>
    <w:p w:rsidR="00B4514F" w:rsidRDefault="00B4514F" w:rsidP="00B4514F">
      <w:pPr>
        <w:spacing w:after="0"/>
        <w:rPr>
          <w:sz w:val="12"/>
          <w:szCs w:val="12"/>
        </w:rPr>
      </w:pPr>
    </w:p>
    <w:p w:rsidR="00B4514F" w:rsidRDefault="00B4514F" w:rsidP="00B4514F">
      <w:pPr>
        <w:rPr>
          <w:sz w:val="24"/>
          <w:szCs w:val="20"/>
        </w:rPr>
      </w:pPr>
      <w:r>
        <w:rPr>
          <w:szCs w:val="24"/>
        </w:rPr>
        <w:t>There are multiple polymorphic forms; two forms were made and used in formulation development. Form I is crystalline but thermodynamically unstable, converting to Form II. Form II is more stable but less soluble, hence showing lower bioavailability.</w:t>
      </w:r>
      <w:r>
        <w:t xml:space="preserve"> Vemurafenib polymorphism and particle size is not controlled as the drug is dissolved in tablet manufacture.</w:t>
      </w:r>
    </w:p>
    <w:p w:rsidR="00B4514F" w:rsidRDefault="00B4514F" w:rsidP="00B25B29">
      <w:pPr>
        <w:keepNext/>
        <w:spacing w:after="0"/>
        <w:rPr>
          <w:b/>
          <w:i/>
          <w:sz w:val="24"/>
          <w:szCs w:val="24"/>
        </w:rPr>
      </w:pPr>
      <w:r>
        <w:rPr>
          <w:b/>
          <w:i/>
          <w:szCs w:val="24"/>
        </w:rPr>
        <w:lastRenderedPageBreak/>
        <w:t>Related drugs</w:t>
      </w:r>
    </w:p>
    <w:p w:rsidR="00B4514F" w:rsidRDefault="00B4514F" w:rsidP="00B4514F">
      <w:pPr>
        <w:spacing w:after="0"/>
        <w:rPr>
          <w:szCs w:val="24"/>
        </w:rPr>
      </w:pPr>
      <w:r w:rsidRPr="00B4514F">
        <w:rPr>
          <w:szCs w:val="24"/>
        </w:rPr>
        <w:t>There are a number of tyrosine kinase inhibitors already registered in Australia: imatinib (Glivec); gefitinib (Iressa); erlotinib (Tarceva); sunitinib (Sutent); dasatinib (Sprycel), lapatinib (Tykerb); nilotinib (Tasigna); pazopanib (Votrient).</w:t>
      </w:r>
      <w:r>
        <w:rPr>
          <w:szCs w:val="24"/>
        </w:rPr>
        <w:t xml:space="preserve"> </w:t>
      </w:r>
    </w:p>
    <w:p w:rsidR="00B4514F" w:rsidRDefault="00B4514F" w:rsidP="00B4514F">
      <w:pPr>
        <w:spacing w:after="0"/>
        <w:rPr>
          <w:sz w:val="24"/>
          <w:szCs w:val="24"/>
        </w:rPr>
      </w:pPr>
      <w:r>
        <w:rPr>
          <w:szCs w:val="24"/>
        </w:rPr>
        <w:t xml:space="preserve">Vemurafenib is synthetic and observed impurity levels are low; the limit for each </w:t>
      </w:r>
      <w:r w:rsidR="00D217F1">
        <w:rPr>
          <w:szCs w:val="24"/>
        </w:rPr>
        <w:t xml:space="preserve">unspecified </w:t>
      </w:r>
      <w:r>
        <w:rPr>
          <w:szCs w:val="24"/>
        </w:rPr>
        <w:t>impurity should be tightened in keeping with guidelines</w:t>
      </w:r>
      <w:r w:rsidR="000A4E05">
        <w:rPr>
          <w:rStyle w:val="FootnoteReference"/>
          <w:szCs w:val="24"/>
        </w:rPr>
        <w:footnoteReference w:id="3"/>
      </w:r>
      <w:r w:rsidR="00A80A91">
        <w:rPr>
          <w:szCs w:val="24"/>
        </w:rPr>
        <w:t>,</w:t>
      </w:r>
      <w:r>
        <w:rPr>
          <w:szCs w:val="24"/>
        </w:rPr>
        <w:t xml:space="preserve"> consistent with PSC advice. This could be made a condition of registration if necessary.</w:t>
      </w:r>
    </w:p>
    <w:p w:rsidR="00B4514F" w:rsidRDefault="00B4514F" w:rsidP="00B4514F">
      <w:pPr>
        <w:spacing w:after="0"/>
        <w:rPr>
          <w:rFonts w:ascii="Arial" w:hAnsi="Arial" w:cs="Arial"/>
          <w:b/>
          <w:sz w:val="12"/>
          <w:szCs w:val="12"/>
        </w:rPr>
      </w:pPr>
    </w:p>
    <w:p w:rsidR="00B4514F" w:rsidRDefault="00B4514F" w:rsidP="00B4514F">
      <w:pPr>
        <w:spacing w:after="0"/>
        <w:rPr>
          <w:rFonts w:ascii="Times New Roman" w:hAnsi="Times New Roman"/>
          <w:sz w:val="24"/>
          <w:szCs w:val="24"/>
        </w:rPr>
      </w:pPr>
      <w:r>
        <w:rPr>
          <w:szCs w:val="24"/>
        </w:rPr>
        <w:t>Because of the low solubility of the drug, it is stabilise</w:t>
      </w:r>
      <w:r w:rsidR="00D217F1">
        <w:rPr>
          <w:szCs w:val="24"/>
        </w:rPr>
        <w:t>d</w:t>
      </w:r>
      <w:r>
        <w:rPr>
          <w:szCs w:val="24"/>
        </w:rPr>
        <w:t xml:space="preserve"> in a non-crystalline form which shows significantly higher solubility, thereby enhancing </w:t>
      </w:r>
      <w:r>
        <w:rPr>
          <w:i/>
          <w:szCs w:val="24"/>
        </w:rPr>
        <w:t>in vivo</w:t>
      </w:r>
      <w:r>
        <w:rPr>
          <w:szCs w:val="24"/>
        </w:rPr>
        <w:t xml:space="preserve"> absorption. Vemurafenib is </w:t>
      </w:r>
      <w:r w:rsidR="003D4AAA">
        <w:rPr>
          <w:szCs w:val="24"/>
        </w:rPr>
        <w:t xml:space="preserve">processed </w:t>
      </w:r>
      <w:r>
        <w:rPr>
          <w:szCs w:val="24"/>
        </w:rPr>
        <w:t>with a polymer (hydroxypropyl methyl cellulose acetate succinate</w:t>
      </w:r>
      <w:r w:rsidR="00DA3DA6">
        <w:rPr>
          <w:szCs w:val="24"/>
        </w:rPr>
        <w:t xml:space="preserve"> (HPMC-AS)</w:t>
      </w:r>
      <w:r>
        <w:rPr>
          <w:szCs w:val="24"/>
        </w:rPr>
        <w:t>)</w:t>
      </w:r>
      <w:r w:rsidR="003D4AAA">
        <w:rPr>
          <w:szCs w:val="24"/>
        </w:rPr>
        <w:t xml:space="preserve"> </w:t>
      </w:r>
      <w:r w:rsidR="003D4AAA" w:rsidRPr="003D4AAA">
        <w:rPr>
          <w:szCs w:val="24"/>
        </w:rPr>
        <w:t xml:space="preserve">to form </w:t>
      </w:r>
      <w:r w:rsidR="00A03670">
        <w:rPr>
          <w:szCs w:val="24"/>
        </w:rPr>
        <w:t xml:space="preserve">a </w:t>
      </w:r>
      <w:r w:rsidR="00DA3DA6">
        <w:rPr>
          <w:szCs w:val="24"/>
        </w:rPr>
        <w:t>micro</w:t>
      </w:r>
      <w:r w:rsidR="00A03670">
        <w:rPr>
          <w:szCs w:val="24"/>
        </w:rPr>
        <w:t xml:space="preserve"> </w:t>
      </w:r>
      <w:r w:rsidR="00DA3DA6">
        <w:rPr>
          <w:szCs w:val="24"/>
        </w:rPr>
        <w:t>precipitated bulk powder (</w:t>
      </w:r>
      <w:r w:rsidR="003D4AAA" w:rsidRPr="003D4AAA">
        <w:rPr>
          <w:szCs w:val="24"/>
        </w:rPr>
        <w:t>MBP</w:t>
      </w:r>
      <w:r w:rsidR="00DA3DA6">
        <w:rPr>
          <w:szCs w:val="24"/>
        </w:rPr>
        <w:t>)</w:t>
      </w:r>
      <w:r w:rsidR="003D4AAA" w:rsidRPr="003D4AAA">
        <w:rPr>
          <w:szCs w:val="24"/>
        </w:rPr>
        <w:t xml:space="preserve"> (Vemurafenib/HPMC-AS)</w:t>
      </w:r>
      <w:r>
        <w:rPr>
          <w:szCs w:val="24"/>
        </w:rPr>
        <w:t xml:space="preserve">. </w:t>
      </w:r>
    </w:p>
    <w:p w:rsidR="00116AE6" w:rsidRDefault="00116AE6" w:rsidP="00B4514F">
      <w:pPr>
        <w:pStyle w:val="Heading3"/>
        <w:spacing w:before="240"/>
      </w:pPr>
      <w:bookmarkStart w:id="16" w:name="_Toc247691508"/>
      <w:bookmarkStart w:id="17" w:name="_Toc345675766"/>
      <w:r w:rsidRPr="008751DC">
        <w:t xml:space="preserve">Drug </w:t>
      </w:r>
      <w:r w:rsidR="00A408DA">
        <w:t>p</w:t>
      </w:r>
      <w:r w:rsidRPr="008751DC">
        <w:t>roduct</w:t>
      </w:r>
      <w:bookmarkEnd w:id="16"/>
      <w:bookmarkEnd w:id="17"/>
    </w:p>
    <w:p w:rsidR="00B4514F" w:rsidRDefault="00B4514F" w:rsidP="00B4514F">
      <w:pPr>
        <w:spacing w:after="0"/>
        <w:rPr>
          <w:rFonts w:ascii="Times New Roman" w:hAnsi="Times New Roman"/>
          <w:sz w:val="24"/>
          <w:szCs w:val="24"/>
        </w:rPr>
      </w:pPr>
      <w:r w:rsidRPr="00B25B29">
        <w:rPr>
          <w:szCs w:val="24"/>
        </w:rPr>
        <w:t>Zelboraf</w:t>
      </w:r>
      <w:r>
        <w:rPr>
          <w:i/>
          <w:szCs w:val="24"/>
        </w:rPr>
        <w:t xml:space="preserve"> </w:t>
      </w:r>
      <w:r>
        <w:rPr>
          <w:szCs w:val="24"/>
        </w:rPr>
        <w:t>240 mg tablets are oval, biconvex, pinkish-white to orange-white, film-coated tablets with VEM engraved on one side. The tablets are packed in aluminium blisters containing 56 tablets (one week</w:t>
      </w:r>
      <w:r w:rsidR="000057F7">
        <w:rPr>
          <w:szCs w:val="24"/>
        </w:rPr>
        <w:t>’</w:t>
      </w:r>
      <w:r>
        <w:rPr>
          <w:szCs w:val="24"/>
        </w:rPr>
        <w:t xml:space="preserve">s supply). Excipients are conventional. Tablets are made by granulation of the MBP using roller compaction. The proposed 240 mg tablet formulation was the same as that used in almost all clinical trials. </w:t>
      </w:r>
    </w:p>
    <w:p w:rsidR="00B4514F" w:rsidRDefault="00B4514F" w:rsidP="00B4514F">
      <w:pPr>
        <w:spacing w:after="0"/>
        <w:rPr>
          <w:sz w:val="12"/>
          <w:szCs w:val="12"/>
        </w:rPr>
      </w:pPr>
    </w:p>
    <w:p w:rsidR="00B4514F" w:rsidRDefault="00B4514F" w:rsidP="00B4514F">
      <w:pPr>
        <w:spacing w:after="0"/>
        <w:rPr>
          <w:sz w:val="24"/>
          <w:szCs w:val="24"/>
        </w:rPr>
      </w:pPr>
      <w:r>
        <w:rPr>
          <w:szCs w:val="24"/>
        </w:rPr>
        <w:t xml:space="preserve">Tablet dissolution is controlled. </w:t>
      </w:r>
      <w:r>
        <w:t xml:space="preserve">There are limits for any crystalline drug in the tablets. </w:t>
      </w:r>
      <w:r>
        <w:rPr>
          <w:szCs w:val="24"/>
        </w:rPr>
        <w:t xml:space="preserve">No significant changes or trends were seen on tablet storage. </w:t>
      </w:r>
    </w:p>
    <w:p w:rsidR="00116AE6" w:rsidRDefault="00116AE6" w:rsidP="00B4514F">
      <w:pPr>
        <w:pStyle w:val="Heading3"/>
        <w:spacing w:before="240"/>
      </w:pPr>
      <w:bookmarkStart w:id="18" w:name="_Toc345675767"/>
      <w:r>
        <w:t>Bio</w:t>
      </w:r>
      <w:r w:rsidR="0060188E">
        <w:t>pharmaceutics</w:t>
      </w:r>
      <w:bookmarkEnd w:id="18"/>
    </w:p>
    <w:p w:rsidR="00B4514F" w:rsidRDefault="00B4514F" w:rsidP="00B4514F">
      <w:pPr>
        <w:spacing w:after="0"/>
        <w:rPr>
          <w:sz w:val="12"/>
          <w:szCs w:val="12"/>
        </w:rPr>
      </w:pPr>
      <w:r>
        <w:rPr>
          <w:szCs w:val="24"/>
        </w:rPr>
        <w:t xml:space="preserve">The Phase I dose ranging trial PLX06-02 used micronised, </w:t>
      </w:r>
      <w:r>
        <w:t>crystalline (</w:t>
      </w:r>
      <w:r>
        <w:rPr>
          <w:szCs w:val="24"/>
        </w:rPr>
        <w:t>Form I</w:t>
      </w:r>
      <w:r>
        <w:t>)</w:t>
      </w:r>
      <w:r>
        <w:rPr>
          <w:szCs w:val="24"/>
        </w:rPr>
        <w:t xml:space="preserve"> vemurafenib filled into </w:t>
      </w:r>
      <w:r>
        <w:t>100 and 300 mg</w:t>
      </w:r>
      <w:r>
        <w:rPr>
          <w:szCs w:val="24"/>
        </w:rPr>
        <w:t xml:space="preserve"> capsules. </w:t>
      </w:r>
    </w:p>
    <w:p w:rsidR="00B4514F" w:rsidRDefault="00B4514F" w:rsidP="00B4514F">
      <w:pPr>
        <w:spacing w:after="0"/>
        <w:rPr>
          <w:szCs w:val="24"/>
        </w:rPr>
      </w:pPr>
      <w:r>
        <w:rPr>
          <w:szCs w:val="24"/>
        </w:rPr>
        <w:t xml:space="preserve">During product development </w:t>
      </w:r>
      <w:r w:rsidR="00956288">
        <w:rPr>
          <w:szCs w:val="24"/>
        </w:rPr>
        <w:t xml:space="preserve">two </w:t>
      </w:r>
      <w:r>
        <w:rPr>
          <w:szCs w:val="24"/>
        </w:rPr>
        <w:t xml:space="preserve">40 mg capsule </w:t>
      </w:r>
      <w:r w:rsidR="00956288">
        <w:rPr>
          <w:szCs w:val="24"/>
        </w:rPr>
        <w:t xml:space="preserve">MBF </w:t>
      </w:r>
      <w:r>
        <w:rPr>
          <w:szCs w:val="24"/>
        </w:rPr>
        <w:t>formulations were developed. In a relative bioavailability study (PLX102-01), these 40 mg formulations showed similar bioavailability and increase</w:t>
      </w:r>
      <w:r w:rsidR="00A03670">
        <w:rPr>
          <w:szCs w:val="24"/>
        </w:rPr>
        <w:t>d</w:t>
      </w:r>
      <w:r>
        <w:rPr>
          <w:szCs w:val="24"/>
        </w:rPr>
        <w:t xml:space="preserve"> in bioavailability compared to the Phase I (crystalline) capsules</w:t>
      </w:r>
      <w:r w:rsidR="00A03670">
        <w:rPr>
          <w:szCs w:val="24"/>
        </w:rPr>
        <w:t>.</w:t>
      </w:r>
    </w:p>
    <w:p w:rsidR="00B4514F" w:rsidRDefault="00B4514F" w:rsidP="00B4514F">
      <w:pPr>
        <w:spacing w:after="0"/>
        <w:rPr>
          <w:sz w:val="24"/>
          <w:szCs w:val="20"/>
        </w:rPr>
      </w:pPr>
      <w:r>
        <w:t xml:space="preserve">As the proposed tablet formulation was the same in almost all clinical trials (except for details of tablet engraving), bioequivalence with the capsules used in two Phase I studies (PLX06-02 and PLX102-01) </w:t>
      </w:r>
      <w:r w:rsidR="00956288">
        <w:t>was</w:t>
      </w:r>
      <w:r>
        <w:t xml:space="preserve"> not </w:t>
      </w:r>
      <w:r w:rsidR="00956288">
        <w:t xml:space="preserve">considered </w:t>
      </w:r>
      <w:r>
        <w:t>an issue.</w:t>
      </w:r>
    </w:p>
    <w:p w:rsidR="00B4514F" w:rsidRPr="00DA3DA6" w:rsidRDefault="00B4514F" w:rsidP="00B4514F">
      <w:pPr>
        <w:spacing w:after="0"/>
      </w:pPr>
      <w:r>
        <w:t>No absolute bioavailability information is available for humans.</w:t>
      </w:r>
      <w:r w:rsidR="00DA3DA6">
        <w:t xml:space="preserve"> </w:t>
      </w:r>
      <w:r w:rsidR="00DA3DA6" w:rsidRPr="00DA3DA6">
        <w:t>Due to the limited solubility of vemurafenib at physiological pH 6.8, (0.01-0.10 μg/ml), it was not possible to formulate standard doses as an intravenous formulation.</w:t>
      </w:r>
    </w:p>
    <w:p w:rsidR="00B4514F" w:rsidRDefault="00B4514F" w:rsidP="00B4514F">
      <w:pPr>
        <w:spacing w:after="0"/>
      </w:pPr>
      <w:r>
        <w:t>No study of the effect of food has been completed, a dedicated food effect study (NP25396) has been started, but the results have not been submitted. Fasting doses are recommended.</w:t>
      </w:r>
    </w:p>
    <w:p w:rsidR="00B4514F" w:rsidRDefault="00B4514F" w:rsidP="00B4514F">
      <w:pPr>
        <w:spacing w:after="0"/>
      </w:pPr>
    </w:p>
    <w:p w:rsidR="005A27B0" w:rsidRDefault="00A408DA" w:rsidP="005A27B0">
      <w:pPr>
        <w:pStyle w:val="Heading3"/>
      </w:pPr>
      <w:bookmarkStart w:id="19" w:name="_Toc345675768"/>
      <w:r>
        <w:t>Advisory committee c</w:t>
      </w:r>
      <w:r w:rsidR="005A27B0">
        <w:t>onsiderations</w:t>
      </w:r>
      <w:bookmarkEnd w:id="19"/>
    </w:p>
    <w:p w:rsidR="00B4514F" w:rsidRDefault="00B4514F" w:rsidP="00B4514F">
      <w:pPr>
        <w:pStyle w:val="Heading5"/>
      </w:pPr>
      <w:bookmarkStart w:id="20" w:name="_Toc247691509"/>
      <w:r>
        <w:t>Pharmaceutical Subcommittee (PSC)</w:t>
      </w:r>
    </w:p>
    <w:p w:rsidR="00B4514F" w:rsidRDefault="00B4514F" w:rsidP="00B4514F">
      <w:pPr>
        <w:rPr>
          <w:rFonts w:ascii="Times New Roman" w:hAnsi="Times New Roman"/>
          <w:sz w:val="24"/>
          <w:szCs w:val="20"/>
          <w:lang w:eastAsia="en-AU"/>
        </w:rPr>
      </w:pPr>
      <w:r>
        <w:t>This application was considered at the 142</w:t>
      </w:r>
      <w:r>
        <w:rPr>
          <w:vertAlign w:val="superscript"/>
        </w:rPr>
        <w:t>nd</w:t>
      </w:r>
      <w:r>
        <w:t xml:space="preserve"> meeting of the PSC of the Advisory Committee on </w:t>
      </w:r>
      <w:r w:rsidR="000057F7">
        <w:t>P</w:t>
      </w:r>
      <w:r>
        <w:t xml:space="preserve">rescription Medicines (ACPM) (see Recommendation No. 2248). The PSC recommended tightening the limits for </w:t>
      </w:r>
      <w:r>
        <w:rPr>
          <w:lang w:eastAsia="en-AU"/>
        </w:rPr>
        <w:t xml:space="preserve">unspecified impurities in the drug substance. </w:t>
      </w:r>
    </w:p>
    <w:p w:rsidR="00B4514F" w:rsidRDefault="00B4514F" w:rsidP="00B4514F">
      <w:pPr>
        <w:spacing w:before="120"/>
        <w:rPr>
          <w:lang w:eastAsia="en-AU"/>
        </w:rPr>
      </w:pPr>
      <w:r>
        <w:rPr>
          <w:lang w:eastAsia="en-AU"/>
        </w:rPr>
        <w:t xml:space="preserve">The PSC considered that an absolute bioavailability study could have been undertaken using </w:t>
      </w:r>
      <w:r>
        <w:rPr>
          <w:lang w:val="en-US"/>
        </w:rPr>
        <w:t>a micro-dose IV infusion</w:t>
      </w:r>
      <w:r>
        <w:rPr>
          <w:lang w:eastAsia="en-AU"/>
        </w:rPr>
        <w:t xml:space="preserve">. </w:t>
      </w:r>
    </w:p>
    <w:p w:rsidR="00B4514F" w:rsidRDefault="00B4514F" w:rsidP="00B4514F">
      <w:pPr>
        <w:autoSpaceDE w:val="0"/>
        <w:autoSpaceDN w:val="0"/>
        <w:adjustRightInd w:val="0"/>
        <w:spacing w:after="240"/>
        <w:rPr>
          <w:lang w:val="en-US"/>
        </w:rPr>
      </w:pPr>
      <w:r>
        <w:rPr>
          <w:lang w:val="en-US"/>
        </w:rPr>
        <w:lastRenderedPageBreak/>
        <w:t xml:space="preserve">The PSC was concerned about the lack of detailed TGA review of population pharmacokinetic studies in this and other applications. </w:t>
      </w:r>
      <w:r>
        <w:rPr>
          <w:lang w:val="en-US" w:eastAsia="en-AU"/>
        </w:rPr>
        <w:t xml:space="preserve">The Committee agreed that the attention of the Delegate and </w:t>
      </w:r>
      <w:r>
        <w:rPr>
          <w:lang w:eastAsia="en-AU"/>
        </w:rPr>
        <w:t xml:space="preserve">the ACPM </w:t>
      </w:r>
      <w:r>
        <w:rPr>
          <w:lang w:val="en-US" w:eastAsia="en-AU"/>
        </w:rPr>
        <w:t xml:space="preserve">should be drawn to the fact that the discussion on the effect of </w:t>
      </w:r>
      <w:r>
        <w:rPr>
          <w:lang w:eastAsia="en-AU"/>
        </w:rPr>
        <w:t>vemurafenib</w:t>
      </w:r>
      <w:r>
        <w:rPr>
          <w:lang w:val="en-US" w:eastAsia="en-AU"/>
        </w:rPr>
        <w:t xml:space="preserve"> on QTc prolongation in the </w:t>
      </w:r>
      <w:r>
        <w:rPr>
          <w:lang w:eastAsia="en-AU"/>
        </w:rPr>
        <w:t xml:space="preserve">PI was not comprehensive as </w:t>
      </w:r>
      <w:r>
        <w:rPr>
          <w:lang w:val="en-US" w:eastAsia="en-AU"/>
        </w:rPr>
        <w:t xml:space="preserve">comments were made only on certain aspects of the population pharmacokinetic analysis provided in support of this submission. </w:t>
      </w:r>
    </w:p>
    <w:p w:rsidR="00B4514F" w:rsidRDefault="00B4514F" w:rsidP="00B4514F">
      <w:pPr>
        <w:autoSpaceDE w:val="0"/>
        <w:autoSpaceDN w:val="0"/>
        <w:adjustRightInd w:val="0"/>
        <w:spacing w:after="240"/>
      </w:pPr>
      <w:r>
        <w:rPr>
          <w:lang w:eastAsia="en-AU"/>
        </w:rPr>
        <w:t xml:space="preserve">Apart from some </w:t>
      </w:r>
      <w:r w:rsidR="00B25B29">
        <w:rPr>
          <w:lang w:eastAsia="en-AU"/>
        </w:rPr>
        <w:t>PI</w:t>
      </w:r>
      <w:r>
        <w:rPr>
          <w:lang w:eastAsia="en-AU"/>
        </w:rPr>
        <w:t xml:space="preserve"> detail recommendations, </w:t>
      </w:r>
      <w:r w:rsidR="00B25B29">
        <w:rPr>
          <w:lang w:eastAsia="en-AU"/>
        </w:rPr>
        <w:t>t</w:t>
      </w:r>
      <w:r>
        <w:t>he PSC considered that there should be no objection to registration on pharmaceutic and biopharmaceutic grounds.</w:t>
      </w:r>
    </w:p>
    <w:p w:rsidR="00116AE6" w:rsidRPr="008751DC" w:rsidRDefault="00116AE6" w:rsidP="00116AE6">
      <w:pPr>
        <w:pStyle w:val="Heading3"/>
      </w:pPr>
      <w:bookmarkStart w:id="21" w:name="_Toc345675769"/>
      <w:r>
        <w:t xml:space="preserve">Quality </w:t>
      </w:r>
      <w:r w:rsidR="00A408DA">
        <w:t>s</w:t>
      </w:r>
      <w:r w:rsidRPr="008751DC">
        <w:t>ummary</w:t>
      </w:r>
      <w:r w:rsidR="00A408DA">
        <w:t xml:space="preserve"> and c</w:t>
      </w:r>
      <w:r>
        <w:t>onclusions</w:t>
      </w:r>
      <w:bookmarkEnd w:id="20"/>
      <w:bookmarkEnd w:id="21"/>
    </w:p>
    <w:p w:rsidR="00B4514F" w:rsidRDefault="00B25B29" w:rsidP="00B25B29">
      <w:pPr>
        <w:tabs>
          <w:tab w:val="left" w:pos="426"/>
        </w:tabs>
        <w:adjustRightInd w:val="0"/>
        <w:snapToGrid w:val="0"/>
        <w:spacing w:after="240"/>
        <w:ind w:right="-23"/>
        <w:rPr>
          <w:rFonts w:ascii="Times New Roman" w:hAnsi="Times New Roman"/>
          <w:sz w:val="24"/>
          <w:szCs w:val="24"/>
        </w:rPr>
      </w:pPr>
      <w:bookmarkStart w:id="22" w:name="_Toc196046439"/>
      <w:bookmarkStart w:id="23" w:name="_Toc247691510"/>
      <w:r>
        <w:t>The attention of the ACPM wa</w:t>
      </w:r>
      <w:r w:rsidR="00B4514F">
        <w:t xml:space="preserve">s drawn to the incomplete information on absolute bioavailability study and on the effects of food. </w:t>
      </w:r>
      <w:r w:rsidR="00B4514F">
        <w:rPr>
          <w:szCs w:val="24"/>
        </w:rPr>
        <w:t>The limit on unspecified impurities in the drug substance co</w:t>
      </w:r>
      <w:r>
        <w:rPr>
          <w:szCs w:val="24"/>
        </w:rPr>
        <w:t>uld be tightened. Registration wa</w:t>
      </w:r>
      <w:r w:rsidR="00B4514F">
        <w:rPr>
          <w:szCs w:val="24"/>
        </w:rPr>
        <w:t>s otherwise recommended with respect to chemistry and biopharmaceutic aspects.</w:t>
      </w:r>
    </w:p>
    <w:p w:rsidR="00116AE6" w:rsidRDefault="00D21C4E" w:rsidP="00D21C4E">
      <w:pPr>
        <w:pStyle w:val="Heading2"/>
      </w:pPr>
      <w:bookmarkStart w:id="24" w:name="_Toc345675770"/>
      <w:r>
        <w:t xml:space="preserve">III. </w:t>
      </w:r>
      <w:r w:rsidR="00116AE6">
        <w:t>Nonclinical</w:t>
      </w:r>
      <w:bookmarkEnd w:id="22"/>
      <w:r w:rsidR="00A408DA">
        <w:t xml:space="preserve"> f</w:t>
      </w:r>
      <w:r w:rsidR="00116AE6">
        <w:t>indings</w:t>
      </w:r>
      <w:bookmarkEnd w:id="23"/>
      <w:bookmarkEnd w:id="24"/>
    </w:p>
    <w:p w:rsidR="00116AE6" w:rsidRDefault="00116AE6" w:rsidP="00116AE6">
      <w:pPr>
        <w:pStyle w:val="Heading3"/>
      </w:pPr>
      <w:bookmarkStart w:id="25" w:name="_Toc247691511"/>
      <w:bookmarkStart w:id="26" w:name="_Toc345675771"/>
      <w:r>
        <w:t>Introduction</w:t>
      </w:r>
      <w:bookmarkEnd w:id="25"/>
      <w:bookmarkEnd w:id="26"/>
      <w:r>
        <w:tab/>
      </w:r>
    </w:p>
    <w:p w:rsidR="005F06E6" w:rsidRDefault="005F06E6" w:rsidP="005F06E6">
      <w:bookmarkStart w:id="27" w:name="_Toc247691512"/>
      <w:r>
        <w:t xml:space="preserve">The </w:t>
      </w:r>
      <w:r w:rsidRPr="00734347">
        <w:t xml:space="preserve">submitted </w:t>
      </w:r>
      <w:r w:rsidR="005777FF" w:rsidRPr="00734347">
        <w:t>nonclinical</w:t>
      </w:r>
      <w:r w:rsidRPr="00734347">
        <w:t xml:space="preserve"> data were in general accordance with the </w:t>
      </w:r>
      <w:r w:rsidR="00734347" w:rsidRPr="00734347">
        <w:t>TGA adopted Eurpean Union (EU)</w:t>
      </w:r>
      <w:r w:rsidRPr="00734347">
        <w:t xml:space="preserve"> guideline on the nonclinical evaluation of anticancer pharmaceuticals.</w:t>
      </w:r>
      <w:bookmarkStart w:id="28" w:name="_Ref339534214"/>
      <w:r w:rsidR="0006208B" w:rsidRPr="00734347">
        <w:rPr>
          <w:rStyle w:val="FootnoteReference"/>
        </w:rPr>
        <w:footnoteReference w:id="4"/>
      </w:r>
      <w:bookmarkEnd w:id="28"/>
      <w:r w:rsidRPr="00734347">
        <w:t xml:space="preserve"> During the clinical development of vemurafenib, several formulations were examined in the nonclinical studies. The </w:t>
      </w:r>
      <w:r>
        <w:t xml:space="preserve">MBP formulation was eventually chosen as it gave greater and more predictable oral bioavailability. All pivotal pharmacology, repeat-dose toxicity and reproductive toxicity studies were conducted using the clinical MBP formulation. Unfortunately, the safety pharmacology studies were conducted with an earlier crystalline formulation in corn oil and there were no accompanying toxicokinetic data for relative exposure comparisons. In general, the exposures to vemurafenib were subclinical in the animal studies and, therefore, the full spectrum of safety issues has not been adequately addressed in the submitted </w:t>
      </w:r>
      <w:r w:rsidR="005777FF">
        <w:t>data</w:t>
      </w:r>
      <w:r>
        <w:t>. This is considered a major limitation but for the most part was unavoidable as the maximum feasible dose was used in the majority of the pivotal toxicity studies.</w:t>
      </w:r>
    </w:p>
    <w:p w:rsidR="00116AE6" w:rsidRDefault="00116AE6" w:rsidP="00116AE6">
      <w:pPr>
        <w:pStyle w:val="Heading3"/>
      </w:pPr>
      <w:bookmarkStart w:id="29" w:name="_Toc345675772"/>
      <w:r w:rsidRPr="00020030">
        <w:t>Pharmacology</w:t>
      </w:r>
      <w:bookmarkEnd w:id="27"/>
      <w:bookmarkEnd w:id="29"/>
    </w:p>
    <w:p w:rsidR="005F06E6" w:rsidRDefault="005F06E6" w:rsidP="005777FF">
      <w:pPr>
        <w:pStyle w:val="Heading4"/>
      </w:pPr>
      <w:bookmarkStart w:id="30" w:name="_Toc315770384"/>
      <w:bookmarkStart w:id="31" w:name="_Toc247691513"/>
      <w:r>
        <w:t>Primary pharmacodynamics</w:t>
      </w:r>
      <w:bookmarkEnd w:id="30"/>
    </w:p>
    <w:p w:rsidR="005F06E6" w:rsidRDefault="005F06E6" w:rsidP="005777FF">
      <w:pPr>
        <w:pStyle w:val="Heading5"/>
        <w:rPr>
          <w:rFonts w:eastAsia="TimesNewRoman"/>
        </w:rPr>
      </w:pPr>
      <w:r>
        <w:rPr>
          <w:rFonts w:eastAsia="TimesNewRoman"/>
        </w:rPr>
        <w:t>Rationale and mechanism of action</w:t>
      </w:r>
    </w:p>
    <w:p w:rsidR="005F06E6" w:rsidRPr="005777FF" w:rsidRDefault="005F06E6" w:rsidP="005F06E6">
      <w:pPr>
        <w:autoSpaceDE w:val="0"/>
        <w:autoSpaceDN w:val="0"/>
        <w:adjustRightInd w:val="0"/>
      </w:pPr>
      <w:r>
        <w:rPr>
          <w:rFonts w:eastAsia="TimesNewRoman"/>
        </w:rPr>
        <w:t>The MAPK (Mitogen-Activated Protein Kinase) pathway is a phosphorylation-driven signal transduction pathway that couples intracellular responses to the binding of growth factors to cell surface receptors. This pathway regulates several processes including cell proliferation and differentiation. The classical MAPK pathway consists of RAS, RAF, MEK and ERK where RAS triggers the formation of the RAF/MEK/ERK kinase complex.</w:t>
      </w:r>
      <w:r w:rsidR="005777FF">
        <w:rPr>
          <w:rFonts w:eastAsia="TimesNewRoman"/>
        </w:rPr>
        <w:t xml:space="preserve"> </w:t>
      </w:r>
      <w:r>
        <w:rPr>
          <w:rFonts w:eastAsia="TimesNewRoman"/>
        </w:rPr>
        <w:t>The MAPK pathway is frequently activated in human cancers.</w:t>
      </w:r>
      <w:r w:rsidR="005777FF">
        <w:rPr>
          <w:rFonts w:eastAsia="TimesNewRoman"/>
        </w:rPr>
        <w:t xml:space="preserve"> </w:t>
      </w:r>
      <w:r>
        <w:rPr>
          <w:rFonts w:eastAsia="TimesNewRoman"/>
        </w:rPr>
        <w:t>An activating mutation in the gene encoding the serine–threonine protein kinase BRAF occurs in 40 to 60% of melanomas and 7 to 8% of all cancers.</w:t>
      </w:r>
      <w:r w:rsidR="005777FF">
        <w:rPr>
          <w:rFonts w:eastAsia="TimesNewRoman"/>
        </w:rPr>
        <w:t xml:space="preserve"> </w:t>
      </w:r>
      <w:r>
        <w:t xml:space="preserve">Oncogenic mutations in the </w:t>
      </w:r>
      <w:r>
        <w:rPr>
          <w:i/>
        </w:rPr>
        <w:t>BRAF</w:t>
      </w:r>
      <w:r>
        <w:t xml:space="preserve"> ge</w:t>
      </w:r>
      <w:r w:rsidR="008305A0" w:rsidRPr="008305A0">
        <w:rPr>
          <w:rFonts w:asciiTheme="majorHAnsi" w:hAnsiTheme="majorHAnsi"/>
        </w:rPr>
        <w:t>ne</w:t>
      </w:r>
      <w:r w:rsidR="008305A0" w:rsidRPr="008305A0">
        <w:rPr>
          <w:rFonts w:asciiTheme="majorHAnsi" w:hAnsiTheme="majorHAnsi" w:cs="TimesNewRomanPSMT"/>
        </w:rPr>
        <w:t xml:space="preserve"> result in </w:t>
      </w:r>
      <w:r w:rsidRPr="005777FF">
        <w:t>constitutive activation of BRAF kinase.</w:t>
      </w:r>
      <w:r w:rsidR="005777FF">
        <w:t xml:space="preserve"> </w:t>
      </w:r>
      <w:r w:rsidRPr="005777FF">
        <w:t xml:space="preserve">Ninety percent of reported BRAF mutations result in a substitution of glutamic acid for valine at amino acid 600 (the V600E mutation). This BRAF mutation constitutively activates BRAF and downstream signal transduction in the MAP kinase pathway. Vemurafenib was designed as an inhibitor of BRAF V600 mutants. </w:t>
      </w:r>
      <w:r w:rsidRPr="005777FF">
        <w:lastRenderedPageBreak/>
        <w:t>Inhibition of this mutated BRAF is intended to inhibit downstream signalling and reduce cell proliferation and inhibit tumour growth.</w:t>
      </w:r>
    </w:p>
    <w:p w:rsidR="005F06E6" w:rsidRDefault="005F06E6" w:rsidP="005777FF">
      <w:pPr>
        <w:pStyle w:val="Heading5"/>
      </w:pPr>
      <w:r>
        <w:t>In vitro studies</w:t>
      </w:r>
    </w:p>
    <w:p w:rsidR="005F06E6" w:rsidRDefault="005F06E6" w:rsidP="005777FF">
      <w:r>
        <w:rPr>
          <w:i/>
        </w:rPr>
        <w:t>In vitro</w:t>
      </w:r>
      <w:r>
        <w:t xml:space="preserve"> pharmacology studies investigated kinase inhibition, inhibition of downstream signalling and inhibition of cell proliferation. Vemurafenib inhibited the kinase activity of wild-type BRAF kinase and the following mutants V600E, V600A, V600D, V600K, V600M, V600R, V600G, E586K, F595L, G464V, G469A, K601E and T599I with </w:t>
      </w:r>
      <w:r w:rsidR="005777FF">
        <w:t>50 % inhibitory concentration (</w:t>
      </w:r>
      <w:r>
        <w:t>IC</w:t>
      </w:r>
      <w:r>
        <w:rPr>
          <w:vertAlign w:val="subscript"/>
        </w:rPr>
        <w:t>50</w:t>
      </w:r>
      <w:r w:rsidR="005777FF">
        <w:t>)</w:t>
      </w:r>
      <w:r>
        <w:t xml:space="preserve"> values ≤110 nM. This inhibitory potency is below the clinical plasma concentrations (167 nM, free fraction</w:t>
      </w:r>
      <w:r>
        <w:rPr>
          <w:rStyle w:val="FootnoteReference"/>
          <w:rFonts w:ascii="TimesNewRomanPSMT" w:hAnsi="TimesNewRomanPSMT" w:cs="TimesNewRomanPSMT"/>
        </w:rPr>
        <w:footnoteReference w:id="5"/>
      </w:r>
      <w:r>
        <w:t xml:space="preserve">). </w:t>
      </w:r>
    </w:p>
    <w:p w:rsidR="005F06E6" w:rsidRDefault="005F06E6" w:rsidP="005777FF">
      <w:r>
        <w:t>BRAF V600E mutants constitutively activate the downstream ERK and MEK signalling pathways. Vemurafenib at concentrations at or below the clinical C</w:t>
      </w:r>
      <w:r>
        <w:rPr>
          <w:vertAlign w:val="subscript"/>
        </w:rPr>
        <w:t>max</w:t>
      </w:r>
      <w:r>
        <w:t xml:space="preserve"> inhibited ERK and/or MEK phosphorylation in melanoma and other tumour cell lines expressing BRAF V600E, V600D or V600R. No significant effect was seen on phosphorylation in cells expressing BRAF G469V at concentrations up to 30 </w:t>
      </w:r>
      <w:r>
        <w:sym w:font="Symbol" w:char="006D"/>
      </w:r>
      <w:r>
        <w:t>M (~180 times the clinical free plasma concentrations). In contrast, at 240 nM vemurafenib (~1.5 times the clinical free plasma concentration) both ERK and MEK phosphorylation were induced in cells expressing wild-type BRAF.</w:t>
      </w:r>
    </w:p>
    <w:p w:rsidR="005F06E6" w:rsidRDefault="005F06E6" w:rsidP="005777FF">
      <w:r>
        <w:t>When tested with 17 human melanoma cell lines, vemurafenib inhibited the proliferation of all lines expressing BRAF V600 mutations (V600D, V600E, V600K and V600R). The IC</w:t>
      </w:r>
      <w:r>
        <w:rPr>
          <w:vertAlign w:val="subscript"/>
        </w:rPr>
        <w:t>50</w:t>
      </w:r>
      <w:r>
        <w:t xml:space="preserve"> values ranged from 15 to 1000 nM (0.1−6 times the free clinical plasma concentration). Similar inhibitory activity was seen in a breast cancer cell line expressing BRAF V600E. No significant effect was seen on the proliferation of other tumour cell types (lung, gastric, breast, pancreatic and skin) which contained wild-type BRAF, BRAF G469V, G466V or G464V (IC</w:t>
      </w:r>
      <w:r>
        <w:rPr>
          <w:vertAlign w:val="subscript"/>
        </w:rPr>
        <w:t>50</w:t>
      </w:r>
      <w:r>
        <w:t xml:space="preserve"> &gt;10 </w:t>
      </w:r>
      <w:r>
        <w:sym w:font="Symbol" w:char="006D"/>
      </w:r>
      <w:r>
        <w:t>M; ~60 times the clinical plasma concentration).</w:t>
      </w:r>
    </w:p>
    <w:p w:rsidR="005F06E6" w:rsidRDefault="005F06E6" w:rsidP="005777FF">
      <w:pPr>
        <w:pStyle w:val="Heading5"/>
      </w:pPr>
      <w:r>
        <w:t>In vivo</w:t>
      </w:r>
    </w:p>
    <w:p w:rsidR="005F06E6" w:rsidRDefault="005F06E6" w:rsidP="005F06E6">
      <w:r>
        <w:t xml:space="preserve">The efficacy of vemurafenib was assessed in mouse xenograft tumour models bearing human melanoma grafts. Three different tumour lines were examined. Greater than 100% tumour growth inhibition and complete regression was seen in all mice bearing melanoma tumours expressing BRAF V600E treated with 75−100 mg/kg </w:t>
      </w:r>
      <w:r w:rsidR="005777FF">
        <w:t>orally (</w:t>
      </w:r>
      <w:r>
        <w:t>PO</w:t>
      </w:r>
      <w:r w:rsidR="005777FF">
        <w:t>) twice a day (</w:t>
      </w:r>
      <w:r>
        <w:t>bd</w:t>
      </w:r>
      <w:r w:rsidR="005777FF">
        <w:t>)</w:t>
      </w:r>
      <w:r>
        <w:t xml:space="preserve"> for 11−21 days. Life span was increased 61−3500% in these animals. The </w:t>
      </w:r>
      <w:r w:rsidR="005777FF">
        <w:t>area under the plasma concentration time curve from 2 to 24 h (</w:t>
      </w:r>
      <w:r>
        <w:t>AUC</w:t>
      </w:r>
      <w:r>
        <w:rPr>
          <w:vertAlign w:val="subscript"/>
        </w:rPr>
        <w:t>2-24h</w:t>
      </w:r>
      <w:r w:rsidR="005777FF">
        <w:t>)</w:t>
      </w:r>
      <w:r>
        <w:t xml:space="preserve"> was ~0.5 times the clinical AUC</w:t>
      </w:r>
      <w:r>
        <w:rPr>
          <w:vertAlign w:val="subscript"/>
        </w:rPr>
        <w:t>0-24h</w:t>
      </w:r>
      <w:r>
        <w:t xml:space="preserve"> at the maximum clinical dose, thus supporting the proposed indication. In one of these models, tumours recurred over time, suggesting that the tumour may have gained resistance to vemurafenib. Vemurafenib at doses up to 100 mg/kg PO bd also had some efficacy (based on tumour growth inhibition, partial and complete regression) in colorectal tumour xenografts that express BRAF V600E. As exposures in this study were not reported and significant differences in bioavailability were seen, depending on formulation, it is difficult to compare the levels of vemurafenib in this study with the proposed clinical dose. Vemurafenib had no effect on colorectal tumours expressing wild-type BRAF at concentrations up to 100 mg/kg PO bd. Efficacy against melanomas expressing wild-type BRAF was not examined.</w:t>
      </w:r>
    </w:p>
    <w:p w:rsidR="005F06E6" w:rsidRDefault="005F06E6" w:rsidP="005777FF">
      <w:pPr>
        <w:pStyle w:val="Heading5"/>
      </w:pPr>
      <w:r>
        <w:t>Development of resistance</w:t>
      </w:r>
    </w:p>
    <w:p w:rsidR="005777FF" w:rsidRDefault="005F06E6" w:rsidP="005F06E6">
      <w:r>
        <w:t>The development of resistance was assessed in human melanoma cell lines cultured for 3 months. The IC</w:t>
      </w:r>
      <w:r>
        <w:rPr>
          <w:vertAlign w:val="subscript"/>
        </w:rPr>
        <w:t>50</w:t>
      </w:r>
      <w:r>
        <w:t xml:space="preserve"> values increased from 71 nM to 8.5 </w:t>
      </w:r>
      <w:r>
        <w:sym w:font="Symbol" w:char="006D"/>
      </w:r>
      <w:r>
        <w:t xml:space="preserve">M (51 times the free clinical </w:t>
      </w:r>
      <w:r w:rsidR="005777FF">
        <w:t>peak plasma concentration (</w:t>
      </w:r>
      <w:r>
        <w:t>C</w:t>
      </w:r>
      <w:r>
        <w:rPr>
          <w:vertAlign w:val="subscript"/>
        </w:rPr>
        <w:t>max</w:t>
      </w:r>
      <w:r w:rsidR="005777FF">
        <w:t>)</w:t>
      </w:r>
      <w:r>
        <w:t xml:space="preserve">). Resistant cells retained the BRAF V600E mutation and investigations suggested multiple factors may be involved in resistance. In particular, a </w:t>
      </w:r>
      <w:r>
        <w:lastRenderedPageBreak/>
        <w:t xml:space="preserve">number of lines had acquired RAS mutations and RAS-GTP levels were elevated. Down-regulation of </w:t>
      </w:r>
      <w:r>
        <w:rPr>
          <w:i/>
        </w:rPr>
        <w:t>KRAS</w:t>
      </w:r>
      <w:r>
        <w:t xml:space="preserve"> expression increased the sensitivity of resistant lines carrying a K117N mutation of KRAS (2</w:t>
      </w:r>
      <w:r w:rsidR="005777FF">
        <w:t xml:space="preserve"> to </w:t>
      </w:r>
      <w:r>
        <w:t>6 fold decrease in IC</w:t>
      </w:r>
      <w:r>
        <w:rPr>
          <w:vertAlign w:val="subscript"/>
        </w:rPr>
        <w:t>50</w:t>
      </w:r>
      <w:r>
        <w:t xml:space="preserve"> was seen). When this resistant line was implanted on nude mice, no inhibition of tumour growth was seen after vemurafenib treatment (25 mg/kg/day </w:t>
      </w:r>
      <w:smartTag w:uri="urn:schemas-microsoft-com:office:smarttags" w:element="place">
        <w:r>
          <w:t>PO</w:t>
        </w:r>
      </w:smartTag>
      <w:r>
        <w:t xml:space="preserve"> for 11 days). One hundred percent tumour growth inhibition was seen when the same experiment was conducted with the sensitive parental line. Tumour growth inhibition (TGI; 98%) and increased life span (ILS; 100%) was seen in mice bearing the resistant line when vemurafenib treatment was combined with treatment with a MEK inhibitor. The results were superior to those obtained with a MEK inhibitor alone (44% TGI, 33% ILS). Other reported mechanisms of resistance to vemurafenib treatment include induction or persistence of activity within the AKT pathway and truncation and dimerisation of BRAF V600E</w:t>
      </w:r>
      <w:r w:rsidR="005777FF">
        <w:t>.</w:t>
      </w:r>
      <w:r w:rsidR="005777FF">
        <w:rPr>
          <w:rStyle w:val="FootnoteReference"/>
        </w:rPr>
        <w:footnoteReference w:id="6"/>
      </w:r>
      <w:r w:rsidR="005777FF" w:rsidRPr="005777FF">
        <w:rPr>
          <w:vertAlign w:val="superscript"/>
        </w:rPr>
        <w:t>,</w:t>
      </w:r>
      <w:r w:rsidR="005777FF">
        <w:rPr>
          <w:rStyle w:val="FootnoteReference"/>
        </w:rPr>
        <w:footnoteReference w:id="7"/>
      </w:r>
      <w:r>
        <w:t xml:space="preserve"> </w:t>
      </w:r>
    </w:p>
    <w:p w:rsidR="005F06E6" w:rsidRDefault="005F06E6" w:rsidP="005777FF">
      <w:pPr>
        <w:pStyle w:val="Heading5"/>
      </w:pPr>
      <w:r>
        <w:t>Summary of primary pharmacology</w:t>
      </w:r>
    </w:p>
    <w:p w:rsidR="005F06E6" w:rsidRDefault="005F06E6" w:rsidP="005F06E6">
      <w:r>
        <w:t xml:space="preserve">The primary pharmacology studies indicate inhibition of BRAF V600 mutant kinase activity and subsequent reduction in signalling through ERK and MEK resulting in a reduction in melanoma cell proliferation, and tumour regression and increased life span in a mouse model bearing a melanoma xenograft. The efficacious doses/concentrations were below that anticipated clinically, thus supporting the proposed clinical use. Resistance developed relatively quickly both </w:t>
      </w:r>
      <w:r>
        <w:rPr>
          <w:i/>
        </w:rPr>
        <w:t>in vitro</w:t>
      </w:r>
      <w:r>
        <w:t xml:space="preserve"> and </w:t>
      </w:r>
      <w:r>
        <w:rPr>
          <w:i/>
        </w:rPr>
        <w:t>in vivo</w:t>
      </w:r>
      <w:r>
        <w:t xml:space="preserve"> and is considered possible during clinical use. While vemurafenib inhibited wild-type BRAF kinase activity with similar potency, the downstream signalling effects were markedly different from those of the mutant, with vemurafenib having no effect on the proliferation of cells harbouring wild-type BRAF kinase.</w:t>
      </w:r>
    </w:p>
    <w:p w:rsidR="005F06E6" w:rsidRDefault="005F06E6" w:rsidP="005777FF">
      <w:pPr>
        <w:pStyle w:val="Heading4"/>
        <w:keepNext/>
      </w:pPr>
      <w:bookmarkStart w:id="32" w:name="_Toc315770385"/>
      <w:r>
        <w:t>Secondary pharmacodynamics</w:t>
      </w:r>
      <w:bookmarkEnd w:id="32"/>
    </w:p>
    <w:p w:rsidR="005F06E6" w:rsidRDefault="005F06E6" w:rsidP="005777FF">
      <w:pPr>
        <w:pStyle w:val="Heading5"/>
      </w:pPr>
      <w:r>
        <w:t>Activity against other kinases</w:t>
      </w:r>
    </w:p>
    <w:p w:rsidR="005F06E6" w:rsidRDefault="005F06E6" w:rsidP="005777FF">
      <w:pPr>
        <w:keepNext/>
      </w:pPr>
      <w:r>
        <w:t xml:space="preserve">Vemurafenib was assessed in </w:t>
      </w:r>
      <w:r>
        <w:rPr>
          <w:i/>
        </w:rPr>
        <w:t>in vitro</w:t>
      </w:r>
      <w:r>
        <w:t xml:space="preserve"> assays for inhibitory activity against a wide range of kinases. Significant activity was seen against CRAF, ARAF, SRMS, ACK1, MAP4K5 and FGR with IC</w:t>
      </w:r>
      <w:r>
        <w:rPr>
          <w:vertAlign w:val="subscript"/>
        </w:rPr>
        <w:t>50</w:t>
      </w:r>
      <w:r>
        <w:t xml:space="preserve"> values (16‒63 nM) less than the clinical free plasma C</w:t>
      </w:r>
      <w:r>
        <w:rPr>
          <w:vertAlign w:val="subscript"/>
        </w:rPr>
        <w:t>max</w:t>
      </w:r>
      <w:r>
        <w:t>. Inhibitory activity was also seen at BRK, LCK, NEK11 (IC</w:t>
      </w:r>
      <w:r>
        <w:rPr>
          <w:vertAlign w:val="subscript"/>
        </w:rPr>
        <w:t>50</w:t>
      </w:r>
      <w:r>
        <w:t xml:space="preserve"> for each 1.3</w:t>
      </w:r>
      <w:r w:rsidR="005777FF">
        <w:t xml:space="preserve"> to </w:t>
      </w:r>
      <w:r>
        <w:t>2 times the clinical free plasma C</w:t>
      </w:r>
      <w:r>
        <w:rPr>
          <w:vertAlign w:val="subscript"/>
        </w:rPr>
        <w:t>max</w:t>
      </w:r>
      <w:r>
        <w:t>), FYN, KIT, BLK, LYNB, KDR, YES1, WNK3, STK3 and LYNA (IC</w:t>
      </w:r>
      <w:r>
        <w:rPr>
          <w:vertAlign w:val="subscript"/>
        </w:rPr>
        <w:t>50</w:t>
      </w:r>
      <w:r>
        <w:t xml:space="preserve"> values for each 3</w:t>
      </w:r>
      <w:r w:rsidR="005777FF">
        <w:t xml:space="preserve"> to </w:t>
      </w:r>
      <w:r>
        <w:t>6 times the peak free plasma concentration). While inhibition of these kinases occurred at clinically</w:t>
      </w:r>
      <w:r w:rsidR="005777FF">
        <w:t xml:space="preserve"> </w:t>
      </w:r>
      <w:r>
        <w:t xml:space="preserve">relevant concentrations, the </w:t>
      </w:r>
      <w:r>
        <w:rPr>
          <w:i/>
        </w:rPr>
        <w:t>in vivo</w:t>
      </w:r>
      <w:r>
        <w:t xml:space="preserve"> downstream effects cannot be predicted due to the complexity of the downstream signalling pathways</w:t>
      </w:r>
    </w:p>
    <w:p w:rsidR="005F06E6" w:rsidRDefault="005F06E6" w:rsidP="005777FF">
      <w:pPr>
        <w:pStyle w:val="Heading5"/>
      </w:pPr>
      <w:r>
        <w:t>Activity against cutaneous squamous cell carcinoma (cuSCC)</w:t>
      </w:r>
    </w:p>
    <w:p w:rsidR="005F06E6" w:rsidRDefault="005F06E6" w:rsidP="005F06E6">
      <w:r>
        <w:t>Enhanced tumour growth and a decrease in lifespan were seen in mice bearing human cuSCC xenografts expressing wild-type BRAF treated with 75 mg/kg PO</w:t>
      </w:r>
      <w:r w:rsidR="005777FF">
        <w:t xml:space="preserve"> bd </w:t>
      </w:r>
      <w:r>
        <w:t>vemurafenib for 14 days (exposure based on AUC [</w:t>
      </w:r>
      <w:r w:rsidR="005777FF">
        <w:t>exposure ratio (</w:t>
      </w:r>
      <w:r>
        <w:t>ER</w:t>
      </w:r>
      <w:r w:rsidR="005777FF">
        <w:t>)</w:t>
      </w:r>
      <w:r>
        <w:rPr>
          <w:vertAlign w:val="subscript"/>
        </w:rPr>
        <w:t>AUC</w:t>
      </w:r>
      <w:r>
        <w:t>] 0.5). These data suggest that vemurafenib may promote the growth of pre</w:t>
      </w:r>
      <w:r w:rsidR="005777FF">
        <w:t xml:space="preserve"> </w:t>
      </w:r>
      <w:r>
        <w:t>existing cuSCC lesions at the proposed clinical dose. Vemurafenib had no significant effect on MAPK or MEK1 phosphorylation in these cells, suggesting tumour growth promotion was not due to enhanced signalling through MAPK and MEK1.</w:t>
      </w:r>
    </w:p>
    <w:p w:rsidR="005F06E6" w:rsidRDefault="005F06E6" w:rsidP="00083FBD">
      <w:pPr>
        <w:pStyle w:val="Heading5"/>
      </w:pPr>
      <w:r>
        <w:lastRenderedPageBreak/>
        <w:t>Activity against other targets</w:t>
      </w:r>
    </w:p>
    <w:p w:rsidR="005F06E6" w:rsidRDefault="005F06E6" w:rsidP="005F06E6">
      <w:r>
        <w:t xml:space="preserve">In a screen of 63 receptors, transporters, ion channels and enzymes, vemurafenib had no significant inhibitory activity at concentrations ≤10 </w:t>
      </w:r>
      <w:r>
        <w:sym w:font="Symbol" w:char="006D"/>
      </w:r>
      <w:r>
        <w:t>M (~60 times the clinical free plasma C</w:t>
      </w:r>
      <w:r>
        <w:rPr>
          <w:vertAlign w:val="subscript"/>
        </w:rPr>
        <w:t>max</w:t>
      </w:r>
      <w:r>
        <w:t>). Aside from activity on other kinases, no other off-target activities are predicted.</w:t>
      </w:r>
    </w:p>
    <w:p w:rsidR="005F06E6" w:rsidRDefault="005F06E6" w:rsidP="00083FBD">
      <w:pPr>
        <w:pStyle w:val="Heading4"/>
      </w:pPr>
      <w:bookmarkStart w:id="33" w:name="_Toc315770386"/>
      <w:r>
        <w:t>Safety pharmacology</w:t>
      </w:r>
      <w:bookmarkEnd w:id="33"/>
    </w:p>
    <w:p w:rsidR="005F06E6" w:rsidRDefault="005F06E6" w:rsidP="005F06E6">
      <w:r>
        <w:t xml:space="preserve">Specialised safety pharmacology studies covered the central nervous system (CNS), cardiovascular and respiratory systems. All studies were </w:t>
      </w:r>
      <w:r w:rsidR="00083FBD">
        <w:t>Good Laboratory Practice (</w:t>
      </w:r>
      <w:r>
        <w:t>GLP</w:t>
      </w:r>
      <w:r w:rsidR="00083FBD">
        <w:t>)</w:t>
      </w:r>
      <w:r>
        <w:t xml:space="preserve"> compliant. However, the </w:t>
      </w:r>
      <w:r>
        <w:rPr>
          <w:i/>
        </w:rPr>
        <w:t>in vivo</w:t>
      </w:r>
      <w:r>
        <w:t xml:space="preserve"> studies are difficult to interpret as there were no accompanying plasma kinetic data. The crystalline form of vemurafenib was used and considerable difference in bioavailability was seen with different crystalline forms and different vehicles and therefore direct comparison with the clinical exposure cannot be definitively made. Plasma kinetic data from single dose pharmacokinetic studies which used the same vehicle and used the crystalline form of vemurafenib (albeit different drug lots) (Report 1041532 for rats and Report 1041531 for dogs</w:t>
      </w:r>
      <w:r>
        <w:rPr>
          <w:rStyle w:val="FootnoteReference"/>
        </w:rPr>
        <w:footnoteReference w:id="8"/>
      </w:r>
      <w:r>
        <w:t>) were used broadly for comparative purposes.</w:t>
      </w:r>
    </w:p>
    <w:p w:rsidR="005F06E6" w:rsidRDefault="005F06E6" w:rsidP="005F06E6">
      <w:r>
        <w:t>In specialised safety pharmacology studies, CNS and respiratory function were unaffected in rats treated with 1000 mg/kg PO. However, plasma levels are estimated to be subclinical in these studies and thus, little weight can be placed on the negative findings. There were no clinical signs of CNS toxicity or respiratory depression in repeat-dose toxicity studies in rats and dogs but again plasma levels of vemurafenib were similar to or below clinical plasma levels. Therefore, the submitted animal studies are not adequate to predict potential adverse CNS or respiratory effects.</w:t>
      </w:r>
    </w:p>
    <w:p w:rsidR="005F06E6" w:rsidRDefault="005F06E6" w:rsidP="005F06E6">
      <w:r>
        <w:rPr>
          <w:i/>
        </w:rPr>
        <w:t>In vitro</w:t>
      </w:r>
      <w:r>
        <w:t xml:space="preserve">, vemurafenib showed a concentration dependent inhibition of the hERG </w:t>
      </w:r>
      <w:r w:rsidR="00083FBD">
        <w:t>potassium (</w:t>
      </w:r>
      <w:r>
        <w:t>K</w:t>
      </w:r>
      <w:r>
        <w:rPr>
          <w:vertAlign w:val="superscript"/>
        </w:rPr>
        <w:t>+</w:t>
      </w:r>
      <w:r w:rsidR="00083FBD" w:rsidRPr="00083FBD">
        <w:t>)</w:t>
      </w:r>
      <w:r>
        <w:t xml:space="preserve"> channel. Though concentrations used in </w:t>
      </w:r>
      <w:r>
        <w:rPr>
          <w:i/>
        </w:rPr>
        <w:t>in vitro</w:t>
      </w:r>
      <w:r>
        <w:t xml:space="preserve"> assays are difficult to extrapolate safety margins for clinical use, a 30</w:t>
      </w:r>
      <w:r w:rsidR="00083FBD">
        <w:t xml:space="preserve"> </w:t>
      </w:r>
      <w:r>
        <w:t>fold difference between unbound drug concentrations at the C</w:t>
      </w:r>
      <w:r>
        <w:rPr>
          <w:vertAlign w:val="subscript"/>
        </w:rPr>
        <w:t>max</w:t>
      </w:r>
      <w:r>
        <w:t xml:space="preserve"> and the hERG K</w:t>
      </w:r>
      <w:r>
        <w:rPr>
          <w:vertAlign w:val="superscript"/>
        </w:rPr>
        <w:t xml:space="preserve">+ </w:t>
      </w:r>
      <w:r>
        <w:t>IC</w:t>
      </w:r>
      <w:r>
        <w:rPr>
          <w:vertAlign w:val="subscript"/>
        </w:rPr>
        <w:t>50</w:t>
      </w:r>
      <w:r>
        <w:t xml:space="preserve"> is generally considered a “safe” margin</w:t>
      </w:r>
      <w:r w:rsidR="00083FBD">
        <w:t>.</w:t>
      </w:r>
      <w:r w:rsidR="00083FBD">
        <w:rPr>
          <w:rStyle w:val="FootnoteReference"/>
        </w:rPr>
        <w:footnoteReference w:id="9"/>
      </w:r>
      <w:r>
        <w:t xml:space="preserve"> The IC</w:t>
      </w:r>
      <w:r>
        <w:rPr>
          <w:vertAlign w:val="subscript"/>
        </w:rPr>
        <w:t>50</w:t>
      </w:r>
      <w:r>
        <w:t xml:space="preserve"> of 1.25 </w:t>
      </w:r>
      <w:r>
        <w:sym w:font="Symbol" w:char="006D"/>
      </w:r>
      <w:r>
        <w:t>M is 7.5 times the peak free level in patients and therefore an adequate safety margin has not been demonstrated and the results identify potential hazards to the cardiovascular system. Longer QTc intervals were seen in two dogs treated with 1000 mg/kg PO vemurafenib in the specialised cardiovascular study and in male dogs treated with 150 mg/kg PO</w:t>
      </w:r>
      <w:r w:rsidR="005777FF">
        <w:t xml:space="preserve"> bd </w:t>
      </w:r>
      <w:r>
        <w:t>in a 13 week repeat dose toxicity study. The C</w:t>
      </w:r>
      <w:r>
        <w:rPr>
          <w:vertAlign w:val="subscript"/>
        </w:rPr>
        <w:t>max</w:t>
      </w:r>
      <w:r>
        <w:t xml:space="preserve"> values in these studies were below the clinical C</w:t>
      </w:r>
      <w:r>
        <w:rPr>
          <w:vertAlign w:val="subscript"/>
        </w:rPr>
        <w:t>max</w:t>
      </w:r>
      <w:r>
        <w:t xml:space="preserve">. No consistent effects were seen on action potential duration in dog Purkinje fibres. However, there were technical errors in this study, such that only two fibres were exposed to drug at a single concentration (~7.6 </w:t>
      </w:r>
      <w:r>
        <w:sym w:font="Symbol" w:char="006D"/>
      </w:r>
      <w:r>
        <w:t xml:space="preserve">M). The small sample size and single tested concentration limits the interpretation of results from this study. Nonetheless, a definite decrease in </w:t>
      </w:r>
      <w:r w:rsidR="00083FBD" w:rsidRPr="00083FBD">
        <w:t>maximum rate of rise of the membrane voltage during an action potential (</w:t>
      </w:r>
      <w:r w:rsidRPr="00083FBD">
        <w:t>Vmax</w:t>
      </w:r>
      <w:r w:rsidR="00083FBD" w:rsidRPr="00083FBD">
        <w:t>)</w:t>
      </w:r>
      <w:r w:rsidRPr="00083FBD">
        <w:t xml:space="preserve"> was seen, suggesting the potential for conduction delay. Overall, the data indicate the potential</w:t>
      </w:r>
      <w:r>
        <w:t xml:space="preserve"> for QT </w:t>
      </w:r>
      <w:r w:rsidR="00083FBD">
        <w:t xml:space="preserve">interval </w:t>
      </w:r>
      <w:r>
        <w:t>prolongation</w:t>
      </w:r>
      <w:r w:rsidR="00083FBD">
        <w:rPr>
          <w:rStyle w:val="FootnoteReference"/>
        </w:rPr>
        <w:footnoteReference w:id="10"/>
      </w:r>
      <w:r>
        <w:t xml:space="preserve"> and conduction delay during clinical use.</w:t>
      </w:r>
    </w:p>
    <w:p w:rsidR="00116AE6" w:rsidRDefault="00116AE6" w:rsidP="00116AE6">
      <w:pPr>
        <w:pStyle w:val="Heading3"/>
      </w:pPr>
      <w:bookmarkStart w:id="34" w:name="_Toc345675773"/>
      <w:r>
        <w:lastRenderedPageBreak/>
        <w:t>Pharmacokinetics</w:t>
      </w:r>
      <w:bookmarkEnd w:id="31"/>
      <w:bookmarkEnd w:id="34"/>
    </w:p>
    <w:p w:rsidR="005F06E6" w:rsidRDefault="005F06E6" w:rsidP="005F06E6">
      <w:bookmarkStart w:id="35" w:name="_Toc247691514"/>
      <w:r>
        <w:t xml:space="preserve">An </w:t>
      </w:r>
      <w:r>
        <w:rPr>
          <w:i/>
        </w:rPr>
        <w:t>in vitro</w:t>
      </w:r>
      <w:r>
        <w:t xml:space="preserve"> study indicated vemurafenib had low cell permeability and oral absorption was limited by its low aqueous solubility. Poor oral bioavailability was seen with early formulations used in animal studies resulting in low and variable exposure. Various formulations were evaluated to increase exposure. The MBP formulation was selected to achieve higher systemic exposures. The rate of absorption following oral administration of the MBP formulation of vemurafenib was similar across animal species and human subjects (2−8 h). Studies in dogs indicated the upper gastrointestinal tract was the major site of absorption. Absorption appeared to be saturable in rats and dogs at doses used in the toxicity studies. The elimination half-life was short in rats and dogs (1.5−3.5 h) and much longer in rabbits and humans (15−34 h). Following IV administration, clearance was low in animals and similar across species. Exposures in female rats were generally 2−5 times higher than in their male counterparts, which was probably associated with greater metabolism in males than females. There was no apparent sex difference in dogs.</w:t>
      </w:r>
    </w:p>
    <w:p w:rsidR="005F06E6" w:rsidRDefault="005F06E6" w:rsidP="005F06E6">
      <w:r>
        <w:t>Plasma protein binding by vemurafenib was high and independent of concentration in mouse, rat, dog, monkey and human plasma and comparable across species (99.8−99.9%). The high protein binding in human plasma was mainly attributed to albumin and α</w:t>
      </w:r>
      <w:r>
        <w:rPr>
          <w:vertAlign w:val="subscript"/>
        </w:rPr>
        <w:t>1</w:t>
      </w:r>
      <w:r>
        <w:t>-acid glycoprotein. The volume of distribution was similar to total body water in all species and following administration of</w:t>
      </w:r>
      <w:r w:rsidR="00083FBD">
        <w:t xml:space="preserve"> radioactive carbon labelled (</w:t>
      </w:r>
      <w:r>
        <w:rPr>
          <w:vertAlign w:val="superscript"/>
        </w:rPr>
        <w:t>14</w:t>
      </w:r>
      <w:r>
        <w:t>C</w:t>
      </w:r>
      <w:r w:rsidR="00083FBD">
        <w:t xml:space="preserve">) </w:t>
      </w:r>
      <w:r>
        <w:t>vemurafenib to pigmented rats, radioactivity was widely distributed with tissue concentrations having similar levels of radioactivity as those in blood, with the exception of organs involved in excretion, which had much higher levels of radioactivity. There was no evidence of blood-brain barrier penetration and there was no specific affinity or retention in melanin-containing tissues.</w:t>
      </w:r>
    </w:p>
    <w:p w:rsidR="005F06E6" w:rsidRDefault="005F06E6" w:rsidP="005F06E6">
      <w:r>
        <w:t xml:space="preserve">Metabolism of vemurafenib was generally low in all species and involved hydroxylation, oxidation and glucuronidation. Another metabolite detected in the faeces and urine of humans but not in rat or dog samples was tentatively identified as a glucosylated metabolite. </w:t>
      </w:r>
      <w:r>
        <w:rPr>
          <w:i/>
        </w:rPr>
        <w:t>In vitro</w:t>
      </w:r>
      <w:r>
        <w:t xml:space="preserve"> studies indicated a major role of </w:t>
      </w:r>
      <w:r w:rsidR="00083FBD">
        <w:t>cytochrome P450 (</w:t>
      </w:r>
      <w:r>
        <w:t>CYP</w:t>
      </w:r>
      <w:r w:rsidR="00083FBD">
        <w:t xml:space="preserve">) isozyme </w:t>
      </w:r>
      <w:r>
        <w:t xml:space="preserve">3A4 in the formation of the monohydroxylated metabolites. The enzymes involved in the formation of the conjugated metabolites were not identified. Unchanged drug was the most dominant species in the plasma of female rats, dogs and humans (&gt;90% of drug-related material). Unchanged drug was also the predominant species in the plasma of male rats 1−12 h </w:t>
      </w:r>
      <w:r w:rsidR="00D73147" w:rsidRPr="00D73147">
        <w:t>post dose</w:t>
      </w:r>
      <w:r>
        <w:t xml:space="preserve">; however monohydroxylated metabolites were the main drug-related material 12−24 h </w:t>
      </w:r>
      <w:r w:rsidR="00D73147" w:rsidRPr="00D73147">
        <w:t>post dose</w:t>
      </w:r>
      <w:r>
        <w:t>, indicating greater metabolism of vemurafenib in male rats</w:t>
      </w:r>
      <w:r w:rsidR="00083FBD">
        <w:t xml:space="preserve"> compared to</w:t>
      </w:r>
      <w:r>
        <w:t xml:space="preserve"> female rats, probably contributing to the sex differences in vemurafenib exposure seen. All circulating metabolites in human plasma were also seen in the plasma of rats and dogs, the species used in the toxicity studies.</w:t>
      </w:r>
    </w:p>
    <w:p w:rsidR="005F06E6" w:rsidRDefault="005F06E6" w:rsidP="005F06E6">
      <w:r>
        <w:t xml:space="preserve">Excretion of drug-related material was predominantly in the faeces in rats and humans. A comparison of excretion in rats following oral and </w:t>
      </w:r>
      <w:r w:rsidR="00083FBD">
        <w:t>intravenous (</w:t>
      </w:r>
      <w:r>
        <w:t>IV</w:t>
      </w:r>
      <w:r w:rsidR="00083FBD">
        <w:t>)</w:t>
      </w:r>
      <w:r>
        <w:t xml:space="preserve"> administration indicated high faecal excretion of unchanged drug following oral administration, probably as a result of unabsorbed material and high biliary excretion almost exclusively of oxidative metabolites following IV administration. In humans, drug-related material consisted primarily of unchanged drug, possibly also as a result of unabsorbed drug, with minor contributions of a monohydroxylated metabolite, a glucuronide metabolite and the putative glucosylated metabolite. Based on both </w:t>
      </w:r>
      <w:r>
        <w:rPr>
          <w:i/>
        </w:rPr>
        <w:t>in vitro</w:t>
      </w:r>
      <w:r>
        <w:t xml:space="preserve"> and </w:t>
      </w:r>
      <w:r>
        <w:rPr>
          <w:i/>
        </w:rPr>
        <w:t>in vivo</w:t>
      </w:r>
      <w:r>
        <w:t xml:space="preserve"> studies, the latter metabolite was not detected in rats or dogs. With the exception of this metabolite, the pharmacokinetic profile of vemurafenib was qualitatively similar in humans, rats and dogs, thus supporting the use of the latter animal species in toxicity studies.</w:t>
      </w:r>
    </w:p>
    <w:p w:rsidR="005F06E6" w:rsidRDefault="005F06E6" w:rsidP="00083FBD">
      <w:pPr>
        <w:pStyle w:val="Heading5"/>
      </w:pPr>
      <w:r>
        <w:lastRenderedPageBreak/>
        <w:t>Pharmacokinetic drug interactions</w:t>
      </w:r>
    </w:p>
    <w:p w:rsidR="005F06E6" w:rsidRDefault="005F06E6" w:rsidP="005F06E6">
      <w:r>
        <w:t xml:space="preserve">Only minor metabolism of vemurafenib occurs and this drug was only a weak substrate of P-glycoprotein, therefore, co-administered drugs that are CYP450 or P-glycoprotein inhibitors/inducers are unlikely to alter the plasma kinetics of vemurafenib. At ≥1 </w:t>
      </w:r>
      <w:r>
        <w:sym w:font="Symbol" w:char="006D"/>
      </w:r>
      <w:r>
        <w:t xml:space="preserve">M, there was a concentration-dependent induction of pregnane X receptor (PXR), which is involved in CYP3A4 induction and an induction of CYP3A4 mRNA levels was seen in human hepatocytes; however, there was no increase in CYP3A4 enzyme activity at concentrations up to 10 </w:t>
      </w:r>
      <w:r>
        <w:sym w:font="Symbol" w:char="006D"/>
      </w:r>
      <w:r>
        <w:t xml:space="preserve">M. </w:t>
      </w:r>
    </w:p>
    <w:p w:rsidR="005F06E6" w:rsidRDefault="005F06E6" w:rsidP="005F06E6">
      <w:r>
        <w:t xml:space="preserve">There was no significant induction of CYP1A2, 2B6 or </w:t>
      </w:r>
      <w:r w:rsidRPr="00083FBD">
        <w:t xml:space="preserve">2C9 </w:t>
      </w:r>
      <w:r w:rsidR="00083FBD" w:rsidRPr="00083FBD">
        <w:t>messenger ribonucleic acid</w:t>
      </w:r>
      <w:r w:rsidR="00083FBD">
        <w:t xml:space="preserve"> (</w:t>
      </w:r>
      <w:r>
        <w:t>mRNA</w:t>
      </w:r>
      <w:r w:rsidR="00083FBD">
        <w:t>)</w:t>
      </w:r>
      <w:r>
        <w:t xml:space="preserve"> levels and/or enzyme activity at concentrations up to 10 </w:t>
      </w:r>
      <w:r>
        <w:sym w:font="Symbol" w:char="006D"/>
      </w:r>
      <w:r>
        <w:t xml:space="preserve">M and no significant inhibition of CYP2A6 and 2E1 activity at concentrations ≤50 </w:t>
      </w:r>
      <w:r>
        <w:sym w:font="Symbol" w:char="006D"/>
      </w:r>
      <w:r>
        <w:t xml:space="preserve">M. Vemurafenib (at 10 </w:t>
      </w:r>
      <w:r>
        <w:sym w:font="Symbol" w:char="006D"/>
      </w:r>
      <w:r>
        <w:t xml:space="preserve">M) was not a substrate of the human hepatic transporters, OATP1B1 or OATP1B3 and no inhibition of these transporters was seen at concentrations up to 50 </w:t>
      </w:r>
      <w:r>
        <w:sym w:font="Symbol" w:char="006D"/>
      </w:r>
      <w:r>
        <w:t>M. The clinical relevance of the negative findings is difficult to interpret as the tested concentrations were below or well below clinical plasma levels (</w:t>
      </w:r>
      <w:r w:rsidR="00083FBD">
        <w:t>trough plasma concentration (</w:t>
      </w:r>
      <w:r>
        <w:t>C</w:t>
      </w:r>
      <w:r>
        <w:rPr>
          <w:vertAlign w:val="subscript"/>
        </w:rPr>
        <w:t>trough</w:t>
      </w:r>
      <w:r w:rsidR="00083FBD">
        <w:t>)</w:t>
      </w:r>
      <w:r>
        <w:t xml:space="preserve"> 119 </w:t>
      </w:r>
      <w:r>
        <w:sym w:font="Symbol" w:char="006D"/>
      </w:r>
      <w:r>
        <w:t xml:space="preserve">M [58.5 </w:t>
      </w:r>
      <w:r>
        <w:sym w:font="Symbol" w:char="006D"/>
      </w:r>
      <w:r>
        <w:t>g/mL]).</w:t>
      </w:r>
    </w:p>
    <w:p w:rsidR="005F06E6" w:rsidRDefault="005F06E6" w:rsidP="005F06E6">
      <w:r>
        <w:t>Vemurafenib inhibited CYP1A2 (IC</w:t>
      </w:r>
      <w:r>
        <w:rPr>
          <w:vertAlign w:val="subscript"/>
        </w:rPr>
        <w:t>50</w:t>
      </w:r>
      <w:r>
        <w:t xml:space="preserve"> 33 </w:t>
      </w:r>
      <w:r>
        <w:sym w:font="Symbol" w:char="006D"/>
      </w:r>
      <w:r>
        <w:t>M), 2C9 (IC</w:t>
      </w:r>
      <w:r>
        <w:rPr>
          <w:vertAlign w:val="subscript"/>
        </w:rPr>
        <w:t>50</w:t>
      </w:r>
      <w:r>
        <w:t xml:space="preserve"> 4.3−5.9 </w:t>
      </w:r>
      <w:r>
        <w:sym w:font="Symbol" w:char="006D"/>
      </w:r>
      <w:r>
        <w:t>M), 2C19 (IC</w:t>
      </w:r>
      <w:r>
        <w:rPr>
          <w:vertAlign w:val="subscript"/>
        </w:rPr>
        <w:t>50</w:t>
      </w:r>
      <w:r>
        <w:t xml:space="preserve"> 4.1 </w:t>
      </w:r>
      <w:r>
        <w:sym w:font="Symbol" w:char="006D"/>
      </w:r>
      <w:r>
        <w:t>M), CYP2D6 (IC</w:t>
      </w:r>
      <w:r>
        <w:rPr>
          <w:vertAlign w:val="subscript"/>
        </w:rPr>
        <w:t>50</w:t>
      </w:r>
      <w:r>
        <w:t xml:space="preserve"> 33 </w:t>
      </w:r>
      <w:r>
        <w:sym w:font="Symbol" w:char="006D"/>
      </w:r>
      <w:r>
        <w:t>M) and 3A4 (IC</w:t>
      </w:r>
      <w:r>
        <w:rPr>
          <w:vertAlign w:val="subscript"/>
        </w:rPr>
        <w:t>50</w:t>
      </w:r>
      <w:r>
        <w:t xml:space="preserve"> 13−14 </w:t>
      </w:r>
      <w:r>
        <w:sym w:font="Symbol" w:char="006D"/>
      </w:r>
      <w:r>
        <w:t xml:space="preserve">M) activity in human liver microsomes and/or recombinantly expressed enzymes. There was no indication of time-dependent inactivation of CYP3A4/5 in human liver microsomes at 10 </w:t>
      </w:r>
      <w:r>
        <w:sym w:font="Symbol" w:char="006D"/>
      </w:r>
      <w:r>
        <w:t>M, suggesting vemurafenib is not an irreversible inhibitor of CYP3A4. Inhibition of P-glycoprotein was also seen (IC</w:t>
      </w:r>
      <w:r>
        <w:rPr>
          <w:vertAlign w:val="subscript"/>
        </w:rPr>
        <w:t>50</w:t>
      </w:r>
      <w:r>
        <w:t xml:space="preserve"> 3.5−17 </w:t>
      </w:r>
      <w:r>
        <w:sym w:font="Symbol" w:char="006D"/>
      </w:r>
      <w:r>
        <w:t>M). As the IC</w:t>
      </w:r>
      <w:r>
        <w:rPr>
          <w:vertAlign w:val="subscript"/>
        </w:rPr>
        <w:t>50</w:t>
      </w:r>
      <w:r>
        <w:t xml:space="preserve"> values are below clinical plasma levels (C</w:t>
      </w:r>
      <w:r>
        <w:rPr>
          <w:vertAlign w:val="subscript"/>
        </w:rPr>
        <w:t>trough</w:t>
      </w:r>
      <w:r>
        <w:t xml:space="preserve"> 119 </w:t>
      </w:r>
      <w:r>
        <w:sym w:font="Symbol" w:char="006D"/>
      </w:r>
      <w:r>
        <w:t>M), these findings are assumed to be clinically-relevant.</w:t>
      </w:r>
    </w:p>
    <w:p w:rsidR="00116AE6" w:rsidRDefault="00116AE6" w:rsidP="005F06E6">
      <w:pPr>
        <w:pStyle w:val="Heading3"/>
      </w:pPr>
      <w:bookmarkStart w:id="36" w:name="_Toc345675774"/>
      <w:r>
        <w:t>Toxicology</w:t>
      </w:r>
      <w:bookmarkEnd w:id="35"/>
      <w:bookmarkEnd w:id="36"/>
    </w:p>
    <w:p w:rsidR="005F06E6" w:rsidRDefault="005F06E6" w:rsidP="00083FBD">
      <w:pPr>
        <w:pStyle w:val="Heading4"/>
      </w:pPr>
      <w:bookmarkStart w:id="37" w:name="_Toc315770388"/>
      <w:bookmarkStart w:id="38" w:name="_Toc247691515"/>
      <w:r>
        <w:t>General toxicity</w:t>
      </w:r>
      <w:bookmarkEnd w:id="37"/>
    </w:p>
    <w:p w:rsidR="005F06E6" w:rsidRDefault="005F06E6" w:rsidP="00083FBD">
      <w:pPr>
        <w:pStyle w:val="Heading5"/>
      </w:pPr>
      <w:r>
        <w:t>Acute toxicity</w:t>
      </w:r>
    </w:p>
    <w:p w:rsidR="005F06E6" w:rsidRDefault="005F06E6" w:rsidP="005F06E6">
      <w:r>
        <w:t xml:space="preserve">No adequate single dose toxicity studies were submitted. A number of single dose tolerability studies were submitted which did not meet the </w:t>
      </w:r>
      <w:r w:rsidR="00D23DAB">
        <w:t>European Union (</w:t>
      </w:r>
      <w:r>
        <w:t>EU</w:t>
      </w:r>
      <w:r w:rsidR="00D23DAB">
        <w:t>)</w:t>
      </w:r>
      <w:r>
        <w:t xml:space="preserve"> guideline for single</w:t>
      </w:r>
      <w:r w:rsidR="00D23DAB">
        <w:t xml:space="preserve"> </w:t>
      </w:r>
      <w:r>
        <w:t xml:space="preserve">dose toxicity. While more than one species was used, only males were assessed and only one route of administration was tested (the clinical route, </w:t>
      </w:r>
      <w:smartTag w:uri="urn:schemas-microsoft-com:office:smarttags" w:element="place">
        <w:r>
          <w:t>PO</w:t>
        </w:r>
      </w:smartTag>
      <w:r>
        <w:t>) except for a single experiment in rats using IV administration.</w:t>
      </w:r>
      <w:r w:rsidR="005777FF">
        <w:t xml:space="preserve"> </w:t>
      </w:r>
      <w:r>
        <w:t xml:space="preserve">IV administration resulted in the immediate deaths of all animals and these were attributed by the sponsor to the vehicle used </w:t>
      </w:r>
      <w:r w:rsidRPr="00D23DAB">
        <w:t>(</w:t>
      </w:r>
      <w:r w:rsidR="00D23DAB" w:rsidRPr="00D23DAB">
        <w:t>dimethyl sulfoxide</w:t>
      </w:r>
      <w:r w:rsidR="00D23DAB">
        <w:t xml:space="preserve"> (</w:t>
      </w:r>
      <w:r>
        <w:t>DMSO</w:t>
      </w:r>
      <w:r w:rsidR="00D23DAB">
        <w:t>)</w:t>
      </w:r>
      <w:r>
        <w:t>, Labrosol and water) and no further investigation of effects of vemurafenib by this route was conducted. The observation period in these studies was too short, one day in all cases rather than 14 days and necropsies were performed only in one study on rats. While no mortalities were seen in mice up to 300 mg/kg PO, rats and dogs (both up to 1000 mg/kg PO), maximum exposures achieved were below the anticipated clinical exposure; 0.75 times the clinical AUC</w:t>
      </w:r>
      <w:r>
        <w:rPr>
          <w:vertAlign w:val="subscript"/>
        </w:rPr>
        <w:t>0-24h</w:t>
      </w:r>
      <w:r>
        <w:t xml:space="preserve"> in mice, 0.64 times in rats and 0.15 times in dogs. Furthermore, the exceptionally short observation period (24 h rather than 14 days) indicates that any delayed toxicity would not have been seen in these studies. This,</w:t>
      </w:r>
      <w:r w:rsidR="00D23DAB">
        <w:t xml:space="preserve"> combined with the lack of post </w:t>
      </w:r>
      <w:r>
        <w:t>mortem analyses in all but one of the studies means these studies provide no useful information on the acute toxicity profile of vemurafenib.</w:t>
      </w:r>
    </w:p>
    <w:p w:rsidR="005F06E6" w:rsidRDefault="005F06E6" w:rsidP="00FC282A">
      <w:pPr>
        <w:keepNext/>
        <w:rPr>
          <w:b/>
          <w:i/>
        </w:rPr>
      </w:pPr>
      <w:r>
        <w:rPr>
          <w:b/>
          <w:i/>
        </w:rPr>
        <w:t>Repeat</w:t>
      </w:r>
      <w:r w:rsidR="00FC282A">
        <w:rPr>
          <w:b/>
          <w:i/>
        </w:rPr>
        <w:t xml:space="preserve"> </w:t>
      </w:r>
      <w:r>
        <w:rPr>
          <w:b/>
          <w:i/>
        </w:rPr>
        <w:t xml:space="preserve">dose toxicity </w:t>
      </w:r>
    </w:p>
    <w:p w:rsidR="005F06E6" w:rsidRDefault="005F06E6" w:rsidP="00FC282A">
      <w:pPr>
        <w:keepNext/>
      </w:pPr>
      <w:r>
        <w:t>GLP</w:t>
      </w:r>
      <w:r w:rsidR="00D23DAB">
        <w:t xml:space="preserve"> compliant repeat </w:t>
      </w:r>
      <w:r>
        <w:t>dose toxicity studies by the oral route were conducted in rats (up to 26 weeks) and dogs (up to 13 weeks). A number of additional short</w:t>
      </w:r>
      <w:r w:rsidR="00D23DAB">
        <w:t xml:space="preserve"> </w:t>
      </w:r>
      <w:r>
        <w:t xml:space="preserve">term, non-GLP toxicity studies in mice, rats and dogs were submitted. These studies had limited reporting, were of short duration and exposures achieved were lower than those in the longer GLP studies </w:t>
      </w:r>
      <w:r>
        <w:lastRenderedPageBreak/>
        <w:t xml:space="preserve">and so findings from these studies are not discussed below. The choice of species (rat as the rodent and dog as the non-rodent species), the duration of pivotal studies, group sizes and the use of both sexes were consistent with </w:t>
      </w:r>
      <w:r w:rsidR="00734347">
        <w:t xml:space="preserve">TGA </w:t>
      </w:r>
      <w:r w:rsidR="00734347" w:rsidRPr="00734347">
        <w:t>adopted EU</w:t>
      </w:r>
      <w:r w:rsidRPr="00734347">
        <w:t xml:space="preserve"> guidelines.</w:t>
      </w:r>
      <w:r>
        <w:t xml:space="preserve"> Dosing in the rat studies and some of the dog studies was once daily. Greater toxicity was seen when twice daily dosing was used in dogs with overall comparable systemic exposure seen between once daily and twice daily dosing at the same daily dose. The studies in dogs with twice daily dosing are the most relevant as this is the intended dose regimen.</w:t>
      </w:r>
    </w:p>
    <w:p w:rsidR="00D23DAB" w:rsidRDefault="005F06E6" w:rsidP="00D23DAB">
      <w:r>
        <w:t xml:space="preserve">A 39 week study with twice daily dosing to dogs was terminated prematurely (after 37 days) due to poor tolerability. The pivotal 13 week study with twice daily dosing used animals from this previous study, which could confound the results of the study. The MBP formulation was used in the longer term studies in rats and dogs. The maximum doses used in the 26 week study in rats and the 13 week once daily dosing to dogs was stated to be the maximum feasible in the MBP formulation. The maximum dose in the pivotal 13 week study in dogs was chosen to be lower than the doses that were poorly tolerated in the prematurely terminated study. High dose animals in this study lost bodyweight, indicating the maximum tolerated dose was assessed. Maximum exposures in rats were similar to the anticipated clinical </w:t>
      </w:r>
      <w:r w:rsidRPr="00B25B29">
        <w:t xml:space="preserve">exposure (Table </w:t>
      </w:r>
      <w:r w:rsidR="00B25B29" w:rsidRPr="00B25B29">
        <w:t>2</w:t>
      </w:r>
      <w:r w:rsidRPr="00B25B29">
        <w:t>) while</w:t>
      </w:r>
      <w:r>
        <w:t xml:space="preserve"> systemic exposures in all of the dog studies were subclinical. Therefore, the full toxicological profile of vemurafenib is unlikely to have been revealed in the submitted studies. Due to the generally subclinical exposures in the toxicity studies, all of the findings described below must be assumed to be clinically-relevant.</w:t>
      </w:r>
    </w:p>
    <w:p w:rsidR="00B25B29" w:rsidRDefault="00B25B29" w:rsidP="00B25B29">
      <w:pPr>
        <w:pStyle w:val="Heading5"/>
      </w:pPr>
      <w:r>
        <w:t>Hepatic toxicity</w:t>
      </w:r>
    </w:p>
    <w:p w:rsidR="00B25B29" w:rsidRDefault="00B25B29" w:rsidP="00B25B29">
      <w:r>
        <w:t>Increased liver enzymes</w:t>
      </w:r>
      <w:r>
        <w:rPr>
          <w:rStyle w:val="FootnoteReference"/>
        </w:rPr>
        <w:footnoteReference w:id="11"/>
      </w:r>
      <w:r>
        <w:t xml:space="preserve"> were seen in dogs treated with vemurafenib. Only sporadic elevations were seen in dogs treated once daily at 450 mg/kg/day PO, while significant and persistent elevations were seen following twice daily dosing at ≥75 mg/kg PO bd (ER</w:t>
      </w:r>
      <w:r>
        <w:rPr>
          <w:vertAlign w:val="subscript"/>
        </w:rPr>
        <w:t>AUC</w:t>
      </w:r>
      <w:r>
        <w:t xml:space="preserve"> 0.3). The elevated enzyme levels were accompanied by microscopic changes in the liver (necrosis and individual hepatocellular degeneration, the presence of pigment in hepatocytes and Kupffer cells, perivascular mixed infiltrates and an increase in the number of Kupffer cells in the liver). Secretions were also seen in the gall bladder. With the exception of minimal perivascular mixed infiltrates and the presence of minimal amounts of pigment in hepatocytes and Kupffer cells, all of the hepatic changes had reversed after a 4 week treatment-free period. Elevated levels of serum cholesterol were consistently seen in both rats and dogs, across multiple studies. Based on a consistency of this finding across species and across studies at or below the clinical exposure, elevated serum cholesterol levels may be expected to occur in patients. Altogether these findings indicate hepatic toxicity is likely during clinical use.</w:t>
      </w:r>
    </w:p>
    <w:p w:rsidR="00B25B29" w:rsidRDefault="00B25B29" w:rsidP="00D23DAB"/>
    <w:p w:rsidR="005F06E6" w:rsidRDefault="005F06E6" w:rsidP="00B25B29">
      <w:pPr>
        <w:pStyle w:val="FigureTitle"/>
        <w:keepNext/>
      </w:pPr>
      <w:r>
        <w:lastRenderedPageBreak/>
        <w:t xml:space="preserve">Table </w:t>
      </w:r>
      <w:r w:rsidR="00B25B29">
        <w:t>2</w:t>
      </w:r>
      <w:r>
        <w:t>.</w:t>
      </w:r>
      <w:r w:rsidR="005777FF">
        <w:t xml:space="preserve"> </w:t>
      </w:r>
      <w:r>
        <w:t>Relative exposure to vemurafenib in selected repeat-dose toxicity studies</w:t>
      </w:r>
    </w:p>
    <w:tbl>
      <w:tblPr>
        <w:tblW w:w="8824" w:type="dxa"/>
        <w:jc w:val="center"/>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1E0"/>
      </w:tblPr>
      <w:tblGrid>
        <w:gridCol w:w="957"/>
        <w:gridCol w:w="1014"/>
        <w:gridCol w:w="1261"/>
        <w:gridCol w:w="1261"/>
        <w:gridCol w:w="1080"/>
        <w:gridCol w:w="1080"/>
        <w:gridCol w:w="1085"/>
        <w:gridCol w:w="1086"/>
      </w:tblGrid>
      <w:tr w:rsidR="005F06E6" w:rsidTr="00E23CE0">
        <w:trPr>
          <w:cantSplit/>
          <w:trHeight w:val="227"/>
          <w:tblHeader/>
          <w:jc w:val="center"/>
        </w:trPr>
        <w:tc>
          <w:tcPr>
            <w:tcW w:w="957" w:type="dxa"/>
            <w:vMerge w:val="restart"/>
            <w:tcBorders>
              <w:top w:val="single" w:sz="8" w:space="0" w:color="auto"/>
              <w:left w:val="single" w:sz="8" w:space="0" w:color="auto"/>
              <w:bottom w:val="single" w:sz="8" w:space="0" w:color="auto"/>
              <w:right w:val="single" w:sz="4" w:space="0" w:color="auto"/>
            </w:tcBorders>
            <w:shd w:val="clear" w:color="auto" w:fill="0070C0"/>
            <w:vAlign w:val="center"/>
            <w:hideMark/>
          </w:tcPr>
          <w:p w:rsidR="005F06E6" w:rsidRPr="00D23DAB" w:rsidRDefault="005F06E6" w:rsidP="00B25B29">
            <w:pPr>
              <w:keepNext/>
              <w:keepLines/>
              <w:widowControl w:val="0"/>
              <w:spacing w:before="20" w:after="20" w:line="205" w:lineRule="exact"/>
              <w:jc w:val="center"/>
              <w:rPr>
                <w:b/>
                <w:color w:val="FFFFFF" w:themeColor="background1"/>
                <w:kern w:val="2"/>
                <w:sz w:val="20"/>
                <w:szCs w:val="20"/>
              </w:rPr>
            </w:pPr>
            <w:r w:rsidRPr="00D23DAB">
              <w:rPr>
                <w:b/>
                <w:color w:val="FFFFFF" w:themeColor="background1"/>
                <w:kern w:val="2"/>
                <w:sz w:val="20"/>
                <w:szCs w:val="20"/>
              </w:rPr>
              <w:t>Species</w:t>
            </w:r>
            <w:r w:rsidRPr="00D23DAB">
              <w:rPr>
                <w:b/>
                <w:color w:val="FFFFFF" w:themeColor="background1"/>
                <w:kern w:val="2"/>
                <w:sz w:val="20"/>
                <w:szCs w:val="20"/>
              </w:rPr>
              <w:br/>
              <w:t>strain</w:t>
            </w:r>
          </w:p>
        </w:tc>
        <w:tc>
          <w:tcPr>
            <w:tcW w:w="1014" w:type="dxa"/>
            <w:vMerge w:val="restart"/>
            <w:tcBorders>
              <w:top w:val="single" w:sz="8" w:space="0" w:color="auto"/>
              <w:left w:val="single" w:sz="4" w:space="0" w:color="auto"/>
              <w:bottom w:val="single" w:sz="8" w:space="0" w:color="auto"/>
              <w:right w:val="single" w:sz="4" w:space="0" w:color="auto"/>
            </w:tcBorders>
            <w:shd w:val="clear" w:color="auto" w:fill="0070C0"/>
            <w:vAlign w:val="center"/>
            <w:hideMark/>
          </w:tcPr>
          <w:p w:rsidR="005F06E6" w:rsidRPr="00D23DAB" w:rsidRDefault="005F06E6" w:rsidP="00B25B29">
            <w:pPr>
              <w:keepNext/>
              <w:keepLines/>
              <w:widowControl w:val="0"/>
              <w:spacing w:before="20" w:after="20" w:line="205" w:lineRule="exact"/>
              <w:jc w:val="center"/>
              <w:rPr>
                <w:b/>
                <w:color w:val="FFFFFF" w:themeColor="background1"/>
                <w:kern w:val="2"/>
                <w:sz w:val="20"/>
                <w:szCs w:val="20"/>
              </w:rPr>
            </w:pPr>
            <w:r w:rsidRPr="00D23DAB">
              <w:rPr>
                <w:b/>
                <w:color w:val="FFFFFF" w:themeColor="background1"/>
                <w:kern w:val="2"/>
                <w:sz w:val="20"/>
                <w:szCs w:val="20"/>
              </w:rPr>
              <w:t>Report</w:t>
            </w:r>
          </w:p>
        </w:tc>
        <w:tc>
          <w:tcPr>
            <w:tcW w:w="1261" w:type="dxa"/>
            <w:vMerge w:val="restart"/>
            <w:tcBorders>
              <w:top w:val="single" w:sz="8" w:space="0" w:color="auto"/>
              <w:left w:val="single" w:sz="4" w:space="0" w:color="auto"/>
              <w:bottom w:val="single" w:sz="8" w:space="0" w:color="auto"/>
              <w:right w:val="single" w:sz="4" w:space="0" w:color="auto"/>
            </w:tcBorders>
            <w:shd w:val="clear" w:color="auto" w:fill="0070C0"/>
            <w:vAlign w:val="center"/>
            <w:hideMark/>
          </w:tcPr>
          <w:p w:rsidR="005F06E6" w:rsidRPr="00D23DAB" w:rsidRDefault="005F06E6" w:rsidP="00B25B29">
            <w:pPr>
              <w:keepNext/>
              <w:keepLines/>
              <w:widowControl w:val="0"/>
              <w:spacing w:before="20" w:after="20" w:line="205" w:lineRule="exact"/>
              <w:jc w:val="center"/>
              <w:rPr>
                <w:b/>
                <w:color w:val="FFFFFF" w:themeColor="background1"/>
                <w:kern w:val="2"/>
                <w:sz w:val="20"/>
                <w:szCs w:val="20"/>
              </w:rPr>
            </w:pPr>
            <w:r w:rsidRPr="00D23DAB">
              <w:rPr>
                <w:b/>
                <w:color w:val="FFFFFF" w:themeColor="background1"/>
                <w:kern w:val="2"/>
                <w:sz w:val="20"/>
                <w:szCs w:val="20"/>
              </w:rPr>
              <w:t>Treatment</w:t>
            </w:r>
            <w:r w:rsidRPr="00D23DAB">
              <w:rPr>
                <w:b/>
                <w:color w:val="FFFFFF" w:themeColor="background1"/>
                <w:kern w:val="2"/>
                <w:sz w:val="20"/>
                <w:szCs w:val="20"/>
              </w:rPr>
              <w:br/>
              <w:t>duration</w:t>
            </w:r>
          </w:p>
        </w:tc>
        <w:tc>
          <w:tcPr>
            <w:tcW w:w="1261" w:type="dxa"/>
            <w:vMerge w:val="restart"/>
            <w:tcBorders>
              <w:top w:val="single" w:sz="8" w:space="0" w:color="auto"/>
              <w:left w:val="single" w:sz="4" w:space="0" w:color="auto"/>
              <w:bottom w:val="single" w:sz="8" w:space="0" w:color="auto"/>
              <w:right w:val="single" w:sz="4" w:space="0" w:color="auto"/>
            </w:tcBorders>
            <w:shd w:val="clear" w:color="auto" w:fill="0070C0"/>
            <w:vAlign w:val="center"/>
            <w:hideMark/>
          </w:tcPr>
          <w:p w:rsidR="005F06E6" w:rsidRPr="00D23DAB" w:rsidRDefault="00D23DAB" w:rsidP="00B25B29">
            <w:pPr>
              <w:keepNext/>
              <w:keepLines/>
              <w:widowControl w:val="0"/>
              <w:spacing w:before="20" w:after="20" w:line="205" w:lineRule="exact"/>
              <w:jc w:val="center"/>
              <w:rPr>
                <w:b/>
                <w:color w:val="FFFFFF" w:themeColor="background1"/>
                <w:kern w:val="2"/>
                <w:sz w:val="20"/>
                <w:szCs w:val="20"/>
              </w:rPr>
            </w:pPr>
            <w:r w:rsidRPr="00D23DAB">
              <w:rPr>
                <w:b/>
                <w:color w:val="FFFFFF" w:themeColor="background1"/>
                <w:kern w:val="2"/>
                <w:sz w:val="20"/>
                <w:szCs w:val="20"/>
              </w:rPr>
              <w:t>Dose mg/kg/day</w:t>
            </w:r>
            <w:r w:rsidR="005F06E6" w:rsidRPr="00D23DAB">
              <w:rPr>
                <w:b/>
                <w:color w:val="FFFFFF" w:themeColor="background1"/>
                <w:kern w:val="2"/>
                <w:sz w:val="20"/>
                <w:szCs w:val="20"/>
              </w:rPr>
              <w:br/>
              <w:t>PO</w:t>
            </w:r>
          </w:p>
        </w:tc>
        <w:tc>
          <w:tcPr>
            <w:tcW w:w="1080" w:type="dxa"/>
            <w:vMerge w:val="restart"/>
            <w:tcBorders>
              <w:top w:val="single" w:sz="8" w:space="0" w:color="auto"/>
              <w:left w:val="single" w:sz="4" w:space="0" w:color="auto"/>
              <w:bottom w:val="single" w:sz="8" w:space="0" w:color="auto"/>
              <w:right w:val="single" w:sz="4" w:space="0" w:color="auto"/>
            </w:tcBorders>
            <w:shd w:val="clear" w:color="auto" w:fill="0070C0"/>
            <w:vAlign w:val="center"/>
            <w:hideMark/>
          </w:tcPr>
          <w:p w:rsidR="005F06E6" w:rsidRPr="00D23DAB" w:rsidRDefault="005F06E6" w:rsidP="00B25B29">
            <w:pPr>
              <w:keepNext/>
              <w:keepLines/>
              <w:widowControl w:val="0"/>
              <w:spacing w:before="20" w:after="20" w:line="205" w:lineRule="exact"/>
              <w:jc w:val="center"/>
              <w:rPr>
                <w:b/>
                <w:color w:val="FFFFFF" w:themeColor="background1"/>
                <w:kern w:val="2"/>
                <w:sz w:val="20"/>
                <w:szCs w:val="20"/>
              </w:rPr>
            </w:pPr>
            <w:r w:rsidRPr="00D23DAB">
              <w:rPr>
                <w:b/>
                <w:color w:val="FFFFFF" w:themeColor="background1"/>
                <w:kern w:val="2"/>
                <w:sz w:val="20"/>
                <w:szCs w:val="20"/>
              </w:rPr>
              <w:t>AUC</w:t>
            </w:r>
            <w:r w:rsidRPr="00D23DAB">
              <w:rPr>
                <w:b/>
                <w:color w:val="FFFFFF" w:themeColor="background1"/>
                <w:kern w:val="2"/>
                <w:sz w:val="20"/>
                <w:szCs w:val="20"/>
                <w:vertAlign w:val="subscript"/>
              </w:rPr>
              <w:t>0–24h</w:t>
            </w:r>
            <w:r w:rsidRPr="00D23DAB">
              <w:rPr>
                <w:b/>
                <w:color w:val="FFFFFF" w:themeColor="background1"/>
                <w:kern w:val="2"/>
                <w:sz w:val="20"/>
                <w:szCs w:val="20"/>
              </w:rPr>
              <w:br/>
              <w:t>µg·h/mL</w:t>
            </w:r>
          </w:p>
        </w:tc>
        <w:tc>
          <w:tcPr>
            <w:tcW w:w="1080" w:type="dxa"/>
            <w:vMerge w:val="restart"/>
            <w:tcBorders>
              <w:top w:val="single" w:sz="8" w:space="0" w:color="auto"/>
              <w:left w:val="single" w:sz="4" w:space="0" w:color="auto"/>
              <w:bottom w:val="single" w:sz="8" w:space="0" w:color="auto"/>
              <w:right w:val="single" w:sz="4" w:space="0" w:color="auto"/>
            </w:tcBorders>
            <w:shd w:val="clear" w:color="auto" w:fill="0070C0"/>
            <w:vAlign w:val="center"/>
            <w:hideMark/>
          </w:tcPr>
          <w:p w:rsidR="005F06E6" w:rsidRPr="00D23DAB" w:rsidRDefault="005F06E6" w:rsidP="00B25B29">
            <w:pPr>
              <w:keepNext/>
              <w:keepLines/>
              <w:widowControl w:val="0"/>
              <w:spacing w:before="20" w:after="20" w:line="205" w:lineRule="exact"/>
              <w:jc w:val="center"/>
              <w:rPr>
                <w:b/>
                <w:color w:val="FFFFFF" w:themeColor="background1"/>
                <w:kern w:val="2"/>
                <w:sz w:val="20"/>
                <w:szCs w:val="20"/>
              </w:rPr>
            </w:pPr>
            <w:r w:rsidRPr="00D23DAB">
              <w:rPr>
                <w:b/>
                <w:color w:val="FFFFFF" w:themeColor="background1"/>
                <w:kern w:val="2"/>
                <w:sz w:val="20"/>
                <w:szCs w:val="20"/>
              </w:rPr>
              <w:t>C</w:t>
            </w:r>
            <w:r w:rsidRPr="00D23DAB">
              <w:rPr>
                <w:b/>
                <w:color w:val="FFFFFF" w:themeColor="background1"/>
                <w:kern w:val="2"/>
                <w:sz w:val="20"/>
                <w:szCs w:val="20"/>
                <w:vertAlign w:val="subscript"/>
              </w:rPr>
              <w:t>max</w:t>
            </w:r>
            <w:r w:rsidRPr="00D23DAB">
              <w:rPr>
                <w:b/>
                <w:color w:val="FFFFFF" w:themeColor="background1"/>
                <w:kern w:val="2"/>
                <w:sz w:val="20"/>
                <w:szCs w:val="20"/>
              </w:rPr>
              <w:t xml:space="preserve"> </w:t>
            </w:r>
            <w:r w:rsidRPr="00D23DAB">
              <w:rPr>
                <w:b/>
                <w:color w:val="FFFFFF" w:themeColor="background1"/>
                <w:kern w:val="2"/>
                <w:sz w:val="20"/>
                <w:szCs w:val="20"/>
              </w:rPr>
              <w:sym w:font="Symbol" w:char="006D"/>
            </w:r>
            <w:r w:rsidRPr="00D23DAB">
              <w:rPr>
                <w:b/>
                <w:color w:val="FFFFFF" w:themeColor="background1"/>
                <w:kern w:val="2"/>
                <w:sz w:val="20"/>
                <w:szCs w:val="20"/>
              </w:rPr>
              <w:t>g/mL</w:t>
            </w:r>
          </w:p>
        </w:tc>
        <w:tc>
          <w:tcPr>
            <w:tcW w:w="2171" w:type="dxa"/>
            <w:gridSpan w:val="2"/>
            <w:tcBorders>
              <w:top w:val="single" w:sz="8" w:space="0" w:color="auto"/>
              <w:left w:val="single" w:sz="4" w:space="0" w:color="auto"/>
              <w:bottom w:val="dashSmallGap" w:sz="4" w:space="0" w:color="auto"/>
              <w:right w:val="single" w:sz="8" w:space="0" w:color="auto"/>
            </w:tcBorders>
            <w:shd w:val="clear" w:color="auto" w:fill="0070C0"/>
            <w:vAlign w:val="center"/>
            <w:hideMark/>
          </w:tcPr>
          <w:p w:rsidR="005F06E6" w:rsidRPr="00D23DAB" w:rsidRDefault="005F06E6" w:rsidP="00B25B29">
            <w:pPr>
              <w:keepNext/>
              <w:keepLines/>
              <w:widowControl w:val="0"/>
              <w:spacing w:before="20" w:after="20" w:line="205" w:lineRule="exact"/>
              <w:jc w:val="center"/>
              <w:rPr>
                <w:b/>
                <w:i/>
                <w:color w:val="FFFFFF" w:themeColor="background1"/>
                <w:kern w:val="2"/>
                <w:sz w:val="20"/>
                <w:szCs w:val="20"/>
                <w:vertAlign w:val="superscript"/>
              </w:rPr>
            </w:pPr>
            <w:r w:rsidRPr="00D23DAB">
              <w:rPr>
                <w:b/>
                <w:color w:val="FFFFFF" w:themeColor="background1"/>
                <w:kern w:val="2"/>
                <w:sz w:val="20"/>
                <w:szCs w:val="20"/>
              </w:rPr>
              <w:t>Exposure ratio based on</w:t>
            </w:r>
          </w:p>
        </w:tc>
      </w:tr>
      <w:tr w:rsidR="005F06E6" w:rsidTr="00E23CE0">
        <w:trPr>
          <w:cantSplit/>
          <w:trHeight w:val="227"/>
          <w:tblHeader/>
          <w:jc w:val="center"/>
        </w:trPr>
        <w:tc>
          <w:tcPr>
            <w:tcW w:w="957" w:type="dxa"/>
            <w:vMerge/>
            <w:tcBorders>
              <w:top w:val="single" w:sz="8" w:space="0" w:color="auto"/>
              <w:left w:val="single" w:sz="8" w:space="0" w:color="auto"/>
              <w:bottom w:val="single" w:sz="8" w:space="0" w:color="auto"/>
              <w:right w:val="single" w:sz="4" w:space="0" w:color="auto"/>
            </w:tcBorders>
            <w:shd w:val="clear" w:color="auto" w:fill="0070C0"/>
            <w:vAlign w:val="center"/>
            <w:hideMark/>
          </w:tcPr>
          <w:p w:rsidR="005F06E6" w:rsidRPr="00D23DAB" w:rsidRDefault="005F06E6" w:rsidP="00B25B29">
            <w:pPr>
              <w:keepNext/>
              <w:rPr>
                <w:b/>
                <w:color w:val="FFFFFF" w:themeColor="background1"/>
                <w:kern w:val="2"/>
                <w:sz w:val="20"/>
                <w:szCs w:val="20"/>
              </w:rPr>
            </w:pPr>
          </w:p>
        </w:tc>
        <w:tc>
          <w:tcPr>
            <w:tcW w:w="1014" w:type="dxa"/>
            <w:vMerge/>
            <w:tcBorders>
              <w:top w:val="single" w:sz="8" w:space="0" w:color="auto"/>
              <w:left w:val="single" w:sz="4" w:space="0" w:color="auto"/>
              <w:bottom w:val="single" w:sz="8" w:space="0" w:color="auto"/>
              <w:right w:val="single" w:sz="4" w:space="0" w:color="auto"/>
            </w:tcBorders>
            <w:shd w:val="clear" w:color="auto" w:fill="0070C0"/>
            <w:vAlign w:val="center"/>
            <w:hideMark/>
          </w:tcPr>
          <w:p w:rsidR="005F06E6" w:rsidRPr="00D23DAB" w:rsidRDefault="005F06E6" w:rsidP="00B25B29">
            <w:pPr>
              <w:keepNext/>
              <w:rPr>
                <w:b/>
                <w:color w:val="FFFFFF" w:themeColor="background1"/>
                <w:kern w:val="2"/>
                <w:sz w:val="20"/>
                <w:szCs w:val="20"/>
              </w:rPr>
            </w:pPr>
          </w:p>
        </w:tc>
        <w:tc>
          <w:tcPr>
            <w:tcW w:w="1261" w:type="dxa"/>
            <w:vMerge/>
            <w:tcBorders>
              <w:top w:val="single" w:sz="8" w:space="0" w:color="auto"/>
              <w:left w:val="single" w:sz="4" w:space="0" w:color="auto"/>
              <w:bottom w:val="single" w:sz="8" w:space="0" w:color="auto"/>
              <w:right w:val="single" w:sz="4" w:space="0" w:color="auto"/>
            </w:tcBorders>
            <w:shd w:val="clear" w:color="auto" w:fill="0070C0"/>
            <w:vAlign w:val="center"/>
            <w:hideMark/>
          </w:tcPr>
          <w:p w:rsidR="005F06E6" w:rsidRPr="00D23DAB" w:rsidRDefault="005F06E6" w:rsidP="00B25B29">
            <w:pPr>
              <w:keepNext/>
              <w:rPr>
                <w:b/>
                <w:color w:val="FFFFFF" w:themeColor="background1"/>
                <w:kern w:val="2"/>
                <w:sz w:val="20"/>
                <w:szCs w:val="20"/>
              </w:rPr>
            </w:pPr>
          </w:p>
        </w:tc>
        <w:tc>
          <w:tcPr>
            <w:tcW w:w="1261" w:type="dxa"/>
            <w:vMerge/>
            <w:tcBorders>
              <w:top w:val="single" w:sz="8" w:space="0" w:color="auto"/>
              <w:left w:val="single" w:sz="4" w:space="0" w:color="auto"/>
              <w:bottom w:val="single" w:sz="8" w:space="0" w:color="auto"/>
              <w:right w:val="single" w:sz="4" w:space="0" w:color="auto"/>
            </w:tcBorders>
            <w:shd w:val="clear" w:color="auto" w:fill="0070C0"/>
            <w:vAlign w:val="center"/>
            <w:hideMark/>
          </w:tcPr>
          <w:p w:rsidR="005F06E6" w:rsidRPr="00D23DAB" w:rsidRDefault="005F06E6" w:rsidP="00B25B29">
            <w:pPr>
              <w:keepNext/>
              <w:rPr>
                <w:b/>
                <w:color w:val="FFFFFF" w:themeColor="background1"/>
                <w:kern w:val="2"/>
                <w:sz w:val="20"/>
                <w:szCs w:val="20"/>
              </w:rPr>
            </w:pPr>
          </w:p>
        </w:tc>
        <w:tc>
          <w:tcPr>
            <w:tcW w:w="1080" w:type="dxa"/>
            <w:vMerge/>
            <w:tcBorders>
              <w:top w:val="single" w:sz="8" w:space="0" w:color="auto"/>
              <w:left w:val="single" w:sz="4" w:space="0" w:color="auto"/>
              <w:bottom w:val="single" w:sz="8" w:space="0" w:color="auto"/>
              <w:right w:val="single" w:sz="4" w:space="0" w:color="auto"/>
            </w:tcBorders>
            <w:shd w:val="clear" w:color="auto" w:fill="0070C0"/>
            <w:vAlign w:val="center"/>
            <w:hideMark/>
          </w:tcPr>
          <w:p w:rsidR="005F06E6" w:rsidRPr="00D23DAB" w:rsidRDefault="005F06E6" w:rsidP="00B25B29">
            <w:pPr>
              <w:keepNext/>
              <w:rPr>
                <w:b/>
                <w:color w:val="FFFFFF" w:themeColor="background1"/>
                <w:kern w:val="2"/>
                <w:sz w:val="20"/>
                <w:szCs w:val="20"/>
              </w:rPr>
            </w:pPr>
          </w:p>
        </w:tc>
        <w:tc>
          <w:tcPr>
            <w:tcW w:w="1080" w:type="dxa"/>
            <w:vMerge/>
            <w:tcBorders>
              <w:top w:val="single" w:sz="8" w:space="0" w:color="auto"/>
              <w:left w:val="single" w:sz="4" w:space="0" w:color="auto"/>
              <w:bottom w:val="single" w:sz="8" w:space="0" w:color="auto"/>
              <w:right w:val="single" w:sz="4" w:space="0" w:color="auto"/>
            </w:tcBorders>
            <w:shd w:val="clear" w:color="auto" w:fill="0070C0"/>
            <w:vAlign w:val="center"/>
            <w:hideMark/>
          </w:tcPr>
          <w:p w:rsidR="005F06E6" w:rsidRPr="00D23DAB" w:rsidRDefault="005F06E6" w:rsidP="00B25B29">
            <w:pPr>
              <w:keepNext/>
              <w:rPr>
                <w:b/>
                <w:color w:val="FFFFFF" w:themeColor="background1"/>
                <w:kern w:val="2"/>
                <w:sz w:val="20"/>
                <w:szCs w:val="20"/>
              </w:rPr>
            </w:pPr>
          </w:p>
        </w:tc>
        <w:tc>
          <w:tcPr>
            <w:tcW w:w="1085" w:type="dxa"/>
            <w:tcBorders>
              <w:top w:val="dashSmallGap" w:sz="4" w:space="0" w:color="auto"/>
              <w:left w:val="single" w:sz="4" w:space="0" w:color="auto"/>
              <w:bottom w:val="single" w:sz="8" w:space="0" w:color="auto"/>
              <w:right w:val="single" w:sz="8" w:space="0" w:color="auto"/>
            </w:tcBorders>
            <w:shd w:val="clear" w:color="auto" w:fill="0070C0"/>
            <w:vAlign w:val="center"/>
            <w:hideMark/>
          </w:tcPr>
          <w:p w:rsidR="005F06E6" w:rsidRPr="00D23DAB" w:rsidRDefault="005F06E6" w:rsidP="00B25B29">
            <w:pPr>
              <w:keepNext/>
              <w:keepLines/>
              <w:widowControl w:val="0"/>
              <w:spacing w:before="20" w:after="20" w:line="205" w:lineRule="exact"/>
              <w:jc w:val="center"/>
              <w:rPr>
                <w:b/>
                <w:color w:val="FFFFFF" w:themeColor="background1"/>
                <w:kern w:val="2"/>
                <w:sz w:val="20"/>
                <w:szCs w:val="20"/>
              </w:rPr>
            </w:pPr>
            <w:r w:rsidRPr="00D23DAB">
              <w:rPr>
                <w:b/>
                <w:color w:val="FFFFFF" w:themeColor="background1"/>
                <w:kern w:val="2"/>
                <w:sz w:val="20"/>
                <w:szCs w:val="20"/>
              </w:rPr>
              <w:t>AUC</w:t>
            </w:r>
          </w:p>
        </w:tc>
        <w:tc>
          <w:tcPr>
            <w:tcW w:w="1086" w:type="dxa"/>
            <w:tcBorders>
              <w:top w:val="dashSmallGap" w:sz="4" w:space="0" w:color="auto"/>
              <w:left w:val="single" w:sz="4" w:space="0" w:color="auto"/>
              <w:bottom w:val="single" w:sz="8" w:space="0" w:color="auto"/>
              <w:right w:val="single" w:sz="8" w:space="0" w:color="auto"/>
            </w:tcBorders>
            <w:shd w:val="clear" w:color="auto" w:fill="0070C0"/>
            <w:vAlign w:val="center"/>
            <w:hideMark/>
          </w:tcPr>
          <w:p w:rsidR="005F06E6" w:rsidRPr="00D23DAB" w:rsidRDefault="005F06E6" w:rsidP="00B25B29">
            <w:pPr>
              <w:keepNext/>
              <w:keepLines/>
              <w:widowControl w:val="0"/>
              <w:spacing w:before="20" w:after="20" w:line="205" w:lineRule="exact"/>
              <w:jc w:val="center"/>
              <w:rPr>
                <w:b/>
                <w:color w:val="FFFFFF" w:themeColor="background1"/>
                <w:kern w:val="2"/>
                <w:sz w:val="20"/>
                <w:szCs w:val="20"/>
                <w:vertAlign w:val="subscript"/>
              </w:rPr>
            </w:pPr>
            <w:r w:rsidRPr="00D23DAB">
              <w:rPr>
                <w:b/>
                <w:color w:val="FFFFFF" w:themeColor="background1"/>
                <w:kern w:val="2"/>
                <w:sz w:val="20"/>
                <w:szCs w:val="20"/>
              </w:rPr>
              <w:t>C</w:t>
            </w:r>
            <w:r w:rsidRPr="00D23DAB">
              <w:rPr>
                <w:b/>
                <w:color w:val="FFFFFF" w:themeColor="background1"/>
                <w:kern w:val="2"/>
                <w:sz w:val="20"/>
                <w:szCs w:val="20"/>
                <w:vertAlign w:val="subscript"/>
              </w:rPr>
              <w:t>max</w:t>
            </w:r>
          </w:p>
        </w:tc>
      </w:tr>
      <w:tr w:rsidR="005F06E6" w:rsidTr="00E23CE0">
        <w:trPr>
          <w:cantSplit/>
          <w:trHeight w:val="170"/>
          <w:jc w:val="center"/>
        </w:trPr>
        <w:tc>
          <w:tcPr>
            <w:tcW w:w="957" w:type="dxa"/>
            <w:vMerge w:val="restart"/>
            <w:tcBorders>
              <w:top w:val="single" w:sz="4" w:space="0" w:color="auto"/>
              <w:left w:val="single" w:sz="8" w:space="0" w:color="auto"/>
              <w:bottom w:val="single" w:sz="4" w:space="0" w:color="auto"/>
              <w:right w:val="single" w:sz="4"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b/>
                <w:kern w:val="2"/>
                <w:sz w:val="20"/>
                <w:szCs w:val="20"/>
              </w:rPr>
              <w:t xml:space="preserve"> Rat</w:t>
            </w:r>
            <w:r w:rsidRPr="00D23DAB">
              <w:rPr>
                <w:kern w:val="2"/>
                <w:sz w:val="20"/>
                <w:szCs w:val="20"/>
              </w:rPr>
              <w:br/>
              <w:t>(SD)</w:t>
            </w:r>
          </w:p>
          <w:p w:rsidR="005F06E6" w:rsidRPr="00D23DAB" w:rsidRDefault="005F06E6" w:rsidP="00B25B29">
            <w:pPr>
              <w:keepNext/>
              <w:keepLines/>
              <w:widowControl w:val="0"/>
              <w:spacing w:line="200" w:lineRule="exact"/>
              <w:jc w:val="center"/>
              <w:rPr>
                <w:b/>
                <w:kern w:val="2"/>
                <w:sz w:val="20"/>
                <w:szCs w:val="20"/>
              </w:rPr>
            </w:pPr>
            <w:r w:rsidRPr="00D23DAB">
              <w:rPr>
                <w:kern w:val="2"/>
                <w:sz w:val="20"/>
                <w:szCs w:val="20"/>
              </w:rPr>
              <w:t>(</w:t>
            </w:r>
            <w:r w:rsidRPr="00D23DAB">
              <w:rPr>
                <w:rFonts w:ascii="Times New Roman" w:hAnsi="Times New Roman"/>
                <w:kern w:val="2"/>
                <w:sz w:val="20"/>
                <w:szCs w:val="20"/>
              </w:rPr>
              <w:t>♂</w:t>
            </w:r>
            <w:r w:rsidRPr="00D23DAB">
              <w:rPr>
                <w:rFonts w:cs="Cambria"/>
                <w:kern w:val="2"/>
                <w:sz w:val="20"/>
                <w:szCs w:val="20"/>
              </w:rPr>
              <w:t>/</w:t>
            </w:r>
            <w:r w:rsidRPr="00D23DAB">
              <w:rPr>
                <w:rFonts w:ascii="Times New Roman" w:hAnsi="Times New Roman"/>
                <w:kern w:val="2"/>
                <w:sz w:val="20"/>
                <w:szCs w:val="20"/>
              </w:rPr>
              <w:t>♀</w:t>
            </w:r>
            <w:r w:rsidRPr="00D23DAB">
              <w:rPr>
                <w:rFonts w:cs="Cambria"/>
                <w:kern w:val="2"/>
                <w:sz w:val="20"/>
                <w:szCs w:val="20"/>
              </w:rPr>
              <w:t>)</w:t>
            </w:r>
          </w:p>
        </w:tc>
        <w:tc>
          <w:tcPr>
            <w:tcW w:w="1014" w:type="dxa"/>
            <w:vMerge w:val="restart"/>
            <w:tcBorders>
              <w:top w:val="single" w:sz="4"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1040820</w:t>
            </w:r>
          </w:p>
        </w:tc>
        <w:tc>
          <w:tcPr>
            <w:tcW w:w="1261" w:type="dxa"/>
            <w:vMerge w:val="restart"/>
            <w:tcBorders>
              <w:top w:val="single" w:sz="4"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4 weeks</w:t>
            </w:r>
          </w:p>
        </w:tc>
        <w:tc>
          <w:tcPr>
            <w:tcW w:w="1261" w:type="dxa"/>
            <w:tcBorders>
              <w:top w:val="single" w:sz="4" w:space="0" w:color="auto"/>
              <w:left w:val="single" w:sz="4" w:space="0" w:color="auto"/>
              <w:bottom w:val="dotted" w:sz="2" w:space="0" w:color="auto"/>
              <w:right w:val="single" w:sz="4" w:space="0" w:color="auto"/>
            </w:tcBorders>
            <w:vAlign w:val="center"/>
            <w:hideMark/>
          </w:tcPr>
          <w:p w:rsidR="005F06E6" w:rsidRPr="00D23DAB" w:rsidRDefault="005F06E6" w:rsidP="00B25B29">
            <w:pPr>
              <w:pStyle w:val="Tabletext"/>
              <w:keepNext/>
              <w:keepLines/>
              <w:widowControl w:val="0"/>
              <w:spacing w:line="200" w:lineRule="exact"/>
              <w:jc w:val="center"/>
              <w:rPr>
                <w:kern w:val="2"/>
                <w:sz w:val="20"/>
                <w:szCs w:val="20"/>
              </w:rPr>
            </w:pPr>
            <w:r w:rsidRPr="00D23DAB">
              <w:rPr>
                <w:kern w:val="2"/>
                <w:sz w:val="20"/>
                <w:szCs w:val="20"/>
              </w:rPr>
              <w:t>30</w:t>
            </w:r>
          </w:p>
        </w:tc>
        <w:tc>
          <w:tcPr>
            <w:tcW w:w="1080" w:type="dxa"/>
            <w:tcBorders>
              <w:top w:val="single" w:sz="4"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119/189</w:t>
            </w:r>
          </w:p>
        </w:tc>
        <w:tc>
          <w:tcPr>
            <w:tcW w:w="1080" w:type="dxa"/>
            <w:tcBorders>
              <w:top w:val="single" w:sz="4"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10/19</w:t>
            </w:r>
          </w:p>
        </w:tc>
        <w:tc>
          <w:tcPr>
            <w:tcW w:w="1085" w:type="dxa"/>
            <w:tcBorders>
              <w:top w:val="single" w:sz="4"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0.11/0.17</w:t>
            </w:r>
          </w:p>
        </w:tc>
        <w:tc>
          <w:tcPr>
            <w:tcW w:w="1086" w:type="dxa"/>
            <w:tcBorders>
              <w:top w:val="single" w:sz="4"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0.17/0.31</w:t>
            </w:r>
          </w:p>
        </w:tc>
      </w:tr>
      <w:tr w:rsidR="005F06E6" w:rsidTr="00E23CE0">
        <w:trPr>
          <w:cantSplit/>
          <w:trHeight w:val="170"/>
          <w:jc w:val="center"/>
        </w:trPr>
        <w:tc>
          <w:tcPr>
            <w:tcW w:w="957" w:type="dxa"/>
            <w:vMerge/>
            <w:tcBorders>
              <w:top w:val="single" w:sz="4" w:space="0" w:color="auto"/>
              <w:left w:val="single" w:sz="8" w:space="0" w:color="auto"/>
              <w:bottom w:val="single" w:sz="4" w:space="0" w:color="auto"/>
              <w:right w:val="single" w:sz="4" w:space="0" w:color="auto"/>
            </w:tcBorders>
            <w:vAlign w:val="center"/>
            <w:hideMark/>
          </w:tcPr>
          <w:p w:rsidR="005F06E6" w:rsidRPr="00D23DAB" w:rsidRDefault="005F06E6" w:rsidP="00B25B29">
            <w:pPr>
              <w:keepNext/>
              <w:rPr>
                <w:b/>
                <w:kern w:val="2"/>
                <w:sz w:val="20"/>
                <w:szCs w:val="20"/>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261" w:type="dxa"/>
            <w:tcBorders>
              <w:top w:val="dotted" w:sz="2" w:space="0" w:color="auto"/>
              <w:left w:val="single" w:sz="4" w:space="0" w:color="auto"/>
              <w:bottom w:val="dotted" w:sz="2" w:space="0" w:color="auto"/>
              <w:right w:val="single" w:sz="4" w:space="0" w:color="auto"/>
            </w:tcBorders>
            <w:vAlign w:val="center"/>
            <w:hideMark/>
          </w:tcPr>
          <w:p w:rsidR="005F06E6" w:rsidRPr="00D23DAB" w:rsidRDefault="005F06E6" w:rsidP="00B25B29">
            <w:pPr>
              <w:pStyle w:val="Tabletext"/>
              <w:keepNext/>
              <w:keepLines/>
              <w:widowControl w:val="0"/>
              <w:spacing w:line="200" w:lineRule="exact"/>
              <w:jc w:val="center"/>
              <w:rPr>
                <w:kern w:val="2"/>
                <w:sz w:val="20"/>
                <w:szCs w:val="20"/>
              </w:rPr>
            </w:pPr>
            <w:r w:rsidRPr="00D23DAB">
              <w:rPr>
                <w:kern w:val="2"/>
                <w:sz w:val="20"/>
                <w:szCs w:val="20"/>
              </w:rPr>
              <w:t>100</w:t>
            </w:r>
          </w:p>
        </w:tc>
        <w:tc>
          <w:tcPr>
            <w:tcW w:w="1080" w:type="dxa"/>
            <w:tcBorders>
              <w:top w:val="dotted" w:sz="2"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256/388</w:t>
            </w:r>
          </w:p>
        </w:tc>
        <w:tc>
          <w:tcPr>
            <w:tcW w:w="1080" w:type="dxa"/>
            <w:tcBorders>
              <w:top w:val="dotted" w:sz="2"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21/30</w:t>
            </w:r>
          </w:p>
        </w:tc>
        <w:tc>
          <w:tcPr>
            <w:tcW w:w="1085" w:type="dxa"/>
            <w:tcBorders>
              <w:top w:val="dotted" w:sz="2"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0.23/0.34</w:t>
            </w:r>
          </w:p>
        </w:tc>
        <w:tc>
          <w:tcPr>
            <w:tcW w:w="1086" w:type="dxa"/>
            <w:tcBorders>
              <w:top w:val="dotted" w:sz="2"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0.34/0.49</w:t>
            </w:r>
          </w:p>
        </w:tc>
      </w:tr>
      <w:tr w:rsidR="005F06E6" w:rsidTr="00E23CE0">
        <w:trPr>
          <w:cantSplit/>
          <w:trHeight w:val="170"/>
          <w:jc w:val="center"/>
        </w:trPr>
        <w:tc>
          <w:tcPr>
            <w:tcW w:w="957" w:type="dxa"/>
            <w:vMerge/>
            <w:tcBorders>
              <w:top w:val="single" w:sz="4" w:space="0" w:color="auto"/>
              <w:left w:val="single" w:sz="8" w:space="0" w:color="auto"/>
              <w:bottom w:val="single" w:sz="4" w:space="0" w:color="auto"/>
              <w:right w:val="single" w:sz="4" w:space="0" w:color="auto"/>
            </w:tcBorders>
            <w:vAlign w:val="center"/>
            <w:hideMark/>
          </w:tcPr>
          <w:p w:rsidR="005F06E6" w:rsidRPr="00D23DAB" w:rsidRDefault="005F06E6" w:rsidP="00B25B29">
            <w:pPr>
              <w:keepNext/>
              <w:rPr>
                <w:b/>
                <w:kern w:val="2"/>
                <w:sz w:val="20"/>
                <w:szCs w:val="20"/>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261" w:type="dxa"/>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pStyle w:val="Tabletext"/>
              <w:keepNext/>
              <w:keepLines/>
              <w:widowControl w:val="0"/>
              <w:spacing w:line="200" w:lineRule="exact"/>
              <w:jc w:val="center"/>
              <w:rPr>
                <w:kern w:val="2"/>
                <w:sz w:val="20"/>
                <w:szCs w:val="20"/>
              </w:rPr>
            </w:pPr>
            <w:r w:rsidRPr="00D23DAB">
              <w:rPr>
                <w:kern w:val="2"/>
                <w:sz w:val="20"/>
                <w:szCs w:val="20"/>
              </w:rPr>
              <w:t>1000</w:t>
            </w:r>
          </w:p>
        </w:tc>
        <w:tc>
          <w:tcPr>
            <w:tcW w:w="1080" w:type="dxa"/>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1228/855</w:t>
            </w:r>
          </w:p>
        </w:tc>
        <w:tc>
          <w:tcPr>
            <w:tcW w:w="1080" w:type="dxa"/>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76/81</w:t>
            </w:r>
          </w:p>
        </w:tc>
        <w:tc>
          <w:tcPr>
            <w:tcW w:w="1085" w:type="dxa"/>
            <w:tcBorders>
              <w:top w:val="dotted" w:sz="2" w:space="0" w:color="auto"/>
              <w:left w:val="single" w:sz="4" w:space="0" w:color="auto"/>
              <w:bottom w:val="single" w:sz="4" w:space="0" w:color="auto"/>
              <w:right w:val="single" w:sz="8"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1.1/0.76</w:t>
            </w:r>
          </w:p>
        </w:tc>
        <w:tc>
          <w:tcPr>
            <w:tcW w:w="1086" w:type="dxa"/>
            <w:tcBorders>
              <w:top w:val="dotted" w:sz="2" w:space="0" w:color="auto"/>
              <w:left w:val="single" w:sz="4" w:space="0" w:color="auto"/>
              <w:bottom w:val="single" w:sz="4" w:space="0" w:color="auto"/>
              <w:right w:val="single" w:sz="8"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1.2/1.3</w:t>
            </w:r>
          </w:p>
        </w:tc>
      </w:tr>
      <w:tr w:rsidR="005F06E6" w:rsidTr="00E23CE0">
        <w:trPr>
          <w:cantSplit/>
          <w:trHeight w:val="170"/>
          <w:jc w:val="center"/>
        </w:trPr>
        <w:tc>
          <w:tcPr>
            <w:tcW w:w="957" w:type="dxa"/>
            <w:vMerge/>
            <w:tcBorders>
              <w:top w:val="single" w:sz="4" w:space="0" w:color="auto"/>
              <w:left w:val="single" w:sz="8" w:space="0" w:color="auto"/>
              <w:bottom w:val="single" w:sz="4" w:space="0" w:color="auto"/>
              <w:right w:val="single" w:sz="4" w:space="0" w:color="auto"/>
            </w:tcBorders>
            <w:vAlign w:val="center"/>
            <w:hideMark/>
          </w:tcPr>
          <w:p w:rsidR="005F06E6" w:rsidRPr="00D23DAB" w:rsidRDefault="005F06E6" w:rsidP="00B25B29">
            <w:pPr>
              <w:keepNext/>
              <w:rPr>
                <w:b/>
                <w:kern w:val="2"/>
                <w:sz w:val="20"/>
                <w:szCs w:val="20"/>
              </w:rPr>
            </w:pPr>
          </w:p>
        </w:tc>
        <w:tc>
          <w:tcPr>
            <w:tcW w:w="1014" w:type="dxa"/>
            <w:vMerge w:val="restart"/>
            <w:tcBorders>
              <w:top w:val="single" w:sz="4"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1025760</w:t>
            </w:r>
          </w:p>
        </w:tc>
        <w:tc>
          <w:tcPr>
            <w:tcW w:w="1261" w:type="dxa"/>
            <w:vMerge w:val="restart"/>
            <w:tcBorders>
              <w:top w:val="single" w:sz="4"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26 weeks</w:t>
            </w:r>
          </w:p>
        </w:tc>
        <w:tc>
          <w:tcPr>
            <w:tcW w:w="1261" w:type="dxa"/>
            <w:tcBorders>
              <w:top w:val="single" w:sz="4" w:space="0" w:color="auto"/>
              <w:left w:val="single" w:sz="4" w:space="0" w:color="auto"/>
              <w:bottom w:val="dotted" w:sz="2" w:space="0" w:color="auto"/>
              <w:right w:val="single" w:sz="4" w:space="0" w:color="auto"/>
            </w:tcBorders>
            <w:vAlign w:val="center"/>
            <w:hideMark/>
          </w:tcPr>
          <w:p w:rsidR="005F06E6" w:rsidRPr="00D23DAB" w:rsidRDefault="005F06E6" w:rsidP="00B25B29">
            <w:pPr>
              <w:pStyle w:val="Tabletext"/>
              <w:keepNext/>
              <w:keepLines/>
              <w:widowControl w:val="0"/>
              <w:spacing w:line="200" w:lineRule="exact"/>
              <w:jc w:val="center"/>
              <w:rPr>
                <w:kern w:val="2"/>
                <w:sz w:val="20"/>
                <w:szCs w:val="20"/>
              </w:rPr>
            </w:pPr>
            <w:r w:rsidRPr="00D23DAB">
              <w:rPr>
                <w:kern w:val="2"/>
                <w:sz w:val="20"/>
                <w:szCs w:val="20"/>
              </w:rPr>
              <w:t>10</w:t>
            </w:r>
          </w:p>
        </w:tc>
        <w:tc>
          <w:tcPr>
            <w:tcW w:w="1080" w:type="dxa"/>
            <w:tcBorders>
              <w:top w:val="single" w:sz="4"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32/62</w:t>
            </w:r>
          </w:p>
        </w:tc>
        <w:tc>
          <w:tcPr>
            <w:tcW w:w="1080" w:type="dxa"/>
            <w:tcBorders>
              <w:top w:val="single" w:sz="4"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5.3/9.0</w:t>
            </w:r>
          </w:p>
        </w:tc>
        <w:tc>
          <w:tcPr>
            <w:tcW w:w="1085" w:type="dxa"/>
            <w:tcBorders>
              <w:top w:val="single" w:sz="4"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0.03/0.06</w:t>
            </w:r>
          </w:p>
        </w:tc>
        <w:tc>
          <w:tcPr>
            <w:tcW w:w="1086" w:type="dxa"/>
            <w:tcBorders>
              <w:top w:val="single" w:sz="4"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0.09/0.15</w:t>
            </w:r>
          </w:p>
        </w:tc>
      </w:tr>
      <w:tr w:rsidR="005F06E6" w:rsidTr="00E23CE0">
        <w:trPr>
          <w:cantSplit/>
          <w:trHeight w:val="170"/>
          <w:jc w:val="center"/>
        </w:trPr>
        <w:tc>
          <w:tcPr>
            <w:tcW w:w="957" w:type="dxa"/>
            <w:vMerge/>
            <w:tcBorders>
              <w:top w:val="single" w:sz="4" w:space="0" w:color="auto"/>
              <w:left w:val="single" w:sz="8" w:space="0" w:color="auto"/>
              <w:bottom w:val="single" w:sz="4" w:space="0" w:color="auto"/>
              <w:right w:val="single" w:sz="4" w:space="0" w:color="auto"/>
            </w:tcBorders>
            <w:vAlign w:val="center"/>
            <w:hideMark/>
          </w:tcPr>
          <w:p w:rsidR="005F06E6" w:rsidRPr="00D23DAB" w:rsidRDefault="005F06E6" w:rsidP="00B25B29">
            <w:pPr>
              <w:keepNext/>
              <w:rPr>
                <w:b/>
                <w:kern w:val="2"/>
                <w:sz w:val="20"/>
                <w:szCs w:val="20"/>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261" w:type="dxa"/>
            <w:tcBorders>
              <w:top w:val="dotted" w:sz="2" w:space="0" w:color="auto"/>
              <w:left w:val="single" w:sz="4" w:space="0" w:color="auto"/>
              <w:bottom w:val="dotted" w:sz="2" w:space="0" w:color="auto"/>
              <w:right w:val="single" w:sz="4" w:space="0" w:color="auto"/>
            </w:tcBorders>
            <w:vAlign w:val="center"/>
            <w:hideMark/>
          </w:tcPr>
          <w:p w:rsidR="005F06E6" w:rsidRPr="00D23DAB" w:rsidRDefault="005F06E6" w:rsidP="00B25B29">
            <w:pPr>
              <w:pStyle w:val="Tabletext"/>
              <w:keepNext/>
              <w:keepLines/>
              <w:widowControl w:val="0"/>
              <w:spacing w:line="200" w:lineRule="exact"/>
              <w:jc w:val="center"/>
              <w:rPr>
                <w:kern w:val="2"/>
                <w:sz w:val="20"/>
                <w:szCs w:val="20"/>
              </w:rPr>
            </w:pPr>
            <w:r w:rsidRPr="00D23DAB">
              <w:rPr>
                <w:kern w:val="2"/>
                <w:sz w:val="20"/>
                <w:szCs w:val="20"/>
              </w:rPr>
              <w:t>50</w:t>
            </w:r>
          </w:p>
        </w:tc>
        <w:tc>
          <w:tcPr>
            <w:tcW w:w="1080" w:type="dxa"/>
            <w:tcBorders>
              <w:top w:val="dotted" w:sz="2"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59/236</w:t>
            </w:r>
          </w:p>
        </w:tc>
        <w:tc>
          <w:tcPr>
            <w:tcW w:w="1080" w:type="dxa"/>
            <w:tcBorders>
              <w:top w:val="dotted" w:sz="2"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15/32</w:t>
            </w:r>
          </w:p>
        </w:tc>
        <w:tc>
          <w:tcPr>
            <w:tcW w:w="1085" w:type="dxa"/>
            <w:tcBorders>
              <w:top w:val="dotted" w:sz="2"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0.05/0.21</w:t>
            </w:r>
          </w:p>
        </w:tc>
        <w:tc>
          <w:tcPr>
            <w:tcW w:w="1086" w:type="dxa"/>
            <w:tcBorders>
              <w:top w:val="dotted" w:sz="2"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0.24/0.52</w:t>
            </w:r>
          </w:p>
        </w:tc>
      </w:tr>
      <w:tr w:rsidR="005F06E6" w:rsidTr="00E23CE0">
        <w:trPr>
          <w:cantSplit/>
          <w:trHeight w:val="170"/>
          <w:jc w:val="center"/>
        </w:trPr>
        <w:tc>
          <w:tcPr>
            <w:tcW w:w="957" w:type="dxa"/>
            <w:vMerge/>
            <w:tcBorders>
              <w:top w:val="single" w:sz="4" w:space="0" w:color="auto"/>
              <w:left w:val="single" w:sz="8" w:space="0" w:color="auto"/>
              <w:bottom w:val="single" w:sz="4" w:space="0" w:color="auto"/>
              <w:right w:val="single" w:sz="4" w:space="0" w:color="auto"/>
            </w:tcBorders>
            <w:vAlign w:val="center"/>
            <w:hideMark/>
          </w:tcPr>
          <w:p w:rsidR="005F06E6" w:rsidRPr="00D23DAB" w:rsidRDefault="005F06E6" w:rsidP="00B25B29">
            <w:pPr>
              <w:keepNext/>
              <w:rPr>
                <w:b/>
                <w:kern w:val="2"/>
                <w:sz w:val="20"/>
                <w:szCs w:val="20"/>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261" w:type="dxa"/>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pStyle w:val="Tabletext"/>
              <w:keepNext/>
              <w:keepLines/>
              <w:widowControl w:val="0"/>
              <w:spacing w:line="200" w:lineRule="exact"/>
              <w:jc w:val="center"/>
              <w:rPr>
                <w:kern w:val="2"/>
                <w:sz w:val="20"/>
                <w:szCs w:val="20"/>
              </w:rPr>
            </w:pPr>
            <w:r w:rsidRPr="00D23DAB">
              <w:rPr>
                <w:kern w:val="2"/>
                <w:sz w:val="20"/>
                <w:szCs w:val="20"/>
              </w:rPr>
              <w:t>450</w:t>
            </w:r>
          </w:p>
        </w:tc>
        <w:tc>
          <w:tcPr>
            <w:tcW w:w="1080" w:type="dxa"/>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595/1577</w:t>
            </w:r>
          </w:p>
        </w:tc>
        <w:tc>
          <w:tcPr>
            <w:tcW w:w="1080" w:type="dxa"/>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68/132</w:t>
            </w:r>
          </w:p>
        </w:tc>
        <w:tc>
          <w:tcPr>
            <w:tcW w:w="1085" w:type="dxa"/>
            <w:tcBorders>
              <w:top w:val="dotted" w:sz="2" w:space="0" w:color="auto"/>
              <w:left w:val="single" w:sz="4" w:space="0" w:color="auto"/>
              <w:bottom w:val="single" w:sz="4" w:space="0" w:color="auto"/>
              <w:right w:val="single" w:sz="8"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0.53/1.4</w:t>
            </w:r>
          </w:p>
        </w:tc>
        <w:tc>
          <w:tcPr>
            <w:tcW w:w="1086" w:type="dxa"/>
            <w:tcBorders>
              <w:top w:val="dotted" w:sz="2" w:space="0" w:color="auto"/>
              <w:left w:val="single" w:sz="4" w:space="0" w:color="auto"/>
              <w:bottom w:val="single" w:sz="4" w:space="0" w:color="auto"/>
              <w:right w:val="single" w:sz="8" w:space="0" w:color="auto"/>
            </w:tcBorders>
            <w:vAlign w:val="center"/>
            <w:hideMark/>
          </w:tcPr>
          <w:p w:rsidR="005F06E6" w:rsidRPr="00D23DAB" w:rsidRDefault="005F06E6" w:rsidP="00B25B29">
            <w:pPr>
              <w:keepNext/>
              <w:keepLines/>
              <w:widowControl w:val="0"/>
              <w:spacing w:line="200" w:lineRule="exact"/>
              <w:jc w:val="center"/>
              <w:rPr>
                <w:kern w:val="2"/>
                <w:sz w:val="20"/>
                <w:szCs w:val="20"/>
              </w:rPr>
            </w:pPr>
            <w:r w:rsidRPr="00D23DAB">
              <w:rPr>
                <w:kern w:val="2"/>
                <w:sz w:val="20"/>
                <w:szCs w:val="20"/>
              </w:rPr>
              <w:t>1.1/2.1</w:t>
            </w:r>
          </w:p>
        </w:tc>
      </w:tr>
      <w:tr w:rsidR="005F06E6" w:rsidTr="00E23CE0">
        <w:trPr>
          <w:cantSplit/>
          <w:trHeight w:val="170"/>
          <w:jc w:val="center"/>
        </w:trPr>
        <w:tc>
          <w:tcPr>
            <w:tcW w:w="957" w:type="dxa"/>
            <w:vMerge w:val="restart"/>
            <w:tcBorders>
              <w:top w:val="single" w:sz="8" w:space="0" w:color="auto"/>
              <w:left w:val="single" w:sz="8" w:space="0" w:color="auto"/>
              <w:bottom w:val="single" w:sz="4"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b/>
                <w:kern w:val="2"/>
                <w:sz w:val="20"/>
                <w:szCs w:val="20"/>
              </w:rPr>
              <w:t>Dog</w:t>
            </w:r>
            <w:r w:rsidRPr="00D23DAB">
              <w:rPr>
                <w:kern w:val="2"/>
                <w:sz w:val="20"/>
                <w:szCs w:val="20"/>
              </w:rPr>
              <w:br/>
              <w:t>(Beagle)</w:t>
            </w:r>
          </w:p>
        </w:tc>
        <w:tc>
          <w:tcPr>
            <w:tcW w:w="1014" w:type="dxa"/>
            <w:vMerge w:val="restart"/>
            <w:tcBorders>
              <w:top w:val="single" w:sz="8"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1040819</w:t>
            </w:r>
          </w:p>
        </w:tc>
        <w:tc>
          <w:tcPr>
            <w:tcW w:w="1261" w:type="dxa"/>
            <w:vMerge w:val="restart"/>
            <w:tcBorders>
              <w:top w:val="single" w:sz="8"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widowControl w:val="0"/>
              <w:spacing w:line="200" w:lineRule="exact"/>
              <w:jc w:val="center"/>
              <w:rPr>
                <w:i/>
                <w:kern w:val="2"/>
                <w:sz w:val="20"/>
                <w:szCs w:val="20"/>
                <w:vertAlign w:val="superscript"/>
              </w:rPr>
            </w:pPr>
            <w:r w:rsidRPr="00D23DAB">
              <w:rPr>
                <w:kern w:val="2"/>
                <w:sz w:val="20"/>
                <w:szCs w:val="20"/>
              </w:rPr>
              <w:t>4 weeks</w:t>
            </w:r>
          </w:p>
        </w:tc>
        <w:tc>
          <w:tcPr>
            <w:tcW w:w="1261" w:type="dxa"/>
            <w:tcBorders>
              <w:top w:val="single" w:sz="8" w:space="0" w:color="auto"/>
              <w:left w:val="single" w:sz="4" w:space="0" w:color="auto"/>
              <w:bottom w:val="dotted" w:sz="2" w:space="0" w:color="auto"/>
              <w:right w:val="single" w:sz="4" w:space="0" w:color="auto"/>
            </w:tcBorders>
            <w:vAlign w:val="center"/>
            <w:hideMark/>
          </w:tcPr>
          <w:p w:rsidR="005F06E6" w:rsidRPr="00D23DAB" w:rsidRDefault="005F06E6" w:rsidP="00B25B29">
            <w:pPr>
              <w:pStyle w:val="Tabletext"/>
              <w:keepNext/>
              <w:widowControl w:val="0"/>
              <w:spacing w:line="200" w:lineRule="exact"/>
              <w:jc w:val="center"/>
              <w:rPr>
                <w:kern w:val="2"/>
                <w:sz w:val="20"/>
                <w:szCs w:val="20"/>
              </w:rPr>
            </w:pPr>
            <w:r w:rsidRPr="00D23DAB">
              <w:rPr>
                <w:kern w:val="2"/>
                <w:sz w:val="20"/>
                <w:szCs w:val="20"/>
              </w:rPr>
              <w:t>30</w:t>
            </w:r>
          </w:p>
        </w:tc>
        <w:tc>
          <w:tcPr>
            <w:tcW w:w="1080" w:type="dxa"/>
            <w:tcBorders>
              <w:top w:val="single" w:sz="8"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57</w:t>
            </w:r>
          </w:p>
        </w:tc>
        <w:tc>
          <w:tcPr>
            <w:tcW w:w="1080" w:type="dxa"/>
            <w:tcBorders>
              <w:top w:val="single" w:sz="8"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7.3</w:t>
            </w:r>
          </w:p>
        </w:tc>
        <w:tc>
          <w:tcPr>
            <w:tcW w:w="1085" w:type="dxa"/>
            <w:tcBorders>
              <w:top w:val="single" w:sz="8"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0.05</w:t>
            </w:r>
          </w:p>
        </w:tc>
        <w:tc>
          <w:tcPr>
            <w:tcW w:w="1086" w:type="dxa"/>
            <w:tcBorders>
              <w:top w:val="single" w:sz="8"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0.12</w:t>
            </w:r>
          </w:p>
        </w:tc>
      </w:tr>
      <w:tr w:rsidR="005F06E6" w:rsidTr="00E23CE0">
        <w:trPr>
          <w:cantSplit/>
          <w:trHeight w:val="170"/>
          <w:jc w:val="center"/>
        </w:trPr>
        <w:tc>
          <w:tcPr>
            <w:tcW w:w="957" w:type="dxa"/>
            <w:vMerge/>
            <w:tcBorders>
              <w:top w:val="single" w:sz="8" w:space="0" w:color="auto"/>
              <w:left w:val="single" w:sz="8"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014" w:type="dxa"/>
            <w:vMerge/>
            <w:tcBorders>
              <w:top w:val="single" w:sz="8"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261" w:type="dxa"/>
            <w:vMerge/>
            <w:tcBorders>
              <w:top w:val="single" w:sz="8"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i/>
                <w:kern w:val="2"/>
                <w:sz w:val="20"/>
                <w:szCs w:val="20"/>
                <w:vertAlign w:val="superscript"/>
              </w:rPr>
            </w:pPr>
          </w:p>
        </w:tc>
        <w:tc>
          <w:tcPr>
            <w:tcW w:w="1261" w:type="dxa"/>
            <w:tcBorders>
              <w:top w:val="dotted" w:sz="2" w:space="0" w:color="auto"/>
              <w:left w:val="single" w:sz="4" w:space="0" w:color="auto"/>
              <w:bottom w:val="dotted" w:sz="2" w:space="0" w:color="auto"/>
              <w:right w:val="single" w:sz="4" w:space="0" w:color="auto"/>
            </w:tcBorders>
            <w:vAlign w:val="center"/>
            <w:hideMark/>
          </w:tcPr>
          <w:p w:rsidR="005F06E6" w:rsidRPr="00D23DAB" w:rsidRDefault="005F06E6" w:rsidP="00B25B29">
            <w:pPr>
              <w:pStyle w:val="Tabletext"/>
              <w:keepNext/>
              <w:widowControl w:val="0"/>
              <w:spacing w:line="200" w:lineRule="exact"/>
              <w:jc w:val="center"/>
              <w:rPr>
                <w:kern w:val="2"/>
                <w:sz w:val="20"/>
                <w:szCs w:val="20"/>
              </w:rPr>
            </w:pPr>
            <w:r w:rsidRPr="00D23DAB">
              <w:rPr>
                <w:kern w:val="2"/>
                <w:sz w:val="20"/>
                <w:szCs w:val="20"/>
              </w:rPr>
              <w:t>100</w:t>
            </w:r>
          </w:p>
        </w:tc>
        <w:tc>
          <w:tcPr>
            <w:tcW w:w="1080" w:type="dxa"/>
            <w:tcBorders>
              <w:top w:val="dotted" w:sz="2"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96</w:t>
            </w:r>
          </w:p>
        </w:tc>
        <w:tc>
          <w:tcPr>
            <w:tcW w:w="1080" w:type="dxa"/>
            <w:tcBorders>
              <w:top w:val="dotted" w:sz="2"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12</w:t>
            </w:r>
          </w:p>
        </w:tc>
        <w:tc>
          <w:tcPr>
            <w:tcW w:w="1085" w:type="dxa"/>
            <w:tcBorders>
              <w:top w:val="dotted" w:sz="2"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0.09</w:t>
            </w:r>
          </w:p>
        </w:tc>
        <w:tc>
          <w:tcPr>
            <w:tcW w:w="1086" w:type="dxa"/>
            <w:tcBorders>
              <w:top w:val="dotted" w:sz="2"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0.20</w:t>
            </w:r>
          </w:p>
        </w:tc>
      </w:tr>
      <w:tr w:rsidR="005F06E6" w:rsidTr="00E23CE0">
        <w:trPr>
          <w:cantSplit/>
          <w:trHeight w:val="170"/>
          <w:jc w:val="center"/>
        </w:trPr>
        <w:tc>
          <w:tcPr>
            <w:tcW w:w="957" w:type="dxa"/>
            <w:vMerge/>
            <w:tcBorders>
              <w:top w:val="single" w:sz="8" w:space="0" w:color="auto"/>
              <w:left w:val="single" w:sz="8"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014" w:type="dxa"/>
            <w:vMerge/>
            <w:tcBorders>
              <w:top w:val="single" w:sz="8"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261" w:type="dxa"/>
            <w:vMerge/>
            <w:tcBorders>
              <w:top w:val="single" w:sz="8"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i/>
                <w:kern w:val="2"/>
                <w:sz w:val="20"/>
                <w:szCs w:val="20"/>
                <w:vertAlign w:val="superscript"/>
              </w:rPr>
            </w:pPr>
          </w:p>
        </w:tc>
        <w:tc>
          <w:tcPr>
            <w:tcW w:w="1261" w:type="dxa"/>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pStyle w:val="Tabletext"/>
              <w:keepNext/>
              <w:widowControl w:val="0"/>
              <w:spacing w:line="200" w:lineRule="exact"/>
              <w:jc w:val="center"/>
              <w:rPr>
                <w:kern w:val="2"/>
                <w:sz w:val="20"/>
                <w:szCs w:val="20"/>
              </w:rPr>
            </w:pPr>
            <w:r w:rsidRPr="00D23DAB">
              <w:rPr>
                <w:kern w:val="2"/>
                <w:sz w:val="20"/>
                <w:szCs w:val="20"/>
              </w:rPr>
              <w:t>1000</w:t>
            </w:r>
          </w:p>
        </w:tc>
        <w:tc>
          <w:tcPr>
            <w:tcW w:w="1080" w:type="dxa"/>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223</w:t>
            </w:r>
          </w:p>
        </w:tc>
        <w:tc>
          <w:tcPr>
            <w:tcW w:w="1080" w:type="dxa"/>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21</w:t>
            </w:r>
          </w:p>
        </w:tc>
        <w:tc>
          <w:tcPr>
            <w:tcW w:w="1085" w:type="dxa"/>
            <w:tcBorders>
              <w:top w:val="dotted" w:sz="2" w:space="0" w:color="auto"/>
              <w:left w:val="single" w:sz="4" w:space="0" w:color="auto"/>
              <w:bottom w:val="single" w:sz="4"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0.20</w:t>
            </w:r>
          </w:p>
        </w:tc>
        <w:tc>
          <w:tcPr>
            <w:tcW w:w="1086" w:type="dxa"/>
            <w:tcBorders>
              <w:top w:val="dotted" w:sz="2" w:space="0" w:color="auto"/>
              <w:left w:val="single" w:sz="4" w:space="0" w:color="auto"/>
              <w:bottom w:val="single" w:sz="4"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0.34</w:t>
            </w:r>
          </w:p>
        </w:tc>
      </w:tr>
      <w:tr w:rsidR="005F06E6" w:rsidTr="00E23CE0">
        <w:trPr>
          <w:cantSplit/>
          <w:trHeight w:val="170"/>
          <w:jc w:val="center"/>
        </w:trPr>
        <w:tc>
          <w:tcPr>
            <w:tcW w:w="957" w:type="dxa"/>
            <w:vMerge/>
            <w:tcBorders>
              <w:top w:val="single" w:sz="8" w:space="0" w:color="auto"/>
              <w:left w:val="single" w:sz="8"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014" w:type="dxa"/>
            <w:vMerge w:val="restart"/>
            <w:tcBorders>
              <w:top w:val="single" w:sz="4" w:space="0" w:color="auto"/>
              <w:left w:val="single" w:sz="4" w:space="0" w:color="auto"/>
              <w:bottom w:val="single" w:sz="4" w:space="0" w:color="auto"/>
              <w:right w:val="single" w:sz="4" w:space="0" w:color="auto"/>
            </w:tcBorders>
            <w:vAlign w:val="center"/>
            <w:hideMark/>
          </w:tcPr>
          <w:p w:rsidR="005F06E6" w:rsidRPr="00D23DAB" w:rsidRDefault="005F06E6" w:rsidP="00B25B29">
            <w:pPr>
              <w:pStyle w:val="BodyText3"/>
              <w:keepNext/>
              <w:widowControl w:val="0"/>
              <w:spacing w:line="200" w:lineRule="exact"/>
              <w:rPr>
                <w:rFonts w:ascii="Times New Roman" w:hAnsi="Times New Roman"/>
                <w:b w:val="0"/>
                <w:kern w:val="2"/>
                <w:sz w:val="20"/>
              </w:rPr>
            </w:pPr>
            <w:r w:rsidRPr="00D23DAB">
              <w:rPr>
                <w:rFonts w:ascii="Times New Roman" w:hAnsi="Times New Roman"/>
                <w:b w:val="0"/>
                <w:kern w:val="2"/>
                <w:sz w:val="20"/>
              </w:rPr>
              <w:t>1025759</w:t>
            </w:r>
          </w:p>
        </w:tc>
        <w:tc>
          <w:tcPr>
            <w:tcW w:w="1261" w:type="dxa"/>
            <w:vMerge w:val="restart"/>
            <w:tcBorders>
              <w:top w:val="single" w:sz="4"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13 weeks</w:t>
            </w:r>
          </w:p>
        </w:tc>
        <w:tc>
          <w:tcPr>
            <w:tcW w:w="1261" w:type="dxa"/>
            <w:tcBorders>
              <w:top w:val="single" w:sz="4" w:space="0" w:color="auto"/>
              <w:left w:val="single" w:sz="4" w:space="0" w:color="auto"/>
              <w:bottom w:val="dotted" w:sz="2" w:space="0" w:color="auto"/>
              <w:right w:val="single" w:sz="4" w:space="0" w:color="auto"/>
            </w:tcBorders>
            <w:vAlign w:val="center"/>
            <w:hideMark/>
          </w:tcPr>
          <w:p w:rsidR="005F06E6" w:rsidRPr="00D23DAB" w:rsidRDefault="005F06E6" w:rsidP="00B25B29">
            <w:pPr>
              <w:pStyle w:val="Tabletext"/>
              <w:keepNext/>
              <w:widowControl w:val="0"/>
              <w:spacing w:line="200" w:lineRule="exact"/>
              <w:jc w:val="center"/>
              <w:rPr>
                <w:kern w:val="2"/>
                <w:sz w:val="20"/>
                <w:szCs w:val="20"/>
              </w:rPr>
            </w:pPr>
            <w:r w:rsidRPr="00D23DAB">
              <w:rPr>
                <w:kern w:val="2"/>
                <w:sz w:val="20"/>
                <w:szCs w:val="20"/>
              </w:rPr>
              <w:t>30</w:t>
            </w:r>
          </w:p>
        </w:tc>
        <w:tc>
          <w:tcPr>
            <w:tcW w:w="1080" w:type="dxa"/>
            <w:tcBorders>
              <w:top w:val="single" w:sz="4"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46</w:t>
            </w:r>
          </w:p>
        </w:tc>
        <w:tc>
          <w:tcPr>
            <w:tcW w:w="1080" w:type="dxa"/>
            <w:tcBorders>
              <w:top w:val="single" w:sz="4"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7.0</w:t>
            </w:r>
          </w:p>
        </w:tc>
        <w:tc>
          <w:tcPr>
            <w:tcW w:w="1085" w:type="dxa"/>
            <w:tcBorders>
              <w:top w:val="single" w:sz="4"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0.04</w:t>
            </w:r>
          </w:p>
        </w:tc>
        <w:tc>
          <w:tcPr>
            <w:tcW w:w="1086" w:type="dxa"/>
            <w:tcBorders>
              <w:top w:val="single" w:sz="4"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0.11</w:t>
            </w:r>
          </w:p>
        </w:tc>
      </w:tr>
      <w:tr w:rsidR="005F06E6" w:rsidTr="00E23CE0">
        <w:trPr>
          <w:cantSplit/>
          <w:trHeight w:val="170"/>
          <w:jc w:val="center"/>
        </w:trPr>
        <w:tc>
          <w:tcPr>
            <w:tcW w:w="957" w:type="dxa"/>
            <w:vMerge/>
            <w:tcBorders>
              <w:top w:val="single" w:sz="8" w:space="0" w:color="auto"/>
              <w:left w:val="single" w:sz="8"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261" w:type="dxa"/>
            <w:tcBorders>
              <w:top w:val="dotted" w:sz="2" w:space="0" w:color="auto"/>
              <w:left w:val="single" w:sz="4" w:space="0" w:color="auto"/>
              <w:bottom w:val="dotted" w:sz="2" w:space="0" w:color="auto"/>
              <w:right w:val="single" w:sz="4" w:space="0" w:color="auto"/>
            </w:tcBorders>
            <w:vAlign w:val="center"/>
            <w:hideMark/>
          </w:tcPr>
          <w:p w:rsidR="005F06E6" w:rsidRPr="00D23DAB" w:rsidRDefault="005F06E6" w:rsidP="00B25B29">
            <w:pPr>
              <w:pStyle w:val="Tabletext"/>
              <w:keepNext/>
              <w:widowControl w:val="0"/>
              <w:spacing w:line="200" w:lineRule="exact"/>
              <w:jc w:val="center"/>
              <w:rPr>
                <w:kern w:val="2"/>
                <w:sz w:val="20"/>
                <w:szCs w:val="20"/>
              </w:rPr>
            </w:pPr>
            <w:r w:rsidRPr="00D23DAB">
              <w:rPr>
                <w:kern w:val="2"/>
                <w:sz w:val="20"/>
                <w:szCs w:val="20"/>
              </w:rPr>
              <w:t>150</w:t>
            </w:r>
          </w:p>
        </w:tc>
        <w:tc>
          <w:tcPr>
            <w:tcW w:w="1080" w:type="dxa"/>
            <w:tcBorders>
              <w:top w:val="dotted" w:sz="2"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201</w:t>
            </w:r>
          </w:p>
        </w:tc>
        <w:tc>
          <w:tcPr>
            <w:tcW w:w="1080" w:type="dxa"/>
            <w:tcBorders>
              <w:top w:val="dotted" w:sz="2"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25</w:t>
            </w:r>
          </w:p>
        </w:tc>
        <w:tc>
          <w:tcPr>
            <w:tcW w:w="1085" w:type="dxa"/>
            <w:tcBorders>
              <w:top w:val="dotted" w:sz="2"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0.18</w:t>
            </w:r>
          </w:p>
        </w:tc>
        <w:tc>
          <w:tcPr>
            <w:tcW w:w="1086" w:type="dxa"/>
            <w:tcBorders>
              <w:top w:val="dotted" w:sz="2"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0.41</w:t>
            </w:r>
          </w:p>
        </w:tc>
      </w:tr>
      <w:tr w:rsidR="005F06E6" w:rsidTr="00E23CE0">
        <w:trPr>
          <w:cantSplit/>
          <w:trHeight w:val="170"/>
          <w:jc w:val="center"/>
        </w:trPr>
        <w:tc>
          <w:tcPr>
            <w:tcW w:w="957" w:type="dxa"/>
            <w:vMerge/>
            <w:tcBorders>
              <w:top w:val="single" w:sz="8" w:space="0" w:color="auto"/>
              <w:left w:val="single" w:sz="8"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261" w:type="dxa"/>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pStyle w:val="Tabletext"/>
              <w:keepNext/>
              <w:widowControl w:val="0"/>
              <w:spacing w:line="200" w:lineRule="exact"/>
              <w:jc w:val="center"/>
              <w:rPr>
                <w:kern w:val="2"/>
                <w:sz w:val="20"/>
                <w:szCs w:val="20"/>
              </w:rPr>
            </w:pPr>
            <w:r w:rsidRPr="00D23DAB">
              <w:rPr>
                <w:kern w:val="2"/>
                <w:sz w:val="20"/>
                <w:szCs w:val="20"/>
              </w:rPr>
              <w:t>450</w:t>
            </w:r>
          </w:p>
        </w:tc>
        <w:tc>
          <w:tcPr>
            <w:tcW w:w="1080" w:type="dxa"/>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355</w:t>
            </w:r>
          </w:p>
        </w:tc>
        <w:tc>
          <w:tcPr>
            <w:tcW w:w="1080" w:type="dxa"/>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38</w:t>
            </w:r>
          </w:p>
        </w:tc>
        <w:tc>
          <w:tcPr>
            <w:tcW w:w="1085" w:type="dxa"/>
            <w:tcBorders>
              <w:top w:val="dotted" w:sz="2" w:space="0" w:color="auto"/>
              <w:left w:val="single" w:sz="4" w:space="0" w:color="auto"/>
              <w:bottom w:val="single" w:sz="4"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0.32</w:t>
            </w:r>
          </w:p>
        </w:tc>
        <w:tc>
          <w:tcPr>
            <w:tcW w:w="1086" w:type="dxa"/>
            <w:tcBorders>
              <w:top w:val="dotted" w:sz="2" w:space="0" w:color="auto"/>
              <w:left w:val="single" w:sz="4" w:space="0" w:color="auto"/>
              <w:bottom w:val="single" w:sz="4"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0.62</w:t>
            </w:r>
          </w:p>
        </w:tc>
      </w:tr>
      <w:tr w:rsidR="005F06E6" w:rsidTr="00E23CE0">
        <w:trPr>
          <w:cantSplit/>
          <w:trHeight w:val="170"/>
          <w:jc w:val="center"/>
        </w:trPr>
        <w:tc>
          <w:tcPr>
            <w:tcW w:w="957" w:type="dxa"/>
            <w:vMerge/>
            <w:tcBorders>
              <w:top w:val="single" w:sz="8" w:space="0" w:color="auto"/>
              <w:left w:val="single" w:sz="8"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014" w:type="dxa"/>
            <w:vMerge w:val="restart"/>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1032862</w:t>
            </w:r>
          </w:p>
        </w:tc>
        <w:tc>
          <w:tcPr>
            <w:tcW w:w="1261" w:type="dxa"/>
            <w:vMerge w:val="restart"/>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13 weeks</w:t>
            </w:r>
          </w:p>
        </w:tc>
        <w:tc>
          <w:tcPr>
            <w:tcW w:w="1261" w:type="dxa"/>
            <w:tcBorders>
              <w:top w:val="single" w:sz="4" w:space="0" w:color="auto"/>
              <w:left w:val="single" w:sz="4" w:space="0" w:color="auto"/>
              <w:bottom w:val="dotted" w:sz="2" w:space="0" w:color="auto"/>
              <w:right w:val="single" w:sz="4" w:space="0" w:color="auto"/>
            </w:tcBorders>
            <w:vAlign w:val="center"/>
            <w:hideMark/>
          </w:tcPr>
          <w:p w:rsidR="005F06E6" w:rsidRPr="00D23DAB" w:rsidRDefault="005F06E6" w:rsidP="00B25B29">
            <w:pPr>
              <w:pStyle w:val="Tabletext"/>
              <w:keepNext/>
              <w:widowControl w:val="0"/>
              <w:spacing w:line="200" w:lineRule="exact"/>
              <w:jc w:val="center"/>
              <w:rPr>
                <w:kern w:val="2"/>
                <w:sz w:val="20"/>
                <w:szCs w:val="20"/>
              </w:rPr>
            </w:pPr>
            <w:r w:rsidRPr="00D23DAB">
              <w:rPr>
                <w:kern w:val="2"/>
                <w:sz w:val="20"/>
                <w:szCs w:val="20"/>
              </w:rPr>
              <w:t>75 bid</w:t>
            </w:r>
          </w:p>
        </w:tc>
        <w:tc>
          <w:tcPr>
            <w:tcW w:w="1080" w:type="dxa"/>
            <w:tcBorders>
              <w:top w:val="single" w:sz="4"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329</w:t>
            </w:r>
          </w:p>
        </w:tc>
        <w:tc>
          <w:tcPr>
            <w:tcW w:w="1080" w:type="dxa"/>
            <w:tcBorders>
              <w:top w:val="single" w:sz="4"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25</w:t>
            </w:r>
          </w:p>
        </w:tc>
        <w:tc>
          <w:tcPr>
            <w:tcW w:w="1085" w:type="dxa"/>
            <w:tcBorders>
              <w:top w:val="single" w:sz="4"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0.30</w:t>
            </w:r>
          </w:p>
        </w:tc>
        <w:tc>
          <w:tcPr>
            <w:tcW w:w="1086" w:type="dxa"/>
            <w:tcBorders>
              <w:top w:val="single" w:sz="4"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0.41</w:t>
            </w:r>
          </w:p>
        </w:tc>
      </w:tr>
      <w:tr w:rsidR="005F06E6" w:rsidTr="00E23CE0">
        <w:trPr>
          <w:cantSplit/>
          <w:trHeight w:val="170"/>
          <w:jc w:val="center"/>
        </w:trPr>
        <w:tc>
          <w:tcPr>
            <w:tcW w:w="957" w:type="dxa"/>
            <w:vMerge/>
            <w:tcBorders>
              <w:top w:val="single" w:sz="8" w:space="0" w:color="auto"/>
              <w:left w:val="single" w:sz="8"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014" w:type="dxa"/>
            <w:vMerge/>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261" w:type="dxa"/>
            <w:vMerge/>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261" w:type="dxa"/>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pStyle w:val="Tabletext"/>
              <w:keepNext/>
              <w:widowControl w:val="0"/>
              <w:spacing w:line="200" w:lineRule="exact"/>
              <w:jc w:val="center"/>
              <w:rPr>
                <w:kern w:val="2"/>
                <w:sz w:val="20"/>
                <w:szCs w:val="20"/>
              </w:rPr>
            </w:pPr>
            <w:r w:rsidRPr="00D23DAB">
              <w:rPr>
                <w:kern w:val="2"/>
                <w:sz w:val="20"/>
                <w:szCs w:val="20"/>
              </w:rPr>
              <w:t>150 bid</w:t>
            </w:r>
          </w:p>
        </w:tc>
        <w:tc>
          <w:tcPr>
            <w:tcW w:w="1080" w:type="dxa"/>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468</w:t>
            </w:r>
          </w:p>
        </w:tc>
        <w:tc>
          <w:tcPr>
            <w:tcW w:w="1080" w:type="dxa"/>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36</w:t>
            </w:r>
          </w:p>
        </w:tc>
        <w:tc>
          <w:tcPr>
            <w:tcW w:w="1085" w:type="dxa"/>
            <w:tcBorders>
              <w:top w:val="dotted" w:sz="2" w:space="0" w:color="auto"/>
              <w:left w:val="single" w:sz="4" w:space="0" w:color="auto"/>
              <w:bottom w:val="single" w:sz="4"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0.42</w:t>
            </w:r>
          </w:p>
        </w:tc>
        <w:tc>
          <w:tcPr>
            <w:tcW w:w="1086" w:type="dxa"/>
            <w:tcBorders>
              <w:top w:val="dotted" w:sz="2" w:space="0" w:color="auto"/>
              <w:left w:val="single" w:sz="4" w:space="0" w:color="auto"/>
              <w:bottom w:val="single" w:sz="4"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0.59</w:t>
            </w:r>
          </w:p>
        </w:tc>
      </w:tr>
      <w:tr w:rsidR="005F06E6" w:rsidTr="00E23CE0">
        <w:trPr>
          <w:cantSplit/>
          <w:trHeight w:val="170"/>
          <w:jc w:val="center"/>
        </w:trPr>
        <w:tc>
          <w:tcPr>
            <w:tcW w:w="957" w:type="dxa"/>
            <w:vMerge/>
            <w:tcBorders>
              <w:top w:val="single" w:sz="8" w:space="0" w:color="auto"/>
              <w:left w:val="single" w:sz="8"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014" w:type="dxa"/>
            <w:vMerge w:val="restart"/>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1033163</w:t>
            </w:r>
          </w:p>
        </w:tc>
        <w:tc>
          <w:tcPr>
            <w:tcW w:w="1261" w:type="dxa"/>
            <w:vMerge w:val="restart"/>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37 days</w:t>
            </w:r>
          </w:p>
        </w:tc>
        <w:tc>
          <w:tcPr>
            <w:tcW w:w="1261" w:type="dxa"/>
            <w:tcBorders>
              <w:top w:val="single" w:sz="4" w:space="0" w:color="auto"/>
              <w:left w:val="single" w:sz="4" w:space="0" w:color="auto"/>
              <w:bottom w:val="dotted" w:sz="2" w:space="0" w:color="auto"/>
              <w:right w:val="single" w:sz="4" w:space="0" w:color="auto"/>
            </w:tcBorders>
            <w:vAlign w:val="center"/>
            <w:hideMark/>
          </w:tcPr>
          <w:p w:rsidR="005F06E6" w:rsidRPr="00D23DAB" w:rsidRDefault="005F06E6" w:rsidP="00B25B29">
            <w:pPr>
              <w:pStyle w:val="Tabletext"/>
              <w:keepNext/>
              <w:widowControl w:val="0"/>
              <w:spacing w:line="200" w:lineRule="exact"/>
              <w:jc w:val="center"/>
              <w:rPr>
                <w:kern w:val="2"/>
                <w:sz w:val="20"/>
                <w:szCs w:val="20"/>
              </w:rPr>
            </w:pPr>
            <w:r w:rsidRPr="00D23DAB">
              <w:rPr>
                <w:kern w:val="2"/>
                <w:sz w:val="20"/>
                <w:szCs w:val="20"/>
              </w:rPr>
              <w:t>50 bid</w:t>
            </w:r>
          </w:p>
        </w:tc>
        <w:tc>
          <w:tcPr>
            <w:tcW w:w="1080" w:type="dxa"/>
            <w:tcBorders>
              <w:top w:val="single" w:sz="4"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199</w:t>
            </w:r>
          </w:p>
        </w:tc>
        <w:tc>
          <w:tcPr>
            <w:tcW w:w="1080" w:type="dxa"/>
            <w:tcBorders>
              <w:top w:val="single" w:sz="4"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17</w:t>
            </w:r>
          </w:p>
        </w:tc>
        <w:tc>
          <w:tcPr>
            <w:tcW w:w="1085" w:type="dxa"/>
            <w:tcBorders>
              <w:top w:val="single" w:sz="4"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0.18</w:t>
            </w:r>
          </w:p>
        </w:tc>
        <w:tc>
          <w:tcPr>
            <w:tcW w:w="1086" w:type="dxa"/>
            <w:tcBorders>
              <w:top w:val="single" w:sz="4"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0.28</w:t>
            </w:r>
          </w:p>
        </w:tc>
      </w:tr>
      <w:tr w:rsidR="005F06E6" w:rsidTr="00E23CE0">
        <w:trPr>
          <w:cantSplit/>
          <w:trHeight w:val="170"/>
          <w:jc w:val="center"/>
        </w:trPr>
        <w:tc>
          <w:tcPr>
            <w:tcW w:w="957" w:type="dxa"/>
            <w:vMerge/>
            <w:tcBorders>
              <w:top w:val="single" w:sz="8" w:space="0" w:color="auto"/>
              <w:left w:val="single" w:sz="8"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014" w:type="dxa"/>
            <w:vMerge/>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261" w:type="dxa"/>
            <w:vMerge/>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261" w:type="dxa"/>
            <w:tcBorders>
              <w:top w:val="dotted" w:sz="2" w:space="0" w:color="auto"/>
              <w:left w:val="single" w:sz="4" w:space="0" w:color="auto"/>
              <w:bottom w:val="dotted" w:sz="2" w:space="0" w:color="auto"/>
              <w:right w:val="single" w:sz="4" w:space="0" w:color="auto"/>
            </w:tcBorders>
            <w:vAlign w:val="center"/>
            <w:hideMark/>
          </w:tcPr>
          <w:p w:rsidR="005F06E6" w:rsidRPr="00D23DAB" w:rsidRDefault="005F06E6" w:rsidP="00B25B29">
            <w:pPr>
              <w:pStyle w:val="Tabletext"/>
              <w:keepNext/>
              <w:widowControl w:val="0"/>
              <w:spacing w:line="200" w:lineRule="exact"/>
              <w:jc w:val="center"/>
              <w:rPr>
                <w:kern w:val="2"/>
                <w:sz w:val="20"/>
                <w:szCs w:val="20"/>
              </w:rPr>
            </w:pPr>
            <w:r w:rsidRPr="00D23DAB">
              <w:rPr>
                <w:kern w:val="2"/>
                <w:sz w:val="20"/>
                <w:szCs w:val="20"/>
              </w:rPr>
              <w:t>150 bid</w:t>
            </w:r>
          </w:p>
        </w:tc>
        <w:tc>
          <w:tcPr>
            <w:tcW w:w="1080" w:type="dxa"/>
            <w:tcBorders>
              <w:top w:val="dotted" w:sz="2"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481</w:t>
            </w:r>
          </w:p>
        </w:tc>
        <w:tc>
          <w:tcPr>
            <w:tcW w:w="1080" w:type="dxa"/>
            <w:tcBorders>
              <w:top w:val="dotted" w:sz="2"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37</w:t>
            </w:r>
          </w:p>
        </w:tc>
        <w:tc>
          <w:tcPr>
            <w:tcW w:w="1085" w:type="dxa"/>
            <w:tcBorders>
              <w:top w:val="dotted" w:sz="2"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0.43</w:t>
            </w:r>
          </w:p>
        </w:tc>
        <w:tc>
          <w:tcPr>
            <w:tcW w:w="1086" w:type="dxa"/>
            <w:tcBorders>
              <w:top w:val="dotted" w:sz="2"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0.60</w:t>
            </w:r>
          </w:p>
        </w:tc>
      </w:tr>
      <w:tr w:rsidR="005F06E6" w:rsidTr="00E23CE0">
        <w:trPr>
          <w:cantSplit/>
          <w:trHeight w:val="170"/>
          <w:jc w:val="center"/>
        </w:trPr>
        <w:tc>
          <w:tcPr>
            <w:tcW w:w="957" w:type="dxa"/>
            <w:vMerge/>
            <w:tcBorders>
              <w:top w:val="single" w:sz="8" w:space="0" w:color="auto"/>
              <w:left w:val="single" w:sz="8"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014" w:type="dxa"/>
            <w:vMerge/>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261" w:type="dxa"/>
            <w:vMerge/>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261" w:type="dxa"/>
            <w:tcBorders>
              <w:top w:val="dotted" w:sz="2" w:space="0" w:color="auto"/>
              <w:left w:val="single" w:sz="4" w:space="0" w:color="auto"/>
              <w:bottom w:val="dotted" w:sz="2" w:space="0" w:color="auto"/>
              <w:right w:val="single" w:sz="4" w:space="0" w:color="auto"/>
            </w:tcBorders>
            <w:vAlign w:val="center"/>
            <w:hideMark/>
          </w:tcPr>
          <w:p w:rsidR="005F06E6" w:rsidRPr="00D23DAB" w:rsidRDefault="005F06E6" w:rsidP="00B25B29">
            <w:pPr>
              <w:pStyle w:val="Tabletext"/>
              <w:keepNext/>
              <w:widowControl w:val="0"/>
              <w:spacing w:line="200" w:lineRule="exact"/>
              <w:jc w:val="center"/>
              <w:rPr>
                <w:kern w:val="2"/>
                <w:sz w:val="20"/>
                <w:szCs w:val="20"/>
              </w:rPr>
            </w:pPr>
            <w:r w:rsidRPr="00D23DAB">
              <w:rPr>
                <w:kern w:val="2"/>
                <w:sz w:val="20"/>
                <w:szCs w:val="20"/>
              </w:rPr>
              <w:t>300 bid</w:t>
            </w:r>
          </w:p>
        </w:tc>
        <w:tc>
          <w:tcPr>
            <w:tcW w:w="1080" w:type="dxa"/>
            <w:tcBorders>
              <w:top w:val="dotted" w:sz="2"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585</w:t>
            </w:r>
          </w:p>
        </w:tc>
        <w:tc>
          <w:tcPr>
            <w:tcW w:w="1080" w:type="dxa"/>
            <w:tcBorders>
              <w:top w:val="dotted" w:sz="2" w:space="0" w:color="auto"/>
              <w:left w:val="single" w:sz="4" w:space="0" w:color="auto"/>
              <w:bottom w:val="dotted" w:sz="2"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48</w:t>
            </w:r>
          </w:p>
        </w:tc>
        <w:tc>
          <w:tcPr>
            <w:tcW w:w="1085" w:type="dxa"/>
            <w:tcBorders>
              <w:top w:val="dotted" w:sz="2"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0.52</w:t>
            </w:r>
          </w:p>
        </w:tc>
        <w:tc>
          <w:tcPr>
            <w:tcW w:w="1086" w:type="dxa"/>
            <w:tcBorders>
              <w:top w:val="dotted" w:sz="2" w:space="0" w:color="auto"/>
              <w:left w:val="single" w:sz="4" w:space="0" w:color="auto"/>
              <w:bottom w:val="dotted" w:sz="2"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0.78</w:t>
            </w:r>
          </w:p>
        </w:tc>
      </w:tr>
      <w:tr w:rsidR="005F06E6" w:rsidTr="00E23CE0">
        <w:trPr>
          <w:cantSplit/>
          <w:trHeight w:val="170"/>
          <w:jc w:val="center"/>
        </w:trPr>
        <w:tc>
          <w:tcPr>
            <w:tcW w:w="957" w:type="dxa"/>
            <w:vMerge/>
            <w:tcBorders>
              <w:top w:val="single" w:sz="8" w:space="0" w:color="auto"/>
              <w:left w:val="single" w:sz="8"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014" w:type="dxa"/>
            <w:vMerge/>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261" w:type="dxa"/>
            <w:vMerge/>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rPr>
                <w:kern w:val="2"/>
                <w:sz w:val="20"/>
                <w:szCs w:val="20"/>
              </w:rPr>
            </w:pPr>
          </w:p>
        </w:tc>
        <w:tc>
          <w:tcPr>
            <w:tcW w:w="1261" w:type="dxa"/>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pStyle w:val="Tabletext"/>
              <w:keepNext/>
              <w:widowControl w:val="0"/>
              <w:spacing w:line="200" w:lineRule="exact"/>
              <w:jc w:val="center"/>
              <w:rPr>
                <w:kern w:val="2"/>
                <w:sz w:val="20"/>
                <w:szCs w:val="20"/>
              </w:rPr>
            </w:pPr>
            <w:r w:rsidRPr="00D23DAB">
              <w:rPr>
                <w:kern w:val="2"/>
                <w:sz w:val="20"/>
                <w:szCs w:val="20"/>
              </w:rPr>
              <w:t>450 bid</w:t>
            </w:r>
          </w:p>
        </w:tc>
        <w:tc>
          <w:tcPr>
            <w:tcW w:w="1080" w:type="dxa"/>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634</w:t>
            </w:r>
          </w:p>
        </w:tc>
        <w:tc>
          <w:tcPr>
            <w:tcW w:w="1080" w:type="dxa"/>
            <w:tcBorders>
              <w:top w:val="dotted" w:sz="2" w:space="0" w:color="auto"/>
              <w:left w:val="single" w:sz="4" w:space="0" w:color="auto"/>
              <w:bottom w:val="single" w:sz="4"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45</w:t>
            </w:r>
          </w:p>
        </w:tc>
        <w:tc>
          <w:tcPr>
            <w:tcW w:w="1085" w:type="dxa"/>
            <w:tcBorders>
              <w:top w:val="dotted" w:sz="2" w:space="0" w:color="auto"/>
              <w:left w:val="single" w:sz="4" w:space="0" w:color="auto"/>
              <w:bottom w:val="single" w:sz="4"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0.56</w:t>
            </w:r>
          </w:p>
        </w:tc>
        <w:tc>
          <w:tcPr>
            <w:tcW w:w="1086" w:type="dxa"/>
            <w:tcBorders>
              <w:top w:val="dotted" w:sz="2" w:space="0" w:color="auto"/>
              <w:left w:val="single" w:sz="4" w:space="0" w:color="auto"/>
              <w:bottom w:val="single" w:sz="4"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0.73</w:t>
            </w:r>
          </w:p>
        </w:tc>
      </w:tr>
      <w:tr w:rsidR="005F06E6" w:rsidTr="00E23CE0">
        <w:trPr>
          <w:cantSplit/>
          <w:trHeight w:val="170"/>
          <w:jc w:val="center"/>
        </w:trPr>
        <w:tc>
          <w:tcPr>
            <w:tcW w:w="957" w:type="dxa"/>
            <w:tcBorders>
              <w:top w:val="double" w:sz="4" w:space="0" w:color="auto"/>
              <w:left w:val="single" w:sz="8" w:space="0" w:color="auto"/>
              <w:bottom w:val="single" w:sz="8" w:space="0" w:color="auto"/>
              <w:right w:val="single" w:sz="4" w:space="0" w:color="auto"/>
            </w:tcBorders>
            <w:vAlign w:val="center"/>
            <w:hideMark/>
          </w:tcPr>
          <w:p w:rsidR="005F06E6" w:rsidRPr="00D23DAB" w:rsidRDefault="005F06E6" w:rsidP="00B25B29">
            <w:pPr>
              <w:keepNext/>
              <w:widowControl w:val="0"/>
              <w:spacing w:before="80" w:after="80" w:line="200" w:lineRule="exact"/>
              <w:jc w:val="center"/>
              <w:rPr>
                <w:b/>
                <w:i/>
                <w:kern w:val="2"/>
                <w:sz w:val="20"/>
                <w:szCs w:val="20"/>
                <w:vertAlign w:val="superscript"/>
              </w:rPr>
            </w:pPr>
            <w:r w:rsidRPr="00D23DAB">
              <w:rPr>
                <w:b/>
                <w:kern w:val="2"/>
                <w:sz w:val="20"/>
                <w:szCs w:val="20"/>
              </w:rPr>
              <w:t>Human</w:t>
            </w:r>
          </w:p>
        </w:tc>
        <w:tc>
          <w:tcPr>
            <w:tcW w:w="1014" w:type="dxa"/>
            <w:tcBorders>
              <w:top w:val="double" w:sz="4" w:space="0" w:color="auto"/>
              <w:left w:val="single" w:sz="4" w:space="0" w:color="auto"/>
              <w:bottom w:val="single" w:sz="8" w:space="0" w:color="auto"/>
              <w:right w:val="single" w:sz="4" w:space="0" w:color="auto"/>
            </w:tcBorders>
            <w:vAlign w:val="center"/>
            <w:hideMark/>
          </w:tcPr>
          <w:p w:rsidR="005F06E6" w:rsidRPr="00D23DAB" w:rsidRDefault="005F06E6" w:rsidP="00B25B29">
            <w:pPr>
              <w:keepNext/>
              <w:widowControl w:val="0"/>
              <w:spacing w:line="200" w:lineRule="exact"/>
              <w:jc w:val="center"/>
              <w:rPr>
                <w:b/>
                <w:kern w:val="2"/>
                <w:sz w:val="20"/>
                <w:szCs w:val="20"/>
                <w:vertAlign w:val="superscript"/>
              </w:rPr>
            </w:pPr>
            <w:r w:rsidRPr="00D23DAB">
              <w:rPr>
                <w:kern w:val="2"/>
                <w:sz w:val="20"/>
                <w:szCs w:val="20"/>
              </w:rPr>
              <w:t>NP25163</w:t>
            </w:r>
          </w:p>
        </w:tc>
        <w:tc>
          <w:tcPr>
            <w:tcW w:w="1261" w:type="dxa"/>
            <w:tcBorders>
              <w:top w:val="double" w:sz="4" w:space="0" w:color="auto"/>
              <w:left w:val="single" w:sz="4" w:space="0" w:color="auto"/>
              <w:bottom w:val="single" w:sz="8"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steady state</w:t>
            </w:r>
          </w:p>
        </w:tc>
        <w:tc>
          <w:tcPr>
            <w:tcW w:w="1261" w:type="dxa"/>
            <w:tcBorders>
              <w:top w:val="double" w:sz="4" w:space="0" w:color="auto"/>
              <w:left w:val="single" w:sz="4" w:space="0" w:color="auto"/>
              <w:bottom w:val="single" w:sz="8"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960 mg bid</w:t>
            </w:r>
          </w:p>
        </w:tc>
        <w:tc>
          <w:tcPr>
            <w:tcW w:w="1080" w:type="dxa"/>
            <w:tcBorders>
              <w:top w:val="double" w:sz="4" w:space="0" w:color="auto"/>
              <w:left w:val="single" w:sz="4" w:space="0" w:color="auto"/>
              <w:bottom w:val="single" w:sz="8"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1126</w:t>
            </w:r>
          </w:p>
        </w:tc>
        <w:tc>
          <w:tcPr>
            <w:tcW w:w="1080" w:type="dxa"/>
            <w:tcBorders>
              <w:top w:val="double" w:sz="4" w:space="0" w:color="auto"/>
              <w:left w:val="single" w:sz="4" w:space="0" w:color="auto"/>
              <w:bottom w:val="single" w:sz="8" w:space="0" w:color="auto"/>
              <w:right w:val="single" w:sz="4"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61.4</w:t>
            </w:r>
          </w:p>
        </w:tc>
        <w:tc>
          <w:tcPr>
            <w:tcW w:w="1085" w:type="dxa"/>
            <w:tcBorders>
              <w:top w:val="double" w:sz="4" w:space="0" w:color="auto"/>
              <w:left w:val="single" w:sz="4" w:space="0" w:color="auto"/>
              <w:bottom w:val="single" w:sz="8"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w:t>
            </w:r>
          </w:p>
        </w:tc>
        <w:tc>
          <w:tcPr>
            <w:tcW w:w="1086" w:type="dxa"/>
            <w:tcBorders>
              <w:top w:val="double" w:sz="4" w:space="0" w:color="auto"/>
              <w:left w:val="single" w:sz="4" w:space="0" w:color="auto"/>
              <w:bottom w:val="single" w:sz="8" w:space="0" w:color="auto"/>
              <w:right w:val="single" w:sz="8" w:space="0" w:color="auto"/>
            </w:tcBorders>
            <w:vAlign w:val="center"/>
            <w:hideMark/>
          </w:tcPr>
          <w:p w:rsidR="005F06E6" w:rsidRPr="00D23DAB" w:rsidRDefault="005F06E6" w:rsidP="00B25B29">
            <w:pPr>
              <w:keepNext/>
              <w:widowControl w:val="0"/>
              <w:spacing w:line="200" w:lineRule="exact"/>
              <w:jc w:val="center"/>
              <w:rPr>
                <w:kern w:val="2"/>
                <w:sz w:val="20"/>
                <w:szCs w:val="20"/>
              </w:rPr>
            </w:pPr>
            <w:r w:rsidRPr="00D23DAB">
              <w:rPr>
                <w:kern w:val="2"/>
                <w:sz w:val="20"/>
                <w:szCs w:val="20"/>
              </w:rPr>
              <w:t>–</w:t>
            </w:r>
          </w:p>
        </w:tc>
      </w:tr>
    </w:tbl>
    <w:p w:rsidR="005F06E6" w:rsidRDefault="005F06E6" w:rsidP="005F06E6">
      <w:pPr>
        <w:rPr>
          <w:szCs w:val="20"/>
        </w:rPr>
      </w:pPr>
    </w:p>
    <w:p w:rsidR="005F06E6" w:rsidRDefault="005F06E6" w:rsidP="00D23DAB">
      <w:pPr>
        <w:pStyle w:val="Heading5"/>
      </w:pPr>
      <w:r>
        <w:t>Gastrointestinal effects</w:t>
      </w:r>
    </w:p>
    <w:p w:rsidR="005F06E6" w:rsidRDefault="005F06E6" w:rsidP="005F06E6">
      <w:r>
        <w:t>Vomiting and diarrhoea were seen in all of the dog studies. Exposures in all studies were subclinical. Discoloured (sometimes green), white and/or liquid faeces were seen in all groups, including those receiving the placebo blend (containing the excipient polymer hydroxypropyl methylcellulose acetate succinate), suggesting some contribution of the polymer to the loose faeces. Mucoid faeces were only seen in treated animals. These clinical signs were more severe following twice daily rather than once daily dosing. The vomiting and diarrhoea resulted in significant deterioration of body condition in dogs treated with ≥150 mg/kg PO</w:t>
      </w:r>
      <w:r w:rsidR="005777FF">
        <w:t xml:space="preserve"> bd </w:t>
      </w:r>
      <w:r>
        <w:t>vemurafenib. Dogs treated twice daily with vemurafenib (≥75 mg/kg PO bd) appeared to have abdominal pain, as evidenced by vocalisation during handling or abdominal palpation. Duodenal discolouration was seen in one animal treated with 450 mg/kg</w:t>
      </w:r>
      <w:r w:rsidR="005777FF">
        <w:t xml:space="preserve"> bd </w:t>
      </w:r>
      <w:r>
        <w:t>PO for 10 days. Vomiting and diarrhoea resolved quickly (within 1 week) and the bodyweight condition of dogs was restored after cessation of treatment. No consistent gastrointestinal findings were seen in rats. Minimal to moderate intestinal lymphangiectasis in the jejunum, consistent with dilatation of lacteals in the lamina propria</w:t>
      </w:r>
      <w:r w:rsidR="00D23DAB">
        <w:t>,</w:t>
      </w:r>
      <w:r>
        <w:t xml:space="preserve"> were seen in rats treated with ≥100 mg/kg/day PO vemurafenib for 4 weeks </w:t>
      </w:r>
      <w:r>
        <w:lastRenderedPageBreak/>
        <w:t>(ER</w:t>
      </w:r>
      <w:r>
        <w:rPr>
          <w:vertAlign w:val="subscript"/>
        </w:rPr>
        <w:t>AUC</w:t>
      </w:r>
      <w:r>
        <w:t xml:space="preserve"> 0.23−0.34). This was only partially reversible following a 14 day treatment</w:t>
      </w:r>
      <w:r w:rsidR="00D23DAB">
        <w:t xml:space="preserve"> </w:t>
      </w:r>
      <w:r>
        <w:t>free period. No significant gastrointestinal tract findings were seen in rats treated for longer at higher exposures in another study. Overall, the studies indicate vomiting, diarrhoea and abdominal pain may be seen in patients taking vemurafenib.</w:t>
      </w:r>
    </w:p>
    <w:p w:rsidR="005F06E6" w:rsidRDefault="005F06E6" w:rsidP="00D23DAB">
      <w:pPr>
        <w:pStyle w:val="Heading5"/>
      </w:pPr>
      <w:r>
        <w:t>Bone marrow toxicity</w:t>
      </w:r>
    </w:p>
    <w:p w:rsidR="005F06E6" w:rsidRDefault="005F06E6" w:rsidP="005F06E6">
      <w:r>
        <w:t>Bone marrow necrosis was observed in the sternum of one dog treated with 450 mg/kg PO</w:t>
      </w:r>
      <w:r w:rsidR="005777FF">
        <w:t xml:space="preserve"> bd </w:t>
      </w:r>
      <w:r>
        <w:t>for 10 days in the prematurely terminated 39</w:t>
      </w:r>
      <w:r w:rsidR="00D23DAB">
        <w:t xml:space="preserve"> </w:t>
      </w:r>
      <w:r>
        <w:t xml:space="preserve">week repeat-dose toxicity study. The possibility that vemurafenib was directly cytotoxic to bone marrow was investigated </w:t>
      </w:r>
      <w:r>
        <w:rPr>
          <w:i/>
        </w:rPr>
        <w:t>in vitro</w:t>
      </w:r>
      <w:r>
        <w:t xml:space="preserve"> in human, dog and rat cells.</w:t>
      </w:r>
      <w:r w:rsidR="005777FF">
        <w:t xml:space="preserve"> </w:t>
      </w:r>
      <w:r>
        <w:t xml:space="preserve">Partial cytotoxicity was seen on two haematopoietic cell lineages (granulocyte-macrophage colony forming cells and megakaryocyte colony forming cells) from all species at ≥15.6 </w:t>
      </w:r>
      <w:r>
        <w:sym w:font="Symbol" w:char="006D"/>
      </w:r>
      <w:r>
        <w:t>M</w:t>
      </w:r>
      <w:r>
        <w:rPr>
          <w:rStyle w:val="FootnoteReference"/>
        </w:rPr>
        <w:footnoteReference w:id="12"/>
      </w:r>
      <w:r>
        <w:t xml:space="preserve"> (IC</w:t>
      </w:r>
      <w:r>
        <w:rPr>
          <w:vertAlign w:val="subscript"/>
        </w:rPr>
        <w:t>50</w:t>
      </w:r>
      <w:r>
        <w:t xml:space="preserve"> 150−190 </w:t>
      </w:r>
      <w:r>
        <w:sym w:font="Symbol" w:char="006D"/>
      </w:r>
      <w:r>
        <w:t>M in dogs). No consistent haematology changes were seen in the toxicity studies. Reduced neutrophils were seen in female rats treated with 450 mg/kg/day PO vemurafenib for 26 weeks (ER</w:t>
      </w:r>
      <w:r>
        <w:rPr>
          <w:vertAlign w:val="subscript"/>
        </w:rPr>
        <w:t>AUC</w:t>
      </w:r>
      <w:r>
        <w:t xml:space="preserve"> 1.4) while increased levels of white blood cells (neutrophils, lymphocytes and eosinophils) were seen in dogs treated with 150 mg/kg PO</w:t>
      </w:r>
      <w:r w:rsidR="005777FF">
        <w:t xml:space="preserve"> bd </w:t>
      </w:r>
      <w:r>
        <w:t>vemurafenib for 13 weeks (ER</w:t>
      </w:r>
      <w:r>
        <w:rPr>
          <w:vertAlign w:val="subscript"/>
        </w:rPr>
        <w:t>AUC</w:t>
      </w:r>
      <w:r>
        <w:t xml:space="preserve"> 0.42). The pattern in dogs is similar to that of an allergic reaction. There were no significant bone marrow changes in these studies. The absence of consistent haematology and bone marrow effects in the animal studies are difficult to interpret due to the generally subclinical exposures achieved. As inhibition of haematopoetic cells was seen </w:t>
      </w:r>
      <w:r>
        <w:rPr>
          <w:i/>
        </w:rPr>
        <w:t>in vitro</w:t>
      </w:r>
      <w:r>
        <w:t xml:space="preserve"> at clinically</w:t>
      </w:r>
      <w:r w:rsidR="00D23DAB">
        <w:t xml:space="preserve"> </w:t>
      </w:r>
      <w:r>
        <w:t>relevant concentrations and human cells appeared to be more sensitive, some haematological changes (</w:t>
      </w:r>
      <w:r w:rsidR="00D23DAB">
        <w:t>such as</w:t>
      </w:r>
      <w:r>
        <w:t xml:space="preserve"> neutropaenia or basopaenia) may be seen clinically.</w:t>
      </w:r>
    </w:p>
    <w:p w:rsidR="005F06E6" w:rsidRDefault="005F06E6" w:rsidP="00D23DAB">
      <w:pPr>
        <w:pStyle w:val="Heading4"/>
      </w:pPr>
      <w:bookmarkStart w:id="39" w:name="_Toc315770389"/>
      <w:r w:rsidRPr="00D23DAB">
        <w:t>Genotoxicity</w:t>
      </w:r>
      <w:r>
        <w:t xml:space="preserve"> and carcinogenicity</w:t>
      </w:r>
      <w:bookmarkEnd w:id="39"/>
    </w:p>
    <w:p w:rsidR="005F06E6" w:rsidRPr="0062138B" w:rsidRDefault="005F06E6" w:rsidP="005F06E6">
      <w:r>
        <w:t xml:space="preserve">The potential genotoxicity of vemurafenib was investigated in the standard battery of tests, conducted in accordance with </w:t>
      </w:r>
      <w:r w:rsidR="00734347" w:rsidRPr="00734347">
        <w:t xml:space="preserve">TGA adopted EU </w:t>
      </w:r>
      <w:r w:rsidRPr="00734347">
        <w:t>guidelines. All assays were appropriately validated and conducted under GLP conditions. Appropriate</w:t>
      </w:r>
      <w:r>
        <w:t xml:space="preserve"> bacterial strains were used in the Ames test and concentrations used in the </w:t>
      </w:r>
      <w:r>
        <w:rPr>
          <w:i/>
        </w:rPr>
        <w:t>in vitro</w:t>
      </w:r>
      <w:r>
        <w:t xml:space="preserve"> assays were appropriate. The highest dose in the rat micronucleus study (800 mg/kg </w:t>
      </w:r>
      <w:smartTag w:uri="urn:schemas-microsoft-com:office:smarttags" w:element="place">
        <w:r>
          <w:t>PO</w:t>
        </w:r>
      </w:smartTag>
      <w:r>
        <w:t>) is estimated to result in an exposure similar to that seen clinically</w:t>
      </w:r>
      <w:r>
        <w:rPr>
          <w:rStyle w:val="FootnoteReference"/>
        </w:rPr>
        <w:footnoteReference w:id="13"/>
      </w:r>
      <w:r>
        <w:t xml:space="preserve">, and was stated to be the maximum feasible dose in the MBP formulation. Higher exposures may have been achievable with twice daily dosing. Vemurafenib was not mutagenic in bacterial mutation assays or </w:t>
      </w:r>
      <w:r w:rsidRPr="0062138B">
        <w:t xml:space="preserve">clastogenic </w:t>
      </w:r>
      <w:r w:rsidRPr="0062138B">
        <w:rPr>
          <w:i/>
        </w:rPr>
        <w:t>in vitro</w:t>
      </w:r>
      <w:r w:rsidRPr="0062138B">
        <w:t xml:space="preserve"> (in human lymphocytes) or </w:t>
      </w:r>
      <w:r w:rsidRPr="0062138B">
        <w:rPr>
          <w:i/>
        </w:rPr>
        <w:t>in vivo</w:t>
      </w:r>
      <w:r w:rsidRPr="0062138B">
        <w:t xml:space="preserve"> (in the rat micronucleus test). </w:t>
      </w:r>
    </w:p>
    <w:p w:rsidR="005F06E6" w:rsidRDefault="005F06E6" w:rsidP="005F06E6">
      <w:r w:rsidRPr="0062138B">
        <w:t>No carcinogenicity studies were conducted, which is considered acceptable given the target patient group</w:t>
      </w:r>
      <w:r w:rsidR="00734347" w:rsidRPr="0062138B">
        <w:t>.</w:t>
      </w:r>
      <w:fldSimple w:instr=" NOTEREF _Ref339534214 \h  \* MERGEFORMAT ">
        <w:r w:rsidR="00F26005" w:rsidRPr="00F26005">
          <w:rPr>
            <w:vertAlign w:val="superscript"/>
          </w:rPr>
          <w:t>4</w:t>
        </w:r>
      </w:fldSimple>
    </w:p>
    <w:p w:rsidR="005F06E6" w:rsidRDefault="005F06E6" w:rsidP="00D23DAB">
      <w:pPr>
        <w:pStyle w:val="Heading4"/>
      </w:pPr>
      <w:bookmarkStart w:id="40" w:name="_Toc315770390"/>
      <w:r>
        <w:t>Reproductive toxicity</w:t>
      </w:r>
      <w:bookmarkEnd w:id="40"/>
    </w:p>
    <w:p w:rsidR="005F06E6" w:rsidRDefault="005F06E6" w:rsidP="005F06E6">
      <w:r>
        <w:t>The only reproductive toxicity studies submitted were embryofetal development studies in the rat and the rabbit. No studies on fertility or post</w:t>
      </w:r>
      <w:r w:rsidR="0006208B">
        <w:t xml:space="preserve"> </w:t>
      </w:r>
      <w:r>
        <w:t xml:space="preserve">natal development were submitted, which is considered acceptable given the intended patient group (ICH S9). In the pivotal embryofetal development studies, adequate animal numbers were used and treatment periods were appropriate. Maximum exposures achieved in the pivotal studies were at or below the anticipated clinical </w:t>
      </w:r>
      <w:r w:rsidRPr="00B25B29">
        <w:t xml:space="preserve">exposure (Table </w:t>
      </w:r>
      <w:r w:rsidR="00B25B29" w:rsidRPr="00B25B29">
        <w:t>3</w:t>
      </w:r>
      <w:r w:rsidRPr="00B25B29">
        <w:t>). Based</w:t>
      </w:r>
      <w:r>
        <w:t xml:space="preserve"> on the dose-ranging studies, higher exposures would have been achievable in rats, while the reduced bodyweight gain and food consumption at the highest dose in rabbits, suggests this dose was the maximum tolerated.</w:t>
      </w:r>
    </w:p>
    <w:p w:rsidR="005F06E6" w:rsidRPr="00B25B29" w:rsidRDefault="005F06E6" w:rsidP="005F06E6">
      <w:r>
        <w:lastRenderedPageBreak/>
        <w:t>Vemurafenib crossed the placenta in rats and rabbits with fetal levels 4 h post</w:t>
      </w:r>
      <w:r w:rsidR="0006208B">
        <w:t xml:space="preserve"> </w:t>
      </w:r>
      <w:r>
        <w:t>dose 1.8−5.8% of</w:t>
      </w:r>
      <w:r w:rsidR="005777FF">
        <w:t xml:space="preserve"> </w:t>
      </w:r>
      <w:r>
        <w:t>the maternal levels. Fetal exposure appeared to increase in a dose-related manner. In the rat embryofetal development study, a number of fetal anomalies (vertebral agenesis, right-sided aortic arch and lobular dysgenesis of the lungs) were seen only at the high dose. There were only single incidences of these anomalies and in the case of vertebral agenesis and lobular dysgenesis of the lungs, the incidences were within historical controls. The visceral malformation, right-sided aortic arch, is a rare malformation not previously seen in a historical control database of ~40 000 fetuses. As this malformation occurred in the high dose group and the incidence was outside the historical control, an association with treatment cannot be dismissed. There were no adverse effects seen on embryofetal development in rabbits; however, expos</w:t>
      </w:r>
      <w:r w:rsidR="0006208B">
        <w:t xml:space="preserve">ures in these studies were well </w:t>
      </w:r>
      <w:r>
        <w:t xml:space="preserve">below the anticipated clinical exposure and little weight can be placed on the predictive value of the negative findings. As vemurafenib crossed the placenta, with a potentially drug-related malformation seen in an exposed fetus at clinical plasma levels and pharmacologically vemurafenib inhibits multiple kinases (including BRAF) that may be important during embryofetal development, placement in Pregnancy Category D seems </w:t>
      </w:r>
      <w:r w:rsidRPr="00B25B29">
        <w:t>appropriate.</w:t>
      </w:r>
    </w:p>
    <w:p w:rsidR="005F06E6" w:rsidRDefault="005F06E6" w:rsidP="0006208B">
      <w:pPr>
        <w:pStyle w:val="TableTitle"/>
        <w:keepNext/>
        <w:spacing w:before="40"/>
      </w:pPr>
      <w:r w:rsidRPr="00B25B29">
        <w:t xml:space="preserve">Table </w:t>
      </w:r>
      <w:r w:rsidR="00B25B29" w:rsidRPr="00B25B29">
        <w:t>3</w:t>
      </w:r>
      <w:r w:rsidRPr="00B25B29">
        <w:t>. Relative exposure to vemurafenib in reproductive embryofetal toxicity studies</w:t>
      </w:r>
    </w:p>
    <w:tbl>
      <w:tblPr>
        <w:tblW w:w="8418" w:type="dxa"/>
        <w:jc w:val="center"/>
        <w:tblInd w:w="64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1375"/>
        <w:gridCol w:w="1696"/>
        <w:gridCol w:w="1899"/>
        <w:gridCol w:w="1504"/>
        <w:gridCol w:w="1944"/>
      </w:tblGrid>
      <w:tr w:rsidR="005F06E6" w:rsidTr="00E23CE0">
        <w:trPr>
          <w:cantSplit/>
          <w:tblHeader/>
          <w:jc w:val="center"/>
        </w:trPr>
        <w:tc>
          <w:tcPr>
            <w:tcW w:w="1375" w:type="dxa"/>
            <w:tcBorders>
              <w:top w:val="single" w:sz="8" w:space="0" w:color="auto"/>
              <w:left w:val="single" w:sz="8" w:space="0" w:color="auto"/>
              <w:bottom w:val="single" w:sz="4" w:space="0" w:color="auto"/>
              <w:right w:val="single" w:sz="4" w:space="0" w:color="auto"/>
            </w:tcBorders>
            <w:shd w:val="clear" w:color="auto" w:fill="0070C0"/>
            <w:vAlign w:val="center"/>
            <w:hideMark/>
          </w:tcPr>
          <w:p w:rsidR="005F06E6" w:rsidRPr="0006208B" w:rsidRDefault="005F06E6" w:rsidP="0006208B">
            <w:pPr>
              <w:pStyle w:val="Table"/>
              <w:keepNext/>
              <w:keepLines/>
              <w:spacing w:before="60" w:after="60" w:line="200" w:lineRule="exact"/>
              <w:jc w:val="center"/>
              <w:rPr>
                <w:rFonts w:ascii="Cambria" w:hAnsi="Cambria"/>
                <w:b/>
                <w:color w:val="FFFFFF" w:themeColor="background1"/>
                <w:kern w:val="2"/>
                <w:sz w:val="20"/>
                <w:szCs w:val="20"/>
              </w:rPr>
            </w:pPr>
            <w:r w:rsidRPr="0006208B">
              <w:rPr>
                <w:rFonts w:ascii="Cambria" w:hAnsi="Cambria"/>
                <w:b/>
                <w:color w:val="FFFFFF" w:themeColor="background1"/>
                <w:kern w:val="2"/>
                <w:sz w:val="20"/>
                <w:szCs w:val="20"/>
              </w:rPr>
              <w:t>Report</w:t>
            </w:r>
          </w:p>
        </w:tc>
        <w:tc>
          <w:tcPr>
            <w:tcW w:w="1696" w:type="dxa"/>
            <w:tcBorders>
              <w:top w:val="single" w:sz="8" w:space="0" w:color="auto"/>
              <w:left w:val="single" w:sz="4" w:space="0" w:color="auto"/>
              <w:bottom w:val="single" w:sz="4" w:space="0" w:color="auto"/>
              <w:right w:val="single" w:sz="4" w:space="0" w:color="auto"/>
            </w:tcBorders>
            <w:shd w:val="clear" w:color="auto" w:fill="0070C0"/>
            <w:vAlign w:val="center"/>
            <w:hideMark/>
          </w:tcPr>
          <w:p w:rsidR="005F06E6" w:rsidRPr="0006208B" w:rsidRDefault="005F06E6" w:rsidP="0006208B">
            <w:pPr>
              <w:pStyle w:val="Table"/>
              <w:keepNext/>
              <w:keepLines/>
              <w:spacing w:before="60" w:after="60" w:line="200" w:lineRule="exact"/>
              <w:jc w:val="center"/>
              <w:rPr>
                <w:rFonts w:ascii="Cambria" w:hAnsi="Cambria"/>
                <w:b/>
                <w:color w:val="FFFFFF" w:themeColor="background1"/>
                <w:kern w:val="2"/>
                <w:sz w:val="20"/>
                <w:szCs w:val="20"/>
              </w:rPr>
            </w:pPr>
            <w:r w:rsidRPr="0006208B">
              <w:rPr>
                <w:rFonts w:ascii="Cambria" w:hAnsi="Cambria"/>
                <w:b/>
                <w:color w:val="FFFFFF" w:themeColor="background1"/>
                <w:kern w:val="2"/>
                <w:sz w:val="20"/>
                <w:szCs w:val="20"/>
              </w:rPr>
              <w:t>Species &amp; strain</w:t>
            </w:r>
          </w:p>
        </w:tc>
        <w:tc>
          <w:tcPr>
            <w:tcW w:w="1899" w:type="dxa"/>
            <w:tcBorders>
              <w:top w:val="single" w:sz="8" w:space="0" w:color="auto"/>
              <w:left w:val="single" w:sz="4" w:space="0" w:color="auto"/>
              <w:bottom w:val="single" w:sz="4" w:space="0" w:color="auto"/>
              <w:right w:val="single" w:sz="4" w:space="0" w:color="auto"/>
            </w:tcBorders>
            <w:shd w:val="clear" w:color="auto" w:fill="0070C0"/>
            <w:vAlign w:val="center"/>
            <w:hideMark/>
          </w:tcPr>
          <w:p w:rsidR="005F06E6" w:rsidRPr="0006208B" w:rsidRDefault="005F06E6" w:rsidP="0006208B">
            <w:pPr>
              <w:pStyle w:val="Table"/>
              <w:keepNext/>
              <w:keepLines/>
              <w:spacing w:before="60" w:after="60" w:line="200" w:lineRule="exact"/>
              <w:jc w:val="center"/>
              <w:rPr>
                <w:rFonts w:ascii="Cambria" w:hAnsi="Cambria"/>
                <w:b/>
                <w:color w:val="FFFFFF" w:themeColor="background1"/>
                <w:kern w:val="2"/>
                <w:sz w:val="20"/>
                <w:szCs w:val="20"/>
              </w:rPr>
            </w:pPr>
            <w:r w:rsidRPr="0006208B">
              <w:rPr>
                <w:rFonts w:ascii="Cambria" w:hAnsi="Cambria"/>
                <w:b/>
                <w:color w:val="FFFFFF" w:themeColor="background1"/>
                <w:kern w:val="2"/>
                <w:sz w:val="20"/>
                <w:szCs w:val="20"/>
              </w:rPr>
              <w:t>Dose (mg/kg/day);</w:t>
            </w:r>
            <w:r w:rsidRPr="0006208B">
              <w:rPr>
                <w:rFonts w:ascii="Cambria" w:hAnsi="Cambria"/>
                <w:b/>
                <w:color w:val="FFFFFF" w:themeColor="background1"/>
                <w:kern w:val="2"/>
                <w:sz w:val="20"/>
                <w:szCs w:val="20"/>
              </w:rPr>
              <w:br/>
              <w:t>PO</w:t>
            </w:r>
          </w:p>
        </w:tc>
        <w:tc>
          <w:tcPr>
            <w:tcW w:w="1504" w:type="dxa"/>
            <w:tcBorders>
              <w:top w:val="single" w:sz="8" w:space="0" w:color="auto"/>
              <w:left w:val="single" w:sz="4" w:space="0" w:color="auto"/>
              <w:bottom w:val="single" w:sz="8" w:space="0" w:color="auto"/>
              <w:right w:val="single" w:sz="4" w:space="0" w:color="auto"/>
            </w:tcBorders>
            <w:shd w:val="clear" w:color="auto" w:fill="0070C0"/>
            <w:vAlign w:val="center"/>
            <w:hideMark/>
          </w:tcPr>
          <w:p w:rsidR="005F06E6" w:rsidRPr="0006208B" w:rsidRDefault="005F06E6" w:rsidP="0006208B">
            <w:pPr>
              <w:pStyle w:val="Table"/>
              <w:keepNext/>
              <w:keepLines/>
              <w:spacing w:before="40" w:after="40" w:line="200" w:lineRule="exact"/>
              <w:jc w:val="center"/>
              <w:rPr>
                <w:rFonts w:ascii="Cambria" w:hAnsi="Cambria"/>
                <w:b/>
                <w:color w:val="FFFFFF" w:themeColor="background1"/>
                <w:kern w:val="2"/>
                <w:sz w:val="20"/>
                <w:szCs w:val="20"/>
              </w:rPr>
            </w:pPr>
            <w:r w:rsidRPr="0006208B">
              <w:rPr>
                <w:rFonts w:ascii="Cambria" w:hAnsi="Cambria"/>
                <w:b/>
                <w:color w:val="FFFFFF" w:themeColor="background1"/>
                <w:kern w:val="2"/>
                <w:sz w:val="20"/>
                <w:szCs w:val="20"/>
              </w:rPr>
              <w:t>AUC</w:t>
            </w:r>
            <w:r w:rsidRPr="0006208B">
              <w:rPr>
                <w:rFonts w:ascii="Cambria" w:hAnsi="Cambria"/>
                <w:b/>
                <w:color w:val="FFFFFF" w:themeColor="background1"/>
                <w:kern w:val="2"/>
                <w:sz w:val="20"/>
                <w:szCs w:val="20"/>
                <w:vertAlign w:val="subscript"/>
              </w:rPr>
              <w:t>0–24</w:t>
            </w:r>
            <w:r w:rsidRPr="0006208B">
              <w:rPr>
                <w:rFonts w:ascii="Cambria" w:hAnsi="Cambria"/>
                <w:b/>
                <w:noProof/>
                <w:color w:val="FFFFFF" w:themeColor="background1"/>
                <w:w w:val="50"/>
                <w:kern w:val="2"/>
                <w:sz w:val="20"/>
                <w:szCs w:val="20"/>
                <w:vertAlign w:val="subscript"/>
              </w:rPr>
              <w:t> </w:t>
            </w:r>
            <w:r w:rsidRPr="0006208B">
              <w:rPr>
                <w:rFonts w:ascii="Cambria" w:hAnsi="Cambria"/>
                <w:b/>
                <w:color w:val="FFFFFF" w:themeColor="background1"/>
                <w:kern w:val="2"/>
                <w:sz w:val="20"/>
                <w:szCs w:val="20"/>
                <w:vertAlign w:val="subscript"/>
              </w:rPr>
              <w:t>h</w:t>
            </w:r>
            <w:r w:rsidRPr="0006208B">
              <w:rPr>
                <w:rFonts w:ascii="Cambria" w:hAnsi="Cambria"/>
                <w:b/>
                <w:color w:val="FFFFFF" w:themeColor="background1"/>
                <w:kern w:val="2"/>
                <w:sz w:val="20"/>
                <w:szCs w:val="20"/>
              </w:rPr>
              <w:br/>
              <w:t>(μg·h/mL)</w:t>
            </w:r>
          </w:p>
        </w:tc>
        <w:tc>
          <w:tcPr>
            <w:tcW w:w="1944" w:type="dxa"/>
            <w:tcBorders>
              <w:top w:val="single" w:sz="8" w:space="0" w:color="auto"/>
              <w:left w:val="single" w:sz="4" w:space="0" w:color="auto"/>
              <w:bottom w:val="single" w:sz="4" w:space="0" w:color="auto"/>
              <w:right w:val="single" w:sz="8" w:space="0" w:color="auto"/>
            </w:tcBorders>
            <w:shd w:val="clear" w:color="auto" w:fill="0070C0"/>
            <w:vAlign w:val="center"/>
            <w:hideMark/>
          </w:tcPr>
          <w:p w:rsidR="005F06E6" w:rsidRPr="0006208B" w:rsidRDefault="005F06E6" w:rsidP="0006208B">
            <w:pPr>
              <w:pStyle w:val="Table"/>
              <w:keepNext/>
              <w:keepLines/>
              <w:spacing w:before="60" w:after="60" w:line="200" w:lineRule="exact"/>
              <w:jc w:val="center"/>
              <w:rPr>
                <w:rFonts w:ascii="Cambria" w:hAnsi="Cambria"/>
                <w:b/>
                <w:color w:val="FFFFFF" w:themeColor="background1"/>
                <w:kern w:val="2"/>
                <w:sz w:val="20"/>
                <w:szCs w:val="20"/>
              </w:rPr>
            </w:pPr>
            <w:r w:rsidRPr="0006208B">
              <w:rPr>
                <w:rFonts w:ascii="Cambria" w:hAnsi="Cambria"/>
                <w:b/>
                <w:color w:val="FFFFFF" w:themeColor="background1"/>
                <w:kern w:val="2"/>
                <w:sz w:val="20"/>
                <w:szCs w:val="20"/>
              </w:rPr>
              <w:t>Exposure ratio</w:t>
            </w:r>
            <w:r w:rsidRPr="0006208B">
              <w:rPr>
                <w:rFonts w:ascii="Cambria" w:hAnsi="Cambria"/>
                <w:b/>
                <w:color w:val="FFFFFF" w:themeColor="background1"/>
                <w:kern w:val="2"/>
                <w:sz w:val="20"/>
                <w:szCs w:val="20"/>
              </w:rPr>
              <w:br/>
              <w:t>(animal:human AUC</w:t>
            </w:r>
            <w:r w:rsidRPr="0006208B">
              <w:rPr>
                <w:rFonts w:ascii="Cambria" w:hAnsi="Cambria"/>
                <w:b/>
                <w:color w:val="FFFFFF" w:themeColor="background1"/>
                <w:kern w:val="2"/>
                <w:sz w:val="20"/>
                <w:szCs w:val="20"/>
                <w:vertAlign w:val="subscript"/>
              </w:rPr>
              <w:t>0–24</w:t>
            </w:r>
            <w:r w:rsidRPr="0006208B">
              <w:rPr>
                <w:rFonts w:ascii="Cambria" w:hAnsi="Cambria"/>
                <w:b/>
                <w:color w:val="FFFFFF" w:themeColor="background1"/>
                <w:w w:val="50"/>
                <w:kern w:val="2"/>
                <w:sz w:val="20"/>
                <w:szCs w:val="20"/>
                <w:vertAlign w:val="subscript"/>
              </w:rPr>
              <w:t> </w:t>
            </w:r>
            <w:r w:rsidRPr="0006208B">
              <w:rPr>
                <w:rFonts w:ascii="Cambria" w:hAnsi="Cambria"/>
                <w:b/>
                <w:color w:val="FFFFFF" w:themeColor="background1"/>
                <w:kern w:val="2"/>
                <w:sz w:val="20"/>
                <w:szCs w:val="20"/>
                <w:vertAlign w:val="subscript"/>
              </w:rPr>
              <w:t>h</w:t>
            </w:r>
            <w:r w:rsidRPr="0006208B">
              <w:rPr>
                <w:rFonts w:ascii="Cambria" w:hAnsi="Cambria"/>
                <w:b/>
                <w:color w:val="FFFFFF" w:themeColor="background1"/>
                <w:kern w:val="2"/>
                <w:sz w:val="20"/>
                <w:szCs w:val="20"/>
              </w:rPr>
              <w:t>)</w:t>
            </w:r>
          </w:p>
        </w:tc>
      </w:tr>
      <w:tr w:rsidR="005F06E6" w:rsidTr="00E23CE0">
        <w:trPr>
          <w:cantSplit/>
          <w:trHeight w:val="227"/>
          <w:tblHeader/>
          <w:jc w:val="center"/>
        </w:trPr>
        <w:tc>
          <w:tcPr>
            <w:tcW w:w="1375" w:type="dxa"/>
            <w:vMerge w:val="restart"/>
            <w:tcBorders>
              <w:top w:val="single" w:sz="8" w:space="0" w:color="auto"/>
              <w:left w:val="single" w:sz="8" w:space="0" w:color="auto"/>
              <w:bottom w:val="single" w:sz="4" w:space="0" w:color="auto"/>
              <w:right w:val="single" w:sz="4" w:space="0" w:color="auto"/>
            </w:tcBorders>
            <w:shd w:val="clear" w:color="auto" w:fill="FFFFFF"/>
            <w:vAlign w:val="center"/>
            <w:hideMark/>
          </w:tcPr>
          <w:p w:rsidR="005F06E6" w:rsidRPr="0006208B" w:rsidRDefault="005F06E6" w:rsidP="0006208B">
            <w:pPr>
              <w:pStyle w:val="Table"/>
              <w:keepNext/>
              <w:keepLines/>
              <w:spacing w:before="20" w:after="20" w:line="210" w:lineRule="exact"/>
              <w:jc w:val="center"/>
              <w:rPr>
                <w:i/>
                <w:kern w:val="2"/>
                <w:sz w:val="20"/>
                <w:szCs w:val="20"/>
                <w:vertAlign w:val="superscript"/>
              </w:rPr>
            </w:pPr>
            <w:r w:rsidRPr="0006208B">
              <w:rPr>
                <w:kern w:val="2"/>
                <w:sz w:val="20"/>
                <w:szCs w:val="20"/>
              </w:rPr>
              <w:t>1026029</w:t>
            </w:r>
            <w:r w:rsidRPr="0006208B">
              <w:rPr>
                <w:kern w:val="2"/>
                <w:sz w:val="20"/>
                <w:szCs w:val="20"/>
              </w:rPr>
              <w:br/>
            </w:r>
            <w:r w:rsidRPr="0006208B">
              <w:rPr>
                <w:i/>
                <w:kern w:val="2"/>
                <w:sz w:val="20"/>
                <w:szCs w:val="20"/>
              </w:rPr>
              <w:t>[dose-ranging]</w:t>
            </w:r>
          </w:p>
        </w:tc>
        <w:tc>
          <w:tcPr>
            <w:tcW w:w="1696" w:type="dxa"/>
            <w:vMerge w:val="restart"/>
            <w:tcBorders>
              <w:top w:val="single" w:sz="8" w:space="0" w:color="auto"/>
              <w:left w:val="single" w:sz="4" w:space="0" w:color="auto"/>
              <w:bottom w:val="single" w:sz="4" w:space="0" w:color="auto"/>
              <w:right w:val="single" w:sz="4" w:space="0" w:color="auto"/>
            </w:tcBorders>
            <w:shd w:val="clear" w:color="auto" w:fill="FFFFFF"/>
            <w:vAlign w:val="center"/>
            <w:hideMark/>
          </w:tcPr>
          <w:p w:rsidR="005F06E6" w:rsidRPr="0006208B" w:rsidRDefault="005F06E6" w:rsidP="0006208B">
            <w:pPr>
              <w:pStyle w:val="Table"/>
              <w:keepNext/>
              <w:keepLines/>
              <w:spacing w:before="20" w:after="20" w:line="200" w:lineRule="exact"/>
              <w:jc w:val="center"/>
              <w:rPr>
                <w:kern w:val="2"/>
                <w:sz w:val="20"/>
                <w:szCs w:val="20"/>
              </w:rPr>
            </w:pPr>
            <w:r w:rsidRPr="0006208B">
              <w:rPr>
                <w:b/>
                <w:kern w:val="2"/>
                <w:sz w:val="20"/>
                <w:szCs w:val="20"/>
              </w:rPr>
              <w:t>Rat</w:t>
            </w:r>
            <w:r w:rsidRPr="0006208B">
              <w:rPr>
                <w:kern w:val="2"/>
                <w:sz w:val="20"/>
                <w:szCs w:val="20"/>
              </w:rPr>
              <w:t xml:space="preserve"> </w:t>
            </w:r>
            <w:r w:rsidRPr="0006208B">
              <w:rPr>
                <w:kern w:val="2"/>
                <w:sz w:val="20"/>
                <w:szCs w:val="20"/>
              </w:rPr>
              <w:br/>
              <w:t>(SD)</w:t>
            </w:r>
          </w:p>
        </w:tc>
        <w:tc>
          <w:tcPr>
            <w:tcW w:w="1899" w:type="dxa"/>
            <w:tcBorders>
              <w:top w:val="single" w:sz="8" w:space="0" w:color="auto"/>
              <w:left w:val="single" w:sz="4" w:space="0" w:color="auto"/>
              <w:bottom w:val="dotted" w:sz="2" w:space="0" w:color="auto"/>
              <w:right w:val="single" w:sz="4" w:space="0" w:color="auto"/>
            </w:tcBorders>
            <w:shd w:val="clear" w:color="auto" w:fill="FFFFFF"/>
            <w:vAlign w:val="center"/>
            <w:hideMark/>
          </w:tcPr>
          <w:p w:rsidR="005F06E6" w:rsidRPr="0006208B" w:rsidRDefault="005F06E6" w:rsidP="0006208B">
            <w:pPr>
              <w:pStyle w:val="Table"/>
              <w:keepNext/>
              <w:keepLines/>
              <w:spacing w:line="210" w:lineRule="exact"/>
              <w:jc w:val="center"/>
              <w:rPr>
                <w:kern w:val="2"/>
                <w:sz w:val="20"/>
                <w:szCs w:val="20"/>
              </w:rPr>
            </w:pPr>
            <w:r w:rsidRPr="0006208B">
              <w:rPr>
                <w:kern w:val="2"/>
                <w:sz w:val="20"/>
                <w:szCs w:val="20"/>
              </w:rPr>
              <w:t>30</w:t>
            </w:r>
          </w:p>
        </w:tc>
        <w:tc>
          <w:tcPr>
            <w:tcW w:w="1504" w:type="dxa"/>
            <w:tcBorders>
              <w:top w:val="single" w:sz="8" w:space="0" w:color="auto"/>
              <w:left w:val="single" w:sz="4" w:space="0" w:color="auto"/>
              <w:bottom w:val="dotted" w:sz="2" w:space="0" w:color="auto"/>
              <w:right w:val="single" w:sz="4" w:space="0" w:color="auto"/>
            </w:tcBorders>
            <w:shd w:val="clear" w:color="auto" w:fill="FFFFFF"/>
            <w:vAlign w:val="center"/>
            <w:hideMark/>
          </w:tcPr>
          <w:p w:rsidR="005F06E6" w:rsidRPr="0006208B" w:rsidRDefault="005F06E6">
            <w:pPr>
              <w:spacing w:line="210" w:lineRule="exact"/>
              <w:jc w:val="center"/>
              <w:rPr>
                <w:kern w:val="2"/>
                <w:sz w:val="20"/>
                <w:szCs w:val="20"/>
              </w:rPr>
            </w:pPr>
            <w:r w:rsidRPr="0006208B">
              <w:rPr>
                <w:kern w:val="2"/>
                <w:sz w:val="20"/>
                <w:szCs w:val="20"/>
              </w:rPr>
              <w:t>231</w:t>
            </w:r>
          </w:p>
        </w:tc>
        <w:tc>
          <w:tcPr>
            <w:tcW w:w="1944" w:type="dxa"/>
            <w:tcBorders>
              <w:top w:val="single" w:sz="8" w:space="0" w:color="auto"/>
              <w:left w:val="single" w:sz="4" w:space="0" w:color="auto"/>
              <w:bottom w:val="dotted" w:sz="2" w:space="0" w:color="auto"/>
              <w:right w:val="single" w:sz="8" w:space="0" w:color="auto"/>
            </w:tcBorders>
            <w:shd w:val="clear" w:color="auto" w:fill="FFFFFF"/>
            <w:vAlign w:val="center"/>
            <w:hideMark/>
          </w:tcPr>
          <w:p w:rsidR="005F06E6" w:rsidRPr="0006208B" w:rsidRDefault="005F06E6">
            <w:pPr>
              <w:spacing w:line="210" w:lineRule="exact"/>
              <w:jc w:val="center"/>
              <w:rPr>
                <w:kern w:val="2"/>
                <w:sz w:val="20"/>
                <w:szCs w:val="20"/>
              </w:rPr>
            </w:pPr>
            <w:r w:rsidRPr="0006208B">
              <w:rPr>
                <w:kern w:val="2"/>
                <w:sz w:val="20"/>
                <w:szCs w:val="20"/>
              </w:rPr>
              <w:t>0.21</w:t>
            </w:r>
          </w:p>
        </w:tc>
      </w:tr>
      <w:tr w:rsidR="005F06E6" w:rsidTr="00E23CE0">
        <w:trPr>
          <w:cantSplit/>
          <w:trHeight w:val="227"/>
          <w:tblHeader/>
          <w:jc w:val="center"/>
        </w:trPr>
        <w:tc>
          <w:tcPr>
            <w:tcW w:w="1375" w:type="dxa"/>
            <w:vMerge/>
            <w:tcBorders>
              <w:top w:val="single" w:sz="8" w:space="0" w:color="auto"/>
              <w:left w:val="single" w:sz="8" w:space="0" w:color="auto"/>
              <w:bottom w:val="single" w:sz="4" w:space="0" w:color="auto"/>
              <w:right w:val="single" w:sz="4" w:space="0" w:color="auto"/>
            </w:tcBorders>
            <w:vAlign w:val="center"/>
            <w:hideMark/>
          </w:tcPr>
          <w:p w:rsidR="005F06E6" w:rsidRPr="0006208B" w:rsidRDefault="005F06E6" w:rsidP="0006208B">
            <w:pPr>
              <w:keepNext/>
              <w:rPr>
                <w:i/>
                <w:kern w:val="2"/>
                <w:sz w:val="20"/>
                <w:szCs w:val="20"/>
                <w:vertAlign w:val="superscript"/>
              </w:rPr>
            </w:pPr>
          </w:p>
        </w:tc>
        <w:tc>
          <w:tcPr>
            <w:tcW w:w="1696" w:type="dxa"/>
            <w:vMerge/>
            <w:tcBorders>
              <w:top w:val="single" w:sz="8" w:space="0" w:color="auto"/>
              <w:left w:val="single" w:sz="4" w:space="0" w:color="auto"/>
              <w:bottom w:val="single" w:sz="4" w:space="0" w:color="auto"/>
              <w:right w:val="single" w:sz="4" w:space="0" w:color="auto"/>
            </w:tcBorders>
            <w:vAlign w:val="center"/>
            <w:hideMark/>
          </w:tcPr>
          <w:p w:rsidR="005F06E6" w:rsidRPr="0006208B" w:rsidRDefault="005F06E6" w:rsidP="0006208B">
            <w:pPr>
              <w:keepNext/>
              <w:rPr>
                <w:kern w:val="2"/>
                <w:sz w:val="20"/>
                <w:szCs w:val="20"/>
              </w:rPr>
            </w:pPr>
          </w:p>
        </w:tc>
        <w:tc>
          <w:tcPr>
            <w:tcW w:w="1899" w:type="dxa"/>
            <w:tcBorders>
              <w:top w:val="dotted" w:sz="2" w:space="0" w:color="auto"/>
              <w:left w:val="single" w:sz="4" w:space="0" w:color="auto"/>
              <w:bottom w:val="dotted" w:sz="2" w:space="0" w:color="auto"/>
              <w:right w:val="single" w:sz="4" w:space="0" w:color="auto"/>
            </w:tcBorders>
            <w:shd w:val="clear" w:color="auto" w:fill="FFFFFF"/>
            <w:vAlign w:val="center"/>
            <w:hideMark/>
          </w:tcPr>
          <w:p w:rsidR="005F06E6" w:rsidRPr="0006208B" w:rsidRDefault="005F06E6" w:rsidP="0006208B">
            <w:pPr>
              <w:pStyle w:val="Table"/>
              <w:keepNext/>
              <w:keepLines/>
              <w:spacing w:line="210" w:lineRule="exact"/>
              <w:jc w:val="center"/>
              <w:rPr>
                <w:kern w:val="2"/>
                <w:sz w:val="20"/>
                <w:szCs w:val="20"/>
              </w:rPr>
            </w:pPr>
            <w:r w:rsidRPr="0006208B">
              <w:rPr>
                <w:kern w:val="2"/>
                <w:sz w:val="20"/>
                <w:szCs w:val="20"/>
              </w:rPr>
              <w:t>150</w:t>
            </w:r>
          </w:p>
        </w:tc>
        <w:tc>
          <w:tcPr>
            <w:tcW w:w="1504" w:type="dxa"/>
            <w:tcBorders>
              <w:top w:val="dotted" w:sz="2" w:space="0" w:color="auto"/>
              <w:left w:val="single" w:sz="4" w:space="0" w:color="auto"/>
              <w:bottom w:val="dotted" w:sz="2" w:space="0" w:color="auto"/>
              <w:right w:val="single" w:sz="4" w:space="0" w:color="auto"/>
            </w:tcBorders>
            <w:shd w:val="clear" w:color="auto" w:fill="FFFFFF"/>
            <w:vAlign w:val="center"/>
            <w:hideMark/>
          </w:tcPr>
          <w:p w:rsidR="005F06E6" w:rsidRPr="0006208B" w:rsidRDefault="005F06E6">
            <w:pPr>
              <w:spacing w:line="210" w:lineRule="exact"/>
              <w:jc w:val="center"/>
              <w:rPr>
                <w:kern w:val="2"/>
                <w:sz w:val="20"/>
                <w:szCs w:val="20"/>
              </w:rPr>
            </w:pPr>
            <w:r w:rsidRPr="0006208B">
              <w:rPr>
                <w:kern w:val="2"/>
                <w:sz w:val="20"/>
                <w:szCs w:val="20"/>
              </w:rPr>
              <w:t>625</w:t>
            </w:r>
          </w:p>
        </w:tc>
        <w:tc>
          <w:tcPr>
            <w:tcW w:w="1944" w:type="dxa"/>
            <w:tcBorders>
              <w:top w:val="dotted" w:sz="2" w:space="0" w:color="auto"/>
              <w:left w:val="single" w:sz="4" w:space="0" w:color="auto"/>
              <w:bottom w:val="dotted" w:sz="2" w:space="0" w:color="auto"/>
              <w:right w:val="single" w:sz="8" w:space="0" w:color="auto"/>
            </w:tcBorders>
            <w:shd w:val="clear" w:color="auto" w:fill="FFFFFF"/>
            <w:vAlign w:val="center"/>
            <w:hideMark/>
          </w:tcPr>
          <w:p w:rsidR="005F06E6" w:rsidRPr="0006208B" w:rsidRDefault="005F06E6">
            <w:pPr>
              <w:spacing w:line="210" w:lineRule="exact"/>
              <w:jc w:val="center"/>
              <w:rPr>
                <w:kern w:val="2"/>
                <w:sz w:val="20"/>
                <w:szCs w:val="20"/>
              </w:rPr>
            </w:pPr>
            <w:r w:rsidRPr="0006208B">
              <w:rPr>
                <w:kern w:val="2"/>
                <w:sz w:val="20"/>
                <w:szCs w:val="20"/>
              </w:rPr>
              <w:t>0.56</w:t>
            </w:r>
          </w:p>
        </w:tc>
      </w:tr>
      <w:tr w:rsidR="005F06E6" w:rsidTr="00E23CE0">
        <w:trPr>
          <w:cantSplit/>
          <w:trHeight w:val="227"/>
          <w:tblHeader/>
          <w:jc w:val="center"/>
        </w:trPr>
        <w:tc>
          <w:tcPr>
            <w:tcW w:w="1375" w:type="dxa"/>
            <w:vMerge/>
            <w:tcBorders>
              <w:top w:val="single" w:sz="8" w:space="0" w:color="auto"/>
              <w:left w:val="single" w:sz="8" w:space="0" w:color="auto"/>
              <w:bottom w:val="single" w:sz="4" w:space="0" w:color="auto"/>
              <w:right w:val="single" w:sz="4" w:space="0" w:color="auto"/>
            </w:tcBorders>
            <w:vAlign w:val="center"/>
            <w:hideMark/>
          </w:tcPr>
          <w:p w:rsidR="005F06E6" w:rsidRPr="0006208B" w:rsidRDefault="005F06E6" w:rsidP="0006208B">
            <w:pPr>
              <w:keepNext/>
              <w:rPr>
                <w:i/>
                <w:kern w:val="2"/>
                <w:sz w:val="20"/>
                <w:szCs w:val="20"/>
                <w:vertAlign w:val="superscript"/>
              </w:rPr>
            </w:pPr>
          </w:p>
        </w:tc>
        <w:tc>
          <w:tcPr>
            <w:tcW w:w="1696" w:type="dxa"/>
            <w:vMerge/>
            <w:tcBorders>
              <w:top w:val="single" w:sz="8" w:space="0" w:color="auto"/>
              <w:left w:val="single" w:sz="4" w:space="0" w:color="auto"/>
              <w:bottom w:val="single" w:sz="4" w:space="0" w:color="auto"/>
              <w:right w:val="single" w:sz="4" w:space="0" w:color="auto"/>
            </w:tcBorders>
            <w:vAlign w:val="center"/>
            <w:hideMark/>
          </w:tcPr>
          <w:p w:rsidR="005F06E6" w:rsidRPr="0006208B" w:rsidRDefault="005F06E6" w:rsidP="0006208B">
            <w:pPr>
              <w:keepNext/>
              <w:rPr>
                <w:kern w:val="2"/>
                <w:sz w:val="20"/>
                <w:szCs w:val="20"/>
              </w:rPr>
            </w:pPr>
          </w:p>
        </w:tc>
        <w:tc>
          <w:tcPr>
            <w:tcW w:w="1899" w:type="dxa"/>
            <w:tcBorders>
              <w:top w:val="dotted" w:sz="2" w:space="0" w:color="auto"/>
              <w:left w:val="single" w:sz="4" w:space="0" w:color="auto"/>
              <w:bottom w:val="single" w:sz="4" w:space="0" w:color="auto"/>
              <w:right w:val="single" w:sz="4" w:space="0" w:color="auto"/>
            </w:tcBorders>
            <w:shd w:val="clear" w:color="auto" w:fill="FFFFFF"/>
            <w:vAlign w:val="center"/>
            <w:hideMark/>
          </w:tcPr>
          <w:p w:rsidR="005F06E6" w:rsidRPr="0006208B" w:rsidRDefault="005F06E6" w:rsidP="0006208B">
            <w:pPr>
              <w:pStyle w:val="Table"/>
              <w:keepNext/>
              <w:keepLines/>
              <w:spacing w:line="210" w:lineRule="exact"/>
              <w:jc w:val="center"/>
              <w:rPr>
                <w:kern w:val="2"/>
                <w:sz w:val="20"/>
                <w:szCs w:val="20"/>
              </w:rPr>
            </w:pPr>
            <w:r w:rsidRPr="0006208B">
              <w:rPr>
                <w:kern w:val="2"/>
                <w:sz w:val="20"/>
                <w:szCs w:val="20"/>
              </w:rPr>
              <w:t>800</w:t>
            </w:r>
          </w:p>
        </w:tc>
        <w:tc>
          <w:tcPr>
            <w:tcW w:w="1504" w:type="dxa"/>
            <w:tcBorders>
              <w:top w:val="dotted" w:sz="2" w:space="0" w:color="auto"/>
              <w:left w:val="single" w:sz="4" w:space="0" w:color="auto"/>
              <w:bottom w:val="single" w:sz="4" w:space="0" w:color="auto"/>
              <w:right w:val="single" w:sz="4" w:space="0" w:color="auto"/>
            </w:tcBorders>
            <w:shd w:val="clear" w:color="auto" w:fill="FFFFFF"/>
            <w:vAlign w:val="center"/>
            <w:hideMark/>
          </w:tcPr>
          <w:p w:rsidR="005F06E6" w:rsidRPr="0006208B" w:rsidRDefault="005F06E6">
            <w:pPr>
              <w:spacing w:line="210" w:lineRule="exact"/>
              <w:jc w:val="center"/>
              <w:rPr>
                <w:kern w:val="2"/>
                <w:sz w:val="20"/>
                <w:szCs w:val="20"/>
              </w:rPr>
            </w:pPr>
            <w:r w:rsidRPr="0006208B">
              <w:rPr>
                <w:kern w:val="2"/>
                <w:sz w:val="20"/>
                <w:szCs w:val="20"/>
              </w:rPr>
              <w:t>2400</w:t>
            </w:r>
          </w:p>
        </w:tc>
        <w:tc>
          <w:tcPr>
            <w:tcW w:w="1944" w:type="dxa"/>
            <w:tcBorders>
              <w:top w:val="dotted" w:sz="2" w:space="0" w:color="auto"/>
              <w:left w:val="single" w:sz="4" w:space="0" w:color="auto"/>
              <w:bottom w:val="single" w:sz="4" w:space="0" w:color="auto"/>
              <w:right w:val="single" w:sz="8" w:space="0" w:color="auto"/>
            </w:tcBorders>
            <w:shd w:val="clear" w:color="auto" w:fill="FFFFFF"/>
            <w:vAlign w:val="center"/>
            <w:hideMark/>
          </w:tcPr>
          <w:p w:rsidR="005F06E6" w:rsidRPr="0006208B" w:rsidRDefault="005F06E6">
            <w:pPr>
              <w:spacing w:line="210" w:lineRule="exact"/>
              <w:jc w:val="center"/>
              <w:rPr>
                <w:kern w:val="2"/>
                <w:sz w:val="20"/>
                <w:szCs w:val="20"/>
              </w:rPr>
            </w:pPr>
            <w:r w:rsidRPr="0006208B">
              <w:rPr>
                <w:kern w:val="2"/>
                <w:sz w:val="20"/>
                <w:szCs w:val="20"/>
              </w:rPr>
              <w:t>2.1</w:t>
            </w:r>
          </w:p>
        </w:tc>
      </w:tr>
      <w:tr w:rsidR="005F06E6" w:rsidTr="00E23CE0">
        <w:trPr>
          <w:cantSplit/>
          <w:trHeight w:val="227"/>
          <w:tblHeader/>
          <w:jc w:val="center"/>
        </w:trPr>
        <w:tc>
          <w:tcPr>
            <w:tcW w:w="1375" w:type="dxa"/>
            <w:vMerge w:val="restart"/>
            <w:tcBorders>
              <w:top w:val="dotted" w:sz="2" w:space="0" w:color="auto"/>
              <w:left w:val="single" w:sz="8" w:space="0" w:color="auto"/>
              <w:bottom w:val="single" w:sz="4" w:space="0" w:color="auto"/>
              <w:right w:val="single" w:sz="4" w:space="0" w:color="auto"/>
            </w:tcBorders>
            <w:shd w:val="clear" w:color="auto" w:fill="FFFFFF"/>
            <w:vAlign w:val="center"/>
            <w:hideMark/>
          </w:tcPr>
          <w:p w:rsidR="005F06E6" w:rsidRPr="0006208B" w:rsidRDefault="005F06E6" w:rsidP="0006208B">
            <w:pPr>
              <w:pStyle w:val="Table"/>
              <w:keepNext/>
              <w:keepLines/>
              <w:spacing w:before="20" w:after="20" w:line="210" w:lineRule="exact"/>
              <w:jc w:val="center"/>
              <w:rPr>
                <w:i/>
                <w:kern w:val="2"/>
                <w:sz w:val="20"/>
                <w:szCs w:val="20"/>
              </w:rPr>
            </w:pPr>
            <w:r w:rsidRPr="0006208B">
              <w:rPr>
                <w:kern w:val="2"/>
                <w:sz w:val="20"/>
                <w:szCs w:val="20"/>
              </w:rPr>
              <w:t>1028543</w:t>
            </w:r>
            <w:r w:rsidRPr="0006208B">
              <w:rPr>
                <w:kern w:val="2"/>
                <w:sz w:val="20"/>
                <w:szCs w:val="20"/>
              </w:rPr>
              <w:br/>
            </w:r>
            <w:r w:rsidRPr="0006208B">
              <w:rPr>
                <w:i/>
                <w:kern w:val="2"/>
                <w:sz w:val="20"/>
                <w:szCs w:val="20"/>
              </w:rPr>
              <w:t>[main study]</w:t>
            </w:r>
          </w:p>
        </w:tc>
        <w:tc>
          <w:tcPr>
            <w:tcW w:w="1696" w:type="dxa"/>
            <w:vMerge w:val="restart"/>
            <w:tcBorders>
              <w:top w:val="dotted" w:sz="2" w:space="0" w:color="auto"/>
              <w:left w:val="single" w:sz="4" w:space="0" w:color="auto"/>
              <w:bottom w:val="single" w:sz="4" w:space="0" w:color="auto"/>
              <w:right w:val="single" w:sz="4" w:space="0" w:color="auto"/>
            </w:tcBorders>
            <w:shd w:val="clear" w:color="auto" w:fill="FFFFFF"/>
            <w:vAlign w:val="center"/>
            <w:hideMark/>
          </w:tcPr>
          <w:p w:rsidR="005F06E6" w:rsidRPr="0006208B" w:rsidRDefault="005F06E6" w:rsidP="0006208B">
            <w:pPr>
              <w:pStyle w:val="Table"/>
              <w:keepNext/>
              <w:keepLines/>
              <w:spacing w:before="20" w:after="20" w:line="200" w:lineRule="exact"/>
              <w:jc w:val="center"/>
              <w:rPr>
                <w:b/>
                <w:kern w:val="2"/>
                <w:sz w:val="20"/>
                <w:szCs w:val="20"/>
              </w:rPr>
            </w:pPr>
            <w:r w:rsidRPr="0006208B">
              <w:rPr>
                <w:b/>
                <w:kern w:val="2"/>
                <w:sz w:val="20"/>
                <w:szCs w:val="20"/>
              </w:rPr>
              <w:t>Rat</w:t>
            </w:r>
            <w:r w:rsidRPr="0006208B">
              <w:rPr>
                <w:kern w:val="2"/>
                <w:sz w:val="20"/>
                <w:szCs w:val="20"/>
              </w:rPr>
              <w:t xml:space="preserve"> </w:t>
            </w:r>
            <w:r w:rsidRPr="0006208B">
              <w:rPr>
                <w:kern w:val="2"/>
                <w:sz w:val="20"/>
                <w:szCs w:val="20"/>
              </w:rPr>
              <w:br/>
              <w:t>(SD)</w:t>
            </w:r>
          </w:p>
        </w:tc>
        <w:tc>
          <w:tcPr>
            <w:tcW w:w="1899" w:type="dxa"/>
            <w:tcBorders>
              <w:top w:val="single" w:sz="4" w:space="0" w:color="auto"/>
              <w:left w:val="single" w:sz="4" w:space="0" w:color="auto"/>
              <w:bottom w:val="dotted" w:sz="2" w:space="0" w:color="auto"/>
              <w:right w:val="single" w:sz="4" w:space="0" w:color="auto"/>
            </w:tcBorders>
            <w:shd w:val="clear" w:color="auto" w:fill="FFFFFF"/>
            <w:vAlign w:val="center"/>
            <w:hideMark/>
          </w:tcPr>
          <w:p w:rsidR="005F06E6" w:rsidRPr="0006208B" w:rsidRDefault="005F06E6" w:rsidP="0006208B">
            <w:pPr>
              <w:pStyle w:val="Table"/>
              <w:keepNext/>
              <w:keepLines/>
              <w:spacing w:line="210" w:lineRule="exact"/>
              <w:jc w:val="center"/>
              <w:rPr>
                <w:kern w:val="2"/>
                <w:sz w:val="20"/>
                <w:szCs w:val="20"/>
              </w:rPr>
            </w:pPr>
            <w:r w:rsidRPr="0006208B">
              <w:rPr>
                <w:kern w:val="2"/>
                <w:sz w:val="20"/>
                <w:szCs w:val="20"/>
              </w:rPr>
              <w:t>30</w:t>
            </w:r>
          </w:p>
        </w:tc>
        <w:tc>
          <w:tcPr>
            <w:tcW w:w="1504" w:type="dxa"/>
            <w:tcBorders>
              <w:top w:val="single" w:sz="4" w:space="0" w:color="auto"/>
              <w:left w:val="single" w:sz="4" w:space="0" w:color="auto"/>
              <w:bottom w:val="dotted" w:sz="2" w:space="0" w:color="auto"/>
              <w:right w:val="single" w:sz="4" w:space="0" w:color="auto"/>
            </w:tcBorders>
            <w:shd w:val="clear" w:color="auto" w:fill="FFFFFF"/>
            <w:vAlign w:val="center"/>
            <w:hideMark/>
          </w:tcPr>
          <w:p w:rsidR="005F06E6" w:rsidRPr="0006208B" w:rsidRDefault="005F06E6">
            <w:pPr>
              <w:spacing w:line="210" w:lineRule="exact"/>
              <w:jc w:val="center"/>
              <w:rPr>
                <w:kern w:val="2"/>
                <w:sz w:val="20"/>
                <w:szCs w:val="20"/>
              </w:rPr>
            </w:pPr>
            <w:r w:rsidRPr="0006208B">
              <w:rPr>
                <w:kern w:val="2"/>
                <w:sz w:val="20"/>
                <w:szCs w:val="20"/>
              </w:rPr>
              <w:t>160</w:t>
            </w:r>
          </w:p>
        </w:tc>
        <w:tc>
          <w:tcPr>
            <w:tcW w:w="1944" w:type="dxa"/>
            <w:tcBorders>
              <w:top w:val="single" w:sz="4" w:space="0" w:color="auto"/>
              <w:left w:val="single" w:sz="4" w:space="0" w:color="auto"/>
              <w:bottom w:val="dotted" w:sz="2" w:space="0" w:color="auto"/>
              <w:right w:val="single" w:sz="8" w:space="0" w:color="auto"/>
            </w:tcBorders>
            <w:shd w:val="clear" w:color="auto" w:fill="FFFFFF"/>
            <w:vAlign w:val="center"/>
            <w:hideMark/>
          </w:tcPr>
          <w:p w:rsidR="005F06E6" w:rsidRPr="0006208B" w:rsidRDefault="005F06E6">
            <w:pPr>
              <w:spacing w:line="210" w:lineRule="exact"/>
              <w:jc w:val="center"/>
              <w:rPr>
                <w:kern w:val="2"/>
                <w:sz w:val="20"/>
                <w:szCs w:val="20"/>
              </w:rPr>
            </w:pPr>
            <w:r w:rsidRPr="0006208B">
              <w:rPr>
                <w:kern w:val="2"/>
                <w:sz w:val="20"/>
                <w:szCs w:val="20"/>
              </w:rPr>
              <w:t>0.14</w:t>
            </w:r>
          </w:p>
        </w:tc>
      </w:tr>
      <w:tr w:rsidR="005F06E6" w:rsidTr="00E23CE0">
        <w:trPr>
          <w:cantSplit/>
          <w:trHeight w:val="227"/>
          <w:tblHeader/>
          <w:jc w:val="center"/>
        </w:trPr>
        <w:tc>
          <w:tcPr>
            <w:tcW w:w="1375" w:type="dxa"/>
            <w:vMerge/>
            <w:tcBorders>
              <w:top w:val="dotted" w:sz="2" w:space="0" w:color="auto"/>
              <w:left w:val="single" w:sz="8" w:space="0" w:color="auto"/>
              <w:bottom w:val="single" w:sz="4" w:space="0" w:color="auto"/>
              <w:right w:val="single" w:sz="4" w:space="0" w:color="auto"/>
            </w:tcBorders>
            <w:vAlign w:val="center"/>
            <w:hideMark/>
          </w:tcPr>
          <w:p w:rsidR="005F06E6" w:rsidRPr="0006208B" w:rsidRDefault="005F06E6" w:rsidP="0006208B">
            <w:pPr>
              <w:keepNext/>
              <w:rPr>
                <w:i/>
                <w:kern w:val="2"/>
                <w:sz w:val="20"/>
                <w:szCs w:val="20"/>
              </w:rPr>
            </w:pPr>
          </w:p>
        </w:tc>
        <w:tc>
          <w:tcPr>
            <w:tcW w:w="1696" w:type="dxa"/>
            <w:vMerge/>
            <w:tcBorders>
              <w:top w:val="dotted" w:sz="2" w:space="0" w:color="auto"/>
              <w:left w:val="single" w:sz="4" w:space="0" w:color="auto"/>
              <w:bottom w:val="single" w:sz="4" w:space="0" w:color="auto"/>
              <w:right w:val="single" w:sz="4" w:space="0" w:color="auto"/>
            </w:tcBorders>
            <w:vAlign w:val="center"/>
            <w:hideMark/>
          </w:tcPr>
          <w:p w:rsidR="005F06E6" w:rsidRPr="0006208B" w:rsidRDefault="005F06E6" w:rsidP="0006208B">
            <w:pPr>
              <w:keepNext/>
              <w:rPr>
                <w:b/>
                <w:kern w:val="2"/>
                <w:sz w:val="20"/>
                <w:szCs w:val="20"/>
              </w:rPr>
            </w:pPr>
          </w:p>
        </w:tc>
        <w:tc>
          <w:tcPr>
            <w:tcW w:w="1899" w:type="dxa"/>
            <w:tcBorders>
              <w:top w:val="dotted" w:sz="2" w:space="0" w:color="auto"/>
              <w:left w:val="single" w:sz="4" w:space="0" w:color="auto"/>
              <w:bottom w:val="dotted" w:sz="2" w:space="0" w:color="auto"/>
              <w:right w:val="single" w:sz="4" w:space="0" w:color="auto"/>
            </w:tcBorders>
            <w:shd w:val="clear" w:color="auto" w:fill="FFFFFF"/>
            <w:vAlign w:val="center"/>
            <w:hideMark/>
          </w:tcPr>
          <w:p w:rsidR="005F06E6" w:rsidRPr="0006208B" w:rsidRDefault="005F06E6" w:rsidP="0006208B">
            <w:pPr>
              <w:pStyle w:val="Table"/>
              <w:keepNext/>
              <w:keepLines/>
              <w:spacing w:line="210" w:lineRule="exact"/>
              <w:jc w:val="center"/>
              <w:rPr>
                <w:kern w:val="2"/>
                <w:sz w:val="20"/>
                <w:szCs w:val="20"/>
              </w:rPr>
            </w:pPr>
            <w:r w:rsidRPr="0006208B">
              <w:rPr>
                <w:kern w:val="2"/>
                <w:sz w:val="20"/>
                <w:szCs w:val="20"/>
              </w:rPr>
              <w:t>100</w:t>
            </w:r>
          </w:p>
        </w:tc>
        <w:tc>
          <w:tcPr>
            <w:tcW w:w="1504" w:type="dxa"/>
            <w:tcBorders>
              <w:top w:val="dotted" w:sz="2" w:space="0" w:color="auto"/>
              <w:left w:val="single" w:sz="4" w:space="0" w:color="auto"/>
              <w:bottom w:val="dotted" w:sz="2" w:space="0" w:color="auto"/>
              <w:right w:val="single" w:sz="4" w:space="0" w:color="auto"/>
            </w:tcBorders>
            <w:shd w:val="clear" w:color="auto" w:fill="FFFFFF"/>
            <w:vAlign w:val="center"/>
            <w:hideMark/>
          </w:tcPr>
          <w:p w:rsidR="005F06E6" w:rsidRPr="0006208B" w:rsidRDefault="005F06E6">
            <w:pPr>
              <w:spacing w:line="210" w:lineRule="exact"/>
              <w:jc w:val="center"/>
              <w:rPr>
                <w:kern w:val="2"/>
                <w:sz w:val="20"/>
                <w:szCs w:val="20"/>
              </w:rPr>
            </w:pPr>
            <w:r w:rsidRPr="0006208B">
              <w:rPr>
                <w:kern w:val="2"/>
                <w:sz w:val="20"/>
                <w:szCs w:val="20"/>
              </w:rPr>
              <w:t>408</w:t>
            </w:r>
          </w:p>
        </w:tc>
        <w:tc>
          <w:tcPr>
            <w:tcW w:w="1944" w:type="dxa"/>
            <w:tcBorders>
              <w:top w:val="dotted" w:sz="2" w:space="0" w:color="auto"/>
              <w:left w:val="single" w:sz="4" w:space="0" w:color="auto"/>
              <w:bottom w:val="dotted" w:sz="2" w:space="0" w:color="auto"/>
              <w:right w:val="single" w:sz="8" w:space="0" w:color="auto"/>
            </w:tcBorders>
            <w:shd w:val="clear" w:color="auto" w:fill="FFFFFF"/>
            <w:vAlign w:val="center"/>
            <w:hideMark/>
          </w:tcPr>
          <w:p w:rsidR="005F06E6" w:rsidRPr="0006208B" w:rsidRDefault="005F06E6">
            <w:pPr>
              <w:spacing w:line="210" w:lineRule="exact"/>
              <w:jc w:val="center"/>
              <w:rPr>
                <w:kern w:val="2"/>
                <w:sz w:val="20"/>
                <w:szCs w:val="20"/>
              </w:rPr>
            </w:pPr>
            <w:r w:rsidRPr="0006208B">
              <w:rPr>
                <w:kern w:val="2"/>
                <w:sz w:val="20"/>
                <w:szCs w:val="20"/>
              </w:rPr>
              <w:t>0.36</w:t>
            </w:r>
          </w:p>
        </w:tc>
      </w:tr>
      <w:tr w:rsidR="005F06E6" w:rsidTr="00E23CE0">
        <w:trPr>
          <w:cantSplit/>
          <w:trHeight w:val="227"/>
          <w:tblHeader/>
          <w:jc w:val="center"/>
        </w:trPr>
        <w:tc>
          <w:tcPr>
            <w:tcW w:w="1375" w:type="dxa"/>
            <w:vMerge/>
            <w:tcBorders>
              <w:top w:val="dotted" w:sz="2" w:space="0" w:color="auto"/>
              <w:left w:val="single" w:sz="8" w:space="0" w:color="auto"/>
              <w:bottom w:val="single" w:sz="4" w:space="0" w:color="auto"/>
              <w:right w:val="single" w:sz="4" w:space="0" w:color="auto"/>
            </w:tcBorders>
            <w:vAlign w:val="center"/>
            <w:hideMark/>
          </w:tcPr>
          <w:p w:rsidR="005F06E6" w:rsidRPr="0006208B" w:rsidRDefault="005F06E6" w:rsidP="0006208B">
            <w:pPr>
              <w:keepNext/>
              <w:rPr>
                <w:i/>
                <w:kern w:val="2"/>
                <w:sz w:val="20"/>
                <w:szCs w:val="20"/>
              </w:rPr>
            </w:pPr>
          </w:p>
        </w:tc>
        <w:tc>
          <w:tcPr>
            <w:tcW w:w="1696" w:type="dxa"/>
            <w:vMerge/>
            <w:tcBorders>
              <w:top w:val="dotted" w:sz="2" w:space="0" w:color="auto"/>
              <w:left w:val="single" w:sz="4" w:space="0" w:color="auto"/>
              <w:bottom w:val="single" w:sz="4" w:space="0" w:color="auto"/>
              <w:right w:val="single" w:sz="4" w:space="0" w:color="auto"/>
            </w:tcBorders>
            <w:vAlign w:val="center"/>
            <w:hideMark/>
          </w:tcPr>
          <w:p w:rsidR="005F06E6" w:rsidRPr="0006208B" w:rsidRDefault="005F06E6" w:rsidP="0006208B">
            <w:pPr>
              <w:keepNext/>
              <w:rPr>
                <w:b/>
                <w:kern w:val="2"/>
                <w:sz w:val="20"/>
                <w:szCs w:val="20"/>
              </w:rPr>
            </w:pPr>
          </w:p>
        </w:tc>
        <w:tc>
          <w:tcPr>
            <w:tcW w:w="1899" w:type="dxa"/>
            <w:tcBorders>
              <w:top w:val="dotted" w:sz="2" w:space="0" w:color="auto"/>
              <w:left w:val="single" w:sz="4" w:space="0" w:color="auto"/>
              <w:bottom w:val="single" w:sz="4" w:space="0" w:color="auto"/>
              <w:right w:val="single" w:sz="4" w:space="0" w:color="auto"/>
            </w:tcBorders>
            <w:shd w:val="clear" w:color="auto" w:fill="FFFFFF"/>
            <w:vAlign w:val="center"/>
            <w:hideMark/>
          </w:tcPr>
          <w:p w:rsidR="005F06E6" w:rsidRPr="0006208B" w:rsidRDefault="005F06E6" w:rsidP="0006208B">
            <w:pPr>
              <w:pStyle w:val="Table"/>
              <w:keepNext/>
              <w:keepLines/>
              <w:spacing w:line="210" w:lineRule="exact"/>
              <w:jc w:val="center"/>
              <w:rPr>
                <w:kern w:val="2"/>
                <w:sz w:val="20"/>
                <w:szCs w:val="20"/>
              </w:rPr>
            </w:pPr>
            <w:r w:rsidRPr="0006208B">
              <w:rPr>
                <w:kern w:val="2"/>
                <w:sz w:val="20"/>
                <w:szCs w:val="20"/>
              </w:rPr>
              <w:t>250</w:t>
            </w:r>
          </w:p>
        </w:tc>
        <w:tc>
          <w:tcPr>
            <w:tcW w:w="1504" w:type="dxa"/>
            <w:tcBorders>
              <w:top w:val="dotted" w:sz="2" w:space="0" w:color="auto"/>
              <w:left w:val="single" w:sz="4" w:space="0" w:color="auto"/>
              <w:bottom w:val="single" w:sz="4" w:space="0" w:color="auto"/>
              <w:right w:val="single" w:sz="4" w:space="0" w:color="auto"/>
            </w:tcBorders>
            <w:shd w:val="clear" w:color="auto" w:fill="FFFFFF"/>
            <w:vAlign w:val="center"/>
            <w:hideMark/>
          </w:tcPr>
          <w:p w:rsidR="005F06E6" w:rsidRPr="0006208B" w:rsidRDefault="005F06E6">
            <w:pPr>
              <w:spacing w:line="210" w:lineRule="exact"/>
              <w:jc w:val="center"/>
              <w:rPr>
                <w:kern w:val="2"/>
                <w:sz w:val="20"/>
                <w:szCs w:val="20"/>
              </w:rPr>
            </w:pPr>
            <w:r w:rsidRPr="0006208B">
              <w:rPr>
                <w:kern w:val="2"/>
                <w:sz w:val="20"/>
                <w:szCs w:val="20"/>
              </w:rPr>
              <w:t>1590</w:t>
            </w:r>
          </w:p>
        </w:tc>
        <w:tc>
          <w:tcPr>
            <w:tcW w:w="1944" w:type="dxa"/>
            <w:tcBorders>
              <w:top w:val="dotted" w:sz="2" w:space="0" w:color="auto"/>
              <w:left w:val="single" w:sz="4" w:space="0" w:color="auto"/>
              <w:bottom w:val="single" w:sz="4" w:space="0" w:color="auto"/>
              <w:right w:val="single" w:sz="8" w:space="0" w:color="auto"/>
            </w:tcBorders>
            <w:shd w:val="clear" w:color="auto" w:fill="FFFFFF"/>
            <w:vAlign w:val="center"/>
            <w:hideMark/>
          </w:tcPr>
          <w:p w:rsidR="005F06E6" w:rsidRPr="0006208B" w:rsidRDefault="005F06E6">
            <w:pPr>
              <w:spacing w:line="210" w:lineRule="exact"/>
              <w:jc w:val="center"/>
              <w:rPr>
                <w:kern w:val="2"/>
                <w:sz w:val="20"/>
                <w:szCs w:val="20"/>
              </w:rPr>
            </w:pPr>
            <w:r w:rsidRPr="0006208B">
              <w:rPr>
                <w:kern w:val="2"/>
                <w:sz w:val="20"/>
                <w:szCs w:val="20"/>
              </w:rPr>
              <w:t>1.4</w:t>
            </w:r>
          </w:p>
        </w:tc>
      </w:tr>
      <w:tr w:rsidR="005F06E6" w:rsidTr="00E23CE0">
        <w:trPr>
          <w:cantSplit/>
          <w:trHeight w:val="227"/>
          <w:tblHeader/>
          <w:jc w:val="center"/>
        </w:trPr>
        <w:tc>
          <w:tcPr>
            <w:tcW w:w="1375" w:type="dxa"/>
            <w:vMerge w:val="restart"/>
            <w:tcBorders>
              <w:top w:val="single" w:sz="4" w:space="0" w:color="auto"/>
              <w:left w:val="single" w:sz="8" w:space="0" w:color="auto"/>
              <w:bottom w:val="single" w:sz="4" w:space="0" w:color="auto"/>
              <w:right w:val="single" w:sz="4" w:space="0" w:color="auto"/>
            </w:tcBorders>
            <w:shd w:val="clear" w:color="auto" w:fill="FFFFFF"/>
            <w:vAlign w:val="center"/>
            <w:hideMark/>
          </w:tcPr>
          <w:p w:rsidR="005F06E6" w:rsidRPr="0006208B" w:rsidRDefault="005F06E6" w:rsidP="0006208B">
            <w:pPr>
              <w:pStyle w:val="Table"/>
              <w:keepNext/>
              <w:keepLines/>
              <w:spacing w:before="20" w:after="20" w:line="210" w:lineRule="exact"/>
              <w:jc w:val="center"/>
              <w:rPr>
                <w:kern w:val="2"/>
                <w:sz w:val="20"/>
                <w:szCs w:val="20"/>
              </w:rPr>
            </w:pPr>
            <w:r w:rsidRPr="0006208B">
              <w:rPr>
                <w:kern w:val="2"/>
                <w:sz w:val="20"/>
                <w:szCs w:val="20"/>
              </w:rPr>
              <w:t>1026033</w:t>
            </w:r>
            <w:r w:rsidRPr="0006208B">
              <w:rPr>
                <w:kern w:val="2"/>
                <w:sz w:val="20"/>
                <w:szCs w:val="20"/>
              </w:rPr>
              <w:br/>
            </w:r>
            <w:r w:rsidRPr="0006208B">
              <w:rPr>
                <w:i/>
                <w:kern w:val="2"/>
                <w:sz w:val="20"/>
                <w:szCs w:val="20"/>
              </w:rPr>
              <w:t>[dose-ranging]</w:t>
            </w:r>
          </w:p>
        </w:tc>
        <w:tc>
          <w:tcPr>
            <w:tcW w:w="169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F06E6" w:rsidRPr="0006208B" w:rsidRDefault="005F06E6" w:rsidP="0006208B">
            <w:pPr>
              <w:pStyle w:val="Table"/>
              <w:keepNext/>
              <w:keepLines/>
              <w:spacing w:before="20" w:after="20" w:line="200" w:lineRule="exact"/>
              <w:jc w:val="center"/>
              <w:rPr>
                <w:kern w:val="2"/>
                <w:sz w:val="20"/>
                <w:szCs w:val="20"/>
              </w:rPr>
            </w:pPr>
            <w:r w:rsidRPr="0006208B">
              <w:rPr>
                <w:b/>
                <w:kern w:val="2"/>
                <w:sz w:val="20"/>
                <w:szCs w:val="20"/>
              </w:rPr>
              <w:t>Rabbit</w:t>
            </w:r>
            <w:r w:rsidRPr="0006208B">
              <w:rPr>
                <w:kern w:val="2"/>
                <w:sz w:val="20"/>
                <w:szCs w:val="20"/>
              </w:rPr>
              <w:t xml:space="preserve"> </w:t>
            </w:r>
            <w:r w:rsidRPr="0006208B">
              <w:rPr>
                <w:kern w:val="2"/>
                <w:sz w:val="20"/>
                <w:szCs w:val="20"/>
              </w:rPr>
              <w:br/>
              <w:t>(NZW)</w:t>
            </w:r>
          </w:p>
        </w:tc>
        <w:tc>
          <w:tcPr>
            <w:tcW w:w="1899" w:type="dxa"/>
            <w:tcBorders>
              <w:top w:val="single" w:sz="4" w:space="0" w:color="auto"/>
              <w:left w:val="single" w:sz="4" w:space="0" w:color="auto"/>
              <w:bottom w:val="dotted" w:sz="2" w:space="0" w:color="auto"/>
              <w:right w:val="single" w:sz="4" w:space="0" w:color="auto"/>
            </w:tcBorders>
            <w:shd w:val="clear" w:color="auto" w:fill="FFFFFF"/>
            <w:vAlign w:val="center"/>
            <w:hideMark/>
          </w:tcPr>
          <w:p w:rsidR="005F06E6" w:rsidRPr="0006208B" w:rsidRDefault="005F06E6" w:rsidP="0006208B">
            <w:pPr>
              <w:pStyle w:val="Table"/>
              <w:keepNext/>
              <w:keepLines/>
              <w:spacing w:line="210" w:lineRule="exact"/>
              <w:jc w:val="center"/>
              <w:rPr>
                <w:kern w:val="2"/>
                <w:sz w:val="20"/>
                <w:szCs w:val="20"/>
              </w:rPr>
            </w:pPr>
            <w:r w:rsidRPr="0006208B">
              <w:rPr>
                <w:kern w:val="2"/>
                <w:sz w:val="20"/>
                <w:szCs w:val="20"/>
              </w:rPr>
              <w:t>30</w:t>
            </w:r>
          </w:p>
        </w:tc>
        <w:tc>
          <w:tcPr>
            <w:tcW w:w="1504" w:type="dxa"/>
            <w:tcBorders>
              <w:top w:val="single" w:sz="4" w:space="0" w:color="auto"/>
              <w:left w:val="single" w:sz="4" w:space="0" w:color="auto"/>
              <w:bottom w:val="dotted" w:sz="2" w:space="0" w:color="auto"/>
              <w:right w:val="single" w:sz="4" w:space="0" w:color="auto"/>
            </w:tcBorders>
            <w:shd w:val="clear" w:color="auto" w:fill="FFFFFF"/>
            <w:vAlign w:val="center"/>
            <w:hideMark/>
          </w:tcPr>
          <w:p w:rsidR="005F06E6" w:rsidRPr="0006208B" w:rsidRDefault="005F06E6">
            <w:pPr>
              <w:pStyle w:val="Table"/>
              <w:keepNext/>
              <w:keepLines/>
              <w:spacing w:line="210" w:lineRule="exact"/>
              <w:jc w:val="center"/>
              <w:rPr>
                <w:kern w:val="2"/>
                <w:sz w:val="20"/>
                <w:szCs w:val="20"/>
              </w:rPr>
            </w:pPr>
            <w:r w:rsidRPr="0006208B">
              <w:rPr>
                <w:kern w:val="2"/>
                <w:sz w:val="20"/>
                <w:szCs w:val="20"/>
              </w:rPr>
              <w:t>148</w:t>
            </w:r>
          </w:p>
        </w:tc>
        <w:tc>
          <w:tcPr>
            <w:tcW w:w="1944" w:type="dxa"/>
            <w:tcBorders>
              <w:top w:val="single" w:sz="4" w:space="0" w:color="auto"/>
              <w:left w:val="single" w:sz="4" w:space="0" w:color="auto"/>
              <w:bottom w:val="dotted" w:sz="2" w:space="0" w:color="auto"/>
              <w:right w:val="single" w:sz="8" w:space="0" w:color="auto"/>
            </w:tcBorders>
            <w:shd w:val="clear" w:color="auto" w:fill="FFFFFF"/>
            <w:vAlign w:val="center"/>
            <w:hideMark/>
          </w:tcPr>
          <w:p w:rsidR="005F06E6" w:rsidRPr="0006208B" w:rsidRDefault="005F06E6">
            <w:pPr>
              <w:keepNext/>
              <w:keepLines/>
              <w:spacing w:line="210" w:lineRule="exact"/>
              <w:jc w:val="center"/>
              <w:rPr>
                <w:kern w:val="2"/>
                <w:sz w:val="20"/>
                <w:szCs w:val="20"/>
              </w:rPr>
            </w:pPr>
            <w:r w:rsidRPr="0006208B">
              <w:rPr>
                <w:kern w:val="2"/>
                <w:sz w:val="20"/>
                <w:szCs w:val="20"/>
              </w:rPr>
              <w:t>0.13</w:t>
            </w:r>
          </w:p>
        </w:tc>
      </w:tr>
      <w:tr w:rsidR="005F06E6" w:rsidTr="00E23CE0">
        <w:trPr>
          <w:cantSplit/>
          <w:trHeight w:val="227"/>
          <w:tblHeader/>
          <w:jc w:val="center"/>
        </w:trPr>
        <w:tc>
          <w:tcPr>
            <w:tcW w:w="1375" w:type="dxa"/>
            <w:vMerge/>
            <w:tcBorders>
              <w:top w:val="single" w:sz="4" w:space="0" w:color="auto"/>
              <w:left w:val="single" w:sz="8" w:space="0" w:color="auto"/>
              <w:bottom w:val="single" w:sz="4" w:space="0" w:color="auto"/>
              <w:right w:val="single" w:sz="4" w:space="0" w:color="auto"/>
            </w:tcBorders>
            <w:vAlign w:val="center"/>
            <w:hideMark/>
          </w:tcPr>
          <w:p w:rsidR="005F06E6" w:rsidRPr="0006208B" w:rsidRDefault="005F06E6" w:rsidP="0006208B">
            <w:pPr>
              <w:keepNext/>
              <w:rPr>
                <w:kern w:val="2"/>
                <w:sz w:val="20"/>
                <w:szCs w:val="20"/>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rsidR="005F06E6" w:rsidRPr="0006208B" w:rsidRDefault="005F06E6" w:rsidP="0006208B">
            <w:pPr>
              <w:keepNext/>
              <w:rPr>
                <w:kern w:val="2"/>
                <w:sz w:val="20"/>
                <w:szCs w:val="20"/>
              </w:rPr>
            </w:pPr>
          </w:p>
        </w:tc>
        <w:tc>
          <w:tcPr>
            <w:tcW w:w="1899" w:type="dxa"/>
            <w:tcBorders>
              <w:top w:val="dotted" w:sz="2" w:space="0" w:color="auto"/>
              <w:left w:val="single" w:sz="4" w:space="0" w:color="auto"/>
              <w:bottom w:val="dotted" w:sz="2" w:space="0" w:color="auto"/>
              <w:right w:val="single" w:sz="4" w:space="0" w:color="auto"/>
            </w:tcBorders>
            <w:shd w:val="clear" w:color="auto" w:fill="FFFFFF"/>
            <w:vAlign w:val="center"/>
            <w:hideMark/>
          </w:tcPr>
          <w:p w:rsidR="005F06E6" w:rsidRPr="0006208B" w:rsidRDefault="005F06E6" w:rsidP="0006208B">
            <w:pPr>
              <w:pStyle w:val="Table"/>
              <w:keepNext/>
              <w:keepLines/>
              <w:spacing w:line="210" w:lineRule="exact"/>
              <w:jc w:val="center"/>
              <w:rPr>
                <w:kern w:val="2"/>
                <w:sz w:val="20"/>
                <w:szCs w:val="20"/>
              </w:rPr>
            </w:pPr>
            <w:r w:rsidRPr="0006208B">
              <w:rPr>
                <w:kern w:val="2"/>
                <w:sz w:val="20"/>
                <w:szCs w:val="20"/>
              </w:rPr>
              <w:t>150</w:t>
            </w:r>
          </w:p>
        </w:tc>
        <w:tc>
          <w:tcPr>
            <w:tcW w:w="1504" w:type="dxa"/>
            <w:tcBorders>
              <w:top w:val="dotted" w:sz="2" w:space="0" w:color="auto"/>
              <w:left w:val="single" w:sz="4" w:space="0" w:color="auto"/>
              <w:bottom w:val="dotted" w:sz="2" w:space="0" w:color="auto"/>
              <w:right w:val="single" w:sz="4" w:space="0" w:color="auto"/>
            </w:tcBorders>
            <w:shd w:val="clear" w:color="auto" w:fill="FFFFFF"/>
            <w:vAlign w:val="center"/>
            <w:hideMark/>
          </w:tcPr>
          <w:p w:rsidR="005F06E6" w:rsidRPr="0006208B" w:rsidRDefault="005F06E6">
            <w:pPr>
              <w:pStyle w:val="Table"/>
              <w:keepNext/>
              <w:keepLines/>
              <w:spacing w:line="210" w:lineRule="exact"/>
              <w:jc w:val="center"/>
              <w:rPr>
                <w:kern w:val="2"/>
                <w:sz w:val="20"/>
                <w:szCs w:val="20"/>
              </w:rPr>
            </w:pPr>
            <w:r w:rsidRPr="0006208B">
              <w:rPr>
                <w:kern w:val="2"/>
                <w:sz w:val="20"/>
                <w:szCs w:val="20"/>
              </w:rPr>
              <w:t>375</w:t>
            </w:r>
          </w:p>
        </w:tc>
        <w:tc>
          <w:tcPr>
            <w:tcW w:w="1944" w:type="dxa"/>
            <w:tcBorders>
              <w:top w:val="dotted" w:sz="2" w:space="0" w:color="auto"/>
              <w:left w:val="single" w:sz="4" w:space="0" w:color="auto"/>
              <w:bottom w:val="dotted" w:sz="2" w:space="0" w:color="auto"/>
              <w:right w:val="single" w:sz="8" w:space="0" w:color="auto"/>
            </w:tcBorders>
            <w:shd w:val="clear" w:color="auto" w:fill="FFFFFF"/>
            <w:vAlign w:val="center"/>
            <w:hideMark/>
          </w:tcPr>
          <w:p w:rsidR="005F06E6" w:rsidRPr="0006208B" w:rsidRDefault="005F06E6">
            <w:pPr>
              <w:keepNext/>
              <w:keepLines/>
              <w:spacing w:line="210" w:lineRule="exact"/>
              <w:jc w:val="center"/>
              <w:rPr>
                <w:kern w:val="2"/>
                <w:sz w:val="20"/>
                <w:szCs w:val="20"/>
              </w:rPr>
            </w:pPr>
            <w:r w:rsidRPr="0006208B">
              <w:rPr>
                <w:kern w:val="2"/>
                <w:sz w:val="20"/>
                <w:szCs w:val="20"/>
              </w:rPr>
              <w:t>0.33</w:t>
            </w:r>
          </w:p>
        </w:tc>
      </w:tr>
      <w:tr w:rsidR="005F06E6" w:rsidTr="00E23CE0">
        <w:trPr>
          <w:cantSplit/>
          <w:trHeight w:val="227"/>
          <w:tblHeader/>
          <w:jc w:val="center"/>
        </w:trPr>
        <w:tc>
          <w:tcPr>
            <w:tcW w:w="1375" w:type="dxa"/>
            <w:vMerge/>
            <w:tcBorders>
              <w:top w:val="single" w:sz="4" w:space="0" w:color="auto"/>
              <w:left w:val="single" w:sz="8" w:space="0" w:color="auto"/>
              <w:bottom w:val="single" w:sz="4" w:space="0" w:color="auto"/>
              <w:right w:val="single" w:sz="4" w:space="0" w:color="auto"/>
            </w:tcBorders>
            <w:vAlign w:val="center"/>
            <w:hideMark/>
          </w:tcPr>
          <w:p w:rsidR="005F06E6" w:rsidRPr="0006208B" w:rsidRDefault="005F06E6" w:rsidP="0006208B">
            <w:pPr>
              <w:keepNext/>
              <w:rPr>
                <w:kern w:val="2"/>
                <w:sz w:val="20"/>
                <w:szCs w:val="20"/>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rsidR="005F06E6" w:rsidRPr="0006208B" w:rsidRDefault="005F06E6" w:rsidP="0006208B">
            <w:pPr>
              <w:keepNext/>
              <w:rPr>
                <w:kern w:val="2"/>
                <w:sz w:val="20"/>
                <w:szCs w:val="20"/>
              </w:rPr>
            </w:pPr>
          </w:p>
        </w:tc>
        <w:tc>
          <w:tcPr>
            <w:tcW w:w="1899" w:type="dxa"/>
            <w:tcBorders>
              <w:top w:val="dotted" w:sz="2" w:space="0" w:color="auto"/>
              <w:left w:val="single" w:sz="4" w:space="0" w:color="auto"/>
              <w:bottom w:val="single" w:sz="4" w:space="0" w:color="auto"/>
              <w:right w:val="single" w:sz="4" w:space="0" w:color="auto"/>
            </w:tcBorders>
            <w:shd w:val="clear" w:color="auto" w:fill="FFFFFF"/>
            <w:vAlign w:val="center"/>
            <w:hideMark/>
          </w:tcPr>
          <w:p w:rsidR="005F06E6" w:rsidRPr="0006208B" w:rsidRDefault="005F06E6" w:rsidP="0006208B">
            <w:pPr>
              <w:pStyle w:val="Table"/>
              <w:keepNext/>
              <w:keepLines/>
              <w:spacing w:line="210" w:lineRule="exact"/>
              <w:jc w:val="center"/>
              <w:rPr>
                <w:kern w:val="2"/>
                <w:sz w:val="20"/>
                <w:szCs w:val="20"/>
              </w:rPr>
            </w:pPr>
            <w:r w:rsidRPr="0006208B">
              <w:rPr>
                <w:kern w:val="2"/>
                <w:sz w:val="20"/>
                <w:szCs w:val="20"/>
              </w:rPr>
              <w:t>450</w:t>
            </w:r>
          </w:p>
        </w:tc>
        <w:tc>
          <w:tcPr>
            <w:tcW w:w="1504" w:type="dxa"/>
            <w:tcBorders>
              <w:top w:val="dotted" w:sz="2" w:space="0" w:color="auto"/>
              <w:left w:val="single" w:sz="4" w:space="0" w:color="auto"/>
              <w:bottom w:val="single" w:sz="4" w:space="0" w:color="auto"/>
              <w:right w:val="single" w:sz="4" w:space="0" w:color="auto"/>
            </w:tcBorders>
            <w:shd w:val="clear" w:color="auto" w:fill="FFFFFF"/>
            <w:vAlign w:val="center"/>
            <w:hideMark/>
          </w:tcPr>
          <w:p w:rsidR="005F06E6" w:rsidRPr="0006208B" w:rsidRDefault="005F06E6">
            <w:pPr>
              <w:pStyle w:val="Table"/>
              <w:keepNext/>
              <w:keepLines/>
              <w:spacing w:line="210" w:lineRule="exact"/>
              <w:jc w:val="center"/>
              <w:rPr>
                <w:kern w:val="2"/>
                <w:sz w:val="20"/>
                <w:szCs w:val="20"/>
              </w:rPr>
            </w:pPr>
            <w:r w:rsidRPr="0006208B">
              <w:rPr>
                <w:kern w:val="2"/>
                <w:sz w:val="20"/>
                <w:szCs w:val="20"/>
              </w:rPr>
              <w:t>605</w:t>
            </w:r>
          </w:p>
        </w:tc>
        <w:tc>
          <w:tcPr>
            <w:tcW w:w="1944" w:type="dxa"/>
            <w:tcBorders>
              <w:top w:val="dotted" w:sz="2" w:space="0" w:color="auto"/>
              <w:left w:val="single" w:sz="4" w:space="0" w:color="auto"/>
              <w:bottom w:val="single" w:sz="4" w:space="0" w:color="auto"/>
              <w:right w:val="single" w:sz="8" w:space="0" w:color="auto"/>
            </w:tcBorders>
            <w:shd w:val="clear" w:color="auto" w:fill="FFFFFF"/>
            <w:vAlign w:val="center"/>
            <w:hideMark/>
          </w:tcPr>
          <w:p w:rsidR="005F06E6" w:rsidRPr="0006208B" w:rsidRDefault="005F06E6">
            <w:pPr>
              <w:keepNext/>
              <w:keepLines/>
              <w:spacing w:line="210" w:lineRule="exact"/>
              <w:jc w:val="center"/>
              <w:rPr>
                <w:kern w:val="2"/>
                <w:sz w:val="20"/>
                <w:szCs w:val="20"/>
              </w:rPr>
            </w:pPr>
            <w:r w:rsidRPr="0006208B">
              <w:rPr>
                <w:kern w:val="2"/>
                <w:sz w:val="20"/>
                <w:szCs w:val="20"/>
              </w:rPr>
              <w:t>0.54</w:t>
            </w:r>
          </w:p>
        </w:tc>
      </w:tr>
      <w:tr w:rsidR="005F06E6" w:rsidTr="00E23CE0">
        <w:trPr>
          <w:cantSplit/>
          <w:trHeight w:val="227"/>
          <w:tblHeader/>
          <w:jc w:val="center"/>
        </w:trPr>
        <w:tc>
          <w:tcPr>
            <w:tcW w:w="1375" w:type="dxa"/>
            <w:vMerge w:val="restart"/>
            <w:tcBorders>
              <w:top w:val="single" w:sz="4" w:space="0" w:color="auto"/>
              <w:left w:val="single" w:sz="8" w:space="0" w:color="auto"/>
              <w:bottom w:val="double" w:sz="6" w:space="0" w:color="auto"/>
              <w:right w:val="single" w:sz="4" w:space="0" w:color="auto"/>
            </w:tcBorders>
            <w:shd w:val="clear" w:color="auto" w:fill="FFFFFF"/>
            <w:vAlign w:val="center"/>
            <w:hideMark/>
          </w:tcPr>
          <w:p w:rsidR="005F06E6" w:rsidRPr="0006208B" w:rsidRDefault="005F06E6" w:rsidP="0006208B">
            <w:pPr>
              <w:pStyle w:val="Table"/>
              <w:keepNext/>
              <w:keepLines/>
              <w:spacing w:before="20" w:after="20" w:line="210" w:lineRule="exact"/>
              <w:jc w:val="center"/>
              <w:rPr>
                <w:kern w:val="2"/>
                <w:sz w:val="20"/>
                <w:szCs w:val="20"/>
              </w:rPr>
            </w:pPr>
            <w:r w:rsidRPr="0006208B">
              <w:rPr>
                <w:kern w:val="2"/>
                <w:sz w:val="20"/>
                <w:szCs w:val="20"/>
              </w:rPr>
              <w:t>1028544</w:t>
            </w:r>
            <w:r w:rsidRPr="0006208B">
              <w:rPr>
                <w:i/>
                <w:kern w:val="2"/>
                <w:sz w:val="20"/>
                <w:szCs w:val="20"/>
              </w:rPr>
              <w:br/>
              <w:t>[main study]</w:t>
            </w:r>
          </w:p>
        </w:tc>
        <w:tc>
          <w:tcPr>
            <w:tcW w:w="1696" w:type="dxa"/>
            <w:vMerge w:val="restart"/>
            <w:tcBorders>
              <w:top w:val="single" w:sz="4" w:space="0" w:color="auto"/>
              <w:left w:val="single" w:sz="4" w:space="0" w:color="auto"/>
              <w:bottom w:val="double" w:sz="6" w:space="0" w:color="auto"/>
              <w:right w:val="single" w:sz="4" w:space="0" w:color="auto"/>
            </w:tcBorders>
            <w:shd w:val="clear" w:color="auto" w:fill="FFFFFF"/>
            <w:vAlign w:val="center"/>
            <w:hideMark/>
          </w:tcPr>
          <w:p w:rsidR="005F06E6" w:rsidRPr="0006208B" w:rsidRDefault="005F06E6" w:rsidP="0006208B">
            <w:pPr>
              <w:pStyle w:val="Table"/>
              <w:keepNext/>
              <w:keepLines/>
              <w:spacing w:before="20" w:after="20" w:line="200" w:lineRule="exact"/>
              <w:jc w:val="center"/>
              <w:rPr>
                <w:kern w:val="2"/>
                <w:sz w:val="20"/>
                <w:szCs w:val="20"/>
              </w:rPr>
            </w:pPr>
            <w:r w:rsidRPr="0006208B">
              <w:rPr>
                <w:b/>
                <w:kern w:val="2"/>
                <w:sz w:val="20"/>
                <w:szCs w:val="20"/>
              </w:rPr>
              <w:t>Rabbit</w:t>
            </w:r>
            <w:r w:rsidRPr="0006208B">
              <w:rPr>
                <w:kern w:val="2"/>
                <w:sz w:val="20"/>
                <w:szCs w:val="20"/>
              </w:rPr>
              <w:br/>
              <w:t>(NZW)</w:t>
            </w:r>
          </w:p>
        </w:tc>
        <w:tc>
          <w:tcPr>
            <w:tcW w:w="1899" w:type="dxa"/>
            <w:tcBorders>
              <w:top w:val="single" w:sz="4" w:space="0" w:color="auto"/>
              <w:left w:val="single" w:sz="4" w:space="0" w:color="auto"/>
              <w:bottom w:val="dotted" w:sz="2" w:space="0" w:color="auto"/>
              <w:right w:val="single" w:sz="4" w:space="0" w:color="auto"/>
            </w:tcBorders>
            <w:shd w:val="clear" w:color="auto" w:fill="FFFFFF"/>
            <w:vAlign w:val="center"/>
            <w:hideMark/>
          </w:tcPr>
          <w:p w:rsidR="005F06E6" w:rsidRPr="0006208B" w:rsidRDefault="005F06E6" w:rsidP="0006208B">
            <w:pPr>
              <w:pStyle w:val="Table"/>
              <w:keepNext/>
              <w:keepLines/>
              <w:spacing w:line="210" w:lineRule="exact"/>
              <w:jc w:val="center"/>
              <w:rPr>
                <w:kern w:val="2"/>
                <w:sz w:val="20"/>
                <w:szCs w:val="20"/>
              </w:rPr>
            </w:pPr>
            <w:r w:rsidRPr="0006208B">
              <w:rPr>
                <w:kern w:val="2"/>
                <w:sz w:val="20"/>
                <w:szCs w:val="20"/>
              </w:rPr>
              <w:t>30</w:t>
            </w:r>
          </w:p>
        </w:tc>
        <w:tc>
          <w:tcPr>
            <w:tcW w:w="1504" w:type="dxa"/>
            <w:tcBorders>
              <w:top w:val="single" w:sz="4" w:space="0" w:color="auto"/>
              <w:left w:val="single" w:sz="4" w:space="0" w:color="auto"/>
              <w:bottom w:val="dotted" w:sz="2" w:space="0" w:color="auto"/>
              <w:right w:val="single" w:sz="4" w:space="0" w:color="auto"/>
            </w:tcBorders>
            <w:shd w:val="clear" w:color="auto" w:fill="FFFFFF"/>
            <w:vAlign w:val="center"/>
            <w:hideMark/>
          </w:tcPr>
          <w:p w:rsidR="005F06E6" w:rsidRPr="0006208B" w:rsidRDefault="005F06E6">
            <w:pPr>
              <w:pStyle w:val="Table"/>
              <w:keepNext/>
              <w:keepLines/>
              <w:spacing w:line="210" w:lineRule="exact"/>
              <w:jc w:val="center"/>
              <w:rPr>
                <w:kern w:val="2"/>
                <w:sz w:val="20"/>
                <w:szCs w:val="20"/>
              </w:rPr>
            </w:pPr>
            <w:r w:rsidRPr="0006208B">
              <w:rPr>
                <w:kern w:val="2"/>
                <w:sz w:val="20"/>
                <w:szCs w:val="20"/>
              </w:rPr>
              <w:t>128</w:t>
            </w:r>
          </w:p>
        </w:tc>
        <w:tc>
          <w:tcPr>
            <w:tcW w:w="1944" w:type="dxa"/>
            <w:tcBorders>
              <w:top w:val="single" w:sz="4" w:space="0" w:color="auto"/>
              <w:left w:val="single" w:sz="4" w:space="0" w:color="auto"/>
              <w:bottom w:val="dotted" w:sz="2" w:space="0" w:color="auto"/>
              <w:right w:val="single" w:sz="8" w:space="0" w:color="auto"/>
            </w:tcBorders>
            <w:shd w:val="clear" w:color="auto" w:fill="FFFFFF"/>
            <w:vAlign w:val="center"/>
            <w:hideMark/>
          </w:tcPr>
          <w:p w:rsidR="005F06E6" w:rsidRPr="0006208B" w:rsidRDefault="005F06E6">
            <w:pPr>
              <w:keepNext/>
              <w:keepLines/>
              <w:spacing w:line="210" w:lineRule="exact"/>
              <w:jc w:val="center"/>
              <w:rPr>
                <w:kern w:val="2"/>
                <w:sz w:val="20"/>
                <w:szCs w:val="20"/>
              </w:rPr>
            </w:pPr>
            <w:r w:rsidRPr="0006208B">
              <w:rPr>
                <w:kern w:val="2"/>
                <w:sz w:val="20"/>
                <w:szCs w:val="20"/>
              </w:rPr>
              <w:t>0.11</w:t>
            </w:r>
          </w:p>
        </w:tc>
      </w:tr>
      <w:tr w:rsidR="005F06E6" w:rsidTr="00E23CE0">
        <w:trPr>
          <w:cantSplit/>
          <w:trHeight w:val="227"/>
          <w:tblHeader/>
          <w:jc w:val="center"/>
        </w:trPr>
        <w:tc>
          <w:tcPr>
            <w:tcW w:w="1375" w:type="dxa"/>
            <w:vMerge/>
            <w:tcBorders>
              <w:top w:val="single" w:sz="4" w:space="0" w:color="auto"/>
              <w:left w:val="single" w:sz="8" w:space="0" w:color="auto"/>
              <w:bottom w:val="double" w:sz="6" w:space="0" w:color="auto"/>
              <w:right w:val="single" w:sz="4" w:space="0" w:color="auto"/>
            </w:tcBorders>
            <w:vAlign w:val="center"/>
            <w:hideMark/>
          </w:tcPr>
          <w:p w:rsidR="005F06E6" w:rsidRPr="0006208B" w:rsidRDefault="005F06E6" w:rsidP="0006208B">
            <w:pPr>
              <w:keepNext/>
              <w:rPr>
                <w:kern w:val="2"/>
                <w:sz w:val="20"/>
                <w:szCs w:val="20"/>
              </w:rPr>
            </w:pPr>
          </w:p>
        </w:tc>
        <w:tc>
          <w:tcPr>
            <w:tcW w:w="1696" w:type="dxa"/>
            <w:vMerge/>
            <w:tcBorders>
              <w:top w:val="single" w:sz="4" w:space="0" w:color="auto"/>
              <w:left w:val="single" w:sz="4" w:space="0" w:color="auto"/>
              <w:bottom w:val="double" w:sz="6" w:space="0" w:color="auto"/>
              <w:right w:val="single" w:sz="4" w:space="0" w:color="auto"/>
            </w:tcBorders>
            <w:vAlign w:val="center"/>
            <w:hideMark/>
          </w:tcPr>
          <w:p w:rsidR="005F06E6" w:rsidRPr="0006208B" w:rsidRDefault="005F06E6" w:rsidP="0006208B">
            <w:pPr>
              <w:keepNext/>
              <w:rPr>
                <w:kern w:val="2"/>
                <w:sz w:val="20"/>
                <w:szCs w:val="20"/>
              </w:rPr>
            </w:pPr>
          </w:p>
        </w:tc>
        <w:tc>
          <w:tcPr>
            <w:tcW w:w="1899" w:type="dxa"/>
            <w:tcBorders>
              <w:top w:val="dotted" w:sz="2" w:space="0" w:color="auto"/>
              <w:left w:val="single" w:sz="4" w:space="0" w:color="auto"/>
              <w:bottom w:val="dotted" w:sz="2" w:space="0" w:color="auto"/>
              <w:right w:val="single" w:sz="4" w:space="0" w:color="auto"/>
            </w:tcBorders>
            <w:shd w:val="clear" w:color="auto" w:fill="FFFFFF"/>
            <w:vAlign w:val="center"/>
            <w:hideMark/>
          </w:tcPr>
          <w:p w:rsidR="005F06E6" w:rsidRPr="0006208B" w:rsidRDefault="005F06E6" w:rsidP="0006208B">
            <w:pPr>
              <w:pStyle w:val="Table"/>
              <w:keepNext/>
              <w:keepLines/>
              <w:spacing w:line="210" w:lineRule="exact"/>
              <w:jc w:val="center"/>
              <w:rPr>
                <w:kern w:val="2"/>
                <w:sz w:val="20"/>
                <w:szCs w:val="20"/>
              </w:rPr>
            </w:pPr>
            <w:r w:rsidRPr="0006208B">
              <w:rPr>
                <w:kern w:val="2"/>
                <w:sz w:val="20"/>
                <w:szCs w:val="20"/>
              </w:rPr>
              <w:t>150</w:t>
            </w:r>
          </w:p>
        </w:tc>
        <w:tc>
          <w:tcPr>
            <w:tcW w:w="1504" w:type="dxa"/>
            <w:tcBorders>
              <w:top w:val="dotted" w:sz="2" w:space="0" w:color="auto"/>
              <w:left w:val="single" w:sz="4" w:space="0" w:color="auto"/>
              <w:bottom w:val="dotted" w:sz="2" w:space="0" w:color="auto"/>
              <w:right w:val="single" w:sz="4" w:space="0" w:color="auto"/>
            </w:tcBorders>
            <w:shd w:val="clear" w:color="auto" w:fill="FFFFFF"/>
            <w:vAlign w:val="center"/>
            <w:hideMark/>
          </w:tcPr>
          <w:p w:rsidR="005F06E6" w:rsidRPr="0006208B" w:rsidRDefault="005F06E6">
            <w:pPr>
              <w:pStyle w:val="Table"/>
              <w:keepNext/>
              <w:keepLines/>
              <w:spacing w:line="210" w:lineRule="exact"/>
              <w:jc w:val="center"/>
              <w:rPr>
                <w:kern w:val="2"/>
                <w:sz w:val="20"/>
                <w:szCs w:val="20"/>
              </w:rPr>
            </w:pPr>
            <w:r w:rsidRPr="0006208B">
              <w:rPr>
                <w:kern w:val="2"/>
                <w:sz w:val="20"/>
                <w:szCs w:val="20"/>
              </w:rPr>
              <w:t>386</w:t>
            </w:r>
          </w:p>
        </w:tc>
        <w:tc>
          <w:tcPr>
            <w:tcW w:w="1944" w:type="dxa"/>
            <w:tcBorders>
              <w:top w:val="dotted" w:sz="2" w:space="0" w:color="auto"/>
              <w:left w:val="single" w:sz="4" w:space="0" w:color="auto"/>
              <w:bottom w:val="dotted" w:sz="2" w:space="0" w:color="auto"/>
              <w:right w:val="single" w:sz="8" w:space="0" w:color="auto"/>
            </w:tcBorders>
            <w:shd w:val="clear" w:color="auto" w:fill="FFFFFF"/>
            <w:vAlign w:val="center"/>
            <w:hideMark/>
          </w:tcPr>
          <w:p w:rsidR="005F06E6" w:rsidRPr="0006208B" w:rsidRDefault="005F06E6">
            <w:pPr>
              <w:keepNext/>
              <w:keepLines/>
              <w:spacing w:line="210" w:lineRule="exact"/>
              <w:jc w:val="center"/>
              <w:rPr>
                <w:kern w:val="2"/>
                <w:sz w:val="20"/>
                <w:szCs w:val="20"/>
              </w:rPr>
            </w:pPr>
            <w:r w:rsidRPr="0006208B">
              <w:rPr>
                <w:kern w:val="2"/>
                <w:sz w:val="20"/>
                <w:szCs w:val="20"/>
              </w:rPr>
              <w:t>0.34</w:t>
            </w:r>
          </w:p>
        </w:tc>
      </w:tr>
      <w:tr w:rsidR="005F06E6" w:rsidTr="00E23CE0">
        <w:trPr>
          <w:cantSplit/>
          <w:trHeight w:val="227"/>
          <w:tblHeader/>
          <w:jc w:val="center"/>
        </w:trPr>
        <w:tc>
          <w:tcPr>
            <w:tcW w:w="1375" w:type="dxa"/>
            <w:vMerge/>
            <w:tcBorders>
              <w:top w:val="single" w:sz="4" w:space="0" w:color="auto"/>
              <w:left w:val="single" w:sz="8" w:space="0" w:color="auto"/>
              <w:bottom w:val="double" w:sz="6" w:space="0" w:color="auto"/>
              <w:right w:val="single" w:sz="4" w:space="0" w:color="auto"/>
            </w:tcBorders>
            <w:vAlign w:val="center"/>
            <w:hideMark/>
          </w:tcPr>
          <w:p w:rsidR="005F06E6" w:rsidRPr="0006208B" w:rsidRDefault="005F06E6" w:rsidP="0006208B">
            <w:pPr>
              <w:keepNext/>
              <w:rPr>
                <w:kern w:val="2"/>
                <w:sz w:val="20"/>
                <w:szCs w:val="20"/>
              </w:rPr>
            </w:pPr>
          </w:p>
        </w:tc>
        <w:tc>
          <w:tcPr>
            <w:tcW w:w="1696" w:type="dxa"/>
            <w:vMerge/>
            <w:tcBorders>
              <w:top w:val="single" w:sz="4" w:space="0" w:color="auto"/>
              <w:left w:val="single" w:sz="4" w:space="0" w:color="auto"/>
              <w:bottom w:val="double" w:sz="6" w:space="0" w:color="auto"/>
              <w:right w:val="single" w:sz="4" w:space="0" w:color="auto"/>
            </w:tcBorders>
            <w:vAlign w:val="center"/>
            <w:hideMark/>
          </w:tcPr>
          <w:p w:rsidR="005F06E6" w:rsidRPr="0006208B" w:rsidRDefault="005F06E6" w:rsidP="0006208B">
            <w:pPr>
              <w:keepNext/>
              <w:rPr>
                <w:kern w:val="2"/>
                <w:sz w:val="20"/>
                <w:szCs w:val="20"/>
              </w:rPr>
            </w:pPr>
          </w:p>
        </w:tc>
        <w:tc>
          <w:tcPr>
            <w:tcW w:w="1899" w:type="dxa"/>
            <w:tcBorders>
              <w:top w:val="dotted" w:sz="2" w:space="0" w:color="auto"/>
              <w:left w:val="single" w:sz="4" w:space="0" w:color="auto"/>
              <w:bottom w:val="double" w:sz="6" w:space="0" w:color="auto"/>
              <w:right w:val="single" w:sz="4" w:space="0" w:color="auto"/>
            </w:tcBorders>
            <w:shd w:val="clear" w:color="auto" w:fill="FFFFFF"/>
            <w:vAlign w:val="center"/>
            <w:hideMark/>
          </w:tcPr>
          <w:p w:rsidR="005F06E6" w:rsidRPr="0006208B" w:rsidRDefault="005F06E6" w:rsidP="0006208B">
            <w:pPr>
              <w:pStyle w:val="Table"/>
              <w:keepNext/>
              <w:keepLines/>
              <w:spacing w:line="210" w:lineRule="exact"/>
              <w:jc w:val="center"/>
              <w:rPr>
                <w:kern w:val="2"/>
                <w:sz w:val="20"/>
                <w:szCs w:val="20"/>
              </w:rPr>
            </w:pPr>
            <w:r w:rsidRPr="0006208B">
              <w:rPr>
                <w:kern w:val="2"/>
                <w:sz w:val="20"/>
                <w:szCs w:val="20"/>
              </w:rPr>
              <w:t>450</w:t>
            </w:r>
          </w:p>
        </w:tc>
        <w:tc>
          <w:tcPr>
            <w:tcW w:w="1504" w:type="dxa"/>
            <w:tcBorders>
              <w:top w:val="dotted" w:sz="2" w:space="0" w:color="auto"/>
              <w:left w:val="single" w:sz="4" w:space="0" w:color="auto"/>
              <w:bottom w:val="double" w:sz="6" w:space="0" w:color="auto"/>
              <w:right w:val="single" w:sz="4" w:space="0" w:color="auto"/>
            </w:tcBorders>
            <w:shd w:val="clear" w:color="auto" w:fill="FFFFFF"/>
            <w:vAlign w:val="center"/>
            <w:hideMark/>
          </w:tcPr>
          <w:p w:rsidR="005F06E6" w:rsidRPr="0006208B" w:rsidRDefault="005F06E6">
            <w:pPr>
              <w:pStyle w:val="Table"/>
              <w:keepNext/>
              <w:keepLines/>
              <w:spacing w:line="210" w:lineRule="exact"/>
              <w:jc w:val="center"/>
              <w:rPr>
                <w:kern w:val="2"/>
                <w:sz w:val="20"/>
                <w:szCs w:val="20"/>
              </w:rPr>
            </w:pPr>
            <w:r w:rsidRPr="0006208B">
              <w:rPr>
                <w:kern w:val="2"/>
                <w:sz w:val="20"/>
                <w:szCs w:val="20"/>
              </w:rPr>
              <w:t>508</w:t>
            </w:r>
          </w:p>
        </w:tc>
        <w:tc>
          <w:tcPr>
            <w:tcW w:w="1944" w:type="dxa"/>
            <w:tcBorders>
              <w:top w:val="dotted" w:sz="2" w:space="0" w:color="auto"/>
              <w:left w:val="single" w:sz="4" w:space="0" w:color="auto"/>
              <w:bottom w:val="double" w:sz="6" w:space="0" w:color="auto"/>
              <w:right w:val="single" w:sz="8" w:space="0" w:color="auto"/>
            </w:tcBorders>
            <w:shd w:val="clear" w:color="auto" w:fill="FFFFFF"/>
            <w:vAlign w:val="center"/>
            <w:hideMark/>
          </w:tcPr>
          <w:p w:rsidR="005F06E6" w:rsidRPr="0006208B" w:rsidRDefault="005F06E6">
            <w:pPr>
              <w:keepNext/>
              <w:keepLines/>
              <w:spacing w:line="210" w:lineRule="exact"/>
              <w:jc w:val="center"/>
              <w:rPr>
                <w:kern w:val="2"/>
                <w:sz w:val="20"/>
                <w:szCs w:val="20"/>
              </w:rPr>
            </w:pPr>
            <w:r w:rsidRPr="0006208B">
              <w:rPr>
                <w:kern w:val="2"/>
                <w:sz w:val="20"/>
                <w:szCs w:val="20"/>
              </w:rPr>
              <w:t>0.45</w:t>
            </w:r>
          </w:p>
        </w:tc>
      </w:tr>
      <w:tr w:rsidR="005F06E6" w:rsidTr="00E23CE0">
        <w:trPr>
          <w:cantSplit/>
          <w:trHeight w:val="305"/>
          <w:tblHeader/>
          <w:jc w:val="center"/>
        </w:trPr>
        <w:tc>
          <w:tcPr>
            <w:tcW w:w="1375" w:type="dxa"/>
            <w:tcBorders>
              <w:top w:val="double" w:sz="6" w:space="0" w:color="auto"/>
              <w:left w:val="single" w:sz="8" w:space="0" w:color="auto"/>
              <w:bottom w:val="single" w:sz="8" w:space="0" w:color="auto"/>
              <w:right w:val="single" w:sz="4" w:space="0" w:color="auto"/>
            </w:tcBorders>
            <w:shd w:val="clear" w:color="auto" w:fill="FFFFFF"/>
            <w:vAlign w:val="center"/>
            <w:hideMark/>
          </w:tcPr>
          <w:p w:rsidR="005F06E6" w:rsidRPr="0006208B" w:rsidRDefault="005F06E6" w:rsidP="0006208B">
            <w:pPr>
              <w:keepNext/>
              <w:widowControl w:val="0"/>
              <w:spacing w:before="80" w:after="80" w:line="200" w:lineRule="exact"/>
              <w:jc w:val="center"/>
              <w:rPr>
                <w:b/>
                <w:i/>
                <w:kern w:val="2"/>
                <w:sz w:val="20"/>
                <w:szCs w:val="20"/>
                <w:vertAlign w:val="superscript"/>
              </w:rPr>
            </w:pPr>
            <w:r w:rsidRPr="0006208B">
              <w:rPr>
                <w:kern w:val="2"/>
                <w:sz w:val="20"/>
                <w:szCs w:val="20"/>
              </w:rPr>
              <w:t>NP25163</w:t>
            </w:r>
          </w:p>
        </w:tc>
        <w:tc>
          <w:tcPr>
            <w:tcW w:w="1696" w:type="dxa"/>
            <w:tcBorders>
              <w:top w:val="double" w:sz="6" w:space="0" w:color="auto"/>
              <w:left w:val="single" w:sz="4" w:space="0" w:color="auto"/>
              <w:bottom w:val="single" w:sz="8" w:space="0" w:color="auto"/>
              <w:right w:val="single" w:sz="4" w:space="0" w:color="auto"/>
            </w:tcBorders>
            <w:shd w:val="clear" w:color="auto" w:fill="FFFFFF"/>
            <w:vAlign w:val="center"/>
            <w:hideMark/>
          </w:tcPr>
          <w:p w:rsidR="005F06E6" w:rsidRPr="0006208B" w:rsidRDefault="005F06E6" w:rsidP="0006208B">
            <w:pPr>
              <w:keepNext/>
              <w:widowControl w:val="0"/>
              <w:spacing w:line="200" w:lineRule="exact"/>
              <w:jc w:val="center"/>
              <w:rPr>
                <w:b/>
                <w:kern w:val="2"/>
                <w:sz w:val="20"/>
                <w:szCs w:val="20"/>
                <w:vertAlign w:val="superscript"/>
              </w:rPr>
            </w:pPr>
            <w:r w:rsidRPr="0006208B">
              <w:rPr>
                <w:b/>
                <w:kern w:val="2"/>
                <w:sz w:val="20"/>
                <w:szCs w:val="20"/>
              </w:rPr>
              <w:t>Human</w:t>
            </w:r>
          </w:p>
        </w:tc>
        <w:tc>
          <w:tcPr>
            <w:tcW w:w="1899" w:type="dxa"/>
            <w:tcBorders>
              <w:top w:val="double" w:sz="6" w:space="0" w:color="auto"/>
              <w:left w:val="single" w:sz="4" w:space="0" w:color="auto"/>
              <w:bottom w:val="single" w:sz="8" w:space="0" w:color="auto"/>
              <w:right w:val="single" w:sz="4" w:space="0" w:color="auto"/>
            </w:tcBorders>
            <w:shd w:val="clear" w:color="auto" w:fill="FFFFFF"/>
            <w:vAlign w:val="center"/>
            <w:hideMark/>
          </w:tcPr>
          <w:p w:rsidR="005F06E6" w:rsidRPr="0006208B" w:rsidRDefault="005F06E6" w:rsidP="0006208B">
            <w:pPr>
              <w:keepNext/>
              <w:keepLines/>
              <w:spacing w:line="210" w:lineRule="exact"/>
              <w:jc w:val="center"/>
              <w:rPr>
                <w:kern w:val="2"/>
                <w:sz w:val="20"/>
                <w:szCs w:val="20"/>
              </w:rPr>
            </w:pPr>
            <w:r w:rsidRPr="0006208B">
              <w:rPr>
                <w:kern w:val="2"/>
                <w:sz w:val="20"/>
                <w:szCs w:val="20"/>
              </w:rPr>
              <w:t xml:space="preserve">[960 mg bid; </w:t>
            </w:r>
            <w:r w:rsidRPr="0006208B">
              <w:rPr>
                <w:kern w:val="2"/>
                <w:sz w:val="20"/>
                <w:szCs w:val="20"/>
              </w:rPr>
              <w:br/>
              <w:t>steady state]</w:t>
            </w:r>
          </w:p>
        </w:tc>
        <w:tc>
          <w:tcPr>
            <w:tcW w:w="1504" w:type="dxa"/>
            <w:tcBorders>
              <w:top w:val="double" w:sz="6" w:space="0" w:color="auto"/>
              <w:left w:val="single" w:sz="4" w:space="0" w:color="auto"/>
              <w:bottom w:val="single" w:sz="8" w:space="0" w:color="auto"/>
              <w:right w:val="single" w:sz="4" w:space="0" w:color="auto"/>
            </w:tcBorders>
            <w:shd w:val="clear" w:color="auto" w:fill="FFFFFF"/>
            <w:vAlign w:val="center"/>
            <w:hideMark/>
          </w:tcPr>
          <w:p w:rsidR="005F06E6" w:rsidRPr="0006208B" w:rsidRDefault="005F06E6">
            <w:pPr>
              <w:pStyle w:val="Table"/>
              <w:keepNext/>
              <w:keepLines/>
              <w:spacing w:line="210" w:lineRule="exact"/>
              <w:jc w:val="center"/>
              <w:rPr>
                <w:i/>
                <w:kern w:val="2"/>
                <w:sz w:val="20"/>
                <w:szCs w:val="20"/>
                <w:vertAlign w:val="superscript"/>
              </w:rPr>
            </w:pPr>
            <w:r w:rsidRPr="0006208B">
              <w:rPr>
                <w:kern w:val="2"/>
                <w:sz w:val="20"/>
                <w:szCs w:val="20"/>
              </w:rPr>
              <w:t>1126</w:t>
            </w:r>
          </w:p>
        </w:tc>
        <w:tc>
          <w:tcPr>
            <w:tcW w:w="1944" w:type="dxa"/>
            <w:tcBorders>
              <w:top w:val="double" w:sz="6" w:space="0" w:color="auto"/>
              <w:left w:val="single" w:sz="4" w:space="0" w:color="auto"/>
              <w:bottom w:val="single" w:sz="8" w:space="0" w:color="auto"/>
              <w:right w:val="single" w:sz="8" w:space="0" w:color="auto"/>
            </w:tcBorders>
            <w:shd w:val="clear" w:color="auto" w:fill="FFFFFF"/>
            <w:vAlign w:val="center"/>
            <w:hideMark/>
          </w:tcPr>
          <w:p w:rsidR="005F06E6" w:rsidRPr="0006208B" w:rsidRDefault="005F06E6">
            <w:pPr>
              <w:pStyle w:val="Table"/>
              <w:keepNext/>
              <w:keepLines/>
              <w:spacing w:line="210" w:lineRule="exact"/>
              <w:jc w:val="center"/>
              <w:rPr>
                <w:kern w:val="2"/>
                <w:sz w:val="20"/>
                <w:szCs w:val="20"/>
              </w:rPr>
            </w:pPr>
            <w:r w:rsidRPr="0006208B">
              <w:rPr>
                <w:kern w:val="2"/>
                <w:sz w:val="20"/>
                <w:szCs w:val="20"/>
              </w:rPr>
              <w:t>–</w:t>
            </w:r>
          </w:p>
        </w:tc>
      </w:tr>
    </w:tbl>
    <w:p w:rsidR="005F06E6" w:rsidRDefault="005777FF" w:rsidP="005F06E6">
      <w:pPr>
        <w:rPr>
          <w:szCs w:val="20"/>
        </w:rPr>
      </w:pPr>
      <w:r>
        <w:t xml:space="preserve"> </w:t>
      </w:r>
    </w:p>
    <w:p w:rsidR="005F06E6" w:rsidRDefault="005F06E6" w:rsidP="0006208B">
      <w:pPr>
        <w:pStyle w:val="Heading5"/>
      </w:pPr>
      <w:r>
        <w:t>Phototoxicity</w:t>
      </w:r>
    </w:p>
    <w:p w:rsidR="005F06E6" w:rsidRDefault="005F06E6" w:rsidP="005F06E6">
      <w:r>
        <w:t xml:space="preserve">Vemurafenib absorbs </w:t>
      </w:r>
      <w:r w:rsidR="0006208B">
        <w:t>ultraviolet (</w:t>
      </w:r>
      <w:r>
        <w:t>UV</w:t>
      </w:r>
      <w:r w:rsidR="0006208B">
        <w:t>)</w:t>
      </w:r>
      <w:r>
        <w:t xml:space="preserve"> light between 240 nm and 450 nm and was shown to be phototoxic </w:t>
      </w:r>
      <w:r>
        <w:rPr>
          <w:i/>
        </w:rPr>
        <w:t>in vitro</w:t>
      </w:r>
      <w:r>
        <w:t xml:space="preserve"> to cultured cells (IC</w:t>
      </w:r>
      <w:r>
        <w:rPr>
          <w:vertAlign w:val="subscript"/>
        </w:rPr>
        <w:t>50</w:t>
      </w:r>
      <w:r>
        <w:t xml:space="preserve"> 0.197 </w:t>
      </w:r>
      <w:r>
        <w:sym w:font="Symbol" w:char="006D"/>
      </w:r>
      <w:r>
        <w:t xml:space="preserve">g/mL). There was no evidence of dermal erythema or any other skin reactions in female hairless rats treated with ≤450 mg/kg </w:t>
      </w:r>
      <w:smartTag w:uri="urn:schemas-microsoft-com:office:smarttags" w:element="place">
        <w:r>
          <w:t>PO</w:t>
        </w:r>
      </w:smartTag>
      <w:r>
        <w:t xml:space="preserve"> vemurafenib. However, based on the low exposures in the </w:t>
      </w:r>
      <w:r>
        <w:rPr>
          <w:i/>
        </w:rPr>
        <w:t>in vivo</w:t>
      </w:r>
      <w:r>
        <w:t xml:space="preserve"> study </w:t>
      </w:r>
      <w:r>
        <w:lastRenderedPageBreak/>
        <w:t>(estimated maximum AUC 0.65 times the anticipated clinical exposure</w:t>
      </w:r>
      <w:r>
        <w:rPr>
          <w:rStyle w:val="FootnoteReference"/>
        </w:rPr>
        <w:footnoteReference w:id="14"/>
      </w:r>
      <w:r>
        <w:t xml:space="preserve">), little weight can be placed on the negative findings. As vemurafenib was phototoxic </w:t>
      </w:r>
      <w:r>
        <w:rPr>
          <w:i/>
        </w:rPr>
        <w:t>in vitro</w:t>
      </w:r>
      <w:r>
        <w:t xml:space="preserve"> and did distribute to the skin in the tissue distribution study, phototoxic reactions on sun-exposed skin must be assumed to be possible during clinical use.</w:t>
      </w:r>
    </w:p>
    <w:p w:rsidR="005F06E6" w:rsidRDefault="005F06E6" w:rsidP="0006208B">
      <w:pPr>
        <w:pStyle w:val="Heading5"/>
      </w:pPr>
      <w:r>
        <w:t>Impurities</w:t>
      </w:r>
    </w:p>
    <w:p w:rsidR="005F06E6" w:rsidRDefault="005F06E6" w:rsidP="005F06E6">
      <w:r>
        <w:t xml:space="preserve">Six impurities in the drug substance were specified at limits above </w:t>
      </w:r>
      <w:r w:rsidRPr="00734347">
        <w:t xml:space="preserve">the </w:t>
      </w:r>
      <w:r w:rsidR="00734347" w:rsidRPr="00734347">
        <w:t>EU guideline</w:t>
      </w:r>
      <w:r w:rsidRPr="00734347">
        <w:t xml:space="preserve"> qualification threshold (0.05% for a drug with a daily dose of 1920 mg</w:t>
      </w:r>
      <w:r>
        <w:t xml:space="preserve">). Four of these impurities were considered qualified at the proposed limits by the submitted data. The remaining two impurities were not considered qualified at the proposed limits. This has been referred to the </w:t>
      </w:r>
      <w:r w:rsidR="0006208B">
        <w:t>quality</w:t>
      </w:r>
      <w:r>
        <w:t xml:space="preserve"> evaluator.</w:t>
      </w:r>
    </w:p>
    <w:p w:rsidR="00116AE6" w:rsidRDefault="00EB049D" w:rsidP="00116AE6">
      <w:pPr>
        <w:pStyle w:val="Heading3"/>
      </w:pPr>
      <w:bookmarkStart w:id="41" w:name="_Toc345675775"/>
      <w:r>
        <w:t>Nonclinical summary and c</w:t>
      </w:r>
      <w:r w:rsidR="00116AE6">
        <w:t>onclusions</w:t>
      </w:r>
      <w:bookmarkEnd w:id="38"/>
      <w:bookmarkEnd w:id="41"/>
    </w:p>
    <w:p w:rsidR="00E23CE0" w:rsidRPr="00E23CE0" w:rsidRDefault="00E23CE0" w:rsidP="00E23CE0">
      <w:pPr>
        <w:pStyle w:val="Heading4"/>
      </w:pPr>
      <w:r>
        <w:t>Summary</w:t>
      </w:r>
    </w:p>
    <w:p w:rsidR="005F06E6" w:rsidRDefault="005F06E6" w:rsidP="005C7653">
      <w:pPr>
        <w:numPr>
          <w:ilvl w:val="0"/>
          <w:numId w:val="7"/>
        </w:numPr>
        <w:spacing w:before="240" w:after="0" w:line="240" w:lineRule="auto"/>
        <w:ind w:left="357" w:hanging="357"/>
      </w:pPr>
      <w:bookmarkStart w:id="42" w:name="_Toc196046462"/>
      <w:bookmarkStart w:id="43" w:name="_Toc247691516"/>
      <w:bookmarkStart w:id="44" w:name="_Toc163441353"/>
      <w:bookmarkStart w:id="45" w:name="_Toc163441348"/>
      <w:r>
        <w:t xml:space="preserve">The submitted </w:t>
      </w:r>
      <w:r w:rsidR="0006208B">
        <w:t>nonclinical</w:t>
      </w:r>
      <w:r>
        <w:t xml:space="preserve"> data were in general accordance with </w:t>
      </w:r>
      <w:r w:rsidRPr="0006208B">
        <w:t xml:space="preserve">the </w:t>
      </w:r>
      <w:r w:rsidR="0006208B" w:rsidRPr="0006208B">
        <w:t>relevant</w:t>
      </w:r>
      <w:r w:rsidRPr="0006208B">
        <w:t xml:space="preserve"> guideline</w:t>
      </w:r>
      <w:r>
        <w:t xml:space="preserve"> on the nonclinical evaluation of </w:t>
      </w:r>
      <w:r w:rsidRPr="0062138B">
        <w:t>anticancer pharmaceuticals</w:t>
      </w:r>
      <w:r w:rsidR="00734347" w:rsidRPr="0062138B">
        <w:t>.</w:t>
      </w:r>
      <w:fldSimple w:instr=" NOTEREF _Ref339534214 \h  \* MERGEFORMAT ">
        <w:r w:rsidR="00F26005" w:rsidRPr="00F26005">
          <w:rPr>
            <w:vertAlign w:val="superscript"/>
          </w:rPr>
          <w:t>4</w:t>
        </w:r>
      </w:fldSimple>
      <w:r w:rsidRPr="0062138B">
        <w:t xml:space="preserve"> All pivotal</w:t>
      </w:r>
      <w:r>
        <w:t xml:space="preserve"> pharmacology, repeat-dose toxicity and reproductive toxicity studies were conducted using the clinical MBP formulation. In general, the exposures to vemurafenib were subclinical in the animal studies and therefore the full spectrum of safety issues has not been adequately addressed in the submitted </w:t>
      </w:r>
      <w:r w:rsidR="0006208B">
        <w:t>data</w:t>
      </w:r>
      <w:r>
        <w:t>. This is considered a major limitation but for the most part was unavoidable as the maximum feasible dose was used in the majority of the pivotal toxicity studies.</w:t>
      </w:r>
    </w:p>
    <w:p w:rsidR="005F06E6" w:rsidRDefault="005F06E6" w:rsidP="005C7653">
      <w:pPr>
        <w:numPr>
          <w:ilvl w:val="0"/>
          <w:numId w:val="7"/>
        </w:numPr>
        <w:spacing w:before="240" w:after="0" w:line="240" w:lineRule="auto"/>
        <w:ind w:left="357" w:hanging="357"/>
      </w:pPr>
      <w:r>
        <w:t xml:space="preserve">Vemurafenib inhibited BRAF V600 mutant (V600D, V600E, V600K and V600R) kinase activity with a subsequent reduction in signalling through ERK and MEK resulting in inhibition of melanoma cell proliferation. Tumour regression and increased life span were seen in a mouse model bearing a human melanoma xenograft. The efficacious doses/concentrations were below that anticipated clinically, thus supporting the proposed clinical use. Resistance developed relatively quickly both </w:t>
      </w:r>
      <w:r>
        <w:rPr>
          <w:i/>
        </w:rPr>
        <w:t>in vitro</w:t>
      </w:r>
      <w:r>
        <w:t xml:space="preserve"> and </w:t>
      </w:r>
      <w:r>
        <w:rPr>
          <w:i/>
        </w:rPr>
        <w:t>in vivo</w:t>
      </w:r>
      <w:r>
        <w:t xml:space="preserve"> and is considered possible during clinical use.</w:t>
      </w:r>
    </w:p>
    <w:p w:rsidR="005F06E6" w:rsidRDefault="005F06E6" w:rsidP="005C7653">
      <w:pPr>
        <w:numPr>
          <w:ilvl w:val="0"/>
          <w:numId w:val="7"/>
        </w:numPr>
        <w:spacing w:before="240" w:after="0" w:line="240" w:lineRule="auto"/>
        <w:ind w:left="357" w:hanging="357"/>
      </w:pPr>
      <w:r>
        <w:t>Vemurafenib had significant inhibitory activity at 18 other kinases including wild-type BRAF, CRAF and ARAF at clinically-relevant concentrations. There was no significant inhibitory activity on 63 receptors, transporters, ion channels and enzymes at concentrations ≤10 µM. Aside from activity on other kinases, no other off-target activities are predicted.</w:t>
      </w:r>
      <w:r w:rsidR="005777FF">
        <w:t xml:space="preserve"> </w:t>
      </w:r>
    </w:p>
    <w:p w:rsidR="005F06E6" w:rsidRDefault="005F06E6" w:rsidP="005C7653">
      <w:pPr>
        <w:numPr>
          <w:ilvl w:val="0"/>
          <w:numId w:val="7"/>
        </w:numPr>
        <w:spacing w:before="240" w:after="0" w:line="240" w:lineRule="auto"/>
        <w:ind w:left="357" w:hanging="357"/>
      </w:pPr>
      <w:r>
        <w:t xml:space="preserve">Vemurafenib accelerated the growth of cutaneous squamous cell carcinoma (cuSCC) cell lines both </w:t>
      </w:r>
      <w:r>
        <w:rPr>
          <w:i/>
        </w:rPr>
        <w:t>in vitro</w:t>
      </w:r>
      <w:r>
        <w:t xml:space="preserve"> and in animal xenograft models. This occurred at clinically</w:t>
      </w:r>
      <w:r w:rsidR="0006208B">
        <w:t xml:space="preserve"> </w:t>
      </w:r>
      <w:r>
        <w:t>relevant concentrations suggesting that vemurafenib may promote the growth of pre</w:t>
      </w:r>
      <w:r w:rsidR="0006208B">
        <w:t xml:space="preserve"> </w:t>
      </w:r>
      <w:r>
        <w:t>existing cuSCC lesions at the proposed clinical dose.</w:t>
      </w:r>
    </w:p>
    <w:p w:rsidR="005F06E6" w:rsidRDefault="005F06E6" w:rsidP="005C7653">
      <w:pPr>
        <w:numPr>
          <w:ilvl w:val="0"/>
          <w:numId w:val="7"/>
        </w:numPr>
        <w:spacing w:before="240" w:after="0" w:line="240" w:lineRule="auto"/>
        <w:ind w:left="357" w:hanging="357"/>
      </w:pPr>
      <w:r>
        <w:rPr>
          <w:kern w:val="2"/>
        </w:rPr>
        <w:t xml:space="preserve">Safety pharmacology studies covered the CNS, cardiovascular and respiratory systems. </w:t>
      </w:r>
      <w:r>
        <w:t xml:space="preserve">CNS and respiratory function were unaffected in rats treated with 1000 mg/kg </w:t>
      </w:r>
      <w:smartTag w:uri="urn:schemas-microsoft-com:office:smarttags" w:element="place">
        <w:r>
          <w:t>PO</w:t>
        </w:r>
      </w:smartTag>
      <w:r>
        <w:t xml:space="preserve">. However, plasma levels are estimated to be subclinical in these studies and thus, little weight can be placed on the negative findings. </w:t>
      </w:r>
      <w:r>
        <w:rPr>
          <w:i/>
        </w:rPr>
        <w:t>In vitro</w:t>
      </w:r>
      <w:r>
        <w:t>, vemurafenib inhibited the hERG K</w:t>
      </w:r>
      <w:r>
        <w:rPr>
          <w:vertAlign w:val="superscript"/>
        </w:rPr>
        <w:t>+</w:t>
      </w:r>
      <w:r>
        <w:t xml:space="preserve"> channel at clinically</w:t>
      </w:r>
      <w:r w:rsidR="0006208B">
        <w:t xml:space="preserve"> </w:t>
      </w:r>
      <w:r>
        <w:t xml:space="preserve">relevant concentrations. There were occasional incidences of </w:t>
      </w:r>
      <w:r>
        <w:lastRenderedPageBreak/>
        <w:t>longer QTc intervals in dogs treated with vemurafenib. The data indicate the potential for QT prolongation during clinical use.</w:t>
      </w:r>
    </w:p>
    <w:p w:rsidR="005F06E6" w:rsidRDefault="005F06E6" w:rsidP="005C7653">
      <w:pPr>
        <w:numPr>
          <w:ilvl w:val="0"/>
          <w:numId w:val="7"/>
        </w:numPr>
        <w:spacing w:before="240" w:after="0" w:line="240" w:lineRule="auto"/>
        <w:ind w:left="357" w:hanging="357"/>
      </w:pPr>
      <w:r>
        <w:t>Pharmacokinetic studies indicated oral absorption of vemurafenib was to some extent rate</w:t>
      </w:r>
      <w:r w:rsidR="0006208B">
        <w:t xml:space="preserve"> </w:t>
      </w:r>
      <w:r>
        <w:t xml:space="preserve">limited at high doses presumably due to its poor solubility. The volume of distribution in mice, rats, dogs and monkeys was moderate and tissue distribution wide in rats. Vemurafenib was highly protein bound in the plasma from animals and humans. Metabolism of vemurafenib was limited, with CYP3A4 primarily involved in the formation of small amounts of monohydroxylated metabolites. Excretion appears to be almost exclusively via the biliary route as indicated in mass balance studies. </w:t>
      </w:r>
    </w:p>
    <w:p w:rsidR="005F06E6" w:rsidRDefault="005F06E6" w:rsidP="005C7653">
      <w:pPr>
        <w:numPr>
          <w:ilvl w:val="0"/>
          <w:numId w:val="7"/>
        </w:numPr>
        <w:spacing w:before="240" w:after="0" w:line="240" w:lineRule="auto"/>
        <w:ind w:left="357" w:hanging="357"/>
      </w:pPr>
      <w:r>
        <w:t xml:space="preserve">Based on </w:t>
      </w:r>
      <w:r>
        <w:rPr>
          <w:i/>
        </w:rPr>
        <w:t>in vitro</w:t>
      </w:r>
      <w:r>
        <w:t xml:space="preserve"> studies, vemurafenib (at clinical plasma concentrations) has the potential to increase the exposure of co-administered drugs that are substrates of CYP1A2, 2C9, 2C19 and 2D6 and P-glycoprotein, and decrease the exposure of co-administered drugs that are CYP3A4 substrates. Only minor metabolism of vemurafenib occurs and this drug was only a weak substrate of P-glycoprotein, therefore, co-administered drugs that are CYP450 or P-glycoprotein inhibitors/inducers are unlikely to alter the plasma kinetics of vemurafenib.</w:t>
      </w:r>
    </w:p>
    <w:p w:rsidR="005F06E6" w:rsidRDefault="005F06E6" w:rsidP="005C7653">
      <w:pPr>
        <w:numPr>
          <w:ilvl w:val="0"/>
          <w:numId w:val="7"/>
        </w:numPr>
        <w:spacing w:before="240" w:after="0" w:line="240" w:lineRule="auto"/>
        <w:ind w:left="357" w:hanging="357"/>
      </w:pPr>
      <w:r>
        <w:t>Repeat</w:t>
      </w:r>
      <w:r w:rsidR="0006208B">
        <w:t xml:space="preserve"> </w:t>
      </w:r>
      <w:r>
        <w:t xml:space="preserve">dose toxicity studies by the oral route were conducted in rats (up to 26 weeks) and dogs (up to 13 weeks). The highest doses were the maximum feasible (in rats) or the maximum tolerated (in the pivotal dog study). However, the maximum exposures in rats were similar to the anticipated clinical exposure while systemic exposures in all of the dog studies were subclinical. Therefore, the full toxicological profile of vemurafenib is unlikely to have been revealed in the submitted studies. The findings of clinical relevance seen almost exclusively in the dog studies include: reversible dose-dependent increases in serum </w:t>
      </w:r>
      <w:r w:rsidR="0006208B">
        <w:t>liver enzymes</w:t>
      </w:r>
      <w:r w:rsidR="00CE3715">
        <w:rPr>
          <w:rStyle w:val="FootnoteReference"/>
        </w:rPr>
        <w:footnoteReference w:id="15"/>
      </w:r>
      <w:r>
        <w:t>, cholesterol, and/or triglycerides. The increases in liver enzymes were accompanied by necrosis and individual hepatocellular degeneration. Vomiting, diarrhoea and clinical signs of abdominal pain were also seen. Bone marrow necrosis was observed in the sternum of one dog treated with 450 mg/kg PO</w:t>
      </w:r>
      <w:r w:rsidR="005777FF">
        <w:t xml:space="preserve"> bd </w:t>
      </w:r>
      <w:r>
        <w:t xml:space="preserve">for 10 days. </w:t>
      </w:r>
      <w:r>
        <w:rPr>
          <w:i/>
        </w:rPr>
        <w:t>In vitro</w:t>
      </w:r>
      <w:r>
        <w:t xml:space="preserve"> studies indicated vemurafenib was partially cytotoxic to haematopoietic cells at clinically</w:t>
      </w:r>
      <w:r w:rsidR="0006208B">
        <w:t xml:space="preserve"> </w:t>
      </w:r>
      <w:r>
        <w:t>relevant concentrations.</w:t>
      </w:r>
    </w:p>
    <w:p w:rsidR="005F06E6" w:rsidRDefault="005F06E6" w:rsidP="005C7653">
      <w:pPr>
        <w:numPr>
          <w:ilvl w:val="0"/>
          <w:numId w:val="7"/>
        </w:numPr>
        <w:spacing w:before="240" w:after="0" w:line="240" w:lineRule="auto"/>
        <w:ind w:left="357" w:hanging="357"/>
      </w:pPr>
      <w:r>
        <w:t xml:space="preserve">No signs of genotoxicity were observed in three standard </w:t>
      </w:r>
      <w:r>
        <w:rPr>
          <w:i/>
        </w:rPr>
        <w:t>in vitro</w:t>
      </w:r>
      <w:r>
        <w:t xml:space="preserve"> tests or in one </w:t>
      </w:r>
      <w:r>
        <w:rPr>
          <w:i/>
        </w:rPr>
        <w:t>in vivo</w:t>
      </w:r>
      <w:r>
        <w:t xml:space="preserve"> assay following single oral doses up to 800 mg/kg.</w:t>
      </w:r>
      <w:r w:rsidR="005777FF">
        <w:t xml:space="preserve"> </w:t>
      </w:r>
      <w:r>
        <w:t xml:space="preserve">No studies on carcinogenicity were submitted, which is considered acceptable. </w:t>
      </w:r>
    </w:p>
    <w:p w:rsidR="005F06E6" w:rsidRDefault="005F06E6" w:rsidP="005C7653">
      <w:pPr>
        <w:numPr>
          <w:ilvl w:val="0"/>
          <w:numId w:val="7"/>
        </w:numPr>
        <w:spacing w:before="240" w:after="0" w:line="240" w:lineRule="auto"/>
        <w:ind w:left="357" w:hanging="357"/>
      </w:pPr>
      <w:r>
        <w:t>Studies on reproductive toxicity were limited to embryofetal developmental studies conducted in rats and rabbits. Maximum exposures achieved in the pivotal studies were at or below the anticipated clinical exposure. Vemurafenib crossed the placenta in rats and rabbits with fetal levels 1.8</w:t>
      </w:r>
      <w:r w:rsidR="0006208B">
        <w:t xml:space="preserve"> to </w:t>
      </w:r>
      <w:r>
        <w:t>5.8% maternal levels. In the rat embryofetal development toxicity study, there was a single incidence of a rare malformation that could potentially be related to vemurafenib treatment. There were no adverse effects seen on embryofetal development in rabbits; however, exposures in these studies were well</w:t>
      </w:r>
      <w:r w:rsidR="0006208B">
        <w:t xml:space="preserve"> </w:t>
      </w:r>
      <w:r>
        <w:t>below the anticipated clinical exposure and little weight can be placed on the predictive value of the negative findings.</w:t>
      </w:r>
    </w:p>
    <w:p w:rsidR="005F06E6" w:rsidRPr="0006208B" w:rsidRDefault="005F06E6" w:rsidP="005C7653">
      <w:pPr>
        <w:numPr>
          <w:ilvl w:val="0"/>
          <w:numId w:val="7"/>
        </w:numPr>
        <w:spacing w:before="240" w:after="0" w:line="240" w:lineRule="auto"/>
        <w:ind w:left="357" w:hanging="357"/>
      </w:pPr>
      <w:r>
        <w:t xml:space="preserve">Vemurafenib </w:t>
      </w:r>
      <w:r w:rsidRPr="0006208B">
        <w:t xml:space="preserve">absorbs UV light significantly between 240 nm and 450 nm, was phototoxic in fibroblasts </w:t>
      </w:r>
      <w:r w:rsidRPr="0006208B">
        <w:rPr>
          <w:i/>
        </w:rPr>
        <w:t>in vitro</w:t>
      </w:r>
      <w:r w:rsidRPr="0006208B">
        <w:t xml:space="preserve"> and distributed to the skin in the tissue distribution </w:t>
      </w:r>
      <w:r w:rsidRPr="0006208B">
        <w:lastRenderedPageBreak/>
        <w:t>study. Therefore,</w:t>
      </w:r>
      <w:r w:rsidR="005777FF" w:rsidRPr="0006208B">
        <w:t xml:space="preserve"> </w:t>
      </w:r>
      <w:r w:rsidRPr="0006208B">
        <w:t>phototoxic reactions on sun</w:t>
      </w:r>
      <w:r w:rsidR="0006208B">
        <w:t xml:space="preserve"> </w:t>
      </w:r>
      <w:r w:rsidRPr="0006208B">
        <w:t>exposed skin must be assumed to be possible during clinical use.</w:t>
      </w:r>
    </w:p>
    <w:p w:rsidR="005F06E6" w:rsidRDefault="005F06E6" w:rsidP="005C7653">
      <w:pPr>
        <w:numPr>
          <w:ilvl w:val="0"/>
          <w:numId w:val="7"/>
        </w:numPr>
        <w:spacing w:before="240" w:after="0" w:line="240" w:lineRule="auto"/>
        <w:ind w:left="357" w:hanging="357"/>
      </w:pPr>
      <w:r>
        <w:t>Four impurities in the drug substance were considered qualified at the proposed limits by the submitted data. Two impurities were not considered qualified.</w:t>
      </w:r>
    </w:p>
    <w:p w:rsidR="005F06E6" w:rsidRDefault="005F06E6" w:rsidP="00E23CE0">
      <w:pPr>
        <w:pStyle w:val="Heading4"/>
        <w:spacing w:before="240"/>
      </w:pPr>
      <w:bookmarkStart w:id="46" w:name="_Toc315770382"/>
      <w:r>
        <w:t>Conclusions and recommendations</w:t>
      </w:r>
      <w:bookmarkEnd w:id="46"/>
    </w:p>
    <w:p w:rsidR="005F06E6" w:rsidRDefault="005F06E6" w:rsidP="005F06E6">
      <w:pPr>
        <w:keepNext/>
        <w:keepLines/>
      </w:pPr>
      <w:r>
        <w:t xml:space="preserve">The primary pharmacology studies are supportive of the proposed use of the drug as an oral agent for the treatment of patients with melanoma which is positive for BRAF V600 mutations. </w:t>
      </w:r>
    </w:p>
    <w:p w:rsidR="005F06E6" w:rsidRDefault="005F06E6" w:rsidP="005F06E6">
      <w:pPr>
        <w:keepNext/>
        <w:keepLines/>
      </w:pPr>
      <w:r>
        <w:t>However, the full toxicological profile of vemurafenib is unlikely to have been revealed in the submitted studies, as the animal exposures were, for the most part, subclinical. Notable findings of clinical relevance include:</w:t>
      </w:r>
    </w:p>
    <w:p w:rsidR="005F06E6" w:rsidRDefault="005F06E6" w:rsidP="0006208B">
      <w:pPr>
        <w:pStyle w:val="ListBullet"/>
      </w:pPr>
      <w:r>
        <w:t>Potentiation of pre-existing cuSCC lesions;</w:t>
      </w:r>
    </w:p>
    <w:p w:rsidR="005F06E6" w:rsidRDefault="005F06E6" w:rsidP="0006208B">
      <w:pPr>
        <w:pStyle w:val="ListBullet"/>
      </w:pPr>
      <w:r>
        <w:t>QT prolongation;</w:t>
      </w:r>
    </w:p>
    <w:p w:rsidR="005F06E6" w:rsidRDefault="005F06E6" w:rsidP="0006208B">
      <w:pPr>
        <w:pStyle w:val="ListBullet"/>
      </w:pPr>
      <w:r>
        <w:t>Hepatotoxicity;</w:t>
      </w:r>
    </w:p>
    <w:p w:rsidR="005F06E6" w:rsidRDefault="005F06E6" w:rsidP="0006208B">
      <w:pPr>
        <w:pStyle w:val="ListBullet"/>
      </w:pPr>
      <w:r>
        <w:t>Gastrointestinal disturbances;</w:t>
      </w:r>
    </w:p>
    <w:p w:rsidR="005F06E6" w:rsidRDefault="005F06E6" w:rsidP="0006208B">
      <w:pPr>
        <w:pStyle w:val="ListBullet"/>
      </w:pPr>
      <w:r>
        <w:t>Photo-reactions on the skin</w:t>
      </w:r>
    </w:p>
    <w:p w:rsidR="005F06E6" w:rsidRDefault="005F06E6" w:rsidP="005F06E6">
      <w:pPr>
        <w:keepNext/>
        <w:keepLines/>
        <w:spacing w:before="120"/>
      </w:pPr>
      <w:r>
        <w:t xml:space="preserve">Due to the deficiencies in the nonclinical </w:t>
      </w:r>
      <w:r w:rsidR="0006208B">
        <w:t>data</w:t>
      </w:r>
      <w:r>
        <w:t>, a recommendation for registration will need to rely on an acceptable benefit/risk profile based on clinical data.</w:t>
      </w:r>
    </w:p>
    <w:p w:rsidR="005F06E6" w:rsidRDefault="0006208B" w:rsidP="0006208B">
      <w:r>
        <w:rPr>
          <w:kern w:val="2"/>
        </w:rPr>
        <w:t>Amendments to the PI were also recommended but th</w:t>
      </w:r>
      <w:r w:rsidR="00AB59B7">
        <w:rPr>
          <w:kern w:val="2"/>
        </w:rPr>
        <w:t>e</w:t>
      </w:r>
      <w:r>
        <w:rPr>
          <w:kern w:val="2"/>
        </w:rPr>
        <w:t>se are beyond the scope of this AusPAR</w:t>
      </w:r>
      <w:r w:rsidR="005F06E6">
        <w:rPr>
          <w:kern w:val="2"/>
        </w:rPr>
        <w:t>.</w:t>
      </w:r>
    </w:p>
    <w:p w:rsidR="00116AE6" w:rsidRPr="00254787" w:rsidRDefault="00D21C4E" w:rsidP="00D21C4E">
      <w:pPr>
        <w:pStyle w:val="Heading2"/>
      </w:pPr>
      <w:bookmarkStart w:id="47" w:name="_Toc345675776"/>
      <w:r>
        <w:t>IV.</w:t>
      </w:r>
      <w:r w:rsidR="005777FF">
        <w:t xml:space="preserve"> </w:t>
      </w:r>
      <w:r w:rsidR="00116AE6" w:rsidRPr="00254787">
        <w:t>Clinical</w:t>
      </w:r>
      <w:bookmarkEnd w:id="42"/>
      <w:r w:rsidR="00EB049D">
        <w:t xml:space="preserve"> f</w:t>
      </w:r>
      <w:r w:rsidR="00116AE6">
        <w:t>indings</w:t>
      </w:r>
      <w:bookmarkEnd w:id="43"/>
      <w:bookmarkEnd w:id="47"/>
    </w:p>
    <w:p w:rsidR="00FC282A" w:rsidRDefault="00116AE6" w:rsidP="00FC282A">
      <w:pPr>
        <w:pStyle w:val="Heading3"/>
      </w:pPr>
      <w:bookmarkStart w:id="48" w:name="_Toc196046463"/>
      <w:bookmarkStart w:id="49" w:name="_Toc247691517"/>
      <w:bookmarkStart w:id="50" w:name="_Toc345675777"/>
      <w:r w:rsidRPr="00254787">
        <w:t>Introduction</w:t>
      </w:r>
      <w:bookmarkStart w:id="51" w:name="_Toc196046464"/>
      <w:bookmarkStart w:id="52" w:name="_Toc247691518"/>
      <w:bookmarkEnd w:id="48"/>
      <w:bookmarkEnd w:id="49"/>
      <w:bookmarkEnd w:id="50"/>
      <w:r w:rsidR="00FC282A">
        <w:t xml:space="preserve"> </w:t>
      </w:r>
    </w:p>
    <w:p w:rsidR="00FC282A" w:rsidRDefault="00FC282A" w:rsidP="00FC282A">
      <w:pPr>
        <w:jc w:val="both"/>
      </w:pPr>
      <w:r>
        <w:t xml:space="preserve">The clinical data included data on one biopharmaceutic study (PLX102-01) to assess the relative bioavailability of VEM in two formulations versus a reference </w:t>
      </w:r>
      <w:r w:rsidR="003B4482" w:rsidRPr="003B4482">
        <w:t>Phase I</w:t>
      </w:r>
      <w:r>
        <w:t xml:space="preserve"> formulation. </w:t>
      </w:r>
    </w:p>
    <w:p w:rsidR="00FC282A" w:rsidRDefault="00FC282A" w:rsidP="00FC282A">
      <w:pPr>
        <w:jc w:val="both"/>
      </w:pPr>
      <w:r>
        <w:t xml:space="preserve">Human pharmacokinetics (PK) studies including PLX06-02, which is a dose escalation study to evaluate the safety and PK of VEM in patients with solid tumours, with subsequent extension to evaluate objective tumour response, progression free survival and overall survival in patients with BRAF V600E+ metastatic melanoma or colorectal cancer. </w:t>
      </w:r>
    </w:p>
    <w:p w:rsidR="00FC282A" w:rsidRDefault="00FC282A" w:rsidP="00FC282A">
      <w:pPr>
        <w:jc w:val="both"/>
      </w:pPr>
      <w:r>
        <w:t xml:space="preserve">The second study was </w:t>
      </w:r>
      <w:r w:rsidR="006A1469">
        <w:t>N</w:t>
      </w:r>
      <w:r>
        <w:t xml:space="preserve">P25158 in which the primary objective was to assess the mass balance routes and rates of elimination of carbon14 labelled VEM. Study </w:t>
      </w:r>
      <w:r w:rsidR="006A1469">
        <w:t>N</w:t>
      </w:r>
      <w:r>
        <w:t xml:space="preserve">P25163 had a primary objective to evaluate the pharmacokinetics of VEM using the 240 mg MBP tablet formulation. Study </w:t>
      </w:r>
      <w:r w:rsidR="006A1469">
        <w:t>N</w:t>
      </w:r>
      <w:r>
        <w:t xml:space="preserve">P22676 primary objective is to investigate the effect of VEM on the pharmacokinetics of each substance in a combination of five product drugs for CYP450 dependent metabolism. </w:t>
      </w:r>
    </w:p>
    <w:p w:rsidR="00FC282A" w:rsidRDefault="00FC282A" w:rsidP="00FC282A">
      <w:pPr>
        <w:jc w:val="both"/>
      </w:pPr>
      <w:r>
        <w:t xml:space="preserve">There were no human pharmacodynamic (PD) studies performed in this submission. </w:t>
      </w:r>
    </w:p>
    <w:p w:rsidR="00FC282A" w:rsidRDefault="00FC282A" w:rsidP="00FC282A">
      <w:pPr>
        <w:jc w:val="both"/>
      </w:pPr>
      <w:r>
        <w:t xml:space="preserve">The pivotal efficacy and safety Study NO25026, which was to evaluate the efficacy of VEM as a monotherapy compared </w:t>
      </w:r>
      <w:r w:rsidR="002332C1">
        <w:t>to dacarbazine</w:t>
      </w:r>
      <w:r>
        <w:t xml:space="preserve"> in terms of progression free survival (PFS) and overall survival (OS) in previously untreated patients with BRAF</w:t>
      </w:r>
      <w:r>
        <w:rPr>
          <w:vertAlign w:val="superscript"/>
        </w:rPr>
        <w:t>V600</w:t>
      </w:r>
      <w:r>
        <w:t xml:space="preserve"> mutation positive metastatic melanoma. </w:t>
      </w:r>
    </w:p>
    <w:p w:rsidR="003B4482" w:rsidRDefault="00FC282A" w:rsidP="00FC282A">
      <w:pPr>
        <w:jc w:val="both"/>
      </w:pPr>
      <w:r>
        <w:lastRenderedPageBreak/>
        <w:t xml:space="preserve">The supportive study submitted was Study </w:t>
      </w:r>
      <w:r w:rsidR="006A1469">
        <w:t>N</w:t>
      </w:r>
      <w:r>
        <w:t>P22657, whose primary objective was to evaluate the efficacy of VEM in previously treated patients with BRAF</w:t>
      </w:r>
      <w:r>
        <w:rPr>
          <w:vertAlign w:val="superscript"/>
        </w:rPr>
        <w:t>V600</w:t>
      </w:r>
      <w:r>
        <w:t xml:space="preserve"> mutation positive metastatic melanoma by best overall response rate as assessed by an independent review committee (IRC) using </w:t>
      </w:r>
      <w:r w:rsidR="003B4482" w:rsidRPr="00B213A0">
        <w:t>Response Evaluation Criteria in Solid Tumours</w:t>
      </w:r>
      <w:r w:rsidR="003B4482">
        <w:t xml:space="preserve"> (</w:t>
      </w:r>
      <w:r>
        <w:t>RECIST</w:t>
      </w:r>
      <w:r w:rsidR="003B4482">
        <w:t>)</w:t>
      </w:r>
      <w:r w:rsidR="003B4482">
        <w:rPr>
          <w:rStyle w:val="FootnoteReference"/>
        </w:rPr>
        <w:footnoteReference w:id="16"/>
      </w:r>
      <w:r>
        <w:t xml:space="preserve"> criteria </w:t>
      </w:r>
      <w:r w:rsidR="006A1469">
        <w:t>(version 1.</w:t>
      </w:r>
      <w:r w:rsidR="00427ACC">
        <w:t>1</w:t>
      </w:r>
      <w:r w:rsidR="006A1469">
        <w:t xml:space="preserve">) </w:t>
      </w:r>
      <w:r>
        <w:t xml:space="preserve">for metastatic melanoma. </w:t>
      </w:r>
    </w:p>
    <w:p w:rsidR="00FC282A" w:rsidRDefault="00FC282A" w:rsidP="00FC282A">
      <w:pPr>
        <w:jc w:val="both"/>
      </w:pPr>
      <w:r>
        <w:t xml:space="preserve">All aspects of good clinical practice were observed in these studies. </w:t>
      </w:r>
    </w:p>
    <w:p w:rsidR="00116AE6" w:rsidRPr="00254787" w:rsidRDefault="00116AE6" w:rsidP="00116AE6">
      <w:pPr>
        <w:pStyle w:val="Heading3"/>
      </w:pPr>
      <w:bookmarkStart w:id="53" w:name="_Toc345675778"/>
      <w:r w:rsidRPr="00254787">
        <w:t>Pharmacokinetics</w:t>
      </w:r>
      <w:bookmarkEnd w:id="44"/>
      <w:bookmarkEnd w:id="51"/>
      <w:bookmarkEnd w:id="52"/>
      <w:bookmarkEnd w:id="53"/>
    </w:p>
    <w:p w:rsidR="003B4482" w:rsidRDefault="003B4482" w:rsidP="003B4482">
      <w:pPr>
        <w:pStyle w:val="Heading4"/>
      </w:pPr>
      <w:bookmarkStart w:id="54" w:name="_Toc196046481"/>
      <w:bookmarkStart w:id="55" w:name="_Toc247691520"/>
      <w:r>
        <w:t>Studies providing pharmacokinetic data:</w:t>
      </w:r>
    </w:p>
    <w:p w:rsidR="003B4482" w:rsidRDefault="003B4482" w:rsidP="003B4482">
      <w:pPr>
        <w:jc w:val="both"/>
      </w:pPr>
      <w:r>
        <w:t>The clinical pharmacokinetics of VEM provided in this submission were characterised using the non-compartmental analysis (NCA) of pharmacokinetic data from seven clinical studies, including five Phase I Studies PLX06-02, PLX102-01, NP22676, NP25163 and NP25158; one Phase II Study NP22657 and one Phase III Study NO25026. In addition VEM plasma concentration data from NP25163, NP22657 and NO25026 were utilised to develop a population pharmacokinetic model.</w:t>
      </w:r>
      <w:r w:rsidR="009702FF">
        <w:t xml:space="preserve"> </w:t>
      </w:r>
      <w:r>
        <w:t>The population PK model was used to describe the pharmacokinetics of VEM and to investigate the potential influence of co-variates that contribute significantly to the between-patient variability in pharmacokinetic parameters of VEM and to characterise the exposures/efficacy and exposure/safety relationships for select efficacy and safety endpoints (population PK/PD).</w:t>
      </w:r>
      <w:r w:rsidRPr="003B4482">
        <w:rPr>
          <w:i/>
        </w:rPr>
        <w:t xml:space="preserve"> </w:t>
      </w:r>
    </w:p>
    <w:p w:rsidR="003B4482" w:rsidRDefault="003B4482" w:rsidP="003B4482">
      <w:pPr>
        <w:pStyle w:val="Heading4"/>
      </w:pPr>
      <w:r>
        <w:t>Summary of pharmacokinetics:</w:t>
      </w:r>
      <w:r w:rsidRPr="003B4482">
        <w:rPr>
          <w:i/>
        </w:rPr>
        <w:t xml:space="preserve"> </w:t>
      </w:r>
    </w:p>
    <w:p w:rsidR="003B4482" w:rsidRDefault="003B4482" w:rsidP="003B4482">
      <w:pPr>
        <w:jc w:val="both"/>
      </w:pPr>
      <w:r>
        <w:t xml:space="preserve">The initial </w:t>
      </w:r>
      <w:r w:rsidRPr="003B4482">
        <w:t>Phase I</w:t>
      </w:r>
      <w:r>
        <w:t xml:space="preserve"> Study PLX06-02 was conducted using the original VEM crystalline formulation and evaluated doses up to 160</w:t>
      </w:r>
      <w:r w:rsidRPr="003B4482">
        <w:t>0 mg</w:t>
      </w:r>
      <w:r>
        <w:t xml:space="preserve"> twice daily.</w:t>
      </w:r>
      <w:r w:rsidRPr="003B4482">
        <w:rPr>
          <w:i/>
        </w:rPr>
        <w:t xml:space="preserve"> </w:t>
      </w:r>
      <w:r>
        <w:t>Subsequently the MBP formulation of VEM was developed and evaluated in a single dose three-way crossover study in healthy volunteers.</w:t>
      </w:r>
      <w:r w:rsidRPr="003B4482">
        <w:rPr>
          <w:i/>
        </w:rPr>
        <w:t xml:space="preserve"> </w:t>
      </w:r>
      <w:r>
        <w:t>The MBP formulation was introduced into PLX06-02 at 16</w:t>
      </w:r>
      <w:r w:rsidRPr="003B4482">
        <w:t>0 mg</w:t>
      </w:r>
      <w:r>
        <w:t xml:space="preserve"> twice daily. </w:t>
      </w:r>
    </w:p>
    <w:p w:rsidR="00A03670" w:rsidRDefault="003B4482" w:rsidP="00A03670">
      <w:pPr>
        <w:jc w:val="both"/>
      </w:pPr>
      <w:r>
        <w:t xml:space="preserve">During the dose escalation phase of the </w:t>
      </w:r>
      <w:r w:rsidRPr="003B4482">
        <w:t>Phase I</w:t>
      </w:r>
      <w:r>
        <w:t xml:space="preserve"> of the PLX06-02, several different capsule strengths and formulation processes of the optimised MBP formulation were introduced to evaluate dosages ranging from 16</w:t>
      </w:r>
      <w:r w:rsidRPr="003B4482">
        <w:t>0 mg</w:t>
      </w:r>
      <w:r>
        <w:t xml:space="preserve"> to 112</w:t>
      </w:r>
      <w:r w:rsidRPr="003B4482">
        <w:t>0 mg</w:t>
      </w:r>
      <w:r>
        <w:t xml:space="preserve"> twice daily.</w:t>
      </w:r>
      <w:r w:rsidRPr="003B4482">
        <w:rPr>
          <w:i/>
        </w:rPr>
        <w:t xml:space="preserve"> </w:t>
      </w:r>
      <w:r>
        <w:t>A 4</w:t>
      </w:r>
      <w:r w:rsidRPr="003B4482">
        <w:t>0 mg</w:t>
      </w:r>
      <w:r>
        <w:t xml:space="preserve"> capsule (dry granulation) was used to evaluate exposure doses of 160, 240 and 36</w:t>
      </w:r>
      <w:r w:rsidRPr="003B4482">
        <w:t>0 mg</w:t>
      </w:r>
      <w:r>
        <w:t xml:space="preserve"> twice daily and an 8</w:t>
      </w:r>
      <w:r w:rsidRPr="003B4482">
        <w:t>0 mg</w:t>
      </w:r>
      <w:r>
        <w:t xml:space="preserve"> capsule (wet granulation) was used to allow further dose escalation in the 720 and 112</w:t>
      </w:r>
      <w:r w:rsidRPr="003B4482">
        <w:t>0 mg</w:t>
      </w:r>
      <w:r>
        <w:t xml:space="preserve"> twice daily cohort.</w:t>
      </w:r>
      <w:r w:rsidRPr="003B4482">
        <w:rPr>
          <w:i/>
        </w:rPr>
        <w:t xml:space="preserve"> </w:t>
      </w:r>
      <w:r>
        <w:t>A 12</w:t>
      </w:r>
      <w:r w:rsidRPr="003B4482">
        <w:t>0 mg</w:t>
      </w:r>
      <w:r>
        <w:t xml:space="preserve"> capsule (dry granulation roller compaction) was introduced to evaluate the 96</w:t>
      </w:r>
      <w:r w:rsidRPr="003B4482">
        <w:t>0 mg</w:t>
      </w:r>
      <w:r>
        <w:t xml:space="preserve"> twice daily regimen during dose escalation and the melanoma and colorectal cancer (CRC) extension cohort.</w:t>
      </w:r>
      <w:r w:rsidRPr="003B4482">
        <w:rPr>
          <w:i/>
        </w:rPr>
        <w:t xml:space="preserve"> </w:t>
      </w:r>
      <w:r w:rsidR="00A03670">
        <w:t>The results of the dose escalation phase of PLX06-02 was the optimised MBP formulation (capsule formulation) showed that the steady state exposure levels (C</w:t>
      </w:r>
      <w:r w:rsidR="00A03670">
        <w:rPr>
          <w:vertAlign w:val="subscript"/>
        </w:rPr>
        <w:t>max</w:t>
      </w:r>
      <w:r w:rsidR="00A03670">
        <w:t>, AUC</w:t>
      </w:r>
      <w:r w:rsidR="00A03670">
        <w:rPr>
          <w:vertAlign w:val="subscript"/>
        </w:rPr>
        <w:t>0-8</w:t>
      </w:r>
      <w:r w:rsidR="00A03670" w:rsidRPr="00FF2684">
        <w:rPr>
          <w:vertAlign w:val="subscript"/>
        </w:rPr>
        <w:t xml:space="preserve"> h </w:t>
      </w:r>
      <w:r w:rsidR="00A03670">
        <w:t>and AUC</w:t>
      </w:r>
      <w:r w:rsidR="00A03670">
        <w:rPr>
          <w:vertAlign w:val="subscript"/>
        </w:rPr>
        <w:t>0-24 hours</w:t>
      </w:r>
      <w:r w:rsidR="00A03670">
        <w:t xml:space="preserve">) increased with escalating doses. </w:t>
      </w:r>
    </w:p>
    <w:p w:rsidR="003B4482" w:rsidRDefault="003B4482" w:rsidP="003B4482">
      <w:pPr>
        <w:jc w:val="both"/>
      </w:pPr>
      <w:r>
        <w:t>Based on the DLTs reported at the 112</w:t>
      </w:r>
      <w:r w:rsidRPr="003B4482">
        <w:t>0 mg</w:t>
      </w:r>
      <w:r>
        <w:t xml:space="preserve"> twice daily level, the 96</w:t>
      </w:r>
      <w:r w:rsidRPr="003B4482">
        <w:t>0 mg</w:t>
      </w:r>
      <w:r>
        <w:t xml:space="preserve"> twice daily doses were selected for use in all subsequent studies.</w:t>
      </w:r>
    </w:p>
    <w:p w:rsidR="003B4482" w:rsidRDefault="003B4482" w:rsidP="003B4482">
      <w:pPr>
        <w:jc w:val="both"/>
      </w:pPr>
      <w:r>
        <w:t>The MBP capsule formulations used in PLX06-02 were then replaced with the proposed commercial formulation a 24</w:t>
      </w:r>
      <w:r w:rsidRPr="003B4482">
        <w:t>0 mg</w:t>
      </w:r>
      <w:r>
        <w:t xml:space="preserve"> film coated tablet and were administered at the recommended dose of 96</w:t>
      </w:r>
      <w:r w:rsidRPr="003B4482">
        <w:t>0 mg</w:t>
      </w:r>
      <w:r>
        <w:t xml:space="preserve"> twice daily in all subsequent studies including the melanoma extension cohort of PLX06-02, and the various </w:t>
      </w:r>
      <w:r w:rsidRPr="003B4482">
        <w:t>Phase I</w:t>
      </w:r>
      <w:r>
        <w:t xml:space="preserve">I and </w:t>
      </w:r>
      <w:r w:rsidRPr="003B4482">
        <w:t>Phase I</w:t>
      </w:r>
      <w:r>
        <w:t>II studies.</w:t>
      </w:r>
      <w:r w:rsidRPr="003B4482">
        <w:rPr>
          <w:i/>
        </w:rPr>
        <w:t xml:space="preserve"> </w:t>
      </w:r>
    </w:p>
    <w:p w:rsidR="003B4482" w:rsidRDefault="003B4482" w:rsidP="003B4482">
      <w:pPr>
        <w:jc w:val="both"/>
      </w:pPr>
      <w:r w:rsidRPr="00A03670">
        <w:lastRenderedPageBreak/>
        <w:t>Only one single dose three-way crossover relative bioavailability study was conducted in healthy subjects (Study PLX102-01) prior to the identification of the risk for developing cutaneous squamous cell carcinoma (cuSCC).</w:t>
      </w:r>
      <w:r w:rsidRPr="00A03670">
        <w:rPr>
          <w:i/>
        </w:rPr>
        <w:t xml:space="preserve"> </w:t>
      </w:r>
      <w:r w:rsidRPr="00A03670">
        <w:t>Because of this, no further pharmacokinetic studies in healthy subjects were possible.</w:t>
      </w:r>
      <w:r w:rsidRPr="00A03670">
        <w:rPr>
          <w:i/>
        </w:rPr>
        <w:t xml:space="preserve"> </w:t>
      </w:r>
      <w:r w:rsidRPr="00A03670">
        <w:t>Furthermore inability to obtain multiple serial PK sampling in melanoma patients and the use of a twice daily dosing paradigm limited the robust characterisation of the elimination half-life, apparent clearance (CL-F) as volume of distribution (D-F) by NCA.</w:t>
      </w:r>
      <w:r w:rsidRPr="003B4482">
        <w:rPr>
          <w:i/>
        </w:rPr>
        <w:t xml:space="preserve"> </w:t>
      </w:r>
    </w:p>
    <w:p w:rsidR="003B4482" w:rsidRDefault="003B4482" w:rsidP="003B4482">
      <w:pPr>
        <w:pStyle w:val="Heading4"/>
        <w:keepNext/>
      </w:pPr>
      <w:r>
        <w:t>Summary results of individual studies:</w:t>
      </w:r>
      <w:r w:rsidRPr="003B4482">
        <w:rPr>
          <w:i/>
        </w:rPr>
        <w:t xml:space="preserve"> </w:t>
      </w:r>
      <w:r>
        <w:t xml:space="preserve"> </w:t>
      </w:r>
    </w:p>
    <w:p w:rsidR="003B4482" w:rsidRDefault="003B4482" w:rsidP="003B4482">
      <w:pPr>
        <w:pStyle w:val="Heading5"/>
      </w:pPr>
      <w:r>
        <w:t>Study PLX06-02:</w:t>
      </w:r>
    </w:p>
    <w:p w:rsidR="003B4482" w:rsidRDefault="003B4482" w:rsidP="003B4482">
      <w:pPr>
        <w:keepNext/>
        <w:jc w:val="both"/>
      </w:pPr>
      <w:r>
        <w:t xml:space="preserve">This was the first human </w:t>
      </w:r>
      <w:r w:rsidRPr="003B4482">
        <w:t>Phase I</w:t>
      </w:r>
      <w:r>
        <w:t xml:space="preserve"> dose escalation study that evaluated the safety and PK of VEM in patients with solid tumours and determined the MTD.</w:t>
      </w:r>
      <w:r w:rsidRPr="003B4482">
        <w:rPr>
          <w:i/>
        </w:rPr>
        <w:t xml:space="preserve"> </w:t>
      </w:r>
      <w:r>
        <w:t xml:space="preserve">The study involved 12 investigators and seven centres, five in the </w:t>
      </w:r>
      <w:smartTag w:uri="urn:schemas-microsoft-com:office:smarttags" w:element="country-region">
        <w:r>
          <w:t>US</w:t>
        </w:r>
      </w:smartTag>
      <w:r>
        <w:t xml:space="preserve"> and two in </w:t>
      </w:r>
      <w:smartTag w:uri="urn:schemas-microsoft-com:office:smarttags" w:element="country-region">
        <w:smartTag w:uri="urn:schemas-microsoft-com:office:smarttags" w:element="place">
          <w:r>
            <w:t>Australia</w:t>
          </w:r>
        </w:smartTag>
      </w:smartTag>
      <w:r>
        <w:t>. The primary objective of the dose escalation phase of the study was to evaluate the safety and PK of VEM in patients with solid tumours.</w:t>
      </w:r>
      <w:r w:rsidRPr="003B4482">
        <w:rPr>
          <w:i/>
        </w:rPr>
        <w:t xml:space="preserve"> </w:t>
      </w:r>
    </w:p>
    <w:p w:rsidR="003B4482" w:rsidRDefault="003B4482" w:rsidP="003B4482">
      <w:pPr>
        <w:jc w:val="both"/>
      </w:pPr>
      <w:r>
        <w:t>A treatment extension cohort was also undertaken to evaluate the objective tumour response including overall response rate, duration of response and progression free survival and overall survival as well as PK of VEM in patients with BRAF</w:t>
      </w:r>
      <w:r>
        <w:rPr>
          <w:vertAlign w:val="superscript"/>
        </w:rPr>
        <w:t>V600E+</w:t>
      </w:r>
      <w:r>
        <w:t xml:space="preserve"> metastatic melanoma or CRC.</w:t>
      </w:r>
      <w:r w:rsidRPr="003B4482">
        <w:rPr>
          <w:i/>
        </w:rPr>
        <w:t xml:space="preserve"> </w:t>
      </w:r>
    </w:p>
    <w:p w:rsidR="003B4482" w:rsidRDefault="003B4482" w:rsidP="003B4482">
      <w:pPr>
        <w:jc w:val="both"/>
      </w:pPr>
      <w:r>
        <w:t>Inclusion criteria for the study included male or female patients of at least 18 years with solid tumours confirmed histologically, whose tumours were refractory to standard therapy.</w:t>
      </w:r>
      <w:r w:rsidRPr="003B4482">
        <w:rPr>
          <w:i/>
        </w:rPr>
        <w:t xml:space="preserve"> </w:t>
      </w:r>
      <w:r>
        <w:t>Patients from whom paired biopsies were planned must have a V600E+ BRAF mutation confirmed.</w:t>
      </w:r>
      <w:r w:rsidRPr="003B4482">
        <w:rPr>
          <w:i/>
        </w:rPr>
        <w:t xml:space="preserve"> </w:t>
      </w:r>
      <w:r>
        <w:t>Patients in the extension phase study required measurable disease by RECIST criteria</w:t>
      </w:r>
      <w:r w:rsidR="001F232C">
        <w:t>, a</w:t>
      </w:r>
      <w:r>
        <w:t>n ECOG performance status</w:t>
      </w:r>
      <w:r w:rsidR="00D73147">
        <w:rPr>
          <w:rStyle w:val="FootnoteReference"/>
        </w:rPr>
        <w:footnoteReference w:id="17"/>
      </w:r>
      <w:r>
        <w:t xml:space="preserve"> of 0 or 1</w:t>
      </w:r>
      <w:r w:rsidR="00B25B29">
        <w:t xml:space="preserve"> and</w:t>
      </w:r>
      <w:r w:rsidR="00D73147">
        <w:t xml:space="preserve"> a</w:t>
      </w:r>
      <w:r>
        <w:t xml:space="preserve"> life expectancy of at least three months with normal haema</w:t>
      </w:r>
      <w:r w:rsidR="00D73147">
        <w:t>to</w:t>
      </w:r>
      <w:r>
        <w:t>logic and biochemical parameters.</w:t>
      </w:r>
      <w:r w:rsidRPr="003B4482">
        <w:rPr>
          <w:i/>
        </w:rPr>
        <w:t xml:space="preserve"> </w:t>
      </w:r>
    </w:p>
    <w:p w:rsidR="003B4482" w:rsidRDefault="003B4482" w:rsidP="003B4482">
      <w:pPr>
        <w:jc w:val="both"/>
      </w:pPr>
      <w:r>
        <w:t xml:space="preserve">In the dose escalation phase of the study patients received VEM administered on </w:t>
      </w:r>
      <w:r w:rsidR="00D73147">
        <w:t>D</w:t>
      </w:r>
      <w:r>
        <w:t>ays 1-29 or longer in the fasted state.</w:t>
      </w:r>
      <w:r w:rsidRPr="003B4482">
        <w:rPr>
          <w:i/>
        </w:rPr>
        <w:t xml:space="preserve"> </w:t>
      </w:r>
      <w:r>
        <w:t>Cohorts of 3-6 patients were assigned to ascending doses twice daily of the original formulation.</w:t>
      </w:r>
      <w:r w:rsidRPr="003B4482">
        <w:rPr>
          <w:i/>
        </w:rPr>
        <w:t xml:space="preserve"> </w:t>
      </w:r>
      <w:r>
        <w:t xml:space="preserve">After PK assessment on day 15 adequate safety and tolerability were shown on </w:t>
      </w:r>
      <w:r w:rsidR="00D73147">
        <w:t>D</w:t>
      </w:r>
      <w:r>
        <w:t>ay 28, the next cohort of 3-6 patients were enrolled with a 50-100% increase in VEM dose.</w:t>
      </w:r>
      <w:r w:rsidRPr="003B4482">
        <w:rPr>
          <w:i/>
        </w:rPr>
        <w:t xml:space="preserve"> </w:t>
      </w:r>
      <w:r>
        <w:t>The differences in VEM dose treatment of the various formulations used in the study, the actual percentage increase of VEM dose varied from one cohort to the next.</w:t>
      </w:r>
      <w:r w:rsidRPr="003B4482">
        <w:rPr>
          <w:i/>
        </w:rPr>
        <w:t xml:space="preserve"> </w:t>
      </w:r>
      <w:r>
        <w:t>The dose escalation phase of study continued until a maximum dose was defined.</w:t>
      </w:r>
      <w:r w:rsidRPr="003B4482">
        <w:rPr>
          <w:i/>
        </w:rPr>
        <w:t xml:space="preserve"> </w:t>
      </w:r>
      <w:r>
        <w:t>Each patient in the dose escalation phase received the assigned VEM dose of four weeks.</w:t>
      </w:r>
      <w:r w:rsidRPr="003B4482">
        <w:rPr>
          <w:i/>
        </w:rPr>
        <w:t xml:space="preserve"> </w:t>
      </w:r>
      <w:r>
        <w:t>Afterwards patients were offered continued dosing with VEM based on tolerability and absence of disease progression.</w:t>
      </w:r>
      <w:r w:rsidRPr="003B4482">
        <w:rPr>
          <w:i/>
        </w:rPr>
        <w:t xml:space="preserve"> </w:t>
      </w:r>
    </w:p>
    <w:p w:rsidR="003B4482" w:rsidRDefault="003B4482" w:rsidP="003B4482">
      <w:pPr>
        <w:jc w:val="both"/>
      </w:pPr>
      <w:r>
        <w:lastRenderedPageBreak/>
        <w:t>In the treatment extension phase, once the maximum tolerated dose of VEM was selected based on the PK and safety results of the dose escalation phase, patients with BRAF</w:t>
      </w:r>
      <w:r>
        <w:rPr>
          <w:vertAlign w:val="superscript"/>
        </w:rPr>
        <w:t>V600E+</w:t>
      </w:r>
      <w:r>
        <w:t xml:space="preserve"> metastatic melanoma or CRC were enrolled in two respective treatment PK extension cohorts, each of which was planned to enrol 20-26 patients in parallel.</w:t>
      </w:r>
      <w:r w:rsidRPr="003B4482">
        <w:rPr>
          <w:i/>
        </w:rPr>
        <w:t xml:space="preserve"> </w:t>
      </w:r>
      <w:r>
        <w:t>The patients in the extension cohorts received treatment until disease progression, death or withdrawal from the study.</w:t>
      </w:r>
      <w:r w:rsidRPr="003B4482">
        <w:rPr>
          <w:i/>
        </w:rPr>
        <w:t xml:space="preserve"> </w:t>
      </w:r>
    </w:p>
    <w:p w:rsidR="003B4482" w:rsidRDefault="008946A6" w:rsidP="00D73147">
      <w:r>
        <w:t>Pharmacokinetic parameters assessed included area under the plasma concentration time curve over a dosing interval (AUC</w:t>
      </w:r>
      <w:r>
        <w:rPr>
          <w:vertAlign w:val="subscript"/>
        </w:rPr>
        <w:t>0-t</w:t>
      </w:r>
      <w:r>
        <w:t>) and area under the plasma concentration time curve from time zero to infinity  (AUC</w:t>
      </w:r>
      <w:r>
        <w:rPr>
          <w:vertAlign w:val="subscript"/>
        </w:rPr>
        <w:t>0-infinity</w:t>
      </w:r>
      <w:r>
        <w:t>), PK concentration (C</w:t>
      </w:r>
      <w:r>
        <w:rPr>
          <w:vertAlign w:val="subscript"/>
        </w:rPr>
        <w:t>max</w:t>
      </w:r>
      <w:r>
        <w:t>), time to PK concentrations (T</w:t>
      </w:r>
      <w:r>
        <w:rPr>
          <w:vertAlign w:val="subscript"/>
        </w:rPr>
        <w:t>max</w:t>
      </w:r>
      <w:r>
        <w:t>), half-life (T</w:t>
      </w:r>
      <w:r>
        <w:rPr>
          <w:vertAlign w:val="subscript"/>
        </w:rPr>
        <w:t>1/2</w:t>
      </w:r>
      <w:r>
        <w:t>) and terminal elimination rate constant (K</w:t>
      </w:r>
      <w:r>
        <w:rPr>
          <w:vertAlign w:val="subscript"/>
        </w:rPr>
        <w:t>el</w:t>
      </w:r>
      <w:r>
        <w:t>).</w:t>
      </w:r>
      <w:r>
        <w:rPr>
          <w:rStyle w:val="FootnoteReference"/>
        </w:rPr>
        <w:footnoteReference w:id="18"/>
      </w:r>
      <w:r>
        <w:rPr>
          <w:i/>
        </w:rPr>
        <w:t xml:space="preserve"> </w:t>
      </w:r>
      <w:r w:rsidR="003B4482">
        <w:t>The PK parameters were estimated by non-compartmental PK analysis (NCA) of the plasma VEM concentration time course curve for each patient in the PK population.</w:t>
      </w:r>
      <w:r w:rsidR="003B4482" w:rsidRPr="003B4482">
        <w:rPr>
          <w:i/>
        </w:rPr>
        <w:t xml:space="preserve"> </w:t>
      </w:r>
      <w:r w:rsidR="003B4482">
        <w:t>PK parameters were summarised using descriptive statistics.</w:t>
      </w:r>
      <w:r w:rsidR="003B4482" w:rsidRPr="003B4482">
        <w:rPr>
          <w:i/>
        </w:rPr>
        <w:t xml:space="preserve"> </w:t>
      </w:r>
    </w:p>
    <w:p w:rsidR="003B4482" w:rsidRDefault="003B4482" w:rsidP="003B4482">
      <w:pPr>
        <w:jc w:val="both"/>
        <w:rPr>
          <w:i/>
        </w:rPr>
      </w:pPr>
      <w:r>
        <w:t>Results of PK analyses revealed the mean dose normalised values for VEM AUC and C</w:t>
      </w:r>
      <w:r>
        <w:rPr>
          <w:vertAlign w:val="subscript"/>
        </w:rPr>
        <w:t>max</w:t>
      </w:r>
      <w:r>
        <w:t xml:space="preserve"> appeared to be dose proportional between 240 and 96</w:t>
      </w:r>
      <w:r w:rsidRPr="003B4482">
        <w:t>0 mg</w:t>
      </w:r>
      <w:r>
        <w:t xml:space="preserve"> twice daily and greater than dose proportional for 112</w:t>
      </w:r>
      <w:r w:rsidRPr="003B4482">
        <w:t>0 mg</w:t>
      </w:r>
      <w:r>
        <w:t xml:space="preserve"> twice daily, which is also the dose at which DLT</w:t>
      </w:r>
      <w:bookmarkStart w:id="56" w:name="_GoBack"/>
      <w:bookmarkEnd w:id="56"/>
      <w:r>
        <w:t xml:space="preserve">s were observed and </w:t>
      </w:r>
      <w:r w:rsidRPr="00322BFB">
        <w:t xml:space="preserve">indicated in Figures </w:t>
      </w:r>
      <w:r w:rsidR="00D54E51" w:rsidRPr="00322BFB">
        <w:t>4</w:t>
      </w:r>
      <w:r w:rsidRPr="00322BFB">
        <w:t xml:space="preserve"> and </w:t>
      </w:r>
      <w:r w:rsidR="00D54E51" w:rsidRPr="00322BFB">
        <w:t>5</w:t>
      </w:r>
      <w:r w:rsidRPr="00322BFB">
        <w:t>.</w:t>
      </w:r>
      <w:r w:rsidRPr="00322BFB">
        <w:rPr>
          <w:i/>
        </w:rPr>
        <w:t xml:space="preserve"> </w:t>
      </w:r>
      <w:r w:rsidRPr="00322BFB">
        <w:t>Thus</w:t>
      </w:r>
      <w:r w:rsidR="00D73147" w:rsidRPr="00322BFB">
        <w:t>,</w:t>
      </w:r>
      <w:r w:rsidRPr="00322BFB">
        <w:t xml:space="preserve"> 960</w:t>
      </w:r>
      <w:r w:rsidRPr="003B4482">
        <w:t xml:space="preserve"> mg</w:t>
      </w:r>
      <w:r>
        <w:t xml:space="preserve"> twice daily was selected for the MTD and the recommended dose for further evaluation in the melanoma and CRC extension cohorts.</w:t>
      </w:r>
      <w:r w:rsidRPr="003B4482">
        <w:rPr>
          <w:i/>
        </w:rPr>
        <w:t xml:space="preserve"> </w:t>
      </w:r>
    </w:p>
    <w:p w:rsidR="00D54E51" w:rsidRDefault="00F016D0" w:rsidP="00D54E51">
      <w:pPr>
        <w:pStyle w:val="FigureTitle"/>
      </w:pPr>
      <w:r>
        <w:rPr>
          <w:noProof/>
          <w:lang w:eastAsia="zh-TW"/>
        </w:rPr>
        <w:pict>
          <v:shapetype id="_x0000_t202" coordsize="21600,21600" o:spt="202" path="m,l,21600r21600,l21600,xe">
            <v:stroke joinstyle="miter"/>
            <v:path gradientshapeok="t" o:connecttype="rect"/>
          </v:shapetype>
          <v:shape id="Text Box 11" o:spid="_x0000_s1026" type="#_x0000_t202" style="position:absolute;margin-left:-5.55pt;margin-top:18.45pt;width:74.5pt;height:3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" stroked="f">
            <v:textbox>
              <w:txbxContent>
                <w:p w:rsidR="00A408DA" w:rsidRDefault="00A408DA"/>
              </w:txbxContent>
            </v:textbox>
          </v:shape>
        </w:pict>
      </w:r>
      <w:r w:rsidR="00D54E51">
        <w:t>Figure 4.</w:t>
      </w:r>
    </w:p>
    <w:p w:rsidR="00D54E51" w:rsidRDefault="005B75BE" w:rsidP="003B4482">
      <w:pPr>
        <w:jc w:val="both"/>
      </w:pPr>
      <w:r>
        <w:rPr>
          <w:noProof/>
          <w:lang w:eastAsia="en-AU"/>
        </w:rPr>
        <w:drawing>
          <wp:inline distT="0" distB="0" distL="0" distR="0">
            <wp:extent cx="4686300" cy="2924175"/>
            <wp:effectExtent l="19050" t="0" r="0" b="0"/>
            <wp:docPr id="6" name="Picture 6"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62" t="2058" r="8733" b="3088"/>
                    <a:stretch>
                      <a:fillRect/>
                    </a:stretch>
                  </pic:blipFill>
                  <pic:spPr bwMode="auto">
                    <a:xfrm>
                      <a:off x="0" y="0"/>
                      <a:ext cx="4686300" cy="2924175"/>
                    </a:xfrm>
                    <a:prstGeom prst="rect">
                      <a:avLst/>
                    </a:prstGeom>
                    <a:noFill/>
                    <a:ln>
                      <a:noFill/>
                    </a:ln>
                  </pic:spPr>
                </pic:pic>
              </a:graphicData>
            </a:graphic>
          </wp:inline>
        </w:drawing>
      </w:r>
    </w:p>
    <w:p w:rsidR="00D54E51" w:rsidRDefault="00D54E51" w:rsidP="003B4482">
      <w:pPr>
        <w:jc w:val="both"/>
      </w:pPr>
    </w:p>
    <w:p w:rsidR="00D54E51" w:rsidRDefault="00D54E51" w:rsidP="00322BFB">
      <w:pPr>
        <w:pStyle w:val="FigureTitle"/>
        <w:keepNext/>
      </w:pPr>
      <w:r>
        <w:lastRenderedPageBreak/>
        <w:t>Figure 5.</w:t>
      </w:r>
      <w:r w:rsidR="00322BFB">
        <w:t xml:space="preserve"> </w:t>
      </w:r>
    </w:p>
    <w:p w:rsidR="00D54E51" w:rsidRDefault="00F016D0" w:rsidP="00322BFB">
      <w:pPr>
        <w:keepNext/>
        <w:jc w:val="both"/>
      </w:pPr>
      <w:r>
        <w:rPr>
          <w:noProof/>
          <w:lang w:eastAsia="zh-TW"/>
        </w:rPr>
        <w:pict>
          <v:shape id="Text Box 12" o:spid="_x0000_s1027" type="#_x0000_t202" style="position:absolute;left:0;text-align:left;margin-left:-6.8pt;margin-top:.7pt;width:75.7pt;height:3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" stroked="f">
            <v:textbox>
              <w:txbxContent>
                <w:p w:rsidR="00A408DA" w:rsidRDefault="00A408DA" w:rsidP="00322BFB"/>
              </w:txbxContent>
            </v:textbox>
          </v:shape>
        </w:pict>
      </w:r>
      <w:r w:rsidR="005B75BE">
        <w:rPr>
          <w:noProof/>
          <w:lang w:eastAsia="en-AU"/>
        </w:rPr>
        <w:drawing>
          <wp:inline distT="0" distB="0" distL="0" distR="0">
            <wp:extent cx="4695825" cy="2771775"/>
            <wp:effectExtent l="19050" t="0" r="9525" b="0"/>
            <wp:docPr id="7" name="Picture 7"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63" t="1602" r="5412" b="2135"/>
                    <a:stretch>
                      <a:fillRect/>
                    </a:stretch>
                  </pic:blipFill>
                  <pic:spPr bwMode="auto">
                    <a:xfrm>
                      <a:off x="0" y="0"/>
                      <a:ext cx="4695825" cy="2771775"/>
                    </a:xfrm>
                    <a:prstGeom prst="rect">
                      <a:avLst/>
                    </a:prstGeom>
                    <a:noFill/>
                    <a:ln>
                      <a:noFill/>
                    </a:ln>
                  </pic:spPr>
                </pic:pic>
              </a:graphicData>
            </a:graphic>
          </wp:inline>
        </w:drawing>
      </w:r>
    </w:p>
    <w:p w:rsidR="003B4482" w:rsidRDefault="003B4482" w:rsidP="003B4482">
      <w:pPr>
        <w:jc w:val="both"/>
        <w:rPr>
          <w:i/>
        </w:rPr>
      </w:pPr>
      <w:r>
        <w:t>Pharmacokinetics evaluated in the melanoma extension phase revealed that VEM concentrations increased with time and became relatively flat after C</w:t>
      </w:r>
      <w:r>
        <w:rPr>
          <w:vertAlign w:val="subscript"/>
        </w:rPr>
        <w:t>max</w:t>
      </w:r>
      <w:r>
        <w:t xml:space="preserve"> was reached. On </w:t>
      </w:r>
      <w:r w:rsidR="00D73147">
        <w:t>D</w:t>
      </w:r>
      <w:r>
        <w:t xml:space="preserve">ay 15 VEM concentrations remained relatively flat throughout the twice daily dose interval as indicated </w:t>
      </w:r>
      <w:r w:rsidRPr="00322BFB">
        <w:t xml:space="preserve">in Figure </w:t>
      </w:r>
      <w:r w:rsidR="00D54E51" w:rsidRPr="00322BFB">
        <w:t>6</w:t>
      </w:r>
      <w:r w:rsidRPr="00322BFB">
        <w:t>.</w:t>
      </w:r>
      <w:r w:rsidRPr="00322BFB">
        <w:rPr>
          <w:i/>
        </w:rPr>
        <w:t xml:space="preserve"> </w:t>
      </w:r>
      <w:r w:rsidRPr="00322BFB">
        <w:t>The median T</w:t>
      </w:r>
      <w:r w:rsidRPr="00322BFB">
        <w:rPr>
          <w:vertAlign w:val="subscript"/>
        </w:rPr>
        <w:t>max</w:t>
      </w:r>
      <w:r w:rsidRPr="00322BFB">
        <w:t xml:space="preserve"> for </w:t>
      </w:r>
      <w:r w:rsidR="00D73147" w:rsidRPr="00322BFB">
        <w:t>D</w:t>
      </w:r>
      <w:r w:rsidRPr="00322BFB">
        <w:t xml:space="preserve">ay 1 and </w:t>
      </w:r>
      <w:r w:rsidR="00D73147" w:rsidRPr="00322BFB">
        <w:t>D</w:t>
      </w:r>
      <w:r w:rsidRPr="00322BFB">
        <w:t xml:space="preserve">ay 15 were </w:t>
      </w:r>
      <w:r w:rsidR="00D73147" w:rsidRPr="00322BFB">
        <w:t>4 h and 1 h</w:t>
      </w:r>
      <w:r w:rsidRPr="00322BFB">
        <w:t xml:space="preserve"> respectively.</w:t>
      </w:r>
      <w:r w:rsidRPr="00322BFB">
        <w:rPr>
          <w:i/>
        </w:rPr>
        <w:t xml:space="preserve"> </w:t>
      </w:r>
      <w:r w:rsidRPr="00322BFB">
        <w:t>AUC and C</w:t>
      </w:r>
      <w:r w:rsidRPr="00322BFB">
        <w:rPr>
          <w:vertAlign w:val="subscript"/>
        </w:rPr>
        <w:t>max</w:t>
      </w:r>
      <w:r w:rsidRPr="00322BFB">
        <w:t xml:space="preserve"> values increased</w:t>
      </w:r>
      <w:r>
        <w:t xml:space="preserve"> from </w:t>
      </w:r>
      <w:r w:rsidR="00D73147">
        <w:t>D</w:t>
      </w:r>
      <w:r>
        <w:t xml:space="preserve">ay 1 to </w:t>
      </w:r>
      <w:r w:rsidR="00D73147">
        <w:t>D</w:t>
      </w:r>
      <w:r>
        <w:t>ay 15 as expected based on the VEM accumulation findings observed in patients during the dose escalation phase.</w:t>
      </w:r>
      <w:r w:rsidRPr="003B4482">
        <w:rPr>
          <w:i/>
        </w:rPr>
        <w:t xml:space="preserve"> </w:t>
      </w:r>
      <w:r>
        <w:t>The mean peak to trough r</w:t>
      </w:r>
      <w:r w:rsidR="00D73147">
        <w:t>atio for VEM concentrations to D</w:t>
      </w:r>
      <w:r>
        <w:t xml:space="preserve">ay 15 was 1.24 with a </w:t>
      </w:r>
      <w:r w:rsidR="00D73147">
        <w:t>standard deviation (</w:t>
      </w:r>
      <w:r>
        <w:t>SD</w:t>
      </w:r>
      <w:r w:rsidR="00D73147">
        <w:t>)</w:t>
      </w:r>
      <w:r>
        <w:t xml:space="preserve"> of +/-0.2 and ranges from 1 </w:t>
      </w:r>
      <w:r w:rsidR="00D73147">
        <w:t>to</w:t>
      </w:r>
      <w:r>
        <w:t xml:space="preserve"> 1.63 in 12 patients, which indicated relatively consistent VEM plasma exposure</w:t>
      </w:r>
      <w:r>
        <w:rPr>
          <w:b/>
        </w:rPr>
        <w:t xml:space="preserve"> </w:t>
      </w:r>
      <w:r>
        <w:t>during the dosing intervals.</w:t>
      </w:r>
      <w:r w:rsidRPr="003B4482">
        <w:rPr>
          <w:i/>
        </w:rPr>
        <w:t xml:space="preserve"> </w:t>
      </w:r>
      <w:r>
        <w:t>In this analysis the peak VEM concentrations reported for the morning dose and the trough concentrations of the evening dose in the twice daily dosing interval.</w:t>
      </w:r>
      <w:r w:rsidRPr="003B4482">
        <w:rPr>
          <w:i/>
        </w:rPr>
        <w:t xml:space="preserve"> </w:t>
      </w:r>
      <w:r>
        <w:t>Large inter-patient differences in VEM exposure were observed.</w:t>
      </w:r>
      <w:r w:rsidRPr="003B4482">
        <w:rPr>
          <w:i/>
        </w:rPr>
        <w:t xml:space="preserve"> </w:t>
      </w:r>
    </w:p>
    <w:p w:rsidR="00F01C9F" w:rsidRDefault="00F01C9F" w:rsidP="00F01C9F">
      <w:pPr>
        <w:pStyle w:val="FigureTitle"/>
      </w:pPr>
      <w:r>
        <w:t xml:space="preserve">Figure 6. </w:t>
      </w:r>
    </w:p>
    <w:p w:rsidR="00322BFB" w:rsidRDefault="00F016D0" w:rsidP="00322BFB">
      <w:pPr>
        <w:pStyle w:val="FigureTitle"/>
        <w:keepNext/>
      </w:pPr>
      <w:r>
        <w:rPr>
          <w:noProof/>
          <w:lang w:eastAsia="zh-TW"/>
        </w:rPr>
        <w:pict>
          <v:shape id="Text Box 14" o:spid="_x0000_s1028" type="#_x0000_t202" style="position:absolute;margin-left:-17.5pt;margin-top:1pt;width:75.7pt;height:3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" stroked="f">
            <v:textbox>
              <w:txbxContent>
                <w:p w:rsidR="00A408DA" w:rsidRDefault="00A408DA" w:rsidP="00322BFB"/>
              </w:txbxContent>
            </v:textbox>
          </v:shape>
        </w:pict>
      </w:r>
      <w:r w:rsidR="005B75BE">
        <w:rPr>
          <w:noProof/>
          <w:lang w:eastAsia="en-AU"/>
        </w:rPr>
        <w:drawing>
          <wp:inline distT="0" distB="0" distL="0" distR="0">
            <wp:extent cx="4933950" cy="2933700"/>
            <wp:effectExtent l="19050" t="0" r="0" b="0"/>
            <wp:docPr id="8" name="Picture 8"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08" b="2797"/>
                    <a:stretch>
                      <a:fillRect/>
                    </a:stretch>
                  </pic:blipFill>
                  <pic:spPr bwMode="auto">
                    <a:xfrm>
                      <a:off x="0" y="0"/>
                      <a:ext cx="4933950" cy="2933700"/>
                    </a:xfrm>
                    <a:prstGeom prst="rect">
                      <a:avLst/>
                    </a:prstGeom>
                    <a:noFill/>
                    <a:ln>
                      <a:noFill/>
                    </a:ln>
                  </pic:spPr>
                </pic:pic>
              </a:graphicData>
            </a:graphic>
          </wp:inline>
        </w:drawing>
      </w:r>
    </w:p>
    <w:p w:rsidR="00F01C9F" w:rsidRDefault="00F01C9F" w:rsidP="003B4482">
      <w:pPr>
        <w:jc w:val="both"/>
      </w:pPr>
    </w:p>
    <w:p w:rsidR="003B4482" w:rsidRDefault="003B4482" w:rsidP="003B4482">
      <w:pPr>
        <w:jc w:val="both"/>
      </w:pPr>
      <w:r>
        <w:lastRenderedPageBreak/>
        <w:t>Relative bioavailability studies were conducted.</w:t>
      </w:r>
      <w:r w:rsidRPr="003B4482">
        <w:rPr>
          <w:i/>
        </w:rPr>
        <w:t xml:space="preserve"> </w:t>
      </w:r>
      <w:r>
        <w:t>For assessment of MBP capsules 8</w:t>
      </w:r>
      <w:r w:rsidRPr="003B4482">
        <w:t>0 mg</w:t>
      </w:r>
      <w:r w:rsidR="00D73147" w:rsidRPr="00D73147">
        <w:t xml:space="preserve"> versus </w:t>
      </w:r>
      <w:r>
        <w:t>12</w:t>
      </w:r>
      <w:r w:rsidRPr="003B4482">
        <w:t>0 mg</w:t>
      </w:r>
      <w:r>
        <w:t xml:space="preserve"> which was undertaken in the melanoma extension phase of study, differences in mean dose normalised exposure was no greater than 10%.</w:t>
      </w:r>
      <w:r w:rsidRPr="003B4482">
        <w:rPr>
          <w:i/>
        </w:rPr>
        <w:t xml:space="preserve"> </w:t>
      </w:r>
    </w:p>
    <w:p w:rsidR="003B4482" w:rsidRDefault="003B4482" w:rsidP="003B4482">
      <w:pPr>
        <w:jc w:val="both"/>
      </w:pPr>
      <w:r>
        <w:t>Assessment of the relative bioavailability of VEM in the 24</w:t>
      </w:r>
      <w:r w:rsidRPr="003B4482">
        <w:t>0 mg</w:t>
      </w:r>
      <w:r>
        <w:t xml:space="preserve"> film coated tablets compared to the 12</w:t>
      </w:r>
      <w:r w:rsidRPr="003B4482">
        <w:t>0 mg</w:t>
      </w:r>
      <w:r>
        <w:t xml:space="preserve"> capsules could not be assessed as data was only available for three patients.</w:t>
      </w:r>
    </w:p>
    <w:p w:rsidR="003B4482" w:rsidRDefault="00D73147" w:rsidP="00D73147">
      <w:pPr>
        <w:pStyle w:val="Heading5"/>
      </w:pPr>
      <w:r>
        <w:t>Study PLX102-01</w:t>
      </w:r>
      <w:r w:rsidR="003B4482" w:rsidRPr="003B4482">
        <w:t xml:space="preserve">  </w:t>
      </w:r>
    </w:p>
    <w:p w:rsidR="003B4482" w:rsidRDefault="003B4482" w:rsidP="003B4482">
      <w:pPr>
        <w:jc w:val="both"/>
      </w:pPr>
      <w:r>
        <w:t xml:space="preserve">Study PLX102-01 was a randomised </w:t>
      </w:r>
      <w:r w:rsidR="00D73147" w:rsidRPr="00D73147">
        <w:t>open label</w:t>
      </w:r>
      <w:r>
        <w:t xml:space="preserve"> three-period crossover study with a primary objective of assessing the relative bioavailability of the two MBP formulations, </w:t>
      </w:r>
      <w:r w:rsidR="00D73147">
        <w:t>that is,</w:t>
      </w:r>
      <w:r>
        <w:t xml:space="preserve"> 4</w:t>
      </w:r>
      <w:r w:rsidRPr="003B4482">
        <w:t>0 mg</w:t>
      </w:r>
      <w:r>
        <w:t xml:space="preserve"> </w:t>
      </w:r>
      <w:r w:rsidRPr="007236E2">
        <w:t xml:space="preserve">capsule wet granulation and 40 mg capsule dry granulation compared to the reference crystalline formulation with capsule </w:t>
      </w:r>
      <w:r w:rsidR="006A1469" w:rsidRPr="007236E2">
        <w:t>3</w:t>
      </w:r>
      <w:r w:rsidRPr="007236E2">
        <w:t>00 mg, 900 mg doses used in the earlier PLX06-02 study.</w:t>
      </w:r>
      <w:r w:rsidRPr="007236E2">
        <w:rPr>
          <w:i/>
        </w:rPr>
        <w:t xml:space="preserve"> </w:t>
      </w:r>
      <w:r w:rsidRPr="007236E2">
        <w:t>Eighteen healthy male subjects received the Phase I reference formulation and each of the MBP formulations, all administered as a single oral dose according to the assigned randomised sequence.</w:t>
      </w:r>
      <w:r w:rsidRPr="007236E2">
        <w:rPr>
          <w:i/>
        </w:rPr>
        <w:t xml:space="preserve"> </w:t>
      </w:r>
      <w:r w:rsidRPr="007236E2">
        <w:t>During each treatment period VEM was administered following an overnight fast; subjects continued</w:t>
      </w:r>
      <w:r>
        <w:t xml:space="preserve"> to fast for </w:t>
      </w:r>
      <w:r w:rsidR="00D73147">
        <w:t>4 h</w:t>
      </w:r>
      <w:r>
        <w:t xml:space="preserve"> postdose at which time they were given a standardised meal.</w:t>
      </w:r>
      <w:r w:rsidRPr="003B4482">
        <w:rPr>
          <w:i/>
        </w:rPr>
        <w:t xml:space="preserve"> </w:t>
      </w:r>
      <w:r>
        <w:t>A washout period of 14-21 days separated each VEM dose.</w:t>
      </w:r>
      <w:r w:rsidRPr="003B4482">
        <w:rPr>
          <w:i/>
        </w:rPr>
        <w:t xml:space="preserve"> </w:t>
      </w:r>
    </w:p>
    <w:p w:rsidR="003B4482" w:rsidRDefault="003B4482" w:rsidP="003B4482">
      <w:pPr>
        <w:jc w:val="both"/>
      </w:pPr>
      <w:r>
        <w:t>All PK parameters were measured by individual listings and descriptive summary statistics by treatment.</w:t>
      </w:r>
      <w:r w:rsidR="00D73147">
        <w:t xml:space="preserve"> </w:t>
      </w:r>
      <w:r>
        <w:t>Primary study variables were assessed with the relative bioavailabilities of the new oral formulations AUC</w:t>
      </w:r>
      <w:r>
        <w:rPr>
          <w:vertAlign w:val="subscript"/>
        </w:rPr>
        <w:t>0-infinity</w:t>
      </w:r>
      <w:r>
        <w:t xml:space="preserve"> or AUC</w:t>
      </w:r>
      <w:r>
        <w:rPr>
          <w:vertAlign w:val="subscript"/>
        </w:rPr>
        <w:t>0-last</w:t>
      </w:r>
      <w:r>
        <w:t xml:space="preserve"> and C</w:t>
      </w:r>
      <w:r>
        <w:rPr>
          <w:vertAlign w:val="subscript"/>
        </w:rPr>
        <w:t>max</w:t>
      </w:r>
      <w:r>
        <w:t>.</w:t>
      </w:r>
      <w:r w:rsidRPr="003B4482">
        <w:rPr>
          <w:i/>
        </w:rPr>
        <w:t xml:space="preserve"> </w:t>
      </w:r>
      <w:r>
        <w:t xml:space="preserve">To test the possible differences among formulations and </w:t>
      </w:r>
      <w:r w:rsidR="00D73147">
        <w:t>analysis of variance (</w:t>
      </w:r>
      <w:r>
        <w:t>ANOVA</w:t>
      </w:r>
      <w:r w:rsidR="00D73147">
        <w:t>)</w:t>
      </w:r>
      <w:r>
        <w:t xml:space="preserve"> with factored formulation and period was applied to log transformed values of AUC</w:t>
      </w:r>
      <w:r>
        <w:rPr>
          <w:vertAlign w:val="subscript"/>
        </w:rPr>
        <w:t>0-infinity</w:t>
      </w:r>
      <w:r>
        <w:t xml:space="preserve"> or AUC</w:t>
      </w:r>
      <w:r>
        <w:rPr>
          <w:vertAlign w:val="subscript"/>
        </w:rPr>
        <w:t>0-last</w:t>
      </w:r>
      <w:r>
        <w:t xml:space="preserve"> and C</w:t>
      </w:r>
      <w:r>
        <w:rPr>
          <w:vertAlign w:val="subscript"/>
        </w:rPr>
        <w:t>max</w:t>
      </w:r>
      <w:r>
        <w:t>.</w:t>
      </w:r>
      <w:r w:rsidRPr="003B4482">
        <w:rPr>
          <w:i/>
        </w:rPr>
        <w:t xml:space="preserve"> </w:t>
      </w:r>
      <w:r>
        <w:t xml:space="preserve"> </w:t>
      </w:r>
    </w:p>
    <w:p w:rsidR="003B4482" w:rsidRDefault="003B4482" w:rsidP="003B4482">
      <w:pPr>
        <w:jc w:val="both"/>
      </w:pPr>
      <w:r>
        <w:t xml:space="preserve">The results of PLX102-01 demonstrated </w:t>
      </w:r>
      <w:r w:rsidR="00D73147">
        <w:t xml:space="preserve">that </w:t>
      </w:r>
      <w:r>
        <w:t>each of the MBP 4</w:t>
      </w:r>
      <w:r w:rsidRPr="003B4482">
        <w:t>0 mg</w:t>
      </w:r>
      <w:r>
        <w:t xml:space="preserve"> capsule formulations showed exposures (AUC</w:t>
      </w:r>
      <w:r>
        <w:rPr>
          <w:vertAlign w:val="subscript"/>
        </w:rPr>
        <w:t>0-infinity</w:t>
      </w:r>
      <w:r>
        <w:t xml:space="preserve">) approximately </w:t>
      </w:r>
      <w:r w:rsidR="00D73147">
        <w:t xml:space="preserve">5 </w:t>
      </w:r>
      <w:r>
        <w:t xml:space="preserve">fold higher compared to the reference </w:t>
      </w:r>
      <w:r w:rsidRPr="003B4482">
        <w:t>Phase</w:t>
      </w:r>
      <w:r w:rsidR="00322BFB">
        <w:t xml:space="preserve"> </w:t>
      </w:r>
      <w:r w:rsidRPr="003B4482">
        <w:t>I</w:t>
      </w:r>
      <w:r>
        <w:t xml:space="preserve"> formulation.</w:t>
      </w:r>
      <w:r w:rsidRPr="003B4482">
        <w:rPr>
          <w:i/>
        </w:rPr>
        <w:t xml:space="preserve"> </w:t>
      </w:r>
      <w:r>
        <w:t>C</w:t>
      </w:r>
      <w:r>
        <w:rPr>
          <w:vertAlign w:val="subscript"/>
        </w:rPr>
        <w:t>max</w:t>
      </w:r>
      <w:r>
        <w:t xml:space="preserve"> levels were also greater for both MBP formulations</w:t>
      </w:r>
      <w:r w:rsidR="00D73147" w:rsidRPr="00D73147">
        <w:t xml:space="preserve"> versus </w:t>
      </w:r>
      <w:r>
        <w:t>the reference formulations.</w:t>
      </w:r>
      <w:r w:rsidRPr="003B4482">
        <w:rPr>
          <w:i/>
        </w:rPr>
        <w:t xml:space="preserve"> </w:t>
      </w:r>
      <w:r>
        <w:t xml:space="preserve">At the </w:t>
      </w:r>
      <w:r w:rsidR="00D73147">
        <w:t>confidence interval (</w:t>
      </w:r>
      <w:r>
        <w:t>CI</w:t>
      </w:r>
      <w:r w:rsidR="00D73147">
        <w:t>)</w:t>
      </w:r>
      <w:r>
        <w:t xml:space="preserve"> interval of the AUC </w:t>
      </w:r>
      <w:r>
        <w:rPr>
          <w:vertAlign w:val="subscript"/>
        </w:rPr>
        <w:t>0-infinity</w:t>
      </w:r>
      <w:r>
        <w:t xml:space="preserve"> exposure ratio, the two MBP formulations being 0.85 – 1.35 and outside the range of 0.8 to 1.25 the equivalence of the two MBP formulations could not be claimed. </w:t>
      </w:r>
    </w:p>
    <w:p w:rsidR="003B4482" w:rsidRDefault="00A71D02" w:rsidP="00D73147">
      <w:pPr>
        <w:pStyle w:val="Heading5"/>
      </w:pPr>
      <w:r>
        <w:t>Study NP22676</w:t>
      </w:r>
    </w:p>
    <w:p w:rsidR="003B4482" w:rsidRDefault="003B4482" w:rsidP="003B4482">
      <w:pPr>
        <w:jc w:val="both"/>
      </w:pPr>
      <w:r>
        <w:t xml:space="preserve">Study NP22676 was an </w:t>
      </w:r>
      <w:r w:rsidR="00D73147" w:rsidRPr="00D73147">
        <w:t>open label</w:t>
      </w:r>
      <w:r>
        <w:t xml:space="preserve"> multicentre </w:t>
      </w:r>
      <w:r w:rsidRPr="003B4482">
        <w:t>Phase I</w:t>
      </w:r>
      <w:r>
        <w:t xml:space="preserve"> study to evaluate the effect of VEM on the pharmacokinetics of five CYP450 substrates given as a drug cocktail.</w:t>
      </w:r>
      <w:r w:rsidRPr="003B4482">
        <w:rPr>
          <w:i/>
        </w:rPr>
        <w:t xml:space="preserve"> </w:t>
      </w:r>
      <w:r>
        <w:t xml:space="preserve">On </w:t>
      </w:r>
      <w:r w:rsidR="00D73147">
        <w:t>D</w:t>
      </w:r>
      <w:r>
        <w:t>ay 1, patients received single doses of the fiv</w:t>
      </w:r>
      <w:r w:rsidR="00D73147">
        <w:t xml:space="preserve">e probe drugs followed by a 5 </w:t>
      </w:r>
      <w:r>
        <w:t>day washout period.</w:t>
      </w:r>
      <w:r w:rsidRPr="003B4482">
        <w:rPr>
          <w:i/>
        </w:rPr>
        <w:t xml:space="preserve"> </w:t>
      </w:r>
      <w:r>
        <w:t>Blo</w:t>
      </w:r>
      <w:r w:rsidR="00D73147">
        <w:t>od samples were collected from D</w:t>
      </w:r>
      <w:r>
        <w:t xml:space="preserve">ays 1-5 (treatment </w:t>
      </w:r>
      <w:r w:rsidR="00A71D02" w:rsidRPr="00A71D02">
        <w:t>Period A</w:t>
      </w:r>
      <w:r>
        <w:t>) to establish a baseline PK profile for the five probe drugs and their major metabolites when administered without VEM.</w:t>
      </w:r>
      <w:r w:rsidRPr="003B4482">
        <w:rPr>
          <w:i/>
        </w:rPr>
        <w:t xml:space="preserve"> </w:t>
      </w:r>
      <w:r>
        <w:t xml:space="preserve">On </w:t>
      </w:r>
      <w:r w:rsidR="00D73147">
        <w:t>D</w:t>
      </w:r>
      <w:r>
        <w:t>ay 6 patients began receiving oral doses of VEM at 96</w:t>
      </w:r>
      <w:r w:rsidRPr="003B4482">
        <w:t>0 mg</w:t>
      </w:r>
      <w:r>
        <w:t xml:space="preserve"> twice daily (treatment </w:t>
      </w:r>
      <w:r w:rsidR="00A71D02" w:rsidRPr="00A71D02">
        <w:t>Period B</w:t>
      </w:r>
      <w:r>
        <w:t>).</w:t>
      </w:r>
      <w:r w:rsidRPr="003B4482">
        <w:rPr>
          <w:i/>
        </w:rPr>
        <w:t xml:space="preserve"> </w:t>
      </w:r>
      <w:r>
        <w:t xml:space="preserve">Blood samples were collected on </w:t>
      </w:r>
      <w:r w:rsidR="00D73147">
        <w:t>D</w:t>
      </w:r>
      <w:r>
        <w:t xml:space="preserve">ay 19 to establish the steady state PK profile for VEM monotherapy. On </w:t>
      </w:r>
      <w:r w:rsidR="00D73147">
        <w:t>D</w:t>
      </w:r>
      <w:r>
        <w:t>ay 20 the five probe drugs and VEM were co-administered.</w:t>
      </w:r>
      <w:r w:rsidRPr="003B4482">
        <w:rPr>
          <w:i/>
        </w:rPr>
        <w:t xml:space="preserve"> </w:t>
      </w:r>
      <w:r>
        <w:t>Blo</w:t>
      </w:r>
      <w:r w:rsidR="00D73147">
        <w:t>od samples were collected from D</w:t>
      </w:r>
      <w:r>
        <w:t>ay 20</w:t>
      </w:r>
      <w:r w:rsidR="00D73147">
        <w:t xml:space="preserve"> to</w:t>
      </w:r>
      <w:r>
        <w:t xml:space="preserve"> </w:t>
      </w:r>
      <w:r w:rsidR="00D73147">
        <w:t xml:space="preserve">Day </w:t>
      </w:r>
      <w:r>
        <w:t xml:space="preserve">25 (treatment </w:t>
      </w:r>
      <w:r w:rsidR="00A71D02" w:rsidRPr="00A71D02">
        <w:t>Period C</w:t>
      </w:r>
      <w:r>
        <w:t>) to establish PK profiles of the five probe drugs and their respective metabolites when co-administered with VEM.</w:t>
      </w:r>
      <w:r w:rsidRPr="003B4482">
        <w:rPr>
          <w:i/>
        </w:rPr>
        <w:t xml:space="preserve"> </w:t>
      </w:r>
      <w:r>
        <w:t>The cocktail of drugs involved included caffeine, warfarin, omeprazole, dextromethorphan and midazolam.</w:t>
      </w:r>
      <w:r w:rsidRPr="003B4482">
        <w:rPr>
          <w:i/>
        </w:rPr>
        <w:t xml:space="preserve"> </w:t>
      </w:r>
    </w:p>
    <w:p w:rsidR="003B4482" w:rsidRDefault="003B4482" w:rsidP="003B4482">
      <w:pPr>
        <w:jc w:val="both"/>
      </w:pPr>
      <w:r>
        <w:t xml:space="preserve">A total of 25 patients were enrolled on study and </w:t>
      </w:r>
      <w:r w:rsidR="00D73147">
        <w:t>a</w:t>
      </w:r>
      <w:r>
        <w:t xml:space="preserve"> statistical analysis of AUC, C</w:t>
      </w:r>
      <w:r>
        <w:rPr>
          <w:vertAlign w:val="subscript"/>
        </w:rPr>
        <w:t>max</w:t>
      </w:r>
      <w:r>
        <w:t xml:space="preserve"> and </w:t>
      </w:r>
      <w:r w:rsidR="00FF2684">
        <w:t xml:space="preserve">oral </w:t>
      </w:r>
      <w:r w:rsidR="00B25B29">
        <w:t>clearance (</w:t>
      </w:r>
      <w:r>
        <w:t>CL-F</w:t>
      </w:r>
      <w:r w:rsidR="00B25B29">
        <w:t>)</w:t>
      </w:r>
      <w:r>
        <w:t xml:space="preserve"> for the CYP substrate parent and metabolite after administration with VEM</w:t>
      </w:r>
      <w:r w:rsidR="00D73147">
        <w:t xml:space="preserve"> was undertaken</w:t>
      </w:r>
      <w:r>
        <w:t>.</w:t>
      </w:r>
      <w:r w:rsidRPr="003B4482">
        <w:rPr>
          <w:i/>
        </w:rPr>
        <w:t xml:space="preserve"> </w:t>
      </w:r>
      <w:r>
        <w:t>After 15 continuous days of 96</w:t>
      </w:r>
      <w:r w:rsidRPr="003B4482">
        <w:t>0 mg</w:t>
      </w:r>
      <w:r>
        <w:t xml:space="preserve"> twice daily VEM and single dose administration of five CYP450 substrates:</w:t>
      </w:r>
      <w:r w:rsidRPr="003B4482">
        <w:rPr>
          <w:i/>
        </w:rPr>
        <w:t xml:space="preserve"> </w:t>
      </w:r>
      <w:r>
        <w:t xml:space="preserve"> </w:t>
      </w:r>
    </w:p>
    <w:p w:rsidR="003B4482" w:rsidRDefault="003B4482" w:rsidP="00D73147">
      <w:pPr>
        <w:pStyle w:val="ListBullet"/>
      </w:pPr>
      <w:r>
        <w:t>CYP1A2 inhibition was observed when a single dose of caffeine was co-administered after a repeat dosing with VEM for 15 days.</w:t>
      </w:r>
      <w:r w:rsidRPr="003B4482">
        <w:rPr>
          <w:i/>
        </w:rPr>
        <w:t xml:space="preserve"> </w:t>
      </w:r>
      <w:r>
        <w:t xml:space="preserve">This resulted in a caffeine paraxanthine </w:t>
      </w:r>
      <w:r>
        <w:lastRenderedPageBreak/>
        <w:t>AUC</w:t>
      </w:r>
      <w:r>
        <w:rPr>
          <w:vertAlign w:val="subscript"/>
        </w:rPr>
        <w:t>last</w:t>
      </w:r>
      <w:r>
        <w:t xml:space="preserve"> ratio of 0.45 between the two treatment periods with an average 2.5-fold increase and a maximum of up to 10-fold in caffeine plasma exposure after VEM treatment.</w:t>
      </w:r>
      <w:r w:rsidRPr="003B4482">
        <w:rPr>
          <w:i/>
        </w:rPr>
        <w:t xml:space="preserve"> </w:t>
      </w:r>
    </w:p>
    <w:p w:rsidR="003B4482" w:rsidRDefault="003B4482" w:rsidP="00D73147">
      <w:pPr>
        <w:pStyle w:val="ListBullet"/>
      </w:pPr>
      <w:r>
        <w:t>VEM would be expected to increase plasma exposure of drugs predominantly metabolised by CYP1A2 which may result in a safety concern for CYP1A2 substrates with a narrow therapeutic index.</w:t>
      </w:r>
      <w:r w:rsidRPr="003B4482">
        <w:rPr>
          <w:i/>
        </w:rPr>
        <w:t xml:space="preserve"> </w:t>
      </w:r>
    </w:p>
    <w:p w:rsidR="003B4482" w:rsidRDefault="003B4482" w:rsidP="00D73147">
      <w:pPr>
        <w:pStyle w:val="ListBullet"/>
      </w:pPr>
      <w:r>
        <w:t>CYP3A4 induction was observed when a single dose of midazolam was co-administered after repeat dosing with VEM for 15 days.</w:t>
      </w:r>
      <w:r w:rsidRPr="003B4482">
        <w:rPr>
          <w:i/>
        </w:rPr>
        <w:t xml:space="preserve"> </w:t>
      </w:r>
      <w:r>
        <w:t>This resulted in the midazolam/OH midazolam AUC</w:t>
      </w:r>
      <w:r>
        <w:rPr>
          <w:vertAlign w:val="subscript"/>
        </w:rPr>
        <w:t>last</w:t>
      </w:r>
      <w:r>
        <w:t xml:space="preserve"> ratio of &gt;2 between the two treatment periods with an average of 32% decrease and a maximum of 80% in midazolam plasma exposure after VEM treatment.</w:t>
      </w:r>
    </w:p>
    <w:p w:rsidR="003B4482" w:rsidRDefault="003B4482" w:rsidP="00D73147">
      <w:pPr>
        <w:pStyle w:val="ListBullet"/>
      </w:pPr>
      <w:r>
        <w:t>VEM would be expected to decrease plasma exposure of drugs predominantly metabolised by CYP3A4, which may result in a reduced therapeutic benefit from CYP3A4 substrates that have a steep exposure/response for efficacy although exhibit tolerance with chronic use</w:t>
      </w:r>
      <w:r w:rsidR="0053753E">
        <w:t xml:space="preserve"> such as</w:t>
      </w:r>
      <w:r>
        <w:t xml:space="preserve"> certain opiates.</w:t>
      </w:r>
      <w:r w:rsidRPr="003B4482">
        <w:rPr>
          <w:i/>
        </w:rPr>
        <w:t xml:space="preserve"> </w:t>
      </w:r>
    </w:p>
    <w:p w:rsidR="003B4482" w:rsidRDefault="003B4482" w:rsidP="00D73147">
      <w:pPr>
        <w:pStyle w:val="ListBullet"/>
      </w:pPr>
      <w:r>
        <w:t xml:space="preserve"> No drug interaction was observed between VEM and omeprazole (CYP2C19 substrate).</w:t>
      </w:r>
      <w:r w:rsidRPr="003B4482">
        <w:rPr>
          <w:i/>
        </w:rPr>
        <w:t xml:space="preserve"> </w:t>
      </w:r>
      <w:r>
        <w:t>Small potential for interaction between VEM and peak exposure of omeprazole are not expected to have clinical implications.</w:t>
      </w:r>
      <w:r w:rsidRPr="003B4482">
        <w:rPr>
          <w:i/>
        </w:rPr>
        <w:t xml:space="preserve"> </w:t>
      </w:r>
    </w:p>
    <w:p w:rsidR="003B4482" w:rsidRDefault="003B4482" w:rsidP="00D73147">
      <w:pPr>
        <w:pStyle w:val="ListBullet"/>
      </w:pPr>
      <w:r>
        <w:t>No drug interaction was observed between VEM and the metabolism of dextromethorphan (CYP2D</w:t>
      </w:r>
      <w:r w:rsidR="00567138">
        <w:t>6</w:t>
      </w:r>
      <w:r>
        <w:t xml:space="preserve"> substrate).</w:t>
      </w:r>
      <w:r w:rsidRPr="003B4482">
        <w:rPr>
          <w:i/>
        </w:rPr>
        <w:t xml:space="preserve"> </w:t>
      </w:r>
      <w:r>
        <w:t>An increase in the mean extent of exposure of both dextromethorphan and its metabolite upon co-administration with VEM without a concomitant change in the parent/metabolite ratio was observed.</w:t>
      </w:r>
      <w:r w:rsidRPr="003B4482">
        <w:rPr>
          <w:i/>
        </w:rPr>
        <w:t xml:space="preserve"> </w:t>
      </w:r>
      <w:r>
        <w:t>The reason for this observation is unknown.</w:t>
      </w:r>
      <w:r w:rsidRPr="003B4482">
        <w:rPr>
          <w:i/>
        </w:rPr>
        <w:t xml:space="preserve"> </w:t>
      </w:r>
    </w:p>
    <w:p w:rsidR="003B4482" w:rsidRDefault="003B4482" w:rsidP="00D73147">
      <w:pPr>
        <w:pStyle w:val="ListBullet"/>
      </w:pPr>
      <w:r>
        <w:t>No drug interaction was observed between VEM and VEM/S-warfarin (CYP2C9 substrate) based on the statistical equivalence criteria in the study.</w:t>
      </w:r>
      <w:r w:rsidRPr="003B4482">
        <w:rPr>
          <w:i/>
        </w:rPr>
        <w:t xml:space="preserve"> </w:t>
      </w:r>
      <w:r>
        <w:t>However the increase in extent of S-warfarin exposure in its concomitant use with VEM with a mean AUC of 20% capital with the nonclinical signal for CYP2C9 inhibition and the inherent propensity for coagulation disorders in patients with malignant disease, warrant caution when VEM is co-administered with warfarin in patients with melanoma and when co-prescribing low therapeutic index medications primarily metabolised by CYP2C9.</w:t>
      </w:r>
      <w:r w:rsidRPr="003B4482">
        <w:rPr>
          <w:i/>
        </w:rPr>
        <w:t xml:space="preserve"> </w:t>
      </w:r>
    </w:p>
    <w:p w:rsidR="003B4482" w:rsidRDefault="00A71D02" w:rsidP="0053753E">
      <w:pPr>
        <w:pStyle w:val="Heading5"/>
      </w:pPr>
      <w:r>
        <w:t>Study NP25158</w:t>
      </w:r>
    </w:p>
    <w:p w:rsidR="003B4482" w:rsidRDefault="003B4482" w:rsidP="003B4482">
      <w:pPr>
        <w:jc w:val="both"/>
      </w:pPr>
      <w:r>
        <w:t xml:space="preserve">Study NP25148 was </w:t>
      </w:r>
      <w:r w:rsidRPr="003B4482">
        <w:t>Phase I</w:t>
      </w:r>
      <w:r>
        <w:t xml:space="preserve"> trial to characterise the mass balance, metabolism, routes and rates of elimination of carbon 14 labelled VEM.</w:t>
      </w:r>
      <w:r w:rsidRPr="003B4482">
        <w:rPr>
          <w:i/>
        </w:rPr>
        <w:t xml:space="preserve"> </w:t>
      </w:r>
      <w:r>
        <w:t xml:space="preserve">Patients received non-labelled VEM from </w:t>
      </w:r>
      <w:r w:rsidR="0053753E">
        <w:t>D</w:t>
      </w:r>
      <w:r>
        <w:t xml:space="preserve">ay 1 – 14 and received a single dose of carbon 14 labelled VEM on the morning of </w:t>
      </w:r>
      <w:r w:rsidR="0053753E">
        <w:t>D</w:t>
      </w:r>
      <w:r>
        <w:t>ay 15.</w:t>
      </w:r>
      <w:r w:rsidRPr="003B4482">
        <w:rPr>
          <w:i/>
        </w:rPr>
        <w:t xml:space="preserve"> </w:t>
      </w:r>
      <w:r>
        <w:t>Blood, urine and faecal sample collections for radioactivit</w:t>
      </w:r>
      <w:r w:rsidR="0053753E">
        <w:t>y accounting on the evening of D</w:t>
      </w:r>
      <w:r>
        <w:t>ay 14 prior to administration of the radioactive dose and continued until the level of radioactivity recovered from urine, faeces was &lt;1% of the radioactivity in the administered dose between the two successive 48-interval assessments.</w:t>
      </w:r>
      <w:r w:rsidRPr="003B4482">
        <w:rPr>
          <w:i/>
        </w:rPr>
        <w:t xml:space="preserve"> </w:t>
      </w:r>
    </w:p>
    <w:p w:rsidR="003B4482" w:rsidRDefault="003B4482" w:rsidP="003B4482">
      <w:pPr>
        <w:jc w:val="both"/>
      </w:pPr>
      <w:r>
        <w:t>A total of six patients who had metastatic BRAF</w:t>
      </w:r>
      <w:r w:rsidR="004C48B3">
        <w:t xml:space="preserve"> </w:t>
      </w:r>
      <w:r w:rsidR="008305A0" w:rsidRPr="008305A0">
        <w:t>V600</w:t>
      </w:r>
      <w:r>
        <w:t xml:space="preserve"> mutation test positive metastatic melanomas were fully evaluated.</w:t>
      </w:r>
      <w:r w:rsidRPr="003B4482">
        <w:rPr>
          <w:i/>
        </w:rPr>
        <w:t xml:space="preserve"> </w:t>
      </w:r>
      <w:r>
        <w:t>The results showed:</w:t>
      </w:r>
    </w:p>
    <w:p w:rsidR="003B4482" w:rsidRDefault="003B4482" w:rsidP="005C7653">
      <w:pPr>
        <w:numPr>
          <w:ilvl w:val="0"/>
          <w:numId w:val="15"/>
        </w:numPr>
        <w:spacing w:after="0" w:line="240" w:lineRule="auto"/>
        <w:jc w:val="both"/>
      </w:pPr>
      <w:r>
        <w:t>The majority of the input radioactivity was recovered in faeces being 94% with a very small proportion being &lt;1% recovered in urine.</w:t>
      </w:r>
      <w:r w:rsidRPr="003B4482">
        <w:rPr>
          <w:i/>
        </w:rPr>
        <w:t xml:space="preserve"> </w:t>
      </w:r>
    </w:p>
    <w:p w:rsidR="000204EF" w:rsidRDefault="003B4482">
      <w:pPr>
        <w:numPr>
          <w:ilvl w:val="0"/>
          <w:numId w:val="15"/>
        </w:numPr>
        <w:spacing w:after="0" w:line="240" w:lineRule="auto"/>
        <w:jc w:val="both"/>
      </w:pPr>
      <w:r>
        <w:t>Limited extent of VEM metabolite formation in the systemic circulation was apparent in the profile of human plasma.</w:t>
      </w:r>
      <w:r w:rsidRPr="003B4482">
        <w:rPr>
          <w:i/>
        </w:rPr>
        <w:t xml:space="preserve"> </w:t>
      </w:r>
      <w:r>
        <w:t xml:space="preserve"> The parent compound was the predominant component in all analysed plasma samples.</w:t>
      </w:r>
      <w:r w:rsidRPr="003B4482">
        <w:rPr>
          <w:i/>
        </w:rPr>
        <w:t xml:space="preserve"> </w:t>
      </w:r>
      <w:r>
        <w:t xml:space="preserve">Mean spectrometric data </w:t>
      </w:r>
      <w:r>
        <w:lastRenderedPageBreak/>
        <w:t>indicated the potential metabolites in human plasma represented &lt;5% of the total chromatographic radioactivity. Over the period investigated of 0-96 hours, potential metabolites each counted for &lt;0.25% of the total administered</w:t>
      </w:r>
      <w:r w:rsidR="00945286" w:rsidRPr="00945286">
        <w:rPr>
          <w:i/>
        </w:rPr>
        <w:t xml:space="preserve"> </w:t>
      </w:r>
      <w:r>
        <w:t>dose in urine and &lt;6% of the total administered dose in faeces.</w:t>
      </w:r>
      <w:r w:rsidRPr="003B4482">
        <w:rPr>
          <w:i/>
        </w:rPr>
        <w:t xml:space="preserve"> </w:t>
      </w:r>
      <w:r>
        <w:t>Therefore renal ex</w:t>
      </w:r>
      <w:r w:rsidR="00945286" w:rsidRPr="00945286">
        <w:rPr>
          <w:i/>
        </w:rPr>
        <w:t>c</w:t>
      </w:r>
      <w:r>
        <w:t>retion played a minimal role in the disposition of VEM.</w:t>
      </w:r>
    </w:p>
    <w:p w:rsidR="003B4482" w:rsidRDefault="003B4482" w:rsidP="005C7653">
      <w:pPr>
        <w:numPr>
          <w:ilvl w:val="0"/>
          <w:numId w:val="15"/>
        </w:numPr>
        <w:spacing w:after="0" w:line="240" w:lineRule="auto"/>
        <w:jc w:val="both"/>
      </w:pPr>
      <w:r>
        <w:t>Limited hepatic metabolism</w:t>
      </w:r>
      <w:r w:rsidR="009702FF">
        <w:rPr>
          <w:rStyle w:val="FootnoteReference"/>
        </w:rPr>
        <w:footnoteReference w:id="19"/>
      </w:r>
      <w:r>
        <w:t xml:space="preserve"> and excretion of the parent molecule and its metabolites via bile into faeces is the likely predominant elimination route for VEM. </w:t>
      </w:r>
    </w:p>
    <w:p w:rsidR="003B4482" w:rsidRDefault="003B4482" w:rsidP="005C7653">
      <w:pPr>
        <w:numPr>
          <w:ilvl w:val="0"/>
          <w:numId w:val="15"/>
        </w:numPr>
        <w:spacing w:after="0" w:line="240" w:lineRule="auto"/>
        <w:jc w:val="both"/>
      </w:pPr>
      <w:r>
        <w:t xml:space="preserve">Based upon the </w:t>
      </w:r>
      <w:r w:rsidR="0053753E">
        <w:t>l</w:t>
      </w:r>
      <w:r w:rsidR="0053753E" w:rsidRPr="0053753E">
        <w:t>iquid chromatography coupled to mass spectrometry</w:t>
      </w:r>
      <w:r w:rsidR="0053753E">
        <w:rPr>
          <w:rStyle w:val="st1"/>
          <w:rFonts w:ascii="Arial" w:hAnsi="Arial" w:cs="Arial"/>
          <w:color w:val="222222"/>
        </w:rPr>
        <w:t xml:space="preserve"> (</w:t>
      </w:r>
      <w:r>
        <w:t>LC/MS</w:t>
      </w:r>
      <w:r w:rsidR="0053753E">
        <w:t>)</w:t>
      </w:r>
      <w:r>
        <w:t xml:space="preserve"> profiles no new metabolit</w:t>
      </w:r>
      <w:r w:rsidR="00945286" w:rsidRPr="00945286">
        <w:rPr>
          <w:i/>
        </w:rPr>
        <w:t>e</w:t>
      </w:r>
      <w:r>
        <w:t xml:space="preserve">s were detected in plasma and faeces in this study that were not observed in the </w:t>
      </w:r>
      <w:r w:rsidR="0053753E">
        <w:t>non</w:t>
      </w:r>
      <w:r>
        <w:t xml:space="preserve">clinical studies with rat and human hepatocytes and </w:t>
      </w:r>
      <w:r w:rsidRPr="003B4482">
        <w:rPr>
          <w:i/>
        </w:rPr>
        <w:t>in vitro</w:t>
      </w:r>
      <w:r>
        <w:t xml:space="preserve"> in rats and dogs.</w:t>
      </w:r>
      <w:r w:rsidRPr="003B4482">
        <w:rPr>
          <w:i/>
        </w:rPr>
        <w:t xml:space="preserve"> </w:t>
      </w:r>
      <w:r>
        <w:t>The chemical structure of human metabolites had not been determined.</w:t>
      </w:r>
      <w:r w:rsidRPr="003B4482">
        <w:rPr>
          <w:i/>
        </w:rPr>
        <w:t xml:space="preserve"> </w:t>
      </w:r>
    </w:p>
    <w:p w:rsidR="003B4482" w:rsidRDefault="003B4482" w:rsidP="003B4482">
      <w:pPr>
        <w:jc w:val="both"/>
      </w:pPr>
    </w:p>
    <w:p w:rsidR="003B4482" w:rsidRDefault="00A71D02" w:rsidP="0053753E">
      <w:pPr>
        <w:pStyle w:val="Heading5"/>
      </w:pPr>
      <w:r>
        <w:t>Study NP25163</w:t>
      </w:r>
    </w:p>
    <w:p w:rsidR="003B4482" w:rsidRDefault="003B4482" w:rsidP="003B4482">
      <w:pPr>
        <w:jc w:val="both"/>
      </w:pPr>
      <w:r>
        <w:t xml:space="preserve">Study NP25163 was a randomised </w:t>
      </w:r>
      <w:r w:rsidR="00D73147" w:rsidRPr="00D73147">
        <w:t>open label</w:t>
      </w:r>
      <w:r>
        <w:t xml:space="preserve"> multicentre </w:t>
      </w:r>
      <w:r w:rsidRPr="003B4482">
        <w:t>Phase I</w:t>
      </w:r>
      <w:r>
        <w:t xml:space="preserve"> trial to characterise the PK profile of single and multiple dose VEM, using 24</w:t>
      </w:r>
      <w:r w:rsidRPr="003B4482">
        <w:t>0 mg</w:t>
      </w:r>
      <w:r>
        <w:t xml:space="preserve"> twice daily MBP film coated tablets administered orally in previously treated patients with BRAF</w:t>
      </w:r>
      <w:r>
        <w:rPr>
          <w:vertAlign w:val="superscript"/>
        </w:rPr>
        <w:t>V600</w:t>
      </w:r>
      <w:r>
        <w:t xml:space="preserve"> mutation positive metastatic melanoma with unresectable stage IIIC or stage IV disease.</w:t>
      </w:r>
      <w:r w:rsidRPr="003B4482">
        <w:rPr>
          <w:i/>
        </w:rPr>
        <w:t xml:space="preserve"> </w:t>
      </w:r>
      <w:r>
        <w:t>A total of 52 patients were enrolled onto study.</w:t>
      </w:r>
    </w:p>
    <w:p w:rsidR="003B4482" w:rsidRDefault="003B4482" w:rsidP="003B4482">
      <w:pPr>
        <w:jc w:val="both"/>
      </w:pPr>
      <w:r>
        <w:t xml:space="preserve">The study components consisted of screening, </w:t>
      </w:r>
      <w:r w:rsidR="00A71D02" w:rsidRPr="00A71D02">
        <w:t>Period A</w:t>
      </w:r>
      <w:r>
        <w:t xml:space="preserve">, </w:t>
      </w:r>
      <w:r w:rsidR="00A71D02" w:rsidRPr="00A71D02">
        <w:t>Period B</w:t>
      </w:r>
      <w:r>
        <w:t xml:space="preserve">, </w:t>
      </w:r>
      <w:r w:rsidR="00A71D02" w:rsidRPr="00A71D02">
        <w:t>Period C</w:t>
      </w:r>
      <w:r>
        <w:t xml:space="preserve"> and follow up.</w:t>
      </w:r>
      <w:r w:rsidRPr="003B4482">
        <w:rPr>
          <w:i/>
        </w:rPr>
        <w:t xml:space="preserve"> </w:t>
      </w:r>
      <w:r>
        <w:t xml:space="preserve">During </w:t>
      </w:r>
      <w:r w:rsidR="00A71D02" w:rsidRPr="00A71D02">
        <w:t>Period A</w:t>
      </w:r>
      <w:r>
        <w:t xml:space="preserve">, </w:t>
      </w:r>
      <w:r w:rsidR="0053753E">
        <w:t>D</w:t>
      </w:r>
      <w:r>
        <w:t xml:space="preserve">ay 1 to the morning of </w:t>
      </w:r>
      <w:r w:rsidR="0053753E">
        <w:t>D</w:t>
      </w:r>
      <w:r>
        <w:t>ay 15</w:t>
      </w:r>
      <w:r w:rsidR="0053753E">
        <w:t>,</w:t>
      </w:r>
      <w:r>
        <w:t xml:space="preserve"> patients received dosing regimens according to their respective cohorts, 24</w:t>
      </w:r>
      <w:r w:rsidRPr="003B4482">
        <w:t>0 mg</w:t>
      </w:r>
      <w:r>
        <w:t xml:space="preserve"> twice daily, 48</w:t>
      </w:r>
      <w:r w:rsidRPr="003B4482">
        <w:t>0 mg</w:t>
      </w:r>
      <w:r>
        <w:t xml:space="preserve"> twice daily, 72</w:t>
      </w:r>
      <w:r w:rsidRPr="003B4482">
        <w:t>0 mg</w:t>
      </w:r>
      <w:r>
        <w:t xml:space="preserve"> twice daily and 96</w:t>
      </w:r>
      <w:r w:rsidRPr="003B4482">
        <w:t>0 mg</w:t>
      </w:r>
      <w:r>
        <w:t xml:space="preserve"> twice daily.</w:t>
      </w:r>
      <w:r w:rsidRPr="003B4482">
        <w:rPr>
          <w:i/>
        </w:rPr>
        <w:t xml:space="preserve"> </w:t>
      </w:r>
      <w:r>
        <w:t xml:space="preserve">Blood samples were collected on </w:t>
      </w:r>
      <w:r w:rsidR="0053753E">
        <w:t>D</w:t>
      </w:r>
      <w:r>
        <w:t>ay 1 to characteri</w:t>
      </w:r>
      <w:r w:rsidR="0053753E">
        <w:t>se single dose VEM exposure on D</w:t>
      </w:r>
      <w:r>
        <w:t>ays 2, 9, 11 and 15 to characterise multiple dose exposure.</w:t>
      </w:r>
      <w:r w:rsidRPr="003B4482">
        <w:rPr>
          <w:i/>
        </w:rPr>
        <w:t xml:space="preserve"> </w:t>
      </w:r>
      <w:r w:rsidR="0053753E">
        <w:t xml:space="preserve">During </w:t>
      </w:r>
      <w:r w:rsidR="00A71D02" w:rsidRPr="00A71D02">
        <w:t>Period B</w:t>
      </w:r>
      <w:r w:rsidR="0053753E">
        <w:t>, D</w:t>
      </w:r>
      <w:r>
        <w:t xml:space="preserve">ay 16 </w:t>
      </w:r>
      <w:r w:rsidR="0053753E">
        <w:t>to</w:t>
      </w:r>
      <w:r>
        <w:t xml:space="preserve"> </w:t>
      </w:r>
      <w:r w:rsidR="0053753E">
        <w:t>D</w:t>
      </w:r>
      <w:r>
        <w:t>ay 21</w:t>
      </w:r>
      <w:r w:rsidR="0053753E">
        <w:t>,</w:t>
      </w:r>
      <w:r>
        <w:t xml:space="preserve"> the drug was held for the purpose of characterising the elimination profile of VEM.</w:t>
      </w:r>
      <w:r w:rsidRPr="003B4482">
        <w:rPr>
          <w:i/>
        </w:rPr>
        <w:t xml:space="preserve"> </w:t>
      </w:r>
      <w:r>
        <w:t xml:space="preserve">During </w:t>
      </w:r>
      <w:r w:rsidR="00A71D02" w:rsidRPr="00A71D02">
        <w:t>Period C</w:t>
      </w:r>
      <w:r w:rsidR="0053753E">
        <w:t>,</w:t>
      </w:r>
      <w:r>
        <w:t xml:space="preserve"> starting on </w:t>
      </w:r>
      <w:r w:rsidR="0053753E">
        <w:t>D</w:t>
      </w:r>
      <w:r>
        <w:t>ay 22, all patients due to receive VEM at 96</w:t>
      </w:r>
      <w:r w:rsidRPr="003B4482">
        <w:t>0 mg</w:t>
      </w:r>
      <w:r>
        <w:t xml:space="preserve"> twice daily until the development of progressive disease, unacceptable toxicity, consent withdrawal or any other criteria for removal.</w:t>
      </w:r>
      <w:r w:rsidRPr="003B4482">
        <w:rPr>
          <w:i/>
        </w:rPr>
        <w:t xml:space="preserve"> </w:t>
      </w:r>
    </w:p>
    <w:p w:rsidR="003B4482" w:rsidRDefault="003B4482" w:rsidP="003B4482">
      <w:pPr>
        <w:jc w:val="both"/>
      </w:pPr>
      <w:r w:rsidRPr="00322BFB">
        <w:t>The summary statistics of AUC, C</w:t>
      </w:r>
      <w:r w:rsidRPr="00322BFB">
        <w:rPr>
          <w:vertAlign w:val="subscript"/>
        </w:rPr>
        <w:t>max</w:t>
      </w:r>
      <w:r w:rsidRPr="00322BFB">
        <w:t>, T</w:t>
      </w:r>
      <w:r w:rsidRPr="00322BFB">
        <w:rPr>
          <w:vertAlign w:val="subscript"/>
        </w:rPr>
        <w:t>max</w:t>
      </w:r>
      <w:r w:rsidRPr="00322BFB">
        <w:t>, CL-F and T</w:t>
      </w:r>
      <w:r w:rsidRPr="00322BFB">
        <w:rPr>
          <w:vertAlign w:val="subscript"/>
        </w:rPr>
        <w:t>1/2</w:t>
      </w:r>
      <w:r w:rsidRPr="00322BFB">
        <w:t xml:space="preserve"> for VEM on </w:t>
      </w:r>
      <w:r w:rsidR="00FF2684" w:rsidRPr="00322BFB">
        <w:t>D</w:t>
      </w:r>
      <w:r w:rsidRPr="00322BFB">
        <w:t>ay 1 and 15 are given in Table</w:t>
      </w:r>
      <w:r w:rsidR="00322BFB" w:rsidRPr="00322BFB">
        <w:t>s</w:t>
      </w:r>
      <w:r w:rsidRPr="00322BFB">
        <w:t xml:space="preserve"> </w:t>
      </w:r>
      <w:r w:rsidR="00322BFB" w:rsidRPr="00322BFB">
        <w:t>4 and 5</w:t>
      </w:r>
      <w:r w:rsidRPr="00322BFB">
        <w:t xml:space="preserve"> respectively.</w:t>
      </w:r>
    </w:p>
    <w:p w:rsidR="00322BFB" w:rsidRDefault="00322BFB" w:rsidP="00322BFB">
      <w:pPr>
        <w:jc w:val="both"/>
      </w:pPr>
      <w:r>
        <w:t>The main findings of the study include:</w:t>
      </w:r>
    </w:p>
    <w:p w:rsidR="00322BFB" w:rsidRDefault="00322BFB" w:rsidP="00E23CE0">
      <w:pPr>
        <w:pStyle w:val="ListBullet"/>
      </w:pPr>
      <w:r>
        <w:t>The mean dose normalised PK exposure (C</w:t>
      </w:r>
      <w:r>
        <w:rPr>
          <w:vertAlign w:val="subscript"/>
        </w:rPr>
        <w:t>max</w:t>
      </w:r>
      <w:r>
        <w:t>) and the extent of exposure (AUC) of VEM in the study increased proportionally to the dose in the range of 24</w:t>
      </w:r>
      <w:r w:rsidRPr="003B4482">
        <w:t>0 mg</w:t>
      </w:r>
      <w:r>
        <w:t xml:space="preserve"> to 96</w:t>
      </w:r>
      <w:r w:rsidRPr="003B4482">
        <w:t>0 mg</w:t>
      </w:r>
      <w:r>
        <w:t xml:space="preserve"> twice daily despite the large overlap in the distribution of individual exposure values between doses.</w:t>
      </w:r>
      <w:r w:rsidRPr="003B4482">
        <w:rPr>
          <w:i/>
        </w:rPr>
        <w:t xml:space="preserve"> </w:t>
      </w:r>
    </w:p>
    <w:p w:rsidR="00322BFB" w:rsidRDefault="00322BFB" w:rsidP="00E23CE0">
      <w:pPr>
        <w:pStyle w:val="ListBullet"/>
      </w:pPr>
      <w:r>
        <w:t>Approximately one third of the overall study populations and 41.6% of patients in the 96</w:t>
      </w:r>
      <w:r w:rsidRPr="003B4482">
        <w:t>0 mg</w:t>
      </w:r>
      <w:r>
        <w:t xml:space="preserve"> twice daily dose cohort attained steady state in plasma by Day 15 on the individual based statistical analysis.</w:t>
      </w:r>
      <w:r w:rsidRPr="003B4482">
        <w:rPr>
          <w:i/>
        </w:rPr>
        <w:t xml:space="preserve"> </w:t>
      </w:r>
      <w:r>
        <w:t>The majority of remaining patients obtained 60-80% of the expected steady state exposure by Day 15 with the then concentration plasma exceeded the efficacy target from non-clinical studies.</w:t>
      </w:r>
      <w:r w:rsidRPr="003B4482">
        <w:rPr>
          <w:i/>
        </w:rPr>
        <w:t xml:space="preserve"> </w:t>
      </w:r>
    </w:p>
    <w:p w:rsidR="00322BFB" w:rsidRDefault="00322BFB" w:rsidP="00E23CE0">
      <w:pPr>
        <w:pStyle w:val="ListBullet"/>
      </w:pPr>
      <w:r>
        <w:t>VEM exhibited marked accumulation after continuous twice daily dosing for 15 days with comparable mean extent and similarly high inter-patient variability for the 240-96</w:t>
      </w:r>
      <w:r w:rsidRPr="003B4482">
        <w:t>0 mg</w:t>
      </w:r>
      <w:r>
        <w:t xml:space="preserve"> dose range.</w:t>
      </w:r>
      <w:r w:rsidRPr="003B4482">
        <w:rPr>
          <w:i/>
        </w:rPr>
        <w:t xml:space="preserve"> </w:t>
      </w:r>
    </w:p>
    <w:p w:rsidR="00322BFB" w:rsidRDefault="00322BFB" w:rsidP="00E23CE0">
      <w:pPr>
        <w:pStyle w:val="ListBullet"/>
      </w:pPr>
      <w:r>
        <w:lastRenderedPageBreak/>
        <w:t>No dose dependence of the mean terminal phase elimination half-life (T</w:t>
      </w:r>
      <w:r>
        <w:rPr>
          <w:vertAlign w:val="subscript"/>
        </w:rPr>
        <w:t>1/2</w:t>
      </w:r>
      <w:r>
        <w:t>) or mean CL-F values was identified when characterised during the treatment interruption for seven days.</w:t>
      </w:r>
      <w:r w:rsidRPr="003B4482">
        <w:rPr>
          <w:i/>
        </w:rPr>
        <w:t xml:space="preserve"> </w:t>
      </w:r>
    </w:p>
    <w:p w:rsidR="00322BFB" w:rsidRDefault="00322BFB" w:rsidP="00E23CE0">
      <w:pPr>
        <w:pStyle w:val="ListBullet"/>
      </w:pPr>
      <w:r>
        <w:t>The mean C</w:t>
      </w:r>
      <w:r>
        <w:rPr>
          <w:vertAlign w:val="subscript"/>
        </w:rPr>
        <w:t>trough</w:t>
      </w:r>
      <w:r>
        <w:t xml:space="preserve"> values in cycles 2-7 in </w:t>
      </w:r>
      <w:r w:rsidRPr="00A71D02">
        <w:t>Period C</w:t>
      </w:r>
      <w:r>
        <w:t>,</w:t>
      </w:r>
      <w:r w:rsidRPr="00D73147">
        <w:t xml:space="preserve"> that is, </w:t>
      </w:r>
      <w:r>
        <w:t>96</w:t>
      </w:r>
      <w:r w:rsidRPr="003B4482">
        <w:t>0 mg</w:t>
      </w:r>
      <w:r>
        <w:t xml:space="preserve"> twice daily range from 52-58.49 µg/ml consistent with trough values found in other studies.</w:t>
      </w:r>
    </w:p>
    <w:p w:rsidR="00322BFB" w:rsidRDefault="00322BFB" w:rsidP="00E23CE0">
      <w:pPr>
        <w:pStyle w:val="ListBullet"/>
      </w:pPr>
      <w:r>
        <w:t>For the 96</w:t>
      </w:r>
      <w:r w:rsidRPr="003B4482">
        <w:t>0 mg</w:t>
      </w:r>
      <w:r>
        <w:t xml:space="preserve"> twice daily dose the terminal elimination half-life determined after dose interruption for seven days was 34.1+/- 19.7 hours. For patients requiring dose interruption due to adverse events, VEM concentration would be reduced by half for each 34</w:t>
      </w:r>
      <w:r w:rsidRPr="00FF2684">
        <w:t xml:space="preserve"> h </w:t>
      </w:r>
      <w:r>
        <w:t>of dose interruption leading to the clearance of most of the drug from plasma within seven days.</w:t>
      </w:r>
    </w:p>
    <w:p w:rsidR="00322BFB" w:rsidRDefault="00322BFB" w:rsidP="00E23CE0">
      <w:pPr>
        <w:pStyle w:val="ListBullet"/>
      </w:pPr>
      <w:r>
        <w:t>Repeat dosing with VEM 240, 480, 720 and 96</w:t>
      </w:r>
      <w:r w:rsidRPr="003B4482">
        <w:t>0 mg</w:t>
      </w:r>
      <w:r>
        <w:t xml:space="preserve"> twice daily was associated with mean QTc prolongation</w:t>
      </w:r>
      <w:r>
        <w:rPr>
          <w:rStyle w:val="FootnoteReference"/>
        </w:rPr>
        <w:footnoteReference w:id="20"/>
      </w:r>
      <w:r>
        <w:t xml:space="preserve"> with the largest mean QTcF change from baseline observed in </w:t>
      </w:r>
      <w:r w:rsidRPr="00A71D02">
        <w:t>Period A</w:t>
      </w:r>
      <w:r>
        <w:t xml:space="preserve"> </w:t>
      </w:r>
      <w:r w:rsidRPr="00D73147">
        <w:t>post dose</w:t>
      </w:r>
      <w:r>
        <w:t xml:space="preserve"> on Day 15 in all four cohorts with a range of 9.7 to 21 ms.</w:t>
      </w:r>
      <w:r w:rsidRPr="003B4482">
        <w:rPr>
          <w:i/>
        </w:rPr>
        <w:t xml:space="preserve"> </w:t>
      </w:r>
      <w:r>
        <w:t xml:space="preserve">The size of the mean QTc change from baseline did not exhibit a dose related trend during </w:t>
      </w:r>
      <w:r w:rsidRPr="00A71D02">
        <w:t>Period A</w:t>
      </w:r>
      <w:r>
        <w:t>.</w:t>
      </w:r>
      <w:r w:rsidRPr="003B4482">
        <w:rPr>
          <w:i/>
        </w:rPr>
        <w:t xml:space="preserve"> </w:t>
      </w:r>
    </w:p>
    <w:p w:rsidR="00322BFB" w:rsidRDefault="00322BFB" w:rsidP="00E23CE0">
      <w:pPr>
        <w:pStyle w:val="ListBullet"/>
      </w:pPr>
      <w:r>
        <w:t xml:space="preserve">Mean QTc prolongation decreased during </w:t>
      </w:r>
      <w:r w:rsidRPr="00A71D02">
        <w:t>Period B</w:t>
      </w:r>
      <w:r>
        <w:t xml:space="preserve"> when no drug was taken and increased during </w:t>
      </w:r>
      <w:r w:rsidRPr="00A71D02">
        <w:t>Period C</w:t>
      </w:r>
      <w:r>
        <w:t xml:space="preserve"> when all patients were assigned to daily treatment with 96</w:t>
      </w:r>
      <w:r w:rsidRPr="003B4482">
        <w:t>0 mg</w:t>
      </w:r>
      <w:r>
        <w:t xml:space="preserve"> twice daily of VEM.</w:t>
      </w:r>
      <w:r w:rsidRPr="003B4482">
        <w:rPr>
          <w:i/>
        </w:rPr>
        <w:t xml:space="preserve"> </w:t>
      </w:r>
      <w:r>
        <w:t>The mean QTc change from baseline in</w:t>
      </w:r>
      <w:r w:rsidRPr="00A71D02">
        <w:t xml:space="preserve"> Cycle 2 </w:t>
      </w:r>
      <w:r>
        <w:t>and beyond was comparable to that observed in the corresponding phase of the VEM study.</w:t>
      </w:r>
    </w:p>
    <w:p w:rsidR="00322BFB" w:rsidRDefault="00322BFB" w:rsidP="003B4482">
      <w:pPr>
        <w:jc w:val="both"/>
        <w:sectPr w:rsidR="00322BFB" w:rsidSect="00EF0159">
          <w:headerReference w:type="even" r:id="rId18"/>
          <w:headerReference w:type="default" r:id="rId19"/>
          <w:footerReference w:type="default" r:id="rId20"/>
          <w:headerReference w:type="first" r:id="rId21"/>
          <w:footerReference w:type="first" r:id="rId22"/>
          <w:pgSz w:w="11906" w:h="16838" w:code="9"/>
          <w:pgMar w:top="1701" w:right="1701" w:bottom="1560" w:left="1701" w:header="907" w:footer="142" w:gutter="0"/>
          <w:cols w:space="708"/>
          <w:docGrid w:linePitch="360"/>
        </w:sectPr>
      </w:pPr>
    </w:p>
    <w:p w:rsidR="00322BFB" w:rsidRDefault="00322BFB" w:rsidP="003B4482">
      <w:pPr>
        <w:jc w:val="both"/>
      </w:pPr>
    </w:p>
    <w:p w:rsidR="00322BFB" w:rsidRDefault="005B75BE" w:rsidP="00322BFB">
      <w:pPr>
        <w:tabs>
          <w:tab w:val="left" w:pos="0"/>
        </w:tabs>
        <w:ind w:hanging="426"/>
      </w:pPr>
      <w:r>
        <w:rPr>
          <w:noProof/>
          <w:lang w:eastAsia="en-AU"/>
        </w:rPr>
        <w:drawing>
          <wp:inline distT="0" distB="0" distL="0" distR="0">
            <wp:extent cx="9124950" cy="4533900"/>
            <wp:effectExtent l="19050" t="0" r="0" b="0"/>
            <wp:docPr id="9" name="Picture 9"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24950" cy="4533900"/>
                    </a:xfrm>
                    <a:prstGeom prst="rect">
                      <a:avLst/>
                    </a:prstGeom>
                    <a:noFill/>
                    <a:ln>
                      <a:noFill/>
                    </a:ln>
                  </pic:spPr>
                </pic:pic>
              </a:graphicData>
            </a:graphic>
          </wp:inline>
        </w:drawing>
      </w:r>
    </w:p>
    <w:p w:rsidR="00322BFB" w:rsidRDefault="005B75BE" w:rsidP="00322BFB">
      <w:pPr>
        <w:tabs>
          <w:tab w:val="left" w:pos="0"/>
        </w:tabs>
        <w:ind w:hanging="567"/>
      </w:pPr>
      <w:r>
        <w:rPr>
          <w:noProof/>
          <w:lang w:eastAsia="en-AU"/>
        </w:rPr>
        <w:lastRenderedPageBreak/>
        <w:drawing>
          <wp:inline distT="0" distB="0" distL="0" distR="0">
            <wp:extent cx="9001125" cy="4695825"/>
            <wp:effectExtent l="19050" t="0" r="9525" b="0"/>
            <wp:docPr id="10" name="Picture 10" descr="Tabl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01125" cy="4695825"/>
                    </a:xfrm>
                    <a:prstGeom prst="rect">
                      <a:avLst/>
                    </a:prstGeom>
                    <a:noFill/>
                    <a:ln>
                      <a:noFill/>
                    </a:ln>
                  </pic:spPr>
                </pic:pic>
              </a:graphicData>
            </a:graphic>
          </wp:inline>
        </w:drawing>
      </w:r>
    </w:p>
    <w:p w:rsidR="00322BFB" w:rsidRDefault="003624B5" w:rsidP="003624B5">
      <w:pPr>
        <w:pStyle w:val="FigureTitle"/>
        <w:keepNext/>
      </w:pPr>
      <w:r>
        <w:lastRenderedPageBreak/>
        <w:t>Table 5. Continued</w:t>
      </w:r>
    </w:p>
    <w:p w:rsidR="00322BFB" w:rsidRDefault="005B75BE" w:rsidP="003624B5">
      <w:pPr>
        <w:keepNext/>
        <w:tabs>
          <w:tab w:val="left" w:pos="0"/>
        </w:tabs>
      </w:pPr>
      <w:r>
        <w:rPr>
          <w:noProof/>
          <w:lang w:eastAsia="en-AU"/>
        </w:rPr>
        <w:drawing>
          <wp:inline distT="0" distB="0" distL="0" distR="0">
            <wp:extent cx="8096250" cy="2838450"/>
            <wp:effectExtent l="19050" t="0" r="0" b="0"/>
            <wp:docPr id="11" name="Picture 11" descr="Tabl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447"/>
                    <a:stretch>
                      <a:fillRect/>
                    </a:stretch>
                  </pic:blipFill>
                  <pic:spPr bwMode="auto">
                    <a:xfrm>
                      <a:off x="0" y="0"/>
                      <a:ext cx="8096250" cy="2838450"/>
                    </a:xfrm>
                    <a:prstGeom prst="rect">
                      <a:avLst/>
                    </a:prstGeom>
                    <a:noFill/>
                    <a:ln>
                      <a:noFill/>
                    </a:ln>
                  </pic:spPr>
                </pic:pic>
              </a:graphicData>
            </a:graphic>
          </wp:inline>
        </w:drawing>
      </w:r>
    </w:p>
    <w:p w:rsidR="00322BFB" w:rsidRDefault="00322BFB" w:rsidP="003624B5">
      <w:pPr>
        <w:keepNext/>
        <w:tabs>
          <w:tab w:val="left" w:pos="0"/>
        </w:tabs>
        <w:ind w:hanging="567"/>
      </w:pPr>
    </w:p>
    <w:p w:rsidR="00322BFB" w:rsidRDefault="00322BFB" w:rsidP="00322BFB">
      <w:pPr>
        <w:tabs>
          <w:tab w:val="left" w:pos="0"/>
        </w:tabs>
      </w:pPr>
    </w:p>
    <w:p w:rsidR="00322BFB" w:rsidRDefault="00322BFB" w:rsidP="00322BFB">
      <w:pPr>
        <w:tabs>
          <w:tab w:val="left" w:pos="0"/>
        </w:tabs>
        <w:sectPr w:rsidR="00322BFB" w:rsidSect="00322BFB">
          <w:pgSz w:w="16838" w:h="11906" w:orient="landscape" w:code="9"/>
          <w:pgMar w:top="1701" w:right="1701" w:bottom="1701" w:left="1560" w:header="907" w:footer="142" w:gutter="0"/>
          <w:cols w:space="708"/>
          <w:docGrid w:linePitch="360"/>
        </w:sectPr>
      </w:pPr>
    </w:p>
    <w:p w:rsidR="003B4482" w:rsidRDefault="003B4482" w:rsidP="00A71D02">
      <w:pPr>
        <w:pStyle w:val="Heading5"/>
        <w:spacing w:before="240"/>
      </w:pPr>
      <w:r>
        <w:lastRenderedPageBreak/>
        <w:t>Study NP22657:</w:t>
      </w:r>
      <w:r w:rsidR="00A71D02">
        <w:t xml:space="preserve"> QT interval sub-study</w:t>
      </w:r>
    </w:p>
    <w:p w:rsidR="003B4482" w:rsidRDefault="003B4482" w:rsidP="00A71D02">
      <w:pPr>
        <w:keepNext/>
        <w:jc w:val="both"/>
      </w:pPr>
      <w:r>
        <w:t xml:space="preserve">Study NP22657 was a principal supportive efficacy study, being an </w:t>
      </w:r>
      <w:r w:rsidR="00D73147" w:rsidRPr="00D73147">
        <w:t>open label</w:t>
      </w:r>
      <w:r>
        <w:t xml:space="preserve"> multicentre single agent uncontrolled </w:t>
      </w:r>
      <w:r w:rsidRPr="003B4482">
        <w:t>Phase I</w:t>
      </w:r>
      <w:r>
        <w:t>I study in previously treated patients with BRAF</w:t>
      </w:r>
      <w:r>
        <w:rPr>
          <w:vertAlign w:val="superscript"/>
        </w:rPr>
        <w:t>V600</w:t>
      </w:r>
      <w:r>
        <w:t xml:space="preserve"> mutation positive </w:t>
      </w:r>
      <w:r w:rsidR="00A71D02">
        <w:t>S</w:t>
      </w:r>
      <w:r>
        <w:t>tage IV melanoma and included a sub-study to investigate the effects of VEM on the QT interval and to correlate VEM exposure with the ECG parameters.</w:t>
      </w:r>
      <w:r w:rsidRPr="003B4482">
        <w:rPr>
          <w:i/>
        </w:rPr>
        <w:t xml:space="preserve"> </w:t>
      </w:r>
    </w:p>
    <w:p w:rsidR="003B4482" w:rsidRDefault="003B4482" w:rsidP="003B4482">
      <w:pPr>
        <w:jc w:val="both"/>
      </w:pPr>
      <w:r>
        <w:t>Five serial ECGs,</w:t>
      </w:r>
      <w:r w:rsidR="00D73147" w:rsidRPr="00D73147">
        <w:t xml:space="preserve"> that is, </w:t>
      </w:r>
      <w:r>
        <w:t xml:space="preserve">time matched baseline ECGs were taken during screening on </w:t>
      </w:r>
      <w:r w:rsidR="00A71D02">
        <w:t>D</w:t>
      </w:r>
      <w:r>
        <w:t xml:space="preserve">ays 1 and 15 on </w:t>
      </w:r>
      <w:r w:rsidR="00A71D02" w:rsidRPr="00A71D02">
        <w:t xml:space="preserve">Cycle 1 </w:t>
      </w:r>
      <w:r>
        <w:t xml:space="preserve">on </w:t>
      </w:r>
      <w:r w:rsidR="00A71D02">
        <w:t>D</w:t>
      </w:r>
      <w:r>
        <w:t xml:space="preserve">ay 1 of </w:t>
      </w:r>
      <w:r w:rsidR="00A71D02">
        <w:t>Cycles 2, 4, 6 and 10 on D</w:t>
      </w:r>
      <w:r>
        <w:t>ay 1 of every other three week cycle,</w:t>
      </w:r>
      <w:r w:rsidR="00D73147" w:rsidRPr="00D73147">
        <w:t xml:space="preserve"> that is, </w:t>
      </w:r>
      <w:r>
        <w:t>every six weeks.</w:t>
      </w:r>
      <w:r w:rsidRPr="003B4482">
        <w:rPr>
          <w:i/>
        </w:rPr>
        <w:t xml:space="preserve"> </w:t>
      </w:r>
      <w:r>
        <w:t>To determine the effect of VEM on the ECG including the QT interval,</w:t>
      </w:r>
      <w:r w:rsidR="00D73147" w:rsidRPr="00D73147">
        <w:t xml:space="preserve"> that is, </w:t>
      </w:r>
      <w:r>
        <w:t>the maximum time match change from baseline to</w:t>
      </w:r>
      <w:r w:rsidR="00A71D02">
        <w:t xml:space="preserve"> the QTc interval and each post </w:t>
      </w:r>
      <w:r>
        <w:t>baseline timepoint, blood samples for concentration of VEM were obtained immediately after each set of serial ECGs was taken.</w:t>
      </w:r>
      <w:r w:rsidRPr="003B4482">
        <w:rPr>
          <w:i/>
        </w:rPr>
        <w:t xml:space="preserve"> </w:t>
      </w:r>
    </w:p>
    <w:p w:rsidR="003B4482" w:rsidRDefault="003B4482" w:rsidP="003B4482">
      <w:pPr>
        <w:jc w:val="both"/>
      </w:pPr>
      <w:r>
        <w:t>VEM did not appear to have a clinically meaningful effect on heart rate.</w:t>
      </w:r>
      <w:r w:rsidRPr="003B4482">
        <w:rPr>
          <w:i/>
        </w:rPr>
        <w:t xml:space="preserve"> </w:t>
      </w:r>
      <w:r>
        <w:t>The regression model of QT analysis was used to determine the best correlation for heart rate.</w:t>
      </w:r>
      <w:r w:rsidRPr="003B4482">
        <w:rPr>
          <w:i/>
        </w:rPr>
        <w:t xml:space="preserve"> </w:t>
      </w:r>
      <w:r>
        <w:t>In this study</w:t>
      </w:r>
      <w:r w:rsidR="00A71D02">
        <w:t>,</w:t>
      </w:r>
      <w:r>
        <w:t xml:space="preserve"> QTcP eliminated most of the bias from the QT-RR relationship; therefore QTcP was used for the primary statistical analysis of QTc interval variables.</w:t>
      </w:r>
      <w:r w:rsidRPr="003B4482">
        <w:rPr>
          <w:i/>
        </w:rPr>
        <w:t xml:space="preserve"> </w:t>
      </w:r>
    </w:p>
    <w:p w:rsidR="003B4482" w:rsidRDefault="003B4482" w:rsidP="003B4482">
      <w:pPr>
        <w:jc w:val="both"/>
      </w:pPr>
      <w:r>
        <w:t>Repeat dosing with VEM 96</w:t>
      </w:r>
      <w:r w:rsidRPr="003B4482">
        <w:t>0 mg</w:t>
      </w:r>
      <w:r>
        <w:t xml:space="preserve"> twice daily was associated with mean prolongation of the QTc interval of 12-15ms from</w:t>
      </w:r>
      <w:r w:rsidR="00A71D02" w:rsidRPr="00A71D02">
        <w:t xml:space="preserve"> Cycle 2 </w:t>
      </w:r>
      <w:r>
        <w:t xml:space="preserve">and after with the largest being QTcP prolongation observed in </w:t>
      </w:r>
      <w:r w:rsidR="00A71D02">
        <w:t>C</w:t>
      </w:r>
      <w:r>
        <w:t>ycle 6, being 15.1</w:t>
      </w:r>
      <w:r w:rsidR="00A71D02">
        <w:t xml:space="preserve"> </w:t>
      </w:r>
      <w:r>
        <w:t>ms with an upper 95% CI of 17.7</w:t>
      </w:r>
      <w:r w:rsidR="00A71D02">
        <w:t xml:space="preserve"> </w:t>
      </w:r>
      <w:r>
        <w:t>ms.</w:t>
      </w:r>
      <w:r w:rsidRPr="003B4482">
        <w:rPr>
          <w:i/>
        </w:rPr>
        <w:t xml:space="preserve"> </w:t>
      </w:r>
      <w:r>
        <w:t>There was a low incidence of QTcP &gt;500ms in two patients and QTcP change from baseline &gt;60</w:t>
      </w:r>
      <w:r w:rsidR="00A71D02">
        <w:t xml:space="preserve"> </w:t>
      </w:r>
      <w:r>
        <w:t>ms in one patient.</w:t>
      </w:r>
      <w:r w:rsidRPr="003B4482">
        <w:rPr>
          <w:i/>
        </w:rPr>
        <w:t xml:space="preserve"> </w:t>
      </w:r>
      <w:r>
        <w:t>There were no reported AEs in these patients that could be potentially associated with either QT prolongation or arrhythmia.</w:t>
      </w:r>
      <w:r w:rsidRPr="003B4482">
        <w:rPr>
          <w:i/>
        </w:rPr>
        <w:t xml:space="preserve"> </w:t>
      </w:r>
      <w:r>
        <w:t>VEM did not appear to affect the heart rate, PR or QRs intervals or new T</w:t>
      </w:r>
      <w:r w:rsidR="00A71D02">
        <w:t xml:space="preserve"> </w:t>
      </w:r>
      <w:r>
        <w:t>wave morphology.</w:t>
      </w:r>
      <w:r w:rsidRPr="003B4482">
        <w:rPr>
          <w:i/>
        </w:rPr>
        <w:t xml:space="preserve"> </w:t>
      </w:r>
      <w:r>
        <w:t>A 14.8</w:t>
      </w:r>
      <w:r w:rsidR="006211C6">
        <w:t>%</w:t>
      </w:r>
      <w:r>
        <w:t xml:space="preserve"> incidence of new abnormal T</w:t>
      </w:r>
      <w:r w:rsidR="00A71D02">
        <w:t xml:space="preserve"> </w:t>
      </w:r>
      <w:r>
        <w:t>wave morphology was detected.</w:t>
      </w:r>
      <w:r w:rsidRPr="003B4482">
        <w:rPr>
          <w:i/>
        </w:rPr>
        <w:t xml:space="preserve"> </w:t>
      </w:r>
    </w:p>
    <w:p w:rsidR="003B4482" w:rsidRDefault="003B4482" w:rsidP="003B4482">
      <w:pPr>
        <w:jc w:val="both"/>
      </w:pPr>
      <w:r>
        <w:t>The extent of QTc prolongation exhibited a positive relationship with VEM concentration in plasma.</w:t>
      </w:r>
      <w:r w:rsidRPr="003B4482">
        <w:rPr>
          <w:i/>
        </w:rPr>
        <w:t xml:space="preserve"> </w:t>
      </w:r>
      <w:r>
        <w:t>A population approach was utilised to fully characterise the exposure/effect relationship.</w:t>
      </w:r>
      <w:r w:rsidRPr="003B4482">
        <w:rPr>
          <w:i/>
        </w:rPr>
        <w:t xml:space="preserve"> </w:t>
      </w:r>
      <w:r>
        <w:t xml:space="preserve">The PK findings from the overall PK analysis population in </w:t>
      </w:r>
      <w:r w:rsidR="006A1469">
        <w:t>N</w:t>
      </w:r>
      <w:r>
        <w:t>P22657 study include:</w:t>
      </w:r>
    </w:p>
    <w:p w:rsidR="003B4482" w:rsidRDefault="003B4482" w:rsidP="00A71D02">
      <w:pPr>
        <w:pStyle w:val="ListBullet"/>
      </w:pPr>
      <w:r>
        <w:t>Based on the accumulation ratio derived from AUC</w:t>
      </w:r>
      <w:r>
        <w:rPr>
          <w:vertAlign w:val="subscript"/>
        </w:rPr>
        <w:t>0-8</w:t>
      </w:r>
      <w:r w:rsidR="00FF2684" w:rsidRPr="00FF2684">
        <w:rPr>
          <w:vertAlign w:val="subscript"/>
        </w:rPr>
        <w:t xml:space="preserve"> h </w:t>
      </w:r>
      <w:r>
        <w:t xml:space="preserve">on </w:t>
      </w:r>
      <w:r w:rsidR="00A71D02">
        <w:t>D</w:t>
      </w:r>
      <w:r>
        <w:t>ay 1 and 15, VEM exhibited 14</w:t>
      </w:r>
      <w:r w:rsidR="00A71D02">
        <w:t xml:space="preserve"> to </w:t>
      </w:r>
      <w:r>
        <w:t>17 fold accumulation at the expected study state in plasma after dosing of 96</w:t>
      </w:r>
      <w:r w:rsidRPr="003B4482">
        <w:t>0 mg</w:t>
      </w:r>
      <w:r>
        <w:t xml:space="preserve"> twice daily for 15 days with high inter-patient variability in the rate of accumulation and extent of exposure in plasma.</w:t>
      </w:r>
      <w:r w:rsidRPr="003B4482">
        <w:rPr>
          <w:i/>
        </w:rPr>
        <w:t xml:space="preserve"> </w:t>
      </w:r>
    </w:p>
    <w:p w:rsidR="003B4482" w:rsidRDefault="003B4482" w:rsidP="00A71D02">
      <w:pPr>
        <w:pStyle w:val="ListBullet"/>
      </w:pPr>
      <w:r>
        <w:t>On average in 96</w:t>
      </w:r>
      <w:r w:rsidRPr="003B4482">
        <w:t>0 mg</w:t>
      </w:r>
      <w:r>
        <w:t xml:space="preserve"> twice daily dose resulted in relatively consistent mean VEM exposures during the 24</w:t>
      </w:r>
      <w:r w:rsidR="00FF2684" w:rsidRPr="00FF2684">
        <w:t xml:space="preserve"> h </w:t>
      </w:r>
      <w:r>
        <w:t>dosing period at the expected study state.</w:t>
      </w:r>
    </w:p>
    <w:p w:rsidR="003B4482" w:rsidRDefault="003B4482" w:rsidP="00A71D02">
      <w:pPr>
        <w:pStyle w:val="ListBullet"/>
      </w:pPr>
      <w:r>
        <w:t>Mean VEM exposure (AUC</w:t>
      </w:r>
      <w:r>
        <w:rPr>
          <w:vertAlign w:val="subscript"/>
        </w:rPr>
        <w:t>0-8 hours</w:t>
      </w:r>
      <w:r>
        <w:t>) was 42% higher in females among 27 patients than in males among 60 patients.</w:t>
      </w:r>
    </w:p>
    <w:p w:rsidR="003B4482" w:rsidRDefault="003B4482" w:rsidP="00A71D02">
      <w:pPr>
        <w:pStyle w:val="ListBullet"/>
      </w:pPr>
      <w:r>
        <w:t>VEM daily exposure at expected steady state (AUC</w:t>
      </w:r>
      <w:r>
        <w:rPr>
          <w:vertAlign w:val="subscript"/>
        </w:rPr>
        <w:t>0-8 hours</w:t>
      </w:r>
      <w:r>
        <w:t>) was attained with 96</w:t>
      </w:r>
      <w:r w:rsidRPr="003B4482">
        <w:t>0 mg</w:t>
      </w:r>
      <w:r>
        <w:t xml:space="preserve"> twice daily in metastatic melanoma patients with</w:t>
      </w:r>
      <w:r w:rsidRPr="003B4482">
        <w:rPr>
          <w:i/>
        </w:rPr>
        <w:t xml:space="preserve"> </w:t>
      </w:r>
      <w:r>
        <w:t xml:space="preserve">the level predicted to elicit tumour response based on </w:t>
      </w:r>
      <w:r w:rsidR="00A71D02">
        <w:t>non</w:t>
      </w:r>
      <w:r>
        <w:t>clinical studies.</w:t>
      </w:r>
      <w:r w:rsidRPr="003B4482">
        <w:rPr>
          <w:i/>
        </w:rPr>
        <w:t xml:space="preserve"> </w:t>
      </w:r>
    </w:p>
    <w:p w:rsidR="003B4482" w:rsidRDefault="00EB049D" w:rsidP="00A71D02">
      <w:pPr>
        <w:pStyle w:val="Heading4"/>
      </w:pPr>
      <w:r>
        <w:t>Comparison and analyses of r</w:t>
      </w:r>
      <w:r w:rsidR="00A71D02">
        <w:t xml:space="preserve">esults </w:t>
      </w:r>
      <w:r w:rsidR="00FF2684">
        <w:t>a</w:t>
      </w:r>
      <w:r>
        <w:t>cross s</w:t>
      </w:r>
      <w:r w:rsidR="00A71D02">
        <w:t xml:space="preserve">tudies </w:t>
      </w:r>
    </w:p>
    <w:p w:rsidR="003B4482" w:rsidRDefault="003B4482" w:rsidP="003B4482">
      <w:pPr>
        <w:jc w:val="both"/>
      </w:pPr>
      <w:r>
        <w:t xml:space="preserve">As previously indicated the clinical pharmacokinetics of VEM in this submission were obtained from PK data from the five </w:t>
      </w:r>
      <w:r w:rsidRPr="003B4482">
        <w:t>Phase I</w:t>
      </w:r>
      <w:r>
        <w:t xml:space="preserve"> studies, one </w:t>
      </w:r>
      <w:r w:rsidRPr="003B4482">
        <w:t>Phase I</w:t>
      </w:r>
      <w:r>
        <w:t xml:space="preserve">I study and one </w:t>
      </w:r>
      <w:r w:rsidRPr="003B4482">
        <w:t>Phase I</w:t>
      </w:r>
      <w:r>
        <w:t>II study.</w:t>
      </w:r>
      <w:r w:rsidRPr="003B4482">
        <w:rPr>
          <w:i/>
        </w:rPr>
        <w:t xml:space="preserve"> </w:t>
      </w:r>
      <w:r>
        <w:t>A summary of demographics across all these studies showed that the patient populations were generally comparable among studies where PK was evaluated.</w:t>
      </w:r>
      <w:r w:rsidRPr="003B4482">
        <w:rPr>
          <w:i/>
        </w:rPr>
        <w:t xml:space="preserve"> </w:t>
      </w:r>
    </w:p>
    <w:p w:rsidR="003B4482" w:rsidRDefault="003B4482" w:rsidP="003B4482">
      <w:pPr>
        <w:jc w:val="both"/>
      </w:pPr>
      <w:r>
        <w:t xml:space="preserve">Review of concentration time profiles accumulation and inter-patient variability was obtained from the </w:t>
      </w:r>
      <w:r w:rsidR="00404042">
        <w:t>S</w:t>
      </w:r>
      <w:r>
        <w:t xml:space="preserve">tudy </w:t>
      </w:r>
      <w:r w:rsidR="006A1469">
        <w:t>N</w:t>
      </w:r>
      <w:r>
        <w:t>P25163.</w:t>
      </w:r>
      <w:r w:rsidRPr="003B4482">
        <w:rPr>
          <w:i/>
        </w:rPr>
        <w:t xml:space="preserve"> </w:t>
      </w:r>
      <w:r>
        <w:t xml:space="preserve">On </w:t>
      </w:r>
      <w:r w:rsidR="00FF2684">
        <w:t>D</w:t>
      </w:r>
      <w:r>
        <w:t xml:space="preserve">ay </w:t>
      </w:r>
      <w:r w:rsidR="00FF2684">
        <w:t xml:space="preserve">1 </w:t>
      </w:r>
      <w:r>
        <w:t xml:space="preserve">of this study mean plasma VEM </w:t>
      </w:r>
      <w:r>
        <w:lastRenderedPageBreak/>
        <w:t>concentrations increased rapidly within the first two</w:t>
      </w:r>
      <w:r w:rsidR="00FF2684" w:rsidRPr="00FF2684">
        <w:t xml:space="preserve"> h </w:t>
      </w:r>
      <w:r>
        <w:t>reaching C</w:t>
      </w:r>
      <w:r>
        <w:rPr>
          <w:vertAlign w:val="subscript"/>
        </w:rPr>
        <w:t>max</w:t>
      </w:r>
      <w:r>
        <w:t xml:space="preserve"> at approximately </w:t>
      </w:r>
      <w:r w:rsidR="00FF2684">
        <w:t>4 h</w:t>
      </w:r>
      <w:r>
        <w:t xml:space="preserve"> following the first oral administration of VEM in each dosing cohort, as indicated </w:t>
      </w:r>
      <w:r w:rsidRPr="003624B5">
        <w:t>in Figure</w:t>
      </w:r>
      <w:r>
        <w:t xml:space="preserve"> </w:t>
      </w:r>
      <w:r w:rsidR="003624B5">
        <w:t>7</w:t>
      </w:r>
      <w:r>
        <w:t>.</w:t>
      </w:r>
      <w:r w:rsidRPr="003B4482">
        <w:rPr>
          <w:i/>
        </w:rPr>
        <w:t xml:space="preserve"> </w:t>
      </w:r>
      <w:r>
        <w:t>Median T</w:t>
      </w:r>
      <w:r>
        <w:rPr>
          <w:vertAlign w:val="subscript"/>
        </w:rPr>
        <w:t>max</w:t>
      </w:r>
      <w:r>
        <w:t xml:space="preserve"> values were 4-5</w:t>
      </w:r>
      <w:r w:rsidR="00FF2684" w:rsidRPr="00FF2684">
        <w:t xml:space="preserve"> h </w:t>
      </w:r>
      <w:r>
        <w:t xml:space="preserve">across the four dose cohorts as </w:t>
      </w:r>
      <w:r w:rsidRPr="00322BFB">
        <w:t xml:space="preserve">indicated in Table </w:t>
      </w:r>
      <w:r w:rsidR="00322BFB" w:rsidRPr="00322BFB">
        <w:t>5</w:t>
      </w:r>
      <w:r w:rsidRPr="00322BFB">
        <w:t>.</w:t>
      </w:r>
      <w:r w:rsidRPr="00322BFB">
        <w:rPr>
          <w:i/>
        </w:rPr>
        <w:t xml:space="preserve"> </w:t>
      </w:r>
      <w:r w:rsidRPr="00322BFB">
        <w:t>VEM</w:t>
      </w:r>
      <w:r>
        <w:t xml:space="preserve"> concentrations for each dose cohort continued to increase following the second VEM dose at approximately 12</w:t>
      </w:r>
      <w:r w:rsidR="00FF2684" w:rsidRPr="00FF2684">
        <w:t xml:space="preserve"> h </w:t>
      </w:r>
      <w:r>
        <w:t>as measured at the 24</w:t>
      </w:r>
      <w:r w:rsidR="00FF2684" w:rsidRPr="00FF2684">
        <w:t xml:space="preserve"> h </w:t>
      </w:r>
      <w:r>
        <w:t>assessment timepoint.</w:t>
      </w:r>
      <w:r w:rsidRPr="003B4482">
        <w:rPr>
          <w:i/>
        </w:rPr>
        <w:t xml:space="preserve"> </w:t>
      </w:r>
      <w:r w:rsidR="00FF2684">
        <w:t>Steady state was approached on D</w:t>
      </w:r>
      <w:r>
        <w:t>ay 15 VEM concentration time profiles across the four dose cohorts were relatively flat with peak to trough ratios ranging from 1.1</w:t>
      </w:r>
      <w:r w:rsidR="00041F4D">
        <w:t xml:space="preserve"> to</w:t>
      </w:r>
      <w:r>
        <w:t xml:space="preserve"> 1.3 on </w:t>
      </w:r>
      <w:r w:rsidR="00FF2684">
        <w:t>D</w:t>
      </w:r>
      <w:r>
        <w:t>ay 15 during the 24</w:t>
      </w:r>
      <w:r w:rsidR="00FF2684" w:rsidRPr="00FF2684">
        <w:t xml:space="preserve"> h </w:t>
      </w:r>
      <w:r>
        <w:t>dosing period.</w:t>
      </w:r>
      <w:r w:rsidRPr="003B4482">
        <w:rPr>
          <w:i/>
        </w:rPr>
        <w:t xml:space="preserve"> </w:t>
      </w:r>
      <w:r>
        <w:t xml:space="preserve">The peak concentration in this ratio was measured after a morning dose on </w:t>
      </w:r>
      <w:r w:rsidR="00FF2684">
        <w:t>D</w:t>
      </w:r>
      <w:r>
        <w:t xml:space="preserve">ay </w:t>
      </w:r>
      <w:r w:rsidR="00FF2684">
        <w:t>15 (pre-dose) concentration on D</w:t>
      </w:r>
      <w:r>
        <w:t xml:space="preserve">ay 15 resulting from the evening dose on </w:t>
      </w:r>
      <w:r w:rsidR="00FF2684">
        <w:t>D</w:t>
      </w:r>
      <w:r>
        <w:t>ay 14.</w:t>
      </w:r>
      <w:r w:rsidRPr="003B4482">
        <w:rPr>
          <w:i/>
        </w:rPr>
        <w:t xml:space="preserve"> </w:t>
      </w:r>
    </w:p>
    <w:p w:rsidR="003624B5" w:rsidRDefault="003624B5" w:rsidP="003624B5">
      <w:pPr>
        <w:pStyle w:val="FigureTitle"/>
      </w:pPr>
      <w:r>
        <w:t>Figure 7.</w:t>
      </w:r>
    </w:p>
    <w:p w:rsidR="003624B5" w:rsidRDefault="00F016D0" w:rsidP="003624B5">
      <w:pPr>
        <w:tabs>
          <w:tab w:val="left" w:pos="0"/>
        </w:tabs>
      </w:pPr>
      <w:r>
        <w:rPr>
          <w:noProof/>
          <w:lang w:eastAsia="zh-TW"/>
        </w:rPr>
        <w:pict>
          <v:shape id="Text Box 15" o:spid="_x0000_s1029" type="#_x0000_t202" style="position:absolute;margin-left:7.6pt;margin-top:0;width:69.5pt;height:2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KqhQIAABg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" stroked="f">
            <v:textbox>
              <w:txbxContent>
                <w:p w:rsidR="00A408DA" w:rsidRDefault="00A408DA"/>
              </w:txbxContent>
            </v:textbox>
          </v:shape>
        </w:pict>
      </w:r>
      <w:r w:rsidR="005B75BE">
        <w:rPr>
          <w:noProof/>
          <w:lang w:eastAsia="en-AU"/>
        </w:rPr>
        <w:drawing>
          <wp:inline distT="0" distB="0" distL="0" distR="0">
            <wp:extent cx="4876800" cy="3219450"/>
            <wp:effectExtent l="19050" t="0" r="0" b="0"/>
            <wp:docPr id="12" name="Picture 12"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472"/>
                    <a:stretch>
                      <a:fillRect/>
                    </a:stretch>
                  </pic:blipFill>
                  <pic:spPr bwMode="auto">
                    <a:xfrm>
                      <a:off x="0" y="0"/>
                      <a:ext cx="4876800" cy="3219450"/>
                    </a:xfrm>
                    <a:prstGeom prst="rect">
                      <a:avLst/>
                    </a:prstGeom>
                    <a:noFill/>
                    <a:ln>
                      <a:noFill/>
                    </a:ln>
                  </pic:spPr>
                </pic:pic>
              </a:graphicData>
            </a:graphic>
          </wp:inline>
        </w:drawing>
      </w:r>
    </w:p>
    <w:p w:rsidR="003B4482" w:rsidRDefault="003B4482" w:rsidP="003B4482">
      <w:pPr>
        <w:jc w:val="both"/>
        <w:rPr>
          <w:i/>
        </w:rPr>
      </w:pPr>
      <w:r>
        <w:t xml:space="preserve">VEM exhibited marked accumulation after continuous dosing was observed with a mean value that was similar across the four dose cohorts, range 18.8 – 24.9 as </w:t>
      </w:r>
      <w:r w:rsidRPr="003624B5">
        <w:t xml:space="preserve">indicated Table </w:t>
      </w:r>
      <w:r w:rsidR="003624B5" w:rsidRPr="003624B5">
        <w:t>6</w:t>
      </w:r>
      <w:r w:rsidRPr="003624B5">
        <w:t>.</w:t>
      </w:r>
      <w:r w:rsidRPr="003B4482">
        <w:rPr>
          <w:i/>
        </w:rPr>
        <w:t xml:space="preserve"> </w:t>
      </w:r>
      <w:r>
        <w:t>Marked inter-patient variability in the rate of accumulation was comparable between dose cohorts.</w:t>
      </w:r>
      <w:r w:rsidRPr="003B4482">
        <w:rPr>
          <w:i/>
        </w:rPr>
        <w:t xml:space="preserve"> </w:t>
      </w:r>
      <w:r>
        <w:t>The accumulation ratio was defined as a ratio of AUC</w:t>
      </w:r>
      <w:r w:rsidR="00FF2684">
        <w:rPr>
          <w:vertAlign w:val="subscript"/>
        </w:rPr>
        <w:t>0</w:t>
      </w:r>
      <w:r w:rsidR="00FF2684">
        <w:rPr>
          <w:vertAlign w:val="subscript"/>
        </w:rPr>
        <w:noBreakHyphen/>
      </w:r>
      <w:r>
        <w:rPr>
          <w:vertAlign w:val="subscript"/>
        </w:rPr>
        <w:t>8</w:t>
      </w:r>
      <w:r w:rsidR="00FF2684" w:rsidRPr="00FF2684">
        <w:rPr>
          <w:vertAlign w:val="subscript"/>
        </w:rPr>
        <w:t xml:space="preserve">h </w:t>
      </w:r>
      <w:r>
        <w:t xml:space="preserve">on </w:t>
      </w:r>
      <w:r w:rsidR="00FF2684">
        <w:t>D</w:t>
      </w:r>
      <w:r>
        <w:t>ay 15/AUC</w:t>
      </w:r>
      <w:r>
        <w:rPr>
          <w:vertAlign w:val="subscript"/>
        </w:rPr>
        <w:t>0-8</w:t>
      </w:r>
      <w:r w:rsidR="00FF2684" w:rsidRPr="00FF2684">
        <w:rPr>
          <w:vertAlign w:val="subscript"/>
        </w:rPr>
        <w:t xml:space="preserve"> h </w:t>
      </w:r>
      <w:r>
        <w:t xml:space="preserve">on </w:t>
      </w:r>
      <w:r w:rsidR="00FF2684">
        <w:t>D</w:t>
      </w:r>
      <w:r>
        <w:t>ay 1.</w:t>
      </w:r>
      <w:r w:rsidRPr="003B4482">
        <w:rPr>
          <w:i/>
        </w:rPr>
        <w:t xml:space="preserve"> </w:t>
      </w:r>
    </w:p>
    <w:p w:rsidR="003624B5" w:rsidRDefault="00F016D0" w:rsidP="003624B5">
      <w:pPr>
        <w:pStyle w:val="FigureTitle"/>
      </w:pPr>
      <w:r>
        <w:rPr>
          <w:noProof/>
          <w:lang w:eastAsia="zh-TW"/>
        </w:rPr>
        <w:pict>
          <v:shape id="Text Box 16" o:spid="_x0000_s1030" type="#_x0000_t202" style="position:absolute;margin-left:7.6pt;margin-top:16.9pt;width:55.1pt;height:1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" stroked="f">
            <v:textbox>
              <w:txbxContent>
                <w:p w:rsidR="00A408DA" w:rsidRDefault="00A408DA"/>
              </w:txbxContent>
            </v:textbox>
          </v:shape>
        </w:pict>
      </w:r>
      <w:r w:rsidR="003624B5">
        <w:t xml:space="preserve">Table 6. </w:t>
      </w:r>
    </w:p>
    <w:p w:rsidR="003624B5" w:rsidRDefault="005B75BE" w:rsidP="003624B5">
      <w:pPr>
        <w:tabs>
          <w:tab w:val="left" w:pos="0"/>
        </w:tabs>
      </w:pPr>
      <w:r>
        <w:rPr>
          <w:noProof/>
          <w:lang w:eastAsia="en-AU"/>
        </w:rPr>
        <w:drawing>
          <wp:inline distT="0" distB="0" distL="0" distR="0">
            <wp:extent cx="5276850" cy="1390650"/>
            <wp:effectExtent l="19050" t="0" r="0" b="0"/>
            <wp:docPr id="13" name="Picture 13" descr="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1390650"/>
                    </a:xfrm>
                    <a:prstGeom prst="rect">
                      <a:avLst/>
                    </a:prstGeom>
                    <a:noFill/>
                    <a:ln>
                      <a:noFill/>
                    </a:ln>
                  </pic:spPr>
                </pic:pic>
              </a:graphicData>
            </a:graphic>
          </wp:inline>
        </w:drawing>
      </w:r>
    </w:p>
    <w:p w:rsidR="003B4482" w:rsidRDefault="003B4482" w:rsidP="003B4482">
      <w:pPr>
        <w:jc w:val="both"/>
      </w:pPr>
      <w:r>
        <w:t xml:space="preserve">High inter-patient variability in extent of VEM exposure was observed among the four dose cohorts evaluated in </w:t>
      </w:r>
      <w:r w:rsidR="00FF2684">
        <w:t>S</w:t>
      </w:r>
      <w:r>
        <w:t xml:space="preserve">tudy </w:t>
      </w:r>
      <w:r w:rsidR="006A1469">
        <w:t>N</w:t>
      </w:r>
      <w:r>
        <w:t>P25163 leading to overlap among dose levels.</w:t>
      </w:r>
      <w:r w:rsidRPr="003B4482">
        <w:rPr>
          <w:i/>
        </w:rPr>
        <w:t xml:space="preserve"> </w:t>
      </w:r>
      <w:r>
        <w:t>On average the C</w:t>
      </w:r>
      <w:r>
        <w:rPr>
          <w:vertAlign w:val="subscript"/>
        </w:rPr>
        <w:t>max</w:t>
      </w:r>
      <w:r>
        <w:t xml:space="preserve"> and AUC</w:t>
      </w:r>
      <w:r>
        <w:rPr>
          <w:vertAlign w:val="subscript"/>
        </w:rPr>
        <w:t>0-8</w:t>
      </w:r>
      <w:r w:rsidR="00FF2684" w:rsidRPr="00FF2684">
        <w:rPr>
          <w:vertAlign w:val="subscript"/>
        </w:rPr>
        <w:t xml:space="preserve"> h </w:t>
      </w:r>
      <w:r>
        <w:t xml:space="preserve">CV percentage were approximately 65% after the first dose on </w:t>
      </w:r>
      <w:r w:rsidR="00FF2684">
        <w:t>D</w:t>
      </w:r>
      <w:r>
        <w:t>ay 1 across the dose range tested.</w:t>
      </w:r>
      <w:r w:rsidRPr="003B4482">
        <w:rPr>
          <w:i/>
        </w:rPr>
        <w:t xml:space="preserve"> </w:t>
      </w:r>
      <w:r>
        <w:t xml:space="preserve">Following multiple doses on </w:t>
      </w:r>
      <w:r w:rsidR="00FF2684">
        <w:t>D</w:t>
      </w:r>
      <w:r>
        <w:t>ay 15 the CV percentage of C</w:t>
      </w:r>
      <w:r>
        <w:rPr>
          <w:vertAlign w:val="subscript"/>
        </w:rPr>
        <w:t>max</w:t>
      </w:r>
      <w:r>
        <w:t xml:space="preserve"> and AUC</w:t>
      </w:r>
      <w:r>
        <w:rPr>
          <w:vertAlign w:val="subscript"/>
        </w:rPr>
        <w:t>0-8</w:t>
      </w:r>
      <w:r w:rsidR="00FF2684" w:rsidRPr="00FF2684">
        <w:rPr>
          <w:vertAlign w:val="subscript"/>
        </w:rPr>
        <w:t xml:space="preserve"> h </w:t>
      </w:r>
      <w:r>
        <w:t xml:space="preserve">across the dose range were approximately 43 and 41% </w:t>
      </w:r>
      <w:r>
        <w:lastRenderedPageBreak/>
        <w:t xml:space="preserve">respectively as indicated in </w:t>
      </w:r>
      <w:r w:rsidRPr="00322BFB">
        <w:t>Table</w:t>
      </w:r>
      <w:r w:rsidR="00322BFB" w:rsidRPr="00322BFB">
        <w:t xml:space="preserve"> 5</w:t>
      </w:r>
      <w:r w:rsidRPr="00322BFB">
        <w:t>.</w:t>
      </w:r>
      <w:r w:rsidRPr="00322BFB">
        <w:rPr>
          <w:i/>
        </w:rPr>
        <w:t xml:space="preserve"> </w:t>
      </w:r>
      <w:r w:rsidRPr="00322BFB">
        <w:t>Inter</w:t>
      </w:r>
      <w:r>
        <w:t>-patient variability is unlikely to be dose related and there is no clear trend in CV percentage observed across dose cohorts.</w:t>
      </w:r>
      <w:r w:rsidRPr="003B4482">
        <w:rPr>
          <w:i/>
        </w:rPr>
        <w:t xml:space="preserve"> </w:t>
      </w:r>
      <w:r>
        <w:t xml:space="preserve">Inter-patient variability in the individual VEM concentrations on </w:t>
      </w:r>
      <w:r w:rsidR="00FF2684">
        <w:t>D</w:t>
      </w:r>
      <w:r>
        <w:t>ay 15 for each dose cohort following oral administration of 240-96</w:t>
      </w:r>
      <w:r w:rsidRPr="003B4482">
        <w:t>0 mg</w:t>
      </w:r>
      <w:r>
        <w:t xml:space="preserve"> twice daily is </w:t>
      </w:r>
      <w:r w:rsidRPr="00041F4D">
        <w:t xml:space="preserve">given in Figures </w:t>
      </w:r>
      <w:r w:rsidR="003624B5" w:rsidRPr="00041F4D">
        <w:t>8</w:t>
      </w:r>
      <w:r w:rsidRPr="00041F4D">
        <w:t xml:space="preserve"> and </w:t>
      </w:r>
      <w:r w:rsidR="003624B5" w:rsidRPr="00041F4D">
        <w:t>9</w:t>
      </w:r>
      <w:r w:rsidRPr="00041F4D">
        <w:t>.</w:t>
      </w:r>
      <w:r w:rsidRPr="003B4482">
        <w:rPr>
          <w:i/>
        </w:rPr>
        <w:t xml:space="preserve"> </w:t>
      </w:r>
    </w:p>
    <w:p w:rsidR="003624B5" w:rsidRDefault="003624B5" w:rsidP="003624B5">
      <w:pPr>
        <w:pStyle w:val="FigureTitle"/>
      </w:pPr>
      <w:r>
        <w:t xml:space="preserve">Figure 8. </w:t>
      </w:r>
    </w:p>
    <w:p w:rsidR="003624B5" w:rsidRDefault="00F016D0" w:rsidP="003624B5">
      <w:pPr>
        <w:tabs>
          <w:tab w:val="left" w:pos="0"/>
        </w:tabs>
      </w:pPr>
      <w:r>
        <w:rPr>
          <w:noProof/>
          <w:lang w:eastAsia="zh-TW"/>
        </w:rPr>
        <w:pict>
          <v:shape id="Text Box 17" o:spid="_x0000_s1031" type="#_x0000_t202" style="position:absolute;margin-left:2pt;margin-top:.65pt;width:78.25pt;height:2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j3hA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" stroked="f">
            <v:textbox>
              <w:txbxContent>
                <w:p w:rsidR="00A408DA" w:rsidRDefault="00A408DA"/>
              </w:txbxContent>
            </v:textbox>
          </v:shape>
        </w:pict>
      </w:r>
      <w:r w:rsidR="005B75BE">
        <w:rPr>
          <w:noProof/>
          <w:lang w:eastAsia="en-AU"/>
        </w:rPr>
        <w:drawing>
          <wp:inline distT="0" distB="0" distL="0" distR="0">
            <wp:extent cx="4762500" cy="3171825"/>
            <wp:effectExtent l="19050" t="0" r="0" b="0"/>
            <wp:docPr id="14" name="Picture 14"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48"/>
                    <a:stretch>
                      <a:fillRect/>
                    </a:stretch>
                  </pic:blipFill>
                  <pic:spPr bwMode="auto">
                    <a:xfrm>
                      <a:off x="0" y="0"/>
                      <a:ext cx="4762500" cy="3171825"/>
                    </a:xfrm>
                    <a:prstGeom prst="rect">
                      <a:avLst/>
                    </a:prstGeom>
                    <a:noFill/>
                    <a:ln>
                      <a:noFill/>
                    </a:ln>
                  </pic:spPr>
                </pic:pic>
              </a:graphicData>
            </a:graphic>
          </wp:inline>
        </w:drawing>
      </w:r>
    </w:p>
    <w:p w:rsidR="003624B5" w:rsidRDefault="00F016D0" w:rsidP="003624B5">
      <w:pPr>
        <w:pStyle w:val="FigureTitle"/>
        <w:keepNext/>
      </w:pPr>
      <w:r>
        <w:rPr>
          <w:noProof/>
          <w:lang w:eastAsia="zh-TW"/>
        </w:rPr>
        <w:pict>
          <v:shape id="Text Box 18" o:spid="_x0000_s1032" type="#_x0000_t202" style="position:absolute;margin-left:8.85pt;margin-top:15.75pt;width:75.75pt;height:2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" stroked="f">
            <v:textbox>
              <w:txbxContent>
                <w:p w:rsidR="00A408DA" w:rsidRDefault="00A408DA"/>
              </w:txbxContent>
            </v:textbox>
          </v:shape>
        </w:pict>
      </w:r>
      <w:r w:rsidR="003624B5">
        <w:t xml:space="preserve">Figure 9. </w:t>
      </w:r>
    </w:p>
    <w:p w:rsidR="003624B5" w:rsidRDefault="005B75BE" w:rsidP="003624B5">
      <w:pPr>
        <w:pStyle w:val="FigureTitle"/>
        <w:keepNext/>
      </w:pPr>
      <w:r>
        <w:rPr>
          <w:noProof/>
          <w:lang w:eastAsia="en-AU"/>
        </w:rPr>
        <w:drawing>
          <wp:inline distT="0" distB="0" distL="0" distR="0">
            <wp:extent cx="4848225" cy="3257550"/>
            <wp:effectExtent l="19050" t="0" r="9525" b="0"/>
            <wp:docPr id="15" name="Picture 15"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8225" cy="3257550"/>
                    </a:xfrm>
                    <a:prstGeom prst="rect">
                      <a:avLst/>
                    </a:prstGeom>
                    <a:noFill/>
                    <a:ln>
                      <a:noFill/>
                    </a:ln>
                  </pic:spPr>
                </pic:pic>
              </a:graphicData>
            </a:graphic>
          </wp:inline>
        </w:drawing>
      </w:r>
    </w:p>
    <w:p w:rsidR="003B4482" w:rsidRDefault="003B4482" w:rsidP="003B4482">
      <w:pPr>
        <w:jc w:val="both"/>
      </w:pPr>
      <w:r w:rsidRPr="00FF2684">
        <w:rPr>
          <w:rStyle w:val="Heading6Char"/>
          <w:rFonts w:eastAsia="Cambria"/>
        </w:rPr>
        <w:t>Reviewing dose proportionality</w:t>
      </w:r>
      <w:r w:rsidR="00FF2684">
        <w:t>:</w:t>
      </w:r>
      <w:r>
        <w:t xml:space="preserve"> In </w:t>
      </w:r>
      <w:r w:rsidR="00FF2684">
        <w:t>S</w:t>
      </w:r>
      <w:r>
        <w:t>tudy PLX06-02 the rate and extent of VEM exposure and plasma increase of doses in patients received 160-112</w:t>
      </w:r>
      <w:r w:rsidRPr="003B4482">
        <w:t>0 mg</w:t>
      </w:r>
      <w:r>
        <w:t xml:space="preserve"> twice daily with the MBP capsule formulation.</w:t>
      </w:r>
      <w:r w:rsidRPr="003B4482">
        <w:rPr>
          <w:i/>
        </w:rPr>
        <w:t xml:space="preserve"> </w:t>
      </w:r>
      <w:r>
        <w:t>Classic representation of dose normalised mean values suggested that both C</w:t>
      </w:r>
      <w:r>
        <w:rPr>
          <w:vertAlign w:val="subscript"/>
        </w:rPr>
        <w:t>max</w:t>
      </w:r>
      <w:r>
        <w:t xml:space="preserve"> and AUC</w:t>
      </w:r>
      <w:r>
        <w:rPr>
          <w:vertAlign w:val="subscript"/>
        </w:rPr>
        <w:t>0-8</w:t>
      </w:r>
      <w:r w:rsidR="00FF2684" w:rsidRPr="00FF2684">
        <w:rPr>
          <w:vertAlign w:val="subscript"/>
        </w:rPr>
        <w:t xml:space="preserve"> h </w:t>
      </w:r>
      <w:r>
        <w:t>appeared to be proportional with doses between 24</w:t>
      </w:r>
      <w:r w:rsidRPr="003B4482">
        <w:t>0 mg</w:t>
      </w:r>
      <w:r>
        <w:t xml:space="preserve"> and 96</w:t>
      </w:r>
      <w:r w:rsidRPr="003B4482">
        <w:t>0 mg</w:t>
      </w:r>
      <w:r>
        <w:t>, although with high inter-patient variability.</w:t>
      </w:r>
      <w:r w:rsidRPr="003B4482">
        <w:rPr>
          <w:i/>
        </w:rPr>
        <w:t xml:space="preserve"> </w:t>
      </w:r>
    </w:p>
    <w:p w:rsidR="003B4482" w:rsidRDefault="003B4482" w:rsidP="003B4482">
      <w:pPr>
        <w:jc w:val="both"/>
        <w:rPr>
          <w:i/>
        </w:rPr>
      </w:pPr>
      <w:r>
        <w:lastRenderedPageBreak/>
        <w:t>Study NP25163 assessed the dose proportionality of VEM using the 24</w:t>
      </w:r>
      <w:r w:rsidRPr="003B4482">
        <w:t>0 mg</w:t>
      </w:r>
      <w:r>
        <w:t xml:space="preserve"> MBP film coated tablet formulation the same dose range observed in PLX06-02.</w:t>
      </w:r>
      <w:r w:rsidRPr="003B4482">
        <w:rPr>
          <w:i/>
        </w:rPr>
        <w:t xml:space="preserve"> </w:t>
      </w:r>
      <w:r>
        <w:t xml:space="preserve">The dose normalised VEM exposures are </w:t>
      </w:r>
      <w:r w:rsidRPr="00041F4D">
        <w:t xml:space="preserve">provided Table </w:t>
      </w:r>
      <w:r w:rsidR="003624B5" w:rsidRPr="00041F4D">
        <w:t>7 and</w:t>
      </w:r>
      <w:r w:rsidRPr="00041F4D">
        <w:t xml:space="preserve"> Figures </w:t>
      </w:r>
      <w:r w:rsidR="003624B5" w:rsidRPr="00041F4D">
        <w:t>10, 11</w:t>
      </w:r>
      <w:r w:rsidRPr="00041F4D">
        <w:t xml:space="preserve">, </w:t>
      </w:r>
      <w:r w:rsidR="003624B5" w:rsidRPr="00041F4D">
        <w:t>12 and 13</w:t>
      </w:r>
      <w:r w:rsidRPr="00041F4D">
        <w:t>.</w:t>
      </w:r>
      <w:r w:rsidRPr="00041F4D">
        <w:rPr>
          <w:i/>
        </w:rPr>
        <w:t xml:space="preserve"> </w:t>
      </w:r>
      <w:r w:rsidRPr="00041F4D">
        <w:t>Statistical</w:t>
      </w:r>
      <w:r>
        <w:t xml:space="preserve"> analysis of key pharmacokinetic parameters supported dose proportionality of the VEM exposure from 240-96</w:t>
      </w:r>
      <w:r w:rsidRPr="003B4482">
        <w:t>0 mg</w:t>
      </w:r>
      <w:r>
        <w:t xml:space="preserve"> twice daily administered as the MBP film coated tablets.</w:t>
      </w:r>
      <w:r w:rsidR="00FF2684">
        <w:t xml:space="preserve"> </w:t>
      </w:r>
      <w:r>
        <w:t xml:space="preserve">Results of the one-way ANOVA test for VEM dose proportionality </w:t>
      </w:r>
      <w:r w:rsidR="002B160C">
        <w:t>and the</w:t>
      </w:r>
      <w:r>
        <w:t xml:space="preserve"> corresponding P values indicated that the nul</w:t>
      </w:r>
      <w:r w:rsidR="00FF2684">
        <w:t xml:space="preserve">l </w:t>
      </w:r>
      <w:r>
        <w:t>hypothesis of equal treatment effects for the relevant VEM treatment exposure parameters, AUC and C</w:t>
      </w:r>
      <w:r>
        <w:rPr>
          <w:vertAlign w:val="subscript"/>
        </w:rPr>
        <w:t>max</w:t>
      </w:r>
      <w:r>
        <w:t xml:space="preserve"> among the four dose cohorts cannot be rejected for PK parameters tested.</w:t>
      </w:r>
      <w:r w:rsidRPr="003B4482">
        <w:rPr>
          <w:i/>
        </w:rPr>
        <w:t xml:space="preserve"> </w:t>
      </w:r>
    </w:p>
    <w:p w:rsidR="003624B5" w:rsidRDefault="00F016D0" w:rsidP="003624B5">
      <w:pPr>
        <w:pStyle w:val="FigureTitle"/>
        <w:keepNext/>
      </w:pPr>
      <w:r>
        <w:rPr>
          <w:noProof/>
          <w:lang w:eastAsia="zh-TW"/>
        </w:rPr>
        <w:pict>
          <v:shape id="Text Box 19" o:spid="_x0000_s1033" type="#_x0000_t202" style="position:absolute;margin-left:1.35pt;margin-top:14.5pt;width:73.85pt;height:2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" stroked="f">
            <v:textbox>
              <w:txbxContent>
                <w:p w:rsidR="00A408DA" w:rsidRDefault="00A408DA"/>
              </w:txbxContent>
            </v:textbox>
          </v:shape>
        </w:pict>
      </w:r>
      <w:r w:rsidR="003624B5">
        <w:t xml:space="preserve">Table 7. </w:t>
      </w:r>
      <w:r w:rsidR="005B75BE">
        <w:rPr>
          <w:noProof/>
          <w:lang w:eastAsia="en-AU"/>
        </w:rPr>
        <w:drawing>
          <wp:inline distT="0" distB="0" distL="0" distR="0">
            <wp:extent cx="5410200" cy="3914775"/>
            <wp:effectExtent l="19050" t="0" r="0" b="0"/>
            <wp:docPr id="16" name="Picture 16" descr="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0200" cy="3914775"/>
                    </a:xfrm>
                    <a:prstGeom prst="rect">
                      <a:avLst/>
                    </a:prstGeom>
                    <a:noFill/>
                    <a:ln>
                      <a:noFill/>
                    </a:ln>
                  </pic:spPr>
                </pic:pic>
              </a:graphicData>
            </a:graphic>
          </wp:inline>
        </w:drawing>
      </w:r>
    </w:p>
    <w:p w:rsidR="00F01C9F" w:rsidRDefault="00F01C9F" w:rsidP="00F01C9F">
      <w:pPr>
        <w:pStyle w:val="FigureTitle"/>
      </w:pPr>
    </w:p>
    <w:p w:rsidR="003624B5" w:rsidRDefault="003624B5" w:rsidP="00041F4D">
      <w:pPr>
        <w:pStyle w:val="FigureTitle"/>
        <w:keepNext/>
      </w:pPr>
      <w:r>
        <w:lastRenderedPageBreak/>
        <w:t>Figure 10.</w:t>
      </w:r>
    </w:p>
    <w:p w:rsidR="003624B5" w:rsidRDefault="00F016D0" w:rsidP="00041F4D">
      <w:pPr>
        <w:pStyle w:val="FigureTitle"/>
        <w:keepNext/>
      </w:pPr>
      <w:r>
        <w:rPr>
          <w:noProof/>
          <w:lang w:eastAsia="zh-TW"/>
        </w:rPr>
        <w:pict>
          <v:shape id="Text Box 123" o:spid="_x0000_s1034" type="#_x0000_t202" style="position:absolute;margin-left:3.85pt;margin-top:.6pt;width:60.1pt;height:2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8c3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" stroked="f">
            <v:textbox>
              <w:txbxContent>
                <w:p w:rsidR="00A408DA" w:rsidRDefault="00A408DA"/>
              </w:txbxContent>
            </v:textbox>
          </v:shape>
        </w:pict>
      </w:r>
      <w:r>
        <w:rPr>
          <w:noProof/>
          <w:lang w:eastAsia="zh-TW"/>
        </w:rPr>
        <w:pict>
          <v:shape id="Text Box 20" o:spid="_x0000_s1035" type="#_x0000_t202" style="position:absolute;margin-left:5.1pt;margin-top:-.15pt;width:70.1pt;height:2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" stroked="f">
            <v:textbox>
              <w:txbxContent>
                <w:p w:rsidR="00A408DA" w:rsidRDefault="00A408DA"/>
              </w:txbxContent>
            </v:textbox>
          </v:shape>
        </w:pict>
      </w:r>
      <w:r w:rsidR="005B75BE">
        <w:rPr>
          <w:noProof/>
          <w:lang w:eastAsia="en-AU"/>
        </w:rPr>
        <w:drawing>
          <wp:inline distT="0" distB="0" distL="0" distR="0">
            <wp:extent cx="4953000" cy="3400425"/>
            <wp:effectExtent l="19050" t="0" r="0" b="0"/>
            <wp:docPr id="17" name="Picture 17"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400425"/>
                    </a:xfrm>
                    <a:prstGeom prst="rect">
                      <a:avLst/>
                    </a:prstGeom>
                    <a:noFill/>
                    <a:ln>
                      <a:noFill/>
                    </a:ln>
                  </pic:spPr>
                </pic:pic>
              </a:graphicData>
            </a:graphic>
          </wp:inline>
        </w:drawing>
      </w:r>
    </w:p>
    <w:p w:rsidR="00F01C9F" w:rsidRDefault="00F01C9F" w:rsidP="00F01C9F">
      <w:pPr>
        <w:pStyle w:val="FigureTitle"/>
      </w:pPr>
    </w:p>
    <w:p w:rsidR="003624B5" w:rsidRDefault="00F016D0" w:rsidP="00F01C9F">
      <w:pPr>
        <w:pStyle w:val="FigureTitle"/>
      </w:pPr>
      <w:r>
        <w:rPr>
          <w:noProof/>
          <w:lang w:eastAsia="zh-TW"/>
        </w:rPr>
        <w:pict>
          <v:shape id="Text Box 21" o:spid="_x0000_s1036" type="#_x0000_t202" style="position:absolute;margin-left:5.1pt;margin-top:18.25pt;width:75.15pt;height:2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" stroked="f">
            <v:textbox>
              <w:txbxContent>
                <w:p w:rsidR="00A408DA" w:rsidRDefault="00A408DA"/>
              </w:txbxContent>
            </v:textbox>
          </v:shape>
        </w:pict>
      </w:r>
      <w:r w:rsidR="003624B5">
        <w:t>Figure 11.</w:t>
      </w:r>
    </w:p>
    <w:p w:rsidR="003624B5" w:rsidRDefault="005B75BE" w:rsidP="003624B5">
      <w:pPr>
        <w:keepNext/>
        <w:tabs>
          <w:tab w:val="left" w:pos="0"/>
        </w:tabs>
      </w:pPr>
      <w:r>
        <w:rPr>
          <w:noProof/>
          <w:lang w:eastAsia="en-AU"/>
        </w:rPr>
        <w:drawing>
          <wp:inline distT="0" distB="0" distL="0" distR="0">
            <wp:extent cx="4743450" cy="3505200"/>
            <wp:effectExtent l="19050" t="0" r="0" b="0"/>
            <wp:docPr id="18" name="Picture 18"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0" cy="3505200"/>
                    </a:xfrm>
                    <a:prstGeom prst="rect">
                      <a:avLst/>
                    </a:prstGeom>
                    <a:noFill/>
                    <a:ln>
                      <a:noFill/>
                    </a:ln>
                  </pic:spPr>
                </pic:pic>
              </a:graphicData>
            </a:graphic>
          </wp:inline>
        </w:drawing>
      </w:r>
    </w:p>
    <w:p w:rsidR="003624B5" w:rsidRDefault="003624B5" w:rsidP="003624B5">
      <w:pPr>
        <w:tabs>
          <w:tab w:val="left" w:pos="0"/>
        </w:tabs>
      </w:pPr>
    </w:p>
    <w:p w:rsidR="003624B5" w:rsidRDefault="00041F4D" w:rsidP="00041F4D">
      <w:pPr>
        <w:pStyle w:val="FigureTitle"/>
        <w:keepNext/>
      </w:pPr>
      <w:r>
        <w:lastRenderedPageBreak/>
        <w:t xml:space="preserve">Figure 12. </w:t>
      </w:r>
    </w:p>
    <w:p w:rsidR="003624B5" w:rsidRDefault="00F016D0" w:rsidP="00041F4D">
      <w:pPr>
        <w:keepNext/>
        <w:tabs>
          <w:tab w:val="left" w:pos="0"/>
        </w:tabs>
      </w:pPr>
      <w:r>
        <w:rPr>
          <w:noProof/>
          <w:lang w:eastAsia="zh-TW"/>
        </w:rPr>
        <w:pict>
          <v:shape id="Text Box 22" o:spid="_x0000_s1037" type="#_x0000_t202" style="position:absolute;margin-left:.1pt;margin-top:3.75pt;width:80.45pt;height:25.6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" stroked="f">
            <v:textbox>
              <w:txbxContent>
                <w:p w:rsidR="00A408DA" w:rsidRDefault="00A408DA">
                  <w:r>
                    <w:rPr>
                      <w:noProof/>
                      <w:lang w:eastAsia="en-AU"/>
                    </w:rPr>
                    <w:drawing>
                      <wp:inline distT="0" distB="0" distL="0" distR="0">
                        <wp:extent cx="838200" cy="361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361950"/>
                                </a:xfrm>
                                <a:prstGeom prst="rect">
                                  <a:avLst/>
                                </a:prstGeom>
                                <a:noFill/>
                                <a:ln>
                                  <a:noFill/>
                                </a:ln>
                              </pic:spPr>
                            </pic:pic>
                          </a:graphicData>
                        </a:graphic>
                      </wp:inline>
                    </w:drawing>
                  </w:r>
                </w:p>
              </w:txbxContent>
            </v:textbox>
          </v:shape>
        </w:pict>
      </w:r>
      <w:r w:rsidR="005B75BE">
        <w:rPr>
          <w:noProof/>
          <w:lang w:eastAsia="en-AU"/>
        </w:rPr>
        <w:drawing>
          <wp:inline distT="0" distB="0" distL="0" distR="0">
            <wp:extent cx="4657725" cy="3467100"/>
            <wp:effectExtent l="19050" t="0" r="9525" b="0"/>
            <wp:docPr id="21" name="Picture 21"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7725" cy="3467100"/>
                    </a:xfrm>
                    <a:prstGeom prst="rect">
                      <a:avLst/>
                    </a:prstGeom>
                    <a:noFill/>
                    <a:ln>
                      <a:noFill/>
                    </a:ln>
                  </pic:spPr>
                </pic:pic>
              </a:graphicData>
            </a:graphic>
          </wp:inline>
        </w:drawing>
      </w:r>
    </w:p>
    <w:p w:rsidR="003624B5" w:rsidRDefault="00F016D0" w:rsidP="00041F4D">
      <w:pPr>
        <w:pStyle w:val="FigureTitle"/>
      </w:pPr>
      <w:r>
        <w:rPr>
          <w:noProof/>
          <w:lang w:eastAsia="zh-TW"/>
        </w:rPr>
        <w:pict>
          <v:shape id="Text Box 23" o:spid="_x0000_s1038" type="#_x0000_t202" style="position:absolute;margin-left:3.85pt;margin-top:18.4pt;width:1in;height:1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iMhQIAABg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" stroked="f">
            <v:textbox>
              <w:txbxContent>
                <w:p w:rsidR="00A408DA" w:rsidRDefault="00A408DA"/>
              </w:txbxContent>
            </v:textbox>
          </v:shape>
        </w:pict>
      </w:r>
      <w:r w:rsidR="00041F4D">
        <w:t xml:space="preserve">Figure 13. </w:t>
      </w:r>
    </w:p>
    <w:p w:rsidR="003624B5" w:rsidRDefault="005B75BE" w:rsidP="003624B5">
      <w:pPr>
        <w:tabs>
          <w:tab w:val="left" w:pos="0"/>
        </w:tabs>
      </w:pPr>
      <w:r>
        <w:rPr>
          <w:noProof/>
          <w:lang w:eastAsia="en-AU"/>
        </w:rPr>
        <w:drawing>
          <wp:inline distT="0" distB="0" distL="0" distR="0">
            <wp:extent cx="4695825" cy="3295650"/>
            <wp:effectExtent l="19050" t="0" r="9525" b="0"/>
            <wp:docPr id="22" name="Picture 22"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5825" cy="3295650"/>
                    </a:xfrm>
                    <a:prstGeom prst="rect">
                      <a:avLst/>
                    </a:prstGeom>
                    <a:noFill/>
                    <a:ln>
                      <a:noFill/>
                    </a:ln>
                  </pic:spPr>
                </pic:pic>
              </a:graphicData>
            </a:graphic>
          </wp:inline>
        </w:drawing>
      </w:r>
    </w:p>
    <w:p w:rsidR="003B4482" w:rsidRPr="00FF2684" w:rsidRDefault="003B4482" w:rsidP="00FF2684">
      <w:r w:rsidRPr="00FF2684">
        <w:rPr>
          <w:rStyle w:val="Heading6Char"/>
          <w:rFonts w:eastAsia="Cambria"/>
        </w:rPr>
        <w:t>Elimination half-life:</w:t>
      </w:r>
      <w:r w:rsidRPr="00FF2684">
        <w:rPr>
          <w:i/>
        </w:rPr>
        <w:t xml:space="preserve"> </w:t>
      </w:r>
      <w:r>
        <w:t xml:space="preserve"> </w:t>
      </w:r>
      <w:r w:rsidRPr="00FF2684">
        <w:t>The only study which can provide data in relation to this was NP25163 and no dose dependence on the mean terminal phase of elimination half-life (T</w:t>
      </w:r>
      <w:r w:rsidRPr="00FF2684">
        <w:rPr>
          <w:vertAlign w:val="subscript"/>
        </w:rPr>
        <w:t>1/2</w:t>
      </w:r>
      <w:r w:rsidRPr="00FF2684">
        <w:t>) or mean CL-F values were identified when this parameter was characterised after treatment interruption of seven days. The mean elimination half-life values across the four dose cohorts were 31.5, 38.4, 34.9 and 34.1</w:t>
      </w:r>
      <w:r w:rsidR="00FF2684" w:rsidRPr="00FF2684">
        <w:t xml:space="preserve"> h </w:t>
      </w:r>
      <w:r w:rsidRPr="00FF2684">
        <w:t xml:space="preserve">for 240, 480, 720 and 960 mg twice daily doses respectively. These results with the 960 mg twice daily cohort would be indicative of the elimination profile of VEM in patients whose treatment was interrupted. Analysis of </w:t>
      </w:r>
      <w:r w:rsidRPr="00FF2684">
        <w:lastRenderedPageBreak/>
        <w:t xml:space="preserve">mean trough data following VEM dose interruption indicates that 95% of VEM is cleared from plasma. </w:t>
      </w:r>
    </w:p>
    <w:p w:rsidR="003B4482" w:rsidRDefault="003B4482" w:rsidP="003B4482">
      <w:pPr>
        <w:jc w:val="both"/>
        <w:rPr>
          <w:i/>
        </w:rPr>
      </w:pPr>
      <w:r w:rsidRPr="00FF2684">
        <w:rPr>
          <w:rStyle w:val="Heading6Char"/>
          <w:rFonts w:eastAsia="Cambria"/>
        </w:rPr>
        <w:t>Approach to steady state:</w:t>
      </w:r>
      <w:r w:rsidR="00FF2684">
        <w:rPr>
          <w:rStyle w:val="Heading6Char"/>
          <w:rFonts w:eastAsia="Cambria"/>
        </w:rPr>
        <w:t xml:space="preserve"> </w:t>
      </w:r>
      <w:r>
        <w:t xml:space="preserve">Both individual based and aggregate approaches were utilised in </w:t>
      </w:r>
      <w:r w:rsidR="00FF2684">
        <w:t>S</w:t>
      </w:r>
      <w:r>
        <w:t xml:space="preserve">tudy NP25163 to assess the </w:t>
      </w:r>
      <w:r w:rsidR="00D73147" w:rsidRPr="00D73147">
        <w:t>post dose</w:t>
      </w:r>
      <w:r>
        <w:t xml:space="preserve"> steady state and suggested that earlier possibly 35% of patients on the individual base methods in the overall study population and 41.6% of </w:t>
      </w:r>
      <w:r w:rsidRPr="002B160C">
        <w:t xml:space="preserve">patients in the 960 mg dose cohort </w:t>
      </w:r>
      <w:r w:rsidR="00FF2684" w:rsidRPr="002B160C">
        <w:t xml:space="preserve">had </w:t>
      </w:r>
      <w:r w:rsidRPr="002B160C">
        <w:t xml:space="preserve">reached steady state by </w:t>
      </w:r>
      <w:r w:rsidR="00FF2684" w:rsidRPr="002B160C">
        <w:t>D</w:t>
      </w:r>
      <w:r w:rsidRPr="002B160C">
        <w:t>ay 15.</w:t>
      </w:r>
      <w:r w:rsidRPr="002B160C">
        <w:rPr>
          <w:i/>
        </w:rPr>
        <w:t xml:space="preserve"> </w:t>
      </w:r>
      <w:r w:rsidRPr="002B160C">
        <w:t xml:space="preserve">This is indicated in Table </w:t>
      </w:r>
      <w:r w:rsidR="00041F4D" w:rsidRPr="002B160C">
        <w:t>8</w:t>
      </w:r>
      <w:r w:rsidRPr="002B160C">
        <w:t>.</w:t>
      </w:r>
      <w:r w:rsidRPr="002B160C">
        <w:rPr>
          <w:i/>
        </w:rPr>
        <w:t xml:space="preserve"> </w:t>
      </w:r>
      <w:r w:rsidRPr="002B160C">
        <w:t>The key steady state characteristics were qualitative similar across the four dose cohorts.</w:t>
      </w:r>
      <w:r w:rsidRPr="002B160C">
        <w:rPr>
          <w:i/>
        </w:rPr>
        <w:t xml:space="preserve"> </w:t>
      </w:r>
      <w:r w:rsidRPr="002B160C">
        <w:t>With the aggregate method stead</w:t>
      </w:r>
      <w:r w:rsidR="00FF2684" w:rsidRPr="002B160C">
        <w:t>y state was not achieved up to D</w:t>
      </w:r>
      <w:r w:rsidRPr="002B160C">
        <w:t>ay 9.</w:t>
      </w:r>
      <w:r w:rsidRPr="002B160C">
        <w:rPr>
          <w:i/>
        </w:rPr>
        <w:t xml:space="preserve"> </w:t>
      </w:r>
      <w:r w:rsidRPr="002B160C">
        <w:t>There was a similar</w:t>
      </w:r>
      <w:r>
        <w:t xml:space="preserve"> pattern across the four dose cohorts in that the mean percentage of the projected steady state exposure that was attained was about 15-20% on </w:t>
      </w:r>
      <w:r w:rsidR="00FF2684">
        <w:t>D</w:t>
      </w:r>
      <w:r>
        <w:t xml:space="preserve">ay 2 and 60-80% on </w:t>
      </w:r>
      <w:r w:rsidR="00FF2684">
        <w:t>D</w:t>
      </w:r>
      <w:r>
        <w:t>ays 9, 11 and 15.</w:t>
      </w:r>
      <w:r w:rsidRPr="003B4482">
        <w:rPr>
          <w:i/>
        </w:rPr>
        <w:t xml:space="preserve"> </w:t>
      </w:r>
    </w:p>
    <w:p w:rsidR="00041F4D" w:rsidRDefault="00F016D0" w:rsidP="00041F4D">
      <w:pPr>
        <w:pStyle w:val="FigureTitle"/>
      </w:pPr>
      <w:r>
        <w:rPr>
          <w:noProof/>
          <w:lang w:eastAsia="zh-TW"/>
        </w:rPr>
        <w:pict>
          <v:shape id="Text Box 24" o:spid="_x0000_s1039" type="#_x0000_t202" style="position:absolute;margin-left:1.35pt;margin-top:18.4pt;width:65.1pt;height:1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KAhQ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" stroked="f">
            <v:textbox>
              <w:txbxContent>
                <w:p w:rsidR="00A408DA" w:rsidRDefault="00A408DA"/>
              </w:txbxContent>
            </v:textbox>
          </v:shape>
        </w:pict>
      </w:r>
      <w:r w:rsidR="00041F4D">
        <w:t>Table 8</w:t>
      </w:r>
      <w:r w:rsidR="009A3DAC">
        <w:t>.</w:t>
      </w:r>
    </w:p>
    <w:p w:rsidR="00041F4D" w:rsidRDefault="005B75BE" w:rsidP="00041F4D">
      <w:pPr>
        <w:tabs>
          <w:tab w:val="left" w:pos="0"/>
        </w:tabs>
      </w:pPr>
      <w:r>
        <w:rPr>
          <w:noProof/>
          <w:lang w:eastAsia="en-AU"/>
        </w:rPr>
        <w:drawing>
          <wp:inline distT="0" distB="0" distL="0" distR="0">
            <wp:extent cx="5267325" cy="2057400"/>
            <wp:effectExtent l="19050" t="0" r="9525" b="0"/>
            <wp:docPr id="23" name="Picture 23" descr="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2057400"/>
                    </a:xfrm>
                    <a:prstGeom prst="rect">
                      <a:avLst/>
                    </a:prstGeom>
                    <a:noFill/>
                    <a:ln>
                      <a:noFill/>
                    </a:ln>
                  </pic:spPr>
                </pic:pic>
              </a:graphicData>
            </a:graphic>
          </wp:inline>
        </w:drawing>
      </w:r>
    </w:p>
    <w:p w:rsidR="003B4482" w:rsidRDefault="003B4482" w:rsidP="003B4482">
      <w:pPr>
        <w:jc w:val="both"/>
      </w:pPr>
      <w:r w:rsidRPr="00FF2684">
        <w:rPr>
          <w:rStyle w:val="Heading6Char"/>
          <w:rFonts w:eastAsia="Cambria"/>
        </w:rPr>
        <w:t>Apparent volume of distribution:</w:t>
      </w:r>
      <w:r w:rsidRPr="003B4482">
        <w:rPr>
          <w:i/>
        </w:rPr>
        <w:t xml:space="preserve">  </w:t>
      </w:r>
      <w:r>
        <w:t xml:space="preserve">Data from </w:t>
      </w:r>
      <w:r w:rsidR="00FF2684">
        <w:t>S</w:t>
      </w:r>
      <w:r>
        <w:t>tudy NP22676 revealed that the mean AUC</w:t>
      </w:r>
      <w:r>
        <w:rPr>
          <w:vertAlign w:val="subscript"/>
        </w:rPr>
        <w:t>0</w:t>
      </w:r>
      <w:r w:rsidR="00FF2684">
        <w:rPr>
          <w:vertAlign w:val="subscript"/>
        </w:rPr>
        <w:noBreakHyphen/>
      </w:r>
      <w:r>
        <w:rPr>
          <w:vertAlign w:val="subscript"/>
        </w:rPr>
        <w:t>tau</w:t>
      </w:r>
      <w:r>
        <w:t xml:space="preserve"> for 20 patients was approximately</w:t>
      </w:r>
      <w:r w:rsidR="000204EF">
        <w:t xml:space="preserve"> </w:t>
      </w:r>
      <w:r>
        <w:t>600</w:t>
      </w:r>
      <w:r w:rsidR="00FF2684">
        <w:t xml:space="preserve"> </w:t>
      </w:r>
      <w:r>
        <w:t>pg.hour/ml</w:t>
      </w:r>
      <w:r w:rsidR="001F232C">
        <w:t>,</w:t>
      </w:r>
      <w:r>
        <w:t xml:space="preserve"> whereby the tau was 12 hours.</w:t>
      </w:r>
      <w:r w:rsidRPr="003B4482">
        <w:rPr>
          <w:i/>
        </w:rPr>
        <w:t xml:space="preserve"> </w:t>
      </w:r>
      <w:r>
        <w:t xml:space="preserve">In </w:t>
      </w:r>
      <w:r w:rsidR="00FF2684">
        <w:t>S</w:t>
      </w:r>
      <w:r>
        <w:t>tudy NP25163 the elimination rate constant at a 96</w:t>
      </w:r>
      <w:r w:rsidRPr="003B4482">
        <w:t>0 mg</w:t>
      </w:r>
      <w:r>
        <w:t xml:space="preserve"> dose after a seven day drug interruption was 0.020/hours with a similar estimate for AUC</w:t>
      </w:r>
      <w:r>
        <w:rPr>
          <w:vertAlign w:val="subscript"/>
        </w:rPr>
        <w:t>0-tau</w:t>
      </w:r>
      <w:r>
        <w:t>.</w:t>
      </w:r>
      <w:r w:rsidRPr="003B4482">
        <w:rPr>
          <w:i/>
        </w:rPr>
        <w:t xml:space="preserve"> </w:t>
      </w:r>
      <w:r>
        <w:t>From these data</w:t>
      </w:r>
      <w:r w:rsidR="00FF2684">
        <w:t>,</w:t>
      </w:r>
      <w:r>
        <w:t xml:space="preserve"> VDF-F can be estimated from steady state values to be approximately 80 litres.</w:t>
      </w:r>
      <w:r w:rsidRPr="003B4482">
        <w:rPr>
          <w:i/>
        </w:rPr>
        <w:t xml:space="preserve"> </w:t>
      </w:r>
    </w:p>
    <w:p w:rsidR="003B4482" w:rsidRDefault="003B4482" w:rsidP="00FF2684">
      <w:pPr>
        <w:pStyle w:val="Heading6"/>
      </w:pPr>
      <w:r>
        <w:t>Cross study comparison of single and multiple doses VEM at 96</w:t>
      </w:r>
      <w:r w:rsidRPr="003B4482">
        <w:t>0 mg</w:t>
      </w:r>
      <w:r>
        <w:t xml:space="preserve"> twice daily.</w:t>
      </w:r>
    </w:p>
    <w:p w:rsidR="003B4482" w:rsidRDefault="003B4482" w:rsidP="003B4482">
      <w:pPr>
        <w:jc w:val="both"/>
        <w:rPr>
          <w:i/>
        </w:rPr>
      </w:pPr>
      <w:r>
        <w:t xml:space="preserve">The VEM concentration time profiles and calculated parameters are for the first dose were compared to data collected after multiple </w:t>
      </w:r>
      <w:r w:rsidR="00FF2684">
        <w:t>twice daily doses generally at D</w:t>
      </w:r>
      <w:r>
        <w:t>ay 15.</w:t>
      </w:r>
      <w:r w:rsidRPr="003B4482">
        <w:rPr>
          <w:i/>
        </w:rPr>
        <w:t xml:space="preserve"> </w:t>
      </w:r>
      <w:r>
        <w:t xml:space="preserve">Data as </w:t>
      </w:r>
      <w:r w:rsidRPr="00041F4D">
        <w:t>shown in Figure 1</w:t>
      </w:r>
      <w:r w:rsidR="00041F4D" w:rsidRPr="00041F4D">
        <w:t>4</w:t>
      </w:r>
      <w:r w:rsidRPr="00041F4D">
        <w:t xml:space="preserve"> for </w:t>
      </w:r>
      <w:r w:rsidR="00FF2684" w:rsidRPr="00041F4D">
        <w:t>S</w:t>
      </w:r>
      <w:r w:rsidRPr="00041F4D">
        <w:t>tudy NP22657, are generally representative of VEM exposure observed in other studies with the 960 mg twice daily dose.</w:t>
      </w:r>
      <w:r w:rsidRPr="00041F4D">
        <w:rPr>
          <w:i/>
        </w:rPr>
        <w:t xml:space="preserve"> </w:t>
      </w:r>
      <w:r w:rsidRPr="00041F4D">
        <w:t xml:space="preserve">After the first dose VEM concentration rises rapidly within the first </w:t>
      </w:r>
      <w:r w:rsidR="00FF2684" w:rsidRPr="00041F4D">
        <w:t xml:space="preserve">2 h </w:t>
      </w:r>
      <w:r w:rsidRPr="00041F4D">
        <w:t>and reaches C</w:t>
      </w:r>
      <w:r w:rsidRPr="00041F4D">
        <w:rPr>
          <w:vertAlign w:val="subscript"/>
        </w:rPr>
        <w:t>max</w:t>
      </w:r>
      <w:r w:rsidRPr="00041F4D">
        <w:t xml:space="preserve"> generally within </w:t>
      </w:r>
      <w:r w:rsidR="00FF2684" w:rsidRPr="00041F4D">
        <w:t xml:space="preserve">4 h </w:t>
      </w:r>
      <w:r w:rsidRPr="00041F4D">
        <w:t>at which point plasma concentrations are relatively flat.</w:t>
      </w:r>
      <w:r w:rsidRPr="00041F4D">
        <w:rPr>
          <w:i/>
        </w:rPr>
        <w:t xml:space="preserve"> </w:t>
      </w:r>
      <w:r w:rsidRPr="00041F4D">
        <w:t>VEM concentrations continue to rise with repeat twice daily dosing until steady state is reached within 22 days for most patients.</w:t>
      </w:r>
      <w:r w:rsidRPr="00041F4D">
        <w:rPr>
          <w:i/>
        </w:rPr>
        <w:t xml:space="preserve"> </w:t>
      </w:r>
      <w:r w:rsidRPr="00041F4D">
        <w:t>Once steady state is approached the concentration time profile across the dose intervals is characteristically flat in all studies evaluated.</w:t>
      </w:r>
      <w:r w:rsidRPr="00041F4D">
        <w:rPr>
          <w:i/>
        </w:rPr>
        <w:t xml:space="preserve"> </w:t>
      </w:r>
      <w:r w:rsidRPr="00041F4D">
        <w:t>For 85 patients i</w:t>
      </w:r>
      <w:r w:rsidR="00FF2684" w:rsidRPr="00041F4D">
        <w:t>n the primary PK population in S</w:t>
      </w:r>
      <w:r w:rsidRPr="00041F4D">
        <w:t xml:space="preserve">tudy NP22657, the mean peak to trough ratio for VEM concentrations on </w:t>
      </w:r>
      <w:r w:rsidR="00FF2684" w:rsidRPr="00041F4D">
        <w:t>D</w:t>
      </w:r>
      <w:r w:rsidRPr="00041F4D">
        <w:t>ay 15 was low, being 1.13 indicating relatively consistent VEM exposure in plasma during the dosing interval. Similar results were found for 960 mg dose cohort in the NP25163 study.</w:t>
      </w:r>
      <w:r w:rsidRPr="00041F4D">
        <w:rPr>
          <w:i/>
        </w:rPr>
        <w:t xml:space="preserve"> </w:t>
      </w:r>
      <w:r w:rsidRPr="00041F4D">
        <w:t xml:space="preserve">Comparison of the VEM pharmacokinetic parameters from </w:t>
      </w:r>
      <w:r w:rsidR="00FF2684" w:rsidRPr="00041F4D">
        <w:t>S</w:t>
      </w:r>
      <w:r w:rsidRPr="00041F4D">
        <w:t>tud</w:t>
      </w:r>
      <w:r w:rsidR="00FF2684" w:rsidRPr="00041F4D">
        <w:t>ies</w:t>
      </w:r>
      <w:r w:rsidRPr="00041F4D">
        <w:t xml:space="preserve"> NP22657 and NP25163 showed the typical increase in exposure observed following 15 days of 960 mg twice daily dosing as indicated in Table </w:t>
      </w:r>
      <w:r w:rsidR="00041F4D" w:rsidRPr="00041F4D">
        <w:t>9</w:t>
      </w:r>
      <w:r w:rsidRPr="00041F4D">
        <w:t>.</w:t>
      </w:r>
      <w:r w:rsidRPr="00041F4D">
        <w:rPr>
          <w:i/>
        </w:rPr>
        <w:t xml:space="preserve"> </w:t>
      </w:r>
      <w:r w:rsidRPr="00041F4D">
        <w:t xml:space="preserve">The ratio between the mean values on </w:t>
      </w:r>
      <w:r w:rsidR="00FF2684" w:rsidRPr="00041F4D">
        <w:t>D</w:t>
      </w:r>
      <w:r w:rsidRPr="00041F4D">
        <w:t xml:space="preserve">ay 15 and </w:t>
      </w:r>
      <w:r w:rsidR="00FF2684" w:rsidRPr="00041F4D">
        <w:t>D</w:t>
      </w:r>
      <w:r w:rsidRPr="00041F4D">
        <w:t>ay 1 from both studies range from 15</w:t>
      </w:r>
      <w:r w:rsidR="00FF2684" w:rsidRPr="00041F4D">
        <w:t xml:space="preserve"> to </w:t>
      </w:r>
      <w:r w:rsidRPr="00041F4D">
        <w:t>17 fold for AUC</w:t>
      </w:r>
      <w:r w:rsidRPr="00041F4D">
        <w:rPr>
          <w:vertAlign w:val="subscript"/>
        </w:rPr>
        <w:t>0-8</w:t>
      </w:r>
      <w:r w:rsidR="00FF2684" w:rsidRPr="00041F4D">
        <w:rPr>
          <w:vertAlign w:val="subscript"/>
        </w:rPr>
        <w:t xml:space="preserve"> h </w:t>
      </w:r>
      <w:r w:rsidRPr="00041F4D">
        <w:t>and 13</w:t>
      </w:r>
      <w:r w:rsidR="00FF2684" w:rsidRPr="00041F4D">
        <w:t xml:space="preserve"> to </w:t>
      </w:r>
      <w:r w:rsidRPr="00041F4D">
        <w:t>14 fold for AUC for C</w:t>
      </w:r>
      <w:r w:rsidRPr="00041F4D">
        <w:rPr>
          <w:vertAlign w:val="subscript"/>
        </w:rPr>
        <w:t>max</w:t>
      </w:r>
      <w:r w:rsidR="00FF2684" w:rsidRPr="00041F4D">
        <w:t>. The individual Day 15/D</w:t>
      </w:r>
      <w:r w:rsidRPr="00041F4D">
        <w:t xml:space="preserve">ay 1 ratios for patients in both studies for the 960 mg dose showed a wide variability among patients ranging from approximately 6&gt;100-fold as indicated in Table </w:t>
      </w:r>
      <w:r w:rsidR="00041F4D" w:rsidRPr="00041F4D">
        <w:t>10</w:t>
      </w:r>
      <w:r w:rsidRPr="00041F4D">
        <w:t>.</w:t>
      </w:r>
      <w:r w:rsidRPr="00041F4D">
        <w:rPr>
          <w:i/>
        </w:rPr>
        <w:t xml:space="preserve"> </w:t>
      </w:r>
      <w:r w:rsidRPr="00041F4D">
        <w:t xml:space="preserve">In </w:t>
      </w:r>
      <w:r w:rsidR="00FF2684" w:rsidRPr="00041F4D">
        <w:t>S</w:t>
      </w:r>
      <w:r w:rsidRPr="00041F4D">
        <w:t>tudy NP22657</w:t>
      </w:r>
      <w:r w:rsidR="00FF2684">
        <w:t>,</w:t>
      </w:r>
      <w:r>
        <w:t xml:space="preserve"> an analysis of VEM </w:t>
      </w:r>
      <w:r>
        <w:lastRenderedPageBreak/>
        <w:t xml:space="preserve">concentrations </w:t>
      </w:r>
      <w:r w:rsidR="00FF2684">
        <w:t>4</w:t>
      </w:r>
      <w:r w:rsidR="00FF2684" w:rsidRPr="00FF2684">
        <w:t xml:space="preserve"> h </w:t>
      </w:r>
      <w:r w:rsidR="00D73147" w:rsidRPr="00D73147">
        <w:t>post dose</w:t>
      </w:r>
      <w:r>
        <w:t xml:space="preserve"> on </w:t>
      </w:r>
      <w:r w:rsidR="00FF2684">
        <w:t>D</w:t>
      </w:r>
      <w:r>
        <w:t xml:space="preserve">ay 1 and </w:t>
      </w:r>
      <w:r w:rsidR="00FF2684">
        <w:t>D</w:t>
      </w:r>
      <w:r>
        <w:t>ay 15 in 102 patients assessed on both days, showed a wide distribution of value and accumulation.</w:t>
      </w:r>
      <w:r w:rsidRPr="003B4482">
        <w:rPr>
          <w:i/>
        </w:rPr>
        <w:t xml:space="preserve"> </w:t>
      </w:r>
      <w:r>
        <w:t xml:space="preserve">Mean dose values on </w:t>
      </w:r>
      <w:r w:rsidR="00FF2684">
        <w:t>D</w:t>
      </w:r>
      <w:r>
        <w:t xml:space="preserve">ay 1 and </w:t>
      </w:r>
      <w:r w:rsidR="00FF2684">
        <w:t>D</w:t>
      </w:r>
      <w:r>
        <w:t xml:space="preserve">ay 15 </w:t>
      </w:r>
      <w:r w:rsidR="00FF2684">
        <w:t xml:space="preserve">were 3.6+/-2 µg/ml and </w:t>
      </w:r>
      <w:r>
        <w:t>49.0+/-22.5</w:t>
      </w:r>
      <w:r w:rsidR="00FF2684">
        <w:t xml:space="preserve"> µ</w:t>
      </w:r>
      <w:r>
        <w:t>g/ml</w:t>
      </w:r>
      <w:r w:rsidR="00FF2684">
        <w:t xml:space="preserve"> respectively</w:t>
      </w:r>
      <w:r>
        <w:t>.</w:t>
      </w:r>
      <w:r w:rsidRPr="003B4482">
        <w:rPr>
          <w:i/>
        </w:rPr>
        <w:t xml:space="preserve"> </w:t>
      </w:r>
    </w:p>
    <w:p w:rsidR="00041F4D" w:rsidRDefault="005B75BE" w:rsidP="00041F4D">
      <w:pPr>
        <w:tabs>
          <w:tab w:val="left" w:pos="0"/>
        </w:tabs>
      </w:pPr>
      <w:r>
        <w:rPr>
          <w:noProof/>
          <w:lang w:eastAsia="en-AU"/>
        </w:rPr>
        <w:drawing>
          <wp:inline distT="0" distB="0" distL="0" distR="0">
            <wp:extent cx="5105400" cy="3209925"/>
            <wp:effectExtent l="19050" t="0" r="0" b="0"/>
            <wp:docPr id="24" name="Picture 24"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08"/>
                    <a:stretch>
                      <a:fillRect/>
                    </a:stretch>
                  </pic:blipFill>
                  <pic:spPr bwMode="auto">
                    <a:xfrm>
                      <a:off x="0" y="0"/>
                      <a:ext cx="5105400" cy="3209925"/>
                    </a:xfrm>
                    <a:prstGeom prst="rect">
                      <a:avLst/>
                    </a:prstGeom>
                    <a:noFill/>
                    <a:ln>
                      <a:noFill/>
                    </a:ln>
                  </pic:spPr>
                </pic:pic>
              </a:graphicData>
            </a:graphic>
          </wp:inline>
        </w:drawing>
      </w:r>
    </w:p>
    <w:p w:rsidR="00041F4D" w:rsidRDefault="00041F4D" w:rsidP="00041F4D">
      <w:pPr>
        <w:pStyle w:val="FigureTitle"/>
      </w:pPr>
      <w:r>
        <w:t>Table 9.</w:t>
      </w:r>
    </w:p>
    <w:p w:rsidR="00041F4D" w:rsidRDefault="00F016D0" w:rsidP="00041F4D">
      <w:pPr>
        <w:tabs>
          <w:tab w:val="left" w:pos="0"/>
        </w:tabs>
      </w:pPr>
      <w:r>
        <w:rPr>
          <w:noProof/>
          <w:lang w:eastAsia="zh-TW"/>
        </w:rPr>
        <w:pict>
          <v:shape id="Text Box 25" o:spid="_x0000_s1040" type="#_x0000_t202" style="position:absolute;margin-left:5.75pt;margin-top:-.05pt;width:63.2pt;height: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" stroked="f">
            <v:textbox>
              <w:txbxContent>
                <w:p w:rsidR="00A408DA" w:rsidRDefault="00A408DA"/>
              </w:txbxContent>
            </v:textbox>
          </v:shape>
        </w:pict>
      </w:r>
      <w:r w:rsidR="005B75BE">
        <w:rPr>
          <w:noProof/>
          <w:lang w:eastAsia="en-AU"/>
        </w:rPr>
        <w:drawing>
          <wp:inline distT="0" distB="0" distL="0" distR="0">
            <wp:extent cx="5267325" cy="2066925"/>
            <wp:effectExtent l="19050" t="0" r="9525" b="0"/>
            <wp:docPr id="25" name="Picture 25" descr="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2066925"/>
                    </a:xfrm>
                    <a:prstGeom prst="rect">
                      <a:avLst/>
                    </a:prstGeom>
                    <a:noFill/>
                    <a:ln>
                      <a:noFill/>
                    </a:ln>
                  </pic:spPr>
                </pic:pic>
              </a:graphicData>
            </a:graphic>
          </wp:inline>
        </w:drawing>
      </w:r>
    </w:p>
    <w:p w:rsidR="00041F4D" w:rsidRDefault="00041F4D" w:rsidP="00041F4D">
      <w:pPr>
        <w:pStyle w:val="FigureTitle"/>
        <w:keepNext/>
      </w:pPr>
      <w:r>
        <w:t>Table 10.</w:t>
      </w:r>
    </w:p>
    <w:p w:rsidR="00041F4D" w:rsidRDefault="00F016D0" w:rsidP="00041F4D">
      <w:pPr>
        <w:keepNext/>
        <w:tabs>
          <w:tab w:val="left" w:pos="0"/>
        </w:tabs>
      </w:pPr>
      <w:r>
        <w:rPr>
          <w:noProof/>
          <w:lang w:eastAsia="zh-TW"/>
        </w:rPr>
        <w:pict>
          <v:shape id="Text Box 26" o:spid="_x0000_s1041" type="#_x0000_t202" style="position:absolute;margin-left:9.5pt;margin-top:-5.55pt;width:68.25pt;height: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" stroked="f">
            <v:textbox>
              <w:txbxContent>
                <w:p w:rsidR="00A408DA" w:rsidRDefault="00A408DA"/>
              </w:txbxContent>
            </v:textbox>
          </v:shape>
        </w:pict>
      </w:r>
      <w:r w:rsidR="005B75BE">
        <w:rPr>
          <w:noProof/>
          <w:lang w:eastAsia="en-AU"/>
        </w:rPr>
        <w:drawing>
          <wp:inline distT="0" distB="0" distL="0" distR="0">
            <wp:extent cx="4895850" cy="1600200"/>
            <wp:effectExtent l="19050" t="0" r="0" b="0"/>
            <wp:docPr id="26" name="Picture 26" descr="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5850" cy="1600200"/>
                    </a:xfrm>
                    <a:prstGeom prst="rect">
                      <a:avLst/>
                    </a:prstGeom>
                    <a:noFill/>
                    <a:ln>
                      <a:noFill/>
                    </a:ln>
                  </pic:spPr>
                </pic:pic>
              </a:graphicData>
            </a:graphic>
          </wp:inline>
        </w:drawing>
      </w:r>
    </w:p>
    <w:p w:rsidR="00041F4D" w:rsidRDefault="00041F4D" w:rsidP="00041F4D">
      <w:pPr>
        <w:tabs>
          <w:tab w:val="left" w:pos="0"/>
        </w:tabs>
      </w:pPr>
    </w:p>
    <w:p w:rsidR="00041F4D" w:rsidRDefault="00041F4D" w:rsidP="003B4482">
      <w:pPr>
        <w:jc w:val="both"/>
      </w:pPr>
    </w:p>
    <w:p w:rsidR="003B4482" w:rsidRDefault="003B4482" w:rsidP="00FF2684">
      <w:r w:rsidRPr="00FF2684">
        <w:rPr>
          <w:rStyle w:val="Heading6Char"/>
          <w:rFonts w:eastAsia="Cambria"/>
        </w:rPr>
        <w:lastRenderedPageBreak/>
        <w:t xml:space="preserve">VEM pharmacokinetic parameters on </w:t>
      </w:r>
      <w:r w:rsidR="00FF2684" w:rsidRPr="00FF2684">
        <w:rPr>
          <w:rStyle w:val="Heading6Char"/>
          <w:rFonts w:eastAsia="Cambria"/>
        </w:rPr>
        <w:t>D</w:t>
      </w:r>
      <w:r w:rsidRPr="00FF2684">
        <w:rPr>
          <w:rStyle w:val="Heading6Char"/>
          <w:rFonts w:eastAsia="Cambria"/>
        </w:rPr>
        <w:t>ay 15</w:t>
      </w:r>
      <w:r>
        <w:t>:</w:t>
      </w:r>
      <w:r w:rsidR="00FF2684">
        <w:t xml:space="preserve"> </w:t>
      </w:r>
      <w:r>
        <w:t>A comparison of mean PK parameters after 15 days of VEM dosing at 96</w:t>
      </w:r>
      <w:r w:rsidRPr="003B4482">
        <w:t>0 mg</w:t>
      </w:r>
      <w:r>
        <w:t xml:space="preserve"> twice daily from three clinical trials using 24</w:t>
      </w:r>
      <w:r w:rsidRPr="003B4482">
        <w:t>0 mg</w:t>
      </w:r>
      <w:r>
        <w:t xml:space="preserve"> MBP film coated tablets,</w:t>
      </w:r>
      <w:r w:rsidR="00D73147" w:rsidRPr="00D73147">
        <w:t xml:space="preserve"> that is, </w:t>
      </w:r>
      <w:r w:rsidR="00FF2684">
        <w:t>S</w:t>
      </w:r>
      <w:r>
        <w:t>tudies NP22657, NP22676 and NP25163 and one study using the 12</w:t>
      </w:r>
      <w:r w:rsidRPr="003B4482">
        <w:t>0 mg</w:t>
      </w:r>
      <w:r>
        <w:t xml:space="preserve"> MBP capsules</w:t>
      </w:r>
      <w:r w:rsidR="00FF2684">
        <w:t xml:space="preserve"> (S</w:t>
      </w:r>
      <w:r>
        <w:t>tudy PLX06-02 melanoma extension</w:t>
      </w:r>
      <w:r w:rsidR="00FF2684" w:rsidRPr="00041F4D">
        <w:t>)</w:t>
      </w:r>
      <w:r w:rsidRPr="00041F4D">
        <w:t xml:space="preserve"> is indicated Table </w:t>
      </w:r>
      <w:r w:rsidR="00041F4D" w:rsidRPr="00041F4D">
        <w:t>11</w:t>
      </w:r>
      <w:r w:rsidRPr="00041F4D">
        <w:t>.</w:t>
      </w:r>
      <w:r w:rsidRPr="00FF2684">
        <w:rPr>
          <w:i/>
        </w:rPr>
        <w:t xml:space="preserve"> </w:t>
      </w:r>
      <w:r>
        <w:t>The mean AUC</w:t>
      </w:r>
      <w:r w:rsidRPr="00FF2684">
        <w:rPr>
          <w:vertAlign w:val="subscript"/>
        </w:rPr>
        <w:t>0-8</w:t>
      </w:r>
      <w:r w:rsidR="00FF2684" w:rsidRPr="00FF2684">
        <w:rPr>
          <w:vertAlign w:val="subscript"/>
        </w:rPr>
        <w:t xml:space="preserve"> h </w:t>
      </w:r>
      <w:r>
        <w:t>and C</w:t>
      </w:r>
      <w:r w:rsidRPr="00FF2684">
        <w:rPr>
          <w:vertAlign w:val="subscript"/>
        </w:rPr>
        <w:t>max</w:t>
      </w:r>
      <w:r>
        <w:t xml:space="preserve"> values for the three studies using the 24</w:t>
      </w:r>
      <w:r w:rsidRPr="003B4482">
        <w:t>0 mg</w:t>
      </w:r>
      <w:r>
        <w:t xml:space="preserve"> film coated tablets are within 10% of each other showing relative agreement.</w:t>
      </w:r>
      <w:r w:rsidRPr="00FF2684">
        <w:rPr>
          <w:i/>
        </w:rPr>
        <w:t xml:space="preserve"> </w:t>
      </w:r>
    </w:p>
    <w:p w:rsidR="00041F4D" w:rsidRDefault="00F016D0" w:rsidP="002B160C">
      <w:pPr>
        <w:pStyle w:val="FigureTitle"/>
      </w:pPr>
      <w:r>
        <w:rPr>
          <w:noProof/>
          <w:lang w:eastAsia="zh-TW"/>
        </w:rPr>
        <w:pict>
          <v:shape id="Text Box 27" o:spid="_x0000_s1042" type="#_x0000_t202" style="position:absolute;margin-left:9.5pt;margin-top:15pt;width:60.7pt;height:2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G9hAIAABg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" stroked="f">
            <v:textbox>
              <w:txbxContent>
                <w:p w:rsidR="00A408DA" w:rsidRDefault="00A408DA"/>
              </w:txbxContent>
            </v:textbox>
          </v:shape>
        </w:pict>
      </w:r>
      <w:r w:rsidR="00041F4D">
        <w:t xml:space="preserve">Table 11. </w:t>
      </w:r>
      <w:r w:rsidR="005B75BE">
        <w:rPr>
          <w:noProof/>
          <w:lang w:eastAsia="en-AU"/>
        </w:rPr>
        <w:drawing>
          <wp:inline distT="0" distB="0" distL="0" distR="0">
            <wp:extent cx="5267325" cy="2466975"/>
            <wp:effectExtent l="19050" t="0" r="9525" b="0"/>
            <wp:docPr id="27" name="Picture 27" descr="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2466975"/>
                    </a:xfrm>
                    <a:prstGeom prst="rect">
                      <a:avLst/>
                    </a:prstGeom>
                    <a:noFill/>
                    <a:ln>
                      <a:noFill/>
                    </a:ln>
                  </pic:spPr>
                </pic:pic>
              </a:graphicData>
            </a:graphic>
          </wp:inline>
        </w:drawing>
      </w:r>
    </w:p>
    <w:p w:rsidR="003B4482" w:rsidRDefault="003B4482" w:rsidP="003B4482">
      <w:pPr>
        <w:jc w:val="both"/>
      </w:pPr>
      <w:r>
        <w:t xml:space="preserve">When comparing VEM exposure between the </w:t>
      </w:r>
      <w:r w:rsidR="00FF2684">
        <w:t>S</w:t>
      </w:r>
      <w:r>
        <w:t xml:space="preserve">tudy PLX06-02 and </w:t>
      </w:r>
      <w:r w:rsidR="00FF2684">
        <w:t>S</w:t>
      </w:r>
      <w:r>
        <w:t>tudy NP22657, the AUC</w:t>
      </w:r>
      <w:r>
        <w:rPr>
          <w:vertAlign w:val="subscript"/>
        </w:rPr>
        <w:t>0-8</w:t>
      </w:r>
      <w:r w:rsidR="00FF2684" w:rsidRPr="00FF2684">
        <w:rPr>
          <w:vertAlign w:val="subscript"/>
        </w:rPr>
        <w:t xml:space="preserve"> h </w:t>
      </w:r>
      <w:r>
        <w:t>and C</w:t>
      </w:r>
      <w:r>
        <w:rPr>
          <w:vertAlign w:val="subscript"/>
        </w:rPr>
        <w:t>max</w:t>
      </w:r>
      <w:r>
        <w:t xml:space="preserve"> values were 24% and 22% lower respectively using the 12</w:t>
      </w:r>
      <w:r w:rsidRPr="003B4482">
        <w:t>0 mg</w:t>
      </w:r>
      <w:r>
        <w:t xml:space="preserve"> MBP capsules compared with the 24</w:t>
      </w:r>
      <w:r w:rsidRPr="003B4482">
        <w:t>0 mg</w:t>
      </w:r>
      <w:r>
        <w:t xml:space="preserve"> MBP film coated tablets.</w:t>
      </w:r>
      <w:r w:rsidRPr="003B4482">
        <w:rPr>
          <w:i/>
        </w:rPr>
        <w:t xml:space="preserve"> </w:t>
      </w:r>
      <w:r>
        <w:t>These differences increased to 31% and 28% for AUC</w:t>
      </w:r>
      <w:r>
        <w:rPr>
          <w:vertAlign w:val="subscript"/>
        </w:rPr>
        <w:t>0-8</w:t>
      </w:r>
      <w:r w:rsidR="00FF2684" w:rsidRPr="00FF2684">
        <w:rPr>
          <w:vertAlign w:val="subscript"/>
        </w:rPr>
        <w:t xml:space="preserve">h </w:t>
      </w:r>
      <w:r>
        <w:t>and C</w:t>
      </w:r>
      <w:r>
        <w:rPr>
          <w:vertAlign w:val="subscript"/>
        </w:rPr>
        <w:t>max</w:t>
      </w:r>
      <w:r>
        <w:t xml:space="preserve"> when comparing data from PLX067-02 and NP22676.</w:t>
      </w:r>
      <w:r w:rsidRPr="003B4482">
        <w:rPr>
          <w:i/>
        </w:rPr>
        <w:t xml:space="preserve"> </w:t>
      </w:r>
      <w:r>
        <w:t>Despite differences in sample sizes it appears that the 24</w:t>
      </w:r>
      <w:r w:rsidRPr="003B4482">
        <w:t>0 mg</w:t>
      </w:r>
      <w:r>
        <w:t xml:space="preserve"> film coated tablets provided higher exposures on </w:t>
      </w:r>
      <w:r w:rsidR="00AC653F">
        <w:t>D</w:t>
      </w:r>
      <w:r>
        <w:t>ay 15 at the 96</w:t>
      </w:r>
      <w:r w:rsidRPr="003B4482">
        <w:t>0 mg</w:t>
      </w:r>
      <w:r>
        <w:t xml:space="preserve"> twice daily dose and the 12</w:t>
      </w:r>
      <w:r w:rsidRPr="003B4482">
        <w:t>0 mg</w:t>
      </w:r>
      <w:r>
        <w:t xml:space="preserve"> MBP capsules.</w:t>
      </w:r>
      <w:r w:rsidRPr="003B4482">
        <w:rPr>
          <w:i/>
        </w:rPr>
        <w:t xml:space="preserve"> </w:t>
      </w:r>
    </w:p>
    <w:p w:rsidR="003B4482" w:rsidRDefault="003B4482" w:rsidP="003B4482">
      <w:pPr>
        <w:jc w:val="both"/>
      </w:pPr>
      <w:r w:rsidRPr="00AC653F">
        <w:rPr>
          <w:rStyle w:val="Heading6Char"/>
          <w:rFonts w:eastAsia="Cambria"/>
        </w:rPr>
        <w:t>Steady state and VEM trough values over time:</w:t>
      </w:r>
      <w:r w:rsidRPr="003B4482">
        <w:rPr>
          <w:i/>
        </w:rPr>
        <w:t xml:space="preserve"> </w:t>
      </w:r>
      <w:r>
        <w:t>The approach for steady state was formally evaluated in NP25163.</w:t>
      </w:r>
      <w:r w:rsidRPr="003B4482">
        <w:rPr>
          <w:i/>
        </w:rPr>
        <w:t xml:space="preserve"> </w:t>
      </w:r>
      <w:r>
        <w:t>Based on the individual based statistical approach, 5/12 patients in the 96</w:t>
      </w:r>
      <w:r w:rsidRPr="003B4482">
        <w:t>0 mg</w:t>
      </w:r>
      <w:r>
        <w:t xml:space="preserve"> dose cohort achieved steady state and the remaining patients reached 60-80% of the projected steady state exposure up to 14 days of dosing at 96</w:t>
      </w:r>
      <w:r w:rsidRPr="003B4482">
        <w:t>0 mg</w:t>
      </w:r>
      <w:r w:rsidR="00AC653F">
        <w:t xml:space="preserve"> and a morning dose on D</w:t>
      </w:r>
      <w:r>
        <w:t>ay 15.</w:t>
      </w:r>
    </w:p>
    <w:p w:rsidR="003B4482" w:rsidRDefault="003B4482" w:rsidP="003B4482">
      <w:pPr>
        <w:jc w:val="both"/>
        <w:rPr>
          <w:i/>
        </w:rPr>
      </w:pPr>
      <w:r>
        <w:t xml:space="preserve">In a larger patient sampling in </w:t>
      </w:r>
      <w:r w:rsidR="00AC653F">
        <w:t xml:space="preserve">Study </w:t>
      </w:r>
      <w:r>
        <w:t>NP22657 involving 72 patients, analysis of VEM trough concentrations,</w:t>
      </w:r>
      <w:r w:rsidR="00D73147" w:rsidRPr="00D73147">
        <w:t xml:space="preserve"> that is, </w:t>
      </w:r>
      <w:r>
        <w:t xml:space="preserve">before the morning dose on </w:t>
      </w:r>
      <w:r w:rsidR="00AC653F">
        <w:t>D</w:t>
      </w:r>
      <w:r>
        <w:t>ay 15 and 22 in patients without dose mod</w:t>
      </w:r>
      <w:r w:rsidR="00AC653F">
        <w:t>ifications up to and including D</w:t>
      </w:r>
      <w:r>
        <w:t xml:space="preserve">ay 22, showed that 16 patients or 22.2% exhibited a 20% or greater increase in trough value on </w:t>
      </w:r>
      <w:r w:rsidR="00AC653F">
        <w:t>D</w:t>
      </w:r>
      <w:r>
        <w:t xml:space="preserve">ay 22 compared with </w:t>
      </w:r>
      <w:r w:rsidR="00AC653F">
        <w:t>D</w:t>
      </w:r>
      <w:r>
        <w:t>ay 15.</w:t>
      </w:r>
      <w:r w:rsidRPr="003B4482">
        <w:rPr>
          <w:i/>
        </w:rPr>
        <w:t xml:space="preserve"> </w:t>
      </w:r>
      <w:r>
        <w:t xml:space="preserve">It may therefore be extrapolated that approximately 80% of patients in NP22657 may have reached steady state by </w:t>
      </w:r>
      <w:r w:rsidR="00AC653F">
        <w:t>D</w:t>
      </w:r>
      <w:r>
        <w:t xml:space="preserve">ay 15. The mean VEM trough values on </w:t>
      </w:r>
      <w:r w:rsidR="00AC653F">
        <w:t>D</w:t>
      </w:r>
      <w:r>
        <w:t>ays 15 and 22 in this subset of patients were 48.9</w:t>
      </w:r>
      <w:r w:rsidR="00AC653F">
        <w:t xml:space="preserve"> µ</w:t>
      </w:r>
      <w:r>
        <w:t>g/ml and 4</w:t>
      </w:r>
      <w:r w:rsidR="00AC653F">
        <w:t>8 µ</w:t>
      </w:r>
      <w:r>
        <w:t xml:space="preserve">g/ml respectively; the mean </w:t>
      </w:r>
      <w:r w:rsidR="00AC653F">
        <w:t>D</w:t>
      </w:r>
      <w:r>
        <w:t>ay 22</w:t>
      </w:r>
      <w:r w:rsidR="00AC653F">
        <w:t xml:space="preserve"> to</w:t>
      </w:r>
      <w:r>
        <w:t xml:space="preserve"> </w:t>
      </w:r>
      <w:r w:rsidR="00AC653F">
        <w:t>D</w:t>
      </w:r>
      <w:r>
        <w:t>ay</w:t>
      </w:r>
      <w:r w:rsidR="00AC653F">
        <w:t xml:space="preserve"> </w:t>
      </w:r>
      <w:r>
        <w:t xml:space="preserve">15 ratio was 1.03 as </w:t>
      </w:r>
      <w:r w:rsidRPr="003A6B67">
        <w:t xml:space="preserve">indicated in Table </w:t>
      </w:r>
      <w:r w:rsidR="003A6B67" w:rsidRPr="003A6B67">
        <w:t>12</w:t>
      </w:r>
      <w:r w:rsidRPr="003A6B67">
        <w:t>.</w:t>
      </w:r>
      <w:r w:rsidRPr="003A6B67">
        <w:rPr>
          <w:i/>
        </w:rPr>
        <w:t xml:space="preserve"> </w:t>
      </w:r>
    </w:p>
    <w:p w:rsidR="00041F4D" w:rsidRDefault="00041F4D" w:rsidP="002B160C">
      <w:pPr>
        <w:pStyle w:val="FigureTitle"/>
        <w:keepNext/>
      </w:pPr>
      <w:r>
        <w:lastRenderedPageBreak/>
        <w:t xml:space="preserve">Table 12. </w:t>
      </w:r>
      <w:r w:rsidR="00F016D0">
        <w:rPr>
          <w:noProof/>
          <w:lang w:eastAsia="zh-TW"/>
        </w:rPr>
        <w:pict>
          <v:shape id="Text Box 28" o:spid="_x0000_s1043" type="#_x0000_t202" style="position:absolute;margin-left:7.6pt;margin-top:13.15pt;width:59.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" stroked="f">
            <v:textbox>
              <w:txbxContent>
                <w:p w:rsidR="00A408DA" w:rsidRDefault="00A408DA"/>
              </w:txbxContent>
            </v:textbox>
          </v:shape>
        </w:pict>
      </w:r>
      <w:r w:rsidR="005B75BE">
        <w:rPr>
          <w:noProof/>
          <w:lang w:eastAsia="en-AU"/>
        </w:rPr>
        <w:drawing>
          <wp:inline distT="0" distB="0" distL="0" distR="0">
            <wp:extent cx="5276850" cy="1257300"/>
            <wp:effectExtent l="19050" t="0" r="0" b="0"/>
            <wp:docPr id="28" name="Picture 28" descr="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1257300"/>
                    </a:xfrm>
                    <a:prstGeom prst="rect">
                      <a:avLst/>
                    </a:prstGeom>
                    <a:noFill/>
                    <a:ln>
                      <a:noFill/>
                    </a:ln>
                  </pic:spPr>
                </pic:pic>
              </a:graphicData>
            </a:graphic>
          </wp:inline>
        </w:drawing>
      </w:r>
    </w:p>
    <w:p w:rsidR="003B4482" w:rsidRDefault="003B4482" w:rsidP="003B4482">
      <w:pPr>
        <w:jc w:val="both"/>
      </w:pPr>
      <w:r>
        <w:t xml:space="preserve">Based on these observations it would be expected that a proportion of patients would not attain steady state of VEM in plasma by </w:t>
      </w:r>
      <w:r w:rsidR="00AC653F">
        <w:t>D</w:t>
      </w:r>
      <w:r>
        <w:t>ay 15.</w:t>
      </w:r>
      <w:r w:rsidRPr="003B4482">
        <w:rPr>
          <w:i/>
        </w:rPr>
        <w:t xml:space="preserve"> </w:t>
      </w:r>
      <w:r>
        <w:t>The reasons for this inter-patient variability in process state are currently unknown.</w:t>
      </w:r>
      <w:r w:rsidRPr="003B4482">
        <w:rPr>
          <w:i/>
        </w:rPr>
        <w:t xml:space="preserve"> </w:t>
      </w:r>
      <w:r>
        <w:t xml:space="preserve">It should be noted that the VEM concentration on </w:t>
      </w:r>
      <w:r w:rsidR="00AC653F">
        <w:t>D</w:t>
      </w:r>
      <w:r>
        <w:t>ay 15 in the vast majority of patients exceeded the nonclinical efficacious target of &gt;400</w:t>
      </w:r>
      <w:r w:rsidR="00AC653F">
        <w:t xml:space="preserve"> µ</w:t>
      </w:r>
      <w:r>
        <w:t>g/ml.</w:t>
      </w:r>
      <w:r w:rsidRPr="003B4482">
        <w:rPr>
          <w:i/>
        </w:rPr>
        <w:t xml:space="preserve"> </w:t>
      </w:r>
    </w:p>
    <w:p w:rsidR="003B4482" w:rsidRDefault="003B4482" w:rsidP="003B4482">
      <w:pPr>
        <w:jc w:val="both"/>
      </w:pPr>
      <w:r>
        <w:t xml:space="preserve">After </w:t>
      </w:r>
      <w:r w:rsidR="00AC653F">
        <w:t>D</w:t>
      </w:r>
      <w:r>
        <w:t>ay 15</w:t>
      </w:r>
      <w:r w:rsidR="001F232C">
        <w:t>,</w:t>
      </w:r>
      <w:r>
        <w:t xml:space="preserve"> a relatively constant mean trough concentration</w:t>
      </w:r>
      <w:r w:rsidR="001F232C">
        <w:t>,</w:t>
      </w:r>
      <w:r>
        <w:t xml:space="preserve"> with range 41.1</w:t>
      </w:r>
      <w:r w:rsidR="00AC653F">
        <w:t xml:space="preserve"> to</w:t>
      </w:r>
      <w:r>
        <w:t xml:space="preserve"> 58.3</w:t>
      </w:r>
      <w:r w:rsidR="00AC653F">
        <w:t xml:space="preserve"> µg/ml across the three S</w:t>
      </w:r>
      <w:r>
        <w:t>tudies NP25163, NP22657 and N025026</w:t>
      </w:r>
      <w:r w:rsidR="001F232C">
        <w:t>,</w:t>
      </w:r>
      <w:r>
        <w:t xml:space="preserve"> was maintained throughout subsequent treatment cycles with relatively high inter-patient variability as indicated </w:t>
      </w:r>
      <w:r w:rsidRPr="002B160C">
        <w:t>in Figure 1</w:t>
      </w:r>
      <w:r w:rsidR="003A6B67" w:rsidRPr="002B160C">
        <w:t>5</w:t>
      </w:r>
      <w:r w:rsidRPr="002B160C">
        <w:t xml:space="preserve"> and Table </w:t>
      </w:r>
      <w:r w:rsidR="003A6B67" w:rsidRPr="002B160C">
        <w:t>13</w:t>
      </w:r>
      <w:r w:rsidRPr="002B160C">
        <w:t>.</w:t>
      </w:r>
      <w:r>
        <w:t xml:space="preserve"> </w:t>
      </w:r>
    </w:p>
    <w:p w:rsidR="003A6B67" w:rsidRDefault="003A6B67" w:rsidP="003A6B67">
      <w:pPr>
        <w:pStyle w:val="FigureTitle"/>
      </w:pPr>
      <w:r>
        <w:t>Figure 15.</w:t>
      </w:r>
    </w:p>
    <w:p w:rsidR="003A6B67" w:rsidRDefault="00F016D0" w:rsidP="003A6B67">
      <w:pPr>
        <w:tabs>
          <w:tab w:val="left" w:pos="0"/>
        </w:tabs>
      </w:pPr>
      <w:r>
        <w:rPr>
          <w:noProof/>
          <w:lang w:eastAsia="zh-TW"/>
        </w:rPr>
        <w:pict>
          <v:shape id="Text Box 29" o:spid="_x0000_s1044" type="#_x0000_t202" style="position:absolute;margin-left:7.6pt;margin-top:2.9pt;width:68.25pt;height:1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" stroked="f">
            <v:textbox>
              <w:txbxContent>
                <w:p w:rsidR="00A408DA" w:rsidRDefault="00A408DA"/>
              </w:txbxContent>
            </v:textbox>
          </v:shape>
        </w:pict>
      </w:r>
      <w:r w:rsidR="005B75BE">
        <w:rPr>
          <w:noProof/>
          <w:lang w:eastAsia="en-AU"/>
        </w:rPr>
        <w:drawing>
          <wp:inline distT="0" distB="0" distL="0" distR="0">
            <wp:extent cx="4552950" cy="3190875"/>
            <wp:effectExtent l="19050" t="0" r="0" b="0"/>
            <wp:docPr id="29" name="Picture 29"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3190875"/>
                    </a:xfrm>
                    <a:prstGeom prst="rect">
                      <a:avLst/>
                    </a:prstGeom>
                    <a:noFill/>
                    <a:ln>
                      <a:noFill/>
                    </a:ln>
                  </pic:spPr>
                </pic:pic>
              </a:graphicData>
            </a:graphic>
          </wp:inline>
        </w:drawing>
      </w:r>
    </w:p>
    <w:p w:rsidR="003A6B67" w:rsidRDefault="00F016D0" w:rsidP="003A6B67">
      <w:pPr>
        <w:pStyle w:val="FigureTitle"/>
        <w:keepNext/>
      </w:pPr>
      <w:r>
        <w:rPr>
          <w:noProof/>
          <w:lang w:eastAsia="zh-TW"/>
        </w:rPr>
        <w:lastRenderedPageBreak/>
        <w:pict>
          <v:shape id="Text Box 30" o:spid="_x0000_s1045" type="#_x0000_t202" style="position:absolute;margin-left:3.85pt;margin-top:17.65pt;width:72.65pt;height:2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kJhgIAABg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" stroked="f">
            <v:textbox>
              <w:txbxContent>
                <w:p w:rsidR="00A408DA" w:rsidRDefault="00A408DA"/>
              </w:txbxContent>
            </v:textbox>
          </v:shape>
        </w:pict>
      </w:r>
      <w:r w:rsidR="003A6B67">
        <w:t>Table 13.</w:t>
      </w:r>
    </w:p>
    <w:p w:rsidR="003A6B67" w:rsidRDefault="005B75BE" w:rsidP="003A6B67">
      <w:pPr>
        <w:keepNext/>
        <w:tabs>
          <w:tab w:val="left" w:pos="0"/>
        </w:tabs>
      </w:pPr>
      <w:r>
        <w:rPr>
          <w:noProof/>
          <w:lang w:eastAsia="en-AU"/>
        </w:rPr>
        <w:drawing>
          <wp:inline distT="0" distB="0" distL="0" distR="0">
            <wp:extent cx="5486400" cy="4000500"/>
            <wp:effectExtent l="19050" t="0" r="0" b="0"/>
            <wp:docPr id="30" name="Picture 30" descr="Tab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4000500"/>
                    </a:xfrm>
                    <a:prstGeom prst="rect">
                      <a:avLst/>
                    </a:prstGeom>
                    <a:noFill/>
                    <a:ln>
                      <a:noFill/>
                    </a:ln>
                  </pic:spPr>
                </pic:pic>
              </a:graphicData>
            </a:graphic>
          </wp:inline>
        </w:drawing>
      </w:r>
    </w:p>
    <w:p w:rsidR="003B4482" w:rsidRDefault="003B4482" w:rsidP="003B4482">
      <w:pPr>
        <w:jc w:val="both"/>
      </w:pPr>
      <w:r>
        <w:t xml:space="preserve">In </w:t>
      </w:r>
      <w:r w:rsidR="00AC653F">
        <w:t>S</w:t>
      </w:r>
      <w:r>
        <w:t>tudy NP22657 a strong correlation between VEM AUC</w:t>
      </w:r>
      <w:r>
        <w:rPr>
          <w:vertAlign w:val="subscript"/>
        </w:rPr>
        <w:t>0-8</w:t>
      </w:r>
      <w:r w:rsidR="00FF2684" w:rsidRPr="00FF2684">
        <w:rPr>
          <w:vertAlign w:val="subscript"/>
        </w:rPr>
        <w:t xml:space="preserve"> h </w:t>
      </w:r>
      <w:r>
        <w:t xml:space="preserve">and trough concentration on </w:t>
      </w:r>
      <w:r w:rsidR="00AC653F">
        <w:t>D</w:t>
      </w:r>
      <w:r>
        <w:t xml:space="preserve">ay 15 was observed in 72 patients in the primary PK population for whom both parameters were available </w:t>
      </w:r>
      <w:r w:rsidRPr="002B160C">
        <w:t>as indicated in Figure 1</w:t>
      </w:r>
      <w:r w:rsidR="003A6B67" w:rsidRPr="002B160C">
        <w:t>6</w:t>
      </w:r>
      <w:r w:rsidRPr="002B160C">
        <w:t>.</w:t>
      </w:r>
      <w:r w:rsidRPr="002B160C">
        <w:rPr>
          <w:i/>
        </w:rPr>
        <w:t xml:space="preserve"> </w:t>
      </w:r>
      <w:r w:rsidRPr="002B160C">
        <w:t>VEM consistently</w:t>
      </w:r>
      <w:r>
        <w:t xml:space="preserve"> exhibited a relatively flat concentration time profile during the twice daily dosing intervals.</w:t>
      </w:r>
      <w:r w:rsidRPr="003B4482">
        <w:rPr>
          <w:i/>
        </w:rPr>
        <w:t xml:space="preserve"> </w:t>
      </w:r>
      <w:r>
        <w:t>The mean trough VEM concentrations were compa</w:t>
      </w:r>
      <w:r w:rsidR="00AC653F">
        <w:t>rable for PK assessments after D</w:t>
      </w:r>
      <w:r>
        <w:t>ay 15 thus</w:t>
      </w:r>
      <w:r w:rsidR="00AC653F">
        <w:t>,</w:t>
      </w:r>
      <w:r>
        <w:t xml:space="preserve"> it could be expected that a similarly strong relationship would exist between VEM C</w:t>
      </w:r>
      <w:r>
        <w:rPr>
          <w:vertAlign w:val="subscript"/>
        </w:rPr>
        <w:t>min</w:t>
      </w:r>
      <w:r>
        <w:t xml:space="preserve"> and AUC</w:t>
      </w:r>
      <w:r>
        <w:rPr>
          <w:vertAlign w:val="subscript"/>
        </w:rPr>
        <w:t>0-8</w:t>
      </w:r>
      <w:r w:rsidR="00FF2684" w:rsidRPr="00FF2684">
        <w:rPr>
          <w:vertAlign w:val="subscript"/>
        </w:rPr>
        <w:t xml:space="preserve"> h </w:t>
      </w:r>
      <w:r>
        <w:t>across repeated treatment cycles.</w:t>
      </w:r>
      <w:r w:rsidRPr="003B4482">
        <w:rPr>
          <w:i/>
        </w:rPr>
        <w:t xml:space="preserve"> </w:t>
      </w:r>
      <w:r>
        <w:t xml:space="preserve"> </w:t>
      </w:r>
    </w:p>
    <w:p w:rsidR="003A6B67" w:rsidRDefault="003A6B67" w:rsidP="003A6B67">
      <w:pPr>
        <w:pStyle w:val="FigureTitle"/>
        <w:keepNext/>
      </w:pPr>
      <w:r>
        <w:lastRenderedPageBreak/>
        <w:t>Figure 16.</w:t>
      </w:r>
    </w:p>
    <w:p w:rsidR="003A6B67" w:rsidRDefault="00F016D0" w:rsidP="003A6B67">
      <w:pPr>
        <w:keepNext/>
        <w:tabs>
          <w:tab w:val="left" w:pos="0"/>
        </w:tabs>
      </w:pPr>
      <w:r>
        <w:rPr>
          <w:noProof/>
          <w:lang w:eastAsia="zh-TW"/>
        </w:rPr>
        <w:pict>
          <v:shape id="Text Box 31" o:spid="_x0000_s1046" type="#_x0000_t202" style="position:absolute;margin-left:10.1pt;margin-top:.6pt;width:68.25pt;height:2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2ghgIAABg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" stroked="f">
            <v:textbox>
              <w:txbxContent>
                <w:p w:rsidR="00A408DA" w:rsidRDefault="00A408DA"/>
              </w:txbxContent>
            </v:textbox>
          </v:shape>
        </w:pict>
      </w:r>
      <w:r w:rsidR="005B75BE">
        <w:rPr>
          <w:noProof/>
          <w:lang w:eastAsia="en-AU"/>
        </w:rPr>
        <w:drawing>
          <wp:inline distT="0" distB="0" distL="0" distR="0">
            <wp:extent cx="5276850" cy="3457575"/>
            <wp:effectExtent l="19050" t="0" r="0" b="0"/>
            <wp:docPr id="31" name="Picture 31"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3457575"/>
                    </a:xfrm>
                    <a:prstGeom prst="rect">
                      <a:avLst/>
                    </a:prstGeom>
                    <a:noFill/>
                    <a:ln>
                      <a:noFill/>
                    </a:ln>
                  </pic:spPr>
                </pic:pic>
              </a:graphicData>
            </a:graphic>
          </wp:inline>
        </w:drawing>
      </w:r>
    </w:p>
    <w:p w:rsidR="003B4482" w:rsidRDefault="003B4482" w:rsidP="003B4482">
      <w:pPr>
        <w:jc w:val="both"/>
      </w:pPr>
      <w:r w:rsidRPr="00AC653F">
        <w:rPr>
          <w:rStyle w:val="Heading6Char"/>
          <w:rFonts w:eastAsia="Cambria"/>
        </w:rPr>
        <w:t>VEM inter-patient variability:</w:t>
      </w:r>
      <w:r w:rsidR="00AC653F">
        <w:t xml:space="preserve"> </w:t>
      </w:r>
      <w:r>
        <w:t>VEM exhibited high inter-patient variability of the individual values of AUC and C</w:t>
      </w:r>
      <w:r>
        <w:rPr>
          <w:vertAlign w:val="subscript"/>
        </w:rPr>
        <w:t>max</w:t>
      </w:r>
      <w:r>
        <w:t xml:space="preserve"> across the four doses, 240-96</w:t>
      </w:r>
      <w:r w:rsidRPr="003B4482">
        <w:t>0 mg</w:t>
      </w:r>
      <w:r>
        <w:t xml:space="preserve"> evaluated in NP25163. This finding was consistent across other studies in patients who received 96</w:t>
      </w:r>
      <w:r w:rsidRPr="003B4482">
        <w:t>0 mg</w:t>
      </w:r>
      <w:r>
        <w:t xml:space="preserve"> for the parameters of AUC, C</w:t>
      </w:r>
      <w:r>
        <w:rPr>
          <w:vertAlign w:val="subscript"/>
        </w:rPr>
        <w:t>max</w:t>
      </w:r>
      <w:r>
        <w:t xml:space="preserve">, accumulation, trough and </w:t>
      </w:r>
      <w:r w:rsidR="00D73147" w:rsidRPr="00D73147">
        <w:t>post dose</w:t>
      </w:r>
      <w:r>
        <w:t xml:space="preserve"> as </w:t>
      </w:r>
      <w:r w:rsidRPr="003A6B67">
        <w:t xml:space="preserve">indicated in Table </w:t>
      </w:r>
      <w:r w:rsidR="003A6B67" w:rsidRPr="003A6B67">
        <w:t>14</w:t>
      </w:r>
      <w:r w:rsidRPr="003A6B67">
        <w:t>.</w:t>
      </w:r>
      <w:r>
        <w:t xml:space="preserve"> </w:t>
      </w:r>
    </w:p>
    <w:p w:rsidR="003A6B67" w:rsidRDefault="003A6B67" w:rsidP="003A6B67">
      <w:pPr>
        <w:pStyle w:val="FigureTitle"/>
      </w:pPr>
      <w:r>
        <w:t>Table 14.</w:t>
      </w:r>
    </w:p>
    <w:p w:rsidR="003A6B67" w:rsidRDefault="00F016D0" w:rsidP="003A6B67">
      <w:pPr>
        <w:tabs>
          <w:tab w:val="left" w:pos="0"/>
        </w:tabs>
      </w:pPr>
      <w:r>
        <w:rPr>
          <w:noProof/>
          <w:lang w:eastAsia="zh-TW"/>
        </w:rPr>
        <w:pict>
          <v:shape id="Text Box 32" o:spid="_x0000_s1047" type="#_x0000_t202" style="position:absolute;margin-left:10.1pt;margin-top:1.7pt;width:68.25pt;height:1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ZYhQ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" stroked="f">
            <v:textbox>
              <w:txbxContent>
                <w:p w:rsidR="00A408DA" w:rsidRDefault="00A408DA"/>
              </w:txbxContent>
            </v:textbox>
          </v:shape>
        </w:pict>
      </w:r>
      <w:r w:rsidR="005B75BE">
        <w:rPr>
          <w:noProof/>
          <w:lang w:eastAsia="en-AU"/>
        </w:rPr>
        <w:drawing>
          <wp:inline distT="0" distB="0" distL="0" distR="0">
            <wp:extent cx="5267325" cy="1962150"/>
            <wp:effectExtent l="19050" t="0" r="9525" b="0"/>
            <wp:docPr id="32" name="Picture 32" descr="Tab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1962150"/>
                    </a:xfrm>
                    <a:prstGeom prst="rect">
                      <a:avLst/>
                    </a:prstGeom>
                    <a:noFill/>
                    <a:ln>
                      <a:noFill/>
                    </a:ln>
                  </pic:spPr>
                </pic:pic>
              </a:graphicData>
            </a:graphic>
          </wp:inline>
        </w:drawing>
      </w:r>
    </w:p>
    <w:p w:rsidR="003B4482" w:rsidRDefault="003B4482" w:rsidP="003B4482">
      <w:pPr>
        <w:jc w:val="both"/>
      </w:pPr>
      <w:r>
        <w:t xml:space="preserve">Across </w:t>
      </w:r>
      <w:r w:rsidR="00AC653F">
        <w:t>S</w:t>
      </w:r>
      <w:r>
        <w:t>tudies NP25163, NP22657 and NP622676, the inter-patient variability for both AUC and C</w:t>
      </w:r>
      <w:r>
        <w:rPr>
          <w:vertAlign w:val="subscript"/>
        </w:rPr>
        <w:t>max</w:t>
      </w:r>
      <w:r>
        <w:t xml:space="preserve"> were generally </w:t>
      </w:r>
      <w:r w:rsidR="00AC653F">
        <w:t>higher after the first dose on D</w:t>
      </w:r>
      <w:r>
        <w:t xml:space="preserve">ay 1 with a range of 57.6% to 69.9% than after multiple doses on </w:t>
      </w:r>
      <w:r w:rsidR="00AC653F">
        <w:t>D</w:t>
      </w:r>
      <w:r>
        <w:t xml:space="preserve">ay 15 </w:t>
      </w:r>
      <w:r w:rsidR="00AC653F">
        <w:t>(</w:t>
      </w:r>
      <w:r>
        <w:t>range 27.9% - 38.4%</w:t>
      </w:r>
      <w:r w:rsidR="00AC653F">
        <w:t>)</w:t>
      </w:r>
      <w:r>
        <w:t>.</w:t>
      </w:r>
      <w:r w:rsidRPr="003B4482">
        <w:rPr>
          <w:i/>
        </w:rPr>
        <w:t xml:space="preserve"> </w:t>
      </w:r>
      <w:r>
        <w:t>The reasons for these differences are not known.</w:t>
      </w:r>
      <w:r w:rsidRPr="003B4482">
        <w:rPr>
          <w:i/>
        </w:rPr>
        <w:t xml:space="preserve"> </w:t>
      </w:r>
    </w:p>
    <w:p w:rsidR="003B4482" w:rsidRDefault="003B4482" w:rsidP="003B4482">
      <w:pPr>
        <w:jc w:val="both"/>
      </w:pPr>
      <w:r w:rsidRPr="00AC653F">
        <w:rPr>
          <w:rStyle w:val="Heading6Char"/>
          <w:rFonts w:eastAsia="Cambria"/>
        </w:rPr>
        <w:t>Excretion:</w:t>
      </w:r>
      <w:r w:rsidR="00AC653F">
        <w:rPr>
          <w:rStyle w:val="Heading6Char"/>
          <w:rFonts w:eastAsia="Cambria"/>
        </w:rPr>
        <w:t xml:space="preserve"> </w:t>
      </w:r>
      <w:r w:rsidR="00AC653F">
        <w:t>The mass balance S</w:t>
      </w:r>
      <w:r>
        <w:t xml:space="preserve">tudy </w:t>
      </w:r>
      <w:r w:rsidR="006A1469">
        <w:t>N</w:t>
      </w:r>
      <w:r>
        <w:t>P25158 provided a reliable assessment of the rates and routes of VEM metabolism and excretion.</w:t>
      </w:r>
      <w:r w:rsidRPr="003B4482">
        <w:rPr>
          <w:i/>
        </w:rPr>
        <w:t xml:space="preserve"> </w:t>
      </w:r>
      <w:r>
        <w:t>The majority of parent molecule and metabolites were shown to be eliminated in the faeces for an average of 94% of the input radioactivity.</w:t>
      </w:r>
      <w:r w:rsidRPr="003B4482">
        <w:rPr>
          <w:i/>
        </w:rPr>
        <w:t xml:space="preserve"> </w:t>
      </w:r>
      <w:r>
        <w:t>The majority of this was associated with the parent molecule.</w:t>
      </w:r>
      <w:r w:rsidRPr="003B4482">
        <w:rPr>
          <w:i/>
        </w:rPr>
        <w:t xml:space="preserve"> </w:t>
      </w:r>
      <w:r>
        <w:t>Approximately half of the input radioactive dose was excreted as parent drug within the first 96 h.</w:t>
      </w:r>
      <w:r w:rsidRPr="003B4482">
        <w:rPr>
          <w:i/>
        </w:rPr>
        <w:t xml:space="preserve"> </w:t>
      </w:r>
      <w:r>
        <w:t xml:space="preserve">Renal </w:t>
      </w:r>
      <w:r>
        <w:lastRenderedPageBreak/>
        <w:t xml:space="preserve">elimination account for &lt;1% of the input radioactive dose with a mixture of lower levels of parent molecule and </w:t>
      </w:r>
      <w:r w:rsidR="00AC653F">
        <w:t xml:space="preserve">the </w:t>
      </w:r>
      <w:r>
        <w:t>two previously characterised metabolites.</w:t>
      </w:r>
      <w:r w:rsidRPr="003B4482">
        <w:rPr>
          <w:i/>
        </w:rPr>
        <w:t xml:space="preserve"> </w:t>
      </w:r>
    </w:p>
    <w:p w:rsidR="003B4482" w:rsidRDefault="003B4482" w:rsidP="003B4482">
      <w:pPr>
        <w:jc w:val="both"/>
      </w:pPr>
      <w:r>
        <w:t>These clinical results are consistent with the nonclinical PK studies in rats, which showed that the drug derived radioactivity parent but all metabolites was primarily recovered in faeces and the majority of the radioactivity led to unchanged parent drug.</w:t>
      </w:r>
      <w:r w:rsidRPr="003B4482">
        <w:rPr>
          <w:i/>
        </w:rPr>
        <w:t xml:space="preserve"> </w:t>
      </w:r>
      <w:r>
        <w:t xml:space="preserve">Furthermore the mass spectrometry indicated that the metabolites detected in this clinical study are the same as those previously identified </w:t>
      </w:r>
      <w:r w:rsidRPr="003B4482">
        <w:rPr>
          <w:i/>
        </w:rPr>
        <w:t>in vitro</w:t>
      </w:r>
      <w:r>
        <w:t xml:space="preserve"> in rats and human hepatocytes and </w:t>
      </w:r>
      <w:r w:rsidRPr="00AC653F">
        <w:rPr>
          <w:i/>
        </w:rPr>
        <w:t>in</w:t>
      </w:r>
      <w:r w:rsidR="00AC653F">
        <w:rPr>
          <w:i/>
        </w:rPr>
        <w:t xml:space="preserve"> </w:t>
      </w:r>
      <w:r w:rsidRPr="00AC653F">
        <w:rPr>
          <w:i/>
        </w:rPr>
        <w:t>vivo</w:t>
      </w:r>
      <w:r>
        <w:t xml:space="preserve"> studies in rats and dogs.</w:t>
      </w:r>
      <w:r w:rsidRPr="003B4482">
        <w:rPr>
          <w:i/>
        </w:rPr>
        <w:t xml:space="preserve"> </w:t>
      </w:r>
    </w:p>
    <w:p w:rsidR="003B4482" w:rsidRDefault="003B4482" w:rsidP="003B4482">
      <w:pPr>
        <w:jc w:val="both"/>
      </w:pPr>
      <w:r w:rsidRPr="00AC653F">
        <w:rPr>
          <w:rStyle w:val="Heading6Char"/>
          <w:rFonts w:eastAsia="Cambria"/>
        </w:rPr>
        <w:t>Absolute bioavailability:</w:t>
      </w:r>
      <w:r w:rsidR="00AC653F">
        <w:rPr>
          <w:rStyle w:val="Heading6Char"/>
          <w:rFonts w:eastAsia="Cambria"/>
        </w:rPr>
        <w:t xml:space="preserve"> </w:t>
      </w:r>
      <w:r>
        <w:t xml:space="preserve">It was not possible to develop studies to assess absolute bioavailability as VEM is a drug with low solubility and permeability making it not possible to formulate standard doses of </w:t>
      </w:r>
      <w:r w:rsidR="00AC653F">
        <w:t>IV</w:t>
      </w:r>
      <w:r>
        <w:t xml:space="preserve"> formulation.</w:t>
      </w:r>
    </w:p>
    <w:p w:rsidR="003B4482" w:rsidRDefault="003B4482" w:rsidP="00AC653F">
      <w:pPr>
        <w:pStyle w:val="Heading4"/>
      </w:pPr>
      <w:r>
        <w:t>Population pharmacokinetics analyses</w:t>
      </w:r>
    </w:p>
    <w:p w:rsidR="003A6B67" w:rsidRDefault="003B4482" w:rsidP="003B4482">
      <w:pPr>
        <w:jc w:val="both"/>
      </w:pPr>
      <w:r>
        <w:t xml:space="preserve">Plasma concentrations of VEM collected in the </w:t>
      </w:r>
      <w:r w:rsidRPr="003B4482">
        <w:t>Phase I</w:t>
      </w:r>
      <w:r>
        <w:t xml:space="preserve">, PK study NP25163, </w:t>
      </w:r>
      <w:r w:rsidRPr="003B4482">
        <w:t>Phase I</w:t>
      </w:r>
      <w:r>
        <w:t xml:space="preserve">I NP22657 and </w:t>
      </w:r>
      <w:r w:rsidRPr="003B4482">
        <w:t>Phase I</w:t>
      </w:r>
      <w:r>
        <w:t>II N025026 studies were pooled for the population PK analyses.</w:t>
      </w:r>
      <w:r w:rsidRPr="003B4482">
        <w:rPr>
          <w:i/>
        </w:rPr>
        <w:t xml:space="preserve"> </w:t>
      </w:r>
      <w:r>
        <w:t>The pooled data set consist of 5411 plasma concentrations for 458 patients with BRAF</w:t>
      </w:r>
      <w:r>
        <w:rPr>
          <w:vertAlign w:val="superscript"/>
        </w:rPr>
        <w:t>V600</w:t>
      </w:r>
      <w:r>
        <w:t xml:space="preserve"> mutation positive metastatic melanoma.</w:t>
      </w:r>
      <w:r w:rsidRPr="003B4482">
        <w:rPr>
          <w:i/>
        </w:rPr>
        <w:t xml:space="preserve"> </w:t>
      </w:r>
      <w:r>
        <w:t xml:space="preserve">A summary of the number of plasma concentrations in patients included for each </w:t>
      </w:r>
      <w:r w:rsidRPr="003A6B67">
        <w:t xml:space="preserve">study is provided in Table </w:t>
      </w:r>
      <w:r w:rsidR="003A6B67" w:rsidRPr="003A6B67">
        <w:t>15</w:t>
      </w:r>
      <w:r w:rsidRPr="003A6B67">
        <w:t>.</w:t>
      </w:r>
    </w:p>
    <w:p w:rsidR="003A6B67" w:rsidRDefault="003A6B67" w:rsidP="003A6B67">
      <w:pPr>
        <w:pStyle w:val="FigureTitle"/>
      </w:pPr>
      <w:r>
        <w:t>Table 15.</w:t>
      </w:r>
    </w:p>
    <w:p w:rsidR="003B4482" w:rsidRDefault="00F016D0" w:rsidP="003A6B67">
      <w:pPr>
        <w:jc w:val="both"/>
        <w:rPr>
          <w:i/>
        </w:rPr>
      </w:pPr>
      <w:r w:rsidRPr="00F016D0">
        <w:rPr>
          <w:noProof/>
          <w:lang w:eastAsia="zh-TW"/>
        </w:rPr>
        <w:pict>
          <v:shape id="Text Box 33" o:spid="_x0000_s1048" type="#_x0000_t202" style="position:absolute;left:0;text-align:left;margin-left:7pt;margin-top:1.8pt;width:60.7pt;height:1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BA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" stroked="f">
            <v:textbox>
              <w:txbxContent>
                <w:p w:rsidR="00A408DA" w:rsidRDefault="00A408DA"/>
              </w:txbxContent>
            </v:textbox>
          </v:shape>
        </w:pict>
      </w:r>
      <w:r w:rsidR="005B75BE">
        <w:rPr>
          <w:noProof/>
          <w:lang w:eastAsia="en-AU"/>
        </w:rPr>
        <w:drawing>
          <wp:inline distT="0" distB="0" distL="0" distR="0">
            <wp:extent cx="5276850" cy="1238250"/>
            <wp:effectExtent l="19050" t="0" r="0" b="0"/>
            <wp:docPr id="33" name="Picture 33" descr="Tab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1238250"/>
                    </a:xfrm>
                    <a:prstGeom prst="rect">
                      <a:avLst/>
                    </a:prstGeom>
                    <a:noFill/>
                    <a:ln>
                      <a:noFill/>
                    </a:ln>
                  </pic:spPr>
                </pic:pic>
              </a:graphicData>
            </a:graphic>
          </wp:inline>
        </w:drawing>
      </w:r>
      <w:r w:rsidR="003B4482" w:rsidRPr="003B4482">
        <w:rPr>
          <w:i/>
        </w:rPr>
        <w:t xml:space="preserve"> </w:t>
      </w:r>
    </w:p>
    <w:p w:rsidR="003B4482" w:rsidRDefault="003B4482" w:rsidP="003B4482">
      <w:pPr>
        <w:jc w:val="both"/>
      </w:pPr>
      <w:r>
        <w:t>Models with one and two open-compartments were tested with or without lag time with first order absorption or with sequential zero order and first order absorption.</w:t>
      </w:r>
      <w:r w:rsidRPr="003B4482">
        <w:rPr>
          <w:i/>
        </w:rPr>
        <w:t xml:space="preserve"> </w:t>
      </w:r>
      <w:r>
        <w:t>The compartmental models were parameterized in terms of clearance and volume of distribution. Data analyses were performed using non-linear mixed effect modelling as implemented in the software NONMEN version 7.1.0.</w:t>
      </w:r>
      <w:r w:rsidRPr="003B4482">
        <w:rPr>
          <w:i/>
        </w:rPr>
        <w:t xml:space="preserve"> </w:t>
      </w:r>
      <w:r>
        <w:t>Co-variates were selected based on their clinical relevance and potential effects on the PK parameters.</w:t>
      </w:r>
      <w:r w:rsidRPr="003B4482">
        <w:rPr>
          <w:i/>
        </w:rPr>
        <w:t xml:space="preserve"> </w:t>
      </w:r>
      <w:r>
        <w:t>The influence of the following baseline co-variates on the PK parameters was investigated:</w:t>
      </w:r>
    </w:p>
    <w:p w:rsidR="003B4482" w:rsidRDefault="003B4482" w:rsidP="00AC653F">
      <w:pPr>
        <w:pStyle w:val="ListBullet"/>
      </w:pPr>
      <w:r>
        <w:t>Demographic co-variates including age, BMI, body weight, ethnicity, gender, height and race.</w:t>
      </w:r>
    </w:p>
    <w:p w:rsidR="003B4482" w:rsidRDefault="003B4482" w:rsidP="00AC653F">
      <w:pPr>
        <w:pStyle w:val="ListBullet"/>
      </w:pPr>
      <w:r>
        <w:t>Laboratory co-variates including ALT, ALP, AST, bilirubin and creatinine clearance.</w:t>
      </w:r>
    </w:p>
    <w:p w:rsidR="003B4482" w:rsidRDefault="003B4482" w:rsidP="00AC653F">
      <w:pPr>
        <w:pStyle w:val="ListBullet"/>
      </w:pPr>
      <w:r>
        <w:t>Liver metastases status as presence or absence.</w:t>
      </w:r>
    </w:p>
    <w:p w:rsidR="003B4482" w:rsidRDefault="003B4482" w:rsidP="00AC653F">
      <w:r w:rsidRPr="00AC653F">
        <w:rPr>
          <w:rStyle w:val="Heading6Char"/>
          <w:rFonts w:eastAsia="Cambria"/>
        </w:rPr>
        <w:t>Results</w:t>
      </w:r>
      <w:r>
        <w:t>:</w:t>
      </w:r>
      <w:r w:rsidR="00AC653F">
        <w:t xml:space="preserve"> </w:t>
      </w:r>
      <w:r>
        <w:t>The basic structural PK model is a one-compartment open model with first order absorption and first order elimination.</w:t>
      </w:r>
      <w:r w:rsidRPr="00AC653F">
        <w:rPr>
          <w:i/>
        </w:rPr>
        <w:t xml:space="preserve"> </w:t>
      </w:r>
      <w:r>
        <w:t>The PK model parameters estimated are CL-F, V-F, absorption constant (KA) and relative bioavailability (F1).</w:t>
      </w:r>
      <w:r w:rsidRPr="00AC653F">
        <w:rPr>
          <w:i/>
        </w:rPr>
        <w:t xml:space="preserve"> </w:t>
      </w:r>
      <w:r>
        <w:t>Between-patient variability is incorporated for parameters CL-F, V-F and KA in the basic PK models.</w:t>
      </w:r>
      <w:r w:rsidRPr="00AC653F">
        <w:rPr>
          <w:i/>
        </w:rPr>
        <w:t xml:space="preserve">   </w:t>
      </w:r>
    </w:p>
    <w:p w:rsidR="003B4482" w:rsidRDefault="003B4482" w:rsidP="003B4482">
      <w:pPr>
        <w:jc w:val="both"/>
        <w:rPr>
          <w:i/>
        </w:rPr>
      </w:pPr>
      <w:r>
        <w:t>Only t</w:t>
      </w:r>
      <w:r w:rsidR="003A6B67">
        <w:t>he co-</w:t>
      </w:r>
      <w:r>
        <w:t>variate gender was found to statistically influence the CL-F and the apparent volume of distribution with a 17% greater clearance and a 48% greater volume of distribution for male patients</w:t>
      </w:r>
      <w:r w:rsidRPr="002B160C">
        <w:t>.</w:t>
      </w:r>
      <w:r w:rsidRPr="002B160C">
        <w:rPr>
          <w:i/>
        </w:rPr>
        <w:t xml:space="preserve"> </w:t>
      </w:r>
      <w:r w:rsidRPr="002B160C">
        <w:t xml:space="preserve">All parameter estimates for the final PK model are indicated in Table </w:t>
      </w:r>
      <w:r w:rsidR="003A6B67" w:rsidRPr="002B160C">
        <w:t>16</w:t>
      </w:r>
      <w:r w:rsidRPr="002B160C">
        <w:t>.</w:t>
      </w:r>
      <w:r w:rsidRPr="002B160C">
        <w:rPr>
          <w:i/>
        </w:rPr>
        <w:t xml:space="preserve"> </w:t>
      </w:r>
      <w:r w:rsidRPr="002B160C">
        <w:t>In addition the graphic comparisons of the individual estimated CL-F and V-F by gender are provided in Figure 1</w:t>
      </w:r>
      <w:r w:rsidR="003A6B67" w:rsidRPr="002B160C">
        <w:t>7</w:t>
      </w:r>
      <w:r w:rsidRPr="002B160C">
        <w:t>.</w:t>
      </w:r>
      <w:r w:rsidRPr="003B4482">
        <w:rPr>
          <w:i/>
        </w:rPr>
        <w:t xml:space="preserve"> </w:t>
      </w:r>
    </w:p>
    <w:p w:rsidR="003A6B67" w:rsidRDefault="003A6B67" w:rsidP="003A6B67">
      <w:pPr>
        <w:pStyle w:val="FigureTitle"/>
      </w:pPr>
      <w:r>
        <w:lastRenderedPageBreak/>
        <w:t xml:space="preserve">Table 16. </w:t>
      </w:r>
    </w:p>
    <w:p w:rsidR="003A6B67" w:rsidRDefault="00F016D0" w:rsidP="003A6B67">
      <w:pPr>
        <w:tabs>
          <w:tab w:val="left" w:pos="0"/>
        </w:tabs>
      </w:pPr>
      <w:r>
        <w:rPr>
          <w:noProof/>
          <w:lang w:eastAsia="zh-TW"/>
        </w:rPr>
        <w:pict>
          <v:shape id="Text Box 34" o:spid="_x0000_s1049" type="#_x0000_t202" style="position:absolute;margin-left:7.6pt;margin-top:0;width:58.85pt;height:1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" stroked="f">
            <v:textbox>
              <w:txbxContent>
                <w:p w:rsidR="00A408DA" w:rsidRDefault="00A408DA"/>
              </w:txbxContent>
            </v:textbox>
          </v:shape>
        </w:pict>
      </w:r>
      <w:r w:rsidR="005B75BE">
        <w:rPr>
          <w:noProof/>
          <w:lang w:eastAsia="en-AU"/>
        </w:rPr>
        <w:drawing>
          <wp:inline distT="0" distB="0" distL="0" distR="0">
            <wp:extent cx="5219700" cy="4000500"/>
            <wp:effectExtent l="19050" t="0" r="0" b="0"/>
            <wp:docPr id="34" name="Picture 34" descr="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814"/>
                    <a:stretch>
                      <a:fillRect/>
                    </a:stretch>
                  </pic:blipFill>
                  <pic:spPr bwMode="auto">
                    <a:xfrm>
                      <a:off x="0" y="0"/>
                      <a:ext cx="5219700" cy="4000500"/>
                    </a:xfrm>
                    <a:prstGeom prst="rect">
                      <a:avLst/>
                    </a:prstGeom>
                    <a:noFill/>
                    <a:ln>
                      <a:noFill/>
                    </a:ln>
                  </pic:spPr>
                </pic:pic>
              </a:graphicData>
            </a:graphic>
          </wp:inline>
        </w:drawing>
      </w:r>
    </w:p>
    <w:p w:rsidR="003A6B67" w:rsidRDefault="003A6B67" w:rsidP="003A6B67">
      <w:pPr>
        <w:pStyle w:val="FigureTitle"/>
      </w:pPr>
      <w:r>
        <w:t xml:space="preserve">Figure 17. </w:t>
      </w:r>
      <w:r w:rsidR="00F016D0">
        <w:rPr>
          <w:noProof/>
          <w:lang w:eastAsia="zh-TW"/>
        </w:rPr>
        <w:pict>
          <v:shape id="Text Box 35" o:spid="_x0000_s1050" type="#_x0000_t202" style="position:absolute;margin-left:11.35pt;margin-top:13.4pt;width:69.5pt;height:3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qh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" stroked="f">
            <v:textbox>
              <w:txbxContent>
                <w:p w:rsidR="00A408DA" w:rsidRDefault="00A408DA"/>
              </w:txbxContent>
            </v:textbox>
          </v:shape>
        </w:pict>
      </w:r>
    </w:p>
    <w:p w:rsidR="003A6B67" w:rsidRDefault="005B75BE" w:rsidP="003A6B67">
      <w:pPr>
        <w:tabs>
          <w:tab w:val="left" w:pos="0"/>
        </w:tabs>
      </w:pPr>
      <w:r>
        <w:rPr>
          <w:noProof/>
          <w:lang w:eastAsia="en-AU"/>
        </w:rPr>
        <w:drawing>
          <wp:inline distT="0" distB="0" distL="0" distR="0">
            <wp:extent cx="5276850" cy="3838575"/>
            <wp:effectExtent l="19050" t="0" r="0" b="0"/>
            <wp:docPr id="35" name="Picture 35" descr="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3838575"/>
                    </a:xfrm>
                    <a:prstGeom prst="rect">
                      <a:avLst/>
                    </a:prstGeom>
                    <a:noFill/>
                    <a:ln>
                      <a:noFill/>
                    </a:ln>
                  </pic:spPr>
                </pic:pic>
              </a:graphicData>
            </a:graphic>
          </wp:inline>
        </w:drawing>
      </w:r>
    </w:p>
    <w:p w:rsidR="003A6B67" w:rsidRDefault="003A6B67" w:rsidP="003A6B67">
      <w:pPr>
        <w:tabs>
          <w:tab w:val="left" w:pos="0"/>
        </w:tabs>
      </w:pPr>
    </w:p>
    <w:p w:rsidR="003B4482" w:rsidRPr="003A6B67" w:rsidRDefault="003B4482" w:rsidP="005C7653">
      <w:pPr>
        <w:numPr>
          <w:ilvl w:val="0"/>
          <w:numId w:val="17"/>
        </w:numPr>
        <w:spacing w:after="0" w:line="240" w:lineRule="auto"/>
        <w:jc w:val="both"/>
      </w:pPr>
      <w:r>
        <w:t xml:space="preserve">The population half-life was estimated to be 2.15 days (51.6 </w:t>
      </w:r>
      <w:r w:rsidR="00AC653F">
        <w:t>h</w:t>
      </w:r>
      <w:r>
        <w:t>) and the accumulation ratio for a twice daily regimen was estimated to be 6.72 for the population.</w:t>
      </w:r>
      <w:r w:rsidRPr="003B4482">
        <w:rPr>
          <w:i/>
        </w:rPr>
        <w:t xml:space="preserve"> </w:t>
      </w:r>
      <w:r>
        <w:t xml:space="preserve">The primary individual PK parameters estimated for the 458 patients included in the population PK analysis are also used to derive individual </w:t>
      </w:r>
      <w:r w:rsidRPr="003A6B67">
        <w:t>secondary PK parameters half-life, accumulation ratio, steady state AUC, steady state C</w:t>
      </w:r>
      <w:r w:rsidRPr="003A6B67">
        <w:rPr>
          <w:vertAlign w:val="subscript"/>
        </w:rPr>
        <w:t>max</w:t>
      </w:r>
      <w:r w:rsidRPr="003A6B67">
        <w:t xml:space="preserve"> and steady state C</w:t>
      </w:r>
      <w:r w:rsidRPr="003A6B67">
        <w:rPr>
          <w:vertAlign w:val="subscript"/>
        </w:rPr>
        <w:t>min</w:t>
      </w:r>
      <w:r w:rsidRPr="003A6B67">
        <w:t>.</w:t>
      </w:r>
      <w:r w:rsidRPr="003A6B67">
        <w:rPr>
          <w:i/>
        </w:rPr>
        <w:t xml:space="preserve"> </w:t>
      </w:r>
      <w:r w:rsidRPr="003A6B67">
        <w:t xml:space="preserve">Summary statistics of the individual secondary PK parameters derived are summarised in Table </w:t>
      </w:r>
      <w:r w:rsidR="003A6B67" w:rsidRPr="003A6B67">
        <w:t>17</w:t>
      </w:r>
      <w:r w:rsidRPr="003A6B67">
        <w:t>.</w:t>
      </w:r>
      <w:r w:rsidRPr="003A6B67">
        <w:rPr>
          <w:i/>
        </w:rPr>
        <w:t xml:space="preserve"> </w:t>
      </w:r>
      <w:r w:rsidRPr="003A6B67">
        <w:t>PK parameter relationships between gender and steady state AUC, C</w:t>
      </w:r>
      <w:r w:rsidRPr="003A6B67">
        <w:rPr>
          <w:vertAlign w:val="subscript"/>
        </w:rPr>
        <w:t>max</w:t>
      </w:r>
      <w:r w:rsidRPr="003A6B67">
        <w:t xml:space="preserve"> and C</w:t>
      </w:r>
      <w:r w:rsidRPr="003A6B67">
        <w:rPr>
          <w:vertAlign w:val="subscript"/>
        </w:rPr>
        <w:t>min</w:t>
      </w:r>
      <w:r w:rsidRPr="003A6B67">
        <w:t xml:space="preserve"> for the 960 mg regimen are shown in Figure 1</w:t>
      </w:r>
      <w:r w:rsidR="003A6B67" w:rsidRPr="003A6B67">
        <w:t>8</w:t>
      </w:r>
      <w:r w:rsidRPr="003A6B67">
        <w:t>.</w:t>
      </w:r>
    </w:p>
    <w:p w:rsidR="003A6B67" w:rsidRDefault="003A6B67" w:rsidP="003A6B67">
      <w:pPr>
        <w:pStyle w:val="FigureTitle"/>
        <w:spacing w:before="240"/>
      </w:pPr>
      <w:r>
        <w:t xml:space="preserve">Table 17. </w:t>
      </w:r>
    </w:p>
    <w:p w:rsidR="003A6B67" w:rsidRDefault="00F016D0" w:rsidP="003A6B67">
      <w:pPr>
        <w:tabs>
          <w:tab w:val="left" w:pos="0"/>
        </w:tabs>
      </w:pPr>
      <w:r>
        <w:rPr>
          <w:noProof/>
          <w:lang w:eastAsia="zh-TW"/>
        </w:rPr>
        <w:pict>
          <v:shape id="Text Box 37" o:spid="_x0000_s1051" type="#_x0000_t202" style="position:absolute;margin-left:10.75pt;margin-top:-.2pt;width:63.85pt;height:2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" stroked="f">
            <v:textbox>
              <w:txbxContent>
                <w:p w:rsidR="00A408DA" w:rsidRDefault="00A408DA"/>
              </w:txbxContent>
            </v:textbox>
          </v:shape>
        </w:pict>
      </w:r>
      <w:r w:rsidR="005B75BE">
        <w:rPr>
          <w:noProof/>
          <w:lang w:eastAsia="en-AU"/>
        </w:rPr>
        <w:drawing>
          <wp:inline distT="0" distB="0" distL="0" distR="0">
            <wp:extent cx="5276850" cy="1866900"/>
            <wp:effectExtent l="19050" t="0" r="0" b="0"/>
            <wp:docPr id="36" name="Picture 36" descr="Tab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1866900"/>
                    </a:xfrm>
                    <a:prstGeom prst="rect">
                      <a:avLst/>
                    </a:prstGeom>
                    <a:noFill/>
                    <a:ln>
                      <a:noFill/>
                    </a:ln>
                  </pic:spPr>
                </pic:pic>
              </a:graphicData>
            </a:graphic>
          </wp:inline>
        </w:drawing>
      </w:r>
    </w:p>
    <w:p w:rsidR="003A6B67" w:rsidRDefault="00F016D0" w:rsidP="003A6B67">
      <w:pPr>
        <w:pStyle w:val="FigureTitle"/>
      </w:pPr>
      <w:r>
        <w:rPr>
          <w:noProof/>
          <w:lang w:eastAsia="zh-TW"/>
        </w:rPr>
        <w:pict>
          <v:shape id="Text Box 36" o:spid="_x0000_s1052" type="#_x0000_t202" style="position:absolute;margin-left:36.45pt;margin-top:18.25pt;width:68.85pt;height:2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" stroked="f">
            <v:textbox>
              <w:txbxContent>
                <w:p w:rsidR="00A408DA" w:rsidRDefault="00A408DA"/>
              </w:txbxContent>
            </v:textbox>
          </v:shape>
        </w:pict>
      </w:r>
      <w:r w:rsidR="003A6B67">
        <w:t>Figure 18.</w:t>
      </w:r>
    </w:p>
    <w:p w:rsidR="003A6B67" w:rsidRDefault="005B75BE" w:rsidP="003A6B67">
      <w:pPr>
        <w:tabs>
          <w:tab w:val="left" w:pos="0"/>
        </w:tabs>
        <w:ind w:left="780"/>
      </w:pPr>
      <w:r>
        <w:rPr>
          <w:noProof/>
          <w:lang w:eastAsia="en-AU"/>
        </w:rPr>
        <w:drawing>
          <wp:inline distT="0" distB="0" distL="0" distR="0">
            <wp:extent cx="4619625" cy="3752850"/>
            <wp:effectExtent l="19050" t="0" r="9525" b="0"/>
            <wp:docPr id="37" name="Picture 37" descr="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89" r="6781" b="2892"/>
                    <a:stretch>
                      <a:fillRect/>
                    </a:stretch>
                  </pic:blipFill>
                  <pic:spPr bwMode="auto">
                    <a:xfrm>
                      <a:off x="0" y="0"/>
                      <a:ext cx="4619625" cy="3752850"/>
                    </a:xfrm>
                    <a:prstGeom prst="rect">
                      <a:avLst/>
                    </a:prstGeom>
                    <a:noFill/>
                    <a:ln>
                      <a:noFill/>
                    </a:ln>
                  </pic:spPr>
                </pic:pic>
              </a:graphicData>
            </a:graphic>
          </wp:inline>
        </w:drawing>
      </w:r>
    </w:p>
    <w:p w:rsidR="003A6B67" w:rsidRDefault="003A6B67" w:rsidP="003A6B67">
      <w:pPr>
        <w:spacing w:after="0" w:line="240" w:lineRule="auto"/>
        <w:jc w:val="both"/>
      </w:pPr>
    </w:p>
    <w:p w:rsidR="003B4482" w:rsidRDefault="003B4482" w:rsidP="003B4482">
      <w:pPr>
        <w:jc w:val="both"/>
      </w:pPr>
    </w:p>
    <w:p w:rsidR="003B4482" w:rsidRDefault="003B4482" w:rsidP="00AC653F">
      <w:pPr>
        <w:pStyle w:val="Heading5"/>
      </w:pPr>
      <w:r>
        <w:lastRenderedPageBreak/>
        <w:t>Effective intrinsic factors on the pharmacokinetics of VEM</w:t>
      </w:r>
      <w:r w:rsidRPr="003B4482">
        <w:t xml:space="preserve"> </w:t>
      </w:r>
    </w:p>
    <w:p w:rsidR="003B4482" w:rsidRDefault="003B4482" w:rsidP="00AC653F">
      <w:pPr>
        <w:pStyle w:val="Heading6"/>
      </w:pPr>
      <w:r>
        <w:t>Effective gender, body weight, BMI and age:</w:t>
      </w:r>
    </w:p>
    <w:p w:rsidR="003B4482" w:rsidRDefault="003B4482" w:rsidP="003B4482">
      <w:pPr>
        <w:jc w:val="both"/>
        <w:rPr>
          <w:i/>
        </w:rPr>
      </w:pPr>
      <w:r>
        <w:t xml:space="preserve">Assessment of the above parameters on VEM exposure was conducted in </w:t>
      </w:r>
      <w:r w:rsidR="00AC653F">
        <w:t>S</w:t>
      </w:r>
      <w:r>
        <w:t xml:space="preserve">tudy NP22657 </w:t>
      </w:r>
      <w:r w:rsidRPr="00AC653F">
        <w:t xml:space="preserve">using </w:t>
      </w:r>
      <w:r w:rsidR="00AC653F" w:rsidRPr="00AC653F">
        <w:t>non</w:t>
      </w:r>
      <w:r w:rsidR="00AC653F">
        <w:t xml:space="preserve"> </w:t>
      </w:r>
      <w:r w:rsidR="00AC653F" w:rsidRPr="00AC653F">
        <w:t>compartmental</w:t>
      </w:r>
      <w:r w:rsidR="00AC653F">
        <w:t xml:space="preserve"> </w:t>
      </w:r>
      <w:r w:rsidR="00AC653F" w:rsidRPr="00AC653F">
        <w:t>analysis</w:t>
      </w:r>
      <w:r w:rsidR="00AC653F">
        <w:rPr>
          <w:rStyle w:val="st1"/>
          <w:rFonts w:ascii="Arial" w:hAnsi="Arial" w:cs="Arial"/>
          <w:color w:val="222222"/>
        </w:rPr>
        <w:t xml:space="preserve"> </w:t>
      </w:r>
      <w:r w:rsidR="00AC653F" w:rsidRPr="00AC653F">
        <w:rPr>
          <w:rStyle w:val="st1"/>
          <w:rFonts w:ascii="Arial" w:hAnsi="Arial" w:cs="Arial"/>
          <w:color w:val="222222"/>
        </w:rPr>
        <w:t>(</w:t>
      </w:r>
      <w:r w:rsidRPr="00AC653F">
        <w:t>NCAs</w:t>
      </w:r>
      <w:r w:rsidR="00AC653F" w:rsidRPr="00AC653F">
        <w:t>)</w:t>
      </w:r>
      <w:r w:rsidRPr="00AC653F">
        <w:t>.</w:t>
      </w:r>
      <w:r w:rsidR="00AC653F" w:rsidRPr="00AC653F">
        <w:t xml:space="preserve"> </w:t>
      </w:r>
      <w:r w:rsidRPr="00AC653F">
        <w:t>It was found</w:t>
      </w:r>
      <w:r>
        <w:t xml:space="preserve"> that there was no clear relationship between VEM </w:t>
      </w:r>
      <w:r w:rsidRPr="00C10BC3">
        <w:t>exposure (AUC</w:t>
      </w:r>
      <w:r w:rsidRPr="00C10BC3">
        <w:rPr>
          <w:vertAlign w:val="subscript"/>
        </w:rPr>
        <w:t>0-8</w:t>
      </w:r>
      <w:r w:rsidR="00FF2684" w:rsidRPr="00C10BC3">
        <w:rPr>
          <w:vertAlign w:val="subscript"/>
        </w:rPr>
        <w:t xml:space="preserve"> h </w:t>
      </w:r>
      <w:r w:rsidRPr="00C10BC3">
        <w:t xml:space="preserve">on </w:t>
      </w:r>
      <w:r w:rsidR="00AC653F" w:rsidRPr="00C10BC3">
        <w:t>D</w:t>
      </w:r>
      <w:r w:rsidRPr="00C10BC3">
        <w:t xml:space="preserve">ay 15) either in body weight, body mass index or age, either in the overall population or the gender </w:t>
      </w:r>
      <w:r w:rsidR="0013332A" w:rsidRPr="00C10BC3">
        <w:t>sub group</w:t>
      </w:r>
      <w:r w:rsidRPr="00C10BC3">
        <w:t>s.</w:t>
      </w:r>
      <w:r w:rsidRPr="00C10BC3">
        <w:rPr>
          <w:i/>
        </w:rPr>
        <w:t xml:space="preserve"> </w:t>
      </w:r>
      <w:r w:rsidRPr="00C10BC3">
        <w:t xml:space="preserve">However mean VEM exposure was approximately 42% higher in females than males as indicated in Table </w:t>
      </w:r>
      <w:r w:rsidR="00C10BC3" w:rsidRPr="00C10BC3">
        <w:t>18 and Figure 19.</w:t>
      </w:r>
      <w:r w:rsidRPr="00C10BC3">
        <w:rPr>
          <w:i/>
        </w:rPr>
        <w:t xml:space="preserve"> </w:t>
      </w:r>
      <w:r w:rsidRPr="00C10BC3">
        <w:t>Similar results were seen for C</w:t>
      </w:r>
      <w:r w:rsidRPr="00C10BC3">
        <w:rPr>
          <w:vertAlign w:val="subscript"/>
        </w:rPr>
        <w:t>max</w:t>
      </w:r>
      <w:r w:rsidRPr="00C10BC3">
        <w:t xml:space="preserve"> on </w:t>
      </w:r>
      <w:r w:rsidR="00AC653F" w:rsidRPr="00C10BC3">
        <w:t>D</w:t>
      </w:r>
      <w:r w:rsidRPr="00C10BC3">
        <w:t>ay 15.</w:t>
      </w:r>
      <w:r w:rsidRPr="00C10BC3">
        <w:rPr>
          <w:i/>
        </w:rPr>
        <w:t xml:space="preserve"> </w:t>
      </w:r>
      <w:r w:rsidRPr="00C10BC3">
        <w:t>This difference maybe attributed in part to the differences</w:t>
      </w:r>
      <w:r>
        <w:t xml:space="preserve"> in the number of male</w:t>
      </w:r>
      <w:r w:rsidR="00D73147" w:rsidRPr="00D73147">
        <w:t xml:space="preserve"> versus </w:t>
      </w:r>
      <w:r>
        <w:t xml:space="preserve">female patients being approximately </w:t>
      </w:r>
      <w:r w:rsidR="00AC653F">
        <w:t>two thirds</w:t>
      </w:r>
      <w:r>
        <w:t xml:space="preserve"> female.</w:t>
      </w:r>
      <w:r w:rsidRPr="003B4482">
        <w:rPr>
          <w:i/>
        </w:rPr>
        <w:t xml:space="preserve"> </w:t>
      </w:r>
    </w:p>
    <w:p w:rsidR="00C10BC3" w:rsidRDefault="00C10BC3" w:rsidP="00C10BC3">
      <w:pPr>
        <w:pStyle w:val="FigureTitle"/>
      </w:pPr>
      <w:r>
        <w:t>Table 18.</w:t>
      </w:r>
    </w:p>
    <w:p w:rsidR="00C10BC3" w:rsidRDefault="00F016D0" w:rsidP="003B4482">
      <w:pPr>
        <w:jc w:val="both"/>
      </w:pPr>
      <w:r>
        <w:rPr>
          <w:noProof/>
          <w:lang w:eastAsia="zh-TW"/>
        </w:rPr>
        <w:pict>
          <v:shape id="Text Box 38" o:spid="_x0000_s1053" type="#_x0000_t202" style="position:absolute;left:0;text-align:left;margin-left:17.65pt;margin-top:3.3pt;width:64.45pt;height:2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" stroked="f">
            <v:textbox>
              <w:txbxContent>
                <w:p w:rsidR="00A408DA" w:rsidRDefault="00A408DA"/>
              </w:txbxContent>
            </v:textbox>
          </v:shape>
        </w:pict>
      </w:r>
      <w:r w:rsidR="005B75BE">
        <w:rPr>
          <w:noProof/>
          <w:lang w:eastAsia="en-AU"/>
        </w:rPr>
        <w:drawing>
          <wp:inline distT="0" distB="0" distL="0" distR="0">
            <wp:extent cx="5276850" cy="1190625"/>
            <wp:effectExtent l="19050" t="0" r="0" b="0"/>
            <wp:docPr id="38" name="Picture 38" descr="Tabl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4835"/>
                    <a:stretch>
                      <a:fillRect/>
                    </a:stretch>
                  </pic:blipFill>
                  <pic:spPr bwMode="auto">
                    <a:xfrm>
                      <a:off x="0" y="0"/>
                      <a:ext cx="5276850" cy="1190625"/>
                    </a:xfrm>
                    <a:prstGeom prst="rect">
                      <a:avLst/>
                    </a:prstGeom>
                    <a:noFill/>
                    <a:ln>
                      <a:noFill/>
                    </a:ln>
                  </pic:spPr>
                </pic:pic>
              </a:graphicData>
            </a:graphic>
          </wp:inline>
        </w:drawing>
      </w:r>
    </w:p>
    <w:p w:rsidR="00C10BC3" w:rsidRDefault="00C10BC3" w:rsidP="00C10BC3">
      <w:pPr>
        <w:pStyle w:val="FigureTitle"/>
        <w:rPr>
          <w:i/>
        </w:rPr>
      </w:pPr>
      <w:r>
        <w:t xml:space="preserve">Figure 19. </w:t>
      </w:r>
      <w:r w:rsidR="00F016D0">
        <w:rPr>
          <w:i/>
          <w:noProof/>
          <w:lang w:eastAsia="zh-TW"/>
        </w:rPr>
        <w:pict>
          <v:shape id="Text Box 39" o:spid="_x0000_s1054" type="#_x0000_t202" style="position:absolute;margin-left:17.65pt;margin-top:18.35pt;width:64.45pt;height:2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" stroked="f">
            <v:textbox>
              <w:txbxContent>
                <w:p w:rsidR="00A408DA" w:rsidRDefault="00A408DA"/>
              </w:txbxContent>
            </v:textbox>
          </v:shape>
        </w:pict>
      </w:r>
    </w:p>
    <w:p w:rsidR="00C10BC3" w:rsidRDefault="005B75BE" w:rsidP="003B4482">
      <w:pPr>
        <w:jc w:val="both"/>
      </w:pPr>
      <w:r>
        <w:rPr>
          <w:noProof/>
          <w:lang w:eastAsia="en-AU"/>
        </w:rPr>
        <w:drawing>
          <wp:inline distT="0" distB="0" distL="0" distR="0">
            <wp:extent cx="4752975" cy="3105150"/>
            <wp:effectExtent l="19050" t="0" r="9525" b="0"/>
            <wp:docPr id="39" name="Picture 39" descr="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188"/>
                    <a:stretch>
                      <a:fillRect/>
                    </a:stretch>
                  </pic:blipFill>
                  <pic:spPr bwMode="auto">
                    <a:xfrm>
                      <a:off x="0" y="0"/>
                      <a:ext cx="4752975" cy="3105150"/>
                    </a:xfrm>
                    <a:prstGeom prst="rect">
                      <a:avLst/>
                    </a:prstGeom>
                    <a:noFill/>
                    <a:ln>
                      <a:noFill/>
                    </a:ln>
                  </pic:spPr>
                </pic:pic>
              </a:graphicData>
            </a:graphic>
          </wp:inline>
        </w:drawing>
      </w:r>
    </w:p>
    <w:p w:rsidR="003B4482" w:rsidRDefault="003B4482" w:rsidP="00AC653F">
      <w:pPr>
        <w:pStyle w:val="Heading5"/>
      </w:pPr>
      <w:r>
        <w:t xml:space="preserve">Effective extrinsic factors on the pharmacokinetics of VEM </w:t>
      </w:r>
    </w:p>
    <w:p w:rsidR="00AC653F" w:rsidRDefault="003B4482" w:rsidP="00AC653F">
      <w:pPr>
        <w:jc w:val="both"/>
      </w:pPr>
      <w:r>
        <w:t xml:space="preserve">Study NP22676 which was an </w:t>
      </w:r>
      <w:r w:rsidR="00D73147" w:rsidRPr="00D73147">
        <w:t>open label</w:t>
      </w:r>
      <w:r>
        <w:t xml:space="preserve"> multicentre </w:t>
      </w:r>
      <w:r w:rsidRPr="003B4482">
        <w:t>Phase I</w:t>
      </w:r>
      <w:r>
        <w:t xml:space="preserve"> study to evaluate the effect of VEM on the PK of five CYP450 substrates given as a drug cocktail has been discussed above.</w:t>
      </w:r>
      <w:r w:rsidRPr="003B4482">
        <w:rPr>
          <w:i/>
        </w:rPr>
        <w:t xml:space="preserve"> </w:t>
      </w:r>
    </w:p>
    <w:p w:rsidR="003B4482" w:rsidRDefault="003B4482" w:rsidP="00AC653F">
      <w:pPr>
        <w:pStyle w:val="Heading5"/>
      </w:pPr>
      <w:r>
        <w:t>Exposure/efficacy relationship</w:t>
      </w:r>
    </w:p>
    <w:p w:rsidR="003B4482" w:rsidRDefault="003B4482" w:rsidP="003B4482">
      <w:pPr>
        <w:jc w:val="both"/>
      </w:pPr>
      <w:r>
        <w:t xml:space="preserve">Exposure and efficacy relationships were assessed by preliminary and exploratory analysis by NCA using clinical results from </w:t>
      </w:r>
      <w:r w:rsidR="00AC653F">
        <w:t>S</w:t>
      </w:r>
      <w:r>
        <w:t>tudies NP22657 and PLX06-02 and by population PK</w:t>
      </w:r>
      <w:r w:rsidR="00EE5BAF">
        <w:t>/</w:t>
      </w:r>
      <w:r>
        <w:t>PD analyses using results from NP22657 and N025025.</w:t>
      </w:r>
    </w:p>
    <w:p w:rsidR="003B4482" w:rsidRDefault="003B4482" w:rsidP="003B4482">
      <w:pPr>
        <w:jc w:val="both"/>
      </w:pPr>
      <w:r>
        <w:lastRenderedPageBreak/>
        <w:t>The percent change from baseline in the RECIST measurements of tumour size taken from target tumours from patients in PLX06-02 and NP22657 served as a suitable quantitative measure for comparison with PK parameters.</w:t>
      </w:r>
      <w:r w:rsidRPr="003B4482">
        <w:rPr>
          <w:i/>
        </w:rPr>
        <w:t xml:space="preserve"> </w:t>
      </w:r>
      <w:r>
        <w:t>The 30% reduction from baseline and tumour size by RECIST criteria represented a cut-off for clinically meaningful reduction in tumour size with VEM treatment.</w:t>
      </w:r>
      <w:r w:rsidRPr="003B4482">
        <w:rPr>
          <w:i/>
        </w:rPr>
        <w:t xml:space="preserve"> </w:t>
      </w:r>
      <w:r>
        <w:t>Due to this exploratory analysis VEM exposure measured as AUC</w:t>
      </w:r>
      <w:r>
        <w:rPr>
          <w:vertAlign w:val="subscript"/>
        </w:rPr>
        <w:t>0-8</w:t>
      </w:r>
      <w:r w:rsidR="00FF2684" w:rsidRPr="00FF2684">
        <w:rPr>
          <w:vertAlign w:val="subscript"/>
        </w:rPr>
        <w:t xml:space="preserve"> h </w:t>
      </w:r>
      <w:r>
        <w:t xml:space="preserve">on </w:t>
      </w:r>
      <w:r w:rsidR="00F1318A">
        <w:t>D</w:t>
      </w:r>
      <w:r>
        <w:t>ay 15 was chosen as a common PK parameter between the two studies.</w:t>
      </w:r>
      <w:r w:rsidRPr="003B4482">
        <w:rPr>
          <w:i/>
        </w:rPr>
        <w:t xml:space="preserve"> </w:t>
      </w:r>
      <w:r>
        <w:t xml:space="preserve">The effect of VEM on tumour size was generally measured on </w:t>
      </w:r>
      <w:r w:rsidR="00F1318A" w:rsidRPr="00C10BC3">
        <w:t>D</w:t>
      </w:r>
      <w:r w:rsidRPr="00C10BC3">
        <w:t>ay 43 but was correlated with the AUC</w:t>
      </w:r>
      <w:r w:rsidRPr="00C10BC3">
        <w:rPr>
          <w:vertAlign w:val="subscript"/>
        </w:rPr>
        <w:t>0-8</w:t>
      </w:r>
      <w:r w:rsidR="00FF2684" w:rsidRPr="00C10BC3">
        <w:rPr>
          <w:vertAlign w:val="subscript"/>
        </w:rPr>
        <w:t xml:space="preserve"> h </w:t>
      </w:r>
      <w:r w:rsidRPr="00C10BC3">
        <w:t xml:space="preserve">measured on </w:t>
      </w:r>
      <w:r w:rsidR="00F1318A" w:rsidRPr="00C10BC3">
        <w:t>D</w:t>
      </w:r>
      <w:r w:rsidRPr="00C10BC3">
        <w:t>ay 15 in the exploratory analysis.</w:t>
      </w:r>
      <w:r w:rsidRPr="00C10BC3">
        <w:rPr>
          <w:i/>
        </w:rPr>
        <w:t xml:space="preserve"> </w:t>
      </w:r>
      <w:r w:rsidRPr="00C10BC3">
        <w:t xml:space="preserve">Figure </w:t>
      </w:r>
      <w:r w:rsidR="009A3DAC">
        <w:t>20</w:t>
      </w:r>
      <w:r>
        <w:t xml:space="preserve"> depicts a graphic representation of the percent change from baseline in the first RECIST measurement of tumour size</w:t>
      </w:r>
      <w:r w:rsidR="00D73147" w:rsidRPr="00D73147">
        <w:t xml:space="preserve"> versus </w:t>
      </w:r>
      <w:r>
        <w:t>VEM exposure (AUC</w:t>
      </w:r>
      <w:r>
        <w:rPr>
          <w:vertAlign w:val="subscript"/>
        </w:rPr>
        <w:t>0-8 hours</w:t>
      </w:r>
      <w:r>
        <w:t xml:space="preserve">) on </w:t>
      </w:r>
      <w:r w:rsidR="00F1318A">
        <w:t>D</w:t>
      </w:r>
      <w:r>
        <w:t>ay 15.</w:t>
      </w:r>
      <w:r w:rsidRPr="003B4482">
        <w:rPr>
          <w:i/>
        </w:rPr>
        <w:t xml:space="preserve"> </w:t>
      </w:r>
      <w:r>
        <w:t>The apparent increase in the reduction in tumour size measured by RECIST occurred with increasing VEM exposure up to approximately 200</w:t>
      </w:r>
      <w:r w:rsidR="00F1318A">
        <w:t xml:space="preserve"> µ</w:t>
      </w:r>
      <w:r>
        <w:t>g.hr/ml.</w:t>
      </w:r>
      <w:r w:rsidRPr="003B4482">
        <w:rPr>
          <w:i/>
        </w:rPr>
        <w:t xml:space="preserve"> </w:t>
      </w:r>
      <w:r>
        <w:t>Above this exposure level it was difficult to ascertain a positive relationship between the effect size and VEM exposure.</w:t>
      </w:r>
      <w:r w:rsidRPr="003B4482">
        <w:rPr>
          <w:i/>
        </w:rPr>
        <w:t xml:space="preserve"> </w:t>
      </w:r>
      <w:r>
        <w:t>Of note consistent and more pronounced clinical tumour regression including at metastatic sites was observed at doses &gt;72</w:t>
      </w:r>
      <w:r w:rsidRPr="003B4482">
        <w:t>0 mg</w:t>
      </w:r>
      <w:r>
        <w:t xml:space="preserve"> twice daily.</w:t>
      </w:r>
      <w:r w:rsidRPr="003B4482">
        <w:rPr>
          <w:i/>
        </w:rPr>
        <w:t xml:space="preserve"> </w:t>
      </w:r>
    </w:p>
    <w:p w:rsidR="00C10BC3" w:rsidRDefault="009A3DAC" w:rsidP="00C10BC3">
      <w:pPr>
        <w:pStyle w:val="FigureTitle"/>
      </w:pPr>
      <w:r>
        <w:t>Figure 20</w:t>
      </w:r>
      <w:r w:rsidR="00C10BC3">
        <w:t xml:space="preserve">. </w:t>
      </w:r>
    </w:p>
    <w:p w:rsidR="00C10BC3" w:rsidRDefault="00F016D0" w:rsidP="00C10BC3">
      <w:pPr>
        <w:tabs>
          <w:tab w:val="left" w:pos="0"/>
        </w:tabs>
      </w:pPr>
      <w:r>
        <w:rPr>
          <w:noProof/>
          <w:lang w:eastAsia="zh-TW"/>
        </w:rPr>
        <w:pict>
          <v:shape id="Text Box 40" o:spid="_x0000_s1055" type="#_x0000_t202" style="position:absolute;margin-left:14.5pt;margin-top:.25pt;width:64.5pt;height:2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" stroked="f">
            <v:textbox>
              <w:txbxContent>
                <w:p w:rsidR="00A408DA" w:rsidRDefault="00A408DA"/>
              </w:txbxContent>
            </v:textbox>
          </v:shape>
        </w:pict>
      </w:r>
      <w:r w:rsidR="005B75BE">
        <w:rPr>
          <w:noProof/>
          <w:lang w:eastAsia="en-AU"/>
        </w:rPr>
        <w:drawing>
          <wp:inline distT="0" distB="0" distL="0" distR="0">
            <wp:extent cx="5276850" cy="3305175"/>
            <wp:effectExtent l="19050" t="0" r="0" b="0"/>
            <wp:docPr id="40" name="Picture 40" descr="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3305175"/>
                    </a:xfrm>
                    <a:prstGeom prst="rect">
                      <a:avLst/>
                    </a:prstGeom>
                    <a:noFill/>
                    <a:ln>
                      <a:noFill/>
                    </a:ln>
                  </pic:spPr>
                </pic:pic>
              </a:graphicData>
            </a:graphic>
          </wp:inline>
        </w:drawing>
      </w:r>
    </w:p>
    <w:p w:rsidR="003B4482" w:rsidRDefault="003B4482" w:rsidP="003B4482">
      <w:pPr>
        <w:jc w:val="both"/>
      </w:pPr>
      <w:r>
        <w:t>In absence of an exposure/response relationship for reduction in tumour size by RECIST in the range of VEM exposures with 96</w:t>
      </w:r>
      <w:r w:rsidRPr="003B4482">
        <w:t>0 mg</w:t>
      </w:r>
      <w:r>
        <w:t xml:space="preserve"> twice daily was observed in the separate analysis of data from </w:t>
      </w:r>
      <w:r w:rsidR="006A1469">
        <w:t>N</w:t>
      </w:r>
      <w:r>
        <w:t>P22657.</w:t>
      </w:r>
      <w:r w:rsidRPr="003B4482">
        <w:rPr>
          <w:i/>
        </w:rPr>
        <w:t xml:space="preserve"> </w:t>
      </w:r>
    </w:p>
    <w:p w:rsidR="003B4482" w:rsidRDefault="003B4482" w:rsidP="003B4482">
      <w:pPr>
        <w:jc w:val="both"/>
      </w:pPr>
      <w:r>
        <w:t>A further analysis o</w:t>
      </w:r>
      <w:r w:rsidR="00F1318A">
        <w:t xml:space="preserve">f mean VEM plasma exposures on </w:t>
      </w:r>
      <w:r w:rsidR="00F1318A" w:rsidRPr="00EE5BAF">
        <w:t>D</w:t>
      </w:r>
      <w:r w:rsidRPr="00EE5BAF">
        <w:t xml:space="preserve">ay 15 in patients with primary clinical endpoints of tumour response being </w:t>
      </w:r>
      <w:r w:rsidR="00EE5BAF" w:rsidRPr="00EE5BAF">
        <w:t>partial response (</w:t>
      </w:r>
      <w:r w:rsidRPr="00EE5BAF">
        <w:t>PR</w:t>
      </w:r>
      <w:r w:rsidR="00EE5BAF" w:rsidRPr="00EE5BAF">
        <w:t>)</w:t>
      </w:r>
      <w:r w:rsidRPr="00EE5BAF">
        <w:t xml:space="preserve">, </w:t>
      </w:r>
      <w:r w:rsidR="00EE5BAF" w:rsidRPr="00EE5BAF">
        <w:t>complete response (</w:t>
      </w:r>
      <w:r w:rsidRPr="00EE5BAF">
        <w:t>CR</w:t>
      </w:r>
      <w:r w:rsidR="00EE5BAF" w:rsidRPr="00EE5BAF">
        <w:t>)</w:t>
      </w:r>
      <w:r w:rsidRPr="00EE5BAF">
        <w:t xml:space="preserve">, </w:t>
      </w:r>
      <w:r w:rsidR="00EE5BAF" w:rsidRPr="00EE5BAF">
        <w:t>stable disease (</w:t>
      </w:r>
      <w:r w:rsidRPr="00EE5BAF">
        <w:t>SD</w:t>
      </w:r>
      <w:r w:rsidR="00EE5BAF" w:rsidRPr="00EE5BAF">
        <w:t>)</w:t>
      </w:r>
      <w:r w:rsidRPr="00EE5BAF">
        <w:t xml:space="preserve"> and </w:t>
      </w:r>
      <w:r w:rsidR="00EE5BAF" w:rsidRPr="00EE5BAF">
        <w:t xml:space="preserve">progressive disease </w:t>
      </w:r>
      <w:r w:rsidRPr="00EE5BAF">
        <w:t>showed no clear exposure response relationship across the range of exposures attained in 960 mg dose level</w:t>
      </w:r>
      <w:r>
        <w:t xml:space="preserve">. </w:t>
      </w:r>
    </w:p>
    <w:p w:rsidR="003B4482" w:rsidRDefault="003B4482" w:rsidP="003B4482">
      <w:pPr>
        <w:jc w:val="both"/>
      </w:pPr>
      <w:r>
        <w:t>In summary using the exposure data derived by NCA and exposure/response relationship is evident lower than exposures and appears to plateau with increasing exposure.</w:t>
      </w:r>
      <w:r w:rsidRPr="003B4482">
        <w:rPr>
          <w:i/>
        </w:rPr>
        <w:t xml:space="preserve"> </w:t>
      </w:r>
      <w:r>
        <w:t>Based on this analysis the VEM dose of 96</w:t>
      </w:r>
      <w:r w:rsidRPr="003B4482">
        <w:t>0 mg</w:t>
      </w:r>
      <w:r>
        <w:t xml:space="preserve"> twice daily would provide VEM exposure to exhibit a clinically meaningful reduction of tumour size. </w:t>
      </w:r>
    </w:p>
    <w:p w:rsidR="003B4482" w:rsidRDefault="003B4482" w:rsidP="00F1318A">
      <w:pPr>
        <w:pStyle w:val="Heading6"/>
      </w:pPr>
      <w:r>
        <w:lastRenderedPageBreak/>
        <w:t>Exposure/efficacy relationship in the population PK/PD study</w:t>
      </w:r>
      <w:r w:rsidRPr="003B4482">
        <w:t xml:space="preserve">  </w:t>
      </w:r>
    </w:p>
    <w:p w:rsidR="003B4482" w:rsidRDefault="003B4482" w:rsidP="003B4482">
      <w:pPr>
        <w:jc w:val="both"/>
      </w:pPr>
      <w:r>
        <w:t>The main objectives of these analyses were to characterise the exposure/efficacy relationship for VEM using graphic analyses and to investigate whether the variability and response could be attributed to variability in VEM exposure.</w:t>
      </w:r>
    </w:p>
    <w:p w:rsidR="003B4482" w:rsidRDefault="003B4482" w:rsidP="003B4482">
      <w:pPr>
        <w:jc w:val="both"/>
      </w:pPr>
      <w:r>
        <w:t xml:space="preserve">Efficacy data from the </w:t>
      </w:r>
      <w:r w:rsidRPr="003B4482">
        <w:t>Phase I</w:t>
      </w:r>
      <w:r>
        <w:t xml:space="preserve">I NP22657 and </w:t>
      </w:r>
      <w:r w:rsidRPr="003B4482">
        <w:t>Phase I</w:t>
      </w:r>
      <w:r>
        <w:t>II NO25026 patients</w:t>
      </w:r>
      <w:r w:rsidR="0083086B">
        <w:t>,</w:t>
      </w:r>
      <w:r>
        <w:t xml:space="preserve"> who were included in the population PK analyses</w:t>
      </w:r>
      <w:r w:rsidR="0083086B">
        <w:t>,</w:t>
      </w:r>
      <w:r>
        <w:t xml:space="preserve"> were assessed.</w:t>
      </w:r>
      <w:r w:rsidRPr="003B4482">
        <w:rPr>
          <w:i/>
        </w:rPr>
        <w:t xml:space="preserve"> </w:t>
      </w:r>
      <w:r>
        <w:t>The relationship between the mean AUC and the mean efficacy parameters for changes in tumour size from baseline at the end of treatment and the best overall response, overall survival and PFS were analysed.</w:t>
      </w:r>
      <w:r w:rsidRPr="003B4482">
        <w:rPr>
          <w:i/>
        </w:rPr>
        <w:t xml:space="preserve"> </w:t>
      </w:r>
    </w:p>
    <w:p w:rsidR="003B4482" w:rsidRDefault="003B4482" w:rsidP="003B4482">
      <w:pPr>
        <w:jc w:val="both"/>
        <w:rPr>
          <w:i/>
        </w:rPr>
      </w:pPr>
      <w:r>
        <w:t>Significant reductions in tumour size over time were observed in all exposure categories.</w:t>
      </w:r>
      <w:r w:rsidRPr="003B4482">
        <w:rPr>
          <w:i/>
        </w:rPr>
        <w:t xml:space="preserve"> </w:t>
      </w:r>
      <w:r>
        <w:t>However</w:t>
      </w:r>
      <w:r w:rsidR="00F1318A">
        <w:t>,</w:t>
      </w:r>
      <w:r>
        <w:t xml:space="preserve"> in the lower exposure category the percentage of patients with a positive increase in tumour size from baseline at the end of treatment was found to be higher</w:t>
      </w:r>
      <w:r w:rsidR="00F1318A">
        <w:t xml:space="preserve"> (</w:t>
      </w:r>
      <w:r>
        <w:t>22%</w:t>
      </w:r>
      <w:r w:rsidR="00F1318A">
        <w:t>)</w:t>
      </w:r>
      <w:r>
        <w:t xml:space="preserve"> than at the median and high exposure categories </w:t>
      </w:r>
      <w:r w:rsidR="00F1318A">
        <w:t>(</w:t>
      </w:r>
      <w:r>
        <w:t>being 11 and 9% respectively</w:t>
      </w:r>
      <w:r w:rsidR="00F1318A">
        <w:t>)</w:t>
      </w:r>
      <w:r>
        <w:t>.</w:t>
      </w:r>
      <w:r w:rsidRPr="003B4482">
        <w:rPr>
          <w:i/>
        </w:rPr>
        <w:t xml:space="preserve"> </w:t>
      </w:r>
      <w:r>
        <w:t>These results indicated that the effect of VEM on tumour size could potentially increase in some patients if their exposure level goes above the low exposure category.</w:t>
      </w:r>
      <w:r w:rsidRPr="003B4482">
        <w:rPr>
          <w:i/>
        </w:rPr>
        <w:t xml:space="preserve"> </w:t>
      </w:r>
      <w:r>
        <w:t xml:space="preserve">This exposure/response relationship was found to be more pronounced in </w:t>
      </w:r>
      <w:r w:rsidRPr="003B4482">
        <w:t>Phase I</w:t>
      </w:r>
      <w:r>
        <w:t xml:space="preserve">I than </w:t>
      </w:r>
      <w:r w:rsidRPr="003B4482">
        <w:t>Phase I</w:t>
      </w:r>
      <w:r>
        <w:t>II as the percentage of patients with a positive increase in tumour size from baseline changed from 26%, 12% and 6% in the low, medium and high exposure category respectively</w:t>
      </w:r>
      <w:r w:rsidR="00D73147" w:rsidRPr="00D73147">
        <w:t xml:space="preserve"> versus </w:t>
      </w:r>
      <w:r>
        <w:t xml:space="preserve">19%, 10% and 10% in the respective exposure categories for </w:t>
      </w:r>
      <w:r w:rsidRPr="003B4482">
        <w:t>Phase I</w:t>
      </w:r>
      <w:r>
        <w:t>II.</w:t>
      </w:r>
      <w:r w:rsidRPr="003B4482">
        <w:rPr>
          <w:i/>
        </w:rPr>
        <w:t xml:space="preserve"> </w:t>
      </w:r>
      <w:r>
        <w:t xml:space="preserve">Exposure effect observed in the change of tumour size with time is also apparent in the best overall response with a slight increase in the probability of getting PR or CR with increasing </w:t>
      </w:r>
      <w:r w:rsidRPr="00C10BC3">
        <w:t>exposure.</w:t>
      </w:r>
      <w:r w:rsidRPr="00C10BC3">
        <w:rPr>
          <w:i/>
        </w:rPr>
        <w:t xml:space="preserve"> </w:t>
      </w:r>
      <w:r w:rsidRPr="00C10BC3">
        <w:t xml:space="preserve">This is illustrated in Figure </w:t>
      </w:r>
      <w:r w:rsidR="009A3DAC">
        <w:t>21</w:t>
      </w:r>
      <w:r w:rsidRPr="00C10BC3">
        <w:t>.</w:t>
      </w:r>
      <w:r w:rsidRPr="003B4482">
        <w:rPr>
          <w:i/>
        </w:rPr>
        <w:t xml:space="preserve"> </w:t>
      </w:r>
    </w:p>
    <w:p w:rsidR="00C10BC3" w:rsidRDefault="00F016D0" w:rsidP="00C10BC3">
      <w:pPr>
        <w:pStyle w:val="FigureTitle"/>
      </w:pPr>
      <w:r>
        <w:rPr>
          <w:noProof/>
          <w:lang w:eastAsia="zh-TW"/>
        </w:rPr>
        <w:pict>
          <v:shape id="Text Box 41" o:spid="_x0000_s1056" type="#_x0000_t202" style="position:absolute;margin-left:7.8pt;margin-top:12.7pt;width:74.5pt;height:2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DohAIAABg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" stroked="f">
            <v:textbox>
              <w:txbxContent>
                <w:p w:rsidR="00A408DA" w:rsidRDefault="00A408DA"/>
              </w:txbxContent>
            </v:textbox>
          </v:shape>
        </w:pict>
      </w:r>
      <w:r w:rsidR="00C10BC3">
        <w:t>Figure 2</w:t>
      </w:r>
      <w:r w:rsidR="009A3DAC">
        <w:t>1</w:t>
      </w:r>
      <w:r w:rsidR="00C10BC3">
        <w:t xml:space="preserve">. </w:t>
      </w:r>
      <w:r w:rsidR="005B75BE">
        <w:rPr>
          <w:noProof/>
          <w:lang w:eastAsia="en-AU"/>
        </w:rPr>
        <w:drawing>
          <wp:inline distT="0" distB="0" distL="0" distR="0">
            <wp:extent cx="5267325" cy="3343275"/>
            <wp:effectExtent l="19050" t="0" r="9525" b="0"/>
            <wp:docPr id="41" name="Picture 41" descr="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02"/>
                    <a:stretch>
                      <a:fillRect/>
                    </a:stretch>
                  </pic:blipFill>
                  <pic:spPr bwMode="auto">
                    <a:xfrm>
                      <a:off x="0" y="0"/>
                      <a:ext cx="5267325" cy="3343275"/>
                    </a:xfrm>
                    <a:prstGeom prst="rect">
                      <a:avLst/>
                    </a:prstGeom>
                    <a:noFill/>
                    <a:ln>
                      <a:noFill/>
                    </a:ln>
                  </pic:spPr>
                </pic:pic>
              </a:graphicData>
            </a:graphic>
          </wp:inline>
        </w:drawing>
      </w:r>
    </w:p>
    <w:p w:rsidR="003B4482" w:rsidRDefault="003B4482" w:rsidP="00F1318A">
      <w:pPr>
        <w:pStyle w:val="Heading5"/>
      </w:pPr>
      <w:r>
        <w:t>Exposure/safety relationship</w:t>
      </w:r>
      <w:r w:rsidRPr="003B4482">
        <w:t xml:space="preserve">  </w:t>
      </w:r>
      <w:r>
        <w:t xml:space="preserve"> </w:t>
      </w:r>
    </w:p>
    <w:p w:rsidR="003B4482" w:rsidRDefault="003B4482" w:rsidP="003B4482">
      <w:pPr>
        <w:jc w:val="both"/>
      </w:pPr>
      <w:r>
        <w:t xml:space="preserve">Exposure/safety relationships have been explored by the NCA utilising results from </w:t>
      </w:r>
      <w:r w:rsidR="00B55C65">
        <w:t xml:space="preserve">Study </w:t>
      </w:r>
      <w:r>
        <w:t xml:space="preserve">NP22657 and by population PK/PD analyses using results from </w:t>
      </w:r>
      <w:r w:rsidR="00B55C65">
        <w:t xml:space="preserve">Studies </w:t>
      </w:r>
      <w:r>
        <w:t>NP22657 and NO25025.</w:t>
      </w:r>
      <w:r w:rsidRPr="003B4482">
        <w:rPr>
          <w:i/>
        </w:rPr>
        <w:t xml:space="preserve"> </w:t>
      </w:r>
      <w:r>
        <w:t xml:space="preserve">The safety endpoints evaluated with treatment emergent adverse events of at least </w:t>
      </w:r>
      <w:r w:rsidR="00F1318A">
        <w:t>G</w:t>
      </w:r>
      <w:r>
        <w:t>rade III liver func</w:t>
      </w:r>
      <w:r w:rsidR="00F1318A">
        <w:t>tion tests results of at least G</w:t>
      </w:r>
      <w:r>
        <w:t>rade III and cuSCC.</w:t>
      </w:r>
      <w:r w:rsidRPr="003B4482">
        <w:rPr>
          <w:i/>
        </w:rPr>
        <w:t xml:space="preserve"> </w:t>
      </w:r>
    </w:p>
    <w:p w:rsidR="003B4482" w:rsidRDefault="003B4482" w:rsidP="003B4482">
      <w:pPr>
        <w:jc w:val="both"/>
      </w:pPr>
      <w:r>
        <w:lastRenderedPageBreak/>
        <w:t xml:space="preserve">In </w:t>
      </w:r>
      <w:r w:rsidR="00B55C65">
        <w:t xml:space="preserve">Study </w:t>
      </w:r>
      <w:r>
        <w:t xml:space="preserve">NP22657 </w:t>
      </w:r>
      <w:r w:rsidR="00F1318A">
        <w:t xml:space="preserve">the </w:t>
      </w:r>
      <w:r>
        <w:t>mean VEM exposures (AUC</w:t>
      </w:r>
      <w:r>
        <w:rPr>
          <w:vertAlign w:val="subscript"/>
        </w:rPr>
        <w:t>0-8 hours</w:t>
      </w:r>
      <w:r>
        <w:t xml:space="preserve">) was not substantially different between patients with or without AE of at least </w:t>
      </w:r>
      <w:r w:rsidR="00F1318A">
        <w:t>G</w:t>
      </w:r>
      <w:r>
        <w:t xml:space="preserve">rade III, liver laboratory abnormalities of at least </w:t>
      </w:r>
      <w:r w:rsidR="00F1318A">
        <w:t>G</w:t>
      </w:r>
      <w:r>
        <w:t>rade III or cuSCC.</w:t>
      </w:r>
      <w:r w:rsidRPr="003B4482">
        <w:rPr>
          <w:i/>
        </w:rPr>
        <w:t xml:space="preserve"> </w:t>
      </w:r>
    </w:p>
    <w:p w:rsidR="003B4482" w:rsidRDefault="003B4482" w:rsidP="003B4482">
      <w:pPr>
        <w:jc w:val="both"/>
      </w:pPr>
      <w:r>
        <w:t>Graphic analyses showed that there was no apparent effect of VEM exposure on the occurrences of ALT, AST, GGT and total bilirubin elevation.</w:t>
      </w:r>
      <w:r w:rsidRPr="003B4482">
        <w:rPr>
          <w:i/>
        </w:rPr>
        <w:t xml:space="preserve"> </w:t>
      </w:r>
      <w:r>
        <w:t>There was also no apparent effect of VEM exposure on the severity or time to first event for the liver laboratory abnormalities.</w:t>
      </w:r>
      <w:r w:rsidRPr="003B4482">
        <w:rPr>
          <w:i/>
        </w:rPr>
        <w:t xml:space="preserve"> </w:t>
      </w:r>
      <w:r>
        <w:t>For cuSCC there was a weak association between high exposures and higher occurrences of first event.</w:t>
      </w:r>
      <w:r w:rsidRPr="003B4482">
        <w:rPr>
          <w:i/>
        </w:rPr>
        <w:t xml:space="preserve"> </w:t>
      </w:r>
      <w:r>
        <w:t>However there was no apparent effect of VEM exposure on time to first event for the skin toxicities.</w:t>
      </w:r>
      <w:r w:rsidRPr="003B4482">
        <w:rPr>
          <w:i/>
        </w:rPr>
        <w:t xml:space="preserve"> </w:t>
      </w:r>
    </w:p>
    <w:p w:rsidR="003B4482" w:rsidRDefault="00F1318A" w:rsidP="003B4482">
      <w:pPr>
        <w:jc w:val="both"/>
      </w:pPr>
      <w:r>
        <w:rPr>
          <w:rStyle w:val="Heading4Char"/>
        </w:rPr>
        <w:t xml:space="preserve">Evaluator </w:t>
      </w:r>
      <w:r w:rsidR="00EB049D">
        <w:rPr>
          <w:rStyle w:val="Heading4Char"/>
        </w:rPr>
        <w:t>c</w:t>
      </w:r>
      <w:r w:rsidRPr="00F1318A">
        <w:rPr>
          <w:rStyle w:val="Heading4Char"/>
        </w:rPr>
        <w:t>omment</w:t>
      </w:r>
      <w:r w:rsidR="003B4482" w:rsidRPr="003B4482">
        <w:rPr>
          <w:i/>
        </w:rPr>
        <w:t xml:space="preserve"> </w:t>
      </w:r>
    </w:p>
    <w:p w:rsidR="003B4482" w:rsidRDefault="003B4482" w:rsidP="003B4482">
      <w:pPr>
        <w:jc w:val="both"/>
      </w:pPr>
      <w:r>
        <w:t xml:space="preserve">These </w:t>
      </w:r>
      <w:r w:rsidR="00B55C65">
        <w:t>PK</w:t>
      </w:r>
      <w:r>
        <w:t xml:space="preserve"> analyses have demonstrated relevant determinants of parameters in relation to distribution, metabolism and excretion.</w:t>
      </w:r>
      <w:r w:rsidRPr="003B4482">
        <w:rPr>
          <w:i/>
        </w:rPr>
        <w:t xml:space="preserve"> </w:t>
      </w:r>
      <w:r>
        <w:t>Data in relation to bioavailability is not present on the basis that VEM is highly insoluble and therefore not amenable to development of IV formulations which would allow for determination of absolute bioavailability.</w:t>
      </w:r>
      <w:r w:rsidRPr="003B4482">
        <w:rPr>
          <w:i/>
        </w:rPr>
        <w:t xml:space="preserve"> </w:t>
      </w:r>
    </w:p>
    <w:p w:rsidR="003B4482" w:rsidRDefault="003B4482" w:rsidP="003B4482">
      <w:pPr>
        <w:jc w:val="both"/>
      </w:pPr>
      <w:r>
        <w:t>The only data not available in the current PK presentation relates to food effect.</w:t>
      </w:r>
      <w:r w:rsidRPr="003B4482">
        <w:rPr>
          <w:i/>
        </w:rPr>
        <w:t xml:space="preserve"> </w:t>
      </w:r>
      <w:r>
        <w:t>A study is presently underway to evaluate this and results will certainly be published and presented.</w:t>
      </w:r>
      <w:r w:rsidRPr="003B4482">
        <w:rPr>
          <w:i/>
        </w:rPr>
        <w:t xml:space="preserve"> </w:t>
      </w:r>
    </w:p>
    <w:p w:rsidR="00116AE6" w:rsidRDefault="00116AE6" w:rsidP="00116AE6">
      <w:pPr>
        <w:pStyle w:val="Heading3"/>
      </w:pPr>
      <w:bookmarkStart w:id="57" w:name="_Toc345675779"/>
      <w:r w:rsidRPr="00254787">
        <w:t>Pharmacodynamics</w:t>
      </w:r>
      <w:bookmarkEnd w:id="45"/>
      <w:bookmarkEnd w:id="54"/>
      <w:bookmarkEnd w:id="55"/>
      <w:bookmarkEnd w:id="57"/>
    </w:p>
    <w:p w:rsidR="003B4482" w:rsidRDefault="00B55C65" w:rsidP="003B4482">
      <w:pPr>
        <w:jc w:val="both"/>
      </w:pPr>
      <w:bookmarkStart w:id="58" w:name="_Toc163441372"/>
      <w:bookmarkStart w:id="59" w:name="_Toc196046485"/>
      <w:bookmarkStart w:id="60" w:name="_Toc247691521"/>
      <w:r>
        <w:t>There were</w:t>
      </w:r>
      <w:r w:rsidR="003B4482">
        <w:t xml:space="preserve"> no specific data provided from human studies in this submission</w:t>
      </w:r>
      <w:r>
        <w:t xml:space="preserve"> in relation to PD</w:t>
      </w:r>
      <w:r w:rsidR="003B4482">
        <w:t>.</w:t>
      </w:r>
      <w:r w:rsidR="003B4482" w:rsidRPr="003B4482">
        <w:rPr>
          <w:i/>
        </w:rPr>
        <w:t xml:space="preserve"> </w:t>
      </w:r>
    </w:p>
    <w:p w:rsidR="003B4482" w:rsidRDefault="00EB049D" w:rsidP="003B4482">
      <w:pPr>
        <w:pStyle w:val="Heading3"/>
      </w:pPr>
      <w:bookmarkStart w:id="61" w:name="_Toc345675780"/>
      <w:r>
        <w:t>Dosage s</w:t>
      </w:r>
      <w:r w:rsidR="003B4482">
        <w:t xml:space="preserve">election for </w:t>
      </w:r>
      <w:r w:rsidR="00F1318A">
        <w:t>t</w:t>
      </w:r>
      <w:r>
        <w:t>he pivotal s</w:t>
      </w:r>
      <w:r w:rsidR="003B4482">
        <w:t>tudies</w:t>
      </w:r>
      <w:bookmarkEnd w:id="61"/>
      <w:r w:rsidR="003B4482" w:rsidRPr="003B4482">
        <w:rPr>
          <w:i/>
        </w:rPr>
        <w:t xml:space="preserve"> </w:t>
      </w:r>
    </w:p>
    <w:p w:rsidR="003B4482" w:rsidRDefault="003B4482" w:rsidP="003B4482">
      <w:pPr>
        <w:jc w:val="both"/>
      </w:pPr>
      <w:r>
        <w:t xml:space="preserve">Selection of the VEM dose used in the </w:t>
      </w:r>
      <w:r w:rsidRPr="003B4482">
        <w:t>Phase I</w:t>
      </w:r>
      <w:r>
        <w:t xml:space="preserve">I and </w:t>
      </w:r>
      <w:r w:rsidRPr="003B4482">
        <w:t>Phase I</w:t>
      </w:r>
      <w:r>
        <w:t xml:space="preserve">II clinical trials were based on nonclinical data and the clinical efficacy and safety observed in the </w:t>
      </w:r>
      <w:r w:rsidRPr="003B4482">
        <w:t>Phase I</w:t>
      </w:r>
      <w:r>
        <w:t xml:space="preserve"> </w:t>
      </w:r>
      <w:r w:rsidR="00F1318A">
        <w:t>S</w:t>
      </w:r>
      <w:r>
        <w:t xml:space="preserve">tudy PLX06-02. </w:t>
      </w:r>
    </w:p>
    <w:p w:rsidR="003B4482" w:rsidRPr="002B160C" w:rsidRDefault="003B4482" w:rsidP="003B4482">
      <w:pPr>
        <w:jc w:val="both"/>
      </w:pPr>
      <w:r>
        <w:t xml:space="preserve">Nonclinical </w:t>
      </w:r>
      <w:r w:rsidRPr="003B4482">
        <w:rPr>
          <w:i/>
        </w:rPr>
        <w:t>in vitro</w:t>
      </w:r>
      <w:r>
        <w:t xml:space="preserve"> eviden</w:t>
      </w:r>
      <w:r w:rsidR="00B55C65">
        <w:t xml:space="preserve">ce demonstrated self </w:t>
      </w:r>
      <w:r>
        <w:t>destruction only at lower VEM concentrations and apoptosis only at higher concentrations.</w:t>
      </w:r>
      <w:r w:rsidRPr="003B4482">
        <w:rPr>
          <w:i/>
        </w:rPr>
        <w:t xml:space="preserve"> </w:t>
      </w:r>
      <w:r>
        <w:t>Similarly in xenograft models, tumour stasis was observed at lower VEM concentrations and tumour shrinkage observed only at higher VEM concentrations &gt;400</w:t>
      </w:r>
      <w:r w:rsidR="00F1318A">
        <w:t xml:space="preserve"> µ</w:t>
      </w:r>
      <w:r>
        <w:t>g/hr.</w:t>
      </w:r>
      <w:r w:rsidRPr="003B4482">
        <w:rPr>
          <w:i/>
        </w:rPr>
        <w:t xml:space="preserve"> </w:t>
      </w:r>
      <w:r>
        <w:t>No exposure plateau was detected in the xenograft models and higher VEM concentrations were associated with greater tumour shrinkage and longer duration of survival.</w:t>
      </w:r>
      <w:r w:rsidRPr="003B4482">
        <w:rPr>
          <w:i/>
        </w:rPr>
        <w:t xml:space="preserve"> </w:t>
      </w:r>
      <w:r>
        <w:t>These findings suggested that VEM</w:t>
      </w:r>
      <w:r>
        <w:tab/>
        <w:t xml:space="preserve"> exposures in patients would need to </w:t>
      </w:r>
      <w:r w:rsidRPr="002B160C">
        <w:t>exceed AUC</w:t>
      </w:r>
      <w:r w:rsidRPr="002B160C">
        <w:rPr>
          <w:vertAlign w:val="subscript"/>
        </w:rPr>
        <w:t>0-24</w:t>
      </w:r>
      <w:r w:rsidR="00FF2684" w:rsidRPr="002B160C">
        <w:rPr>
          <w:vertAlign w:val="subscript"/>
        </w:rPr>
        <w:t xml:space="preserve"> h </w:t>
      </w:r>
      <w:r w:rsidRPr="002B160C">
        <w:t>&gt;400</w:t>
      </w:r>
      <w:r w:rsidR="00F1318A" w:rsidRPr="002B160C">
        <w:t xml:space="preserve"> µ</w:t>
      </w:r>
      <w:r w:rsidRPr="002B160C">
        <w:t>g.h</w:t>
      </w:r>
      <w:r w:rsidR="002B160C" w:rsidRPr="002B160C">
        <w:t>/mL</w:t>
      </w:r>
      <w:r w:rsidRPr="002B160C">
        <w:t xml:space="preserve"> to observe tumour regression.</w:t>
      </w:r>
      <w:r w:rsidRPr="002B160C">
        <w:rPr>
          <w:i/>
        </w:rPr>
        <w:t xml:space="preserve"> </w:t>
      </w:r>
      <w:r w:rsidRPr="002B160C">
        <w:t>Furthermore it was considered more heterogeneity in tumour response and treatment with VEM depending on the</w:t>
      </w:r>
      <w:r w:rsidRPr="002B160C">
        <w:rPr>
          <w:b/>
        </w:rPr>
        <w:t xml:space="preserve"> </w:t>
      </w:r>
      <w:r w:rsidRPr="002B160C">
        <w:t>tumour cell line used.</w:t>
      </w:r>
      <w:r w:rsidRPr="002B160C">
        <w:rPr>
          <w:i/>
        </w:rPr>
        <w:t xml:space="preserve"> </w:t>
      </w:r>
      <w:r w:rsidRPr="002B160C">
        <w:t>Plasma VEM exposure &gt;2000</w:t>
      </w:r>
      <w:r w:rsidR="00F1318A" w:rsidRPr="002B160C">
        <w:t> µg.h</w:t>
      </w:r>
      <w:r w:rsidRPr="002B160C">
        <w:t xml:space="preserve"> was required for xenograft of tumour growth inhibition of some tumour cell line</w:t>
      </w:r>
      <w:r w:rsidR="00B55C65" w:rsidRPr="002B160C">
        <w:t>s</w:t>
      </w:r>
      <w:r w:rsidRPr="002B160C">
        <w:t>.</w:t>
      </w:r>
      <w:r w:rsidRPr="002B160C">
        <w:rPr>
          <w:i/>
        </w:rPr>
        <w:t xml:space="preserve"> </w:t>
      </w:r>
      <w:r w:rsidRPr="002B160C">
        <w:t>Therefore</w:t>
      </w:r>
      <w:r w:rsidR="00B55C65" w:rsidRPr="002B160C">
        <w:t>,</w:t>
      </w:r>
      <w:r w:rsidRPr="002B160C">
        <w:t xml:space="preserve"> the goal of the Phase I study was to use the highest dose of VEM that could be tolerated in order to maximise the therapeutic index for metastatic melanoma.</w:t>
      </w:r>
    </w:p>
    <w:p w:rsidR="003B4482" w:rsidRDefault="003B4482" w:rsidP="003B4482">
      <w:pPr>
        <w:jc w:val="both"/>
      </w:pPr>
      <w:r w:rsidRPr="002B160C">
        <w:t xml:space="preserve">In the dose escalation phase of PLX06-02, which is based on a modified 3+3 accelerated titration design, the dose range of 160 mg </w:t>
      </w:r>
      <w:r w:rsidR="00F1318A" w:rsidRPr="002B160C">
        <w:t xml:space="preserve">to </w:t>
      </w:r>
      <w:r w:rsidRPr="002B160C">
        <w:t>1120 mg twice daily was evaluated with the optimised MBP formulation in this study.</w:t>
      </w:r>
      <w:r w:rsidRPr="002B160C">
        <w:rPr>
          <w:i/>
        </w:rPr>
        <w:t xml:space="preserve"> </w:t>
      </w:r>
      <w:r w:rsidRPr="002B160C">
        <w:t>Consistent with the nonclinical findings</w:t>
      </w:r>
      <w:r w:rsidR="00F1318A" w:rsidRPr="002B160C">
        <w:t>,</w:t>
      </w:r>
      <w:r w:rsidRPr="002B160C">
        <w:t xml:space="preserve"> tumour regressions in </w:t>
      </w:r>
      <w:r w:rsidR="00B55C65" w:rsidRPr="002B160C">
        <w:t xml:space="preserve">Study </w:t>
      </w:r>
      <w:r w:rsidRPr="002B160C">
        <w:t>PLX06-02 were first observed in the dose range of 240 mg twice daily to 360 mg twice daily, which exceeded the target exposure threshold of AUC</w:t>
      </w:r>
      <w:r w:rsidRPr="002B160C">
        <w:rPr>
          <w:vertAlign w:val="subscript"/>
        </w:rPr>
        <w:t>0-24</w:t>
      </w:r>
      <w:r w:rsidR="00FF2684" w:rsidRPr="002B160C">
        <w:rPr>
          <w:vertAlign w:val="subscript"/>
        </w:rPr>
        <w:t xml:space="preserve"> h </w:t>
      </w:r>
      <w:r w:rsidRPr="002B160C">
        <w:t>&gt;400</w:t>
      </w:r>
      <w:r w:rsidR="00F1318A" w:rsidRPr="002B160C">
        <w:t xml:space="preserve"> µg.h</w:t>
      </w:r>
      <w:r w:rsidR="002B160C" w:rsidRPr="002B160C">
        <w:t>/mL</w:t>
      </w:r>
      <w:r w:rsidRPr="002B160C">
        <w:t xml:space="preserve"> and became more pronounced at higher doses.</w:t>
      </w:r>
      <w:r w:rsidRPr="002B160C">
        <w:rPr>
          <w:i/>
        </w:rPr>
        <w:t xml:space="preserve"> </w:t>
      </w:r>
      <w:r w:rsidRPr="002B160C">
        <w:t xml:space="preserve">Early tumour responses were detected in patients with </w:t>
      </w:r>
      <w:r w:rsidR="00F1318A" w:rsidRPr="002B160C">
        <w:t>S</w:t>
      </w:r>
      <w:r w:rsidRPr="002B160C">
        <w:t xml:space="preserve">tage M1A disease whereas </w:t>
      </w:r>
      <w:r w:rsidR="00B55C65" w:rsidRPr="002B160C">
        <w:t xml:space="preserve">disease in </w:t>
      </w:r>
      <w:r w:rsidRPr="002B160C">
        <w:t>other patients</w:t>
      </w:r>
      <w:r w:rsidRPr="00F1318A">
        <w:t xml:space="preserve"> in these initial dose cohorts progressed. Consistent and more pronounced tumour regression, including various</w:t>
      </w:r>
      <w:r>
        <w:t xml:space="preserve"> metastatic sites was observed in the dose range of 720-112</w:t>
      </w:r>
      <w:r w:rsidRPr="003B4482">
        <w:t>0 mg</w:t>
      </w:r>
      <w:r>
        <w:t xml:space="preserve"> twice daily.</w:t>
      </w:r>
      <w:r w:rsidRPr="003B4482">
        <w:rPr>
          <w:i/>
        </w:rPr>
        <w:t xml:space="preserve"> </w:t>
      </w:r>
      <w:r>
        <w:t>However</w:t>
      </w:r>
      <w:r w:rsidR="00B55C65">
        <w:t>,</w:t>
      </w:r>
      <w:r>
        <w:t xml:space="preserve"> DLTs primarily </w:t>
      </w:r>
      <w:r w:rsidR="00F1318A">
        <w:t>G</w:t>
      </w:r>
      <w:r>
        <w:t xml:space="preserve">rade III rash and </w:t>
      </w:r>
      <w:r w:rsidR="00F1318A">
        <w:t>G</w:t>
      </w:r>
      <w:r>
        <w:t>rade III fatigue were observed in four patients at 112</w:t>
      </w:r>
      <w:r w:rsidRPr="003B4482">
        <w:t>0 mg</w:t>
      </w:r>
      <w:r>
        <w:t xml:space="preserve"> twice daily indicating this dose could not be tolerated.</w:t>
      </w:r>
      <w:r w:rsidRPr="003B4482">
        <w:rPr>
          <w:i/>
        </w:rPr>
        <w:t xml:space="preserve"> </w:t>
      </w:r>
      <w:r>
        <w:t>Therefore</w:t>
      </w:r>
      <w:r w:rsidR="00B55C65">
        <w:t>,</w:t>
      </w:r>
      <w:r>
        <w:t xml:space="preserve"> the </w:t>
      </w:r>
      <w:r w:rsidR="00B55C65">
        <w:t>maximum tolerated dose (</w:t>
      </w:r>
      <w:r>
        <w:t>MTD</w:t>
      </w:r>
      <w:r w:rsidR="00B55C65">
        <w:t>)</w:t>
      </w:r>
      <w:r>
        <w:t xml:space="preserve"> of 96</w:t>
      </w:r>
      <w:r w:rsidRPr="003B4482">
        <w:t>0 mg</w:t>
      </w:r>
      <w:r>
        <w:t xml:space="preserve"> twice daily representing the approximate mid-point between 72</w:t>
      </w:r>
      <w:r w:rsidRPr="003B4482">
        <w:t>0 mg</w:t>
      </w:r>
      <w:r>
        <w:t xml:space="preserve"> and 112</w:t>
      </w:r>
      <w:r w:rsidRPr="003B4482">
        <w:t>0 mg</w:t>
      </w:r>
      <w:r>
        <w:t xml:space="preserve"> twice daily was selected for further clinical </w:t>
      </w:r>
      <w:r>
        <w:lastRenderedPageBreak/>
        <w:t>development.</w:t>
      </w:r>
      <w:r w:rsidRPr="003B4482">
        <w:rPr>
          <w:i/>
        </w:rPr>
        <w:t xml:space="preserve"> </w:t>
      </w:r>
      <w:r w:rsidR="00B55C65" w:rsidRPr="00B55C65">
        <w:t>In a</w:t>
      </w:r>
      <w:r w:rsidRPr="00B55C65">
        <w:t>g</w:t>
      </w:r>
      <w:r>
        <w:t>reement with global health authorities</w:t>
      </w:r>
      <w:r w:rsidR="00B55C65">
        <w:t xml:space="preserve">, </w:t>
      </w:r>
      <w:r>
        <w:t>96</w:t>
      </w:r>
      <w:r w:rsidRPr="003B4482">
        <w:t>0 mg</w:t>
      </w:r>
      <w:r>
        <w:t xml:space="preserve"> twice daily was </w:t>
      </w:r>
      <w:r w:rsidR="00B55C65">
        <w:t xml:space="preserve">subsequently </w:t>
      </w:r>
      <w:r>
        <w:t xml:space="preserve">considered the appropriate dose for the </w:t>
      </w:r>
      <w:r w:rsidRPr="003B4482">
        <w:t>Phase I</w:t>
      </w:r>
      <w:r>
        <w:t xml:space="preserve">I and </w:t>
      </w:r>
      <w:r w:rsidRPr="003B4482">
        <w:t>Phase I</w:t>
      </w:r>
      <w:r>
        <w:t>II studies.</w:t>
      </w:r>
      <w:r w:rsidRPr="003B4482">
        <w:rPr>
          <w:i/>
        </w:rPr>
        <w:t xml:space="preserve"> </w:t>
      </w:r>
    </w:p>
    <w:p w:rsidR="00116AE6" w:rsidRPr="00254787" w:rsidRDefault="00116AE6" w:rsidP="00116AE6">
      <w:pPr>
        <w:pStyle w:val="Heading3"/>
      </w:pPr>
      <w:bookmarkStart w:id="62" w:name="_Toc345675781"/>
      <w:r w:rsidRPr="00254787">
        <w:t>Efficacy</w:t>
      </w:r>
      <w:bookmarkEnd w:id="58"/>
      <w:bookmarkEnd w:id="59"/>
      <w:bookmarkEnd w:id="60"/>
      <w:bookmarkEnd w:id="62"/>
    </w:p>
    <w:p w:rsidR="003B4482" w:rsidRDefault="003B4482" w:rsidP="003B4482">
      <w:pPr>
        <w:jc w:val="both"/>
      </w:pPr>
      <w:bookmarkStart w:id="63" w:name="_Toc163441378"/>
      <w:bookmarkStart w:id="64" w:name="_Toc196046495"/>
      <w:bookmarkStart w:id="65" w:name="_Toc247691522"/>
      <w:r>
        <w:t>Clinical efficacy data to support the use of VEM for the treatment of patients with BRAF</w:t>
      </w:r>
      <w:r>
        <w:rPr>
          <w:vertAlign w:val="superscript"/>
        </w:rPr>
        <w:t xml:space="preserve">V600 </w:t>
      </w:r>
      <w:r>
        <w:t>mutation positive unresectable or metastatic melanoma comes from three studies.</w:t>
      </w:r>
      <w:r w:rsidRPr="003B4482">
        <w:rPr>
          <w:i/>
        </w:rPr>
        <w:t xml:space="preserve"> </w:t>
      </w:r>
      <w:r>
        <w:t xml:space="preserve">These include the pivotal </w:t>
      </w:r>
      <w:r w:rsidRPr="003B4482">
        <w:t>Phase I</w:t>
      </w:r>
      <w:r>
        <w:t>II study of previously untreated patients (NO25026)</w:t>
      </w:r>
      <w:r w:rsidR="00B55C65">
        <w:t xml:space="preserve">; a </w:t>
      </w:r>
      <w:r>
        <w:t xml:space="preserve">supportive </w:t>
      </w:r>
      <w:r w:rsidRPr="003B4482">
        <w:t>Phase I</w:t>
      </w:r>
      <w:r>
        <w:t>I study of previously treated patients (NP22657)</w:t>
      </w:r>
      <w:r w:rsidR="00B55C65">
        <w:t xml:space="preserve"> and a</w:t>
      </w:r>
      <w:r>
        <w:t xml:space="preserve"> supportive </w:t>
      </w:r>
      <w:r w:rsidRPr="003B4482">
        <w:t>Phase I</w:t>
      </w:r>
      <w:r>
        <w:t xml:space="preserve"> study (PLX06-02) consisting of an initial dose escalation phase in multiple tumour types and an extension phase in which metastatic melanoma and CRC patients were enrolled.</w:t>
      </w:r>
      <w:r w:rsidRPr="003B4482">
        <w:rPr>
          <w:i/>
        </w:rPr>
        <w:t xml:space="preserve"> </w:t>
      </w:r>
      <w:r>
        <w:t>All patients enrolled in the efficacy phase of these three clinical trials were selected using the companion diagnostic tests</w:t>
      </w:r>
      <w:r w:rsidR="00B55C65">
        <w:t>;</w:t>
      </w:r>
      <w:r>
        <w:t xml:space="preserve"> either at an early prototype test in the PLX06-02 extension phase or the cobas 4800 BRAF</w:t>
      </w:r>
      <w:r w:rsidR="004C48B3">
        <w:t xml:space="preserve"> </w:t>
      </w:r>
      <w:r w:rsidR="008305A0" w:rsidRPr="008305A0">
        <w:t>V600</w:t>
      </w:r>
      <w:r>
        <w:t xml:space="preserve"> </w:t>
      </w:r>
      <w:r w:rsidR="004C48B3">
        <w:t>M</w:t>
      </w:r>
      <w:r>
        <w:t xml:space="preserve">utation </w:t>
      </w:r>
      <w:r w:rsidR="004C48B3">
        <w:t>T</w:t>
      </w:r>
      <w:r>
        <w:t xml:space="preserve">est, which is the proposed commercial platform </w:t>
      </w:r>
      <w:r w:rsidR="00B55C65">
        <w:t>which</w:t>
      </w:r>
      <w:r>
        <w:t xml:space="preserve"> was </w:t>
      </w:r>
      <w:r w:rsidR="00B55C65">
        <w:t xml:space="preserve">also </w:t>
      </w:r>
      <w:r>
        <w:t xml:space="preserve">used in the </w:t>
      </w:r>
      <w:r w:rsidRPr="003B4482">
        <w:t>Phase I</w:t>
      </w:r>
      <w:r>
        <w:t xml:space="preserve">I and </w:t>
      </w:r>
      <w:r w:rsidRPr="003B4482">
        <w:t>Phase I</w:t>
      </w:r>
      <w:r>
        <w:t>II studies.</w:t>
      </w:r>
      <w:r w:rsidRPr="003B4482">
        <w:rPr>
          <w:i/>
        </w:rPr>
        <w:t xml:space="preserve"> </w:t>
      </w:r>
      <w:r>
        <w:t xml:space="preserve">All three studies were multicentre international and </w:t>
      </w:r>
      <w:r w:rsidR="00D73147" w:rsidRPr="00D73147">
        <w:t>open label</w:t>
      </w:r>
      <w:r>
        <w:t xml:space="preserve"> with the pivotal </w:t>
      </w:r>
      <w:r w:rsidRPr="003B4482">
        <w:t>Phase I</w:t>
      </w:r>
      <w:r>
        <w:t xml:space="preserve">II </w:t>
      </w:r>
      <w:r w:rsidR="00B55C65">
        <w:t>S</w:t>
      </w:r>
      <w:r>
        <w:t>tudy NO25026, a randomised active treatment control study in previously untrea</w:t>
      </w:r>
      <w:r w:rsidR="00B55C65">
        <w:t>ted patients with unresectable Stage IIIC or S</w:t>
      </w:r>
      <w:r>
        <w:t>tage IV melanoma.</w:t>
      </w:r>
      <w:r w:rsidRPr="003B4482">
        <w:rPr>
          <w:i/>
        </w:rPr>
        <w:t xml:space="preserve"> </w:t>
      </w:r>
      <w:r>
        <w:t xml:space="preserve">The supportive </w:t>
      </w:r>
      <w:r w:rsidRPr="003B4482">
        <w:t>Phase I</w:t>
      </w:r>
      <w:r>
        <w:t xml:space="preserve">I </w:t>
      </w:r>
      <w:r w:rsidR="00ED58D9">
        <w:t>S</w:t>
      </w:r>
      <w:r>
        <w:t>tudy NP22657</w:t>
      </w:r>
      <w:r w:rsidR="00ED58D9">
        <w:t xml:space="preserve"> was a single </w:t>
      </w:r>
      <w:r>
        <w:t>arm uncontrolled clinical tr</w:t>
      </w:r>
      <w:r w:rsidR="00ED58D9">
        <w:t>ial conducted in patients with S</w:t>
      </w:r>
      <w:r>
        <w:t>tage IV melanoma and disease which was refractory to at least one prior systemic therapy.</w:t>
      </w:r>
      <w:r w:rsidRPr="003B4482">
        <w:rPr>
          <w:i/>
        </w:rPr>
        <w:t xml:space="preserve"> </w:t>
      </w:r>
      <w:r>
        <w:t xml:space="preserve">The supportive </w:t>
      </w:r>
      <w:r w:rsidRPr="003B4482">
        <w:t>Phase I</w:t>
      </w:r>
      <w:r>
        <w:t xml:space="preserve"> </w:t>
      </w:r>
      <w:r w:rsidR="00ED58D9">
        <w:t>S</w:t>
      </w:r>
      <w:r>
        <w:t>tudy PLX06-02 was a single arm uncontrolled clinical trial conducted in patients with metastatic cancer.</w:t>
      </w:r>
      <w:r w:rsidRPr="003B4482">
        <w:rPr>
          <w:i/>
        </w:rPr>
        <w:t xml:space="preserve"> </w:t>
      </w:r>
      <w:r>
        <w:t>Of the 32 patients in the metastatic melanoma cohort evaluated for this efficacy assessment, 24 of these patients were previously treated for metastatic melanoma.</w:t>
      </w:r>
      <w:r w:rsidRPr="003B4482">
        <w:rPr>
          <w:i/>
        </w:rPr>
        <w:t xml:space="preserve"> </w:t>
      </w:r>
    </w:p>
    <w:p w:rsidR="003B4482" w:rsidRDefault="003B4482" w:rsidP="00ED58D9">
      <w:pPr>
        <w:pStyle w:val="Heading4"/>
      </w:pPr>
      <w:r>
        <w:t>Key study design features</w:t>
      </w:r>
      <w:r w:rsidRPr="003B4482">
        <w:rPr>
          <w:i/>
        </w:rPr>
        <w:t xml:space="preserve">   </w:t>
      </w:r>
    </w:p>
    <w:p w:rsidR="003B4482" w:rsidRDefault="003B4482" w:rsidP="00C10BC3">
      <w:pPr>
        <w:pStyle w:val="Heading5"/>
      </w:pPr>
      <w:r>
        <w:t>Key inclusion criteria</w:t>
      </w:r>
    </w:p>
    <w:p w:rsidR="003B4482" w:rsidRDefault="003B4482" w:rsidP="003B4482">
      <w:pPr>
        <w:jc w:val="both"/>
      </w:pPr>
      <w:r>
        <w:t>Apart from differences in treatment history for metastatic melanoma key eligibility criteria for the pivotal supportive studies were similar.</w:t>
      </w:r>
      <w:r w:rsidRPr="003B4482">
        <w:rPr>
          <w:i/>
        </w:rPr>
        <w:t xml:space="preserve"> </w:t>
      </w:r>
      <w:r>
        <w:t>Patients were excluded from the studies if at screening they had any active central nervous system lesions, a history of carcinoma meningitis, a recent severe haemorrhage or a mean QTc interval of &gt;450ms.</w:t>
      </w:r>
      <w:r w:rsidRPr="003B4482">
        <w:rPr>
          <w:i/>
        </w:rPr>
        <w:t xml:space="preserve"> </w:t>
      </w:r>
      <w:r>
        <w:t>Pregnant or lactating women were also excluded from the study.</w:t>
      </w:r>
      <w:r w:rsidRPr="003B4482">
        <w:rPr>
          <w:i/>
        </w:rPr>
        <w:t xml:space="preserve"> </w:t>
      </w:r>
    </w:p>
    <w:p w:rsidR="003B4482" w:rsidRDefault="003B4482" w:rsidP="00C10BC3">
      <w:pPr>
        <w:pStyle w:val="Heading5"/>
      </w:pPr>
      <w:r>
        <w:t xml:space="preserve">Tumour assessments </w:t>
      </w:r>
    </w:p>
    <w:p w:rsidR="003B4482" w:rsidRDefault="003B4482" w:rsidP="003B4482">
      <w:pPr>
        <w:jc w:val="both"/>
      </w:pPr>
      <w:r>
        <w:t xml:space="preserve">Tumour responses were assessed by </w:t>
      </w:r>
      <w:r w:rsidR="00ED58D9">
        <w:t>study investigators in S</w:t>
      </w:r>
      <w:r>
        <w:t xml:space="preserve">tudies NO25026 and PLX06-02 and by an independent review committee (IRC) and by the </w:t>
      </w:r>
      <w:r w:rsidR="00ED58D9">
        <w:t xml:space="preserve">Study </w:t>
      </w:r>
      <w:r>
        <w:t xml:space="preserve">investigator of the </w:t>
      </w:r>
      <w:r w:rsidR="00ED58D9">
        <w:t>S</w:t>
      </w:r>
      <w:r>
        <w:t>tudy NP22657.</w:t>
      </w:r>
      <w:r w:rsidRPr="003B4482">
        <w:rPr>
          <w:i/>
        </w:rPr>
        <w:t xml:space="preserve"> </w:t>
      </w:r>
      <w:r w:rsidR="00ED58D9">
        <w:t xml:space="preserve">The </w:t>
      </w:r>
      <w:r w:rsidR="00E23CE0">
        <w:t>R</w:t>
      </w:r>
      <w:r>
        <w:t xml:space="preserve">esponse </w:t>
      </w:r>
      <w:r w:rsidR="00E23CE0">
        <w:t>Evaluation Criteria I</w:t>
      </w:r>
      <w:r>
        <w:t xml:space="preserve">n </w:t>
      </w:r>
      <w:r w:rsidR="00E23CE0">
        <w:t>Solid T</w:t>
      </w:r>
      <w:r>
        <w:t>umours (RECIST) was used in all studies.</w:t>
      </w:r>
    </w:p>
    <w:p w:rsidR="003B4482" w:rsidRDefault="003B4482" w:rsidP="003B4482">
      <w:pPr>
        <w:jc w:val="both"/>
      </w:pPr>
      <w:r>
        <w:t xml:space="preserve">Overall survival (OS) was defined as the time from randomisation in </w:t>
      </w:r>
      <w:r w:rsidR="00ED58D9">
        <w:t>S</w:t>
      </w:r>
      <w:r>
        <w:t>tudy NO25026 or first treatment for the other two studies to death from any cause.</w:t>
      </w:r>
      <w:r w:rsidRPr="003B4482">
        <w:rPr>
          <w:i/>
        </w:rPr>
        <w:t xml:space="preserve"> </w:t>
      </w:r>
      <w:r>
        <w:t>In all studies for patients who were alive at the time of analysis data cut-off, OS time was censored at the last date the patient was known to be alive prior to the clinical cut-off date.</w:t>
      </w:r>
    </w:p>
    <w:p w:rsidR="003B4482" w:rsidRDefault="003B4482" w:rsidP="003B4482">
      <w:pPr>
        <w:jc w:val="both"/>
      </w:pPr>
      <w:r>
        <w:t xml:space="preserve">Progression free survival (PFS) was defined as the interval between randomisation for </w:t>
      </w:r>
      <w:r w:rsidR="003B3421">
        <w:t>S</w:t>
      </w:r>
      <w:r>
        <w:t xml:space="preserve">tudy NO25026 or </w:t>
      </w:r>
      <w:r w:rsidR="003B3421">
        <w:t xml:space="preserve">as </w:t>
      </w:r>
      <w:r>
        <w:t xml:space="preserve">first treatment </w:t>
      </w:r>
      <w:r w:rsidR="003B3421">
        <w:t>in S</w:t>
      </w:r>
      <w:r>
        <w:t>tud</w:t>
      </w:r>
      <w:r w:rsidR="003B3421">
        <w:t>ies</w:t>
      </w:r>
      <w:r>
        <w:t xml:space="preserve"> NP22657 and PLX06-02 and the data of progression, based on the actual tumour assessment date or death for any cause whichever occurred first.</w:t>
      </w:r>
      <w:r w:rsidRPr="003B4482">
        <w:rPr>
          <w:i/>
        </w:rPr>
        <w:t xml:space="preserve"> </w:t>
      </w:r>
      <w:r>
        <w:t>Best overall response rate (BORR) for the studies were defined as complete response or partial response.</w:t>
      </w:r>
      <w:r w:rsidRPr="003B4482">
        <w:rPr>
          <w:i/>
        </w:rPr>
        <w:t xml:space="preserve"> </w:t>
      </w:r>
      <w:r>
        <w:t>This response was assessed by RECIST.</w:t>
      </w:r>
      <w:r w:rsidRPr="003B4482">
        <w:rPr>
          <w:i/>
        </w:rPr>
        <w:t xml:space="preserve"> </w:t>
      </w:r>
      <w:r>
        <w:t>All responses for CR or PR were confirmed at the next tumour assessment.</w:t>
      </w:r>
      <w:r w:rsidRPr="003B4482">
        <w:rPr>
          <w:i/>
        </w:rPr>
        <w:t xml:space="preserve"> </w:t>
      </w:r>
      <w:r>
        <w:t>Pat</w:t>
      </w:r>
      <w:r w:rsidR="003B3421">
        <w:t xml:space="preserve">ients who did not have any post </w:t>
      </w:r>
      <w:r>
        <w:t xml:space="preserve">baseline tumour assessment were considered </w:t>
      </w:r>
      <w:r w:rsidR="003B3421">
        <w:t xml:space="preserve">as </w:t>
      </w:r>
      <w:r>
        <w:t>non-responders.</w:t>
      </w:r>
      <w:r w:rsidRPr="003B4482">
        <w:rPr>
          <w:i/>
        </w:rPr>
        <w:t xml:space="preserve"> </w:t>
      </w:r>
    </w:p>
    <w:p w:rsidR="003B4482" w:rsidRDefault="003B4482" w:rsidP="003B4482">
      <w:pPr>
        <w:jc w:val="both"/>
      </w:pPr>
      <w:r>
        <w:t xml:space="preserve">Duration of response was defined as the interval between the date of the earliest qualifying response and the date of </w:t>
      </w:r>
      <w:r w:rsidR="00EE5BAF">
        <w:t>progressive disease</w:t>
      </w:r>
      <w:r>
        <w:t xml:space="preserve"> or death from any cause.</w:t>
      </w:r>
      <w:r w:rsidRPr="003B4482">
        <w:rPr>
          <w:i/>
        </w:rPr>
        <w:t xml:space="preserve"> </w:t>
      </w:r>
      <w:r>
        <w:t>This was calculated only for patients who had a best overall response to CR or PR.</w:t>
      </w:r>
      <w:r w:rsidRPr="003B4482">
        <w:rPr>
          <w:i/>
        </w:rPr>
        <w:t xml:space="preserve"> </w:t>
      </w:r>
    </w:p>
    <w:p w:rsidR="003B4482" w:rsidRDefault="003B4482" w:rsidP="003B4482">
      <w:pPr>
        <w:jc w:val="both"/>
      </w:pPr>
      <w:r>
        <w:lastRenderedPageBreak/>
        <w:t>All these above endpoints were assessed statistically by chi-square tests stratified log-rank tests and Kaplan-Meier curves.</w:t>
      </w:r>
      <w:r w:rsidRPr="003B4482">
        <w:rPr>
          <w:i/>
        </w:rPr>
        <w:t xml:space="preserve"> </w:t>
      </w:r>
    </w:p>
    <w:p w:rsidR="003B4482" w:rsidRDefault="003B4482" w:rsidP="00C10BC3">
      <w:pPr>
        <w:pStyle w:val="Heading5"/>
      </w:pPr>
      <w:r>
        <w:t>Pivotal study NO25026</w:t>
      </w:r>
      <w:r w:rsidRPr="003B4482">
        <w:t xml:space="preserve">   </w:t>
      </w:r>
      <w:r>
        <w:t xml:space="preserve"> </w:t>
      </w:r>
    </w:p>
    <w:p w:rsidR="003B4482" w:rsidRDefault="003B4482" w:rsidP="003B4482">
      <w:pPr>
        <w:jc w:val="both"/>
      </w:pPr>
      <w:r>
        <w:t xml:space="preserve">This randomised </w:t>
      </w:r>
      <w:r w:rsidR="00D73147" w:rsidRPr="00D73147">
        <w:t>open label</w:t>
      </w:r>
      <w:r>
        <w:t xml:space="preserve"> controlled multicentre </w:t>
      </w:r>
      <w:r w:rsidRPr="003B4482">
        <w:t>Phase I</w:t>
      </w:r>
      <w:r>
        <w:t>II study was conducted in a total of 104 centres including US, Europe, Canada, New Zealand and Australia.</w:t>
      </w:r>
      <w:r w:rsidRPr="003B4482">
        <w:rPr>
          <w:i/>
        </w:rPr>
        <w:t xml:space="preserve"> </w:t>
      </w:r>
      <w:r>
        <w:t xml:space="preserve">The first patient was randomised to trial on 4 January 2010, with 30 December 2010 </w:t>
      </w:r>
      <w:r w:rsidR="003B3421">
        <w:t xml:space="preserve">as </w:t>
      </w:r>
      <w:r>
        <w:t>the clinical cut-off date for final evaluation.</w:t>
      </w:r>
      <w:r w:rsidRPr="003B4482">
        <w:rPr>
          <w:i/>
        </w:rPr>
        <w:t xml:space="preserve"> </w:t>
      </w:r>
      <w:r>
        <w:t>A total of 680 patien</w:t>
      </w:r>
      <w:r w:rsidR="003B3421">
        <w:t>ts were planned to be enrolled i</w:t>
      </w:r>
      <w:r>
        <w:t>n this study.</w:t>
      </w:r>
      <w:r w:rsidR="003B3421">
        <w:t xml:space="preserve"> P</w:t>
      </w:r>
      <w:r>
        <w:t>atients were randomised at a 1:1 ratio to either oral VEM administered twice daily at a dose of 96</w:t>
      </w:r>
      <w:r w:rsidRPr="003B4482">
        <w:t>0 mg</w:t>
      </w:r>
      <w:r>
        <w:t xml:space="preserve"> or the control arm of Dacarb</w:t>
      </w:r>
      <w:r w:rsidR="003B3421">
        <w:t>azine administered IV</w:t>
      </w:r>
      <w:r>
        <w:t xml:space="preserve"> </w:t>
      </w:r>
      <w:r w:rsidR="003B3421">
        <w:t xml:space="preserve">at </w:t>
      </w:r>
      <w:r>
        <w:t>100</w:t>
      </w:r>
      <w:r w:rsidRPr="003B4482">
        <w:t>0 mg</w:t>
      </w:r>
      <w:r>
        <w:t>/m</w:t>
      </w:r>
      <w:r>
        <w:rPr>
          <w:vertAlign w:val="superscript"/>
        </w:rPr>
        <w:t>2</w:t>
      </w:r>
      <w:r w:rsidR="003B3421">
        <w:t xml:space="preserve"> on D</w:t>
      </w:r>
      <w:r>
        <w:t>ay 1 every three weeks.</w:t>
      </w:r>
      <w:r w:rsidRPr="003B4482">
        <w:rPr>
          <w:i/>
        </w:rPr>
        <w:t xml:space="preserve"> </w:t>
      </w:r>
      <w:r>
        <w:t>Patients were to continue on therapy until disease progression, treatment withdrawal or patient withdrawal.</w:t>
      </w:r>
      <w:r w:rsidRPr="003B4482">
        <w:rPr>
          <w:i/>
        </w:rPr>
        <w:t xml:space="preserve"> </w:t>
      </w:r>
    </w:p>
    <w:p w:rsidR="003B4482" w:rsidRDefault="003B4482" w:rsidP="003B4482">
      <w:pPr>
        <w:jc w:val="both"/>
      </w:pPr>
      <w:r>
        <w:t>Primary analyses for the assessment the two primary co-endpoints OS and PFS were performed for the per protocol population as exploratory analyses.</w:t>
      </w:r>
      <w:r w:rsidRPr="003B4482">
        <w:rPr>
          <w:i/>
        </w:rPr>
        <w:t xml:space="preserve"> </w:t>
      </w:r>
    </w:p>
    <w:p w:rsidR="003B4482" w:rsidRDefault="003B4482" w:rsidP="003B4482">
      <w:pPr>
        <w:jc w:val="both"/>
      </w:pPr>
      <w:r>
        <w:t>A total of 675 patients were randomised</w:t>
      </w:r>
      <w:r w:rsidR="003B3421">
        <w:t>;</w:t>
      </w:r>
      <w:r>
        <w:t xml:space="preserve"> 337 to the VEM group and 338 to </w:t>
      </w:r>
      <w:r w:rsidR="00BB2876">
        <w:t>the dacarbazine</w:t>
      </w:r>
      <w:r>
        <w:t xml:space="preserve"> group.</w:t>
      </w:r>
      <w:r w:rsidRPr="003B4482">
        <w:rPr>
          <w:i/>
        </w:rPr>
        <w:t xml:space="preserve"> </w:t>
      </w:r>
      <w:r>
        <w:t>Baseline characteristics were well balanced between</w:t>
      </w:r>
      <w:r w:rsidR="003B3421">
        <w:t xml:space="preserve"> the two groups</w:t>
      </w:r>
      <w:r>
        <w:t>.</w:t>
      </w:r>
      <w:r w:rsidRPr="003B4482">
        <w:rPr>
          <w:i/>
        </w:rPr>
        <w:t xml:space="preserve"> </w:t>
      </w:r>
      <w:r>
        <w:t xml:space="preserve">Ninety-nine percent of the patients recruited to the study were </w:t>
      </w:r>
      <w:r w:rsidR="003B3421">
        <w:t>W</w:t>
      </w:r>
      <w:r>
        <w:t xml:space="preserve">hite with a median age of 53-55 years with slightly more men </w:t>
      </w:r>
      <w:r w:rsidR="003B3421">
        <w:t>(</w:t>
      </w:r>
      <w:r>
        <w:t>56%</w:t>
      </w:r>
      <w:r w:rsidR="003B3421">
        <w:t>)</w:t>
      </w:r>
      <w:r>
        <w:t xml:space="preserve"> than women </w:t>
      </w:r>
      <w:r w:rsidR="003B3421">
        <w:t>(</w:t>
      </w:r>
      <w:r>
        <w:t>44%</w:t>
      </w:r>
      <w:r w:rsidR="003B3421">
        <w:t>)</w:t>
      </w:r>
      <w:r>
        <w:t>.</w:t>
      </w:r>
      <w:r w:rsidRPr="003B4482">
        <w:rPr>
          <w:i/>
        </w:rPr>
        <w:t xml:space="preserve"> </w:t>
      </w:r>
    </w:p>
    <w:p w:rsidR="003B4482" w:rsidRDefault="003B3421" w:rsidP="003B4482">
      <w:pPr>
        <w:jc w:val="both"/>
      </w:pPr>
      <w:r>
        <w:t>B</w:t>
      </w:r>
      <w:r w:rsidR="003B4482">
        <w:t xml:space="preserve">aseline disease characteristics in </w:t>
      </w:r>
      <w:r>
        <w:t xml:space="preserve">the </w:t>
      </w:r>
      <w:r w:rsidR="003B4482">
        <w:t xml:space="preserve">treatment groups </w:t>
      </w:r>
      <w:r>
        <w:t>were</w:t>
      </w:r>
      <w:r w:rsidR="003B4482">
        <w:t xml:space="preserve"> well balanced with respect to all stratification factors including each of the four disease stage classifications, </w:t>
      </w:r>
      <w:r>
        <w:t>lactose dehydro</w:t>
      </w:r>
      <w:r w:rsidR="00E23CE0">
        <w:t>x</w:t>
      </w:r>
      <w:r>
        <w:t>yg</w:t>
      </w:r>
      <w:r w:rsidR="00E23CE0">
        <w:t>e</w:t>
      </w:r>
      <w:r>
        <w:t>nase (</w:t>
      </w:r>
      <w:r w:rsidR="003B4482">
        <w:t>LDH</w:t>
      </w:r>
      <w:r>
        <w:t>)</w:t>
      </w:r>
      <w:r w:rsidR="003B4482">
        <w:t xml:space="preserve"> at baseline and baseline ECOG performance status.</w:t>
      </w:r>
      <w:r w:rsidR="003B4482" w:rsidRPr="003B4482">
        <w:rPr>
          <w:i/>
        </w:rPr>
        <w:t xml:space="preserve"> </w:t>
      </w:r>
      <w:r w:rsidR="003B4482">
        <w:t>The majority of patients had M1C stage disease and LDH was elevated in 42% of patients in both treatment groups.</w:t>
      </w:r>
      <w:r w:rsidR="003B4482" w:rsidRPr="003B4482">
        <w:rPr>
          <w:i/>
        </w:rPr>
        <w:t xml:space="preserve"> </w:t>
      </w:r>
    </w:p>
    <w:p w:rsidR="003B4482" w:rsidRDefault="003B3421" w:rsidP="003B4482">
      <w:pPr>
        <w:jc w:val="both"/>
      </w:pPr>
      <w:r>
        <w:t xml:space="preserve">With respect to </w:t>
      </w:r>
      <w:r w:rsidR="003B4482">
        <w:t>disposition of patients, with the majority of patients in all studies discontinu</w:t>
      </w:r>
      <w:r>
        <w:t>ed</w:t>
      </w:r>
      <w:r w:rsidR="003B4482">
        <w:t xml:space="preserve"> VEM treatment because of progression of disease with a low incidence of premature discontinuations related to safety.</w:t>
      </w:r>
    </w:p>
    <w:p w:rsidR="003B4482" w:rsidRDefault="003B4482" w:rsidP="003B4482">
      <w:pPr>
        <w:jc w:val="both"/>
      </w:pPr>
      <w:r>
        <w:t>The median duration of VEM treatment in the pivotal study was 3.09 months.</w:t>
      </w:r>
      <w:r w:rsidRPr="003B4482">
        <w:rPr>
          <w:i/>
        </w:rPr>
        <w:t xml:space="preserve"> </w:t>
      </w:r>
      <w:r>
        <w:t>The mean total daily dose was 1.</w:t>
      </w:r>
      <w:r w:rsidRPr="002B160C">
        <w:t>67</w:t>
      </w:r>
      <w:r w:rsidR="003B3421" w:rsidRPr="002B160C">
        <w:t xml:space="preserve"> </w:t>
      </w:r>
      <w:r w:rsidRPr="002B160C">
        <w:t>g per day with a target dose of 1.9</w:t>
      </w:r>
      <w:r w:rsidR="003B3421" w:rsidRPr="002B160C">
        <w:t xml:space="preserve"> </w:t>
      </w:r>
      <w:r w:rsidRPr="002B160C">
        <w:t>g per</w:t>
      </w:r>
      <w:r>
        <w:t xml:space="preserve"> day.</w:t>
      </w:r>
    </w:p>
    <w:p w:rsidR="003B4482" w:rsidRDefault="003B4482" w:rsidP="003B4482">
      <w:pPr>
        <w:jc w:val="both"/>
      </w:pPr>
      <w:r w:rsidRPr="00C10BC3">
        <w:t xml:space="preserve">A summary of the main efficacy results of the pivotal study is given in Table </w:t>
      </w:r>
      <w:r w:rsidR="00C10BC3" w:rsidRPr="00C10BC3">
        <w:t>19</w:t>
      </w:r>
      <w:r w:rsidRPr="00C10BC3">
        <w:t>.</w:t>
      </w:r>
    </w:p>
    <w:p w:rsidR="00C10BC3" w:rsidRDefault="00F016D0" w:rsidP="00C10BC3">
      <w:pPr>
        <w:pStyle w:val="FigureTitle"/>
        <w:keepNext/>
      </w:pPr>
      <w:r>
        <w:rPr>
          <w:noProof/>
          <w:lang w:eastAsia="zh-TW"/>
        </w:rPr>
        <w:lastRenderedPageBreak/>
        <w:pict>
          <v:shape id="Text Box 42" o:spid="_x0000_s1057" type="#_x0000_t202" style="position:absolute;margin-left:-.55pt;margin-top:17.65pt;width:62pt;height:20.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" stroked="f">
            <v:textbox>
              <w:txbxContent>
                <w:p w:rsidR="00A408DA" w:rsidRDefault="00A408DA"/>
              </w:txbxContent>
            </v:textbox>
          </v:shape>
        </w:pict>
      </w:r>
      <w:r w:rsidR="00C10BC3">
        <w:t xml:space="preserve">Table 19. </w:t>
      </w:r>
    </w:p>
    <w:p w:rsidR="00C10BC3" w:rsidRDefault="005B75BE" w:rsidP="00C10BC3">
      <w:pPr>
        <w:keepNext/>
        <w:tabs>
          <w:tab w:val="left" w:pos="0"/>
        </w:tabs>
      </w:pPr>
      <w:r>
        <w:rPr>
          <w:noProof/>
          <w:lang w:eastAsia="en-AU"/>
        </w:rPr>
        <w:drawing>
          <wp:inline distT="0" distB="0" distL="0" distR="0">
            <wp:extent cx="4895850" cy="6934200"/>
            <wp:effectExtent l="19050" t="0" r="0" b="0"/>
            <wp:docPr id="42" name="Picture 42" descr="Tabl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5953"/>
                    <a:stretch>
                      <a:fillRect/>
                    </a:stretch>
                  </pic:blipFill>
                  <pic:spPr bwMode="auto">
                    <a:xfrm>
                      <a:off x="0" y="0"/>
                      <a:ext cx="4895850" cy="6934200"/>
                    </a:xfrm>
                    <a:prstGeom prst="rect">
                      <a:avLst/>
                    </a:prstGeom>
                    <a:noFill/>
                    <a:ln>
                      <a:noFill/>
                    </a:ln>
                  </pic:spPr>
                </pic:pic>
              </a:graphicData>
            </a:graphic>
          </wp:inline>
        </w:drawing>
      </w:r>
    </w:p>
    <w:p w:rsidR="00C10BC3" w:rsidRDefault="005B75BE" w:rsidP="00C10BC3">
      <w:pPr>
        <w:tabs>
          <w:tab w:val="left" w:pos="0"/>
        </w:tabs>
      </w:pPr>
      <w:r>
        <w:rPr>
          <w:noProof/>
          <w:lang w:eastAsia="en-AU"/>
        </w:rPr>
        <w:drawing>
          <wp:inline distT="0" distB="0" distL="0" distR="0">
            <wp:extent cx="4819650" cy="1038225"/>
            <wp:effectExtent l="19050" t="0" r="0" b="0"/>
            <wp:docPr id="43" name="Picture 43" descr="Tabl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74" t="30656" r="10062" b="10020"/>
                    <a:stretch>
                      <a:fillRect/>
                    </a:stretch>
                  </pic:blipFill>
                  <pic:spPr bwMode="auto">
                    <a:xfrm>
                      <a:off x="0" y="0"/>
                      <a:ext cx="4819650" cy="1038225"/>
                    </a:xfrm>
                    <a:prstGeom prst="rect">
                      <a:avLst/>
                    </a:prstGeom>
                    <a:noFill/>
                    <a:ln>
                      <a:noFill/>
                    </a:ln>
                  </pic:spPr>
                </pic:pic>
              </a:graphicData>
            </a:graphic>
          </wp:inline>
        </w:drawing>
      </w:r>
    </w:p>
    <w:p w:rsidR="003B4482" w:rsidRDefault="003B4482" w:rsidP="003B4482">
      <w:pPr>
        <w:jc w:val="both"/>
      </w:pPr>
      <w:r>
        <w:lastRenderedPageBreak/>
        <w:t xml:space="preserve">Reviewing overall survival </w:t>
      </w:r>
      <w:r w:rsidR="00F83869">
        <w:t>(</w:t>
      </w:r>
      <w:r>
        <w:t>a co-primary endpoint</w:t>
      </w:r>
      <w:r w:rsidR="00F83869">
        <w:t>)</w:t>
      </w:r>
      <w:r>
        <w:t>,</w:t>
      </w:r>
      <w:r w:rsidR="00F83869">
        <w:t xml:space="preserve"> </w:t>
      </w:r>
      <w:r>
        <w:t xml:space="preserve">the unstratified analysis for all randomised patients showed </w:t>
      </w:r>
      <w:r w:rsidR="00F83869">
        <w:t xml:space="preserve">that </w:t>
      </w:r>
      <w:r>
        <w:t xml:space="preserve">the treatment with VEM demonstrated a clinically meaningful and statistically significant improvement in the duration of overall survival compared </w:t>
      </w:r>
      <w:r w:rsidR="002332C1">
        <w:t>with dacarbazine</w:t>
      </w:r>
      <w:r>
        <w:t xml:space="preserve"> treatment with a P value &lt;0.0001 by the log rank test.</w:t>
      </w:r>
      <w:r w:rsidRPr="003B4482">
        <w:rPr>
          <w:i/>
        </w:rPr>
        <w:t xml:space="preserve"> </w:t>
      </w:r>
      <w:r>
        <w:t xml:space="preserve">The hazard ratio for death was 0.37 representing a 63% decrease in the hazard of death for patients in the VEM group compared with the patients in </w:t>
      </w:r>
      <w:r w:rsidR="00BB2876">
        <w:t>the dacarbazine</w:t>
      </w:r>
      <w:r>
        <w:t xml:space="preserve"> group.</w:t>
      </w:r>
    </w:p>
    <w:p w:rsidR="003B4482" w:rsidRPr="001848B0" w:rsidRDefault="003B4482" w:rsidP="003B4482">
      <w:pPr>
        <w:jc w:val="both"/>
      </w:pPr>
      <w:r>
        <w:t xml:space="preserve">The Kaplan-Meier </w:t>
      </w:r>
      <w:r w:rsidR="00F83869">
        <w:t xml:space="preserve">(KM) </w:t>
      </w:r>
      <w:r>
        <w:t>estimate of the proportional life at six months of patients in the VEM group was 84%</w:t>
      </w:r>
      <w:r w:rsidR="00F83869">
        <w:t xml:space="preserve"> whereas in </w:t>
      </w:r>
      <w:r w:rsidR="00BB2876">
        <w:t>the dacarbazine</w:t>
      </w:r>
      <w:r>
        <w:t xml:space="preserve"> group </w:t>
      </w:r>
      <w:r w:rsidR="00F83869">
        <w:t xml:space="preserve">it was </w:t>
      </w:r>
      <w:r>
        <w:t>64%.</w:t>
      </w:r>
      <w:r w:rsidRPr="003B4482">
        <w:rPr>
          <w:i/>
        </w:rPr>
        <w:t xml:space="preserve"> </w:t>
      </w:r>
      <w:r>
        <w:t xml:space="preserve">The KM curves for overall survival depicted the KM estimate of the proportion of patients who were alive by time since </w:t>
      </w:r>
      <w:r w:rsidRPr="00C10BC3">
        <w:t xml:space="preserve">randomisation in Figure </w:t>
      </w:r>
      <w:r w:rsidR="00C10BC3" w:rsidRPr="00C10BC3">
        <w:t>2</w:t>
      </w:r>
      <w:r w:rsidR="009A3DAC">
        <w:t>2</w:t>
      </w:r>
      <w:r w:rsidRPr="00C10BC3">
        <w:t>.</w:t>
      </w:r>
      <w:r w:rsidRPr="00C10BC3">
        <w:rPr>
          <w:i/>
        </w:rPr>
        <w:t xml:space="preserve"> </w:t>
      </w:r>
      <w:r w:rsidRPr="00C10BC3">
        <w:t>At the time of</w:t>
      </w:r>
      <w:r>
        <w:t xml:space="preserve"> analysis</w:t>
      </w:r>
      <w:r w:rsidR="00F83869">
        <w:t>,</w:t>
      </w:r>
      <w:r>
        <w:t xml:space="preserve"> the KM estimate of median overall survival for the VEM group was 9.23 months with the upper limit of 95% CI not being reached, with six patients in follow up.</w:t>
      </w:r>
      <w:r w:rsidRPr="003B4482">
        <w:rPr>
          <w:i/>
        </w:rPr>
        <w:t xml:space="preserve"> </w:t>
      </w:r>
      <w:r>
        <w:t xml:space="preserve">For </w:t>
      </w:r>
      <w:r w:rsidR="00BB2876">
        <w:t>the dacarbazine</w:t>
      </w:r>
      <w:r>
        <w:t xml:space="preserve"> group the median overall survival was 7.75 months with 10 patients in follow up.</w:t>
      </w:r>
      <w:r w:rsidR="009702FF">
        <w:rPr>
          <w:rStyle w:val="FootnoteReference"/>
        </w:rPr>
        <w:footnoteReference w:id="21"/>
      </w:r>
      <w:r w:rsidRPr="003B4482">
        <w:rPr>
          <w:i/>
        </w:rPr>
        <w:t xml:space="preserve"> </w:t>
      </w:r>
    </w:p>
    <w:p w:rsidR="00C10BC3" w:rsidRDefault="00F016D0" w:rsidP="002B160C">
      <w:pPr>
        <w:pStyle w:val="FigureTitle"/>
      </w:pPr>
      <w:r>
        <w:rPr>
          <w:noProof/>
          <w:lang w:eastAsia="zh-TW"/>
        </w:rPr>
        <w:pict>
          <v:shape id="Text Box 57" o:spid="_x0000_s1058" type="#_x0000_t202" style="position:absolute;margin-left:57.05pt;margin-top:28.95pt;width:159.65pt;height:2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XKiAIAABkFAAAOAAAAZHJzL2Uyb0RvYy54bWysVFtv2yAUfp+0/4B4T32p3cR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" stroked="f">
            <v:textbox>
              <w:txbxContent>
                <w:p w:rsidR="00A408DA" w:rsidRDefault="00A408DA"/>
              </w:txbxContent>
            </v:textbox>
          </v:shape>
        </w:pict>
      </w:r>
      <w:r>
        <w:rPr>
          <w:noProof/>
          <w:lang w:eastAsia="zh-TW"/>
        </w:rPr>
        <w:pict>
          <v:shape id="Text Box 43" o:spid="_x0000_s1059" type="#_x0000_t202" style="position:absolute;margin-left:-4.9pt;margin-top:16.9pt;width:75.75pt;height:3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" stroked="f">
            <v:textbox>
              <w:txbxContent>
                <w:p w:rsidR="00A408DA" w:rsidRDefault="00A408DA"/>
              </w:txbxContent>
            </v:textbox>
          </v:shape>
        </w:pict>
      </w:r>
      <w:r w:rsidR="00C10BC3">
        <w:t>Figure 2</w:t>
      </w:r>
      <w:r w:rsidR="009A3DAC">
        <w:t>2</w:t>
      </w:r>
      <w:r w:rsidR="00C10BC3">
        <w:t xml:space="preserve">. </w:t>
      </w:r>
      <w:r w:rsidR="005B75BE">
        <w:rPr>
          <w:noProof/>
          <w:lang w:eastAsia="en-AU"/>
        </w:rPr>
        <w:drawing>
          <wp:inline distT="0" distB="0" distL="0" distR="0">
            <wp:extent cx="5124450" cy="4171950"/>
            <wp:effectExtent l="19050" t="0" r="0" b="0"/>
            <wp:docPr id="44" name="Picture 44" descr="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43" r="7974" b="6345"/>
                    <a:stretch>
                      <a:fillRect/>
                    </a:stretch>
                  </pic:blipFill>
                  <pic:spPr bwMode="auto">
                    <a:xfrm>
                      <a:off x="0" y="0"/>
                      <a:ext cx="5124450" cy="4171950"/>
                    </a:xfrm>
                    <a:prstGeom prst="rect">
                      <a:avLst/>
                    </a:prstGeom>
                    <a:noFill/>
                    <a:ln>
                      <a:noFill/>
                    </a:ln>
                  </pic:spPr>
                </pic:pic>
              </a:graphicData>
            </a:graphic>
          </wp:inline>
        </w:drawing>
      </w:r>
    </w:p>
    <w:p w:rsidR="003B4482" w:rsidRDefault="00F83869" w:rsidP="003B4482">
      <w:pPr>
        <w:jc w:val="both"/>
      </w:pPr>
      <w:r>
        <w:t xml:space="preserve">A sub group analysis of pre </w:t>
      </w:r>
      <w:r w:rsidR="003B4482">
        <w:t xml:space="preserve">treatment factors in relation to the influence overall survival revealed a treatment effect in favour of VEM clearly observed across all </w:t>
      </w:r>
      <w:r w:rsidR="0013332A">
        <w:t>sub group</w:t>
      </w:r>
      <w:r w:rsidR="003B4482">
        <w:t>s.</w:t>
      </w:r>
    </w:p>
    <w:p w:rsidR="003B4482" w:rsidRDefault="003B4482" w:rsidP="003B4482">
      <w:pPr>
        <w:jc w:val="both"/>
      </w:pPr>
      <w:r>
        <w:t>A sensitivity analysis of OS was performed in which the stratified log-rank test was performed and a stratified hazard ratio was calculated.</w:t>
      </w:r>
      <w:r w:rsidRPr="003B4482">
        <w:rPr>
          <w:i/>
        </w:rPr>
        <w:t xml:space="preserve"> </w:t>
      </w:r>
      <w:r>
        <w:t>Stratification factors included metastatic classification and ECOG performance status.</w:t>
      </w:r>
      <w:r w:rsidRPr="003B4482">
        <w:rPr>
          <w:i/>
        </w:rPr>
        <w:t xml:space="preserve"> </w:t>
      </w:r>
      <w:r>
        <w:t>Results were consistent with the results from the unstratified analyses, again with a P value of &lt;0.0001 and a stratified hazard ratio of 0.36.</w:t>
      </w:r>
      <w:r w:rsidRPr="003B4482">
        <w:rPr>
          <w:i/>
        </w:rPr>
        <w:t xml:space="preserve"> </w:t>
      </w:r>
    </w:p>
    <w:p w:rsidR="003B4482" w:rsidRDefault="003B4482" w:rsidP="003B4482">
      <w:pPr>
        <w:jc w:val="both"/>
      </w:pPr>
      <w:r>
        <w:lastRenderedPageBreak/>
        <w:t xml:space="preserve">Reviewing progression free </w:t>
      </w:r>
      <w:r w:rsidRPr="002B160C">
        <w:t>survival (PFS) which</w:t>
      </w:r>
      <w:r>
        <w:t xml:space="preserve"> is a co-primary endpoint, the final analysis of PFS was performed as planned at the time of the interim analysis OS.</w:t>
      </w:r>
      <w:r w:rsidRPr="003B4482">
        <w:rPr>
          <w:i/>
        </w:rPr>
        <w:t xml:space="preserve"> </w:t>
      </w:r>
      <w:r>
        <w:t>Among the 549 patients evaluable for analysis of PFS</w:t>
      </w:r>
      <w:r w:rsidR="00F83869">
        <w:t xml:space="preserve"> (the </w:t>
      </w:r>
      <w:r>
        <w:t>ITT population</w:t>
      </w:r>
      <w:r w:rsidR="00F83869">
        <w:t>)</w:t>
      </w:r>
      <w:r>
        <w:t xml:space="preserve">, a total of 286 patients had died or experienced disease progression at clinical cut-off being 104 patients in the VEM group and 182 in </w:t>
      </w:r>
      <w:r w:rsidR="00BB2876">
        <w:t>the dacarbazine</w:t>
      </w:r>
      <w:r>
        <w:t xml:space="preserve"> </w:t>
      </w:r>
      <w:r w:rsidRPr="002B160C">
        <w:t xml:space="preserve">group, as indicated in Table </w:t>
      </w:r>
      <w:r w:rsidR="00F5770D" w:rsidRPr="002B160C">
        <w:t>20</w:t>
      </w:r>
      <w:r w:rsidRPr="002B160C">
        <w:t>,</w:t>
      </w:r>
      <w:r>
        <w:t xml:space="preserve"> unstratified analysis of PFS demonstrated statistically significant increase in PFS in favour of the VEM group with a P value of &lt;0.0001 by log rank test.</w:t>
      </w:r>
      <w:r w:rsidRPr="003B4482">
        <w:rPr>
          <w:i/>
        </w:rPr>
        <w:t xml:space="preserve"> </w:t>
      </w:r>
      <w:r>
        <w:t xml:space="preserve">The unstratified hazard ratio for progression or death for VEM relative </w:t>
      </w:r>
      <w:r w:rsidR="002332C1">
        <w:t>to dacarbazine</w:t>
      </w:r>
      <w:r>
        <w:t xml:space="preserve"> was 0.26.</w:t>
      </w:r>
      <w:r w:rsidRPr="003B4482">
        <w:rPr>
          <w:i/>
        </w:rPr>
        <w:t xml:space="preserve"> </w:t>
      </w:r>
      <w:r>
        <w:t xml:space="preserve">This represented a 74% decrease in the hazard of progression or death in the VEM group compared with </w:t>
      </w:r>
      <w:r w:rsidR="00BB2876">
        <w:t>the dacarbazine</w:t>
      </w:r>
      <w:r>
        <w:t xml:space="preserve"> group.</w:t>
      </w:r>
      <w:r>
        <w:rPr>
          <w:b/>
        </w:rPr>
        <w:t xml:space="preserve"> </w:t>
      </w:r>
      <w:r>
        <w:t xml:space="preserve">The KM estimate of median PFS for patients in the VEM group was 5.32 months </w:t>
      </w:r>
      <w:r w:rsidR="00F83869">
        <w:t xml:space="preserve">where as in </w:t>
      </w:r>
      <w:r w:rsidR="00BB2876">
        <w:t>the dacarbazine</w:t>
      </w:r>
      <w:r>
        <w:t xml:space="preserve"> group </w:t>
      </w:r>
      <w:r w:rsidR="00F83869">
        <w:t xml:space="preserve">it </w:t>
      </w:r>
      <w:r>
        <w:t xml:space="preserve">was 1.61 </w:t>
      </w:r>
      <w:r w:rsidRPr="002B160C">
        <w:t xml:space="preserve">months as indicated Figure </w:t>
      </w:r>
      <w:r w:rsidR="009A3DAC" w:rsidRPr="002B160C">
        <w:t>23</w:t>
      </w:r>
      <w:r w:rsidRPr="002B160C">
        <w:t>.</w:t>
      </w:r>
      <w:r w:rsidRPr="003B4482">
        <w:rPr>
          <w:i/>
        </w:rPr>
        <w:t xml:space="preserve"> </w:t>
      </w:r>
      <w:r>
        <w:t>At six months</w:t>
      </w:r>
      <w:r w:rsidR="00F83869">
        <w:t>, the</w:t>
      </w:r>
      <w:r>
        <w:t xml:space="preserve"> KM estimate of the percentage of patients who were progression free in the VEM group was 47% </w:t>
      </w:r>
      <w:r w:rsidR="00F83869">
        <w:t xml:space="preserve">as </w:t>
      </w:r>
      <w:r>
        <w:t xml:space="preserve">compared </w:t>
      </w:r>
      <w:r w:rsidR="00F83869">
        <w:t xml:space="preserve">to 12% in </w:t>
      </w:r>
      <w:r w:rsidR="00BB2876">
        <w:t>the dacarbazine</w:t>
      </w:r>
      <w:r>
        <w:t xml:space="preserve"> group.</w:t>
      </w:r>
      <w:r w:rsidRPr="003B4482">
        <w:rPr>
          <w:i/>
        </w:rPr>
        <w:t xml:space="preserve"> </w:t>
      </w:r>
    </w:p>
    <w:p w:rsidR="00F5770D" w:rsidRDefault="00F5770D" w:rsidP="00F5770D">
      <w:pPr>
        <w:pStyle w:val="FigureTitle"/>
      </w:pPr>
      <w:r>
        <w:t>Table 20.</w:t>
      </w:r>
    </w:p>
    <w:p w:rsidR="00F5770D" w:rsidRDefault="00F016D0" w:rsidP="00F5770D">
      <w:pPr>
        <w:tabs>
          <w:tab w:val="left" w:pos="0"/>
        </w:tabs>
      </w:pPr>
      <w:r>
        <w:rPr>
          <w:noProof/>
          <w:lang w:eastAsia="zh-TW"/>
        </w:rPr>
        <w:pict>
          <v:shape id="Text Box 44" o:spid="_x0000_s1060" type="#_x0000_t202" style="position:absolute;margin-left:-3.65pt;margin-top:.65pt;width:70.1pt;height:20.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SQhQIAABg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" stroked="f">
            <v:textbox>
              <w:txbxContent>
                <w:p w:rsidR="00A408DA" w:rsidRDefault="00A408DA"/>
              </w:txbxContent>
            </v:textbox>
          </v:shape>
        </w:pict>
      </w:r>
      <w:r w:rsidR="005B75BE">
        <w:rPr>
          <w:noProof/>
          <w:lang w:eastAsia="en-AU"/>
        </w:rPr>
        <w:drawing>
          <wp:inline distT="0" distB="0" distL="0" distR="0">
            <wp:extent cx="5124450" cy="4286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14" r="7121" b="91217"/>
                    <a:stretch>
                      <a:fillRect/>
                    </a:stretch>
                  </pic:blipFill>
                  <pic:spPr bwMode="auto">
                    <a:xfrm>
                      <a:off x="0" y="0"/>
                      <a:ext cx="5124450" cy="428625"/>
                    </a:xfrm>
                    <a:prstGeom prst="rect">
                      <a:avLst/>
                    </a:prstGeom>
                    <a:noFill/>
                    <a:ln>
                      <a:noFill/>
                    </a:ln>
                  </pic:spPr>
                </pic:pic>
              </a:graphicData>
            </a:graphic>
          </wp:inline>
        </w:drawing>
      </w:r>
    </w:p>
    <w:p w:rsidR="002B160C" w:rsidRDefault="005B75BE" w:rsidP="00F5770D">
      <w:pPr>
        <w:tabs>
          <w:tab w:val="left" w:pos="0"/>
        </w:tabs>
      </w:pPr>
      <w:r>
        <w:rPr>
          <w:noProof/>
          <w:lang w:eastAsia="en-AU"/>
        </w:rPr>
        <w:drawing>
          <wp:inline distT="0" distB="0" distL="0" distR="0">
            <wp:extent cx="5734050" cy="3914775"/>
            <wp:effectExtent l="19050" t="0" r="0" b="0"/>
            <wp:docPr id="46" name="Picture 46" descr="Tab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14" t="21446" r="7121" b="7233"/>
                    <a:stretch>
                      <a:fillRect/>
                    </a:stretch>
                  </pic:blipFill>
                  <pic:spPr bwMode="auto">
                    <a:xfrm>
                      <a:off x="0" y="0"/>
                      <a:ext cx="5734050" cy="3914775"/>
                    </a:xfrm>
                    <a:prstGeom prst="rect">
                      <a:avLst/>
                    </a:prstGeom>
                    <a:noFill/>
                    <a:ln>
                      <a:noFill/>
                    </a:ln>
                  </pic:spPr>
                </pic:pic>
              </a:graphicData>
            </a:graphic>
          </wp:inline>
        </w:drawing>
      </w:r>
    </w:p>
    <w:p w:rsidR="00F5770D" w:rsidRDefault="00F5770D" w:rsidP="00F5770D">
      <w:pPr>
        <w:pStyle w:val="FigureTitle"/>
        <w:keepNext/>
      </w:pPr>
      <w:r>
        <w:lastRenderedPageBreak/>
        <w:t>Figure 2</w:t>
      </w:r>
      <w:r w:rsidR="009A3DAC">
        <w:t>3</w:t>
      </w:r>
      <w:r>
        <w:t>.</w:t>
      </w:r>
    </w:p>
    <w:p w:rsidR="00F5770D" w:rsidRDefault="00F016D0" w:rsidP="00F5770D">
      <w:pPr>
        <w:keepNext/>
        <w:tabs>
          <w:tab w:val="left" w:pos="0"/>
        </w:tabs>
      </w:pPr>
      <w:r>
        <w:rPr>
          <w:noProof/>
          <w:lang w:eastAsia="zh-TW"/>
        </w:rPr>
        <w:pict>
          <v:shape id="Text Box 58" o:spid="_x0000_s1061" type="#_x0000_t202" style="position:absolute;margin-left:-13.05pt;margin-top:33.15pt;width:241.05pt;height:2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" stroked="f">
            <v:textbox>
              <w:txbxContent>
                <w:p w:rsidR="00A408DA" w:rsidRDefault="00A408DA"/>
              </w:txbxContent>
            </v:textbox>
          </v:shape>
        </w:pict>
      </w:r>
      <w:r>
        <w:rPr>
          <w:noProof/>
          <w:lang w:eastAsia="zh-TW"/>
        </w:rPr>
        <w:pict>
          <v:shape id="Text Box 45" o:spid="_x0000_s1062" type="#_x0000_t202" style="position:absolute;margin-left:-20.55pt;margin-top:.6pt;width:78.85pt;height:2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" stroked="f">
            <v:textbox>
              <w:txbxContent>
                <w:p w:rsidR="00A408DA" w:rsidRDefault="00A408DA"/>
              </w:txbxContent>
            </v:textbox>
          </v:shape>
        </w:pict>
      </w:r>
      <w:r w:rsidR="005B75BE">
        <w:rPr>
          <w:noProof/>
          <w:lang w:eastAsia="en-AU"/>
        </w:rPr>
        <w:drawing>
          <wp:inline distT="0" distB="0" distL="0" distR="0">
            <wp:extent cx="5076825" cy="3857625"/>
            <wp:effectExtent l="19050" t="0" r="9525" b="0"/>
            <wp:docPr id="47" name="Picture 47"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72" b="8948"/>
                    <a:stretch>
                      <a:fillRect/>
                    </a:stretch>
                  </pic:blipFill>
                  <pic:spPr bwMode="auto">
                    <a:xfrm>
                      <a:off x="0" y="0"/>
                      <a:ext cx="5076825" cy="3857625"/>
                    </a:xfrm>
                    <a:prstGeom prst="rect">
                      <a:avLst/>
                    </a:prstGeom>
                    <a:noFill/>
                    <a:ln>
                      <a:noFill/>
                    </a:ln>
                  </pic:spPr>
                </pic:pic>
              </a:graphicData>
            </a:graphic>
          </wp:inline>
        </w:drawing>
      </w:r>
    </w:p>
    <w:p w:rsidR="003B4482" w:rsidRDefault="00F83869" w:rsidP="003B4482">
      <w:pPr>
        <w:jc w:val="both"/>
        <w:rPr>
          <w:i/>
        </w:rPr>
      </w:pPr>
      <w:r>
        <w:t xml:space="preserve">Sub </w:t>
      </w:r>
      <w:r w:rsidR="003B4482">
        <w:t>group analysis of PFS reveal</w:t>
      </w:r>
      <w:r w:rsidR="00F5770D">
        <w:t>ed</w:t>
      </w:r>
      <w:r w:rsidR="003B4482">
        <w:t xml:space="preserve"> a treatment effect </w:t>
      </w:r>
      <w:r>
        <w:t xml:space="preserve">in favour of VEM across all sub </w:t>
      </w:r>
      <w:r w:rsidR="003B4482">
        <w:t>groups.</w:t>
      </w:r>
      <w:r w:rsidR="003B4482" w:rsidRPr="003B4482">
        <w:rPr>
          <w:i/>
        </w:rPr>
        <w:t xml:space="preserve"> </w:t>
      </w:r>
    </w:p>
    <w:p w:rsidR="003B4482" w:rsidRDefault="003B4482" w:rsidP="003B4482">
      <w:pPr>
        <w:jc w:val="both"/>
      </w:pPr>
      <w:r>
        <w:t>The ro</w:t>
      </w:r>
      <w:r w:rsidR="00F83869">
        <w:t>bustness of the PFS analysis was</w:t>
      </w:r>
      <w:r>
        <w:t xml:space="preserve"> confirmed by performing a sensitivity analysis in </w:t>
      </w:r>
      <w:r w:rsidR="00F83869">
        <w:t xml:space="preserve">which </w:t>
      </w:r>
      <w:r>
        <w:t>a stratified log rank test and a stratified hazard ratio were calculated compared to those in the unstratified analysis.</w:t>
      </w:r>
      <w:r w:rsidRPr="003B4482">
        <w:rPr>
          <w:i/>
        </w:rPr>
        <w:t xml:space="preserve"> </w:t>
      </w:r>
      <w:r>
        <w:t>PFS benefit estimated for the stratified analyses of PFS was consistent with the unstratified analysis again</w:t>
      </w:r>
      <w:r w:rsidR="0013332A">
        <w:t>;</w:t>
      </w:r>
      <w:r>
        <w:t xml:space="preserve"> P &lt;0.0001 with a hazard ratio of 0.22.</w:t>
      </w:r>
      <w:r w:rsidRPr="003B4482">
        <w:rPr>
          <w:i/>
        </w:rPr>
        <w:t xml:space="preserve"> </w:t>
      </w:r>
    </w:p>
    <w:p w:rsidR="003B4482" w:rsidRDefault="003B4482" w:rsidP="003B4482">
      <w:pPr>
        <w:jc w:val="both"/>
        <w:rPr>
          <w:i/>
        </w:rPr>
      </w:pPr>
      <w:r>
        <w:t>Reviewing best overall response</w:t>
      </w:r>
      <w:r w:rsidR="0013332A">
        <w:t xml:space="preserve"> (</w:t>
      </w:r>
      <w:r>
        <w:t>a secondary endpoint</w:t>
      </w:r>
      <w:r w:rsidR="0013332A">
        <w:t>),</w:t>
      </w:r>
      <w:r>
        <w:t xml:space="preserve"> a total of 439 patients (219 patients in the VEM group and 220 in </w:t>
      </w:r>
      <w:r w:rsidR="00BB2876">
        <w:t>the dacarbazine</w:t>
      </w:r>
      <w:r>
        <w:t xml:space="preserve"> group) were randomised at least 14 weeks prior to clinical cut-off date and were therefore evaluable for analysis of confirmed BORR.</w:t>
      </w:r>
      <w:r w:rsidRPr="003B4482">
        <w:rPr>
          <w:i/>
        </w:rPr>
        <w:t xml:space="preserve"> </w:t>
      </w:r>
      <w:r>
        <w:t xml:space="preserve">A total of 106/219 patients in the VEM group and 12/220 in </w:t>
      </w:r>
      <w:r w:rsidR="00BB2876">
        <w:t>the dacarbazine</w:t>
      </w:r>
      <w:r>
        <w:t xml:space="preserve"> group had a response that was confirmed.</w:t>
      </w:r>
      <w:r w:rsidRPr="003B4482">
        <w:rPr>
          <w:i/>
        </w:rPr>
        <w:t xml:space="preserve"> </w:t>
      </w:r>
      <w:r>
        <w:t xml:space="preserve">The confirmed response rate in the VEM group was 48.4% </w:t>
      </w:r>
      <w:r w:rsidR="0013332A">
        <w:t xml:space="preserve">whereas in </w:t>
      </w:r>
      <w:r w:rsidR="00BB2876">
        <w:t>the dacarbazine</w:t>
      </w:r>
      <w:r>
        <w:t xml:space="preserve"> group </w:t>
      </w:r>
      <w:r w:rsidR="0013332A">
        <w:t xml:space="preserve">it was </w:t>
      </w:r>
      <w:r>
        <w:t xml:space="preserve">5.5% with a P value of &lt;0.0001 as </w:t>
      </w:r>
      <w:r w:rsidRPr="0065543A">
        <w:t xml:space="preserve">indicated in Table </w:t>
      </w:r>
      <w:r w:rsidR="00F5770D" w:rsidRPr="0065543A">
        <w:t>21</w:t>
      </w:r>
      <w:r w:rsidRPr="0065543A">
        <w:t>.</w:t>
      </w:r>
      <w:r w:rsidRPr="003B4482">
        <w:rPr>
          <w:i/>
        </w:rPr>
        <w:t xml:space="preserve"> </w:t>
      </w:r>
      <w:r>
        <w:t>Two of the patients in the VEM group had a CR.</w:t>
      </w:r>
      <w:r w:rsidRPr="003B4482">
        <w:rPr>
          <w:i/>
        </w:rPr>
        <w:t xml:space="preserve"> </w:t>
      </w:r>
      <w:r w:rsidR="0013332A">
        <w:t>Sub group</w:t>
      </w:r>
      <w:r>
        <w:t xml:space="preserve"> analysis revealed a treatment effect on confirmed BORR in favour of VEM treatment across all </w:t>
      </w:r>
      <w:r w:rsidR="0013332A">
        <w:t>sub group</w:t>
      </w:r>
      <w:r>
        <w:t>s examined.</w:t>
      </w:r>
      <w:r w:rsidRPr="003B4482">
        <w:rPr>
          <w:i/>
        </w:rPr>
        <w:t xml:space="preserve"> </w:t>
      </w:r>
    </w:p>
    <w:p w:rsidR="00F5770D" w:rsidRDefault="00F016D0" w:rsidP="00F5770D">
      <w:pPr>
        <w:pStyle w:val="FigureTitle"/>
        <w:keepNext/>
      </w:pPr>
      <w:r>
        <w:rPr>
          <w:noProof/>
          <w:lang w:eastAsia="zh-TW"/>
        </w:rPr>
        <w:lastRenderedPageBreak/>
        <w:pict>
          <v:shape id="Text Box 46" o:spid="_x0000_s1063" type="#_x0000_t202" style="position:absolute;margin-left:20.15pt;margin-top:18.25pt;width:58.2pt;height:1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GThQIAABg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" stroked="f">
            <v:textbox>
              <w:txbxContent>
                <w:p w:rsidR="00A408DA" w:rsidRDefault="00A408DA"/>
              </w:txbxContent>
            </v:textbox>
          </v:shape>
        </w:pict>
      </w:r>
      <w:r w:rsidR="00F5770D">
        <w:t xml:space="preserve">Table 21. </w:t>
      </w:r>
    </w:p>
    <w:p w:rsidR="00F5770D" w:rsidRDefault="005B75BE" w:rsidP="00F5770D">
      <w:pPr>
        <w:keepNext/>
        <w:tabs>
          <w:tab w:val="left" w:pos="0"/>
        </w:tabs>
      </w:pPr>
      <w:r>
        <w:rPr>
          <w:noProof/>
          <w:lang w:eastAsia="en-AU"/>
        </w:rPr>
        <w:drawing>
          <wp:inline distT="0" distB="0" distL="0" distR="0">
            <wp:extent cx="5286375" cy="4591050"/>
            <wp:effectExtent l="19050" t="0" r="9525" b="0"/>
            <wp:docPr id="48" name="Picture 48" descr="Tab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64" b="11604"/>
                    <a:stretch>
                      <a:fillRect/>
                    </a:stretch>
                  </pic:blipFill>
                  <pic:spPr bwMode="auto">
                    <a:xfrm>
                      <a:off x="0" y="0"/>
                      <a:ext cx="5286375" cy="4591050"/>
                    </a:xfrm>
                    <a:prstGeom prst="rect">
                      <a:avLst/>
                    </a:prstGeom>
                    <a:noFill/>
                    <a:ln>
                      <a:noFill/>
                    </a:ln>
                  </pic:spPr>
                </pic:pic>
              </a:graphicData>
            </a:graphic>
          </wp:inline>
        </w:drawing>
      </w:r>
    </w:p>
    <w:p w:rsidR="003B4482" w:rsidRDefault="003B4482" w:rsidP="003B4482">
      <w:pPr>
        <w:jc w:val="both"/>
      </w:pPr>
      <w:r>
        <w:t xml:space="preserve">Reviewing duration of response among the patients who had a confirmed overall response, the median duration of response was 5.49 months in the VEM group </w:t>
      </w:r>
      <w:r w:rsidR="0013332A">
        <w:t>but</w:t>
      </w:r>
      <w:r>
        <w:t xml:space="preserve"> was not reached in </w:t>
      </w:r>
      <w:r w:rsidR="00BB2876">
        <w:t>the dacarbazine</w:t>
      </w:r>
      <w:r>
        <w:t xml:space="preserve"> </w:t>
      </w:r>
      <w:r w:rsidRPr="002B160C">
        <w:t xml:space="preserve">group as indicated in Table </w:t>
      </w:r>
      <w:r w:rsidR="0065543A" w:rsidRPr="002B160C">
        <w:t>22</w:t>
      </w:r>
      <w:r w:rsidRPr="002B160C">
        <w:t>.</w:t>
      </w:r>
      <w:r w:rsidRPr="002B160C">
        <w:rPr>
          <w:i/>
        </w:rPr>
        <w:t xml:space="preserve"> </w:t>
      </w:r>
      <w:r w:rsidRPr="002B160C">
        <w:t>At</w:t>
      </w:r>
      <w:r>
        <w:t xml:space="preserve"> the time of the analysis the duration response </w:t>
      </w:r>
      <w:r w:rsidR="006211C6">
        <w:t xml:space="preserve">range </w:t>
      </w:r>
      <w:r>
        <w:t>of 1.22</w:t>
      </w:r>
      <w:r w:rsidR="0013332A">
        <w:t>–</w:t>
      </w:r>
      <w:r>
        <w:t>7.62 months in the VEM group and 1.18</w:t>
      </w:r>
      <w:r w:rsidR="0013332A">
        <w:noBreakHyphen/>
      </w:r>
      <w:r>
        <w:t xml:space="preserve">5.55 months in </w:t>
      </w:r>
      <w:r w:rsidR="00BB2876">
        <w:t>the dacarbazine</w:t>
      </w:r>
      <w:r>
        <w:t xml:space="preserve"> group.</w:t>
      </w:r>
      <w:r w:rsidRPr="003B4482">
        <w:rPr>
          <w:i/>
        </w:rPr>
        <w:t xml:space="preserve"> </w:t>
      </w:r>
    </w:p>
    <w:p w:rsidR="0065543A" w:rsidRDefault="0065543A" w:rsidP="0065543A">
      <w:pPr>
        <w:pStyle w:val="FigureTitle"/>
        <w:keepNext/>
      </w:pPr>
      <w:r>
        <w:lastRenderedPageBreak/>
        <w:t>Table 22.</w:t>
      </w:r>
    </w:p>
    <w:p w:rsidR="0065543A" w:rsidRDefault="00F016D0" w:rsidP="0065543A">
      <w:pPr>
        <w:keepNext/>
        <w:tabs>
          <w:tab w:val="left" w:pos="0"/>
        </w:tabs>
      </w:pPr>
      <w:r>
        <w:rPr>
          <w:noProof/>
          <w:lang w:eastAsia="zh-TW"/>
        </w:rPr>
        <w:pict>
          <v:shape id="Text Box 47" o:spid="_x0000_s1064" type="#_x0000_t202" style="position:absolute;margin-left:3.25pt;margin-top:2pt;width:65.7pt;height:2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" stroked="f">
            <v:textbox>
              <w:txbxContent>
                <w:p w:rsidR="00A408DA" w:rsidRDefault="00A408DA"/>
              </w:txbxContent>
            </v:textbox>
          </v:shape>
        </w:pict>
      </w:r>
      <w:r w:rsidR="005B75BE">
        <w:rPr>
          <w:noProof/>
          <w:lang w:eastAsia="en-AU"/>
        </w:rPr>
        <w:drawing>
          <wp:inline distT="0" distB="0" distL="0" distR="0">
            <wp:extent cx="5324475" cy="3514725"/>
            <wp:effectExtent l="19050" t="0" r="9525" b="0"/>
            <wp:docPr id="49" name="Picture 49" descr="Tabl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61" r="8733" b="11736"/>
                    <a:stretch>
                      <a:fillRect/>
                    </a:stretch>
                  </pic:blipFill>
                  <pic:spPr bwMode="auto">
                    <a:xfrm>
                      <a:off x="0" y="0"/>
                      <a:ext cx="5324475" cy="3514725"/>
                    </a:xfrm>
                    <a:prstGeom prst="rect">
                      <a:avLst/>
                    </a:prstGeom>
                    <a:noFill/>
                    <a:ln>
                      <a:noFill/>
                    </a:ln>
                  </pic:spPr>
                </pic:pic>
              </a:graphicData>
            </a:graphic>
          </wp:inline>
        </w:drawing>
      </w:r>
    </w:p>
    <w:p w:rsidR="003B4482" w:rsidRDefault="00945286" w:rsidP="003B4482">
      <w:pPr>
        <w:jc w:val="both"/>
      </w:pPr>
      <w:r w:rsidRPr="00F26005">
        <w:t>The time to response (a secondary endpoint in the study) was evaluated for patients with a confirmed response.</w:t>
      </w:r>
      <w:r w:rsidRPr="00F26005">
        <w:rPr>
          <w:i/>
        </w:rPr>
        <w:t xml:space="preserve"> </w:t>
      </w:r>
      <w:r w:rsidRPr="00F26005">
        <w:t>Among the 106 VEM treated patients with a confirmed median time to response of 1.45 months with a range of 1-1.5 months and the majority of respondents, that is, 75% who responded to treatment with VEM by the time of the first post baseline treatment assessment.</w:t>
      </w:r>
      <w:r w:rsidRPr="00F26005">
        <w:rPr>
          <w:i/>
        </w:rPr>
        <w:t xml:space="preserve"> </w:t>
      </w:r>
      <w:r w:rsidRPr="00F26005">
        <w:t>Among the 12 Dacarbazine treated patients, the median time to response was 2.72 months with a range of 1.6 – 5.8 months.</w:t>
      </w:r>
      <w:r w:rsidRPr="00F26005">
        <w:rPr>
          <w:i/>
        </w:rPr>
        <w:t xml:space="preserve"> </w:t>
      </w:r>
      <w:r w:rsidRPr="00F26005">
        <w:t>The majority of responders (75%) who had responded to treatment with dacarbazine by the time of the second post baseline assessment being 3.2 months.</w:t>
      </w:r>
    </w:p>
    <w:p w:rsidR="00E95918" w:rsidRDefault="003B4482" w:rsidP="003B4482">
      <w:pPr>
        <w:jc w:val="both"/>
        <w:rPr>
          <w:i/>
        </w:rPr>
      </w:pPr>
      <w:r w:rsidRPr="005B6498">
        <w:rPr>
          <w:rStyle w:val="Heading6Char"/>
          <w:rFonts w:eastAsia="Cambria"/>
        </w:rPr>
        <w:t>Reviewing patient reported outcomes</w:t>
      </w:r>
      <w:r w:rsidR="005B6498" w:rsidRPr="005B6498">
        <w:rPr>
          <w:rStyle w:val="Heading6Char"/>
          <w:rFonts w:eastAsia="Cambria"/>
        </w:rPr>
        <w:t>:</w:t>
      </w:r>
      <w:r>
        <w:t xml:space="preserve"> The functional assessment of therapy consisted of f</w:t>
      </w:r>
      <w:r w:rsidR="005B6498">
        <w:t xml:space="preserve">our general health sub </w:t>
      </w:r>
      <w:r>
        <w:t>scales including physical wellbeing, social wellbeing, emotional wellbeing and functional wellbeing</w:t>
      </w:r>
      <w:r w:rsidRPr="003B4482">
        <w:rPr>
          <w:i/>
        </w:rPr>
        <w:t xml:space="preserve"> </w:t>
      </w:r>
      <w:r>
        <w:t>(FAC-M).</w:t>
      </w:r>
      <w:r w:rsidRPr="003B4482">
        <w:rPr>
          <w:i/>
        </w:rPr>
        <w:t xml:space="preserve"> </w:t>
      </w:r>
      <w:r>
        <w:t>Analyses of FAC-M suggested that quality of life over time during study treatment differed little between treatment groups.</w:t>
      </w:r>
      <w:r w:rsidRPr="003B4482">
        <w:rPr>
          <w:i/>
        </w:rPr>
        <w:t xml:space="preserve"> </w:t>
      </w:r>
    </w:p>
    <w:p w:rsidR="00E95918" w:rsidRDefault="003B4482" w:rsidP="003B4482">
      <w:pPr>
        <w:jc w:val="both"/>
        <w:rPr>
          <w:i/>
        </w:rPr>
      </w:pPr>
      <w:r>
        <w:t>Similar results were obtained in relation to analysis of pain scores reported by the patient using linear analogue scales</w:t>
      </w:r>
      <w:r w:rsidR="00E95918">
        <w:t>.</w:t>
      </w:r>
      <w:r>
        <w:t xml:space="preserve"> </w:t>
      </w:r>
      <w:r w:rsidR="00E95918">
        <w:t>This</w:t>
      </w:r>
      <w:r>
        <w:t xml:space="preserve"> suggested that there was no difference </w:t>
      </w:r>
      <w:r w:rsidR="00E95918">
        <w:t xml:space="preserve">in </w:t>
      </w:r>
      <w:r>
        <w:t>pain scores measured over time on study between treatment groups.</w:t>
      </w:r>
      <w:r w:rsidRPr="003B4482">
        <w:rPr>
          <w:i/>
        </w:rPr>
        <w:t xml:space="preserve"> </w:t>
      </w:r>
    </w:p>
    <w:p w:rsidR="003B4482" w:rsidRDefault="00E95918" w:rsidP="003B4482">
      <w:pPr>
        <w:jc w:val="both"/>
      </w:pPr>
      <w:r>
        <w:t xml:space="preserve">For </w:t>
      </w:r>
      <w:r w:rsidR="003B4482">
        <w:t xml:space="preserve"> physical symptom improvement outcomes, the data obtained suggested that the proportion of patients with improvement in the use of concomitant narcotic analgesics was higher in the VEM group </w:t>
      </w:r>
      <w:r w:rsidR="005B6498">
        <w:t>(</w:t>
      </w:r>
      <w:r w:rsidR="003B4482">
        <w:t>12.9%</w:t>
      </w:r>
      <w:r w:rsidR="005B6498">
        <w:t>)</w:t>
      </w:r>
      <w:r w:rsidR="003B4482">
        <w:t xml:space="preserve"> than </w:t>
      </w:r>
      <w:r w:rsidR="00BB2876">
        <w:t>the dacarbazine</w:t>
      </w:r>
      <w:r w:rsidR="003B4482">
        <w:t xml:space="preserve"> group</w:t>
      </w:r>
      <w:r w:rsidR="005B6498">
        <w:t xml:space="preserve"> (</w:t>
      </w:r>
      <w:r w:rsidR="003B4482">
        <w:t>4.5%</w:t>
      </w:r>
      <w:r w:rsidR="005B6498">
        <w:t>)</w:t>
      </w:r>
      <w:r>
        <w:t>.</w:t>
      </w:r>
      <w:r w:rsidR="003B4482">
        <w:t xml:space="preserve"> </w:t>
      </w:r>
      <w:r>
        <w:t>T</w:t>
      </w:r>
      <w:r w:rsidR="003B4482">
        <w:t>here was no evidence that there was any difference between treatment groups in the proportion of patients who showed an improvement in oxygen saturation.</w:t>
      </w:r>
      <w:r w:rsidR="003B4482" w:rsidRPr="003B4482">
        <w:rPr>
          <w:i/>
        </w:rPr>
        <w:t xml:space="preserve"> </w:t>
      </w:r>
      <w:r w:rsidR="001A7B78">
        <w:t>P</w:t>
      </w:r>
      <w:r w:rsidR="003B4482">
        <w:t xml:space="preserve">hysician assessment </w:t>
      </w:r>
      <w:r w:rsidR="001A7B78">
        <w:t xml:space="preserve">of </w:t>
      </w:r>
      <w:r w:rsidR="003B4482">
        <w:t xml:space="preserve">performance status noted that 53.4% of patients on VEM therapy obtained an improvement in performance status </w:t>
      </w:r>
      <w:r w:rsidR="005B6498">
        <w:t xml:space="preserve">as </w:t>
      </w:r>
      <w:r w:rsidR="003B4482">
        <w:t>compared to 20.2% of patients receiving Dacarbazine.</w:t>
      </w:r>
      <w:r w:rsidR="003B4482" w:rsidRPr="003B4482">
        <w:rPr>
          <w:i/>
        </w:rPr>
        <w:t xml:space="preserve"> </w:t>
      </w:r>
    </w:p>
    <w:p w:rsidR="003B4482" w:rsidRDefault="005B6498" w:rsidP="005B6498">
      <w:pPr>
        <w:pStyle w:val="Heading6"/>
      </w:pPr>
      <w:r>
        <w:t xml:space="preserve">Evaluator </w:t>
      </w:r>
      <w:r w:rsidR="003B4482">
        <w:t>C</w:t>
      </w:r>
      <w:r>
        <w:t>omment</w:t>
      </w:r>
      <w:r w:rsidR="003B4482">
        <w:t>:</w:t>
      </w:r>
      <w:r w:rsidR="003B4482" w:rsidRPr="003B4482">
        <w:t xml:space="preserve"> </w:t>
      </w:r>
    </w:p>
    <w:p w:rsidR="003B4482" w:rsidRDefault="003B4482" w:rsidP="003B4482">
      <w:pPr>
        <w:jc w:val="both"/>
      </w:pPr>
      <w:r>
        <w:t xml:space="preserve">The data from this quite large </w:t>
      </w:r>
      <w:r w:rsidRPr="003B4482">
        <w:t>Phase I</w:t>
      </w:r>
      <w:r>
        <w:t>II well conducted randomised trial very clearly show a significant benefit in terms of all primary and relevant secondary endpoints</w:t>
      </w:r>
      <w:r w:rsidR="005B6498">
        <w:t>;</w:t>
      </w:r>
      <w:r>
        <w:t xml:space="preserve"> namely </w:t>
      </w:r>
      <w:r>
        <w:lastRenderedPageBreak/>
        <w:t>overall survival, progression free survival and overall response rate.</w:t>
      </w:r>
      <w:r w:rsidRPr="003B4482">
        <w:rPr>
          <w:i/>
        </w:rPr>
        <w:t xml:space="preserve"> </w:t>
      </w:r>
      <w:r>
        <w:t xml:space="preserve">Sensitivity and </w:t>
      </w:r>
      <w:r w:rsidR="0013332A">
        <w:t>sub group</w:t>
      </w:r>
      <w:r>
        <w:t xml:space="preserve"> analyses confirmed the significant </w:t>
      </w:r>
      <w:r w:rsidRPr="0065543A">
        <w:t xml:space="preserve">benefits for VEM in comparison to </w:t>
      </w:r>
      <w:r w:rsidR="0065543A" w:rsidRPr="0065543A">
        <w:t xml:space="preserve">the </w:t>
      </w:r>
      <w:r w:rsidRPr="0065543A">
        <w:t>previous standard therapy</w:t>
      </w:r>
      <w:r w:rsidR="0065543A" w:rsidRPr="0065543A">
        <w:t>,</w:t>
      </w:r>
      <w:r w:rsidRPr="0065543A">
        <w:t xml:space="preserve"> </w:t>
      </w:r>
      <w:r w:rsidR="0065543A" w:rsidRPr="0065543A">
        <w:t>d</w:t>
      </w:r>
      <w:r w:rsidRPr="0065543A">
        <w:t>acarbazine.</w:t>
      </w:r>
      <w:r w:rsidRPr="0065543A">
        <w:rPr>
          <w:i/>
        </w:rPr>
        <w:t xml:space="preserve"> </w:t>
      </w:r>
      <w:r w:rsidRPr="0065543A">
        <w:t>These data would indicate a significant therapeutic advance in the treatment of metastatic</w:t>
      </w:r>
      <w:r>
        <w:t xml:space="preserve"> melanoma which is notoriously resistant to available therapies.</w:t>
      </w:r>
      <w:r w:rsidRPr="003B4482">
        <w:rPr>
          <w:i/>
        </w:rPr>
        <w:t xml:space="preserve"> </w:t>
      </w:r>
    </w:p>
    <w:p w:rsidR="003B4482" w:rsidRDefault="003B4482" w:rsidP="005B6498">
      <w:pPr>
        <w:pStyle w:val="Heading4"/>
      </w:pPr>
      <w:r>
        <w:t xml:space="preserve">Supportive </w:t>
      </w:r>
      <w:r w:rsidRPr="003B4482">
        <w:t>Phase I</w:t>
      </w:r>
      <w:r w:rsidR="005B6498">
        <w:t>I S</w:t>
      </w:r>
      <w:r>
        <w:t>tudy NP22657:</w:t>
      </w:r>
    </w:p>
    <w:p w:rsidR="003B4482" w:rsidRDefault="005B6498" w:rsidP="003B4482">
      <w:pPr>
        <w:jc w:val="both"/>
      </w:pPr>
      <w:r>
        <w:t>The k</w:t>
      </w:r>
      <w:r w:rsidR="003B4482">
        <w:t>ey demographic features of the study</w:t>
      </w:r>
      <w:r>
        <w:t xml:space="preserve"> were</w:t>
      </w:r>
      <w:r w:rsidR="003B4482">
        <w:t xml:space="preserve"> generally similar to those seen in the pivotal trial.</w:t>
      </w:r>
      <w:r w:rsidR="003B4482" w:rsidRPr="003B4482">
        <w:rPr>
          <w:i/>
        </w:rPr>
        <w:t xml:space="preserve"> </w:t>
      </w:r>
      <w:r w:rsidRPr="005B6498">
        <w:t>Similar to</w:t>
      </w:r>
      <w:r>
        <w:rPr>
          <w:i/>
        </w:rPr>
        <w:t xml:space="preserve"> </w:t>
      </w:r>
      <w:r w:rsidR="003B4482">
        <w:t>the pivotal trial</w:t>
      </w:r>
      <w:r>
        <w:t>,</w:t>
      </w:r>
      <w:r w:rsidR="003B4482">
        <w:t xml:space="preserve"> the majority of patients had M1c disease </w:t>
      </w:r>
      <w:r w:rsidR="00365CD7">
        <w:t>(</w:t>
      </w:r>
      <w:r w:rsidR="003B4482">
        <w:t>61%</w:t>
      </w:r>
      <w:r w:rsidR="00CA1902">
        <w:t xml:space="preserve">), </w:t>
      </w:r>
      <w:r w:rsidR="003B4482">
        <w:t xml:space="preserve">normal LDH level at baseline </w:t>
      </w:r>
      <w:r w:rsidR="00CA1902">
        <w:t>(</w:t>
      </w:r>
      <w:r w:rsidR="003B4482">
        <w:t>51%</w:t>
      </w:r>
      <w:r w:rsidR="00CA1902">
        <w:t>)</w:t>
      </w:r>
      <w:r w:rsidR="003B4482">
        <w:t xml:space="preserve"> and an ECOG performance status of 0 and 1.</w:t>
      </w:r>
      <w:r w:rsidR="003B4482" w:rsidRPr="003B4482">
        <w:rPr>
          <w:i/>
        </w:rPr>
        <w:t xml:space="preserve"> </w:t>
      </w:r>
    </w:p>
    <w:p w:rsidR="003B4482" w:rsidRDefault="00CA1902" w:rsidP="003B4482">
      <w:pPr>
        <w:jc w:val="both"/>
      </w:pPr>
      <w:r>
        <w:t>T</w:t>
      </w:r>
      <w:r w:rsidR="003B4482">
        <w:t>he majority of patients who discontinued treatment did so because of progressive disease.</w:t>
      </w:r>
      <w:r w:rsidR="003B4482" w:rsidRPr="003B4482">
        <w:rPr>
          <w:i/>
        </w:rPr>
        <w:t xml:space="preserve"> </w:t>
      </w:r>
      <w:r w:rsidRPr="00CA1902">
        <w:t>The exte</w:t>
      </w:r>
      <w:r w:rsidR="003B4482" w:rsidRPr="00CA1902">
        <w:t>nt o</w:t>
      </w:r>
      <w:r w:rsidR="003B4482">
        <w:t xml:space="preserve">f exposure to VEM treatment in the study was </w:t>
      </w:r>
      <w:r w:rsidR="00A6420A">
        <w:t>5.67 months</w:t>
      </w:r>
      <w:r w:rsidR="00A6420A">
        <w:rPr>
          <w:rStyle w:val="FootnoteReference"/>
        </w:rPr>
        <w:t xml:space="preserve"> </w:t>
      </w:r>
      <w:r w:rsidR="009702FF">
        <w:rPr>
          <w:rStyle w:val="FootnoteReference"/>
        </w:rPr>
        <w:footnoteReference w:id="22"/>
      </w:r>
      <w:r w:rsidR="003B4482">
        <w:t>.</w:t>
      </w:r>
      <w:r w:rsidR="003B4482" w:rsidRPr="003B4482">
        <w:rPr>
          <w:i/>
        </w:rPr>
        <w:t xml:space="preserve"> </w:t>
      </w:r>
      <w:r w:rsidR="003B4482">
        <w:t xml:space="preserve">The mean total daily </w:t>
      </w:r>
      <w:r w:rsidR="003B4482" w:rsidRPr="002B160C">
        <w:t>dose was 1.61</w:t>
      </w:r>
      <w:r w:rsidR="002B160C" w:rsidRPr="002B160C">
        <w:t xml:space="preserve"> </w:t>
      </w:r>
      <w:r w:rsidR="003B4482" w:rsidRPr="002B160C">
        <w:t>g per day.</w:t>
      </w:r>
      <w:r w:rsidR="003B4482" w:rsidRPr="003B4482">
        <w:rPr>
          <w:i/>
        </w:rPr>
        <w:t xml:space="preserve"> </w:t>
      </w:r>
    </w:p>
    <w:p w:rsidR="003B4482" w:rsidRDefault="003B4482" w:rsidP="003B4482">
      <w:pPr>
        <w:jc w:val="both"/>
      </w:pPr>
      <w:r w:rsidRPr="00CA1902">
        <w:rPr>
          <w:rStyle w:val="Heading6Char"/>
          <w:rFonts w:eastAsia="Cambria"/>
        </w:rPr>
        <w:t>Reviewing</w:t>
      </w:r>
      <w:r w:rsidR="00CA1902" w:rsidRPr="00CA1902">
        <w:rPr>
          <w:rStyle w:val="Heading6Char"/>
          <w:rFonts w:eastAsia="Cambria"/>
        </w:rPr>
        <w:t xml:space="preserve"> the overall survival data for S</w:t>
      </w:r>
      <w:r w:rsidRPr="00CA1902">
        <w:rPr>
          <w:rStyle w:val="Heading6Char"/>
          <w:rFonts w:eastAsia="Cambria"/>
        </w:rPr>
        <w:t xml:space="preserve">tudy NP22657 </w:t>
      </w:r>
      <w:r w:rsidR="00CA1902" w:rsidRPr="00CA1902">
        <w:rPr>
          <w:rStyle w:val="Heading6Char"/>
          <w:rFonts w:eastAsia="Cambria"/>
        </w:rPr>
        <w:t>(</w:t>
      </w:r>
      <w:r w:rsidRPr="00CA1902">
        <w:rPr>
          <w:rStyle w:val="Heading6Char"/>
          <w:rFonts w:eastAsia="Cambria"/>
        </w:rPr>
        <w:t>a secondary endpoint</w:t>
      </w:r>
      <w:r w:rsidR="00CA1902" w:rsidRPr="00CA1902">
        <w:rPr>
          <w:rStyle w:val="Heading6Char"/>
          <w:rFonts w:eastAsia="Cambria"/>
        </w:rPr>
        <w:t>)</w:t>
      </w:r>
      <w:r w:rsidRPr="00CA1902">
        <w:rPr>
          <w:rStyle w:val="Heading6Char"/>
          <w:rFonts w:eastAsia="Cambria"/>
        </w:rPr>
        <w:t xml:space="preserve">. </w:t>
      </w:r>
      <w:r>
        <w:t xml:space="preserve">At the time of clinical cut-off </w:t>
      </w:r>
      <w:r w:rsidR="00CA1902">
        <w:t xml:space="preserve">of </w:t>
      </w:r>
      <w:r>
        <w:t>27 September 2010, the median overall survival ha</w:t>
      </w:r>
      <w:r w:rsidR="00CA1902">
        <w:t>d</w:t>
      </w:r>
      <w:r>
        <w:t xml:space="preserve"> not been reached</w:t>
      </w:r>
      <w:r w:rsidR="00CA1902">
        <w:t>,</w:t>
      </w:r>
      <w:r>
        <w:t xml:space="preserve"> with the range for duration of survival being 0.6–11.3 months.</w:t>
      </w:r>
      <w:r w:rsidRPr="003B4482">
        <w:rPr>
          <w:i/>
        </w:rPr>
        <w:t xml:space="preserve"> </w:t>
      </w:r>
      <w:r>
        <w:t xml:space="preserve">A KM estimate of this </w:t>
      </w:r>
      <w:r w:rsidR="00CA1902">
        <w:t xml:space="preserve">6 </w:t>
      </w:r>
      <w:r>
        <w:t>month survival was 77%.</w:t>
      </w:r>
      <w:r w:rsidRPr="003B4482">
        <w:rPr>
          <w:i/>
        </w:rPr>
        <w:t xml:space="preserve"> </w:t>
      </w:r>
      <w:r>
        <w:t>At the time of analysis the median duration of follow up was 6.8</w:t>
      </w:r>
      <w:r w:rsidR="00CA1902">
        <w:t>7 months with a range of 0.59–</w:t>
      </w:r>
      <w:r>
        <w:t>11.27 months.</w:t>
      </w:r>
      <w:r w:rsidRPr="003B4482">
        <w:rPr>
          <w:i/>
        </w:rPr>
        <w:t xml:space="preserve"> </w:t>
      </w:r>
    </w:p>
    <w:p w:rsidR="003B4482" w:rsidRDefault="00CA1902" w:rsidP="003B4482">
      <w:pPr>
        <w:jc w:val="both"/>
      </w:pPr>
      <w:r>
        <w:t>T</w:t>
      </w:r>
      <w:r w:rsidR="003B4482">
        <w:t xml:space="preserve">he median PFS was </w:t>
      </w:r>
      <w:r>
        <w:t>(</w:t>
      </w:r>
      <w:r w:rsidR="003B4482">
        <w:t>as assessed by the RIC</w:t>
      </w:r>
      <w:r>
        <w:t>)</w:t>
      </w:r>
      <w:r w:rsidR="003B4482">
        <w:t xml:space="preserve"> 6.1 months ranging from 0-10.2 months.</w:t>
      </w:r>
      <w:r w:rsidR="003B4482" w:rsidRPr="003B4482">
        <w:rPr>
          <w:i/>
        </w:rPr>
        <w:t xml:space="preserve"> </w:t>
      </w:r>
    </w:p>
    <w:p w:rsidR="003B4482" w:rsidRDefault="003B4482" w:rsidP="003B4482">
      <w:pPr>
        <w:jc w:val="both"/>
      </w:pPr>
      <w:r w:rsidRPr="00CA1902">
        <w:rPr>
          <w:rStyle w:val="Heading6Char"/>
          <w:rFonts w:eastAsia="Cambria"/>
        </w:rPr>
        <w:t>In relation to best overall response rate</w:t>
      </w:r>
      <w:r w:rsidR="00CA1902" w:rsidRPr="00CA1902">
        <w:rPr>
          <w:rStyle w:val="Heading6Char"/>
          <w:rFonts w:eastAsia="Cambria"/>
        </w:rPr>
        <w:t xml:space="preserve"> (t</w:t>
      </w:r>
      <w:r w:rsidRPr="00CA1902">
        <w:rPr>
          <w:rStyle w:val="Heading6Char"/>
          <w:rFonts w:eastAsia="Cambria"/>
        </w:rPr>
        <w:t>he primary efficacy variable for this study</w:t>
      </w:r>
      <w:r w:rsidR="00CA1902" w:rsidRPr="00CA1902">
        <w:rPr>
          <w:rStyle w:val="Heading6Char"/>
          <w:rFonts w:eastAsia="Cambria"/>
        </w:rPr>
        <w:t xml:space="preserve">) </w:t>
      </w:r>
      <w:r w:rsidR="00CA1902">
        <w:rPr>
          <w:rStyle w:val="Heading6Char"/>
          <w:rFonts w:eastAsia="Cambria"/>
        </w:rPr>
        <w:t xml:space="preserve">as </w:t>
      </w:r>
      <w:r w:rsidRPr="00CA1902">
        <w:rPr>
          <w:rStyle w:val="Heading6Char"/>
          <w:rFonts w:eastAsia="Cambria"/>
        </w:rPr>
        <w:t>assessed by the IRC according to RECIST criteria.</w:t>
      </w:r>
      <w:r w:rsidRPr="003B4482">
        <w:rPr>
          <w:i/>
        </w:rPr>
        <w:t xml:space="preserve"> </w:t>
      </w:r>
      <w:r>
        <w:t xml:space="preserve">There were 69 responders with a confirmed complete or partial response among the 132 </w:t>
      </w:r>
      <w:r w:rsidR="00CA1902">
        <w:t xml:space="preserve">patients, </w:t>
      </w:r>
      <w:r>
        <w:t>for an overall resp</w:t>
      </w:r>
      <w:r w:rsidR="00CA1902">
        <w:t>onse rate of 52.3%</w:t>
      </w:r>
      <w:r>
        <w:t>.</w:t>
      </w:r>
      <w:r w:rsidRPr="003B4482">
        <w:rPr>
          <w:i/>
        </w:rPr>
        <w:t xml:space="preserve"> </w:t>
      </w:r>
      <w:r>
        <w:t>Among the 69 responders there were three CRs (2.3%) and 66 PRs (50%).</w:t>
      </w:r>
      <w:r w:rsidRPr="003B4482">
        <w:rPr>
          <w:i/>
        </w:rPr>
        <w:t xml:space="preserve"> </w:t>
      </w:r>
    </w:p>
    <w:p w:rsidR="003B4482" w:rsidRDefault="003B4482" w:rsidP="003B4482">
      <w:pPr>
        <w:jc w:val="both"/>
      </w:pPr>
      <w:r>
        <w:t xml:space="preserve">Review of </w:t>
      </w:r>
      <w:r w:rsidR="0013332A">
        <w:t>sub group</w:t>
      </w:r>
      <w:r>
        <w:t xml:space="preserve"> analysis revealed that in relation to the key prognostic factors of LDH, ECOG performance status and stage</w:t>
      </w:r>
      <w:r w:rsidR="00CA1902">
        <w:t>,</w:t>
      </w:r>
      <w:r>
        <w:t xml:space="preserve"> these were consistent with overall data</w:t>
      </w:r>
      <w:r w:rsidR="00CA1902">
        <w:t>. However</w:t>
      </w:r>
      <w:r>
        <w:t xml:space="preserve">, for patients with an LDH value of &gt;1.5 </w:t>
      </w:r>
      <w:r w:rsidR="00CA1902">
        <w:t xml:space="preserve">times the </w:t>
      </w:r>
      <w:r>
        <w:t xml:space="preserve">upper limit of normal among 46 patients in this </w:t>
      </w:r>
      <w:r w:rsidR="0013332A">
        <w:t>sub group</w:t>
      </w:r>
      <w:r>
        <w:t xml:space="preserve"> the overall response rate was 33%.</w:t>
      </w:r>
      <w:r w:rsidRPr="003B4482">
        <w:rPr>
          <w:i/>
        </w:rPr>
        <w:t xml:space="preserve"> </w:t>
      </w:r>
      <w:r>
        <w:t>Similarly</w:t>
      </w:r>
      <w:r w:rsidR="00CA1902">
        <w:t>,</w:t>
      </w:r>
      <w:r>
        <w:t xml:space="preserve"> for patients who received prior treatment with Ipilimumab or Temelimumab</w:t>
      </w:r>
      <w:r w:rsidR="00CA1902">
        <w:t xml:space="preserve"> (7</w:t>
      </w:r>
      <w:r>
        <w:t xml:space="preserve"> patients</w:t>
      </w:r>
      <w:r w:rsidR="00CA1902">
        <w:t xml:space="preserve">) </w:t>
      </w:r>
      <w:r>
        <w:t>the response rate was 2</w:t>
      </w:r>
      <w:r w:rsidR="00A6420A">
        <w:t>8.57</w:t>
      </w:r>
      <w:r w:rsidR="00CF3291">
        <w:t>%</w:t>
      </w:r>
      <w:r w:rsidR="00A6420A">
        <w:t>.</w:t>
      </w:r>
      <w:r w:rsidRPr="003B4482">
        <w:rPr>
          <w:i/>
        </w:rPr>
        <w:t xml:space="preserve"> </w:t>
      </w:r>
      <w:r>
        <w:t>These data also essentially confirmed when reviewing overall response rate as assessed by the investigator with an overall response of 55% including four CRs.</w:t>
      </w:r>
      <w:r w:rsidRPr="003B4482">
        <w:rPr>
          <w:i/>
        </w:rPr>
        <w:t xml:space="preserve"> </w:t>
      </w:r>
      <w:r>
        <w:t>Efficacy in the sequence BRAF</w:t>
      </w:r>
      <w:r>
        <w:rPr>
          <w:vertAlign w:val="superscript"/>
        </w:rPr>
        <w:t>V600</w:t>
      </w:r>
      <w:r>
        <w:t xml:space="preserve"> </w:t>
      </w:r>
      <w:r w:rsidR="0013332A">
        <w:t>sub group</w:t>
      </w:r>
      <w:r>
        <w:t xml:space="preserve"> was consistent with the efficacy in the ITT population selected by the cobas test.</w:t>
      </w:r>
      <w:r w:rsidRPr="003B4482">
        <w:rPr>
          <w:i/>
        </w:rPr>
        <w:t xml:space="preserve"> </w:t>
      </w:r>
      <w:r>
        <w:t>Of the 97 patients whose BRAF</w:t>
      </w:r>
      <w:r>
        <w:rPr>
          <w:vertAlign w:val="superscript"/>
        </w:rPr>
        <w:t>V600</w:t>
      </w:r>
      <w:r>
        <w:t xml:space="preserve"> mutation was detected by Sanger frequency</w:t>
      </w:r>
      <w:r w:rsidR="00CA1902">
        <w:t>,</w:t>
      </w:r>
      <w:r>
        <w:t xml:space="preserve"> the overall response rate was 57% with three CRs.</w:t>
      </w:r>
    </w:p>
    <w:p w:rsidR="003B4482" w:rsidRDefault="003B4482" w:rsidP="003B4482">
      <w:pPr>
        <w:jc w:val="both"/>
      </w:pPr>
      <w:r>
        <w:t xml:space="preserve">Reviewing duration of response by IRC assessment, the median duration response was 6.5 months with a range of 1.4–9 </w:t>
      </w:r>
      <w:r w:rsidRPr="002B160C">
        <w:t>months</w:t>
      </w:r>
      <w:r w:rsidR="00CA1902" w:rsidRPr="002B160C">
        <w:t xml:space="preserve"> </w:t>
      </w:r>
      <w:r w:rsidR="0065543A" w:rsidRPr="002B160C">
        <w:t>(</w:t>
      </w:r>
      <w:r w:rsidR="00CA1902" w:rsidRPr="002B160C">
        <w:t xml:space="preserve">Figure </w:t>
      </w:r>
      <w:r w:rsidR="0065543A" w:rsidRPr="002B160C">
        <w:t>2</w:t>
      </w:r>
      <w:r w:rsidR="009A3DAC" w:rsidRPr="002B160C">
        <w:t>4</w:t>
      </w:r>
      <w:r w:rsidR="0065543A" w:rsidRPr="002B160C">
        <w:t>).</w:t>
      </w:r>
    </w:p>
    <w:p w:rsidR="0065543A" w:rsidRDefault="0065543A" w:rsidP="0065543A">
      <w:pPr>
        <w:pStyle w:val="FigureTitle"/>
        <w:keepNext/>
      </w:pPr>
      <w:r>
        <w:lastRenderedPageBreak/>
        <w:t>Figure 2</w:t>
      </w:r>
      <w:r w:rsidR="009A3DAC">
        <w:t>4</w:t>
      </w:r>
      <w:r>
        <w:t>.</w:t>
      </w:r>
    </w:p>
    <w:p w:rsidR="0065543A" w:rsidRDefault="00F016D0" w:rsidP="0065543A">
      <w:pPr>
        <w:pStyle w:val="FigureTitle"/>
        <w:keepNext/>
      </w:pPr>
      <w:r>
        <w:rPr>
          <w:noProof/>
          <w:lang w:eastAsia="zh-TW"/>
        </w:rPr>
        <w:pict>
          <v:shape id="Text Box 59" o:spid="_x0000_s1065" type="#_x0000_t202" style="position:absolute;margin-left:-8.65pt;margin-top:36.2pt;width:272.95pt;height:26.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" stroked="f">
            <v:textbox>
              <w:txbxContent>
                <w:p w:rsidR="00A408DA" w:rsidRDefault="00A408DA"/>
              </w:txbxContent>
            </v:textbox>
          </v:shape>
        </w:pict>
      </w:r>
      <w:r>
        <w:rPr>
          <w:noProof/>
          <w:lang w:eastAsia="zh-TW"/>
        </w:rPr>
        <w:pict>
          <v:shape id="Text Box 48" o:spid="_x0000_s1066" type="#_x0000_t202" style="position:absolute;margin-left:-14.3pt;margin-top:2.5pt;width:89.55pt;height:3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" stroked="f">
            <v:textbox>
              <w:txbxContent>
                <w:p w:rsidR="00A408DA" w:rsidRDefault="00A408DA"/>
              </w:txbxContent>
            </v:textbox>
          </v:shape>
        </w:pict>
      </w:r>
      <w:r w:rsidR="005B75BE">
        <w:rPr>
          <w:noProof/>
          <w:lang w:eastAsia="en-AU"/>
        </w:rPr>
        <w:drawing>
          <wp:inline distT="0" distB="0" distL="0" distR="0">
            <wp:extent cx="5314950" cy="4371975"/>
            <wp:effectExtent l="19050" t="0" r="0" b="0"/>
            <wp:docPr id="50" name="Picture 50" descr="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58" r="4373" b="7312"/>
                    <a:stretch>
                      <a:fillRect/>
                    </a:stretch>
                  </pic:blipFill>
                  <pic:spPr bwMode="auto">
                    <a:xfrm>
                      <a:off x="0" y="0"/>
                      <a:ext cx="5314950" cy="4371975"/>
                    </a:xfrm>
                    <a:prstGeom prst="rect">
                      <a:avLst/>
                    </a:prstGeom>
                    <a:noFill/>
                    <a:ln>
                      <a:noFill/>
                    </a:ln>
                  </pic:spPr>
                </pic:pic>
              </a:graphicData>
            </a:graphic>
          </wp:inline>
        </w:drawing>
      </w:r>
    </w:p>
    <w:p w:rsidR="0065543A" w:rsidRDefault="0065543A" w:rsidP="003B4482">
      <w:pPr>
        <w:jc w:val="both"/>
      </w:pPr>
    </w:p>
    <w:p w:rsidR="003B4482" w:rsidRDefault="003B4482" w:rsidP="003B4482">
      <w:pPr>
        <w:jc w:val="both"/>
      </w:pPr>
      <w:r>
        <w:t>In relation to time to response as assessed by the IRC, this was 1</w:t>
      </w:r>
      <w:r w:rsidR="00CA1902">
        <w:t>.4 months with a range of 1.2–</w:t>
      </w:r>
      <w:r>
        <w:t>5.5 months.</w:t>
      </w:r>
      <w:r w:rsidRPr="003B4482">
        <w:rPr>
          <w:i/>
        </w:rPr>
        <w:t xml:space="preserve"> </w:t>
      </w:r>
      <w:r>
        <w:t>The majority of responders had responded to treatment at the fir</w:t>
      </w:r>
      <w:r w:rsidR="003E6908">
        <w:t>st baseline</w:t>
      </w:r>
      <w:r w:rsidR="0045671D">
        <w:rPr>
          <w:rStyle w:val="FootnoteReference"/>
        </w:rPr>
        <w:footnoteReference w:id="23"/>
      </w:r>
      <w:r w:rsidR="003E6908">
        <w:t xml:space="preserve"> tumour assessment after </w:t>
      </w:r>
      <w:r>
        <w:t>1.6 months.</w:t>
      </w:r>
      <w:r w:rsidRPr="003B4482">
        <w:rPr>
          <w:i/>
        </w:rPr>
        <w:t xml:space="preserve"> </w:t>
      </w:r>
      <w:r>
        <w:t xml:space="preserve"> </w:t>
      </w:r>
      <w:r>
        <w:tab/>
      </w:r>
    </w:p>
    <w:p w:rsidR="003B4482" w:rsidRDefault="003B4482" w:rsidP="003B4482">
      <w:pPr>
        <w:jc w:val="both"/>
      </w:pPr>
      <w:r>
        <w:t>In relation to patient reported outcomes</w:t>
      </w:r>
      <w:r w:rsidR="003E6908">
        <w:t>; f</w:t>
      </w:r>
      <w:r>
        <w:t>or the FACT-M scores there was no discernible trend observed.</w:t>
      </w:r>
      <w:r w:rsidRPr="003B4482">
        <w:rPr>
          <w:i/>
        </w:rPr>
        <w:t xml:space="preserve"> </w:t>
      </w:r>
      <w:r>
        <w:t xml:space="preserve">Similarly there was little change in the visual analogue scores for </w:t>
      </w:r>
      <w:r w:rsidR="003E6908">
        <w:t xml:space="preserve">the </w:t>
      </w:r>
      <w:r>
        <w:t>study in relation to pain.</w:t>
      </w:r>
      <w:r w:rsidRPr="003B4482">
        <w:rPr>
          <w:i/>
        </w:rPr>
        <w:t xml:space="preserve"> </w:t>
      </w:r>
      <w:r>
        <w:t>Improvement in the global performance status was shown in 83.8% of patients in the mean time to maximum global performance improvement of eight weeks.</w:t>
      </w:r>
      <w:r w:rsidRPr="003B4482">
        <w:rPr>
          <w:i/>
        </w:rPr>
        <w:t xml:space="preserve"> </w:t>
      </w:r>
      <w:r>
        <w:t>Mean improvement was over two levels.</w:t>
      </w:r>
      <w:r w:rsidRPr="003B4482">
        <w:rPr>
          <w:i/>
        </w:rPr>
        <w:t xml:space="preserve"> </w:t>
      </w:r>
    </w:p>
    <w:p w:rsidR="003B4482" w:rsidRDefault="003E6908" w:rsidP="003E6908">
      <w:pPr>
        <w:pStyle w:val="Heading6"/>
      </w:pPr>
      <w:r>
        <w:t>Evaluator comment</w:t>
      </w:r>
      <w:r w:rsidR="003B4482">
        <w:t>:</w:t>
      </w:r>
      <w:r w:rsidR="003B4482" w:rsidRPr="003B4482">
        <w:t xml:space="preserve">   </w:t>
      </w:r>
    </w:p>
    <w:p w:rsidR="003B4482" w:rsidRDefault="003B4482" w:rsidP="003B4482">
      <w:pPr>
        <w:jc w:val="both"/>
      </w:pPr>
      <w:r>
        <w:t>These data have therefore again shown a significant benefit for the use of VEM in the treatment of patients with metastatic melanoma with a higher response rate than ha</w:t>
      </w:r>
      <w:r w:rsidR="003E6908">
        <w:t>s</w:t>
      </w:r>
      <w:r>
        <w:t xml:space="preserve"> been previously observed for standard therapies.</w:t>
      </w:r>
      <w:r w:rsidRPr="003B4482">
        <w:rPr>
          <w:i/>
        </w:rPr>
        <w:t xml:space="preserve"> </w:t>
      </w:r>
      <w:r>
        <w:t>Similarly</w:t>
      </w:r>
      <w:r w:rsidR="003E6908">
        <w:t>,</w:t>
      </w:r>
      <w:r>
        <w:t xml:space="preserve"> several patients achieved complete response which is a very uncommon outcome in metastatic melanoma.</w:t>
      </w:r>
      <w:r w:rsidRPr="003B4482">
        <w:rPr>
          <w:i/>
        </w:rPr>
        <w:t xml:space="preserve"> </w:t>
      </w:r>
      <w:r>
        <w:t>Th</w:t>
      </w:r>
      <w:r w:rsidR="003E6908">
        <w:t xml:space="preserve">ese </w:t>
      </w:r>
      <w:r>
        <w:t>data therefore confirm the robust result from the pivotal trial.</w:t>
      </w:r>
      <w:r w:rsidRPr="003B4482">
        <w:rPr>
          <w:i/>
        </w:rPr>
        <w:t xml:space="preserve"> </w:t>
      </w:r>
    </w:p>
    <w:p w:rsidR="003B4482" w:rsidRDefault="003B4482" w:rsidP="00CF3291">
      <w:pPr>
        <w:pStyle w:val="Heading4"/>
        <w:keepNext/>
      </w:pPr>
      <w:r>
        <w:lastRenderedPageBreak/>
        <w:t xml:space="preserve">Supportive </w:t>
      </w:r>
      <w:r w:rsidRPr="003B4482">
        <w:t>Phase I</w:t>
      </w:r>
      <w:r w:rsidR="003E6908">
        <w:t xml:space="preserve"> S</w:t>
      </w:r>
      <w:r>
        <w:t>tudy PLX06-02</w:t>
      </w:r>
    </w:p>
    <w:p w:rsidR="003B4482" w:rsidRDefault="003E6908" w:rsidP="00CF3291">
      <w:pPr>
        <w:keepNext/>
        <w:jc w:val="both"/>
      </w:pPr>
      <w:r>
        <w:t xml:space="preserve">This was a melanoma extension phase of </w:t>
      </w:r>
      <w:r w:rsidR="003B4482" w:rsidRPr="003B4482">
        <w:t>Phase I</w:t>
      </w:r>
      <w:r w:rsidR="003B4482">
        <w:t xml:space="preserve"> study involving 32 patients.</w:t>
      </w:r>
      <w:r w:rsidR="003B4482" w:rsidRPr="003B4482">
        <w:rPr>
          <w:i/>
        </w:rPr>
        <w:t xml:space="preserve"> </w:t>
      </w:r>
      <w:r w:rsidR="003B4482">
        <w:t>Again</w:t>
      </w:r>
      <w:r>
        <w:t>,</w:t>
      </w:r>
      <w:r w:rsidR="003B4482">
        <w:t xml:space="preserve"> the majority </w:t>
      </w:r>
      <w:r>
        <w:t>of patients in this trial were W</w:t>
      </w:r>
      <w:r w:rsidR="003B4482">
        <w:t>hite.</w:t>
      </w:r>
    </w:p>
    <w:p w:rsidR="003B4482" w:rsidRDefault="003E6908" w:rsidP="003B4482">
      <w:pPr>
        <w:jc w:val="both"/>
      </w:pPr>
      <w:r>
        <w:t>T</w:t>
      </w:r>
      <w:r w:rsidR="003B4482">
        <w:t xml:space="preserve">he most common </w:t>
      </w:r>
      <w:r>
        <w:t>ECOG status was status 1</w:t>
      </w:r>
      <w:r w:rsidR="003B4482">
        <w:t xml:space="preserve"> in 56.3% of patients with a median time since last progression of disease of 1.41 months.</w:t>
      </w:r>
      <w:r w:rsidR="003B4482" w:rsidRPr="003B4482">
        <w:rPr>
          <w:i/>
        </w:rPr>
        <w:t xml:space="preserve"> </w:t>
      </w:r>
      <w:r w:rsidR="003B4482">
        <w:t>The vast majority of patients had received prior treatment for metastatic disease.</w:t>
      </w:r>
    </w:p>
    <w:p w:rsidR="003B4482" w:rsidRDefault="003E6908" w:rsidP="003B4482">
      <w:pPr>
        <w:jc w:val="both"/>
      </w:pPr>
      <w:r>
        <w:t>T</w:t>
      </w:r>
      <w:r w:rsidR="003B4482">
        <w:t>he majority of patients who discontinued therapy did so because of progression of disease.</w:t>
      </w:r>
      <w:r w:rsidR="003B4482" w:rsidRPr="003B4482">
        <w:rPr>
          <w:i/>
        </w:rPr>
        <w:t xml:space="preserve"> </w:t>
      </w:r>
    </w:p>
    <w:p w:rsidR="003B4482" w:rsidRDefault="003E6908" w:rsidP="003B4482">
      <w:pPr>
        <w:jc w:val="both"/>
      </w:pPr>
      <w:r>
        <w:t>T</w:t>
      </w:r>
      <w:r w:rsidR="003B4482">
        <w:t>he median duration of treatment with VEM in the study was 8.83 months.</w:t>
      </w:r>
      <w:r w:rsidR="003B4482" w:rsidRPr="003B4482">
        <w:rPr>
          <w:i/>
        </w:rPr>
        <w:t xml:space="preserve"> </w:t>
      </w:r>
    </w:p>
    <w:p w:rsidR="0065543A" w:rsidRDefault="003B4482" w:rsidP="003B4482">
      <w:pPr>
        <w:jc w:val="both"/>
      </w:pPr>
      <w:r>
        <w:t xml:space="preserve">Reviewing </w:t>
      </w:r>
      <w:r w:rsidR="003E6908">
        <w:t xml:space="preserve">the </w:t>
      </w:r>
      <w:r>
        <w:t>overall survival in this melanoma extension cohort including only those patients with BRAF</w:t>
      </w:r>
      <w:r>
        <w:rPr>
          <w:vertAlign w:val="superscript"/>
        </w:rPr>
        <w:t>V600</w:t>
      </w:r>
      <w:r>
        <w:t xml:space="preserve"> mutation positive metastatic melanoma treated </w:t>
      </w:r>
      <w:r w:rsidR="003E6908">
        <w:t xml:space="preserve">with </w:t>
      </w:r>
      <w:r>
        <w:t>96</w:t>
      </w:r>
      <w:r w:rsidRPr="003B4482">
        <w:t>0 mg</w:t>
      </w:r>
      <w:r>
        <w:t xml:space="preserve"> of VEM twice daily</w:t>
      </w:r>
      <w:r w:rsidR="003E6908">
        <w:t>;</w:t>
      </w:r>
      <w:r w:rsidRPr="003B4482">
        <w:rPr>
          <w:i/>
        </w:rPr>
        <w:t xml:space="preserve"> </w:t>
      </w:r>
      <w:r w:rsidR="003E6908">
        <w:t>t</w:t>
      </w:r>
      <w:r>
        <w:t>he median overall survival was not reached with a KM estimate of the one year overall survival at 56.8</w:t>
      </w:r>
      <w:r w:rsidRPr="0065543A">
        <w:t xml:space="preserve">% </w:t>
      </w:r>
      <w:r w:rsidR="0065543A" w:rsidRPr="0065543A">
        <w:t>(</w:t>
      </w:r>
      <w:r w:rsidRPr="0065543A">
        <w:t xml:space="preserve">Figure </w:t>
      </w:r>
      <w:r w:rsidR="0065543A" w:rsidRPr="0065543A">
        <w:t>2</w:t>
      </w:r>
      <w:r w:rsidR="009A3DAC">
        <w:t>5</w:t>
      </w:r>
      <w:r w:rsidR="0065543A" w:rsidRPr="0065543A">
        <w:t>)</w:t>
      </w:r>
      <w:r w:rsidRPr="0065543A">
        <w:t>.</w:t>
      </w:r>
    </w:p>
    <w:p w:rsidR="003B4482" w:rsidRDefault="003B4482" w:rsidP="003B4482">
      <w:pPr>
        <w:jc w:val="both"/>
      </w:pPr>
      <w:r>
        <w:t xml:space="preserve">In relation to progression free survival </w:t>
      </w:r>
      <w:r w:rsidR="003E6908">
        <w:t>(</w:t>
      </w:r>
      <w:r>
        <w:t>a secondary efficacy endpoint in this study</w:t>
      </w:r>
      <w:r w:rsidR="003E6908">
        <w:t>)</w:t>
      </w:r>
      <w:r>
        <w:t>, the KM estimate of the median</w:t>
      </w:r>
      <w:r w:rsidR="003E6908">
        <w:t xml:space="preserve"> PFS was 7.8 months</w:t>
      </w:r>
      <w:r>
        <w:t>.</w:t>
      </w:r>
      <w:r w:rsidRPr="003B4482">
        <w:rPr>
          <w:i/>
        </w:rPr>
        <w:t xml:space="preserve"> </w:t>
      </w:r>
      <w:r>
        <w:t>The KM estimate of the proportion of patients who were alive and progression free at six months w</w:t>
      </w:r>
      <w:r w:rsidR="003E6908">
        <w:t>as</w:t>
      </w:r>
      <w:r>
        <w:t xml:space="preserve"> 59%</w:t>
      </w:r>
      <w:r w:rsidR="003E6908">
        <w:t xml:space="preserve">. After </w:t>
      </w:r>
      <w:r>
        <w:t xml:space="preserve">one year </w:t>
      </w:r>
      <w:r w:rsidR="003E6908">
        <w:t xml:space="preserve">it </w:t>
      </w:r>
      <w:r>
        <w:t>was 17%.</w:t>
      </w:r>
    </w:p>
    <w:p w:rsidR="003B4482" w:rsidRDefault="003B4482" w:rsidP="003B4482">
      <w:pPr>
        <w:jc w:val="both"/>
      </w:pPr>
      <w:r>
        <w:t xml:space="preserve">In relation to </w:t>
      </w:r>
      <w:r w:rsidR="0013332A">
        <w:t>sub group</w:t>
      </w:r>
      <w:r>
        <w:t xml:space="preserve"> analysi</w:t>
      </w:r>
      <w:r w:rsidR="003E6908">
        <w:t xml:space="preserve">s in the previously treated sub </w:t>
      </w:r>
      <w:r>
        <w:t>population</w:t>
      </w:r>
      <w:r w:rsidR="003E6908">
        <w:t>,</w:t>
      </w:r>
      <w:r>
        <w:t xml:space="preserve"> the melanoma extension cohort patients being 24 patients, the median PFS was 7.8 months which was consistent with that for all patients.</w:t>
      </w:r>
      <w:r w:rsidRPr="003B4482">
        <w:rPr>
          <w:i/>
        </w:rPr>
        <w:t xml:space="preserve"> </w:t>
      </w:r>
    </w:p>
    <w:p w:rsidR="003B4482" w:rsidRDefault="003B4482" w:rsidP="003B4482">
      <w:pPr>
        <w:jc w:val="both"/>
      </w:pPr>
      <w:r>
        <w:t>In relation to best overall response, the objective response rate was the primary efficacy measure in this study</w:t>
      </w:r>
      <w:r w:rsidR="002B160C">
        <w:t>;</w:t>
      </w:r>
      <w:r>
        <w:t xml:space="preserve"> a total of 18 evaluable patients in the melanoma extension cohort had a confirmed response with an overall response rate of 56.3% including three CRs and 15 PRs.</w:t>
      </w:r>
    </w:p>
    <w:p w:rsidR="003B4482" w:rsidRDefault="003B4482" w:rsidP="003B4482">
      <w:pPr>
        <w:jc w:val="both"/>
      </w:pPr>
      <w:r>
        <w:t xml:space="preserve">In relation to duration response, the median duration of response was </w:t>
      </w:r>
      <w:r w:rsidR="003E6908">
        <w:t>7.6 months with a range of 88-</w:t>
      </w:r>
      <w:r>
        <w:t>&gt;337 days, whereas the median time to response was 56.5 days with a range of 25-168 days.</w:t>
      </w:r>
    </w:p>
    <w:p w:rsidR="003B4482" w:rsidRDefault="003E6908" w:rsidP="003E6908">
      <w:pPr>
        <w:pStyle w:val="Heading6"/>
      </w:pPr>
      <w:r>
        <w:t>Evaluator comment</w:t>
      </w:r>
      <w:r w:rsidR="003B4482">
        <w:t xml:space="preserve">: </w:t>
      </w:r>
    </w:p>
    <w:p w:rsidR="003B4482" w:rsidRDefault="003B4482" w:rsidP="003B4482">
      <w:pPr>
        <w:jc w:val="both"/>
      </w:pPr>
      <w:r>
        <w:t>Once again these data have demonstrated significant evidence of benefit in terms of response and progression free survival indicative of a level of efficacy for VEM superior to that observed with the previously available therapies for metastatic melanoma.</w:t>
      </w:r>
      <w:r w:rsidRPr="003B4482">
        <w:rPr>
          <w:i/>
        </w:rPr>
        <w:t xml:space="preserve"> </w:t>
      </w:r>
    </w:p>
    <w:p w:rsidR="003B4482" w:rsidRDefault="003B4482" w:rsidP="003B4482">
      <w:pPr>
        <w:jc w:val="both"/>
        <w:rPr>
          <w:i/>
        </w:rPr>
      </w:pPr>
      <w:r>
        <w:t>The three studies have clearly shown levels of efficacy superior to that previously seen</w:t>
      </w:r>
      <w:r w:rsidR="003E6908">
        <w:t>,</w:t>
      </w:r>
      <w:r>
        <w:t xml:space="preserve"> representing a potentially significant advance in the management of advanced stage melanoma.</w:t>
      </w:r>
      <w:r w:rsidRPr="003B4482">
        <w:rPr>
          <w:i/>
        </w:rPr>
        <w:t xml:space="preserve"> </w:t>
      </w:r>
    </w:p>
    <w:p w:rsidR="0065543A" w:rsidRDefault="0065543A" w:rsidP="003B4482">
      <w:pPr>
        <w:jc w:val="both"/>
        <w:sectPr w:rsidR="0065543A" w:rsidSect="00EF0159">
          <w:pgSz w:w="11906" w:h="16838" w:code="9"/>
          <w:pgMar w:top="1701" w:right="1701" w:bottom="1560" w:left="1701" w:header="907" w:footer="142" w:gutter="0"/>
          <w:cols w:space="708"/>
          <w:docGrid w:linePitch="360"/>
        </w:sectPr>
      </w:pPr>
    </w:p>
    <w:p w:rsidR="0065543A" w:rsidRDefault="00EB7D7D" w:rsidP="00EB7D7D">
      <w:pPr>
        <w:pStyle w:val="FigureTitle"/>
      </w:pPr>
      <w:r>
        <w:lastRenderedPageBreak/>
        <w:t>Figure 2</w:t>
      </w:r>
      <w:r w:rsidR="009A3DAC">
        <w:t>5</w:t>
      </w:r>
      <w:r>
        <w:t>.</w:t>
      </w:r>
    </w:p>
    <w:p w:rsidR="0065543A" w:rsidRDefault="00F016D0" w:rsidP="00EB7D7D">
      <w:pPr>
        <w:tabs>
          <w:tab w:val="left" w:pos="0"/>
        </w:tabs>
        <w:jc w:val="center"/>
        <w:rPr>
          <w:sz w:val="24"/>
          <w:szCs w:val="24"/>
        </w:rPr>
      </w:pPr>
      <w:r w:rsidRPr="00F016D0">
        <w:rPr>
          <w:noProof/>
          <w:lang w:eastAsia="zh-TW"/>
        </w:rPr>
        <w:pict>
          <v:shape id="Text Box 50" o:spid="_x0000_s1067" type="#_x0000_t202" style="position:absolute;left:0;text-align:left;margin-left:1.5pt;margin-top:2pt;width:115.2pt;height:5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" stroked="f">
            <v:textbox>
              <w:txbxContent>
                <w:p w:rsidR="00A408DA" w:rsidRDefault="00A408DA"/>
              </w:txbxContent>
            </v:textbox>
          </v:shape>
        </w:pict>
      </w:r>
      <w:r w:rsidR="005B75BE">
        <w:rPr>
          <w:noProof/>
          <w:lang w:eastAsia="en-AU"/>
        </w:rPr>
        <w:drawing>
          <wp:inline distT="0" distB="0" distL="0" distR="0">
            <wp:extent cx="7210425" cy="4914900"/>
            <wp:effectExtent l="19050" t="0" r="9525" b="0"/>
            <wp:docPr id="51" name="Picture 51" descr="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10425" cy="4914900"/>
                    </a:xfrm>
                    <a:prstGeom prst="rect">
                      <a:avLst/>
                    </a:prstGeom>
                    <a:noFill/>
                    <a:ln>
                      <a:noFill/>
                    </a:ln>
                  </pic:spPr>
                </pic:pic>
              </a:graphicData>
            </a:graphic>
          </wp:inline>
        </w:drawing>
      </w:r>
    </w:p>
    <w:p w:rsidR="0065543A" w:rsidRDefault="0065543A" w:rsidP="003B4482">
      <w:pPr>
        <w:jc w:val="both"/>
        <w:sectPr w:rsidR="0065543A" w:rsidSect="0065543A">
          <w:pgSz w:w="16838" w:h="11906" w:orient="landscape" w:code="9"/>
          <w:pgMar w:top="1701" w:right="1701" w:bottom="1701" w:left="1560" w:header="907" w:footer="142" w:gutter="0"/>
          <w:cols w:space="708"/>
          <w:docGrid w:linePitch="360"/>
        </w:sectPr>
      </w:pPr>
    </w:p>
    <w:p w:rsidR="00F1318A" w:rsidRDefault="00116AE6" w:rsidP="00F1318A">
      <w:pPr>
        <w:pStyle w:val="Heading3"/>
      </w:pPr>
      <w:bookmarkStart w:id="66" w:name="_Toc345675782"/>
      <w:r w:rsidRPr="002E238E">
        <w:lastRenderedPageBreak/>
        <w:t>Safety</w:t>
      </w:r>
      <w:bookmarkStart w:id="67" w:name="_Toc163441387"/>
      <w:bookmarkEnd w:id="63"/>
      <w:bookmarkEnd w:id="64"/>
      <w:bookmarkEnd w:id="65"/>
      <w:bookmarkEnd w:id="66"/>
    </w:p>
    <w:p w:rsidR="003B4482" w:rsidRDefault="003B4482" w:rsidP="003E6908">
      <w:pPr>
        <w:pStyle w:val="Heading4"/>
      </w:pPr>
      <w:r>
        <w:t>Introduction</w:t>
      </w:r>
    </w:p>
    <w:p w:rsidR="003B4482" w:rsidRDefault="003B4482" w:rsidP="003B4482">
      <w:pPr>
        <w:jc w:val="both"/>
      </w:pPr>
      <w:r>
        <w:t xml:space="preserve">A total of six studies are provided in this submission for assessment of clinical safety including the pivotal </w:t>
      </w:r>
      <w:r w:rsidRPr="003B4482">
        <w:t>Phase I</w:t>
      </w:r>
      <w:r w:rsidR="000E0116">
        <w:t>II S</w:t>
      </w:r>
      <w:r>
        <w:t xml:space="preserve">tudy in NO25026, the </w:t>
      </w:r>
      <w:r w:rsidRPr="003B4482">
        <w:t>Phase I</w:t>
      </w:r>
      <w:r>
        <w:t xml:space="preserve">I </w:t>
      </w:r>
      <w:r w:rsidR="000E0116">
        <w:t>S</w:t>
      </w:r>
      <w:r>
        <w:t xml:space="preserve">tudy NP22657 and the melanoma extension cohort of the </w:t>
      </w:r>
      <w:r w:rsidRPr="003B4482">
        <w:t>Phase I</w:t>
      </w:r>
      <w:r w:rsidR="000E0116">
        <w:t xml:space="preserve"> S</w:t>
      </w:r>
      <w:r>
        <w:t>tudy PLX06-02.</w:t>
      </w:r>
      <w:r w:rsidRPr="003B4482">
        <w:rPr>
          <w:i/>
        </w:rPr>
        <w:t xml:space="preserve"> </w:t>
      </w:r>
      <w:r>
        <w:t xml:space="preserve">Also included are data from three pharmacologic </w:t>
      </w:r>
      <w:r w:rsidR="000E0116">
        <w:t>S</w:t>
      </w:r>
      <w:r>
        <w:t>tudie</w:t>
      </w:r>
      <w:r w:rsidR="000E0116">
        <w:t>s NP25158, NP22676 and NP25163.</w:t>
      </w:r>
      <w:r>
        <w:t>Overall the safety population included a total of 866 patients who received at least one dose of study drug</w:t>
      </w:r>
      <w:r w:rsidR="000E0116">
        <w:t>,</w:t>
      </w:r>
      <w:r>
        <w:t xml:space="preserve"> including VEM 584 patients and DTIC 282 patients.</w:t>
      </w:r>
      <w:r w:rsidRPr="003B4482">
        <w:rPr>
          <w:i/>
        </w:rPr>
        <w:t xml:space="preserve"> </w:t>
      </w:r>
    </w:p>
    <w:p w:rsidR="003B4482" w:rsidRDefault="003B4482" w:rsidP="003B4482">
      <w:pPr>
        <w:jc w:val="both"/>
      </w:pPr>
      <w:r>
        <w:t>Inclusion criteria for these six studies have been previously described.</w:t>
      </w:r>
      <w:r w:rsidRPr="003B4482">
        <w:rPr>
          <w:i/>
        </w:rPr>
        <w:t xml:space="preserve"> </w:t>
      </w:r>
      <w:r>
        <w:t>The exclusion criteria were comparable among the six studies.</w:t>
      </w:r>
      <w:r w:rsidRPr="003B4482">
        <w:rPr>
          <w:i/>
        </w:rPr>
        <w:t xml:space="preserve"> </w:t>
      </w:r>
    </w:p>
    <w:p w:rsidR="003B4482" w:rsidRDefault="003B4482" w:rsidP="003B4482">
      <w:pPr>
        <w:jc w:val="both"/>
      </w:pPr>
      <w:r>
        <w:t>Adverse events were monitored continuously throughout the studies and reported according to NCI criteria using the accepted 5-point scale.</w:t>
      </w:r>
      <w:r w:rsidRPr="003B4482">
        <w:rPr>
          <w:i/>
        </w:rPr>
        <w:t xml:space="preserve"> </w:t>
      </w:r>
      <w:r>
        <w:t>Laboratory assessments included haematology, serum biochemistry, urine analysis and vital signs; blood pressure, temperature, pulse, respiratory rate and weight together with ECGs and findings on physical examination.</w:t>
      </w:r>
    </w:p>
    <w:p w:rsidR="003B4482" w:rsidRDefault="003B4482" w:rsidP="003B4482">
      <w:pPr>
        <w:jc w:val="both"/>
      </w:pPr>
      <w:r>
        <w:t>For all six studies, if dose modifications, interruptions or delays were required these were undertaken according to established criteria.</w:t>
      </w:r>
      <w:r w:rsidRPr="003B4482">
        <w:rPr>
          <w:i/>
        </w:rPr>
        <w:t xml:space="preserve"> </w:t>
      </w:r>
      <w:r>
        <w:t xml:space="preserve">When it was determined that </w:t>
      </w:r>
      <w:r w:rsidRPr="00EB7D7D">
        <w:t>cutaneous SCCs</w:t>
      </w:r>
      <w:r>
        <w:t xml:space="preserve"> were adverse effects associated with VEM administration, subsequent patients entered onto all studies underwent regrowth dermatological assessments.</w:t>
      </w:r>
      <w:r w:rsidRPr="003B4482">
        <w:rPr>
          <w:i/>
        </w:rPr>
        <w:t xml:space="preserve"> </w:t>
      </w:r>
      <w:r>
        <w:t xml:space="preserve">Recurrence of cutaneous SCCs was classified as a </w:t>
      </w:r>
      <w:r w:rsidR="000E0116">
        <w:t>G</w:t>
      </w:r>
      <w:r>
        <w:t>rade III event.</w:t>
      </w:r>
      <w:r w:rsidRPr="003B4482">
        <w:rPr>
          <w:i/>
        </w:rPr>
        <w:t xml:space="preserve"> </w:t>
      </w:r>
      <w:r>
        <w:t>A proportio</w:t>
      </w:r>
      <w:r w:rsidR="000E0116">
        <w:t>n of patients in the extension P</w:t>
      </w:r>
      <w:r>
        <w:t xml:space="preserve">hase I </w:t>
      </w:r>
      <w:r w:rsidR="000E0116">
        <w:t xml:space="preserve">Study </w:t>
      </w:r>
      <w:r>
        <w:t xml:space="preserve">PLX06-02 and </w:t>
      </w:r>
      <w:r w:rsidRPr="003B4482">
        <w:t>Phase I</w:t>
      </w:r>
      <w:r>
        <w:t xml:space="preserve">I </w:t>
      </w:r>
      <w:r w:rsidR="000E0116">
        <w:t xml:space="preserve">Study </w:t>
      </w:r>
      <w:r>
        <w:t xml:space="preserve">NP22657 who developed cutaneous SCCs had these lesions assessed by molecular characterisation </w:t>
      </w:r>
      <w:r w:rsidR="000E0116">
        <w:t>of</w:t>
      </w:r>
      <w:r>
        <w:t xml:space="preserve"> biopsy samples.</w:t>
      </w:r>
      <w:r w:rsidRPr="003B4482">
        <w:rPr>
          <w:i/>
        </w:rPr>
        <w:t xml:space="preserve"> </w:t>
      </w:r>
    </w:p>
    <w:p w:rsidR="003B4482" w:rsidRDefault="003B4482" w:rsidP="000E0116">
      <w:pPr>
        <w:pStyle w:val="Heading4"/>
      </w:pPr>
      <w:r>
        <w:t>Patient disposition</w:t>
      </w:r>
    </w:p>
    <w:p w:rsidR="003B4482" w:rsidRDefault="003B4482" w:rsidP="000E0116">
      <w:pPr>
        <w:pStyle w:val="Heading5"/>
      </w:pPr>
      <w:r>
        <w:t xml:space="preserve">Pivotal </w:t>
      </w:r>
      <w:r w:rsidRPr="003B4482">
        <w:t>Phase I</w:t>
      </w:r>
      <w:r>
        <w:t>II</w:t>
      </w:r>
      <w:r w:rsidR="000E0116">
        <w:t xml:space="preserve"> S</w:t>
      </w:r>
      <w:r>
        <w:t>tudy NO25026:</w:t>
      </w:r>
    </w:p>
    <w:p w:rsidR="003B4482" w:rsidRPr="00E8012C" w:rsidRDefault="003B4482" w:rsidP="003B4482">
      <w:pPr>
        <w:tabs>
          <w:tab w:val="left" w:pos="0"/>
        </w:tabs>
        <w:jc w:val="both"/>
      </w:pPr>
      <w:r>
        <w:t>The safety population was defined as all treated patients who had at least one on-study assessment.</w:t>
      </w:r>
      <w:r w:rsidRPr="003B4482">
        <w:rPr>
          <w:i/>
        </w:rPr>
        <w:t xml:space="preserve"> </w:t>
      </w:r>
      <w:r>
        <w:t>Of the 625 patients enrolled and treated, 618 were included</w:t>
      </w:r>
      <w:r w:rsidR="000E0116">
        <w:t xml:space="preserve"> in the safety population, 336 </w:t>
      </w:r>
      <w:r>
        <w:t xml:space="preserve">treated with VEM and 282 treated </w:t>
      </w:r>
      <w:r w:rsidR="002332C1">
        <w:t>with dacarbazine</w:t>
      </w:r>
      <w:r>
        <w:t>.</w:t>
      </w:r>
      <w:r w:rsidRPr="003B4482">
        <w:rPr>
          <w:i/>
        </w:rPr>
        <w:t xml:space="preserve"> </w:t>
      </w:r>
      <w:r>
        <w:t xml:space="preserve">Of the 618 patients in this population who received treatment with VEM or Dacarbazine, 113 </w:t>
      </w:r>
      <w:r w:rsidR="000E0116">
        <w:t>(</w:t>
      </w:r>
      <w:r>
        <w:t>34%</w:t>
      </w:r>
      <w:r w:rsidR="000E0116">
        <w:t>)</w:t>
      </w:r>
      <w:r>
        <w:t xml:space="preserve"> treated with VEM and 200 </w:t>
      </w:r>
      <w:r w:rsidR="000E0116">
        <w:t>(</w:t>
      </w:r>
      <w:r>
        <w:t>71%</w:t>
      </w:r>
      <w:r w:rsidR="000E0116">
        <w:t>)</w:t>
      </w:r>
      <w:r>
        <w:t xml:space="preserve"> treated </w:t>
      </w:r>
      <w:r w:rsidR="002332C1">
        <w:t>with dacarbazine</w:t>
      </w:r>
      <w:r>
        <w:t xml:space="preserve"> were prematurely </w:t>
      </w:r>
      <w:r w:rsidR="00035901" w:rsidRPr="00E8012C">
        <w:t>withdrawn at time</w:t>
      </w:r>
      <w:r w:rsidRPr="00E8012C">
        <w:t xml:space="preserve"> of clinical cut-off.</w:t>
      </w:r>
      <w:r w:rsidRPr="00E8012C">
        <w:rPr>
          <w:i/>
        </w:rPr>
        <w:t xml:space="preserve"> </w:t>
      </w:r>
      <w:r w:rsidRPr="00E8012C">
        <w:t>The most common reason for discontinuation of treatment was disease progression.</w:t>
      </w:r>
      <w:r w:rsidRPr="00E8012C">
        <w:rPr>
          <w:i/>
        </w:rPr>
        <w:t xml:space="preserve"> </w:t>
      </w:r>
    </w:p>
    <w:p w:rsidR="003B4482" w:rsidRPr="00E8012C" w:rsidRDefault="003B4482" w:rsidP="000E0116">
      <w:pPr>
        <w:pStyle w:val="Heading5"/>
      </w:pPr>
      <w:r w:rsidRPr="00E8012C">
        <w:t xml:space="preserve">Pooled safety population for Phase I PLX06-02 and Phase II NP22657 </w:t>
      </w:r>
    </w:p>
    <w:p w:rsidR="003B4482" w:rsidRPr="00E8012C" w:rsidRDefault="003B4482" w:rsidP="003B4482">
      <w:pPr>
        <w:tabs>
          <w:tab w:val="left" w:pos="0"/>
        </w:tabs>
        <w:jc w:val="both"/>
      </w:pPr>
      <w:r w:rsidRPr="00E8012C">
        <w:t>Of the 164 patients who received treatment with VEM, 63% were prematurely withdrawn at time of clinic cut-off for each study</w:t>
      </w:r>
      <w:r w:rsidR="000E0116" w:rsidRPr="00E8012C">
        <w:t>;</w:t>
      </w:r>
      <w:r w:rsidRPr="00E8012C">
        <w:t xml:space="preserve"> 22 patients from the Phase I study and 82 from </w:t>
      </w:r>
      <w:r w:rsidR="000E0116" w:rsidRPr="00E8012C">
        <w:t xml:space="preserve">the </w:t>
      </w:r>
      <w:r w:rsidRPr="00E8012C">
        <w:t>Phase II study</w:t>
      </w:r>
      <w:r w:rsidR="000E0116" w:rsidRPr="00E8012C">
        <w:t xml:space="preserve"> and</w:t>
      </w:r>
      <w:r w:rsidRPr="00E8012C">
        <w:rPr>
          <w:i/>
        </w:rPr>
        <w:t xml:space="preserve"> </w:t>
      </w:r>
      <w:r w:rsidRPr="00E8012C">
        <w:t>91% of these had progressive disease.</w:t>
      </w:r>
      <w:r w:rsidRPr="00E8012C">
        <w:rPr>
          <w:i/>
        </w:rPr>
        <w:t xml:space="preserve"> </w:t>
      </w:r>
    </w:p>
    <w:p w:rsidR="003B4482" w:rsidRPr="00E8012C" w:rsidRDefault="003B4482" w:rsidP="000E0116">
      <w:pPr>
        <w:pStyle w:val="Heading5"/>
      </w:pPr>
      <w:r w:rsidRPr="00E8012C">
        <w:t>Supporting clinical pharmacology studies</w:t>
      </w:r>
    </w:p>
    <w:p w:rsidR="003B4482" w:rsidRPr="00E8012C" w:rsidRDefault="003B4482" w:rsidP="003B4482">
      <w:pPr>
        <w:tabs>
          <w:tab w:val="left" w:pos="0"/>
        </w:tabs>
        <w:jc w:val="both"/>
      </w:pPr>
      <w:r w:rsidRPr="00E8012C">
        <w:t>Overall a total of 84 patients were enrolled</w:t>
      </w:r>
      <w:r w:rsidR="000E0116" w:rsidRPr="00E8012C">
        <w:t>,</w:t>
      </w:r>
      <w:r w:rsidRPr="00E8012C">
        <w:t xml:space="preserve"> received treatment with VEM </w:t>
      </w:r>
      <w:r w:rsidR="000E0116" w:rsidRPr="00E8012C">
        <w:t xml:space="preserve">and were evaluable for safety </w:t>
      </w:r>
      <w:r w:rsidRPr="00E8012C">
        <w:t>in the three clinical pharmacology studies.</w:t>
      </w:r>
      <w:r w:rsidRPr="00E8012C">
        <w:rPr>
          <w:i/>
        </w:rPr>
        <w:t xml:space="preserve"> </w:t>
      </w:r>
      <w:r w:rsidRPr="00E8012C">
        <w:t xml:space="preserve">Of these 84 patients, 19 were </w:t>
      </w:r>
      <w:r w:rsidR="00035901" w:rsidRPr="00E8012C">
        <w:t>prematurely withdrawn,</w:t>
      </w:r>
      <w:r w:rsidRPr="00E8012C">
        <w:t xml:space="preserve"> 15 of these due to progressive disease.</w:t>
      </w:r>
      <w:r w:rsidRPr="00E8012C">
        <w:rPr>
          <w:i/>
        </w:rPr>
        <w:t xml:space="preserve"> </w:t>
      </w:r>
    </w:p>
    <w:p w:rsidR="003B4482" w:rsidRPr="00E8012C" w:rsidRDefault="003B4482" w:rsidP="00CF3291">
      <w:pPr>
        <w:pStyle w:val="Heading4"/>
        <w:keepNext/>
      </w:pPr>
      <w:r w:rsidRPr="00E8012C">
        <w:t>Overall extent of exposure</w:t>
      </w:r>
      <w:r w:rsidRPr="00E8012C">
        <w:rPr>
          <w:i/>
        </w:rPr>
        <w:t xml:space="preserve"> </w:t>
      </w:r>
    </w:p>
    <w:p w:rsidR="003B4482" w:rsidRDefault="003B4482" w:rsidP="00CF3291">
      <w:pPr>
        <w:pStyle w:val="Heading5"/>
      </w:pPr>
      <w:r>
        <w:t xml:space="preserve">Pivotal </w:t>
      </w:r>
      <w:r w:rsidRPr="003B4482">
        <w:t>Phase I</w:t>
      </w:r>
      <w:r>
        <w:t xml:space="preserve">II </w:t>
      </w:r>
      <w:r w:rsidR="000E0116">
        <w:t>S</w:t>
      </w:r>
      <w:r>
        <w:t>tudy NO25026</w:t>
      </w:r>
    </w:p>
    <w:p w:rsidR="003B4482" w:rsidRDefault="003B4482" w:rsidP="00CF3291">
      <w:pPr>
        <w:keepNext/>
        <w:tabs>
          <w:tab w:val="left" w:pos="0"/>
        </w:tabs>
        <w:jc w:val="both"/>
      </w:pPr>
      <w:r>
        <w:t xml:space="preserve">As of the </w:t>
      </w:r>
      <w:r w:rsidRPr="002B160C">
        <w:t>clinical cut-off date for the Phase III study, the median total cumulative VEM dose was 195</w:t>
      </w:r>
      <w:r w:rsidR="000E0116" w:rsidRPr="002B160C">
        <w:t xml:space="preserve"> </w:t>
      </w:r>
      <w:r w:rsidRPr="002B160C">
        <w:t>g</w:t>
      </w:r>
      <w:r w:rsidR="00D73147" w:rsidRPr="002B160C">
        <w:t xml:space="preserve"> </w:t>
      </w:r>
      <w:r w:rsidR="000E0116" w:rsidRPr="002B160C">
        <w:t xml:space="preserve">as compared </w:t>
      </w:r>
      <w:r w:rsidR="002332C1" w:rsidRPr="002B160C">
        <w:t>to dacarbazine</w:t>
      </w:r>
      <w:r w:rsidRPr="002B160C">
        <w:t xml:space="preserve"> where it was 2000</w:t>
      </w:r>
      <w:r w:rsidR="00EB7D7D" w:rsidRPr="002B160C">
        <w:t xml:space="preserve"> </w:t>
      </w:r>
      <w:r w:rsidRPr="002B160C">
        <w:t>g/m</w:t>
      </w:r>
      <w:r w:rsidRPr="002B160C">
        <w:rPr>
          <w:vertAlign w:val="superscript"/>
        </w:rPr>
        <w:t>2</w:t>
      </w:r>
      <w:r w:rsidRPr="002B160C">
        <w:t>.</w:t>
      </w:r>
      <w:r w:rsidRPr="002B160C">
        <w:rPr>
          <w:i/>
        </w:rPr>
        <w:t xml:space="preserve"> </w:t>
      </w:r>
      <w:r w:rsidRPr="002B160C">
        <w:t>The duration of treatment in the VEM group was 3.1 months</w:t>
      </w:r>
      <w:r w:rsidR="00D73147" w:rsidRPr="002B160C">
        <w:t xml:space="preserve"> </w:t>
      </w:r>
      <w:r w:rsidR="000E0116" w:rsidRPr="002B160C">
        <w:t>as compared to</w:t>
      </w:r>
      <w:r w:rsidR="00D73147" w:rsidRPr="002B160C">
        <w:t xml:space="preserve"> </w:t>
      </w:r>
      <w:r w:rsidRPr="002B160C">
        <w:t xml:space="preserve">0.6 months in </w:t>
      </w:r>
      <w:r w:rsidR="00BB2876" w:rsidRPr="002B160C">
        <w:t>the dacarbazine</w:t>
      </w:r>
      <w:r w:rsidRPr="002B160C">
        <w:t xml:space="preserve"> group.</w:t>
      </w:r>
      <w:r w:rsidRPr="002B160C">
        <w:rPr>
          <w:i/>
        </w:rPr>
        <w:t xml:space="preserve"> </w:t>
      </w:r>
      <w:r w:rsidRPr="002B160C">
        <w:t>The median total daily dose of VEM was 1.87</w:t>
      </w:r>
      <w:r w:rsidR="000E0116" w:rsidRPr="002B160C">
        <w:t xml:space="preserve"> </w:t>
      </w:r>
      <w:r w:rsidRPr="002B160C">
        <w:t>g per day and the median</w:t>
      </w:r>
      <w:r>
        <w:t xml:space="preserve"> dose densities</w:t>
      </w:r>
      <w:r w:rsidR="000E0116">
        <w:t>,</w:t>
      </w:r>
      <w:r>
        <w:t xml:space="preserve"> </w:t>
      </w:r>
      <w:r>
        <w:lastRenderedPageBreak/>
        <w:t>defined as the total actual dose taken divided by the total planned dose between date of first and last dose</w:t>
      </w:r>
      <w:r w:rsidR="000E0116">
        <w:t>,</w:t>
      </w:r>
      <w:r>
        <w:t xml:space="preserve"> was 97.6% for the VEM group.</w:t>
      </w:r>
    </w:p>
    <w:p w:rsidR="003B4482" w:rsidRDefault="003B4482" w:rsidP="003B4482">
      <w:pPr>
        <w:tabs>
          <w:tab w:val="left" w:pos="0"/>
        </w:tabs>
        <w:jc w:val="both"/>
      </w:pPr>
      <w:r w:rsidRPr="00EE5BAF">
        <w:t>Reviewing dose modifications for the VEM treated patients</w:t>
      </w:r>
      <w:r w:rsidR="00EE5BAF" w:rsidRPr="00EE5BAF">
        <w:t>:</w:t>
      </w:r>
      <w:r w:rsidRPr="00EE5BAF">
        <w:rPr>
          <w:i/>
        </w:rPr>
        <w:t xml:space="preserve"> </w:t>
      </w:r>
      <w:r w:rsidRPr="00EE5BAF">
        <w:t>Of the 336 patients in the VEM group, 47% had a dose modification for any reason</w:t>
      </w:r>
      <w:r w:rsidR="00EE5BAF" w:rsidRPr="00EE5BAF">
        <w:t>,</w:t>
      </w:r>
      <w:r w:rsidRPr="00EE5BAF">
        <w:t xml:space="preserve"> of which 112 </w:t>
      </w:r>
      <w:r w:rsidR="000E0116" w:rsidRPr="00EE5BAF">
        <w:t>had</w:t>
      </w:r>
      <w:r w:rsidRPr="00EE5BAF">
        <w:t xml:space="preserve"> at least one dose reduction with a mean number of dose reductions per patient of </w:t>
      </w:r>
      <w:r w:rsidR="000E0116" w:rsidRPr="00EE5BAF">
        <w:t xml:space="preserve">1 </w:t>
      </w:r>
      <w:r w:rsidR="00EB7D7D" w:rsidRPr="00EE5BAF">
        <w:t>a</w:t>
      </w:r>
      <w:r w:rsidRPr="00EE5BAF">
        <w:t xml:space="preserve">nd this is indicated in Table </w:t>
      </w:r>
      <w:r w:rsidR="00EB7D7D" w:rsidRPr="00EE5BAF">
        <w:t>23</w:t>
      </w:r>
      <w:r w:rsidRPr="00EE5BAF">
        <w:t>.</w:t>
      </w:r>
      <w:r w:rsidRPr="00EE5BAF">
        <w:rPr>
          <w:i/>
        </w:rPr>
        <w:t xml:space="preserve"> </w:t>
      </w:r>
      <w:r w:rsidRPr="00EE5BAF">
        <w:t xml:space="preserve">A total of 147 patients </w:t>
      </w:r>
      <w:r w:rsidR="000E0116" w:rsidRPr="00EE5BAF">
        <w:t>(</w:t>
      </w:r>
      <w:r w:rsidRPr="00EE5BAF">
        <w:t>44%</w:t>
      </w:r>
      <w:r w:rsidR="000E0116" w:rsidRPr="00EE5BAF">
        <w:t>)</w:t>
      </w:r>
      <w:r w:rsidRPr="00EE5BAF">
        <w:t xml:space="preserve"> had a dose interruption</w:t>
      </w:r>
      <w:r w:rsidR="000E0116" w:rsidRPr="00EE5BAF">
        <w:t>,</w:t>
      </w:r>
      <w:r w:rsidRPr="00EE5BAF">
        <w:t xml:space="preserve"> with the number of interruptions being two for a mean of eight days.</w:t>
      </w:r>
      <w:r w:rsidRPr="00EE5BAF">
        <w:rPr>
          <w:i/>
        </w:rPr>
        <w:t xml:space="preserve"> </w:t>
      </w:r>
      <w:r w:rsidRPr="00EE5BAF">
        <w:t xml:space="preserve">A total of 129 patients </w:t>
      </w:r>
      <w:r w:rsidR="00366515" w:rsidRPr="00EE5BAF">
        <w:t>(</w:t>
      </w:r>
      <w:r w:rsidRPr="00EE5BAF">
        <w:t>38%</w:t>
      </w:r>
      <w:r w:rsidR="00366515" w:rsidRPr="00EE5BAF">
        <w:t>)</w:t>
      </w:r>
      <w:r w:rsidRPr="00EE5BAF">
        <w:t xml:space="preserve"> had a dose modification or interruption because of </w:t>
      </w:r>
      <w:r w:rsidR="00366515" w:rsidRPr="00EE5BAF">
        <w:t xml:space="preserve">an </w:t>
      </w:r>
      <w:r w:rsidRPr="00EE5BAF">
        <w:t>adverse even</w:t>
      </w:r>
      <w:r w:rsidR="00366515" w:rsidRPr="00EE5BAF">
        <w:t>t of which the most</w:t>
      </w:r>
      <w:r w:rsidR="00366515">
        <w:t xml:space="preserve"> common was G</w:t>
      </w:r>
      <w:r>
        <w:t>rade III rash in 24 patients</w:t>
      </w:r>
      <w:r w:rsidR="00366515">
        <w:t>. At</w:t>
      </w:r>
      <w:r>
        <w:t xml:space="preserve"> least half of these resolved without sequelae and none led to discontinuation of study treatment.</w:t>
      </w:r>
    </w:p>
    <w:p w:rsidR="00EB7D7D" w:rsidRDefault="00EB7D7D" w:rsidP="00EE5BAF">
      <w:pPr>
        <w:pStyle w:val="FigureTitle"/>
      </w:pPr>
      <w:r>
        <w:t xml:space="preserve">Table 23. </w:t>
      </w:r>
      <w:r w:rsidR="00F016D0">
        <w:rPr>
          <w:noProof/>
          <w:lang w:eastAsia="zh-TW"/>
        </w:rPr>
        <w:pict>
          <v:shape id="Text Box 51" o:spid="_x0000_s1068" type="#_x0000_t202" style="position:absolute;margin-left:1.35pt;margin-top:11.15pt;width:75.75pt;height:28.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" stroked="f">
            <v:textbox>
              <w:txbxContent>
                <w:p w:rsidR="00A408DA" w:rsidRDefault="00A408DA"/>
              </w:txbxContent>
            </v:textbox>
          </v:shape>
        </w:pict>
      </w:r>
      <w:r w:rsidR="005B75BE">
        <w:rPr>
          <w:noProof/>
          <w:lang w:eastAsia="en-AU"/>
        </w:rPr>
        <w:drawing>
          <wp:inline distT="0" distB="0" distL="0" distR="0">
            <wp:extent cx="5448300" cy="6486525"/>
            <wp:effectExtent l="19050" t="0" r="0" b="0"/>
            <wp:docPr id="52" name="Picture 52" descr="Tabl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97" r="7451"/>
                    <a:stretch>
                      <a:fillRect/>
                    </a:stretch>
                  </pic:blipFill>
                  <pic:spPr bwMode="auto">
                    <a:xfrm>
                      <a:off x="0" y="0"/>
                      <a:ext cx="5448300" cy="6486525"/>
                    </a:xfrm>
                    <a:prstGeom prst="rect">
                      <a:avLst/>
                    </a:prstGeom>
                    <a:noFill/>
                    <a:ln>
                      <a:noFill/>
                    </a:ln>
                  </pic:spPr>
                </pic:pic>
              </a:graphicData>
            </a:graphic>
          </wp:inline>
        </w:drawing>
      </w:r>
    </w:p>
    <w:p w:rsidR="003B4482" w:rsidRDefault="003B4482" w:rsidP="00EB7D7D">
      <w:pPr>
        <w:pStyle w:val="Heading4"/>
        <w:keepNext/>
      </w:pPr>
      <w:r>
        <w:lastRenderedPageBreak/>
        <w:t>Phase I/</w:t>
      </w:r>
      <w:r w:rsidRPr="003B4482">
        <w:t>Phase I</w:t>
      </w:r>
      <w:r>
        <w:t xml:space="preserve">I studies in pooled safety population </w:t>
      </w:r>
    </w:p>
    <w:p w:rsidR="003B4482" w:rsidRPr="00EE5BAF" w:rsidRDefault="003B4482" w:rsidP="00EB7D7D">
      <w:pPr>
        <w:keepNext/>
        <w:tabs>
          <w:tab w:val="left" w:pos="0"/>
        </w:tabs>
        <w:jc w:val="both"/>
      </w:pPr>
      <w:r>
        <w:t xml:space="preserve">The mean total cumulative VEM dose and duration of treatment for the pooled safety population was </w:t>
      </w:r>
      <w:r w:rsidRPr="00EE5BAF">
        <w:t>319</w:t>
      </w:r>
      <w:r w:rsidR="00366515" w:rsidRPr="00EE5BAF">
        <w:t xml:space="preserve"> </w:t>
      </w:r>
      <w:r w:rsidRPr="00EE5BAF">
        <w:t>g and 6.1 months respectively.</w:t>
      </w:r>
      <w:r w:rsidRPr="00EE5BAF">
        <w:rPr>
          <w:i/>
        </w:rPr>
        <w:t xml:space="preserve"> </w:t>
      </w:r>
      <w:r w:rsidRPr="00EE5BAF">
        <w:t>The mean total daily dose was 1.36</w:t>
      </w:r>
      <w:r w:rsidR="00366515" w:rsidRPr="00EE5BAF">
        <w:t xml:space="preserve"> </w:t>
      </w:r>
      <w:r w:rsidRPr="00EE5BAF">
        <w:t>g per day and the median dose intensities were 85% and 92% respectively.</w:t>
      </w:r>
      <w:r w:rsidRPr="00EE5BAF">
        <w:rPr>
          <w:i/>
        </w:rPr>
        <w:t xml:space="preserve"> </w:t>
      </w:r>
      <w:r w:rsidRPr="00EE5BAF">
        <w:t>These were s</w:t>
      </w:r>
      <w:r w:rsidR="00F1318A" w:rsidRPr="00EE5BAF">
        <w:t>i</w:t>
      </w:r>
      <w:r w:rsidRPr="00EE5BAF">
        <w:t>milar to th</w:t>
      </w:r>
      <w:r w:rsidR="00366515" w:rsidRPr="00EE5BAF">
        <w:t>ose</w:t>
      </w:r>
      <w:r w:rsidRPr="00EE5BAF">
        <w:t xml:space="preserve"> observed in the Phase III study.</w:t>
      </w:r>
    </w:p>
    <w:p w:rsidR="003B4482" w:rsidRPr="00EE5BAF" w:rsidRDefault="003B4482" w:rsidP="003B4482">
      <w:pPr>
        <w:tabs>
          <w:tab w:val="left" w:pos="0"/>
        </w:tabs>
        <w:jc w:val="both"/>
      </w:pPr>
      <w:r w:rsidRPr="00EE5BAF">
        <w:t xml:space="preserve">In relation to dose modifications </w:t>
      </w:r>
      <w:r w:rsidR="00366515" w:rsidRPr="00EE5BAF">
        <w:t>in</w:t>
      </w:r>
      <w:r w:rsidRPr="00EE5BAF">
        <w:t xml:space="preserve"> the 164 patients in the pooled safety population</w:t>
      </w:r>
      <w:r w:rsidR="00366515" w:rsidRPr="00EE5BAF">
        <w:t>,</w:t>
      </w:r>
      <w:r w:rsidRPr="00EE5BAF">
        <w:t xml:space="preserve"> 43% had dose reduction for any reason of which 68% had one dose reduction and 30% two dose reductions.</w:t>
      </w:r>
      <w:r w:rsidRPr="00EE5BAF">
        <w:rPr>
          <w:i/>
        </w:rPr>
        <w:t xml:space="preserve"> </w:t>
      </w:r>
      <w:r w:rsidR="00366515" w:rsidRPr="00EE5BAF">
        <w:t>Some 94</w:t>
      </w:r>
      <w:r w:rsidRPr="00EE5BAF">
        <w:t xml:space="preserve">/154 patients </w:t>
      </w:r>
      <w:r w:rsidR="00366515" w:rsidRPr="00EE5BAF">
        <w:t>(</w:t>
      </w:r>
      <w:r w:rsidRPr="00EE5BAF">
        <w:t>57%</w:t>
      </w:r>
      <w:r w:rsidR="00366515" w:rsidRPr="00EE5BAF">
        <w:t>)</w:t>
      </w:r>
      <w:r w:rsidRPr="00EE5BAF">
        <w:t xml:space="preserve"> had a dose interruption and the mean number of interruptions per patient was 2.6 with a range of 1-15.</w:t>
      </w:r>
      <w:r w:rsidRPr="00EE5BAF">
        <w:rPr>
          <w:i/>
        </w:rPr>
        <w:t xml:space="preserve"> </w:t>
      </w:r>
      <w:r w:rsidRPr="00EE5BAF">
        <w:t xml:space="preserve">The most common reason for dose modification or interruption was an adverse event </w:t>
      </w:r>
      <w:r w:rsidR="00366515" w:rsidRPr="00EE5BAF">
        <w:t>(</w:t>
      </w:r>
      <w:r w:rsidRPr="00EE5BAF">
        <w:t>involving 57% of instances</w:t>
      </w:r>
      <w:r w:rsidR="00366515" w:rsidRPr="00EE5BAF">
        <w:t>)</w:t>
      </w:r>
      <w:r w:rsidRPr="00EE5BAF">
        <w:t xml:space="preserve"> and the most common being </w:t>
      </w:r>
      <w:r w:rsidR="00366515" w:rsidRPr="00EE5BAF">
        <w:t>G</w:t>
      </w:r>
      <w:r w:rsidRPr="00EE5BAF">
        <w:t>rade II or III rash.</w:t>
      </w:r>
      <w:r w:rsidRPr="00EE5BAF">
        <w:rPr>
          <w:i/>
        </w:rPr>
        <w:t xml:space="preserve"> </w:t>
      </w:r>
      <w:r w:rsidRPr="00EE5BAF">
        <w:t>The majority of these rashes resolved without sequelae and none led to discontinuation of study treatment.</w:t>
      </w:r>
      <w:r w:rsidRPr="00EE5BAF">
        <w:rPr>
          <w:i/>
        </w:rPr>
        <w:t xml:space="preserve"> </w:t>
      </w:r>
    </w:p>
    <w:p w:rsidR="003B4482" w:rsidRPr="00EE5BAF" w:rsidRDefault="003B4482" w:rsidP="00366515">
      <w:pPr>
        <w:pStyle w:val="Heading4"/>
      </w:pPr>
      <w:r w:rsidRPr="00EE5BAF">
        <w:t>Supporting clinical pharmacology studies</w:t>
      </w:r>
    </w:p>
    <w:p w:rsidR="003B4482" w:rsidRDefault="003B4482" w:rsidP="003B4482">
      <w:pPr>
        <w:tabs>
          <w:tab w:val="left" w:pos="0"/>
        </w:tabs>
        <w:jc w:val="both"/>
      </w:pPr>
      <w:r w:rsidRPr="00EE5BAF">
        <w:t xml:space="preserve">Drug exposure for these three studies included in </w:t>
      </w:r>
      <w:r w:rsidR="00366515" w:rsidRPr="00EE5BAF">
        <w:t>S</w:t>
      </w:r>
      <w:r w:rsidRPr="00EE5BAF">
        <w:t>tudy NP22676</w:t>
      </w:r>
      <w:r w:rsidR="00366515" w:rsidRPr="00EE5BAF">
        <w:t>,</w:t>
      </w:r>
      <w:r w:rsidRPr="00EE5BAF">
        <w:t xml:space="preserve"> which involved three treatment periods</w:t>
      </w:r>
      <w:r w:rsidR="00366515" w:rsidRPr="00EE5BAF">
        <w:t>,</w:t>
      </w:r>
      <w:r w:rsidRPr="00EE5BAF">
        <w:t xml:space="preserve"> the mean cumulative dose for VEM ranged from 0.26 months to 3.39 months.</w:t>
      </w:r>
      <w:r w:rsidRPr="00EE5BAF">
        <w:rPr>
          <w:i/>
        </w:rPr>
        <w:t xml:space="preserve"> </w:t>
      </w:r>
      <w:r w:rsidRPr="00EE5BAF">
        <w:t xml:space="preserve">For </w:t>
      </w:r>
      <w:r w:rsidR="00366515" w:rsidRPr="00EE5BAF">
        <w:t>S</w:t>
      </w:r>
      <w:r w:rsidRPr="00EE5BAF">
        <w:t>tudy NP25158</w:t>
      </w:r>
      <w:r w:rsidR="00366515" w:rsidRPr="00EE5BAF">
        <w:t>,</w:t>
      </w:r>
      <w:r w:rsidRPr="00EE5BAF">
        <w:t xml:space="preserve"> </w:t>
      </w:r>
      <w:r w:rsidR="00366515" w:rsidRPr="00EE5BAF">
        <w:t xml:space="preserve">which </w:t>
      </w:r>
      <w:r w:rsidRPr="00EE5BAF">
        <w:t>involv</w:t>
      </w:r>
      <w:r w:rsidR="00366515" w:rsidRPr="00EE5BAF">
        <w:t>ed</w:t>
      </w:r>
      <w:r w:rsidRPr="00EE5BAF">
        <w:t xml:space="preserve"> seven patients, the median duration of exposure to VEM was 2.44 months with a mean cumulative dose of 138.58</w:t>
      </w:r>
      <w:r w:rsidR="00366515" w:rsidRPr="00EE5BAF">
        <w:t xml:space="preserve"> </w:t>
      </w:r>
      <w:r w:rsidRPr="00EE5BAF">
        <w:t>g</w:t>
      </w:r>
      <w:r w:rsidR="00366515" w:rsidRPr="00EE5BAF">
        <w:t>. F</w:t>
      </w:r>
      <w:r w:rsidRPr="00EE5BAF">
        <w:t xml:space="preserve">or </w:t>
      </w:r>
      <w:r w:rsidR="00366515" w:rsidRPr="00EE5BAF">
        <w:t>S</w:t>
      </w:r>
      <w:r w:rsidRPr="00EE5BAF">
        <w:t>tudy NP25163 the median duration of exposure to VEM was 64 days with</w:t>
      </w:r>
      <w:r>
        <w:t xml:space="preserve"> a range of 15-189 days and a median cumulative dose of 9288</w:t>
      </w:r>
      <w:r w:rsidRPr="003B4482">
        <w:t>0 mg</w:t>
      </w:r>
      <w:r>
        <w:t xml:space="preserve"> of VEM.</w:t>
      </w:r>
      <w:r w:rsidRPr="003B4482">
        <w:rPr>
          <w:i/>
        </w:rPr>
        <w:t xml:space="preserve"> </w:t>
      </w:r>
    </w:p>
    <w:p w:rsidR="00366515" w:rsidRDefault="003B4482" w:rsidP="00366515">
      <w:pPr>
        <w:tabs>
          <w:tab w:val="left" w:pos="0"/>
        </w:tabs>
        <w:jc w:val="both"/>
      </w:pPr>
      <w:r>
        <w:t>In rel</w:t>
      </w:r>
      <w:r w:rsidR="00366515">
        <w:t>ation to dose modifications in S</w:t>
      </w:r>
      <w:r>
        <w:t>tudy NP22676, eight patients experienced a total of 13 adverse events requiring dose modification</w:t>
      </w:r>
      <w:r w:rsidR="00366515">
        <w:t>;</w:t>
      </w:r>
      <w:r>
        <w:t xml:space="preserve"> rash occurred in four patients </w:t>
      </w:r>
      <w:r w:rsidR="00366515">
        <w:t>(</w:t>
      </w:r>
      <w:r>
        <w:t>16%</w:t>
      </w:r>
      <w:r w:rsidR="00366515">
        <w:t>)</w:t>
      </w:r>
      <w:r>
        <w:t>.</w:t>
      </w:r>
      <w:r w:rsidRPr="003B4482">
        <w:rPr>
          <w:i/>
        </w:rPr>
        <w:t xml:space="preserve"> </w:t>
      </w:r>
      <w:r>
        <w:t xml:space="preserve">In </w:t>
      </w:r>
      <w:r w:rsidR="00366515">
        <w:t>S</w:t>
      </w:r>
      <w:r>
        <w:t xml:space="preserve">tudy NP25158, one patient experienced </w:t>
      </w:r>
      <w:r w:rsidR="00366515">
        <w:t>G</w:t>
      </w:r>
      <w:r>
        <w:t xml:space="preserve">rade III fatigue requiring dose interruption, while in </w:t>
      </w:r>
      <w:r w:rsidR="00366515">
        <w:t>S</w:t>
      </w:r>
      <w:r>
        <w:t>tudy NP25163 seven patients had dose interruptions of 22 dose modification</w:t>
      </w:r>
      <w:r w:rsidR="00366515">
        <w:t>s,</w:t>
      </w:r>
      <w:r>
        <w:t xml:space="preserve"> the most common relating to adverse event particularly skin rash.</w:t>
      </w:r>
      <w:r w:rsidRPr="003B4482">
        <w:rPr>
          <w:i/>
        </w:rPr>
        <w:t xml:space="preserve"> </w:t>
      </w:r>
    </w:p>
    <w:p w:rsidR="003B4482" w:rsidRDefault="003B4482" w:rsidP="00366515">
      <w:pPr>
        <w:pStyle w:val="Heading4"/>
      </w:pPr>
      <w:r>
        <w:t>Adverse events</w:t>
      </w:r>
    </w:p>
    <w:p w:rsidR="003B4482" w:rsidRDefault="003B4482" w:rsidP="00366515">
      <w:pPr>
        <w:pStyle w:val="Heading5"/>
      </w:pPr>
      <w:r>
        <w:t xml:space="preserve">Pivotal </w:t>
      </w:r>
      <w:r w:rsidRPr="003B4482">
        <w:t>Phase I</w:t>
      </w:r>
      <w:r w:rsidR="00366515">
        <w:t>II S</w:t>
      </w:r>
      <w:r>
        <w:t>tudy NO25026</w:t>
      </w:r>
    </w:p>
    <w:p w:rsidR="003B4482" w:rsidRDefault="003B4482" w:rsidP="003B4482">
      <w:pPr>
        <w:tabs>
          <w:tab w:val="left" w:pos="0"/>
        </w:tabs>
        <w:jc w:val="both"/>
      </w:pPr>
      <w:r>
        <w:t xml:space="preserve">An overview of adverse events in the </w:t>
      </w:r>
      <w:r w:rsidRPr="003B4482">
        <w:t>Phase I</w:t>
      </w:r>
      <w:r>
        <w:t xml:space="preserve">II study is </w:t>
      </w:r>
      <w:r w:rsidRPr="009A3DAC">
        <w:t xml:space="preserve">provided in Table </w:t>
      </w:r>
      <w:r w:rsidR="00EB7D7D" w:rsidRPr="009A3DAC">
        <w:t>24</w:t>
      </w:r>
      <w:r w:rsidRPr="009A3DAC">
        <w:t>.</w:t>
      </w:r>
      <w:r w:rsidRPr="009A3DAC">
        <w:rPr>
          <w:i/>
        </w:rPr>
        <w:t xml:space="preserve"> </w:t>
      </w:r>
      <w:r w:rsidRPr="009A3DAC">
        <w:t>Most</w:t>
      </w:r>
      <w:r w:rsidRPr="009A3DAC">
        <w:rPr>
          <w:i/>
        </w:rPr>
        <w:t xml:space="preserve"> </w:t>
      </w:r>
      <w:r w:rsidRPr="009A3DAC">
        <w:t>patients in this study experienced at least one adverse event of any severity</w:t>
      </w:r>
      <w:r w:rsidR="00366515" w:rsidRPr="009A3DAC">
        <w:t>;</w:t>
      </w:r>
      <w:r w:rsidRPr="009A3DAC">
        <w:t xml:space="preserve"> 97% compared</w:t>
      </w:r>
      <w:r>
        <w:t xml:space="preserve"> to 90% of patients on Dacarbazine</w:t>
      </w:r>
      <w:r w:rsidR="00366515">
        <w:t>;</w:t>
      </w:r>
      <w:r>
        <w:t xml:space="preserve"> and 71% and 65% of patients receiving VEM </w:t>
      </w:r>
      <w:r w:rsidR="002E7A26">
        <w:t>and dacarbazine</w:t>
      </w:r>
      <w:r>
        <w:t xml:space="preserve"> respectively experienced at least one adverse event that occurred within 28 days prior to discontinuation of study therapy</w:t>
      </w:r>
      <w:r w:rsidR="008838EE">
        <w:t>.</w:t>
      </w:r>
      <w:r w:rsidRPr="003B4482">
        <w:rPr>
          <w:i/>
        </w:rPr>
        <w:t xml:space="preserve"> </w:t>
      </w:r>
    </w:p>
    <w:p w:rsidR="003B4482" w:rsidRDefault="003B4482" w:rsidP="003B4482">
      <w:pPr>
        <w:tabs>
          <w:tab w:val="left" w:pos="0"/>
        </w:tabs>
        <w:jc w:val="both"/>
        <w:rPr>
          <w:i/>
        </w:rPr>
      </w:pPr>
      <w:r>
        <w:t xml:space="preserve">The most commonly reported adverse events in the VEM group were in the </w:t>
      </w:r>
      <w:r w:rsidR="00D2520C">
        <w:t xml:space="preserve">System Organ Class (SOC) </w:t>
      </w:r>
      <w:r>
        <w:t xml:space="preserve">of </w:t>
      </w:r>
      <w:r w:rsidR="00D2520C">
        <w:t>S</w:t>
      </w:r>
      <w:r>
        <w:t>kin and subcutaneous tissue disorders, where 90% of patients had at least one adverse event</w:t>
      </w:r>
      <w:r w:rsidR="00D73147" w:rsidRPr="00D73147">
        <w:t xml:space="preserve"> </w:t>
      </w:r>
      <w:r w:rsidR="00D2520C">
        <w:t>which can be compared to</w:t>
      </w:r>
      <w:r w:rsidR="00D73147" w:rsidRPr="00D73147">
        <w:t xml:space="preserve"> </w:t>
      </w:r>
      <w:r>
        <w:t xml:space="preserve">19% in </w:t>
      </w:r>
      <w:r w:rsidR="00BB2876">
        <w:t>the dacarbazine</w:t>
      </w:r>
      <w:r>
        <w:t xml:space="preserve"> group.</w:t>
      </w:r>
      <w:r w:rsidRPr="003B4482">
        <w:rPr>
          <w:i/>
        </w:rPr>
        <w:t xml:space="preserve"> </w:t>
      </w:r>
      <w:r>
        <w:t>The most commonly occurring adverse event in th</w:t>
      </w:r>
      <w:r w:rsidR="00D2520C">
        <w:t>is SOC</w:t>
      </w:r>
      <w:r>
        <w:t xml:space="preserve"> were rash, alopecia and photosensitivity reaction.</w:t>
      </w:r>
      <w:r w:rsidRPr="003B4482">
        <w:rPr>
          <w:i/>
        </w:rPr>
        <w:t xml:space="preserve"> </w:t>
      </w:r>
      <w:r>
        <w:t>The next most common w</w:t>
      </w:r>
      <w:r w:rsidR="00D2520C">
        <w:t>as</w:t>
      </w:r>
      <w:r>
        <w:t xml:space="preserve"> </w:t>
      </w:r>
      <w:r w:rsidR="00D2520C">
        <w:t>G</w:t>
      </w:r>
      <w:r>
        <w:t>astrointestinal disorders with similar overall incidences in the two groups of patients</w:t>
      </w:r>
      <w:r w:rsidR="00D2520C">
        <w:t>;</w:t>
      </w:r>
      <w:r>
        <w:t xml:space="preserve"> 63% for VEM and 65% for Dacarbazine.</w:t>
      </w:r>
      <w:r w:rsidRPr="003B4482">
        <w:rPr>
          <w:i/>
        </w:rPr>
        <w:t xml:space="preserve"> </w:t>
      </w:r>
      <w:r>
        <w:t xml:space="preserve">Nausea, vomiting and constipation were more common in </w:t>
      </w:r>
      <w:r w:rsidR="00BB2876">
        <w:t>the dacarbazine</w:t>
      </w:r>
      <w:r>
        <w:t xml:space="preserve"> group while diarrhoea was most common in the VEM group. Other adverse events occurring more commonly in the VEM patients included arthralgia, cutaneous SCC, keratoacanthoma, increased alkaline phosphatase and increased ALT.</w:t>
      </w:r>
      <w:r w:rsidRPr="003B4482">
        <w:rPr>
          <w:i/>
        </w:rPr>
        <w:t xml:space="preserve"> </w:t>
      </w:r>
      <w:r>
        <w:t>Other adverse events also occurring more frequently in VEM patients included skin papilloma, headache, dysgeusia, pyrexia, peripheral oedema, extremity pain, myalgia and decreased appetite.</w:t>
      </w:r>
      <w:r w:rsidRPr="003B4482">
        <w:rPr>
          <w:i/>
        </w:rPr>
        <w:t xml:space="preserve"> </w:t>
      </w:r>
      <w:r>
        <w:t xml:space="preserve">More common among </w:t>
      </w:r>
      <w:r w:rsidR="00BB2876">
        <w:t>the dacarbazine</w:t>
      </w:r>
      <w:r>
        <w:t xml:space="preserve"> patients was neutropenia, vomiting and constipation.</w:t>
      </w:r>
      <w:r w:rsidRPr="003B4482">
        <w:rPr>
          <w:i/>
        </w:rPr>
        <w:t xml:space="preserve"> </w:t>
      </w:r>
      <w:r>
        <w:t>More patients in the VEM group</w:t>
      </w:r>
      <w:r w:rsidR="00D2520C">
        <w:t xml:space="preserve"> (</w:t>
      </w:r>
      <w:r>
        <w:t>94%</w:t>
      </w:r>
      <w:r w:rsidR="00D2520C">
        <w:t>)</w:t>
      </w:r>
      <w:r>
        <w:t xml:space="preserve"> than </w:t>
      </w:r>
      <w:r w:rsidR="00D2520C">
        <w:t xml:space="preserve">in </w:t>
      </w:r>
      <w:r w:rsidR="00BB2876">
        <w:t>the dacarbazine</w:t>
      </w:r>
      <w:r>
        <w:t xml:space="preserve"> group</w:t>
      </w:r>
      <w:r w:rsidR="00D2520C">
        <w:t xml:space="preserve"> (</w:t>
      </w:r>
      <w:r>
        <w:t>69%</w:t>
      </w:r>
      <w:r w:rsidR="00D2520C">
        <w:t>)</w:t>
      </w:r>
      <w:r>
        <w:t xml:space="preserve"> had at least one adverse event that was considered by the </w:t>
      </w:r>
      <w:r w:rsidR="00D2520C">
        <w:t xml:space="preserve">study </w:t>
      </w:r>
      <w:r>
        <w:t>investigator to be related to treatment.</w:t>
      </w:r>
      <w:r w:rsidRPr="003B4482">
        <w:rPr>
          <w:i/>
        </w:rPr>
        <w:t xml:space="preserve"> </w:t>
      </w:r>
    </w:p>
    <w:p w:rsidR="00EB7D7D" w:rsidRDefault="00F016D0" w:rsidP="00EB7D7D">
      <w:pPr>
        <w:pStyle w:val="FigureTitle"/>
        <w:keepNext/>
      </w:pPr>
      <w:r>
        <w:rPr>
          <w:noProof/>
          <w:lang w:eastAsia="zh-TW"/>
        </w:rPr>
        <w:lastRenderedPageBreak/>
        <w:pict>
          <v:shape id="Text Box 52" o:spid="_x0000_s1069" type="#_x0000_t202" style="position:absolute;margin-left:17pt;margin-top:15.1pt;width:60.75pt;height:27.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Hhg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" stroked="f">
            <v:textbox>
              <w:txbxContent>
                <w:p w:rsidR="00A408DA" w:rsidRDefault="00A408DA"/>
              </w:txbxContent>
            </v:textbox>
          </v:shape>
        </w:pict>
      </w:r>
      <w:r w:rsidR="00EB7D7D">
        <w:t>Table 24.</w:t>
      </w:r>
    </w:p>
    <w:p w:rsidR="00EB7D7D" w:rsidRDefault="005B75BE" w:rsidP="00EB7D7D">
      <w:pPr>
        <w:keepNext/>
        <w:tabs>
          <w:tab w:val="left" w:pos="0"/>
        </w:tabs>
      </w:pPr>
      <w:r>
        <w:rPr>
          <w:noProof/>
          <w:lang w:eastAsia="en-AU"/>
        </w:rPr>
        <w:drawing>
          <wp:inline distT="0" distB="0" distL="0" distR="0">
            <wp:extent cx="5362575" cy="4448175"/>
            <wp:effectExtent l="19050" t="0" r="9525" b="0"/>
            <wp:docPr id="53" name="Picture 53" descr="Tabl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3002"/>
                    <a:stretch>
                      <a:fillRect/>
                    </a:stretch>
                  </pic:blipFill>
                  <pic:spPr bwMode="auto">
                    <a:xfrm>
                      <a:off x="0" y="0"/>
                      <a:ext cx="5362575" cy="4448175"/>
                    </a:xfrm>
                    <a:prstGeom prst="rect">
                      <a:avLst/>
                    </a:prstGeom>
                    <a:noFill/>
                    <a:ln>
                      <a:noFill/>
                    </a:ln>
                  </pic:spPr>
                </pic:pic>
              </a:graphicData>
            </a:graphic>
          </wp:inline>
        </w:drawing>
      </w:r>
    </w:p>
    <w:p w:rsidR="003B4482" w:rsidRDefault="00D2520C" w:rsidP="003B4482">
      <w:pPr>
        <w:tabs>
          <w:tab w:val="left" w:pos="0"/>
        </w:tabs>
        <w:jc w:val="both"/>
        <w:rPr>
          <w:i/>
        </w:rPr>
      </w:pPr>
      <w:r>
        <w:t>T</w:t>
      </w:r>
      <w:r w:rsidR="003B4482">
        <w:t xml:space="preserve">he most common </w:t>
      </w:r>
      <w:r>
        <w:t xml:space="preserve">adverse events of a Grade III or greater </w:t>
      </w:r>
      <w:r w:rsidR="003B4482">
        <w:t xml:space="preserve">among VEM patients were SCC of skin </w:t>
      </w:r>
      <w:r>
        <w:t xml:space="preserve">(in </w:t>
      </w:r>
      <w:r w:rsidR="003B4482">
        <w:t>11%</w:t>
      </w:r>
      <w:r>
        <w:t>)</w:t>
      </w:r>
      <w:r w:rsidR="003B4482">
        <w:t xml:space="preserve"> and rash </w:t>
      </w:r>
      <w:r>
        <w:t>(</w:t>
      </w:r>
      <w:r w:rsidR="003B4482">
        <w:t>in 8%</w:t>
      </w:r>
      <w:r>
        <w:t>)</w:t>
      </w:r>
      <w:r w:rsidR="003B4482">
        <w:t xml:space="preserve">, while the most common in Dacarbazine patients were neutropenia </w:t>
      </w:r>
      <w:r>
        <w:t xml:space="preserve">(in </w:t>
      </w:r>
      <w:r w:rsidR="003B4482">
        <w:t>9%</w:t>
      </w:r>
      <w:r>
        <w:t>)</w:t>
      </w:r>
      <w:r w:rsidR="003B4482">
        <w:t xml:space="preserve"> and decreased neutrophil count </w:t>
      </w:r>
      <w:r>
        <w:t xml:space="preserve">(in </w:t>
      </w:r>
      <w:r w:rsidR="003B4482">
        <w:t>4%</w:t>
      </w:r>
      <w:r>
        <w:t>)</w:t>
      </w:r>
      <w:r w:rsidR="003B4482">
        <w:t>.</w:t>
      </w:r>
      <w:r w:rsidR="003B4482" w:rsidRPr="003B4482">
        <w:rPr>
          <w:i/>
        </w:rPr>
        <w:t xml:space="preserve"> </w:t>
      </w:r>
      <w:r w:rsidR="003B4482">
        <w:t>The greater percentage of patients in the VEM group</w:t>
      </w:r>
      <w:r>
        <w:t xml:space="preserve"> (</w:t>
      </w:r>
      <w:r w:rsidR="003B4482">
        <w:t>43%</w:t>
      </w:r>
      <w:r>
        <w:t>)</w:t>
      </w:r>
      <w:r w:rsidR="003B4482">
        <w:t xml:space="preserve"> and </w:t>
      </w:r>
      <w:r w:rsidR="00BB2876">
        <w:t>the dacarbazine</w:t>
      </w:r>
      <w:r w:rsidR="003B4482">
        <w:t xml:space="preserve"> group,</w:t>
      </w:r>
      <w:r w:rsidR="00D73147" w:rsidRPr="00D73147">
        <w:t xml:space="preserve"> that is, </w:t>
      </w:r>
      <w:r w:rsidR="003B4482">
        <w:t xml:space="preserve">19% experienced adverse events of </w:t>
      </w:r>
      <w:r>
        <w:t>G</w:t>
      </w:r>
      <w:r w:rsidR="003B4482">
        <w:t xml:space="preserve">rade III or greater considered by the </w:t>
      </w:r>
      <w:r>
        <w:t xml:space="preserve">study </w:t>
      </w:r>
      <w:r w:rsidR="003B4482">
        <w:t>investigator to be related to treatment.</w:t>
      </w:r>
      <w:r w:rsidR="003B4482" w:rsidRPr="003B4482">
        <w:rPr>
          <w:i/>
        </w:rPr>
        <w:t xml:space="preserve"> </w:t>
      </w:r>
      <w:r w:rsidR="003B4482">
        <w:t xml:space="preserve">The most common treatment related adverse events of </w:t>
      </w:r>
      <w:r>
        <w:t>G</w:t>
      </w:r>
      <w:r w:rsidR="003B4482">
        <w:t xml:space="preserve">rade III or greater </w:t>
      </w:r>
      <w:r>
        <w:t>were</w:t>
      </w:r>
      <w:r w:rsidR="003B4482">
        <w:t xml:space="preserve"> SCC of skin, rash and </w:t>
      </w:r>
      <w:r w:rsidR="003B4482" w:rsidRPr="009A3DAC">
        <w:t>keratoacanthoma.</w:t>
      </w:r>
      <w:r w:rsidR="003B4482" w:rsidRPr="009A3DAC">
        <w:rPr>
          <w:i/>
        </w:rPr>
        <w:t xml:space="preserve"> </w:t>
      </w:r>
      <w:r w:rsidR="003B4482" w:rsidRPr="009A3DAC">
        <w:t xml:space="preserve">These are illustrated in Table </w:t>
      </w:r>
      <w:r w:rsidR="00EB7D7D" w:rsidRPr="009A3DAC">
        <w:t>25</w:t>
      </w:r>
      <w:r w:rsidR="003B4482" w:rsidRPr="009A3DAC">
        <w:t>.</w:t>
      </w:r>
      <w:r w:rsidR="003B4482" w:rsidRPr="003B4482">
        <w:rPr>
          <w:i/>
        </w:rPr>
        <w:t xml:space="preserve"> </w:t>
      </w:r>
    </w:p>
    <w:p w:rsidR="00EB7D7D" w:rsidRDefault="00F016D0" w:rsidP="00EB7D7D">
      <w:pPr>
        <w:pStyle w:val="FigureTitle"/>
      </w:pPr>
      <w:r>
        <w:rPr>
          <w:noProof/>
          <w:lang w:eastAsia="zh-TW"/>
        </w:rPr>
        <w:lastRenderedPageBreak/>
        <w:pict>
          <v:shape id="Text Box 53" o:spid="_x0000_s1070" type="#_x0000_t202" style="position:absolute;margin-left:8.85pt;margin-top:17.65pt;width:62pt;height:2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" stroked="f">
            <v:textbox>
              <w:txbxContent>
                <w:p w:rsidR="00A408DA" w:rsidRDefault="00A408DA"/>
              </w:txbxContent>
            </v:textbox>
          </v:shape>
        </w:pict>
      </w:r>
      <w:r w:rsidR="00EB7D7D">
        <w:t xml:space="preserve">Table 25. </w:t>
      </w:r>
      <w:r w:rsidR="005B75BE">
        <w:rPr>
          <w:noProof/>
          <w:lang w:eastAsia="en-AU"/>
        </w:rPr>
        <w:drawing>
          <wp:inline distT="0" distB="0" distL="0" distR="0">
            <wp:extent cx="5181600" cy="3609975"/>
            <wp:effectExtent l="19050" t="0" r="0" b="0"/>
            <wp:docPr id="54" name="Picture 54" descr="Tabl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9033"/>
                    <a:stretch>
                      <a:fillRect/>
                    </a:stretch>
                  </pic:blipFill>
                  <pic:spPr bwMode="auto">
                    <a:xfrm>
                      <a:off x="0" y="0"/>
                      <a:ext cx="5181600" cy="3609975"/>
                    </a:xfrm>
                    <a:prstGeom prst="rect">
                      <a:avLst/>
                    </a:prstGeom>
                    <a:noFill/>
                    <a:ln>
                      <a:noFill/>
                    </a:ln>
                  </pic:spPr>
                </pic:pic>
              </a:graphicData>
            </a:graphic>
          </wp:inline>
        </w:drawing>
      </w:r>
    </w:p>
    <w:p w:rsidR="003B4482" w:rsidRDefault="003B4482" w:rsidP="003B4482">
      <w:pPr>
        <w:tabs>
          <w:tab w:val="left" w:pos="0"/>
        </w:tabs>
        <w:jc w:val="both"/>
      </w:pPr>
      <w:r>
        <w:t xml:space="preserve">With regards to </w:t>
      </w:r>
      <w:r w:rsidR="00E13405">
        <w:t>G</w:t>
      </w:r>
      <w:r>
        <w:t xml:space="preserve">rade IV adverse events, the overall incidence was lower in the VEM group of patients </w:t>
      </w:r>
      <w:r w:rsidR="00E13405">
        <w:t>(</w:t>
      </w:r>
      <w:r>
        <w:t>4%</w:t>
      </w:r>
      <w:r w:rsidR="00E13405">
        <w:t>)</w:t>
      </w:r>
      <w:r>
        <w:t xml:space="preserve"> compared to </w:t>
      </w:r>
      <w:r w:rsidR="00BB2876">
        <w:t>the dacarbazine</w:t>
      </w:r>
      <w:r>
        <w:t xml:space="preserve"> </w:t>
      </w:r>
      <w:r w:rsidR="00E13405">
        <w:t>group (</w:t>
      </w:r>
      <w:r>
        <w:t>8%</w:t>
      </w:r>
      <w:r w:rsidR="00E13405">
        <w:t>)</w:t>
      </w:r>
      <w:r>
        <w:t>.</w:t>
      </w:r>
      <w:r w:rsidR="00E13405">
        <w:t xml:space="preserve"> </w:t>
      </w:r>
      <w:r>
        <w:t>Grade IV events occurring in VEM patients included pulmonary embolism in three patients</w:t>
      </w:r>
      <w:r w:rsidR="00BB2876">
        <w:t xml:space="preserve"> and</w:t>
      </w:r>
      <w:r>
        <w:t xml:space="preserve"> increased </w:t>
      </w:r>
      <w:r w:rsidR="008305A0" w:rsidRPr="008305A0">
        <w:t>GGT</w:t>
      </w:r>
      <w:r>
        <w:t xml:space="preserve"> in two patients</w:t>
      </w:r>
      <w:r w:rsidR="00BB2876">
        <w:t>. The</w:t>
      </w:r>
      <w:r>
        <w:t xml:space="preserve"> remaining </w:t>
      </w:r>
      <w:r w:rsidR="00BB2876">
        <w:t>G</w:t>
      </w:r>
      <w:r>
        <w:t>rade IV adverse events were singular in nature.</w:t>
      </w:r>
      <w:r w:rsidRPr="003B4482">
        <w:rPr>
          <w:i/>
        </w:rPr>
        <w:t xml:space="preserve"> </w:t>
      </w:r>
      <w:r>
        <w:t xml:space="preserve">In relation to the elevated GGT levels, </w:t>
      </w:r>
      <w:r w:rsidR="00BB2876">
        <w:t xml:space="preserve">these enzyme elevations settled </w:t>
      </w:r>
      <w:r>
        <w:t xml:space="preserve">in two patients </w:t>
      </w:r>
      <w:r w:rsidR="00BB2876">
        <w:t>up</w:t>
      </w:r>
      <w:r>
        <w:t xml:space="preserve">on interruption of therapy and </w:t>
      </w:r>
      <w:r w:rsidR="00BB2876">
        <w:t xml:space="preserve">the </w:t>
      </w:r>
      <w:r>
        <w:t>patients were able to return to treatment.</w:t>
      </w:r>
      <w:r w:rsidRPr="003B4482">
        <w:rPr>
          <w:i/>
        </w:rPr>
        <w:t xml:space="preserve"> </w:t>
      </w:r>
      <w:r>
        <w:t xml:space="preserve">The higher incidence of </w:t>
      </w:r>
      <w:r w:rsidR="00BB2876">
        <w:t>G</w:t>
      </w:r>
      <w:r>
        <w:t xml:space="preserve">rade IV events in </w:t>
      </w:r>
      <w:r w:rsidR="00BB2876">
        <w:t>the dacarbazine</w:t>
      </w:r>
      <w:r>
        <w:t xml:space="preserve"> group principally related to neutropenia and thrombocytopenia. These were considered related to treatment.</w:t>
      </w:r>
      <w:r w:rsidRPr="003B4482">
        <w:rPr>
          <w:i/>
        </w:rPr>
        <w:t xml:space="preserve"> </w:t>
      </w:r>
    </w:p>
    <w:p w:rsidR="003B4482" w:rsidRDefault="00BB2876" w:rsidP="003B4482">
      <w:pPr>
        <w:tabs>
          <w:tab w:val="left" w:pos="0"/>
        </w:tabs>
        <w:jc w:val="both"/>
      </w:pPr>
      <w:r>
        <w:t>A</w:t>
      </w:r>
      <w:r w:rsidR="003B4482">
        <w:t xml:space="preserve">dverse events with </w:t>
      </w:r>
      <w:r>
        <w:t xml:space="preserve">a fatal </w:t>
      </w:r>
      <w:r w:rsidR="003B4482">
        <w:t>outcome</w:t>
      </w:r>
      <w:r>
        <w:t xml:space="preserve"> occurred with the</w:t>
      </w:r>
      <w:r w:rsidR="003B4482">
        <w:t xml:space="preserve"> same frequency in both treatment groups</w:t>
      </w:r>
      <w:r>
        <w:t>;</w:t>
      </w:r>
      <w:r w:rsidR="003B4482">
        <w:t xml:space="preserve"> six patients in each group.</w:t>
      </w:r>
      <w:r w:rsidR="003B4482" w:rsidRPr="003B4482">
        <w:rPr>
          <w:i/>
        </w:rPr>
        <w:t xml:space="preserve"> </w:t>
      </w:r>
      <w:r w:rsidR="003B4482">
        <w:t>Only one of these was considered to be related to VEM treatment</w:t>
      </w:r>
      <w:r>
        <w:t>. It</w:t>
      </w:r>
      <w:r w:rsidR="003B4482">
        <w:t xml:space="preserve"> involved a patient with a cerebral metastasis that subsequently bled.</w:t>
      </w:r>
      <w:r w:rsidR="003B4482" w:rsidRPr="003B4482">
        <w:rPr>
          <w:i/>
        </w:rPr>
        <w:t xml:space="preserve"> </w:t>
      </w:r>
      <w:r w:rsidR="003B4482">
        <w:t xml:space="preserve">It was not possible to completely exclude </w:t>
      </w:r>
      <w:r>
        <w:t xml:space="preserve">a </w:t>
      </w:r>
      <w:r w:rsidR="003B4482">
        <w:t>treatment related effect.</w:t>
      </w:r>
      <w:r w:rsidR="003B4482" w:rsidRPr="003B4482">
        <w:rPr>
          <w:i/>
        </w:rPr>
        <w:t xml:space="preserve"> </w:t>
      </w:r>
    </w:p>
    <w:p w:rsidR="003B4482" w:rsidRDefault="003B4482" w:rsidP="00BB2876">
      <w:pPr>
        <w:pStyle w:val="Heading5"/>
      </w:pPr>
      <w:r>
        <w:t>Studies PLX06-02 and NP22657</w:t>
      </w:r>
      <w:r w:rsidRPr="003B4482">
        <w:t xml:space="preserve">   </w:t>
      </w:r>
      <w:r>
        <w:t xml:space="preserve"> </w:t>
      </w:r>
    </w:p>
    <w:p w:rsidR="003B4482" w:rsidRDefault="003B4482" w:rsidP="003B4482">
      <w:pPr>
        <w:tabs>
          <w:tab w:val="left" w:pos="0"/>
        </w:tabs>
        <w:jc w:val="both"/>
        <w:rPr>
          <w:i/>
        </w:rPr>
      </w:pPr>
      <w:r>
        <w:t xml:space="preserve">An overview of </w:t>
      </w:r>
      <w:r w:rsidR="00BB2876">
        <w:t xml:space="preserve">the </w:t>
      </w:r>
      <w:r>
        <w:t>adverse events indicate</w:t>
      </w:r>
      <w:r w:rsidR="00BB2876">
        <w:t>d</w:t>
      </w:r>
      <w:r>
        <w:t xml:space="preserve"> that these were essentially similar to th</w:t>
      </w:r>
      <w:r w:rsidR="00BB2876">
        <w:t>ose</w:t>
      </w:r>
      <w:r>
        <w:t xml:space="preserve"> observed in the </w:t>
      </w:r>
      <w:r w:rsidRPr="003B4482">
        <w:t>Phase I</w:t>
      </w:r>
      <w:r>
        <w:t xml:space="preserve">II </w:t>
      </w:r>
      <w:r w:rsidRPr="009A3DAC">
        <w:t xml:space="preserve">trial and are summarised in Table </w:t>
      </w:r>
      <w:r w:rsidR="009A3DAC" w:rsidRPr="009A3DAC">
        <w:t>26</w:t>
      </w:r>
      <w:r w:rsidRPr="009A3DAC">
        <w:t>.</w:t>
      </w:r>
      <w:r w:rsidRPr="009A3DAC">
        <w:rPr>
          <w:i/>
        </w:rPr>
        <w:t xml:space="preserve"> </w:t>
      </w:r>
      <w:r w:rsidRPr="009A3DAC">
        <w:t>All patients in the pooled safety population experienced at least one adverse event of any grade and</w:t>
      </w:r>
      <w:r>
        <w:t xml:space="preserve"> a total of 112 patients experienced at least one adverse event that occurred within 28 days prior to discontinuation of study therapy.</w:t>
      </w:r>
      <w:r w:rsidRPr="003B4482">
        <w:rPr>
          <w:i/>
        </w:rPr>
        <w:t xml:space="preserve"> </w:t>
      </w:r>
    </w:p>
    <w:p w:rsidR="00EB7D7D" w:rsidRDefault="00F016D0" w:rsidP="00EB7D7D">
      <w:pPr>
        <w:pStyle w:val="FigureTitle"/>
        <w:keepNext/>
      </w:pPr>
      <w:r>
        <w:rPr>
          <w:noProof/>
          <w:lang w:eastAsia="zh-TW"/>
        </w:rPr>
        <w:lastRenderedPageBreak/>
        <w:pict>
          <v:shape id="Text Box 54" o:spid="_x0000_s1071" type="#_x0000_t202" style="position:absolute;margin-left:5.1pt;margin-top:18.25pt;width:58.25pt;height:22.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" stroked="f">
            <v:textbox>
              <w:txbxContent>
                <w:p w:rsidR="00A408DA" w:rsidRDefault="00A408DA"/>
              </w:txbxContent>
            </v:textbox>
          </v:shape>
        </w:pict>
      </w:r>
      <w:r w:rsidR="00EB7D7D">
        <w:t>Table 26.</w:t>
      </w:r>
    </w:p>
    <w:p w:rsidR="00EB7D7D" w:rsidRDefault="005B75BE" w:rsidP="00EB7D7D">
      <w:pPr>
        <w:keepNext/>
        <w:tabs>
          <w:tab w:val="left" w:pos="0"/>
        </w:tabs>
      </w:pPr>
      <w:r>
        <w:rPr>
          <w:noProof/>
          <w:lang w:eastAsia="en-AU"/>
        </w:rPr>
        <w:drawing>
          <wp:inline distT="0" distB="0" distL="0" distR="0">
            <wp:extent cx="5276850" cy="2600325"/>
            <wp:effectExtent l="19050" t="0" r="0" b="0"/>
            <wp:docPr id="55" name="Picture 55" descr="Tabl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463"/>
                    <a:stretch>
                      <a:fillRect/>
                    </a:stretch>
                  </pic:blipFill>
                  <pic:spPr bwMode="auto">
                    <a:xfrm>
                      <a:off x="0" y="0"/>
                      <a:ext cx="5276850" cy="2600325"/>
                    </a:xfrm>
                    <a:prstGeom prst="rect">
                      <a:avLst/>
                    </a:prstGeom>
                    <a:noFill/>
                    <a:ln>
                      <a:noFill/>
                    </a:ln>
                  </pic:spPr>
                </pic:pic>
              </a:graphicData>
            </a:graphic>
          </wp:inline>
        </w:drawing>
      </w:r>
    </w:p>
    <w:p w:rsidR="003B4482" w:rsidRDefault="00BB2876" w:rsidP="003B4482">
      <w:pPr>
        <w:tabs>
          <w:tab w:val="left" w:pos="0"/>
        </w:tabs>
        <w:jc w:val="both"/>
      </w:pPr>
      <w:r>
        <w:t>The majority of patients (75%) in the pooled safety population experienced at least one adverse event of G</w:t>
      </w:r>
      <w:r w:rsidR="003B4482">
        <w:t xml:space="preserve">rade III </w:t>
      </w:r>
      <w:r>
        <w:t>or</w:t>
      </w:r>
      <w:r w:rsidR="003B4482">
        <w:t xml:space="preserve"> greater.</w:t>
      </w:r>
      <w:r w:rsidR="003B4482" w:rsidRPr="003B4482">
        <w:rPr>
          <w:i/>
        </w:rPr>
        <w:t xml:space="preserve"> </w:t>
      </w:r>
      <w:r w:rsidR="003B4482">
        <w:t xml:space="preserve">The most common of these were SCC of the skin </w:t>
      </w:r>
      <w:r>
        <w:t>(</w:t>
      </w:r>
      <w:r w:rsidR="003B4482">
        <w:t>23%</w:t>
      </w:r>
      <w:r>
        <w:t>)</w:t>
      </w:r>
      <w:r w:rsidR="003B4482">
        <w:t>, elevat</w:t>
      </w:r>
      <w:r w:rsidR="003B4482" w:rsidRPr="001A183C">
        <w:t xml:space="preserve">ed </w:t>
      </w:r>
      <w:r w:rsidR="008305A0" w:rsidRPr="008305A0">
        <w:t>GGT</w:t>
      </w:r>
      <w:r w:rsidR="003B4482">
        <w:t xml:space="preserve"> </w:t>
      </w:r>
      <w:r>
        <w:t>(</w:t>
      </w:r>
      <w:r w:rsidR="003B4482">
        <w:t>9%</w:t>
      </w:r>
      <w:r>
        <w:t>)</w:t>
      </w:r>
      <w:r w:rsidR="003B4482">
        <w:t xml:space="preserve">, arthralgia </w:t>
      </w:r>
      <w:r>
        <w:t>(</w:t>
      </w:r>
      <w:r w:rsidR="003B4482">
        <w:t>7%</w:t>
      </w:r>
      <w:r>
        <w:t>)</w:t>
      </w:r>
      <w:r w:rsidR="003B4482">
        <w:t xml:space="preserve">, rash </w:t>
      </w:r>
      <w:r>
        <w:t>(</w:t>
      </w:r>
      <w:r w:rsidR="003B4482">
        <w:t>7%</w:t>
      </w:r>
      <w:r>
        <w:t>)</w:t>
      </w:r>
      <w:r w:rsidR="003B4482">
        <w:t xml:space="preserve">, basal cell carcinoma </w:t>
      </w:r>
      <w:r>
        <w:t>(</w:t>
      </w:r>
      <w:r w:rsidR="003B4482">
        <w:t>5%</w:t>
      </w:r>
      <w:r>
        <w:t>)</w:t>
      </w:r>
      <w:r w:rsidR="003B4482">
        <w:t xml:space="preserve"> and macular papilla rash </w:t>
      </w:r>
      <w:r>
        <w:t>(</w:t>
      </w:r>
      <w:r w:rsidR="003B4482">
        <w:t>5%</w:t>
      </w:r>
      <w:r>
        <w:t>)</w:t>
      </w:r>
      <w:r w:rsidR="003B4482">
        <w:t>.</w:t>
      </w:r>
      <w:r w:rsidR="003B4482" w:rsidRPr="003B4482">
        <w:rPr>
          <w:i/>
        </w:rPr>
        <w:t xml:space="preserve"> </w:t>
      </w:r>
      <w:r w:rsidR="003B4482" w:rsidRPr="00EB7D7D">
        <w:t xml:space="preserve">Those considered related to VEM treatment were reported in 62% of patients </w:t>
      </w:r>
      <w:r w:rsidRPr="00EB7D7D">
        <w:t>and</w:t>
      </w:r>
      <w:r w:rsidR="003B4482" w:rsidRPr="00EB7D7D">
        <w:t xml:space="preserve"> the most common was SCC of the skin </w:t>
      </w:r>
      <w:r w:rsidRPr="00EB7D7D">
        <w:t>(</w:t>
      </w:r>
      <w:r w:rsidR="003B4482" w:rsidRPr="00EB7D7D">
        <w:t>in 23%</w:t>
      </w:r>
      <w:r w:rsidRPr="00EB7D7D">
        <w:t>)</w:t>
      </w:r>
      <w:r w:rsidR="003B4482" w:rsidRPr="00EB7D7D">
        <w:t xml:space="preserve"> and is indicated in Table </w:t>
      </w:r>
      <w:r w:rsidR="00EB7D7D" w:rsidRPr="00EB7D7D">
        <w:t>27</w:t>
      </w:r>
      <w:r w:rsidR="003B4482" w:rsidRPr="00EB7D7D">
        <w:t>.</w:t>
      </w:r>
      <w:r w:rsidR="003B4482" w:rsidRPr="00EB7D7D">
        <w:rPr>
          <w:i/>
        </w:rPr>
        <w:t xml:space="preserve"> </w:t>
      </w:r>
      <w:r w:rsidR="003B4482" w:rsidRPr="00EB7D7D">
        <w:t xml:space="preserve">A total of 42 patients </w:t>
      </w:r>
      <w:r w:rsidRPr="00EB7D7D">
        <w:t>(</w:t>
      </w:r>
      <w:r w:rsidR="003B4482" w:rsidRPr="00EB7D7D">
        <w:t>26%</w:t>
      </w:r>
      <w:r w:rsidRPr="00EB7D7D">
        <w:t>)</w:t>
      </w:r>
      <w:r w:rsidR="003B4482" w:rsidRPr="00EB7D7D">
        <w:t xml:space="preserve"> were diagnosed with cutaneous SCC.</w:t>
      </w:r>
      <w:r w:rsidR="003B4482" w:rsidRPr="00EB7D7D">
        <w:rPr>
          <w:i/>
        </w:rPr>
        <w:t xml:space="preserve"> </w:t>
      </w:r>
      <w:r w:rsidR="003B4482" w:rsidRPr="00EB7D7D">
        <w:t xml:space="preserve">Other treatment related </w:t>
      </w:r>
      <w:r w:rsidRPr="00EB7D7D">
        <w:t>G</w:t>
      </w:r>
      <w:r w:rsidR="003B4482" w:rsidRPr="00EB7D7D">
        <w:t>rade III reactions</w:t>
      </w:r>
      <w:r w:rsidR="003B4482">
        <w:t xml:space="preserve"> included rash </w:t>
      </w:r>
      <w:r>
        <w:t>(</w:t>
      </w:r>
      <w:r w:rsidR="003B4482">
        <w:t>6%</w:t>
      </w:r>
      <w:r>
        <w:t>)</w:t>
      </w:r>
      <w:r w:rsidR="003B4482">
        <w:t xml:space="preserve">, macular papilla rash </w:t>
      </w:r>
      <w:r>
        <w:t>(</w:t>
      </w:r>
      <w:r w:rsidR="003B4482">
        <w:t>5%</w:t>
      </w:r>
      <w:r>
        <w:t>)</w:t>
      </w:r>
      <w:r w:rsidR="003B4482">
        <w:t xml:space="preserve">, red hand syndrome </w:t>
      </w:r>
      <w:r>
        <w:t>(</w:t>
      </w:r>
      <w:r w:rsidR="003B4482">
        <w:t>2%</w:t>
      </w:r>
      <w:r>
        <w:t>)</w:t>
      </w:r>
      <w:r w:rsidR="003B4482">
        <w:t xml:space="preserve">, ethematous rash </w:t>
      </w:r>
      <w:r>
        <w:t>(</w:t>
      </w:r>
      <w:r w:rsidR="003B4482">
        <w:t>1%</w:t>
      </w:r>
      <w:r>
        <w:t>)</w:t>
      </w:r>
      <w:r w:rsidR="003B4482">
        <w:t xml:space="preserve"> and generalised rash </w:t>
      </w:r>
      <w:r>
        <w:t>(</w:t>
      </w:r>
      <w:r w:rsidR="003B4482">
        <w:t>&lt;1%</w:t>
      </w:r>
      <w:r>
        <w:t>)</w:t>
      </w:r>
      <w:r w:rsidR="003B4482">
        <w:t>.</w:t>
      </w:r>
      <w:r w:rsidR="003B4482" w:rsidRPr="003B4482">
        <w:rPr>
          <w:i/>
        </w:rPr>
        <w:t xml:space="preserve"> </w:t>
      </w:r>
      <w:r w:rsidR="003B4482">
        <w:t>Photosensitivity reactions were reported in six patients (4%).</w:t>
      </w:r>
      <w:r w:rsidR="003B4482" w:rsidRPr="003B4482">
        <w:rPr>
          <w:i/>
        </w:rPr>
        <w:t xml:space="preserve"> </w:t>
      </w:r>
      <w:r w:rsidR="003B4482">
        <w:t xml:space="preserve">Elevations of GGT </w:t>
      </w:r>
      <w:r>
        <w:t xml:space="preserve">to </w:t>
      </w:r>
      <w:r w:rsidR="003B4482">
        <w:t xml:space="preserve">at a least </w:t>
      </w:r>
      <w:r>
        <w:t>G</w:t>
      </w:r>
      <w:r w:rsidR="003B4482">
        <w:t xml:space="preserve">rade III level were noted in 14 patients </w:t>
      </w:r>
      <w:r w:rsidR="00CE3715">
        <w:t>(</w:t>
      </w:r>
      <w:r w:rsidR="003B4482">
        <w:t>9%</w:t>
      </w:r>
      <w:r w:rsidR="00CE3715">
        <w:t>)</w:t>
      </w:r>
      <w:r w:rsidR="003B4482">
        <w:t>, elevated bilirubin in 4%</w:t>
      </w:r>
      <w:r w:rsidR="00CE3715">
        <w:t xml:space="preserve"> of patients</w:t>
      </w:r>
      <w:r w:rsidR="003B4482">
        <w:t>, elevated ALT in 4%</w:t>
      </w:r>
      <w:r w:rsidR="00CE3715">
        <w:t xml:space="preserve"> of patients</w:t>
      </w:r>
      <w:r w:rsidR="003B4482">
        <w:t xml:space="preserve">, ALP in 2% </w:t>
      </w:r>
      <w:r w:rsidR="00CE3715">
        <w:t xml:space="preserve">of patients </w:t>
      </w:r>
      <w:r w:rsidR="003B4482">
        <w:t>and AST in 2%</w:t>
      </w:r>
      <w:r w:rsidR="00CE3715">
        <w:t xml:space="preserve"> of patients</w:t>
      </w:r>
      <w:r w:rsidR="003B4482">
        <w:t>.</w:t>
      </w:r>
      <w:r w:rsidR="003B4482" w:rsidRPr="003B4482">
        <w:rPr>
          <w:i/>
        </w:rPr>
        <w:t xml:space="preserve"> </w:t>
      </w:r>
      <w:r w:rsidR="003B4482">
        <w:t xml:space="preserve">Other symptoms of note related to VEM included arthralgia and fatigue </w:t>
      </w:r>
      <w:r w:rsidR="00CE3715">
        <w:t xml:space="preserve">in </w:t>
      </w:r>
      <w:r w:rsidR="003B4482">
        <w:t xml:space="preserve">5% and 2% </w:t>
      </w:r>
      <w:r w:rsidR="00CE3715">
        <w:t xml:space="preserve">of patients </w:t>
      </w:r>
      <w:r w:rsidR="003B4482">
        <w:t>respectively.</w:t>
      </w:r>
      <w:r w:rsidR="003B4482" w:rsidRPr="003B4482">
        <w:rPr>
          <w:i/>
        </w:rPr>
        <w:t xml:space="preserve"> </w:t>
      </w:r>
      <w:r w:rsidR="00CE3715">
        <w:t>Four patients with &gt;G</w:t>
      </w:r>
      <w:r w:rsidR="003B4482">
        <w:t>rade III reactions discontinued treatment.</w:t>
      </w:r>
      <w:r w:rsidR="003B4482" w:rsidRPr="003B4482">
        <w:rPr>
          <w:i/>
        </w:rPr>
        <w:t xml:space="preserve"> </w:t>
      </w:r>
      <w:r w:rsidR="003B4482">
        <w:t>One of these related to hepatic dysfunction and was considered related to therapy.</w:t>
      </w:r>
      <w:r w:rsidR="003B4482" w:rsidRPr="003B4482">
        <w:rPr>
          <w:i/>
        </w:rPr>
        <w:t xml:space="preserve"> </w:t>
      </w:r>
    </w:p>
    <w:p w:rsidR="00EB7D7D" w:rsidRDefault="00EB7D7D" w:rsidP="00EB7D7D">
      <w:pPr>
        <w:pStyle w:val="FigureTitle"/>
        <w:keepNext/>
      </w:pPr>
      <w:r>
        <w:lastRenderedPageBreak/>
        <w:t>Table 27.</w:t>
      </w:r>
    </w:p>
    <w:p w:rsidR="00EB7D7D" w:rsidRPr="00F77026" w:rsidRDefault="00F016D0" w:rsidP="00EB7D7D">
      <w:pPr>
        <w:keepNext/>
        <w:tabs>
          <w:tab w:val="left" w:pos="0"/>
        </w:tabs>
      </w:pPr>
      <w:r>
        <w:rPr>
          <w:noProof/>
          <w:lang w:eastAsia="zh-TW"/>
        </w:rPr>
        <w:pict>
          <v:shape id="Text Box 55" o:spid="_x0000_s1072" type="#_x0000_t202" style="position:absolute;margin-left:.7pt;margin-top:2.5pt;width:62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lpohgIAABg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" stroked="f">
            <v:textbox>
              <w:txbxContent>
                <w:p w:rsidR="00A408DA" w:rsidRDefault="00A408DA"/>
              </w:txbxContent>
            </v:textbox>
          </v:shape>
        </w:pict>
      </w:r>
      <w:r w:rsidR="005B75BE">
        <w:rPr>
          <w:noProof/>
          <w:lang w:eastAsia="en-AU"/>
        </w:rPr>
        <w:drawing>
          <wp:inline distT="0" distB="0" distL="0" distR="0">
            <wp:extent cx="5705475" cy="7058025"/>
            <wp:effectExtent l="19050" t="0" r="9525" b="0"/>
            <wp:docPr id="56" name="Picture 56" descr="Tabl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21" r="13255" b="806"/>
                    <a:stretch>
                      <a:fillRect/>
                    </a:stretch>
                  </pic:blipFill>
                  <pic:spPr bwMode="auto">
                    <a:xfrm>
                      <a:off x="0" y="0"/>
                      <a:ext cx="5705475" cy="7058025"/>
                    </a:xfrm>
                    <a:prstGeom prst="rect">
                      <a:avLst/>
                    </a:prstGeom>
                    <a:noFill/>
                    <a:ln>
                      <a:noFill/>
                    </a:ln>
                  </pic:spPr>
                </pic:pic>
              </a:graphicData>
            </a:graphic>
          </wp:inline>
        </w:drawing>
      </w:r>
    </w:p>
    <w:p w:rsidR="003B4482" w:rsidRDefault="003B4482" w:rsidP="00CE3715">
      <w:pPr>
        <w:pStyle w:val="Heading5"/>
      </w:pPr>
      <w:r>
        <w:t>Supporting clinical pharmacology studies:</w:t>
      </w:r>
      <w:r w:rsidRPr="003B4482">
        <w:t xml:space="preserve">    </w:t>
      </w:r>
    </w:p>
    <w:p w:rsidR="003B4482" w:rsidRDefault="003B4482" w:rsidP="003B4482">
      <w:pPr>
        <w:tabs>
          <w:tab w:val="left" w:pos="0"/>
        </w:tabs>
        <w:jc w:val="both"/>
      </w:pPr>
      <w:r>
        <w:t xml:space="preserve">The majority </w:t>
      </w:r>
      <w:r w:rsidR="00CE3715">
        <w:t>(</w:t>
      </w:r>
      <w:r>
        <w:t>96%</w:t>
      </w:r>
      <w:r w:rsidR="00CE3715">
        <w:t>)</w:t>
      </w:r>
      <w:r>
        <w:t xml:space="preserve"> of patients who received treatment with VEM in the three clinical pharmacology studies experienced at least one adverse event of any grade and the adverse event profile is comparable to that previously described in the </w:t>
      </w:r>
      <w:r w:rsidRPr="003B4482">
        <w:t>Phase I</w:t>
      </w:r>
      <w:r>
        <w:t>II and II studies.</w:t>
      </w:r>
      <w:r w:rsidRPr="003B4482">
        <w:rPr>
          <w:i/>
        </w:rPr>
        <w:t xml:space="preserve"> </w:t>
      </w:r>
      <w:r>
        <w:t>Again the level of severity and spectrum of adverse events documented were comparable to the previously described studies.</w:t>
      </w:r>
      <w:r w:rsidRPr="003B4482">
        <w:rPr>
          <w:i/>
        </w:rPr>
        <w:t xml:space="preserve"> </w:t>
      </w:r>
    </w:p>
    <w:p w:rsidR="003B4482" w:rsidRDefault="00F44921" w:rsidP="00F44921">
      <w:pPr>
        <w:pStyle w:val="Heading4"/>
        <w:keepNext/>
      </w:pPr>
      <w:r>
        <w:lastRenderedPageBreak/>
        <w:t>Deaths</w:t>
      </w:r>
      <w:r w:rsidR="003B4482">
        <w:t xml:space="preserve"> </w:t>
      </w:r>
    </w:p>
    <w:p w:rsidR="003B4482" w:rsidRDefault="003B4482" w:rsidP="00F44921">
      <w:pPr>
        <w:pStyle w:val="Heading5"/>
      </w:pPr>
      <w:r>
        <w:t xml:space="preserve">Pivotal </w:t>
      </w:r>
      <w:r w:rsidRPr="003B4482">
        <w:t>Phase I</w:t>
      </w:r>
      <w:r>
        <w:t>II study NO25026:</w:t>
      </w:r>
    </w:p>
    <w:p w:rsidR="003B4482" w:rsidRDefault="003B4482" w:rsidP="00F44921">
      <w:pPr>
        <w:keepNext/>
        <w:tabs>
          <w:tab w:val="left" w:pos="0"/>
        </w:tabs>
        <w:jc w:val="both"/>
      </w:pPr>
      <w:r>
        <w:t xml:space="preserve">In the pivotal </w:t>
      </w:r>
      <w:r w:rsidRPr="003B4482">
        <w:t>Phase I</w:t>
      </w:r>
      <w:r>
        <w:t>II study</w:t>
      </w:r>
      <w:r w:rsidR="00CE3715">
        <w:t>,</w:t>
      </w:r>
      <w:r>
        <w:t xml:space="preserve"> </w:t>
      </w:r>
      <w:r w:rsidR="00CE3715">
        <w:t xml:space="preserve">there were </w:t>
      </w:r>
      <w:r>
        <w:t xml:space="preserve">more deaths in </w:t>
      </w:r>
      <w:r w:rsidR="00BB2876">
        <w:t>the dacarbazine</w:t>
      </w:r>
      <w:r>
        <w:t xml:space="preserve"> group </w:t>
      </w:r>
      <w:r w:rsidR="00CE3715">
        <w:t>(</w:t>
      </w:r>
      <w:r>
        <w:t>23%</w:t>
      </w:r>
      <w:r w:rsidR="00CE3715">
        <w:t>)</w:t>
      </w:r>
      <w:r w:rsidR="00D73147" w:rsidRPr="00D73147">
        <w:t xml:space="preserve"> </w:t>
      </w:r>
      <w:r w:rsidR="00CE3715">
        <w:t xml:space="preserve">than in the </w:t>
      </w:r>
      <w:r>
        <w:t xml:space="preserve">VEM group </w:t>
      </w:r>
      <w:r w:rsidR="00CE3715">
        <w:t>(</w:t>
      </w:r>
      <w:r>
        <w:t>13%</w:t>
      </w:r>
      <w:r w:rsidR="00CE3715">
        <w:t>)</w:t>
      </w:r>
      <w:r>
        <w:t>.</w:t>
      </w:r>
      <w:r w:rsidRPr="003B4482">
        <w:rPr>
          <w:i/>
        </w:rPr>
        <w:t xml:space="preserve"> </w:t>
      </w:r>
      <w:r>
        <w:t xml:space="preserve">The most common cause of death in both treatment groups was disease progression. </w:t>
      </w:r>
    </w:p>
    <w:p w:rsidR="003B4482" w:rsidRDefault="003B4482" w:rsidP="00CE3715">
      <w:pPr>
        <w:pStyle w:val="Heading5"/>
      </w:pPr>
      <w:r>
        <w:t>Studies PLX06-02 and NP22657:</w:t>
      </w:r>
    </w:p>
    <w:p w:rsidR="003B4482" w:rsidRDefault="003B4482" w:rsidP="003B4482">
      <w:pPr>
        <w:tabs>
          <w:tab w:val="left" w:pos="0"/>
        </w:tabs>
        <w:jc w:val="both"/>
      </w:pPr>
      <w:r>
        <w:t xml:space="preserve">A total of 53 patients </w:t>
      </w:r>
      <w:r w:rsidR="00CE3715">
        <w:t>(</w:t>
      </w:r>
      <w:r>
        <w:t>32%</w:t>
      </w:r>
      <w:r w:rsidR="00CE3715">
        <w:t>)</w:t>
      </w:r>
      <w:r>
        <w:t xml:space="preserve"> in the pooled safety population died during the course of the two studies and 21 of these died within 28 days of their last dose of VEM treatment.</w:t>
      </w:r>
      <w:r w:rsidRPr="003B4482">
        <w:rPr>
          <w:i/>
        </w:rPr>
        <w:t xml:space="preserve"> </w:t>
      </w:r>
      <w:r>
        <w:t>With the exception of two deaths, one from pneumonia and one from acute renal failure, all deaths resulted from disease progression.</w:t>
      </w:r>
      <w:r w:rsidRPr="003B4482">
        <w:rPr>
          <w:i/>
        </w:rPr>
        <w:t xml:space="preserve"> </w:t>
      </w:r>
      <w:r>
        <w:t>The one death from renal failure was considered to be possibly related to VEM treatment.</w:t>
      </w:r>
      <w:r w:rsidRPr="003B4482">
        <w:rPr>
          <w:i/>
        </w:rPr>
        <w:t xml:space="preserve"> </w:t>
      </w:r>
      <w:r>
        <w:t>Further review considered that tumour lysis syndrome was predominant.</w:t>
      </w:r>
      <w:r w:rsidRPr="003B4482">
        <w:rPr>
          <w:i/>
        </w:rPr>
        <w:t xml:space="preserve"> </w:t>
      </w:r>
    </w:p>
    <w:p w:rsidR="003B4482" w:rsidRDefault="003B4482" w:rsidP="00CE3715">
      <w:pPr>
        <w:pStyle w:val="Heading5"/>
      </w:pPr>
      <w:r>
        <w:t xml:space="preserve">Supportive clinical pharmacology studies: </w:t>
      </w:r>
    </w:p>
    <w:p w:rsidR="003B4482" w:rsidRDefault="003B4482" w:rsidP="003B4482">
      <w:pPr>
        <w:tabs>
          <w:tab w:val="left" w:pos="0"/>
        </w:tabs>
        <w:jc w:val="both"/>
      </w:pPr>
      <w:r>
        <w:t xml:space="preserve">Seven </w:t>
      </w:r>
      <w:r w:rsidR="00CE3715">
        <w:t>(</w:t>
      </w:r>
      <w:r>
        <w:t>8%</w:t>
      </w:r>
      <w:r w:rsidR="00CE3715">
        <w:t>)</w:t>
      </w:r>
      <w:r>
        <w:t xml:space="preserve"> of patients in the three clinical pharmacology studies died from disease progression and there were no other causes of death.</w:t>
      </w:r>
      <w:r w:rsidRPr="003B4482">
        <w:rPr>
          <w:i/>
        </w:rPr>
        <w:t xml:space="preserve"> </w:t>
      </w:r>
    </w:p>
    <w:p w:rsidR="003B4482" w:rsidRDefault="003B4482" w:rsidP="00CE3715">
      <w:pPr>
        <w:pStyle w:val="Heading4"/>
      </w:pPr>
      <w:r>
        <w:t>Other serious adverse events:</w:t>
      </w:r>
    </w:p>
    <w:p w:rsidR="003B4482" w:rsidRDefault="003B4482" w:rsidP="003B4482">
      <w:pPr>
        <w:tabs>
          <w:tab w:val="left" w:pos="0"/>
        </w:tabs>
        <w:jc w:val="both"/>
      </w:pPr>
      <w:r>
        <w:t xml:space="preserve">In the </w:t>
      </w:r>
      <w:r w:rsidRPr="003B4482">
        <w:t>Phase I</w:t>
      </w:r>
      <w:r>
        <w:t>II NO25026 study a higher percent</w:t>
      </w:r>
      <w:r w:rsidR="00CE3715">
        <w:t>age of VEM patients (33%) than d</w:t>
      </w:r>
      <w:r>
        <w:t>acarbazine patients (16%) experienced serious adverse events</w:t>
      </w:r>
      <w:r w:rsidR="00CE3715">
        <w:t xml:space="preserve"> (SAEs)</w:t>
      </w:r>
      <w:r>
        <w:t>.</w:t>
      </w:r>
      <w:r w:rsidRPr="003B4482">
        <w:rPr>
          <w:i/>
        </w:rPr>
        <w:t xml:space="preserve"> </w:t>
      </w:r>
      <w:r>
        <w:t>The most common treatment related SAEs in the VEM group were cutaneous SCC in 11% and keratoacanthoma in 7%</w:t>
      </w:r>
      <w:r w:rsidR="00CE3715">
        <w:t xml:space="preserve"> of patients</w:t>
      </w:r>
      <w:r>
        <w:t>.</w:t>
      </w:r>
      <w:r w:rsidRPr="003B4482">
        <w:rPr>
          <w:i/>
        </w:rPr>
        <w:t xml:space="preserve"> </w:t>
      </w:r>
      <w:r>
        <w:t xml:space="preserve">All of these symptoms were considered to be treatment related by the </w:t>
      </w:r>
      <w:r w:rsidR="00CE3715">
        <w:t xml:space="preserve">study </w:t>
      </w:r>
      <w:r>
        <w:t>investigator.</w:t>
      </w:r>
      <w:r w:rsidRPr="003B4482">
        <w:rPr>
          <w:i/>
        </w:rPr>
        <w:t xml:space="preserve"> </w:t>
      </w:r>
      <w:r>
        <w:t>Dacarbazine related SAEs were mostly haema</w:t>
      </w:r>
      <w:r w:rsidR="00E23CE0">
        <w:t>to</w:t>
      </w:r>
      <w:r>
        <w:t xml:space="preserve">logic in nature. </w:t>
      </w:r>
    </w:p>
    <w:p w:rsidR="003B4482" w:rsidRDefault="003B4482" w:rsidP="003B4482">
      <w:pPr>
        <w:tabs>
          <w:tab w:val="left" w:pos="0"/>
        </w:tabs>
        <w:jc w:val="both"/>
      </w:pPr>
      <w:r>
        <w:t xml:space="preserve">A higher percentage of patients (52%) in the pooled safety population of </w:t>
      </w:r>
      <w:r w:rsidR="00CE3715">
        <w:t xml:space="preserve">the </w:t>
      </w:r>
      <w:r w:rsidRPr="003B4482">
        <w:t>Phase I</w:t>
      </w:r>
      <w:r>
        <w:t xml:space="preserve"> and </w:t>
      </w:r>
      <w:r w:rsidRPr="003B4482">
        <w:t>Phase I</w:t>
      </w:r>
      <w:r>
        <w:t xml:space="preserve">I studies and a lower percentage of patients (26%) across the three clinical pharmacology studies reported SAEs, however the types of events reported were similar to those observed in the </w:t>
      </w:r>
      <w:r w:rsidRPr="003B4482">
        <w:t>Phase I</w:t>
      </w:r>
      <w:r>
        <w:t>II study.</w:t>
      </w:r>
      <w:r w:rsidRPr="003B4482">
        <w:rPr>
          <w:i/>
        </w:rPr>
        <w:t xml:space="preserve"> </w:t>
      </w:r>
    </w:p>
    <w:p w:rsidR="003B4482" w:rsidRDefault="003B4482" w:rsidP="003B4482">
      <w:pPr>
        <w:tabs>
          <w:tab w:val="left" w:pos="0"/>
        </w:tabs>
        <w:jc w:val="both"/>
      </w:pPr>
      <w:r>
        <w:t xml:space="preserve">One VEM treated patient in the </w:t>
      </w:r>
      <w:r w:rsidRPr="003B4482">
        <w:t>Phase I</w:t>
      </w:r>
      <w:r>
        <w:t xml:space="preserve">II study developed Stevens-Johnson syndrome and one patient in the clinical pharmacology </w:t>
      </w:r>
      <w:r w:rsidR="00CE3715">
        <w:t>S</w:t>
      </w:r>
      <w:r>
        <w:t>tudy NP25163 experienced shock that was characterised as a hypersensitivity reaction and included a constellation of symptoms including hypertension, flushing and pyrexia.</w:t>
      </w:r>
      <w:r w:rsidRPr="003B4482">
        <w:rPr>
          <w:i/>
        </w:rPr>
        <w:t xml:space="preserve"> </w:t>
      </w:r>
    </w:p>
    <w:p w:rsidR="003B4482" w:rsidRDefault="003B4482" w:rsidP="00CE3715">
      <w:pPr>
        <w:pStyle w:val="Heading4"/>
        <w:keepNext/>
      </w:pPr>
      <w:r>
        <w:t>Adverse events leading to premature withdrawal:</w:t>
      </w:r>
      <w:r w:rsidRPr="003B4482">
        <w:rPr>
          <w:i/>
        </w:rPr>
        <w:t xml:space="preserve"> </w:t>
      </w:r>
    </w:p>
    <w:p w:rsidR="003B4482" w:rsidRDefault="003B4482" w:rsidP="00CE3715">
      <w:pPr>
        <w:pStyle w:val="Heading5"/>
      </w:pPr>
      <w:r>
        <w:t xml:space="preserve">Pivotal </w:t>
      </w:r>
      <w:r w:rsidRPr="003B4482">
        <w:t>Phase I</w:t>
      </w:r>
      <w:r>
        <w:t>II study NO25026</w:t>
      </w:r>
    </w:p>
    <w:p w:rsidR="00F44921" w:rsidRDefault="003B4482" w:rsidP="00CE3715">
      <w:pPr>
        <w:keepNext/>
        <w:tabs>
          <w:tab w:val="left" w:pos="0"/>
        </w:tabs>
        <w:jc w:val="both"/>
        <w:rPr>
          <w:i/>
        </w:rPr>
      </w:pPr>
      <w:r>
        <w:t xml:space="preserve">As of the clinical cut off-date for the </w:t>
      </w:r>
      <w:r w:rsidRPr="003B4482">
        <w:t>Phase I</w:t>
      </w:r>
      <w:r>
        <w:t>II study</w:t>
      </w:r>
      <w:r w:rsidR="00CE3715">
        <w:t>,</w:t>
      </w:r>
      <w:r>
        <w:t xml:space="preserve"> adverse events leading to treatment withdrawal occurred in 19 patients </w:t>
      </w:r>
      <w:r w:rsidR="00CE3715">
        <w:t>(</w:t>
      </w:r>
      <w:r>
        <w:t>6%</w:t>
      </w:r>
      <w:r w:rsidR="00CE3715">
        <w:t>)</w:t>
      </w:r>
      <w:r>
        <w:t xml:space="preserve"> of the VEM group and 12 patients </w:t>
      </w:r>
      <w:r w:rsidR="00CE3715">
        <w:t>(</w:t>
      </w:r>
      <w:r>
        <w:t>4%</w:t>
      </w:r>
      <w:r w:rsidR="00CE3715">
        <w:t>)</w:t>
      </w:r>
      <w:r>
        <w:t xml:space="preserve"> in </w:t>
      </w:r>
      <w:r w:rsidR="00BB2876">
        <w:t>the dacarbazine</w:t>
      </w:r>
      <w:r>
        <w:t xml:space="preserve"> </w:t>
      </w:r>
      <w:r w:rsidRPr="009A3DAC">
        <w:t xml:space="preserve">group as summarised in Table </w:t>
      </w:r>
      <w:r w:rsidR="00F44921" w:rsidRPr="009A3DAC">
        <w:t>28</w:t>
      </w:r>
      <w:r>
        <w:t>.</w:t>
      </w:r>
      <w:r w:rsidRPr="003B4482">
        <w:rPr>
          <w:i/>
        </w:rPr>
        <w:t xml:space="preserve"> </w:t>
      </w:r>
      <w:r>
        <w:t>Specific adverse events leading to withdrawal occurred in two or fewer patients each.</w:t>
      </w:r>
      <w:r w:rsidRPr="003B4482">
        <w:rPr>
          <w:i/>
        </w:rPr>
        <w:t xml:space="preserve"> </w:t>
      </w:r>
    </w:p>
    <w:p w:rsidR="00F44921" w:rsidRDefault="00F44921" w:rsidP="00CE3715">
      <w:pPr>
        <w:keepNext/>
        <w:tabs>
          <w:tab w:val="left" w:pos="0"/>
        </w:tabs>
        <w:jc w:val="both"/>
        <w:rPr>
          <w:i/>
        </w:rPr>
        <w:sectPr w:rsidR="00F44921" w:rsidSect="00EF0159">
          <w:pgSz w:w="11906" w:h="16838" w:code="9"/>
          <w:pgMar w:top="1701" w:right="1701" w:bottom="1560" w:left="1701" w:header="907" w:footer="142" w:gutter="0"/>
          <w:cols w:space="708"/>
          <w:docGrid w:linePitch="360"/>
        </w:sectPr>
      </w:pPr>
    </w:p>
    <w:p w:rsidR="00F44921" w:rsidRDefault="00F44921" w:rsidP="00F44921">
      <w:pPr>
        <w:pStyle w:val="FigureTitle"/>
      </w:pPr>
      <w:r>
        <w:lastRenderedPageBreak/>
        <w:t xml:space="preserve">Table 28. </w:t>
      </w:r>
      <w:r w:rsidR="009A3DAC">
        <w:t>Summary of AEs leading to treatment discontinuation by intensity (Phase III NO25026 Study, Safety population).</w:t>
      </w:r>
      <w:r w:rsidR="00E23CE0">
        <w:t xml:space="preserve"> Table continued across four pages.</w:t>
      </w:r>
    </w:p>
    <w:p w:rsidR="00F44921" w:rsidRDefault="00F016D0" w:rsidP="00F44921">
      <w:pPr>
        <w:tabs>
          <w:tab w:val="left" w:pos="0"/>
        </w:tabs>
      </w:pPr>
      <w:r>
        <w:rPr>
          <w:noProof/>
          <w:lang w:eastAsia="zh-TW"/>
        </w:rPr>
        <w:pict>
          <v:shape id="Text Box 56" o:spid="_x0000_s1073" type="#_x0000_t202" style="position:absolute;margin-left:-1.6pt;margin-top:1.75pt;width:56.95pt;height:2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" stroked="f">
            <v:textbox>
              <w:txbxContent>
                <w:p w:rsidR="00A408DA" w:rsidRDefault="00A408DA"/>
              </w:txbxContent>
            </v:textbox>
          </v:shape>
        </w:pict>
      </w:r>
      <w:r w:rsidR="005B75BE">
        <w:rPr>
          <w:noProof/>
          <w:lang w:eastAsia="en-AU"/>
        </w:rPr>
        <w:drawing>
          <wp:inline distT="0" distB="0" distL="0" distR="0">
            <wp:extent cx="6019800" cy="4962525"/>
            <wp:effectExtent l="19050" t="0" r="0" b="0"/>
            <wp:docPr id="57" name="Picture 57" descr="Tabl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43" t="9082" r="22858" b="2126"/>
                    <a:stretch>
                      <a:fillRect/>
                    </a:stretch>
                  </pic:blipFill>
                  <pic:spPr bwMode="auto">
                    <a:xfrm>
                      <a:off x="0" y="0"/>
                      <a:ext cx="6019800" cy="4962525"/>
                    </a:xfrm>
                    <a:prstGeom prst="rect">
                      <a:avLst/>
                    </a:prstGeom>
                    <a:noFill/>
                    <a:ln>
                      <a:noFill/>
                    </a:ln>
                  </pic:spPr>
                </pic:pic>
              </a:graphicData>
            </a:graphic>
          </wp:inline>
        </w:drawing>
      </w:r>
    </w:p>
    <w:p w:rsidR="00F26005" w:rsidRDefault="00F26005" w:rsidP="00F26005">
      <w:pPr>
        <w:pStyle w:val="FigureTitle"/>
      </w:pPr>
      <w:r>
        <w:lastRenderedPageBreak/>
        <w:t>Table 28 continued.</w:t>
      </w:r>
    </w:p>
    <w:p w:rsidR="00F44921" w:rsidRDefault="009A3DAC" w:rsidP="0062138B">
      <w:pPr>
        <w:pStyle w:val="FigureTitle"/>
      </w:pPr>
      <w:r>
        <w:t>.</w:t>
      </w:r>
      <w:r w:rsidR="005B75BE">
        <w:rPr>
          <w:noProof/>
          <w:lang w:eastAsia="en-AU"/>
        </w:rPr>
        <w:drawing>
          <wp:inline distT="0" distB="0" distL="0" distR="0">
            <wp:extent cx="6322274" cy="5015176"/>
            <wp:effectExtent l="19050" t="0" r="2326" b="0"/>
            <wp:docPr id="58" name="Picture 58" descr="Tabl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505" r="22437" b="2663"/>
                    <a:stretch>
                      <a:fillRect/>
                    </a:stretch>
                  </pic:blipFill>
                  <pic:spPr bwMode="auto">
                    <a:xfrm>
                      <a:off x="0" y="0"/>
                      <a:ext cx="6324138" cy="5016655"/>
                    </a:xfrm>
                    <a:prstGeom prst="rect">
                      <a:avLst/>
                    </a:prstGeom>
                    <a:noFill/>
                    <a:ln>
                      <a:noFill/>
                    </a:ln>
                  </pic:spPr>
                </pic:pic>
              </a:graphicData>
            </a:graphic>
          </wp:inline>
        </w:drawing>
      </w:r>
    </w:p>
    <w:p w:rsidR="009A3DAC" w:rsidRDefault="009A3DAC" w:rsidP="009A3DAC">
      <w:pPr>
        <w:pStyle w:val="FigureTitle"/>
      </w:pPr>
      <w:r>
        <w:lastRenderedPageBreak/>
        <w:t>Table 28 continued.</w:t>
      </w:r>
    </w:p>
    <w:p w:rsidR="00F44921" w:rsidRDefault="005B75BE" w:rsidP="00F44921">
      <w:pPr>
        <w:tabs>
          <w:tab w:val="left" w:pos="0"/>
        </w:tabs>
      </w:pPr>
      <w:r>
        <w:rPr>
          <w:noProof/>
          <w:lang w:eastAsia="en-AU"/>
        </w:rPr>
        <w:drawing>
          <wp:inline distT="0" distB="0" distL="0" distR="0">
            <wp:extent cx="6496050" cy="4924425"/>
            <wp:effectExtent l="19050" t="0" r="0" b="0"/>
            <wp:docPr id="59" name="Picture 59" descr="Tabl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573" r="22615" b="4135"/>
                    <a:stretch>
                      <a:fillRect/>
                    </a:stretch>
                  </pic:blipFill>
                  <pic:spPr bwMode="auto">
                    <a:xfrm>
                      <a:off x="0" y="0"/>
                      <a:ext cx="6496050" cy="4924425"/>
                    </a:xfrm>
                    <a:prstGeom prst="rect">
                      <a:avLst/>
                    </a:prstGeom>
                    <a:noFill/>
                    <a:ln>
                      <a:noFill/>
                    </a:ln>
                  </pic:spPr>
                </pic:pic>
              </a:graphicData>
            </a:graphic>
          </wp:inline>
        </w:drawing>
      </w:r>
    </w:p>
    <w:p w:rsidR="009A3DAC" w:rsidRDefault="009A3DAC" w:rsidP="009A3DAC">
      <w:pPr>
        <w:pStyle w:val="FigureTitle"/>
        <w:keepNext/>
      </w:pPr>
      <w:r>
        <w:lastRenderedPageBreak/>
        <w:t>Table 28 continued.</w:t>
      </w:r>
    </w:p>
    <w:p w:rsidR="00F44921" w:rsidRPr="00F44921" w:rsidRDefault="005B75BE" w:rsidP="009A3DAC">
      <w:pPr>
        <w:keepNext/>
      </w:pPr>
      <w:r>
        <w:rPr>
          <w:noProof/>
          <w:lang w:eastAsia="en-AU"/>
        </w:rPr>
        <w:drawing>
          <wp:inline distT="0" distB="0" distL="0" distR="0">
            <wp:extent cx="7658100" cy="4314825"/>
            <wp:effectExtent l="19050" t="0" r="0" b="0"/>
            <wp:docPr id="60" name="Picture 60" descr="Tabl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506" r="20039" b="5809"/>
                    <a:stretch>
                      <a:fillRect/>
                    </a:stretch>
                  </pic:blipFill>
                  <pic:spPr bwMode="auto">
                    <a:xfrm>
                      <a:off x="0" y="0"/>
                      <a:ext cx="7658100" cy="4314825"/>
                    </a:xfrm>
                    <a:prstGeom prst="rect">
                      <a:avLst/>
                    </a:prstGeom>
                    <a:noFill/>
                    <a:ln>
                      <a:noFill/>
                    </a:ln>
                  </pic:spPr>
                </pic:pic>
              </a:graphicData>
            </a:graphic>
          </wp:inline>
        </w:drawing>
      </w:r>
    </w:p>
    <w:p w:rsidR="00F44921" w:rsidRDefault="00F44921" w:rsidP="009A3DAC">
      <w:pPr>
        <w:pStyle w:val="Heading5"/>
        <w:sectPr w:rsidR="00F44921" w:rsidSect="00F44921">
          <w:pgSz w:w="16838" w:h="11906" w:orient="landscape" w:code="9"/>
          <w:pgMar w:top="1701" w:right="1701" w:bottom="1701" w:left="1560" w:header="907" w:footer="142" w:gutter="0"/>
          <w:cols w:space="708"/>
          <w:docGrid w:linePitch="360"/>
        </w:sectPr>
      </w:pPr>
    </w:p>
    <w:p w:rsidR="003B4482" w:rsidRDefault="003B4482" w:rsidP="00CE3715">
      <w:pPr>
        <w:pStyle w:val="Heading5"/>
      </w:pPr>
      <w:r>
        <w:lastRenderedPageBreak/>
        <w:t xml:space="preserve">Studies PLX06-02 and NP22657 </w:t>
      </w:r>
    </w:p>
    <w:p w:rsidR="003B4482" w:rsidRDefault="003B4482" w:rsidP="003B4482">
      <w:pPr>
        <w:tabs>
          <w:tab w:val="left" w:pos="0"/>
        </w:tabs>
        <w:jc w:val="both"/>
      </w:pPr>
      <w:r>
        <w:t xml:space="preserve">Four patients </w:t>
      </w:r>
      <w:r w:rsidR="00CE3715">
        <w:t>(</w:t>
      </w:r>
      <w:r>
        <w:t>2%</w:t>
      </w:r>
      <w:r w:rsidR="00CE3715">
        <w:t>)</w:t>
      </w:r>
      <w:r>
        <w:t xml:space="preserve"> in the pooled safety population experienced adverse events that led to premature withdrawal from treatment including delirium, increased liver function, retinal vein occlusion and cellulitis.</w:t>
      </w:r>
      <w:r w:rsidRPr="003B4482">
        <w:rPr>
          <w:i/>
        </w:rPr>
        <w:t xml:space="preserve"> </w:t>
      </w:r>
    </w:p>
    <w:p w:rsidR="003B4482" w:rsidRDefault="003B4482" w:rsidP="00CE3715">
      <w:pPr>
        <w:pStyle w:val="Heading5"/>
      </w:pPr>
      <w:r>
        <w:t>Supporting clinical pharmacology studies</w:t>
      </w:r>
    </w:p>
    <w:p w:rsidR="003B4482" w:rsidRDefault="003B4482" w:rsidP="003B4482">
      <w:pPr>
        <w:tabs>
          <w:tab w:val="left" w:pos="0"/>
        </w:tabs>
        <w:jc w:val="both"/>
      </w:pPr>
      <w:r>
        <w:t>Of the 84 patients enrolled in the three clinical pharmacology studies, two patients prematurely withdrew from treatment due to adverse events including pyrexia and one patient with a hypersensitivity reaction.</w:t>
      </w:r>
      <w:r w:rsidRPr="003B4482">
        <w:rPr>
          <w:i/>
        </w:rPr>
        <w:t xml:space="preserve"> </w:t>
      </w:r>
    </w:p>
    <w:p w:rsidR="003B4482" w:rsidRDefault="003B4482" w:rsidP="00CE3715">
      <w:pPr>
        <w:pStyle w:val="Heading4"/>
      </w:pPr>
      <w:r>
        <w:t>Adverse events leading to death, modification or interruption</w:t>
      </w:r>
    </w:p>
    <w:p w:rsidR="003B4482" w:rsidRDefault="003B4482" w:rsidP="003B4482">
      <w:pPr>
        <w:tabs>
          <w:tab w:val="left" w:pos="0"/>
        </w:tabs>
        <w:jc w:val="both"/>
      </w:pPr>
      <w:r>
        <w:t xml:space="preserve">In the </w:t>
      </w:r>
      <w:r w:rsidRPr="003B4482">
        <w:t>Phase I</w:t>
      </w:r>
      <w:r>
        <w:t>II NO25026 study more VEM treated patients</w:t>
      </w:r>
      <w:r w:rsidR="00CE3715">
        <w:t xml:space="preserve"> (</w:t>
      </w:r>
      <w:r>
        <w:t>38%</w:t>
      </w:r>
      <w:r w:rsidR="00CE3715">
        <w:t>)</w:t>
      </w:r>
      <w:r>
        <w:t xml:space="preserve"> than </w:t>
      </w:r>
      <w:r w:rsidR="00CE3715">
        <w:t>d</w:t>
      </w:r>
      <w:r>
        <w:t>acarbazine treated patients</w:t>
      </w:r>
      <w:r w:rsidR="00CE3715">
        <w:t xml:space="preserve"> (1</w:t>
      </w:r>
      <w:r>
        <w:t>6%</w:t>
      </w:r>
      <w:r w:rsidR="00CE3715">
        <w:t>)</w:t>
      </w:r>
      <w:r>
        <w:t xml:space="preserve"> modified their dose due to an adverse event.</w:t>
      </w:r>
      <w:r w:rsidRPr="003B4482">
        <w:rPr>
          <w:i/>
        </w:rPr>
        <w:t xml:space="preserve"> </w:t>
      </w:r>
      <w:r>
        <w:t>VEM dose modifications were mostly because of skin rash</w:t>
      </w:r>
      <w:r w:rsidR="00CE3715">
        <w:t xml:space="preserve"> (p</w:t>
      </w:r>
      <w:r>
        <w:t xml:space="preserve">rimarily </w:t>
      </w:r>
      <w:r w:rsidR="00CE3715">
        <w:t>G</w:t>
      </w:r>
      <w:r>
        <w:t>rade III</w:t>
      </w:r>
      <w:r w:rsidR="00CE3715">
        <w:t>)</w:t>
      </w:r>
      <w:r>
        <w:t>, elevated liver function tests</w:t>
      </w:r>
      <w:r w:rsidR="00CE3715">
        <w:t xml:space="preserve"> (</w:t>
      </w:r>
      <w:r>
        <w:t xml:space="preserve">primarily </w:t>
      </w:r>
      <w:r w:rsidR="00CE3715">
        <w:t>G</w:t>
      </w:r>
      <w:r>
        <w:t>rade II and III</w:t>
      </w:r>
      <w:r w:rsidR="00CE3715">
        <w:t>)</w:t>
      </w:r>
      <w:r>
        <w:t>, arthralgia and pyrexia.</w:t>
      </w:r>
      <w:r w:rsidRPr="003B4482">
        <w:rPr>
          <w:i/>
        </w:rPr>
        <w:t xml:space="preserve"> </w:t>
      </w:r>
      <w:r>
        <w:t>Dacarbazine dose modifications were mostly haema</w:t>
      </w:r>
      <w:r w:rsidR="00CE3715">
        <w:t>to</w:t>
      </w:r>
      <w:r>
        <w:t>logic in nature.</w:t>
      </w:r>
    </w:p>
    <w:p w:rsidR="003B4482" w:rsidRDefault="003B4482" w:rsidP="003B4482">
      <w:pPr>
        <w:tabs>
          <w:tab w:val="left" w:pos="0"/>
        </w:tabs>
        <w:jc w:val="both"/>
      </w:pPr>
      <w:r>
        <w:t>A higher percentage of patients</w:t>
      </w:r>
      <w:r w:rsidR="00CE3715">
        <w:t xml:space="preserve"> (</w:t>
      </w:r>
      <w:r>
        <w:t>57%</w:t>
      </w:r>
      <w:r w:rsidR="00CE3715">
        <w:t>)</w:t>
      </w:r>
      <w:r>
        <w:t xml:space="preserve"> in the pooled safety population and a lower percentage of patients</w:t>
      </w:r>
      <w:r w:rsidR="00CE3715">
        <w:t xml:space="preserve"> (</w:t>
      </w:r>
      <w:r>
        <w:t>30%</w:t>
      </w:r>
      <w:r w:rsidR="00CE3715">
        <w:t>)</w:t>
      </w:r>
      <w:r>
        <w:t xml:space="preserve"> across the three clinical pharmacology studies modified their doses due to an adverse event, however the types of adverse events that lead to dose modification were similar to those observed in the </w:t>
      </w:r>
      <w:r w:rsidRPr="003B4482">
        <w:t>Phase I</w:t>
      </w:r>
      <w:r>
        <w:t>II study.</w:t>
      </w:r>
      <w:r w:rsidRPr="003B4482">
        <w:rPr>
          <w:i/>
        </w:rPr>
        <w:t xml:space="preserve"> </w:t>
      </w:r>
    </w:p>
    <w:p w:rsidR="003B4482" w:rsidRDefault="003B4482" w:rsidP="00320D62">
      <w:pPr>
        <w:pStyle w:val="Heading4"/>
      </w:pPr>
      <w:r>
        <w:t>Adverse events of special interest</w:t>
      </w:r>
      <w:r w:rsidRPr="003B4482">
        <w:rPr>
          <w:i/>
        </w:rPr>
        <w:t xml:space="preserve"> </w:t>
      </w:r>
      <w:r>
        <w:t xml:space="preserve"> </w:t>
      </w:r>
    </w:p>
    <w:p w:rsidR="003B4482" w:rsidRPr="009A3DAC" w:rsidRDefault="003B4482" w:rsidP="003B4482">
      <w:pPr>
        <w:tabs>
          <w:tab w:val="left" w:pos="0"/>
        </w:tabs>
        <w:jc w:val="both"/>
      </w:pPr>
      <w:r>
        <w:t xml:space="preserve">These events were chosen because of a safety signal emanating from </w:t>
      </w:r>
      <w:r w:rsidR="00320D62">
        <w:t>non</w:t>
      </w:r>
      <w:r>
        <w:t>clinical and clinical studies or their presence as dose limiting toxicities and included rash, cutaneous SCC, photosensitivity, fatigue, arthralgia, liver laboratory abnormalities and QT prolongation.</w:t>
      </w:r>
      <w:r w:rsidRPr="003B4482">
        <w:rPr>
          <w:i/>
        </w:rPr>
        <w:t xml:space="preserve"> </w:t>
      </w:r>
      <w:r>
        <w:t xml:space="preserve">Overall the majority of patients treated with VEM in the </w:t>
      </w:r>
      <w:r w:rsidRPr="003B4482">
        <w:t>Phase I</w:t>
      </w:r>
      <w:r>
        <w:t>II study,</w:t>
      </w:r>
      <w:r w:rsidR="00D73147" w:rsidRPr="00D73147">
        <w:t xml:space="preserve"> that is </w:t>
      </w:r>
      <w:r>
        <w:t>302 patients were 90% and 98% in the pooled safety population</w:t>
      </w:r>
      <w:r w:rsidR="00320D62">
        <w:t>,</w:t>
      </w:r>
      <w:r>
        <w:t xml:space="preserve"> experienced at least one adverse event of special interest (AESI) during the study.</w:t>
      </w:r>
      <w:r w:rsidRPr="003B4482">
        <w:rPr>
          <w:i/>
        </w:rPr>
        <w:t xml:space="preserve"> </w:t>
      </w:r>
      <w:r>
        <w:t>The most frequently reported were rash, arthralgia, fatigue and photosensitivity.</w:t>
      </w:r>
      <w:r w:rsidRPr="003B4482">
        <w:rPr>
          <w:i/>
        </w:rPr>
        <w:t xml:space="preserve"> </w:t>
      </w:r>
      <w:r>
        <w:t xml:space="preserve">The most frequently reported events of at least </w:t>
      </w:r>
      <w:r w:rsidR="00320D62">
        <w:t>G</w:t>
      </w:r>
      <w:r>
        <w:t xml:space="preserve">rade III severity was cutaneous SCC with some patients experiencing multiple lesions. </w:t>
      </w:r>
      <w:r w:rsidR="009A3DAC">
        <w:t xml:space="preserve">The </w:t>
      </w:r>
      <w:r w:rsidR="009A3DAC" w:rsidRPr="009A3DAC">
        <w:t>following text r</w:t>
      </w:r>
      <w:r w:rsidRPr="009A3DAC">
        <w:t>eview</w:t>
      </w:r>
      <w:r w:rsidR="009A3DAC" w:rsidRPr="009A3DAC">
        <w:t>s</w:t>
      </w:r>
      <w:r w:rsidRPr="009A3DAC">
        <w:t xml:space="preserve"> the individual adverse </w:t>
      </w:r>
      <w:r w:rsidR="009A3DAC" w:rsidRPr="009A3DAC">
        <w:t>events of special interest</w:t>
      </w:r>
      <w:r w:rsidRPr="009A3DAC">
        <w:t>.</w:t>
      </w:r>
    </w:p>
    <w:p w:rsidR="003B4482" w:rsidRPr="009A3DAC" w:rsidRDefault="003B4482" w:rsidP="00320D62">
      <w:pPr>
        <w:pStyle w:val="Heading5"/>
      </w:pPr>
      <w:r w:rsidRPr="009A3DAC">
        <w:t xml:space="preserve">Squamous cell carcinoma </w:t>
      </w:r>
    </w:p>
    <w:p w:rsidR="003B4482" w:rsidRDefault="003B4482" w:rsidP="003B4482">
      <w:pPr>
        <w:tabs>
          <w:tab w:val="left" w:pos="0"/>
        </w:tabs>
        <w:jc w:val="both"/>
      </w:pPr>
      <w:r>
        <w:t>Approximately 20% of all VEM treated patients developed cutaneous SCC across all studies.</w:t>
      </w:r>
      <w:r w:rsidRPr="003B4482">
        <w:rPr>
          <w:i/>
        </w:rPr>
        <w:t xml:space="preserve"> </w:t>
      </w:r>
      <w:r>
        <w:t>Among patients who developed the cutaneous SCC, the mea</w:t>
      </w:r>
      <w:r w:rsidR="00320D62">
        <w:t>n time to onset ranged from 8.3</w:t>
      </w:r>
      <w:r>
        <w:t>–8.6 weeks and the median ranged from 7.1–8.1 weeks.</w:t>
      </w:r>
      <w:r w:rsidRPr="003B4482">
        <w:rPr>
          <w:i/>
        </w:rPr>
        <w:t xml:space="preserve"> </w:t>
      </w:r>
      <w:r>
        <w:t>Among patients who developed more than one lesion</w:t>
      </w:r>
      <w:r w:rsidR="00320D62">
        <w:t xml:space="preserve"> (</w:t>
      </w:r>
      <w:r>
        <w:t>29 – 38%</w:t>
      </w:r>
      <w:r w:rsidR="00320D62">
        <w:t>)</w:t>
      </w:r>
      <w:r>
        <w:t xml:space="preserve"> the mean/median time to second recurrence was approximately six weeks.</w:t>
      </w:r>
      <w:r w:rsidRPr="003B4482">
        <w:rPr>
          <w:i/>
        </w:rPr>
        <w:t xml:space="preserve"> </w:t>
      </w:r>
      <w:r>
        <w:t>Patients who developed cutaneous SCC tended to be on oral VEM longer than average and hence received more study medication than those who did not develop cutaneous SCC.</w:t>
      </w:r>
      <w:r w:rsidRPr="003B4482">
        <w:rPr>
          <w:i/>
        </w:rPr>
        <w:t xml:space="preserve"> </w:t>
      </w:r>
      <w:r>
        <w:t>However</w:t>
      </w:r>
      <w:r w:rsidR="00320D62">
        <w:t>,</w:t>
      </w:r>
      <w:r>
        <w:t xml:space="preserve"> the average daily dose received was approximately the same across both groups.</w:t>
      </w:r>
      <w:r w:rsidRPr="003B4482">
        <w:rPr>
          <w:i/>
        </w:rPr>
        <w:t xml:space="preserve"> </w:t>
      </w:r>
      <w:r>
        <w:t>Central dermatopathology evaluation showed that the majority of cutaneous SCC lesion biopsies were of keratoacanthoma (KA) or mixed KA sub-type.</w:t>
      </w:r>
      <w:r w:rsidRPr="003B4482">
        <w:rPr>
          <w:i/>
        </w:rPr>
        <w:t xml:space="preserve"> </w:t>
      </w:r>
      <w:r>
        <w:t>There were no incidences of non</w:t>
      </w:r>
      <w:r w:rsidR="00320D62">
        <w:t xml:space="preserve"> </w:t>
      </w:r>
      <w:r>
        <w:t>cutaneous SCC.</w:t>
      </w:r>
      <w:r w:rsidRPr="003B4482">
        <w:rPr>
          <w:i/>
        </w:rPr>
        <w:t xml:space="preserve"> </w:t>
      </w:r>
      <w:r>
        <w:t>Across all studies the association of age with the development of treatment emergent cutaneus SCC was significant, with patients aged at least 65 years had approximately 2.5</w:t>
      </w:r>
      <w:r w:rsidR="00320D62">
        <w:t xml:space="preserve"> to </w:t>
      </w:r>
      <w:r>
        <w:t>5 times greater chance of developing cutaneous SCC compared to younger</w:t>
      </w:r>
      <w:r w:rsidR="00320D62">
        <w:t xml:space="preserve"> patients</w:t>
      </w:r>
      <w:r>
        <w:t xml:space="preserve">. In the </w:t>
      </w:r>
      <w:r w:rsidRPr="003B4482">
        <w:t>Phase I</w:t>
      </w:r>
      <w:r>
        <w:t xml:space="preserve">II study the </w:t>
      </w:r>
      <w:r w:rsidR="00A6420A">
        <w:t xml:space="preserve">risk of </w:t>
      </w:r>
      <w:r>
        <w:t>treatment emergent cutaneous SCC was more than double for patients who reported a history of chronic sun exposure compared to those that did not.</w:t>
      </w:r>
      <w:r w:rsidRPr="003B4482">
        <w:rPr>
          <w:i/>
        </w:rPr>
        <w:t xml:space="preserve"> </w:t>
      </w:r>
      <w:r>
        <w:t>In the pooled studies a prior history of skin cancer was also figured in the risk factors.</w:t>
      </w:r>
      <w:r w:rsidRPr="003B4482">
        <w:rPr>
          <w:i/>
        </w:rPr>
        <w:t xml:space="preserve"> </w:t>
      </w:r>
      <w:r>
        <w:t>The effect of gender was not statistically significant in any of the studies.</w:t>
      </w:r>
      <w:r w:rsidRPr="003B4482">
        <w:rPr>
          <w:i/>
        </w:rPr>
        <w:t xml:space="preserve"> </w:t>
      </w:r>
    </w:p>
    <w:p w:rsidR="003B4482" w:rsidRDefault="003B4482" w:rsidP="00320D62">
      <w:pPr>
        <w:pStyle w:val="Heading5"/>
      </w:pPr>
      <w:r>
        <w:lastRenderedPageBreak/>
        <w:t>Rash</w:t>
      </w:r>
    </w:p>
    <w:p w:rsidR="003B4482" w:rsidRDefault="003B4482" w:rsidP="003B4482">
      <w:pPr>
        <w:tabs>
          <w:tab w:val="left" w:pos="0"/>
        </w:tabs>
        <w:jc w:val="both"/>
      </w:pPr>
      <w:r>
        <w:t xml:space="preserve">Rash was the most common AESI reported by 60% of VEM patients in the </w:t>
      </w:r>
      <w:r w:rsidRPr="003B4482">
        <w:t>Phase I</w:t>
      </w:r>
      <w:r>
        <w:t>II study, 72% in the pooled safety population and 64% of patients</w:t>
      </w:r>
      <w:r w:rsidRPr="003B4482">
        <w:rPr>
          <w:i/>
        </w:rPr>
        <w:t xml:space="preserve"> </w:t>
      </w:r>
      <w:r>
        <w:t>across the three clinical pharmacology studies.</w:t>
      </w:r>
      <w:r w:rsidR="00320D62">
        <w:t xml:space="preserve"> </w:t>
      </w:r>
      <w:r>
        <w:t>Among patients who developed rash adverse events</w:t>
      </w:r>
      <w:r w:rsidR="00320D62">
        <w:t>,</w:t>
      </w:r>
      <w:r>
        <w:t xml:space="preserve"> the mean/median time to first onset was approximately 2</w:t>
      </w:r>
      <w:r w:rsidR="00320D62">
        <w:t xml:space="preserve"> to </w:t>
      </w:r>
      <w:r>
        <w:t>4 weeks.</w:t>
      </w:r>
      <w:r w:rsidRPr="003B4482">
        <w:rPr>
          <w:i/>
        </w:rPr>
        <w:t xml:space="preserve"> </w:t>
      </w:r>
      <w:r>
        <w:t xml:space="preserve">Approximately 12-15% of patients in the </w:t>
      </w:r>
      <w:r w:rsidRPr="003B4482">
        <w:t>Phase I</w:t>
      </w:r>
      <w:r>
        <w:t xml:space="preserve">II study and pooled safety population experienced at least a </w:t>
      </w:r>
      <w:r w:rsidR="00320D62">
        <w:t>G</w:t>
      </w:r>
      <w:r>
        <w:t>rade III rash.</w:t>
      </w:r>
      <w:r w:rsidRPr="003B4482">
        <w:rPr>
          <w:i/>
        </w:rPr>
        <w:t xml:space="preserve"> </w:t>
      </w:r>
      <w:r>
        <w:t xml:space="preserve">There were no </w:t>
      </w:r>
      <w:r w:rsidR="00320D62">
        <w:t>G</w:t>
      </w:r>
      <w:r>
        <w:t xml:space="preserve">rade IV or </w:t>
      </w:r>
      <w:r w:rsidR="00320D62">
        <w:t>G</w:t>
      </w:r>
      <w:r>
        <w:t>rade V rashes.</w:t>
      </w:r>
      <w:r w:rsidRPr="003B4482">
        <w:rPr>
          <w:i/>
        </w:rPr>
        <w:t xml:space="preserve"> </w:t>
      </w:r>
      <w:r>
        <w:t>Approximately 20% of patients had rash leading to dose modification of study treatment.</w:t>
      </w:r>
      <w:r w:rsidRPr="003B4482">
        <w:rPr>
          <w:i/>
        </w:rPr>
        <w:t xml:space="preserve"> </w:t>
      </w:r>
      <w:r>
        <w:t>No patients required treatment discontinuation because of rash.</w:t>
      </w:r>
      <w:r w:rsidRPr="003B4482">
        <w:rPr>
          <w:i/>
        </w:rPr>
        <w:t xml:space="preserve"> </w:t>
      </w:r>
    </w:p>
    <w:p w:rsidR="003B4482" w:rsidRDefault="003B4482" w:rsidP="00320D62">
      <w:pPr>
        <w:pStyle w:val="Heading5"/>
      </w:pPr>
      <w:r>
        <w:t>Photosensitivity</w:t>
      </w:r>
    </w:p>
    <w:p w:rsidR="003B4482" w:rsidRDefault="003B4482" w:rsidP="003B4482">
      <w:pPr>
        <w:tabs>
          <w:tab w:val="left" w:pos="0"/>
        </w:tabs>
        <w:jc w:val="both"/>
      </w:pPr>
      <w:r>
        <w:t xml:space="preserve">Photosensitivity adverse events were experienced by 37% of VEM patients in the </w:t>
      </w:r>
      <w:r w:rsidRPr="003B4482">
        <w:t>Phase I</w:t>
      </w:r>
      <w:r>
        <w:t>II study, 61% of the patients in the pooled safety population and 37% of patients across the three clinical pharmacology studies.</w:t>
      </w:r>
      <w:r w:rsidRPr="003B4482">
        <w:rPr>
          <w:i/>
        </w:rPr>
        <w:t xml:space="preserve"> </w:t>
      </w:r>
      <w:r>
        <w:t>Among those patients who developed photosensitivity adverse events the mean/median time to first onset was approximately 2</w:t>
      </w:r>
      <w:r w:rsidR="00320D62">
        <w:t xml:space="preserve"> to </w:t>
      </w:r>
      <w:r>
        <w:t>6 weeks.</w:t>
      </w:r>
      <w:r w:rsidRPr="003B4482">
        <w:rPr>
          <w:i/>
        </w:rPr>
        <w:t xml:space="preserve"> </w:t>
      </w:r>
      <w:r>
        <w:t xml:space="preserve">Photosensitivity adverse events of </w:t>
      </w:r>
      <w:r w:rsidR="00320D62">
        <w:t>G</w:t>
      </w:r>
      <w:r>
        <w:t xml:space="preserve">rade III were uncommon being experienced in 3-4% of patients </w:t>
      </w:r>
      <w:r w:rsidR="00320D62">
        <w:t>across</w:t>
      </w:r>
      <w:r>
        <w:t xml:space="preserve"> all studies and there were no </w:t>
      </w:r>
      <w:r w:rsidR="00320D62">
        <w:t>G</w:t>
      </w:r>
      <w:r>
        <w:t>rade IV or V events reported.</w:t>
      </w:r>
      <w:r w:rsidRPr="003B4482">
        <w:rPr>
          <w:i/>
        </w:rPr>
        <w:t xml:space="preserve"> </w:t>
      </w:r>
      <w:r>
        <w:t>Approximately 2</w:t>
      </w:r>
      <w:r w:rsidR="00320D62">
        <w:t xml:space="preserve"> to </w:t>
      </w:r>
      <w:r>
        <w:t>5% of patients had the dose modification study treatment but no patients discontinued VEM because of photosensitivity.</w:t>
      </w:r>
      <w:r w:rsidRPr="003B4482">
        <w:rPr>
          <w:i/>
        </w:rPr>
        <w:t xml:space="preserve"> </w:t>
      </w:r>
    </w:p>
    <w:p w:rsidR="003B4482" w:rsidRDefault="003B4482" w:rsidP="00320D62">
      <w:pPr>
        <w:pStyle w:val="Heading5"/>
      </w:pPr>
      <w:r>
        <w:t>Arthralgia</w:t>
      </w:r>
      <w:r w:rsidRPr="003B4482">
        <w:t xml:space="preserve"> </w:t>
      </w:r>
    </w:p>
    <w:p w:rsidR="003B4482" w:rsidRDefault="003B4482" w:rsidP="003B4482">
      <w:pPr>
        <w:tabs>
          <w:tab w:val="left" w:pos="0"/>
        </w:tabs>
        <w:jc w:val="both"/>
      </w:pPr>
      <w:r>
        <w:t xml:space="preserve">Arthralgia events were experienced by 49% of VEM patients in the </w:t>
      </w:r>
      <w:r w:rsidRPr="003B4482">
        <w:t>Phase I</w:t>
      </w:r>
      <w:r>
        <w:t>II study, 69% of patients in the pooled safety population and 46% across the three clinical pharmacology studies.</w:t>
      </w:r>
      <w:r w:rsidRPr="003B4482">
        <w:rPr>
          <w:i/>
        </w:rPr>
        <w:t xml:space="preserve"> </w:t>
      </w:r>
      <w:r>
        <w:t>Among those patients who developed events of arthralgia the mean time to first onset was approximately 4</w:t>
      </w:r>
      <w:r w:rsidR="00320D62">
        <w:t xml:space="preserve"> to </w:t>
      </w:r>
      <w:r>
        <w:t>6 weeks and median was approximately two weeks.</w:t>
      </w:r>
      <w:r w:rsidRPr="003B4482">
        <w:rPr>
          <w:i/>
        </w:rPr>
        <w:t xml:space="preserve"> </w:t>
      </w:r>
      <w:r>
        <w:t xml:space="preserve">Events of </w:t>
      </w:r>
      <w:r w:rsidR="00320D62">
        <w:t>G</w:t>
      </w:r>
      <w:r>
        <w:t xml:space="preserve">rade III arthralgia were not common appearing in 3-7% of patients across </w:t>
      </w:r>
      <w:r w:rsidR="00320D62">
        <w:t xml:space="preserve">the </w:t>
      </w:r>
      <w:r>
        <w:t xml:space="preserve">studies without any </w:t>
      </w:r>
      <w:r w:rsidR="00320D62">
        <w:t>G</w:t>
      </w:r>
      <w:r>
        <w:t>rade IV or V events being reported.</w:t>
      </w:r>
      <w:r w:rsidRPr="003B4482">
        <w:rPr>
          <w:i/>
        </w:rPr>
        <w:t xml:space="preserve"> </w:t>
      </w:r>
      <w:r w:rsidR="00320D62" w:rsidRPr="00320D62">
        <w:t>Some</w:t>
      </w:r>
      <w:r w:rsidR="00320D62">
        <w:rPr>
          <w:i/>
        </w:rPr>
        <w:t xml:space="preserve"> </w:t>
      </w:r>
      <w:r>
        <w:t>11</w:t>
      </w:r>
      <w:r w:rsidR="00320D62">
        <w:t xml:space="preserve"> to </w:t>
      </w:r>
      <w:r>
        <w:t xml:space="preserve">13% of events led to dose modification study and one patient in the </w:t>
      </w:r>
      <w:r w:rsidRPr="003B4482">
        <w:t>Phase I</w:t>
      </w:r>
      <w:r>
        <w:t>II study discontinued VEM treatment because of arthralgia which resolved after discontinuation.</w:t>
      </w:r>
      <w:r w:rsidRPr="003B4482">
        <w:rPr>
          <w:i/>
        </w:rPr>
        <w:t xml:space="preserve"> </w:t>
      </w:r>
    </w:p>
    <w:p w:rsidR="003B4482" w:rsidRDefault="003B4482" w:rsidP="00320D62">
      <w:pPr>
        <w:pStyle w:val="Heading5"/>
      </w:pPr>
      <w:r>
        <w:t>Fatigue</w:t>
      </w:r>
      <w:r w:rsidRPr="003B4482">
        <w:t xml:space="preserve"> </w:t>
      </w:r>
    </w:p>
    <w:p w:rsidR="003B4482" w:rsidRDefault="003B4482" w:rsidP="003B4482">
      <w:pPr>
        <w:tabs>
          <w:tab w:val="left" w:pos="0"/>
        </w:tabs>
        <w:jc w:val="both"/>
      </w:pPr>
      <w:r>
        <w:t xml:space="preserve">Fatigue adverse events were experienced by 41% of VEM patients in the </w:t>
      </w:r>
      <w:r w:rsidRPr="003B4482">
        <w:t>Phase I</w:t>
      </w:r>
      <w:r>
        <w:t>II study, 62% of patients in the pooled safety population and 52% of patients across the three clinical pharmacology studies.</w:t>
      </w:r>
      <w:r w:rsidRPr="003B4482">
        <w:rPr>
          <w:i/>
        </w:rPr>
        <w:t xml:space="preserve"> </w:t>
      </w:r>
      <w:r>
        <w:t>Among those patients who developed fatigue adverse events, the mean time to onset was 5</w:t>
      </w:r>
      <w:r w:rsidR="00320D62">
        <w:t xml:space="preserve"> to </w:t>
      </w:r>
      <w:r>
        <w:t xml:space="preserve">9 weeks and the median </w:t>
      </w:r>
      <w:r w:rsidR="00320D62">
        <w:t xml:space="preserve">was </w:t>
      </w:r>
      <w:r>
        <w:t>3</w:t>
      </w:r>
      <w:r w:rsidR="00320D62">
        <w:t xml:space="preserve"> to </w:t>
      </w:r>
      <w:r>
        <w:t>6 weeks.</w:t>
      </w:r>
      <w:r w:rsidRPr="003B4482">
        <w:rPr>
          <w:i/>
        </w:rPr>
        <w:t xml:space="preserve"> </w:t>
      </w:r>
      <w:r>
        <w:t>Grade III fatigue adverse events were uncommon occurring in 2</w:t>
      </w:r>
      <w:r w:rsidR="00320D62">
        <w:t xml:space="preserve"> to </w:t>
      </w:r>
      <w:r>
        <w:t>4% of patients.</w:t>
      </w:r>
      <w:r w:rsidRPr="003B4482">
        <w:rPr>
          <w:i/>
        </w:rPr>
        <w:t xml:space="preserve"> </w:t>
      </w:r>
      <w:r>
        <w:t>Approximately 11</w:t>
      </w:r>
      <w:r w:rsidR="00320D62">
        <w:t xml:space="preserve"> to </w:t>
      </w:r>
      <w:r>
        <w:t xml:space="preserve">13% of events led to dose modification of study treatment and one patient experienced a </w:t>
      </w:r>
      <w:r w:rsidR="00320D62">
        <w:t>G</w:t>
      </w:r>
      <w:r>
        <w:t>rade IV event of asthenia.</w:t>
      </w:r>
      <w:r w:rsidRPr="003B4482">
        <w:rPr>
          <w:i/>
        </w:rPr>
        <w:t xml:space="preserve"> </w:t>
      </w:r>
      <w:r>
        <w:t>Two patients discontinued VEM treatment due to fatigue and AESI events.</w:t>
      </w:r>
      <w:r w:rsidRPr="003B4482">
        <w:rPr>
          <w:i/>
        </w:rPr>
        <w:t xml:space="preserve"> </w:t>
      </w:r>
    </w:p>
    <w:p w:rsidR="003B4482" w:rsidRDefault="003B4482" w:rsidP="00320D62">
      <w:pPr>
        <w:pStyle w:val="Heading5"/>
      </w:pPr>
      <w:r>
        <w:t xml:space="preserve">Liver laboratory abnormalities </w:t>
      </w:r>
    </w:p>
    <w:p w:rsidR="003B4482" w:rsidRDefault="003B4482" w:rsidP="003B4482">
      <w:pPr>
        <w:tabs>
          <w:tab w:val="left" w:pos="0"/>
        </w:tabs>
        <w:jc w:val="both"/>
      </w:pPr>
      <w:r>
        <w:t>Liver function abnormalities developed in 34% of patients in the pooled safety population and 24% of patients across the three clinical pharmacology studies.</w:t>
      </w:r>
      <w:r w:rsidRPr="003B4482">
        <w:rPr>
          <w:i/>
        </w:rPr>
        <w:t xml:space="preserve"> </w:t>
      </w:r>
      <w:r>
        <w:t>Among those patients who developed liver function abnormalities, the mean time to first onset was 6</w:t>
      </w:r>
      <w:r w:rsidR="00320D62">
        <w:t xml:space="preserve"> to </w:t>
      </w:r>
      <w:r>
        <w:t>7 weeks and the median</w:t>
      </w:r>
      <w:r w:rsidR="00320D62">
        <w:t xml:space="preserve"> was</w:t>
      </w:r>
      <w:r>
        <w:t xml:space="preserve"> 3</w:t>
      </w:r>
      <w:r w:rsidR="00320D62">
        <w:t xml:space="preserve"> to </w:t>
      </w:r>
      <w:r>
        <w:t>6 weeks.</w:t>
      </w:r>
      <w:r w:rsidRPr="003B4482">
        <w:rPr>
          <w:i/>
        </w:rPr>
        <w:t xml:space="preserve"> </w:t>
      </w:r>
      <w:r>
        <w:t>Grade III liver function abnormalities occurred in 7</w:t>
      </w:r>
      <w:r w:rsidR="00320D62">
        <w:t xml:space="preserve"> to </w:t>
      </w:r>
      <w:r>
        <w:t xml:space="preserve">12% of patients and </w:t>
      </w:r>
      <w:r w:rsidR="00320D62">
        <w:t>G</w:t>
      </w:r>
      <w:r>
        <w:t>rade IV events were recorded in 1</w:t>
      </w:r>
      <w:r w:rsidR="00320D62">
        <w:t xml:space="preserve"> to </w:t>
      </w:r>
      <w:r>
        <w:t>4% of patients.</w:t>
      </w:r>
      <w:r w:rsidRPr="003B4482">
        <w:rPr>
          <w:i/>
        </w:rPr>
        <w:t xml:space="preserve"> </w:t>
      </w:r>
      <w:r>
        <w:t>There w</w:t>
      </w:r>
      <w:r w:rsidR="00320D62">
        <w:t>as</w:t>
      </w:r>
      <w:r>
        <w:t xml:space="preserve"> no </w:t>
      </w:r>
      <w:r w:rsidR="00320D62">
        <w:t>G</w:t>
      </w:r>
      <w:r>
        <w:t>rade V liver function abnormalities reported.</w:t>
      </w:r>
      <w:r w:rsidRPr="003B4482">
        <w:rPr>
          <w:i/>
        </w:rPr>
        <w:t xml:space="preserve"> </w:t>
      </w:r>
      <w:r>
        <w:t>A total of 28</w:t>
      </w:r>
      <w:r w:rsidR="00320D62">
        <w:t xml:space="preserve"> to </w:t>
      </w:r>
      <w:r>
        <w:t>40% of events led to dose modification of study treatment.</w:t>
      </w:r>
      <w:r w:rsidRPr="003B4482">
        <w:rPr>
          <w:i/>
        </w:rPr>
        <w:t xml:space="preserve"> </w:t>
      </w:r>
      <w:r>
        <w:t>Four patients discontinued VEM treatment due to liver laboratory abnormalities</w:t>
      </w:r>
      <w:r w:rsidR="00320D62">
        <w:t>,</w:t>
      </w:r>
      <w:r>
        <w:t xml:space="preserve"> all of which improved after treatment discontinuation.</w:t>
      </w:r>
      <w:r w:rsidRPr="003B4482">
        <w:rPr>
          <w:i/>
        </w:rPr>
        <w:t xml:space="preserve"> </w:t>
      </w:r>
      <w:r>
        <w:t>Overall liver laboratory abnormalities were generally reversible with dose modification or discontinuation.</w:t>
      </w:r>
      <w:r w:rsidRPr="003B4482">
        <w:rPr>
          <w:i/>
        </w:rPr>
        <w:t xml:space="preserve"> </w:t>
      </w:r>
    </w:p>
    <w:p w:rsidR="003B4482" w:rsidRDefault="003B4482" w:rsidP="00320D62">
      <w:pPr>
        <w:pStyle w:val="Heading5"/>
      </w:pPr>
      <w:r>
        <w:lastRenderedPageBreak/>
        <w:t xml:space="preserve">QT prolongation </w:t>
      </w:r>
      <w:r>
        <w:tab/>
      </w:r>
    </w:p>
    <w:p w:rsidR="003B4482" w:rsidRDefault="003B4482" w:rsidP="003B4482">
      <w:pPr>
        <w:tabs>
          <w:tab w:val="left" w:pos="0"/>
        </w:tabs>
        <w:jc w:val="both"/>
      </w:pPr>
      <w:r>
        <w:t xml:space="preserve">Adverse events potentially associated with prolongation of cardiac repolarisation or arrhythmia were reported in 8% of patients in the </w:t>
      </w:r>
      <w:r w:rsidRPr="003B4482">
        <w:t>Phase I</w:t>
      </w:r>
      <w:r>
        <w:t>II study, 9% of patients in the pooled safety population and 6% of patients across the three clinical pharmacology studies, the most common of which was dizziness.</w:t>
      </w:r>
      <w:r w:rsidRPr="003B4482">
        <w:rPr>
          <w:i/>
        </w:rPr>
        <w:t xml:space="preserve"> </w:t>
      </w:r>
      <w:r>
        <w:t>Among those patients who developed QT prolongation adverse events the mean time to first onset was 6</w:t>
      </w:r>
      <w:r w:rsidR="00320D62">
        <w:t xml:space="preserve"> to </w:t>
      </w:r>
      <w:r>
        <w:t>8 weeks and the median was three weeks.</w:t>
      </w:r>
      <w:r w:rsidRPr="003B4482">
        <w:rPr>
          <w:i/>
        </w:rPr>
        <w:t xml:space="preserve"> </w:t>
      </w:r>
      <w:r>
        <w:t xml:space="preserve">Grade III QT prolongation adverse events were uncommon being &lt;1% across studies, although three QT prolongation adverse events were serious in the </w:t>
      </w:r>
      <w:r w:rsidRPr="003B4482">
        <w:t>Phase I</w:t>
      </w:r>
      <w:r>
        <w:t>II study including two events of loss of consciousness and one of syncope.</w:t>
      </w:r>
      <w:r w:rsidRPr="003B4482">
        <w:rPr>
          <w:i/>
        </w:rPr>
        <w:t xml:space="preserve"> </w:t>
      </w:r>
      <w:r>
        <w:t>These symptoms resolved on treatment interruption and then treatment was able to be resumed.</w:t>
      </w:r>
      <w:r w:rsidRPr="003B4482">
        <w:rPr>
          <w:i/>
        </w:rPr>
        <w:t xml:space="preserve"> </w:t>
      </w:r>
      <w:r>
        <w:t>No patients discontinued treatment due to QT prolongation adverse event and only one patient required dose modification.</w:t>
      </w:r>
    </w:p>
    <w:p w:rsidR="003B4482" w:rsidRDefault="003B4482" w:rsidP="00320D62">
      <w:pPr>
        <w:pStyle w:val="Heading5"/>
      </w:pPr>
      <w:r>
        <w:t xml:space="preserve">Rare but clinically meaningful adverse events </w:t>
      </w:r>
    </w:p>
    <w:p w:rsidR="003B4482" w:rsidRDefault="003B4482" w:rsidP="003B4482">
      <w:pPr>
        <w:tabs>
          <w:tab w:val="left" w:pos="0"/>
        </w:tabs>
        <w:jc w:val="both"/>
      </w:pPr>
      <w:r>
        <w:t>Several rare b</w:t>
      </w:r>
      <w:r w:rsidR="00320D62">
        <w:t>ut</w:t>
      </w:r>
      <w:r>
        <w:t xml:space="preserve"> clinically meaningful adverse events were reported </w:t>
      </w:r>
      <w:r w:rsidR="00320D62">
        <w:t xml:space="preserve">and </w:t>
      </w:r>
      <w:r>
        <w:t>includ</w:t>
      </w:r>
      <w:r w:rsidR="00320D62">
        <w:t>ed</w:t>
      </w:r>
      <w:r>
        <w:t xml:space="preserve"> four events of facial nerve paralysis</w:t>
      </w:r>
      <w:r w:rsidR="00320D62">
        <w:t xml:space="preserve"> (</w:t>
      </w:r>
      <w:r>
        <w:t xml:space="preserve">one in the </w:t>
      </w:r>
      <w:r w:rsidRPr="003B4482">
        <w:t>Phase I</w:t>
      </w:r>
      <w:r>
        <w:t xml:space="preserve">II study and three in the </w:t>
      </w:r>
      <w:r w:rsidRPr="003B4482">
        <w:t>Phase I</w:t>
      </w:r>
      <w:r>
        <w:t xml:space="preserve">I </w:t>
      </w:r>
      <w:r w:rsidR="00320D62">
        <w:t>S</w:t>
      </w:r>
      <w:r>
        <w:t>tudy NP22657</w:t>
      </w:r>
      <w:r w:rsidR="00320D62">
        <w:t>)</w:t>
      </w:r>
      <w:r>
        <w:t xml:space="preserve">, 11 events of uveitis </w:t>
      </w:r>
      <w:r w:rsidR="00320D62">
        <w:t>(</w:t>
      </w:r>
      <w:r>
        <w:t xml:space="preserve">four in the </w:t>
      </w:r>
      <w:r w:rsidRPr="003B4482">
        <w:t>Phase I</w:t>
      </w:r>
      <w:r>
        <w:t xml:space="preserve">II study, five in the </w:t>
      </w:r>
      <w:r w:rsidRPr="003B4482">
        <w:t>Phase I</w:t>
      </w:r>
      <w:r>
        <w:t xml:space="preserve">I study and two in the </w:t>
      </w:r>
      <w:r w:rsidRPr="003B4482">
        <w:t>Phase I</w:t>
      </w:r>
      <w:r>
        <w:t xml:space="preserve"> study PLX06-02</w:t>
      </w:r>
      <w:r w:rsidR="00320D62">
        <w:t>)</w:t>
      </w:r>
      <w:r>
        <w:t xml:space="preserve"> and one event of retinal vein occlusion in the </w:t>
      </w:r>
      <w:r w:rsidRPr="003B4482">
        <w:t>Phase I</w:t>
      </w:r>
      <w:r>
        <w:t>I study.</w:t>
      </w:r>
      <w:r w:rsidRPr="003B4482">
        <w:rPr>
          <w:i/>
        </w:rPr>
        <w:t xml:space="preserve"> </w:t>
      </w:r>
      <w:r>
        <w:t>The adverse events of facial palsy and uveitis were mild or moderate in intensity and did not lead to discontinuation of study drug.</w:t>
      </w:r>
      <w:r w:rsidRPr="003B4482">
        <w:rPr>
          <w:i/>
        </w:rPr>
        <w:t xml:space="preserve"> </w:t>
      </w:r>
      <w:r>
        <w:t>The majority resolved without drug interruption.</w:t>
      </w:r>
      <w:r w:rsidRPr="003B4482">
        <w:rPr>
          <w:i/>
        </w:rPr>
        <w:t xml:space="preserve"> </w:t>
      </w:r>
      <w:r>
        <w:t xml:space="preserve">The single event of retinal vein occlusion in </w:t>
      </w:r>
      <w:r w:rsidR="00320D62">
        <w:t>S</w:t>
      </w:r>
      <w:r>
        <w:t>tudy NP22657 was severe and serious in nature and led to discontinuation of study drug.</w:t>
      </w:r>
      <w:r w:rsidRPr="003B4482">
        <w:rPr>
          <w:i/>
        </w:rPr>
        <w:t xml:space="preserve"> </w:t>
      </w:r>
      <w:r>
        <w:t>The event improved but did not resolve following cessation of therapy.</w:t>
      </w:r>
      <w:r w:rsidRPr="003B4482">
        <w:rPr>
          <w:i/>
        </w:rPr>
        <w:t xml:space="preserve"> </w:t>
      </w:r>
    </w:p>
    <w:p w:rsidR="003B4482" w:rsidRDefault="006165D4" w:rsidP="00320D62">
      <w:pPr>
        <w:pStyle w:val="Heading4"/>
      </w:pPr>
      <w:r>
        <w:t>Clinical laboratory e</w:t>
      </w:r>
      <w:r w:rsidR="00320D62">
        <w:t>valuations</w:t>
      </w:r>
      <w:r w:rsidR="00320D62">
        <w:tab/>
      </w:r>
      <w:r w:rsidR="00320D62" w:rsidRPr="003B4482">
        <w:rPr>
          <w:i/>
        </w:rPr>
        <w:t xml:space="preserve"> </w:t>
      </w:r>
    </w:p>
    <w:p w:rsidR="003B4482" w:rsidRDefault="003B4482" w:rsidP="003B4482">
      <w:pPr>
        <w:tabs>
          <w:tab w:val="left" w:pos="0"/>
        </w:tabs>
        <w:jc w:val="both"/>
      </w:pPr>
      <w:r>
        <w:t>Across all studies post</w:t>
      </w:r>
      <w:r w:rsidR="00320D62">
        <w:t xml:space="preserve"> </w:t>
      </w:r>
      <w:r>
        <w:t xml:space="preserve">baseline shifts and change in laboratory parameters to </w:t>
      </w:r>
      <w:r w:rsidR="00320D62">
        <w:t>G</w:t>
      </w:r>
      <w:r>
        <w:t>rade III or IV were uncommon and were noted in &lt;5% of patients.</w:t>
      </w:r>
      <w:r w:rsidRPr="003B4482">
        <w:rPr>
          <w:i/>
        </w:rPr>
        <w:t xml:space="preserve"> </w:t>
      </w:r>
      <w:r>
        <w:t>Phase III study laboratory parameters where post</w:t>
      </w:r>
      <w:r w:rsidR="00320D62">
        <w:t xml:space="preserve"> baseline shifts to G</w:t>
      </w:r>
      <w:r>
        <w:t>rade III or IV occurred in at least 5% of patients including decreased neutrophils, white blood count, lymphocytes and increased GGT.</w:t>
      </w:r>
      <w:r w:rsidRPr="003B4482">
        <w:rPr>
          <w:i/>
        </w:rPr>
        <w:t xml:space="preserve"> </w:t>
      </w:r>
      <w:r>
        <w:t xml:space="preserve">The overall incidence of worsening liver function tests, one grade increased from baseline was higher in the VEM group than </w:t>
      </w:r>
      <w:r w:rsidR="00BB2876">
        <w:t>the dacarbazine</w:t>
      </w:r>
      <w:r>
        <w:t xml:space="preserve"> group.</w:t>
      </w:r>
      <w:r w:rsidRPr="003B4482">
        <w:rPr>
          <w:i/>
        </w:rPr>
        <w:t xml:space="preserve"> </w:t>
      </w:r>
      <w:r>
        <w:t>Worsening GGT</w:t>
      </w:r>
      <w:r w:rsidR="002E7A26">
        <w:t>,</w:t>
      </w:r>
      <w:r>
        <w:t xml:space="preserve"> ALP and ALT </w:t>
      </w:r>
      <w:r w:rsidR="002E7A26">
        <w:t xml:space="preserve">levels </w:t>
      </w:r>
      <w:r>
        <w:t xml:space="preserve">occurred at a similar incidence in both treatment groups while worsening </w:t>
      </w:r>
      <w:r w:rsidR="002E7A26">
        <w:t xml:space="preserve">of </w:t>
      </w:r>
      <w:r>
        <w:t xml:space="preserve">AST, ALP and bilirubin occurred at a higher incidence in the VEM group than in </w:t>
      </w:r>
      <w:r w:rsidR="00BB2876">
        <w:t>the dacarbazine</w:t>
      </w:r>
      <w:r>
        <w:t xml:space="preserve"> group.</w:t>
      </w:r>
      <w:r w:rsidRPr="003B4482">
        <w:rPr>
          <w:i/>
        </w:rPr>
        <w:t xml:space="preserve"> </w:t>
      </w:r>
      <w:r>
        <w:t xml:space="preserve">In the pooled safety population the most commonly reported </w:t>
      </w:r>
      <w:r w:rsidR="00301CA8">
        <w:t xml:space="preserve">Grade </w:t>
      </w:r>
      <w:r>
        <w:t>III or greater laboratory abnormality was elevated GGT.</w:t>
      </w:r>
      <w:r w:rsidRPr="003B4482">
        <w:rPr>
          <w:i/>
        </w:rPr>
        <w:t xml:space="preserve"> </w:t>
      </w:r>
    </w:p>
    <w:p w:rsidR="003B4482" w:rsidRDefault="003B4482" w:rsidP="002E7A26">
      <w:pPr>
        <w:pStyle w:val="Heading5"/>
      </w:pPr>
      <w:r>
        <w:t>Liver function tests</w:t>
      </w:r>
    </w:p>
    <w:p w:rsidR="003B4482" w:rsidRDefault="003B4482" w:rsidP="003B4482">
      <w:pPr>
        <w:tabs>
          <w:tab w:val="left" w:pos="0"/>
        </w:tabs>
        <w:jc w:val="both"/>
      </w:pPr>
      <w:r>
        <w:t>The overall incidence of worsening liver function tests,</w:t>
      </w:r>
      <w:r w:rsidR="00D73147" w:rsidRPr="00D73147">
        <w:t xml:space="preserve"> that is, </w:t>
      </w:r>
      <w:r>
        <w:t xml:space="preserve">one grade increase from baseline was higher in the VEM group </w:t>
      </w:r>
      <w:r w:rsidR="002E7A26">
        <w:t>(</w:t>
      </w:r>
      <w:r>
        <w:t>238 patients or 74%</w:t>
      </w:r>
      <w:r w:rsidR="002E7A26">
        <w:t>)</w:t>
      </w:r>
      <w:r>
        <w:t xml:space="preserve"> than </w:t>
      </w:r>
      <w:r w:rsidR="002E7A26">
        <w:t xml:space="preserve">in </w:t>
      </w:r>
      <w:r w:rsidR="00BB2876">
        <w:t>the dacarbazine</w:t>
      </w:r>
      <w:r>
        <w:t xml:space="preserve"> group </w:t>
      </w:r>
      <w:r w:rsidR="002E7A26">
        <w:t>(</w:t>
      </w:r>
      <w:r>
        <w:t>133 patients or 50%</w:t>
      </w:r>
      <w:r w:rsidR="002E7A26">
        <w:t>)</w:t>
      </w:r>
      <w:r>
        <w:t>.</w:t>
      </w:r>
      <w:r w:rsidRPr="003B4482">
        <w:rPr>
          <w:i/>
        </w:rPr>
        <w:t xml:space="preserve"> </w:t>
      </w:r>
      <w:r>
        <w:t xml:space="preserve">Worsening </w:t>
      </w:r>
      <w:r w:rsidR="002E7A26">
        <w:t xml:space="preserve">of </w:t>
      </w:r>
      <w:r>
        <w:t xml:space="preserve">GGT </w:t>
      </w:r>
      <w:r w:rsidR="002E7A26">
        <w:t xml:space="preserve">levels </w:t>
      </w:r>
      <w:r>
        <w:t xml:space="preserve">occurred in 34% of patients </w:t>
      </w:r>
      <w:r w:rsidR="002E7A26">
        <w:t>given</w:t>
      </w:r>
      <w:r>
        <w:t xml:space="preserve"> VEM and 38% </w:t>
      </w:r>
      <w:r w:rsidR="002E7A26">
        <w:t>of patients given</w:t>
      </w:r>
      <w:r>
        <w:t xml:space="preserve"> Dacarbazine, while increased ALT occurred in 35% of patients </w:t>
      </w:r>
      <w:r w:rsidR="002E7A26">
        <w:t>given</w:t>
      </w:r>
      <w:r>
        <w:t xml:space="preserve"> VEM and 31% </w:t>
      </w:r>
      <w:r w:rsidR="002E7A26">
        <w:t>of patients given d</w:t>
      </w:r>
      <w:r>
        <w:t>acarbazine</w:t>
      </w:r>
      <w:r w:rsidR="002E7A26">
        <w:t>. This</w:t>
      </w:r>
      <w:r>
        <w:t xml:space="preserve"> was a comparable incidence for both treatment groups.</w:t>
      </w:r>
      <w:r w:rsidRPr="003B4482">
        <w:rPr>
          <w:i/>
        </w:rPr>
        <w:t xml:space="preserve"> </w:t>
      </w:r>
      <w:r w:rsidR="002E7A26" w:rsidRPr="002E7A26">
        <w:t>There was a higher incidence of w</w:t>
      </w:r>
      <w:r w:rsidRPr="002E7A26">
        <w:t>orsening</w:t>
      </w:r>
      <w:r>
        <w:t xml:space="preserve"> AST </w:t>
      </w:r>
      <w:r w:rsidR="002E7A26">
        <w:t>(</w:t>
      </w:r>
      <w:r>
        <w:t xml:space="preserve">32% of patients </w:t>
      </w:r>
      <w:r w:rsidR="002E7A26">
        <w:t>in the</w:t>
      </w:r>
      <w:r>
        <w:t xml:space="preserve"> VEM</w:t>
      </w:r>
      <w:r w:rsidR="00D73147" w:rsidRPr="00D73147">
        <w:t xml:space="preserve"> </w:t>
      </w:r>
      <w:r w:rsidR="002E7A26">
        <w:t>group and</w:t>
      </w:r>
      <w:r w:rsidR="00D73147" w:rsidRPr="00D73147">
        <w:t xml:space="preserve"> </w:t>
      </w:r>
      <w:r>
        <w:t xml:space="preserve">18% </w:t>
      </w:r>
      <w:r w:rsidR="002E7A26">
        <w:t>of the d</w:t>
      </w:r>
      <w:r>
        <w:t>acarbazine</w:t>
      </w:r>
      <w:r w:rsidR="002E7A26">
        <w:t xml:space="preserve"> group)</w:t>
      </w:r>
      <w:r>
        <w:t xml:space="preserve">, ALP </w:t>
      </w:r>
      <w:r w:rsidR="002E7A26">
        <w:t>(38% for VEM and 14% for d</w:t>
      </w:r>
      <w:r>
        <w:t>acarbazine</w:t>
      </w:r>
      <w:r w:rsidR="002E7A26">
        <w:t>)</w:t>
      </w:r>
      <w:r>
        <w:t xml:space="preserve"> and bilirubin </w:t>
      </w:r>
      <w:r w:rsidR="002E7A26">
        <w:t>levels (34% for VEM and 7% for d</w:t>
      </w:r>
      <w:r>
        <w:t>acarbazine</w:t>
      </w:r>
      <w:r w:rsidR="002E7A26">
        <w:t>)</w:t>
      </w:r>
      <w:r>
        <w:t xml:space="preserve"> </w:t>
      </w:r>
      <w:r w:rsidR="002E7A26">
        <w:t>in</w:t>
      </w:r>
      <w:r>
        <w:t xml:space="preserve"> VEM patients.</w:t>
      </w:r>
      <w:r w:rsidRPr="003B4482">
        <w:rPr>
          <w:i/>
        </w:rPr>
        <w:t xml:space="preserve"> </w:t>
      </w:r>
      <w:r>
        <w:t xml:space="preserve">For patients who had an event, the median time to first onset of </w:t>
      </w:r>
      <w:r w:rsidR="002E7A26">
        <w:t xml:space="preserve">GGT, AST and ALT levels </w:t>
      </w:r>
      <w:r>
        <w:t xml:space="preserve">worsening was longer in the VEM group than </w:t>
      </w:r>
      <w:r w:rsidR="00BB2876">
        <w:t>the dacarbazine</w:t>
      </w:r>
      <w:r>
        <w:t xml:space="preserve"> group </w:t>
      </w:r>
      <w:r w:rsidR="002E7A26">
        <w:t>(</w:t>
      </w:r>
      <w:r>
        <w:t>GGT</w:t>
      </w:r>
      <w:r w:rsidR="002E7A26">
        <w:t>:</w:t>
      </w:r>
      <w:r>
        <w:t xml:space="preserve"> 3.1 weeks for VEM</w:t>
      </w:r>
      <w:r w:rsidR="00D73147" w:rsidRPr="00D73147">
        <w:t xml:space="preserve"> versus </w:t>
      </w:r>
      <w:r>
        <w:t xml:space="preserve">1.2 weeks for </w:t>
      </w:r>
      <w:r w:rsidR="002E7A26">
        <w:t>d</w:t>
      </w:r>
      <w:r>
        <w:t>acarbazine</w:t>
      </w:r>
      <w:r w:rsidR="002E7A26">
        <w:t>;</w:t>
      </w:r>
      <w:r>
        <w:t xml:space="preserve"> AST</w:t>
      </w:r>
      <w:r w:rsidR="002E7A26">
        <w:t>:</w:t>
      </w:r>
      <w:r>
        <w:t xml:space="preserve"> 3 weeks for VEM</w:t>
      </w:r>
      <w:r w:rsidR="00D73147" w:rsidRPr="00D73147">
        <w:t xml:space="preserve"> versus </w:t>
      </w:r>
      <w:r>
        <w:t xml:space="preserve">1.1 week for </w:t>
      </w:r>
      <w:r w:rsidR="002E7A26">
        <w:t>d</w:t>
      </w:r>
      <w:r>
        <w:t>acarbazine</w:t>
      </w:r>
      <w:r w:rsidR="002E7A26">
        <w:t>;</w:t>
      </w:r>
      <w:r>
        <w:t xml:space="preserve"> ALT</w:t>
      </w:r>
      <w:r w:rsidR="002E7A26">
        <w:t>:</w:t>
      </w:r>
      <w:r>
        <w:t xml:space="preserve"> 3 weeks for VEM</w:t>
      </w:r>
      <w:r w:rsidR="00D73147" w:rsidRPr="00D73147">
        <w:t xml:space="preserve"> versus </w:t>
      </w:r>
      <w:r w:rsidR="002E7A26">
        <w:t>1 week for d</w:t>
      </w:r>
      <w:r>
        <w:t>acarbazine</w:t>
      </w:r>
      <w:r w:rsidR="002E7A26">
        <w:t>)</w:t>
      </w:r>
      <w:r>
        <w:t xml:space="preserve"> </w:t>
      </w:r>
      <w:r w:rsidR="002E7A26">
        <w:t>but</w:t>
      </w:r>
      <w:r>
        <w:t xml:space="preserve"> comparable between groups for ALP </w:t>
      </w:r>
      <w:r w:rsidR="002E7A26">
        <w:t>(</w:t>
      </w:r>
      <w:r>
        <w:t>3 weeks for VEM</w:t>
      </w:r>
      <w:r w:rsidR="00D73147" w:rsidRPr="00D73147">
        <w:t xml:space="preserve"> versus </w:t>
      </w:r>
      <w:r>
        <w:t xml:space="preserve">2.7 weeks for </w:t>
      </w:r>
      <w:r w:rsidR="002E7A26">
        <w:t>d</w:t>
      </w:r>
      <w:r>
        <w:t>acarbazine</w:t>
      </w:r>
      <w:r w:rsidR="002E7A26">
        <w:t>)</w:t>
      </w:r>
      <w:r>
        <w:t xml:space="preserve"> and bilirubin </w:t>
      </w:r>
      <w:r w:rsidR="002E7A26">
        <w:t>(</w:t>
      </w:r>
      <w:r>
        <w:t>3 weeks in both groups</w:t>
      </w:r>
      <w:r w:rsidR="002E7A26">
        <w:t>)</w:t>
      </w:r>
      <w:r>
        <w:t>.</w:t>
      </w:r>
      <w:r w:rsidRPr="003B4482">
        <w:rPr>
          <w:i/>
        </w:rPr>
        <w:t xml:space="preserve"> </w:t>
      </w:r>
      <w:r>
        <w:t xml:space="preserve">Fewer than 5% of patients in either treatment group had </w:t>
      </w:r>
      <w:r w:rsidR="002E7A26">
        <w:t>G</w:t>
      </w:r>
      <w:r>
        <w:t xml:space="preserve">rade III or IV grade change from baseline liver function test. Upon clinical review no patient had </w:t>
      </w:r>
      <w:r>
        <w:lastRenderedPageBreak/>
        <w:t>concurrent ALT</w:t>
      </w:r>
      <w:r w:rsidR="002E7A26">
        <w:t>/</w:t>
      </w:r>
      <w:r>
        <w:t>AST elevation to &gt;3 times upper limit of normal and total bilirubin increases to &gt;2 times upper limit of normal without ALP elevation.</w:t>
      </w:r>
      <w:r w:rsidRPr="003B4482">
        <w:rPr>
          <w:i/>
        </w:rPr>
        <w:t xml:space="preserve"> </w:t>
      </w:r>
      <w:r>
        <w:tab/>
        <w:t xml:space="preserve"> </w:t>
      </w:r>
      <w:r>
        <w:tab/>
      </w:r>
      <w:r w:rsidRPr="003B4482">
        <w:rPr>
          <w:i/>
        </w:rPr>
        <w:t xml:space="preserve">  </w:t>
      </w:r>
    </w:p>
    <w:p w:rsidR="003B4482" w:rsidRDefault="003B4482" w:rsidP="002E7A26">
      <w:pPr>
        <w:pStyle w:val="Heading4"/>
      </w:pPr>
      <w:r>
        <w:t>Vital signs</w:t>
      </w:r>
    </w:p>
    <w:p w:rsidR="002E7A26" w:rsidRDefault="003B4482" w:rsidP="002E7A26">
      <w:pPr>
        <w:tabs>
          <w:tab w:val="left" w:pos="0"/>
        </w:tabs>
        <w:jc w:val="both"/>
      </w:pPr>
      <w:r>
        <w:t>Across all studies no clinically meaningful changes in either systolic blood pressure or diastolic blood pressure were observed among the VEM treated patients.</w:t>
      </w:r>
    </w:p>
    <w:p w:rsidR="003B4482" w:rsidRDefault="003B4482" w:rsidP="002E7A26">
      <w:pPr>
        <w:pStyle w:val="Heading5"/>
      </w:pPr>
      <w:r>
        <w:t>Electrocardiograms</w:t>
      </w:r>
      <w:r w:rsidRPr="003B4482">
        <w:t xml:space="preserve"> </w:t>
      </w:r>
    </w:p>
    <w:p w:rsidR="003B4482" w:rsidRDefault="003B4482" w:rsidP="003B4482">
      <w:pPr>
        <w:tabs>
          <w:tab w:val="left" w:pos="0"/>
        </w:tabs>
        <w:jc w:val="both"/>
      </w:pPr>
      <w:r>
        <w:t xml:space="preserve">In the </w:t>
      </w:r>
      <w:r w:rsidRPr="003B4482">
        <w:t>Phase I</w:t>
      </w:r>
      <w:r>
        <w:t xml:space="preserve">II studies the mean change from baseline in QT, QTc, QTcB and QTcF intervals was greater in the VEM group than </w:t>
      </w:r>
      <w:r w:rsidR="00BB2876">
        <w:t>the dacarbazine</w:t>
      </w:r>
      <w:r>
        <w:t xml:space="preserve"> group at all times after dosing.</w:t>
      </w:r>
      <w:r w:rsidRPr="003B4482">
        <w:rPr>
          <w:i/>
        </w:rPr>
        <w:t xml:space="preserve"> </w:t>
      </w:r>
      <w:r>
        <w:t xml:space="preserve">A similar proportion of patients in the VEM </w:t>
      </w:r>
      <w:r w:rsidR="002E7A26">
        <w:t>and dacarbazine</w:t>
      </w:r>
      <w:r>
        <w:t xml:space="preserve"> groups exhibited a treatment emergent maximum individual QTcB and QTcF change from baseline of &gt;60</w:t>
      </w:r>
      <w:r w:rsidR="002E7A26">
        <w:t xml:space="preserve"> </w:t>
      </w:r>
      <w:r>
        <w:t>ms and no maximum individual QTcF values of &gt;500</w:t>
      </w:r>
      <w:r w:rsidR="002E7A26">
        <w:t xml:space="preserve"> </w:t>
      </w:r>
      <w:r>
        <w:t>ms was seen in either treatment group.</w:t>
      </w:r>
      <w:r w:rsidRPr="003B4482">
        <w:rPr>
          <w:i/>
        </w:rPr>
        <w:t xml:space="preserve"> </w:t>
      </w:r>
    </w:p>
    <w:p w:rsidR="003B4482" w:rsidRDefault="003B4482" w:rsidP="003B4482">
      <w:pPr>
        <w:tabs>
          <w:tab w:val="left" w:pos="0"/>
        </w:tabs>
        <w:jc w:val="both"/>
      </w:pPr>
      <w:r>
        <w:t>In the pooled safety population, two patients developed treatment emergent absolute QTcP values of &gt;500</w:t>
      </w:r>
      <w:r w:rsidR="002E7A26">
        <w:t xml:space="preserve"> </w:t>
      </w:r>
      <w:r>
        <w:t>ms and one of these patients also had a QTcP change from baseline of &gt;60</w:t>
      </w:r>
      <w:r w:rsidR="002E7A26">
        <w:t xml:space="preserve"> </w:t>
      </w:r>
      <w:r>
        <w:t>ms.</w:t>
      </w:r>
      <w:r w:rsidRPr="003B4482">
        <w:rPr>
          <w:i/>
        </w:rPr>
        <w:t xml:space="preserve"> </w:t>
      </w:r>
      <w:r>
        <w:t>It is noteworthy that most events potentially associated with pro</w:t>
      </w:r>
      <w:r w:rsidR="002E7A26">
        <w:t xml:space="preserve"> </w:t>
      </w:r>
      <w:r>
        <w:t>arrhythmic events were not associated with concomitant QTcF &gt;450</w:t>
      </w:r>
      <w:r w:rsidR="002E7A26">
        <w:t xml:space="preserve"> </w:t>
      </w:r>
      <w:r>
        <w:t>ms.</w:t>
      </w:r>
    </w:p>
    <w:p w:rsidR="003B4482" w:rsidRDefault="002E7A26" w:rsidP="003B4482">
      <w:pPr>
        <w:tabs>
          <w:tab w:val="left" w:pos="0"/>
        </w:tabs>
        <w:jc w:val="both"/>
      </w:pPr>
      <w:r>
        <w:t>A</w:t>
      </w:r>
      <w:r w:rsidR="003B4482">
        <w:t xml:space="preserve">dverse events involving dizziness and loss of consciousness have been </w:t>
      </w:r>
      <w:r>
        <w:t>discussed previously in this AusPAR</w:t>
      </w:r>
      <w:r w:rsidR="003B4482">
        <w:t>.</w:t>
      </w:r>
      <w:r w:rsidR="003B4482" w:rsidRPr="003B4482">
        <w:rPr>
          <w:i/>
        </w:rPr>
        <w:t xml:space="preserve"> </w:t>
      </w:r>
      <w:r w:rsidR="003B4482">
        <w:t>It is noteworthy that two patients developed adverse events relating to other cardiac function disorders</w:t>
      </w:r>
      <w:r>
        <w:t>;</w:t>
      </w:r>
      <w:r w:rsidR="003B4482">
        <w:t xml:space="preserve"> cardiomegaly in one patient and left atrial dilatation in another.</w:t>
      </w:r>
      <w:r w:rsidR="003B4482" w:rsidRPr="003B4482">
        <w:rPr>
          <w:i/>
        </w:rPr>
        <w:t xml:space="preserve"> </w:t>
      </w:r>
      <w:r w:rsidR="003B4482">
        <w:t>None of these were serious with the left atrial dilatation resolving without sequelae although the cardiomegaly was ongoing.</w:t>
      </w:r>
    </w:p>
    <w:p w:rsidR="003B4482" w:rsidRDefault="003B4482" w:rsidP="003B4482">
      <w:pPr>
        <w:tabs>
          <w:tab w:val="left" w:pos="0"/>
        </w:tabs>
        <w:jc w:val="both"/>
      </w:pPr>
      <w:r>
        <w:t xml:space="preserve">In the </w:t>
      </w:r>
      <w:r w:rsidRPr="003B4482">
        <w:t>Phase I</w:t>
      </w:r>
      <w:r w:rsidR="002E7A26">
        <w:t>I S</w:t>
      </w:r>
      <w:r>
        <w:t xml:space="preserve">tudy NP22657 relevant adverse events other than dizziness and loss of consciousness included one patient developing left ventricular hypertrophy of </w:t>
      </w:r>
      <w:r w:rsidR="002E7A26">
        <w:t>a G</w:t>
      </w:r>
      <w:r>
        <w:t xml:space="preserve">rade I level and two cases of sinus tachycardia of </w:t>
      </w:r>
      <w:r w:rsidR="002E7A26">
        <w:t>a G</w:t>
      </w:r>
      <w:r>
        <w:t>rade I level considered related to treatment.</w:t>
      </w:r>
      <w:r w:rsidRPr="003B4482">
        <w:rPr>
          <w:i/>
        </w:rPr>
        <w:t xml:space="preserve"> </w:t>
      </w:r>
    </w:p>
    <w:p w:rsidR="002E7A26" w:rsidRDefault="003B4482" w:rsidP="002E7A26">
      <w:pPr>
        <w:pStyle w:val="Heading4"/>
      </w:pPr>
      <w:r>
        <w:t>Safety in special groups</w:t>
      </w:r>
      <w:r w:rsidRPr="003B4482">
        <w:rPr>
          <w:i/>
        </w:rPr>
        <w:t xml:space="preserve">  </w:t>
      </w:r>
      <w:r>
        <w:t xml:space="preserve"> </w:t>
      </w:r>
    </w:p>
    <w:p w:rsidR="003B4482" w:rsidRDefault="003B4482" w:rsidP="002E7A26">
      <w:pPr>
        <w:pStyle w:val="Heading5"/>
      </w:pPr>
      <w:r w:rsidRPr="002E7A26">
        <w:t xml:space="preserve">Age </w:t>
      </w:r>
    </w:p>
    <w:p w:rsidR="003B4482" w:rsidRDefault="003B4482" w:rsidP="003B4482">
      <w:pPr>
        <w:tabs>
          <w:tab w:val="left" w:pos="0"/>
        </w:tabs>
        <w:jc w:val="both"/>
      </w:pPr>
      <w:r>
        <w:t xml:space="preserve">In the pivotal </w:t>
      </w:r>
      <w:r w:rsidRPr="003B4482">
        <w:t>Phase I</w:t>
      </w:r>
      <w:r>
        <w:t>II study approximately 25% of patients were aged 65 years or older</w:t>
      </w:r>
      <w:r w:rsidR="002E7A26">
        <w:t>. A</w:t>
      </w:r>
      <w:r>
        <w:t xml:space="preserve"> review of adverse events revealed that in these patients there was a higher incidence of adverse events</w:t>
      </w:r>
      <w:r w:rsidR="002E7A26">
        <w:t xml:space="preserve">, in </w:t>
      </w:r>
      <w:r>
        <w:t>particular nausea, actinic keratoses, peripheral oedema, skin SCC, KA, decreased appetite, depression and atrial fibrillation.</w:t>
      </w:r>
      <w:r w:rsidRPr="003B4482">
        <w:rPr>
          <w:i/>
        </w:rPr>
        <w:t xml:space="preserve"> </w:t>
      </w:r>
      <w:r w:rsidR="002332C1" w:rsidRPr="002332C1">
        <w:t>With respect to s</w:t>
      </w:r>
      <w:r w:rsidRPr="002332C1">
        <w:t>erious</w:t>
      </w:r>
      <w:r>
        <w:t xml:space="preserve"> adverse events of at least </w:t>
      </w:r>
      <w:r w:rsidR="002E7A26">
        <w:t>G</w:t>
      </w:r>
      <w:r>
        <w:t>rade III severity</w:t>
      </w:r>
      <w:r w:rsidR="002332C1">
        <w:t>,</w:t>
      </w:r>
      <w:r>
        <w:t xml:space="preserve"> patients 65 years or older experienced a higher incidence of SCC of the skin </w:t>
      </w:r>
      <w:r w:rsidR="002332C1">
        <w:t>(</w:t>
      </w:r>
      <w:r>
        <w:t>19%</w:t>
      </w:r>
      <w:r w:rsidR="00D73147" w:rsidRPr="00D73147">
        <w:t xml:space="preserve"> versus </w:t>
      </w:r>
      <w:r>
        <w:t>8% for young patients</w:t>
      </w:r>
      <w:r w:rsidR="002332C1">
        <w:t>)</w:t>
      </w:r>
      <w:r>
        <w:t xml:space="preserve">, rash </w:t>
      </w:r>
      <w:r w:rsidR="002332C1">
        <w:t>(</w:t>
      </w:r>
      <w:r>
        <w:t>13%</w:t>
      </w:r>
      <w:r w:rsidR="00D73147" w:rsidRPr="00D73147">
        <w:t xml:space="preserve"> versus </w:t>
      </w:r>
      <w:r>
        <w:t>7%</w:t>
      </w:r>
      <w:r w:rsidR="002332C1">
        <w:t>)</w:t>
      </w:r>
      <w:r>
        <w:t xml:space="preserve"> and GTT </w:t>
      </w:r>
      <w:r w:rsidR="002332C1">
        <w:t>(</w:t>
      </w:r>
      <w:r>
        <w:t>4%</w:t>
      </w:r>
      <w:r w:rsidR="00D73147" w:rsidRPr="00D73147">
        <w:t xml:space="preserve"> versus </w:t>
      </w:r>
      <w:r>
        <w:t>2%</w:t>
      </w:r>
      <w:r w:rsidR="002332C1">
        <w:t xml:space="preserve">) than </w:t>
      </w:r>
      <w:r>
        <w:t>the younger patients.</w:t>
      </w:r>
      <w:r w:rsidRPr="003B4482">
        <w:rPr>
          <w:i/>
        </w:rPr>
        <w:t xml:space="preserve"> </w:t>
      </w:r>
      <w:r>
        <w:t xml:space="preserve">Certain adverse events however occurred more frequently in younger patients and those of at least </w:t>
      </w:r>
      <w:r w:rsidR="002332C1">
        <w:t>G</w:t>
      </w:r>
      <w:r>
        <w:t xml:space="preserve">rade IV intensity affecting patients &lt;65 years to a greater degree included photosensitivity </w:t>
      </w:r>
      <w:r w:rsidR="002332C1">
        <w:t>(</w:t>
      </w:r>
      <w:r>
        <w:t>4%</w:t>
      </w:r>
      <w:r w:rsidR="00D73147" w:rsidRPr="00D73147">
        <w:t xml:space="preserve"> versus </w:t>
      </w:r>
      <w:r>
        <w:t>0%</w:t>
      </w:r>
      <w:r w:rsidR="002332C1">
        <w:t>)</w:t>
      </w:r>
      <w:r>
        <w:t xml:space="preserve"> and maculopapular rash </w:t>
      </w:r>
      <w:r w:rsidR="002332C1">
        <w:t>(</w:t>
      </w:r>
      <w:r>
        <w:t>3%</w:t>
      </w:r>
      <w:r w:rsidR="00D73147" w:rsidRPr="00D73147">
        <w:t xml:space="preserve"> versus </w:t>
      </w:r>
      <w:r>
        <w:t>1%</w:t>
      </w:r>
      <w:r w:rsidR="002332C1">
        <w:t>)</w:t>
      </w:r>
      <w:r>
        <w:t>.</w:t>
      </w:r>
      <w:r w:rsidRPr="003B4482">
        <w:rPr>
          <w:i/>
        </w:rPr>
        <w:t xml:space="preserve"> </w:t>
      </w:r>
      <w:r>
        <w:t>It is noteworthy that laboratory data were comparable between the various age groups of patients.</w:t>
      </w:r>
      <w:r w:rsidRPr="003B4482">
        <w:rPr>
          <w:i/>
        </w:rPr>
        <w:t xml:space="preserve"> </w:t>
      </w:r>
      <w:r>
        <w:t xml:space="preserve">Data from the </w:t>
      </w:r>
      <w:r w:rsidRPr="003B4482">
        <w:t>Phase I</w:t>
      </w:r>
      <w:r>
        <w:t xml:space="preserve"> and </w:t>
      </w:r>
      <w:r w:rsidRPr="003B4482">
        <w:t>Phase I</w:t>
      </w:r>
      <w:r>
        <w:t>I studies in relation to age also reflected these differences.</w:t>
      </w:r>
    </w:p>
    <w:p w:rsidR="003B4482" w:rsidRDefault="003B4482" w:rsidP="002332C1">
      <w:pPr>
        <w:pStyle w:val="Heading5"/>
      </w:pPr>
      <w:r>
        <w:t>Gender</w:t>
      </w:r>
    </w:p>
    <w:p w:rsidR="003B4482" w:rsidRDefault="003B4482" w:rsidP="003B4482">
      <w:pPr>
        <w:tabs>
          <w:tab w:val="left" w:pos="0"/>
        </w:tabs>
        <w:jc w:val="both"/>
      </w:pPr>
      <w:r>
        <w:t>When all adverse events regardless of age are graded or examined</w:t>
      </w:r>
      <w:r w:rsidR="002332C1">
        <w:t>,</w:t>
      </w:r>
      <w:r>
        <w:t xml:space="preserve"> the overall profiles suggested a trend for increased reporting of adverse events in female patients</w:t>
      </w:r>
      <w:r w:rsidR="00D73147" w:rsidRPr="00D73147">
        <w:t xml:space="preserve"> versus </w:t>
      </w:r>
      <w:r>
        <w:t>male patients in the VEM group.</w:t>
      </w:r>
      <w:r w:rsidRPr="003B4482">
        <w:rPr>
          <w:i/>
        </w:rPr>
        <w:t xml:space="preserve"> </w:t>
      </w:r>
      <w:r>
        <w:t xml:space="preserve">However certain adverse events were higher in males than females </w:t>
      </w:r>
      <w:r w:rsidR="002332C1">
        <w:t xml:space="preserve">and </w:t>
      </w:r>
      <w:r>
        <w:t>includ</w:t>
      </w:r>
      <w:r w:rsidR="002332C1">
        <w:t>ed</w:t>
      </w:r>
      <w:r>
        <w:t xml:space="preserve"> pruritus, dysgeusia, KA and folliculitis.</w:t>
      </w:r>
      <w:r w:rsidRPr="003B4482">
        <w:rPr>
          <w:i/>
        </w:rPr>
        <w:t xml:space="preserve"> </w:t>
      </w:r>
      <w:r>
        <w:t xml:space="preserve">When adverse events of at least </w:t>
      </w:r>
      <w:r w:rsidR="002332C1">
        <w:t>G</w:t>
      </w:r>
      <w:r>
        <w:t>rade III level were examined, three occurred at a higher incidence in females than males when on VEM therapy</w:t>
      </w:r>
      <w:r w:rsidR="002332C1">
        <w:t>;</w:t>
      </w:r>
      <w:r>
        <w:t xml:space="preserve"> rash </w:t>
      </w:r>
      <w:r w:rsidR="002332C1">
        <w:t>(</w:t>
      </w:r>
      <w:r>
        <w:t>12% females</w:t>
      </w:r>
      <w:r w:rsidR="00D73147" w:rsidRPr="00D73147">
        <w:t xml:space="preserve"> versus </w:t>
      </w:r>
      <w:r>
        <w:t>6% males</w:t>
      </w:r>
      <w:r w:rsidR="002332C1">
        <w:t>)</w:t>
      </w:r>
      <w:r>
        <w:t xml:space="preserve">, arthralgia </w:t>
      </w:r>
      <w:r w:rsidR="002332C1">
        <w:t>(</w:t>
      </w:r>
      <w:r>
        <w:t>5% females</w:t>
      </w:r>
      <w:r w:rsidR="00D73147" w:rsidRPr="00D73147">
        <w:t xml:space="preserve"> versus </w:t>
      </w:r>
      <w:r>
        <w:t>2% males</w:t>
      </w:r>
      <w:r w:rsidR="002332C1">
        <w:t>)</w:t>
      </w:r>
      <w:r>
        <w:t xml:space="preserve"> and photosensitivity reaction </w:t>
      </w:r>
      <w:r w:rsidR="002332C1">
        <w:t>(</w:t>
      </w:r>
      <w:r>
        <w:t>4% females</w:t>
      </w:r>
      <w:r w:rsidR="00D73147" w:rsidRPr="00D73147">
        <w:t xml:space="preserve"> versus </w:t>
      </w:r>
      <w:r>
        <w:t>2% males</w:t>
      </w:r>
      <w:r w:rsidR="002332C1">
        <w:t>)</w:t>
      </w:r>
      <w:r>
        <w:t>.</w:t>
      </w:r>
      <w:r w:rsidRPr="003B4482">
        <w:rPr>
          <w:i/>
        </w:rPr>
        <w:t xml:space="preserve"> </w:t>
      </w:r>
      <w:r>
        <w:t xml:space="preserve">Overall laboratory data were comparable between male and female patients in the VEM group with the exception of </w:t>
      </w:r>
      <w:r w:rsidR="002332C1">
        <w:t>G</w:t>
      </w:r>
      <w:r>
        <w:t xml:space="preserve">rade III increased ALP </w:t>
      </w:r>
      <w:r w:rsidR="002332C1">
        <w:t>(</w:t>
      </w:r>
      <w:r>
        <w:t>4%</w:t>
      </w:r>
      <w:r w:rsidR="00D73147" w:rsidRPr="00D73147">
        <w:t xml:space="preserve"> versus </w:t>
      </w:r>
      <w:r>
        <w:t xml:space="preserve">2% </w:t>
      </w:r>
      <w:r w:rsidR="002332C1">
        <w:t xml:space="preserve">in </w:t>
      </w:r>
      <w:r>
        <w:t>females</w:t>
      </w:r>
      <w:r w:rsidR="002332C1">
        <w:t>)</w:t>
      </w:r>
      <w:r>
        <w:t xml:space="preserve"> and </w:t>
      </w:r>
      <w:r>
        <w:lastRenderedPageBreak/>
        <w:t xml:space="preserve">increased total bilirubin in males </w:t>
      </w:r>
      <w:r w:rsidR="002332C1">
        <w:t>(</w:t>
      </w:r>
      <w:r>
        <w:t>3%</w:t>
      </w:r>
      <w:r w:rsidR="00D73147" w:rsidRPr="00D73147">
        <w:t xml:space="preserve"> versus </w:t>
      </w:r>
      <w:r>
        <w:t>1% females</w:t>
      </w:r>
      <w:r w:rsidR="002332C1">
        <w:t>)</w:t>
      </w:r>
      <w:r>
        <w:t xml:space="preserve"> while </w:t>
      </w:r>
      <w:r w:rsidR="002332C1">
        <w:t xml:space="preserve">the incidence of </w:t>
      </w:r>
      <w:r>
        <w:t xml:space="preserve">increased creatinine </w:t>
      </w:r>
      <w:r w:rsidR="002332C1">
        <w:t xml:space="preserve">levels </w:t>
      </w:r>
      <w:r>
        <w:t xml:space="preserve">was </w:t>
      </w:r>
      <w:r w:rsidR="002332C1">
        <w:t>higher in females (3% versus 1%)</w:t>
      </w:r>
      <w:r>
        <w:t>.</w:t>
      </w:r>
      <w:r w:rsidRPr="003B4482">
        <w:rPr>
          <w:i/>
        </w:rPr>
        <w:t xml:space="preserve"> </w:t>
      </w:r>
    </w:p>
    <w:p w:rsidR="003B4482" w:rsidRDefault="003B4482" w:rsidP="002332C1">
      <w:pPr>
        <w:pStyle w:val="Heading5"/>
      </w:pPr>
      <w:r>
        <w:t>ECG by age and gender</w:t>
      </w:r>
    </w:p>
    <w:p w:rsidR="003B4482" w:rsidRDefault="002332C1" w:rsidP="003B4482">
      <w:pPr>
        <w:tabs>
          <w:tab w:val="left" w:pos="0"/>
        </w:tabs>
        <w:jc w:val="both"/>
      </w:pPr>
      <w:r>
        <w:t>A r</w:t>
      </w:r>
      <w:r w:rsidR="003B4482">
        <w:t xml:space="preserve">eview of the </w:t>
      </w:r>
      <w:r w:rsidR="003B4482" w:rsidRPr="003B4482">
        <w:t>Phase I</w:t>
      </w:r>
      <w:r w:rsidR="003B4482">
        <w:t xml:space="preserve">II study revealed that among male patients the incidence of ECG findings in patients treated with VEM was higher than or comparable to that in patients treated with </w:t>
      </w:r>
      <w:r>
        <w:t>d</w:t>
      </w:r>
      <w:r w:rsidR="003B4482">
        <w:t>acarbazine except for QTcB values of &gt;500</w:t>
      </w:r>
      <w:r>
        <w:t xml:space="preserve"> </w:t>
      </w:r>
      <w:r w:rsidR="003B4482">
        <w:t>ms</w:t>
      </w:r>
      <w:r>
        <w:t xml:space="preserve"> which wa</w:t>
      </w:r>
      <w:r w:rsidR="003B4482">
        <w:t xml:space="preserve">s proportionally higher in the male patients treated with </w:t>
      </w:r>
      <w:r>
        <w:t>d</w:t>
      </w:r>
      <w:r w:rsidR="003B4482">
        <w:t>acarbazine.</w:t>
      </w:r>
      <w:r w:rsidR="003B4482" w:rsidRPr="003B4482">
        <w:rPr>
          <w:i/>
        </w:rPr>
        <w:t xml:space="preserve"> </w:t>
      </w:r>
      <w:r w:rsidR="003B4482">
        <w:t xml:space="preserve">Among female patients the incidence of ECG findings in patients treated with VEM was higher than or comparable to that in patients treated </w:t>
      </w:r>
      <w:r>
        <w:t>with dacarbazine</w:t>
      </w:r>
      <w:r w:rsidR="003B4482">
        <w:t xml:space="preserve"> with the exception of a maximum individual change in QTc interval &gt;60</w:t>
      </w:r>
      <w:r>
        <w:t xml:space="preserve"> </w:t>
      </w:r>
      <w:r w:rsidR="003B4482">
        <w:t xml:space="preserve">ms which </w:t>
      </w:r>
      <w:r>
        <w:t>wa</w:t>
      </w:r>
      <w:r w:rsidR="003B4482">
        <w:t xml:space="preserve">s higher in female patients treated </w:t>
      </w:r>
      <w:r>
        <w:t>with dacarbazine</w:t>
      </w:r>
      <w:r w:rsidR="003B4482">
        <w:t>.</w:t>
      </w:r>
      <w:r w:rsidR="003B4482" w:rsidRPr="003B4482">
        <w:rPr>
          <w:i/>
        </w:rPr>
        <w:t xml:space="preserve"> </w:t>
      </w:r>
    </w:p>
    <w:p w:rsidR="003B4482" w:rsidRDefault="003B4482" w:rsidP="003B4482">
      <w:pPr>
        <w:tabs>
          <w:tab w:val="left" w:pos="0"/>
        </w:tabs>
        <w:jc w:val="both"/>
      </w:pPr>
      <w:r>
        <w:t>In relation to age, the percentage of patients with QTcB</w:t>
      </w:r>
      <w:r w:rsidR="002332C1">
        <w:t>,</w:t>
      </w:r>
      <w:r>
        <w:t xml:space="preserve"> QTcB and QTcF values &gt;450</w:t>
      </w:r>
      <w:r w:rsidR="002332C1">
        <w:t xml:space="preserve"> </w:t>
      </w:r>
      <w:r>
        <w:t>ms or 480</w:t>
      </w:r>
      <w:r w:rsidR="002332C1">
        <w:t xml:space="preserve"> </w:t>
      </w:r>
      <w:r>
        <w:t xml:space="preserve">ms was greater in the older </w:t>
      </w:r>
      <w:r w:rsidR="0013332A">
        <w:t>sub group</w:t>
      </w:r>
      <w:r>
        <w:t xml:space="preserve"> than </w:t>
      </w:r>
      <w:r w:rsidR="002332C1">
        <w:t xml:space="preserve">in </w:t>
      </w:r>
      <w:r>
        <w:t>the younger</w:t>
      </w:r>
      <w:r w:rsidR="002332C1">
        <w:t xml:space="preserve"> subgroup</w:t>
      </w:r>
      <w:r>
        <w:t>.</w:t>
      </w:r>
      <w:r w:rsidRPr="003B4482">
        <w:rPr>
          <w:i/>
        </w:rPr>
        <w:t xml:space="preserve"> </w:t>
      </w:r>
      <w:r>
        <w:t xml:space="preserve">The percentage of </w:t>
      </w:r>
      <w:r w:rsidR="002332C1">
        <w:t xml:space="preserve">dacarbazine but not VEM patients </w:t>
      </w:r>
      <w:r>
        <w:t>who reported QTcB values &gt;500</w:t>
      </w:r>
      <w:r w:rsidR="002332C1">
        <w:t xml:space="preserve"> </w:t>
      </w:r>
      <w:r>
        <w:t xml:space="preserve">ms was higher in the older </w:t>
      </w:r>
      <w:r w:rsidR="0013332A">
        <w:t>sub group</w:t>
      </w:r>
      <w:r>
        <w:t xml:space="preserve"> </w:t>
      </w:r>
      <w:r w:rsidR="002332C1">
        <w:t>(</w:t>
      </w:r>
      <w:r>
        <w:t>4.3%</w:t>
      </w:r>
      <w:r w:rsidR="002332C1">
        <w:t>)</w:t>
      </w:r>
      <w:r>
        <w:t xml:space="preserve"> </w:t>
      </w:r>
      <w:r w:rsidR="002332C1">
        <w:t>than</w:t>
      </w:r>
      <w:r>
        <w:t xml:space="preserve"> the younger </w:t>
      </w:r>
      <w:r w:rsidR="002332C1">
        <w:t>group (</w:t>
      </w:r>
      <w:r>
        <w:t>0.6%</w:t>
      </w:r>
      <w:r w:rsidR="002332C1">
        <w:t>)</w:t>
      </w:r>
      <w:r>
        <w:t>.</w:t>
      </w:r>
      <w:r w:rsidRPr="003B4482">
        <w:rPr>
          <w:i/>
        </w:rPr>
        <w:t xml:space="preserve"> </w:t>
      </w:r>
      <w:r>
        <w:t>The percentage of patients with maximum individual QTc changes &gt;60</w:t>
      </w:r>
      <w:r w:rsidR="002332C1">
        <w:t xml:space="preserve"> </w:t>
      </w:r>
      <w:r>
        <w:t xml:space="preserve">ms was higher among patients &lt;65 years of age </w:t>
      </w:r>
      <w:r w:rsidR="002332C1">
        <w:t>(</w:t>
      </w:r>
      <w:r>
        <w:t>67.4%</w:t>
      </w:r>
      <w:r w:rsidR="002332C1">
        <w:t>)</w:t>
      </w:r>
      <w:r>
        <w:t xml:space="preserve"> </w:t>
      </w:r>
      <w:r w:rsidR="002332C1">
        <w:t>than in</w:t>
      </w:r>
      <w:r>
        <w:t xml:space="preserve"> the older patients </w:t>
      </w:r>
      <w:r w:rsidR="002332C1">
        <w:t>(</w:t>
      </w:r>
      <w:r>
        <w:t>4.7%</w:t>
      </w:r>
      <w:r w:rsidR="002332C1">
        <w:t>)</w:t>
      </w:r>
      <w:r>
        <w:t xml:space="preserve"> for those treated with VEM.</w:t>
      </w:r>
      <w:r w:rsidRPr="003B4482">
        <w:rPr>
          <w:i/>
        </w:rPr>
        <w:t xml:space="preserve"> </w:t>
      </w:r>
    </w:p>
    <w:p w:rsidR="003B4482" w:rsidRDefault="003B4482" w:rsidP="002332C1">
      <w:pPr>
        <w:pStyle w:val="Heading4"/>
      </w:pPr>
      <w:r>
        <w:t>Post</w:t>
      </w:r>
      <w:r w:rsidR="002332C1">
        <w:t xml:space="preserve"> </w:t>
      </w:r>
      <w:r>
        <w:t>marketing data</w:t>
      </w:r>
      <w:r w:rsidRPr="003B4482">
        <w:rPr>
          <w:i/>
        </w:rPr>
        <w:t xml:space="preserve"> </w:t>
      </w:r>
      <w:r>
        <w:t xml:space="preserve"> </w:t>
      </w:r>
    </w:p>
    <w:p w:rsidR="003B4482" w:rsidRDefault="003B4482" w:rsidP="003B4482">
      <w:pPr>
        <w:tabs>
          <w:tab w:val="left" w:pos="0"/>
        </w:tabs>
        <w:jc w:val="both"/>
      </w:pPr>
      <w:r>
        <w:t>VEM is not presently commercially available in any part of the world and therefore there is no post</w:t>
      </w:r>
      <w:r w:rsidR="002332C1">
        <w:t xml:space="preserve"> </w:t>
      </w:r>
      <w:r>
        <w:t>marketing data.</w:t>
      </w:r>
    </w:p>
    <w:p w:rsidR="003B4482" w:rsidRDefault="002332C1" w:rsidP="002332C1">
      <w:pPr>
        <w:pStyle w:val="Heading5"/>
      </w:pPr>
      <w:r>
        <w:t>Evaluat</w:t>
      </w:r>
      <w:r w:rsidR="006165D4">
        <w:t>or c</w:t>
      </w:r>
      <w:r>
        <w:t>omment</w:t>
      </w:r>
      <w:r w:rsidR="003B4482" w:rsidRPr="003B4482">
        <w:t xml:space="preserve"> </w:t>
      </w:r>
      <w:r w:rsidR="003B4482">
        <w:t xml:space="preserve"> </w:t>
      </w:r>
    </w:p>
    <w:p w:rsidR="003B4482" w:rsidRDefault="003B4482" w:rsidP="003B4482">
      <w:pPr>
        <w:tabs>
          <w:tab w:val="left" w:pos="0"/>
        </w:tabs>
        <w:jc w:val="both"/>
      </w:pPr>
      <w:r>
        <w:t xml:space="preserve">Safety profile demonstrated from pivotal </w:t>
      </w:r>
      <w:r w:rsidR="002332C1">
        <w:t>S</w:t>
      </w:r>
      <w:r>
        <w:t>tudy NO25026 as well as the five supporting studies indicates a relatively predictable safety profile.</w:t>
      </w:r>
      <w:r w:rsidRPr="003B4482">
        <w:rPr>
          <w:i/>
        </w:rPr>
        <w:t xml:space="preserve"> </w:t>
      </w:r>
      <w:r>
        <w:t>Treatment related adverse events generally occur fairly early within 1-2 months of initiation of treatment.</w:t>
      </w:r>
      <w:r w:rsidRPr="003B4482">
        <w:rPr>
          <w:i/>
        </w:rPr>
        <w:t xml:space="preserve"> </w:t>
      </w:r>
      <w:r>
        <w:t>The vast majority of adverse events were mild to moderate in nature, although dose modifications were required in approximately 40% of patients who received the standard dose of 96</w:t>
      </w:r>
      <w:r w:rsidRPr="003B4482">
        <w:t>0 mg</w:t>
      </w:r>
      <w:r>
        <w:t xml:space="preserve"> twice daily, which generally could be managed by relatively short interruption or dose reduction.</w:t>
      </w:r>
      <w:r w:rsidRPr="003B4482">
        <w:rPr>
          <w:i/>
        </w:rPr>
        <w:t xml:space="preserve"> </w:t>
      </w:r>
      <w:r>
        <w:t>The overall most common adverse events described included arthralgia, rash, alopecia, fatigue, nausea and photosensitivity.</w:t>
      </w:r>
      <w:r w:rsidRPr="003B4482">
        <w:rPr>
          <w:i/>
        </w:rPr>
        <w:t xml:space="preserve"> </w:t>
      </w:r>
      <w:r>
        <w:t>Again these were predominantly mild to moderate in intensity.</w:t>
      </w:r>
      <w:r w:rsidRPr="003B4482">
        <w:rPr>
          <w:i/>
        </w:rPr>
        <w:t xml:space="preserve"> </w:t>
      </w:r>
      <w:r w:rsidR="000A4E05">
        <w:t>It wa</w:t>
      </w:r>
      <w:r>
        <w:t xml:space="preserve">s noted that in the </w:t>
      </w:r>
      <w:r w:rsidRPr="003B4482">
        <w:t>Phase I</w:t>
      </w:r>
      <w:r>
        <w:t xml:space="preserve">II study a higher proportion of patients developed </w:t>
      </w:r>
      <w:r w:rsidR="000A4E05">
        <w:t>G</w:t>
      </w:r>
      <w:r>
        <w:t xml:space="preserve">rade III adverse events whilst receiving VEM compared </w:t>
      </w:r>
      <w:r w:rsidR="002332C1">
        <w:t>to dacarbazine</w:t>
      </w:r>
      <w:r>
        <w:t>, although the propor</w:t>
      </w:r>
      <w:r w:rsidR="000A4E05">
        <w:t>tion of patients demonstrating G</w:t>
      </w:r>
      <w:r>
        <w:t xml:space="preserve">rade IV events were higher in </w:t>
      </w:r>
      <w:r w:rsidR="00BB2876">
        <w:t>the dacarbazine</w:t>
      </w:r>
      <w:r>
        <w:t xml:space="preserve"> group.</w:t>
      </w:r>
      <w:r w:rsidRPr="003B4482">
        <w:rPr>
          <w:i/>
        </w:rPr>
        <w:t xml:space="preserve"> </w:t>
      </w:r>
      <w:r>
        <w:t>Adverse events leading to treatment withdrawal were uncommon and there were only two deaths within all studies considered directly attributable to VEM.</w:t>
      </w:r>
      <w:r w:rsidRPr="003B4482">
        <w:rPr>
          <w:i/>
        </w:rPr>
        <w:t xml:space="preserve"> </w:t>
      </w:r>
      <w:r>
        <w:t>Of particular interest was the rather high incidence of cutaneous SCCs as well as liver function test abnormalities.</w:t>
      </w:r>
      <w:r w:rsidRPr="003B4482">
        <w:rPr>
          <w:i/>
        </w:rPr>
        <w:t xml:space="preserve"> </w:t>
      </w:r>
      <w:r>
        <w:t>The former requires appropriate monitoring and action on development.</w:t>
      </w:r>
      <w:r w:rsidRPr="003B4482">
        <w:rPr>
          <w:i/>
        </w:rPr>
        <w:t xml:space="preserve"> </w:t>
      </w:r>
      <w:r>
        <w:t>The latter certainly requires relevant monitoring although clinical sequelae were fairly uncommon in relation to the hepatic function test abnormalities.</w:t>
      </w:r>
      <w:r w:rsidRPr="003B4482">
        <w:rPr>
          <w:i/>
        </w:rPr>
        <w:t xml:space="preserve"> </w:t>
      </w:r>
      <w:r>
        <w:t>The other area requiring careful monitoring includes appropriate regular ECGs as changes in QT intervals were fairly common among patients receiving VEM although again clinical sequelae were relatively uncommon.</w:t>
      </w:r>
      <w:r w:rsidRPr="003B4482">
        <w:rPr>
          <w:i/>
        </w:rPr>
        <w:t xml:space="preserve"> </w:t>
      </w:r>
    </w:p>
    <w:p w:rsidR="003B4482" w:rsidRDefault="003B4482" w:rsidP="003B4482">
      <w:pPr>
        <w:tabs>
          <w:tab w:val="left" w:pos="0"/>
        </w:tabs>
        <w:jc w:val="both"/>
      </w:pPr>
      <w:r>
        <w:t>Overall it is considered that the safety profile for VEM is generally manageable with appropriate monitoring and early intervention.</w:t>
      </w:r>
      <w:r w:rsidRPr="003B4482">
        <w:rPr>
          <w:i/>
        </w:rPr>
        <w:t xml:space="preserve"> </w:t>
      </w:r>
      <w:r>
        <w:t>There is no evidence available from the study submitted of a higher incidence of severe or irreversible adverse effects.</w:t>
      </w:r>
    </w:p>
    <w:p w:rsidR="00116AE6" w:rsidRPr="006E137C" w:rsidRDefault="006165D4" w:rsidP="00A03670">
      <w:pPr>
        <w:pStyle w:val="Heading3"/>
      </w:pPr>
      <w:bookmarkStart w:id="68" w:name="_Toc247691523"/>
      <w:bookmarkStart w:id="69" w:name="_Toc184440295"/>
      <w:bookmarkStart w:id="70" w:name="_Toc184444673"/>
      <w:bookmarkStart w:id="71" w:name="_Toc196046503"/>
      <w:bookmarkStart w:id="72" w:name="_Toc345675783"/>
      <w:bookmarkEnd w:id="67"/>
      <w:r>
        <w:t>Clinical summary and c</w:t>
      </w:r>
      <w:r w:rsidR="00116AE6">
        <w:t>onclusions</w:t>
      </w:r>
      <w:bookmarkEnd w:id="68"/>
      <w:bookmarkEnd w:id="72"/>
    </w:p>
    <w:p w:rsidR="003B4482" w:rsidRDefault="003B4482" w:rsidP="00A03670">
      <w:pPr>
        <w:pStyle w:val="Heading4"/>
        <w:keepNext/>
      </w:pPr>
      <w:bookmarkStart w:id="73" w:name="_Toc247691524"/>
      <w:bookmarkStart w:id="74" w:name="_Toc196046504"/>
      <w:bookmarkStart w:id="75" w:name="_Toc163441390"/>
      <w:bookmarkEnd w:id="69"/>
      <w:bookmarkEnd w:id="70"/>
      <w:bookmarkEnd w:id="71"/>
      <w:r>
        <w:t xml:space="preserve">First round assessment of benefits </w:t>
      </w:r>
    </w:p>
    <w:p w:rsidR="003B4482" w:rsidRDefault="003B4482" w:rsidP="00A03670">
      <w:pPr>
        <w:keepNext/>
        <w:tabs>
          <w:tab w:val="left" w:pos="0"/>
        </w:tabs>
        <w:jc w:val="both"/>
      </w:pPr>
      <w:r w:rsidRPr="000A4E05">
        <w:t>VEM represents a first in class selective inhibitor of mutated BRAF kinase</w:t>
      </w:r>
      <w:r w:rsidR="000A4E05" w:rsidRPr="000A4E05">
        <w:t>. S</w:t>
      </w:r>
      <w:r w:rsidRPr="000A4E05">
        <w:t>tudies undertaken in patients with metastatic or unresectable melanoma who have BRAF</w:t>
      </w:r>
      <w:r w:rsidRPr="000A4E05">
        <w:rPr>
          <w:vertAlign w:val="superscript"/>
        </w:rPr>
        <w:t>V600</w:t>
      </w:r>
      <w:r w:rsidRPr="000A4E05">
        <w:t xml:space="preserve"> </w:t>
      </w:r>
      <w:r w:rsidRPr="000A4E05">
        <w:lastRenderedPageBreak/>
        <w:t>mutations</w:t>
      </w:r>
      <w:r w:rsidR="000A4E05" w:rsidRPr="000A4E05">
        <w:t xml:space="preserve"> (</w:t>
      </w:r>
      <w:r w:rsidRPr="000A4E05">
        <w:t>tumour samples</w:t>
      </w:r>
      <w:r w:rsidR="000A4E05" w:rsidRPr="000A4E05">
        <w:t xml:space="preserve"> </w:t>
      </w:r>
      <w:r w:rsidRPr="000A4E05">
        <w:t>tested mutation positive by the c</w:t>
      </w:r>
      <w:r w:rsidR="00CB3224">
        <w:t xml:space="preserve">obas </w:t>
      </w:r>
      <w:r w:rsidRPr="000A4E05">
        <w:t>BRAF 4800 BRAF</w:t>
      </w:r>
      <w:r w:rsidR="004C48B3">
        <w:t xml:space="preserve"> </w:t>
      </w:r>
      <w:r w:rsidR="008305A0" w:rsidRPr="008305A0">
        <w:t>V600</w:t>
      </w:r>
      <w:r w:rsidRPr="000A4E05">
        <w:t xml:space="preserve"> </w:t>
      </w:r>
      <w:r w:rsidR="004C48B3">
        <w:t>M</w:t>
      </w:r>
      <w:r w:rsidRPr="000A4E05">
        <w:t xml:space="preserve">utation </w:t>
      </w:r>
      <w:r w:rsidR="004C48B3">
        <w:t>T</w:t>
      </w:r>
      <w:r w:rsidRPr="000A4E05">
        <w:t>est</w:t>
      </w:r>
      <w:r w:rsidR="000A4E05" w:rsidRPr="000A4E05">
        <w:t xml:space="preserve">) </w:t>
      </w:r>
      <w:r w:rsidRPr="000A4E05">
        <w:t xml:space="preserve">including the Phase III randomised pivotal </w:t>
      </w:r>
      <w:r w:rsidR="000A4E05" w:rsidRPr="000A4E05">
        <w:t>S</w:t>
      </w:r>
      <w:r w:rsidRPr="000A4E05">
        <w:t xml:space="preserve">tudy NO25026 in which patients were randomly assigned to receive either VEM </w:t>
      </w:r>
      <w:r w:rsidR="000A4E05" w:rsidRPr="000A4E05">
        <w:t>at</w:t>
      </w:r>
      <w:r w:rsidRPr="000A4E05">
        <w:t xml:space="preserve"> 960 mg twice daily as an oral</w:t>
      </w:r>
      <w:r w:rsidR="000A4E05" w:rsidRPr="000A4E05">
        <w:t xml:space="preserve"> medication or control therapy d</w:t>
      </w:r>
      <w:r w:rsidRPr="000A4E05">
        <w:t xml:space="preserve">acarbazine, a Phase II </w:t>
      </w:r>
      <w:r w:rsidR="000A4E05" w:rsidRPr="000A4E05">
        <w:t>S</w:t>
      </w:r>
      <w:r w:rsidRPr="000A4E05">
        <w:t xml:space="preserve">tudy NP22657, the Phase I </w:t>
      </w:r>
      <w:r w:rsidR="000A4E05" w:rsidRPr="000A4E05">
        <w:t>S</w:t>
      </w:r>
      <w:r w:rsidRPr="000A4E05">
        <w:t>tudy PLX06-02 and the three clinical pharmacology studies have clearly shown evidence of major therapeutic benefits.</w:t>
      </w:r>
      <w:r w:rsidRPr="000A4E05">
        <w:rPr>
          <w:i/>
        </w:rPr>
        <w:t xml:space="preserve"> </w:t>
      </w:r>
      <w:r w:rsidRPr="000A4E05">
        <w:t>The</w:t>
      </w:r>
      <w:r>
        <w:t xml:space="preserve"> randomised study has shown a highly significant as well clinically important improvement in primary outcomes including overall survival and progression free survival when compared </w:t>
      </w:r>
      <w:r w:rsidR="002332C1">
        <w:t>to dacarbazine</w:t>
      </w:r>
      <w:r>
        <w:t>.</w:t>
      </w:r>
      <w:r w:rsidRPr="003B4482">
        <w:rPr>
          <w:i/>
        </w:rPr>
        <w:t xml:space="preserve"> </w:t>
      </w:r>
      <w:r>
        <w:t>Furthermore</w:t>
      </w:r>
      <w:r w:rsidR="000A4E05">
        <w:t>,</w:t>
      </w:r>
      <w:r>
        <w:t xml:space="preserve"> the overall response rate was higher than has been seen with any other single agent utilised in the management of metastatic melanoma.</w:t>
      </w:r>
      <w:r w:rsidRPr="003B4482">
        <w:rPr>
          <w:i/>
        </w:rPr>
        <w:t xml:space="preserve"> </w:t>
      </w:r>
      <w:r>
        <w:t xml:space="preserve">The response rate of the order of 50% is more than three times greater than that previously observed with other therapies including </w:t>
      </w:r>
      <w:r w:rsidR="000A4E05">
        <w:t>d</w:t>
      </w:r>
      <w:r>
        <w:t>acarbazine.</w:t>
      </w:r>
      <w:r w:rsidRPr="003B4482">
        <w:rPr>
          <w:i/>
        </w:rPr>
        <w:t xml:space="preserve"> </w:t>
      </w:r>
      <w:r>
        <w:t xml:space="preserve">The randomised study was quite large and robust involving a total of 675 patients, while the </w:t>
      </w:r>
      <w:r w:rsidRPr="003B4482">
        <w:t>Phase I</w:t>
      </w:r>
      <w:r>
        <w:t>I study involved 132 patients again reinforcing the therapeutic benefit of VEM in these patients.</w:t>
      </w:r>
      <w:r w:rsidRPr="003B4482">
        <w:rPr>
          <w:i/>
        </w:rPr>
        <w:t xml:space="preserve"> </w:t>
      </w:r>
      <w:r>
        <w:t>It is also noteworthy that apart from key efficacy endpoints</w:t>
      </w:r>
      <w:r w:rsidR="000A4E05">
        <w:t>,</w:t>
      </w:r>
      <w:r>
        <w:t xml:space="preserve"> VEM treatment was associated with improved outcomes across all </w:t>
      </w:r>
      <w:r w:rsidR="0013332A">
        <w:t>sub group</w:t>
      </w:r>
      <w:r>
        <w:t>s for stratification factors and among patients with more rare V600 mutations other than V600E.</w:t>
      </w:r>
      <w:r w:rsidRPr="003B4482">
        <w:rPr>
          <w:i/>
        </w:rPr>
        <w:t xml:space="preserve"> </w:t>
      </w:r>
    </w:p>
    <w:p w:rsidR="003B4482" w:rsidRDefault="003B4482" w:rsidP="000A4E05">
      <w:pPr>
        <w:pStyle w:val="Heading4"/>
      </w:pPr>
      <w:r>
        <w:t>First round assessment of risks</w:t>
      </w:r>
      <w:r w:rsidRPr="003B4482">
        <w:rPr>
          <w:i/>
        </w:rPr>
        <w:t xml:space="preserve"> </w:t>
      </w:r>
    </w:p>
    <w:p w:rsidR="003B4482" w:rsidRDefault="003B4482" w:rsidP="003B4482">
      <w:pPr>
        <w:tabs>
          <w:tab w:val="left" w:pos="0"/>
        </w:tabs>
        <w:jc w:val="both"/>
      </w:pPr>
      <w:r>
        <w:t>The safety data base included in the application provides safety information on 584 patients receiving VEM who received at least one dose of study drug.</w:t>
      </w:r>
      <w:r w:rsidRPr="003B4482">
        <w:rPr>
          <w:i/>
        </w:rPr>
        <w:t xml:space="preserve"> </w:t>
      </w:r>
      <w:r>
        <w:t>The overall safety profile was characterised predominantly by commonly occurring adverse events of rash, alopecia, photosensitivity, arthralgia and gastrointestinal disorders.</w:t>
      </w:r>
      <w:r w:rsidRPr="003B4482">
        <w:rPr>
          <w:i/>
        </w:rPr>
        <w:t xml:space="preserve"> </w:t>
      </w:r>
      <w:r>
        <w:t xml:space="preserve">The majority of these adverse events were </w:t>
      </w:r>
      <w:r w:rsidR="000A4E05">
        <w:t>G</w:t>
      </w:r>
      <w:r>
        <w:t>rade I</w:t>
      </w:r>
      <w:r w:rsidR="000A4E05">
        <w:t xml:space="preserve"> to </w:t>
      </w:r>
      <w:r>
        <w:t>II in intensity and readily reversible on short term treatment discontinuation or modification of dose.</w:t>
      </w:r>
      <w:r w:rsidRPr="003B4482">
        <w:rPr>
          <w:i/>
        </w:rPr>
        <w:t xml:space="preserve"> </w:t>
      </w:r>
      <w:r>
        <w:t>More significant were adverse events including the development of cutaneous SCC and liver function abnormalities as well as the occasional severe hypersensitivity reaction all of which require careful monitoring and early intervention.</w:t>
      </w:r>
      <w:r w:rsidRPr="003B4482">
        <w:rPr>
          <w:i/>
        </w:rPr>
        <w:t xml:space="preserve"> </w:t>
      </w:r>
      <w:r>
        <w:t>A small proportion of patients,</w:t>
      </w:r>
      <w:r w:rsidR="00D73147" w:rsidRPr="00D73147">
        <w:t xml:space="preserve"> that is </w:t>
      </w:r>
      <w:r>
        <w:t>&lt;6%</w:t>
      </w:r>
      <w:r w:rsidR="000A4E05">
        <w:t>,</w:t>
      </w:r>
      <w:r>
        <w:t xml:space="preserve"> required discontinuation of treatment and </w:t>
      </w:r>
      <w:r w:rsidRPr="00C066AC">
        <w:t>only two deaths considered directly attributable to VEM therapy occurred across the clinical studies presented.</w:t>
      </w:r>
      <w:r w:rsidR="00195B3B" w:rsidRPr="00195B3B">
        <w:rPr>
          <w:rStyle w:val="FootnoteReference"/>
        </w:rPr>
        <w:footnoteReference w:id="24"/>
      </w:r>
      <w:r w:rsidRPr="00C066AC">
        <w:rPr>
          <w:i/>
        </w:rPr>
        <w:t xml:space="preserve"> </w:t>
      </w:r>
      <w:r w:rsidRPr="00C066AC">
        <w:t>Accordingly</w:t>
      </w:r>
      <w:r w:rsidR="000A4E05" w:rsidRPr="00C066AC">
        <w:t>,</w:t>
      </w:r>
      <w:r w:rsidRPr="00C066AC">
        <w:t xml:space="preserve"> the evidence would support an overall adverse event profile which was considered generally tolerable and can be effectively managed with appropriate monitoring and early</w:t>
      </w:r>
      <w:r>
        <w:t xml:space="preserve"> intervention.</w:t>
      </w:r>
      <w:r w:rsidRPr="003B4482">
        <w:rPr>
          <w:i/>
        </w:rPr>
        <w:t xml:space="preserve"> </w:t>
      </w:r>
    </w:p>
    <w:p w:rsidR="003B4482" w:rsidRDefault="003B4482" w:rsidP="000A4E05">
      <w:pPr>
        <w:pStyle w:val="Heading4"/>
      </w:pPr>
      <w:r>
        <w:t>First round assessment of benefit/risk balance</w:t>
      </w:r>
      <w:r w:rsidRPr="003B4482">
        <w:rPr>
          <w:i/>
        </w:rPr>
        <w:t xml:space="preserve"> </w:t>
      </w:r>
    </w:p>
    <w:p w:rsidR="003B4482" w:rsidRDefault="003B4482" w:rsidP="003B4482">
      <w:pPr>
        <w:tabs>
          <w:tab w:val="left" w:pos="0"/>
        </w:tabs>
        <w:jc w:val="both"/>
      </w:pPr>
      <w:r>
        <w:t>As indicated above the evidence of therapeutic benefit for VEM in patients with metastatic or unresectable melanoma who are V600 mutation positive is convincing and well beyond that previously observed for available therapies for these patients.</w:t>
      </w:r>
      <w:r w:rsidRPr="003B4482">
        <w:rPr>
          <w:i/>
        </w:rPr>
        <w:t xml:space="preserve"> </w:t>
      </w:r>
      <w:r>
        <w:t>The risk profile is generally manageable with a relatively low incidence of severe and unpredictable adverse effects.</w:t>
      </w:r>
      <w:r w:rsidRPr="003B4482">
        <w:rPr>
          <w:i/>
        </w:rPr>
        <w:t xml:space="preserve"> </w:t>
      </w:r>
      <w:r>
        <w:t xml:space="preserve">Accordingly this </w:t>
      </w:r>
      <w:r w:rsidR="000A4E05">
        <w:t>evaluator</w:t>
      </w:r>
      <w:r>
        <w:t xml:space="preserve"> consider</w:t>
      </w:r>
      <w:r w:rsidR="000A4E05">
        <w:t>ed</w:t>
      </w:r>
      <w:r>
        <w:t xml:space="preserve"> that the risk/benefit profile clearly favours the benefits of VEM in this population of patients.</w:t>
      </w:r>
      <w:r w:rsidRPr="003B4482">
        <w:rPr>
          <w:i/>
        </w:rPr>
        <w:t xml:space="preserve"> </w:t>
      </w:r>
    </w:p>
    <w:p w:rsidR="003B4482" w:rsidRDefault="006165D4" w:rsidP="000A4E05">
      <w:pPr>
        <w:pStyle w:val="Heading4"/>
      </w:pPr>
      <w:r>
        <w:t>First round recommendation regarding authorisation</w:t>
      </w:r>
    </w:p>
    <w:p w:rsidR="003B4482" w:rsidRDefault="003B4482" w:rsidP="003B4482">
      <w:pPr>
        <w:tabs>
          <w:tab w:val="left" w:pos="0"/>
        </w:tabs>
        <w:jc w:val="both"/>
        <w:rPr>
          <w:sz w:val="24"/>
          <w:szCs w:val="24"/>
        </w:rPr>
      </w:pPr>
      <w:r>
        <w:t xml:space="preserve">This evaluator on the balance of the very positive results from the clinical trials together with the manageable safety profile recommends approval for the marketing of </w:t>
      </w:r>
      <w:r w:rsidR="000A4E05">
        <w:t>v</w:t>
      </w:r>
      <w:r>
        <w:t xml:space="preserve">emurafenib for the treatment of unresectable </w:t>
      </w:r>
      <w:r w:rsidR="000A4E05">
        <w:t>S</w:t>
      </w:r>
      <w:r>
        <w:t xml:space="preserve">tage IIIC or </w:t>
      </w:r>
      <w:r w:rsidR="000A4E05">
        <w:t>S</w:t>
      </w:r>
      <w:r>
        <w:t>tage IV metastatic melanoma positive for BRAF</w:t>
      </w:r>
      <w:r>
        <w:rPr>
          <w:vertAlign w:val="superscript"/>
        </w:rPr>
        <w:t>V600</w:t>
      </w:r>
      <w:r>
        <w:t xml:space="preserve"> mutation.</w:t>
      </w:r>
      <w:r w:rsidRPr="003B4482">
        <w:rPr>
          <w:i/>
        </w:rPr>
        <w:t xml:space="preserve"> </w:t>
      </w:r>
    </w:p>
    <w:p w:rsidR="00116AE6" w:rsidRDefault="00D21C4E" w:rsidP="00D21C4E">
      <w:pPr>
        <w:pStyle w:val="Heading2"/>
      </w:pPr>
      <w:bookmarkStart w:id="76" w:name="_Toc345675784"/>
      <w:r>
        <w:lastRenderedPageBreak/>
        <w:t xml:space="preserve">V. </w:t>
      </w:r>
      <w:r w:rsidR="006165D4">
        <w:t>Pharmacovigilance f</w:t>
      </w:r>
      <w:r w:rsidR="00116AE6">
        <w:t>indings</w:t>
      </w:r>
      <w:bookmarkEnd w:id="73"/>
      <w:bookmarkEnd w:id="76"/>
    </w:p>
    <w:p w:rsidR="00116AE6" w:rsidRDefault="006165D4" w:rsidP="00116AE6">
      <w:pPr>
        <w:pStyle w:val="Heading3"/>
        <w:rPr>
          <w:lang w:eastAsia="en-AU"/>
        </w:rPr>
      </w:pPr>
      <w:bookmarkStart w:id="77" w:name="_Toc247691526"/>
      <w:bookmarkStart w:id="78" w:name="_Toc345675785"/>
      <w:r>
        <w:rPr>
          <w:lang w:eastAsia="en-AU"/>
        </w:rPr>
        <w:t>Risk management p</w:t>
      </w:r>
      <w:r w:rsidR="00116AE6">
        <w:rPr>
          <w:lang w:eastAsia="en-AU"/>
        </w:rPr>
        <w:t>lan</w:t>
      </w:r>
      <w:bookmarkEnd w:id="77"/>
      <w:bookmarkEnd w:id="78"/>
    </w:p>
    <w:p w:rsidR="00116AE6" w:rsidRDefault="00116AE6" w:rsidP="00116AE6">
      <w:pPr>
        <w:rPr>
          <w:lang w:eastAsia="en-AU"/>
        </w:rPr>
      </w:pPr>
      <w:r>
        <w:rPr>
          <w:lang w:eastAsia="en-AU"/>
        </w:rPr>
        <w:t xml:space="preserve">The sponsor submitted a Risk Management Plan which was reviewed by the TGA’s Office of </w:t>
      </w:r>
      <w:r w:rsidR="005A27B0">
        <w:rPr>
          <w:lang w:eastAsia="en-AU"/>
        </w:rPr>
        <w:t>Product Review</w:t>
      </w:r>
      <w:r>
        <w:rPr>
          <w:lang w:eastAsia="en-AU"/>
        </w:rPr>
        <w:t xml:space="preserve"> (O</w:t>
      </w:r>
      <w:r w:rsidR="005A27B0">
        <w:rPr>
          <w:lang w:eastAsia="en-AU"/>
        </w:rPr>
        <w:t>PR</w:t>
      </w:r>
      <w:r>
        <w:rPr>
          <w:lang w:eastAsia="en-AU"/>
        </w:rPr>
        <w:t>).</w:t>
      </w:r>
    </w:p>
    <w:p w:rsidR="005A27B0" w:rsidRDefault="006165D4" w:rsidP="005A27B0">
      <w:pPr>
        <w:pStyle w:val="Heading4"/>
        <w:rPr>
          <w:lang w:eastAsia="en-AU"/>
        </w:rPr>
      </w:pPr>
      <w:r>
        <w:rPr>
          <w:lang w:eastAsia="en-AU"/>
        </w:rPr>
        <w:t>Safety s</w:t>
      </w:r>
      <w:r w:rsidR="005A27B0">
        <w:rPr>
          <w:lang w:eastAsia="en-AU"/>
        </w:rPr>
        <w:t>pecification</w:t>
      </w:r>
    </w:p>
    <w:p w:rsidR="00734347" w:rsidRDefault="005A27B0" w:rsidP="00734347">
      <w:pPr>
        <w:rPr>
          <w:lang w:eastAsia="en-AU"/>
        </w:rPr>
      </w:pPr>
      <w:r>
        <w:rPr>
          <w:lang w:eastAsia="en-AU"/>
        </w:rPr>
        <w:t xml:space="preserve">The sponsor provided a summary of Ongoing safety Concerns which are </w:t>
      </w:r>
      <w:r w:rsidR="00734347">
        <w:rPr>
          <w:lang w:eastAsia="en-AU"/>
        </w:rPr>
        <w:t>summarised below.</w:t>
      </w:r>
    </w:p>
    <w:p w:rsidR="00734347" w:rsidRPr="00734347" w:rsidRDefault="006165D4" w:rsidP="00734347">
      <w:pPr>
        <w:rPr>
          <w:rStyle w:val="Heading5Char"/>
          <w:rFonts w:eastAsia="Cambria"/>
        </w:rPr>
      </w:pPr>
      <w:r>
        <w:rPr>
          <w:rStyle w:val="Heading5Char"/>
          <w:rFonts w:eastAsia="Cambria"/>
        </w:rPr>
        <w:t>Important i</w:t>
      </w:r>
      <w:r w:rsidR="00734347" w:rsidRPr="00734347">
        <w:rPr>
          <w:rStyle w:val="Heading5Char"/>
          <w:rFonts w:eastAsia="Cambria"/>
        </w:rPr>
        <w:t>dent</w:t>
      </w:r>
      <w:r>
        <w:rPr>
          <w:rStyle w:val="Heading5Char"/>
          <w:rFonts w:eastAsia="Cambria"/>
        </w:rPr>
        <w:t>ified r</w:t>
      </w:r>
      <w:r w:rsidR="00734347" w:rsidRPr="00734347">
        <w:rPr>
          <w:rStyle w:val="Heading5Char"/>
          <w:rFonts w:eastAsia="Cambria"/>
        </w:rPr>
        <w:t>isks:</w:t>
      </w:r>
    </w:p>
    <w:p w:rsidR="00734347" w:rsidRDefault="00734347" w:rsidP="005C7653">
      <w:pPr>
        <w:numPr>
          <w:ilvl w:val="0"/>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426" w:hanging="426"/>
      </w:pPr>
      <w:r>
        <w:t>Cutaneous Squamous Cell Carcinoma (SCC)</w:t>
      </w:r>
    </w:p>
    <w:p w:rsidR="00734347" w:rsidRDefault="00734347" w:rsidP="005C7653">
      <w:pPr>
        <w:numPr>
          <w:ilvl w:val="0"/>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426" w:hanging="426"/>
      </w:pPr>
      <w:r>
        <w:t>Liver Laboratory Abnormalities</w:t>
      </w:r>
    </w:p>
    <w:p w:rsidR="00734347" w:rsidRDefault="00734347" w:rsidP="005C7653">
      <w:pPr>
        <w:numPr>
          <w:ilvl w:val="0"/>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426" w:hanging="426"/>
      </w:pPr>
      <w:r>
        <w:t>Photosensitivity/Sunburn</w:t>
      </w:r>
    </w:p>
    <w:p w:rsidR="00734347" w:rsidRDefault="00734347" w:rsidP="005C7653">
      <w:pPr>
        <w:numPr>
          <w:ilvl w:val="0"/>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426" w:hanging="426"/>
      </w:pPr>
      <w:r>
        <w:t>Arthralgia</w:t>
      </w:r>
    </w:p>
    <w:p w:rsidR="00734347" w:rsidRDefault="00734347" w:rsidP="005C7653">
      <w:pPr>
        <w:numPr>
          <w:ilvl w:val="0"/>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426" w:hanging="426"/>
      </w:pPr>
      <w:r>
        <w:t>Rash</w:t>
      </w:r>
    </w:p>
    <w:p w:rsidR="00734347" w:rsidRDefault="00734347" w:rsidP="005C7653">
      <w:pPr>
        <w:numPr>
          <w:ilvl w:val="0"/>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426" w:hanging="426"/>
      </w:pPr>
      <w:r>
        <w:t>Fatigue</w:t>
      </w:r>
    </w:p>
    <w:p w:rsidR="00734347" w:rsidRDefault="00734347" w:rsidP="005C7653">
      <w:pPr>
        <w:numPr>
          <w:ilvl w:val="0"/>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426" w:hanging="426"/>
        <w:rPr>
          <w:b/>
        </w:rPr>
      </w:pPr>
      <w:r>
        <w:t>QTc Prolongation</w:t>
      </w:r>
    </w:p>
    <w:p w:rsidR="00734347" w:rsidRDefault="00734347" w:rsidP="00734347"/>
    <w:p w:rsidR="00734347" w:rsidRDefault="006165D4" w:rsidP="00734347">
      <w:pPr>
        <w:pStyle w:val="Heading5"/>
      </w:pPr>
      <w:r>
        <w:t>Important potential r</w:t>
      </w:r>
      <w:r w:rsidR="00734347">
        <w:t>isks:</w:t>
      </w:r>
    </w:p>
    <w:p w:rsidR="00734347" w:rsidRDefault="00734347" w:rsidP="005C7653">
      <w:pPr>
        <w:numPr>
          <w:ilvl w:val="0"/>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284" w:hanging="284"/>
      </w:pPr>
      <w:r>
        <w:t>Non-cutaneous Squamous Cell Carcinoma</w:t>
      </w:r>
    </w:p>
    <w:p w:rsidR="00734347" w:rsidRDefault="00734347" w:rsidP="005C7653">
      <w:pPr>
        <w:numPr>
          <w:ilvl w:val="0"/>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284" w:hanging="284"/>
      </w:pPr>
      <w:r>
        <w:t>VIIth Nerve paralysis</w:t>
      </w:r>
    </w:p>
    <w:p w:rsidR="00734347" w:rsidRDefault="00734347" w:rsidP="005C7653">
      <w:pPr>
        <w:numPr>
          <w:ilvl w:val="0"/>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284" w:hanging="284"/>
      </w:pPr>
      <w:r>
        <w:t>Hypersensitivity</w:t>
      </w:r>
    </w:p>
    <w:p w:rsidR="00734347" w:rsidRDefault="00734347" w:rsidP="005C7653">
      <w:pPr>
        <w:numPr>
          <w:ilvl w:val="0"/>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284" w:hanging="284"/>
      </w:pPr>
      <w:r>
        <w:t>Retinal Vein Occlusion</w:t>
      </w:r>
    </w:p>
    <w:p w:rsidR="00734347" w:rsidRDefault="00734347" w:rsidP="005C7653">
      <w:pPr>
        <w:numPr>
          <w:ilvl w:val="0"/>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284" w:hanging="284"/>
      </w:pPr>
      <w:r>
        <w:t>Uveitis</w:t>
      </w:r>
    </w:p>
    <w:p w:rsidR="00734347" w:rsidRDefault="00734347" w:rsidP="00734347"/>
    <w:p w:rsidR="00734347" w:rsidRDefault="00734347" w:rsidP="00734347">
      <w:r>
        <w:rPr>
          <w:b/>
          <w:i/>
        </w:rPr>
        <w:t>OPR reviewer comment</w:t>
      </w:r>
    </w:p>
    <w:p w:rsidR="00734347" w:rsidRDefault="00734347" w:rsidP="00734347">
      <w:pPr>
        <w:rPr>
          <w:kern w:val="16"/>
          <w:sz w:val="16"/>
          <w:szCs w:val="16"/>
        </w:rPr>
      </w:pPr>
      <w:r>
        <w:t>The above summary of the Ongoing Safety Concerns was considered acceptable.</w:t>
      </w:r>
      <w:r w:rsidR="00FC282A">
        <w:t xml:space="preserve"> </w:t>
      </w:r>
    </w:p>
    <w:p w:rsidR="005A27B0" w:rsidRDefault="00734347" w:rsidP="00734347">
      <w:pPr>
        <w:pStyle w:val="Heading4"/>
        <w:rPr>
          <w:lang w:eastAsia="en-AU"/>
        </w:rPr>
      </w:pPr>
      <w:r>
        <w:rPr>
          <w:lang w:eastAsia="en-AU"/>
        </w:rPr>
        <w:t xml:space="preserve"> </w:t>
      </w:r>
      <w:r w:rsidR="005A27B0">
        <w:rPr>
          <w:lang w:eastAsia="en-AU"/>
        </w:rPr>
        <w:t xml:space="preserve">Pharmacovigilance </w:t>
      </w:r>
      <w:r w:rsidR="006165D4">
        <w:rPr>
          <w:lang w:eastAsia="en-AU"/>
        </w:rPr>
        <w:t>p</w:t>
      </w:r>
      <w:r w:rsidR="005A27B0">
        <w:rPr>
          <w:lang w:eastAsia="en-AU"/>
        </w:rPr>
        <w:t>lan</w:t>
      </w:r>
    </w:p>
    <w:p w:rsidR="00734347" w:rsidRDefault="00734347" w:rsidP="00734347">
      <w:pPr>
        <w:rPr>
          <w:sz w:val="24"/>
          <w:szCs w:val="24"/>
        </w:rPr>
      </w:pPr>
      <w:r>
        <w:t>The sponsor states that routine pharmacovigilance activities that fulfil the requirements of Volume 9A of “The Rules Governing Medicinal Products in the European Union” and “The Guidelines on Monitoring of Compliance with Pharmacovigilance Regulatory Obligations and Pharmacogivilance Inspections for Centrally Authorised Products” will be conducted and include all safety concerns.</w:t>
      </w:r>
    </w:p>
    <w:p w:rsidR="00734347" w:rsidRDefault="00734347" w:rsidP="00734347">
      <w:r>
        <w:t>For the identified risk of cutaneous squamous cell carcinoma and potential risk of non-cutaneous squamous cell carcinoma, Roche will continue to submit reports which summarize SCC events in vemurafenib clinical trials.</w:t>
      </w:r>
      <w:r w:rsidR="00FC282A">
        <w:t xml:space="preserve"> </w:t>
      </w:r>
      <w:r>
        <w:t>This will be semi-annually post registration concurrent with periodic safety update reports (PSURs).</w:t>
      </w:r>
    </w:p>
    <w:p w:rsidR="00734347" w:rsidRDefault="00734347" w:rsidP="00734347">
      <w:r>
        <w:t>Additionally, for the identified risk of cutaneous squamous cell carcinoma, it is proposed that:</w:t>
      </w:r>
    </w:p>
    <w:p w:rsidR="00734347" w:rsidRDefault="00734347" w:rsidP="00734347">
      <w:pPr>
        <w:pStyle w:val="ListBullet"/>
      </w:pPr>
      <w:r>
        <w:t>an epidemiological study titled</w:t>
      </w:r>
      <w:r>
        <w:rPr>
          <w:color w:val="FF0000"/>
        </w:rPr>
        <w:t xml:space="preserve"> </w:t>
      </w:r>
      <w:r>
        <w:t>“Cutaneous Squamous Cell Carcinoma Risk in a Cohort of Kaiser Permanente Northern California Members with Cutaneous Melanoma” will be conducted:</w:t>
      </w:r>
    </w:p>
    <w:p w:rsidR="00734347" w:rsidRDefault="00734347" w:rsidP="005C7653">
      <w:pPr>
        <w:pStyle w:val="ListBullet2"/>
        <w:numPr>
          <w:ilvl w:val="1"/>
          <w:numId w:val="10"/>
        </w:numPr>
      </w:pPr>
      <w:r>
        <w:t>Primary objective:</w:t>
      </w:r>
      <w:r w:rsidR="00FC282A">
        <w:t xml:space="preserve"> </w:t>
      </w:r>
      <w:r>
        <w:t>to examine the incidence of cutaneous SCC among a cohort of Kaiser Permanente of Northern California (KPNC) members diagnosed with melanoma from 1 January 2000 to 31 December 2005.</w:t>
      </w:r>
    </w:p>
    <w:p w:rsidR="00734347" w:rsidRDefault="00734347" w:rsidP="005C7653">
      <w:pPr>
        <w:pStyle w:val="ListBullet2"/>
        <w:numPr>
          <w:ilvl w:val="1"/>
          <w:numId w:val="10"/>
        </w:numPr>
      </w:pPr>
      <w:r>
        <w:lastRenderedPageBreak/>
        <w:t>Secondary objective to examine how co-variates (such as age, gender, ethnicity, tumour characteristics, tumour treatment) impact the outcome of SCC</w:t>
      </w:r>
    </w:p>
    <w:p w:rsidR="00734347" w:rsidRDefault="00734347" w:rsidP="005C7653">
      <w:pPr>
        <w:pStyle w:val="ListBullet2"/>
        <w:numPr>
          <w:ilvl w:val="1"/>
          <w:numId w:val="10"/>
        </w:numPr>
      </w:pPr>
      <w:r>
        <w:t>Study population: adults and children, diagnosed with cutaneous melanoma, health plan members diagnosed with cutaneous melanoma as reported to the Northern California Cancer Registry for the period defined above</w:t>
      </w:r>
    </w:p>
    <w:p w:rsidR="00734347" w:rsidRDefault="00734347" w:rsidP="005C7653">
      <w:pPr>
        <w:pStyle w:val="ListBullet2"/>
        <w:numPr>
          <w:ilvl w:val="1"/>
          <w:numId w:val="10"/>
        </w:numPr>
      </w:pPr>
      <w:r>
        <w:t>Outcome: subsequent SCC</w:t>
      </w:r>
    </w:p>
    <w:p w:rsidR="00734347" w:rsidRDefault="00734347" w:rsidP="005C7653">
      <w:pPr>
        <w:pStyle w:val="ListBullet2"/>
        <w:numPr>
          <w:ilvl w:val="1"/>
          <w:numId w:val="10"/>
        </w:numPr>
      </w:pPr>
      <w:r>
        <w:t>Sample size: approximately 1000-1200 incident of cutaneous melanoma cases (15-20 cases/100,000 members) have been recorded per year in the registry.</w:t>
      </w:r>
    </w:p>
    <w:p w:rsidR="00734347" w:rsidRDefault="00734347" w:rsidP="005C7653">
      <w:pPr>
        <w:pStyle w:val="ListBullet2"/>
        <w:numPr>
          <w:ilvl w:val="1"/>
          <w:numId w:val="10"/>
        </w:numPr>
      </w:pPr>
      <w:r>
        <w:t>Planned end date: December 2011, with data available third quarter 2012.</w:t>
      </w:r>
    </w:p>
    <w:p w:rsidR="00734347" w:rsidRDefault="00734347" w:rsidP="00734347">
      <w:pPr>
        <w:pStyle w:val="ListBullet"/>
      </w:pPr>
      <w:r>
        <w:t>A nonclinical study to further investigate the mechanism of action on development of cutaneous SCC related to VEM treatment:</w:t>
      </w:r>
    </w:p>
    <w:p w:rsidR="00734347" w:rsidRDefault="00734347" w:rsidP="005C7653">
      <w:pPr>
        <w:pStyle w:val="ListBullet2"/>
        <w:numPr>
          <w:ilvl w:val="1"/>
          <w:numId w:val="11"/>
        </w:numPr>
      </w:pPr>
      <w:r>
        <w:t xml:space="preserve">To explore the role of mutated </w:t>
      </w:r>
      <w:r>
        <w:rPr>
          <w:i/>
        </w:rPr>
        <w:t>HRAS</w:t>
      </w:r>
      <w:r>
        <w:t xml:space="preserve"> in contributing to development of cutaneous SCC.</w:t>
      </w:r>
    </w:p>
    <w:p w:rsidR="00734347" w:rsidRDefault="00734347" w:rsidP="005C7653">
      <w:pPr>
        <w:pStyle w:val="ListBullet2"/>
        <w:numPr>
          <w:ilvl w:val="1"/>
          <w:numId w:val="11"/>
        </w:numPr>
      </w:pPr>
      <w:r>
        <w:t xml:space="preserve">Rationale: a substantial portion of cutaneous SCC lesions from patients treated with VEM in clinical trials have </w:t>
      </w:r>
      <w:r>
        <w:rPr>
          <w:i/>
        </w:rPr>
        <w:t>HRAS</w:t>
      </w:r>
      <w:r>
        <w:t xml:space="preserve"> mutations, which might suggest that existing </w:t>
      </w:r>
      <w:r>
        <w:rPr>
          <w:i/>
        </w:rPr>
        <w:t>HRAS</w:t>
      </w:r>
      <w:r>
        <w:t xml:space="preserve"> mutations could predispose to development of cutaneous SCC instead of de novo development caused by VEM treatment. </w:t>
      </w:r>
    </w:p>
    <w:p w:rsidR="00734347" w:rsidRDefault="00734347" w:rsidP="005C7653">
      <w:pPr>
        <w:pStyle w:val="ListBullet2"/>
        <w:numPr>
          <w:ilvl w:val="1"/>
          <w:numId w:val="11"/>
        </w:numPr>
      </w:pPr>
      <w:r>
        <w:t>No protocol will be established as it is a nonclinical exploratory study and results will be reported to Health Authorities.</w:t>
      </w:r>
    </w:p>
    <w:p w:rsidR="00734347" w:rsidRDefault="00734347" w:rsidP="005C7653">
      <w:pPr>
        <w:pStyle w:val="ListBullet2"/>
        <w:numPr>
          <w:ilvl w:val="1"/>
          <w:numId w:val="11"/>
        </w:numPr>
      </w:pPr>
      <w:r>
        <w:t>Anticipated data to be available by end of 2011.</w:t>
      </w:r>
    </w:p>
    <w:p w:rsidR="00734347" w:rsidRDefault="00734347" w:rsidP="00734347">
      <w:pPr>
        <w:pStyle w:val="Heading5"/>
      </w:pPr>
      <w:bookmarkStart w:id="79" w:name="_Toc314470945"/>
      <w:r>
        <w:t>OPR reviewer’s comments in regard to the pharmacovigilance plan (PP) and the appropriateness of milestones</w:t>
      </w:r>
      <w:bookmarkEnd w:id="79"/>
    </w:p>
    <w:p w:rsidR="00734347" w:rsidRDefault="00734347" w:rsidP="00734347">
      <w:pPr>
        <w:rPr>
          <w:sz w:val="24"/>
          <w:szCs w:val="24"/>
        </w:rPr>
      </w:pPr>
      <w:r>
        <w:t xml:space="preserve">The use of routine pharmacovigilance, supplemented by the epidemiological study on cutaneous SCC was considered appropriate given the target population for this medication and the prescribing population. </w:t>
      </w:r>
    </w:p>
    <w:p w:rsidR="005A27B0" w:rsidRDefault="006165D4" w:rsidP="005A27B0">
      <w:pPr>
        <w:pStyle w:val="Heading4"/>
        <w:rPr>
          <w:lang w:eastAsia="en-AU"/>
        </w:rPr>
      </w:pPr>
      <w:r>
        <w:rPr>
          <w:lang w:eastAsia="en-AU"/>
        </w:rPr>
        <w:t>Risk minimisation a</w:t>
      </w:r>
      <w:r w:rsidR="005A27B0">
        <w:rPr>
          <w:lang w:eastAsia="en-AU"/>
        </w:rPr>
        <w:t>ctivities</w:t>
      </w:r>
    </w:p>
    <w:p w:rsidR="00734347" w:rsidRDefault="00734347" w:rsidP="00734347">
      <w:r>
        <w:t>The sponsor states that the risks are adequately described in the prescribing information, and this is adequate to manage the risks.</w:t>
      </w:r>
      <w:r w:rsidRPr="00734347">
        <w:t xml:space="preserve"> </w:t>
      </w:r>
      <w:r>
        <w:t>No additional risk minimisation activities are planned.</w:t>
      </w:r>
    </w:p>
    <w:p w:rsidR="00734347" w:rsidRDefault="00734347" w:rsidP="00734347">
      <w:pPr>
        <w:rPr>
          <w:b/>
          <w:i/>
        </w:rPr>
      </w:pPr>
      <w:r>
        <w:rPr>
          <w:b/>
          <w:i/>
        </w:rPr>
        <w:t>OPR reviewer comment</w:t>
      </w:r>
      <w:r w:rsidR="00FC282A">
        <w:rPr>
          <w:b/>
          <w:i/>
        </w:rPr>
        <w:t xml:space="preserve"> </w:t>
      </w:r>
    </w:p>
    <w:p w:rsidR="00734347" w:rsidRDefault="00734347" w:rsidP="00734347">
      <w:r>
        <w:t>The use of routine activities (PI and CMI) is considered appropriate given the nature of the condition, target of population and prescribing group.</w:t>
      </w:r>
    </w:p>
    <w:p w:rsidR="00734347" w:rsidRDefault="00734347" w:rsidP="00734347">
      <w:r>
        <w:t>In regard to the proposed routine risk minimisation activities, the draft PI and CMI are generally acceptable.</w:t>
      </w:r>
      <w:r w:rsidR="00FC282A">
        <w:t xml:space="preserve"> </w:t>
      </w:r>
      <w:r>
        <w:t xml:space="preserve">However, it is stated in the </w:t>
      </w:r>
      <w:r w:rsidR="001B43F4">
        <w:t xml:space="preserve">current </w:t>
      </w:r>
      <w:r>
        <w:t>submi</w:t>
      </w:r>
      <w:r w:rsidR="001B43F4">
        <w:t>ssion</w:t>
      </w:r>
      <w:r>
        <w:t xml:space="preserve"> that “</w:t>
      </w:r>
      <w:r>
        <w:rPr>
          <w:i/>
        </w:rPr>
        <w:t>no package insert will be provided with this product</w:t>
      </w:r>
      <w:r>
        <w:t>”.</w:t>
      </w:r>
      <w:r w:rsidR="00FC282A">
        <w:t xml:space="preserve"> </w:t>
      </w:r>
      <w:r>
        <w:t>It is unclear if the package insert refers to the Consumer Medic</w:t>
      </w:r>
      <w:r w:rsidR="001B43F4">
        <w:t>ine Information and if so, the s</w:t>
      </w:r>
      <w:r>
        <w:t xml:space="preserve">ponsor will need to assure that the relevant information about the use of the product and associated risks will be appropriately communicated to the consumers as part of the routine risk minimisation strategy. </w:t>
      </w:r>
    </w:p>
    <w:p w:rsidR="00734347" w:rsidRDefault="00734347" w:rsidP="00734347">
      <w:r>
        <w:t>It is noted that there are some discrepancies between some information that is presented in the approved US FDA product label (version 8/2011) and those presented in the proposed Australian PI.</w:t>
      </w:r>
      <w:r w:rsidR="00FC282A">
        <w:t xml:space="preserve"> </w:t>
      </w:r>
      <w:r>
        <w:t xml:space="preserve">Notable safety information and/or adverse reactions that are included in the US FDA product label but </w:t>
      </w:r>
      <w:r w:rsidR="001B43F4">
        <w:t>had</w:t>
      </w:r>
      <w:r>
        <w:t xml:space="preserve"> not </w:t>
      </w:r>
      <w:r w:rsidR="001B43F4">
        <w:t xml:space="preserve">been </w:t>
      </w:r>
      <w:r>
        <w:t>included (or are different) in the proposed Australian PI</w:t>
      </w:r>
      <w:r w:rsidR="001B43F4">
        <w:t xml:space="preserve"> were detailed by the evaluator.</w:t>
      </w:r>
    </w:p>
    <w:p w:rsidR="005A27B0" w:rsidRDefault="006165D4" w:rsidP="0062138B">
      <w:pPr>
        <w:pStyle w:val="Heading4"/>
        <w:keepNext/>
        <w:rPr>
          <w:lang w:eastAsia="en-AU"/>
        </w:rPr>
      </w:pPr>
      <w:r>
        <w:rPr>
          <w:lang w:eastAsia="en-AU"/>
        </w:rPr>
        <w:lastRenderedPageBreak/>
        <w:t>Summary of r</w:t>
      </w:r>
      <w:r w:rsidR="005A27B0">
        <w:rPr>
          <w:lang w:eastAsia="en-AU"/>
        </w:rPr>
        <w:t>ecommendations</w:t>
      </w:r>
    </w:p>
    <w:p w:rsidR="001B43F4" w:rsidRDefault="001B43F4" w:rsidP="0062138B">
      <w:pPr>
        <w:keepNext/>
      </w:pPr>
      <w:r>
        <w:t>In the event that this application is successful, the OPR recommends the implementation of Vemurafenib Risk Management Plan version 1.0, dated May 2011 (both EU and Australian), and any future updates, be included as a condition of registration.</w:t>
      </w:r>
    </w:p>
    <w:p w:rsidR="001B43F4" w:rsidRDefault="001B43F4" w:rsidP="001B43F4">
      <w:r>
        <w:t>If this submission was to be approved, it was also</w:t>
      </w:r>
      <w:r w:rsidR="00301CA8">
        <w:t xml:space="preserve"> </w:t>
      </w:r>
      <w:r>
        <w:t>recommended that the Delegate considers if the sponsor can provide assurance that the proposed routine risk minimisation activity will be implemented in Australia such as the supply of Consumer Medicine Information with the product, to ensure that the relevant information on the use of the product and associated risks is appropriately conveyed to the consumers, as it is stated in the current submission that “</w:t>
      </w:r>
      <w:r>
        <w:rPr>
          <w:i/>
        </w:rPr>
        <w:t>no package insert will be provided with this product</w:t>
      </w:r>
      <w:r>
        <w:t>.</w:t>
      </w:r>
      <w:r w:rsidR="00FC282A">
        <w:t xml:space="preserve"> </w:t>
      </w:r>
    </w:p>
    <w:p w:rsidR="001B43F4" w:rsidRDefault="001B43F4" w:rsidP="001B43F4">
      <w:r>
        <w:t>Discrepancies in the information presented in the approved US FDA product label (revision 8/2011) and those presented in the proposed Australian PI were noted and highlighted to the Delegate.</w:t>
      </w:r>
      <w:r w:rsidR="00FC282A">
        <w:t xml:space="preserve"> </w:t>
      </w:r>
    </w:p>
    <w:p w:rsidR="00116AE6" w:rsidRPr="00792A32" w:rsidRDefault="00EC0739" w:rsidP="00EC0739">
      <w:pPr>
        <w:pStyle w:val="Heading2"/>
      </w:pPr>
      <w:bookmarkStart w:id="80" w:name="_Toc247691527"/>
      <w:bookmarkStart w:id="81" w:name="_Toc345675786"/>
      <w:r>
        <w:t xml:space="preserve">VI. </w:t>
      </w:r>
      <w:r w:rsidR="006165D4">
        <w:t>Overall conclusion and risk/benefit a</w:t>
      </w:r>
      <w:r w:rsidR="00116AE6" w:rsidRPr="00792A32">
        <w:t>ssessment</w:t>
      </w:r>
      <w:bookmarkEnd w:id="74"/>
      <w:bookmarkEnd w:id="80"/>
      <w:bookmarkEnd w:id="81"/>
    </w:p>
    <w:p w:rsidR="00116AE6" w:rsidRDefault="00116AE6" w:rsidP="00116AE6">
      <w:bookmarkStart w:id="82" w:name="_Toc247691528"/>
      <w:r>
        <w:t xml:space="preserve">The submission was summarised in the following </w:t>
      </w:r>
      <w:r w:rsidRPr="00EF5C48">
        <w:t xml:space="preserve">Delegate’s </w:t>
      </w:r>
      <w:r>
        <w:t>overview</w:t>
      </w:r>
      <w:r w:rsidRPr="00EF5C48">
        <w:t xml:space="preserve"> and recommendation</w:t>
      </w:r>
      <w:r>
        <w:t>s:</w:t>
      </w:r>
    </w:p>
    <w:p w:rsidR="00116AE6" w:rsidRDefault="00116AE6" w:rsidP="00116AE6">
      <w:pPr>
        <w:pStyle w:val="Heading3"/>
      </w:pPr>
      <w:bookmarkStart w:id="83" w:name="_Toc345675787"/>
      <w:r>
        <w:t>Quality</w:t>
      </w:r>
      <w:bookmarkEnd w:id="82"/>
      <w:bookmarkEnd w:id="83"/>
    </w:p>
    <w:p w:rsidR="001B43F4" w:rsidRDefault="001B43F4" w:rsidP="00A93E0A">
      <w:pPr>
        <w:pStyle w:val="ListBullet"/>
        <w:rPr>
          <w:szCs w:val="24"/>
        </w:rPr>
      </w:pPr>
      <w:r>
        <w:t>Vemurafenib is a synthetic substance with unstable crystalline forms and more stable but less soluble non-crystalline forms. An optimised MBP formulation is proposed for registration. The lack of an absolute bioavailability study was not adequately justified. Absolute bioavailability is likely to be low and variable because of the drug’s low solubility.</w:t>
      </w:r>
    </w:p>
    <w:p w:rsidR="001B43F4" w:rsidRDefault="001B43F4" w:rsidP="00A93E0A">
      <w:pPr>
        <w:pStyle w:val="ListBullet"/>
        <w:rPr>
          <w:szCs w:val="24"/>
        </w:rPr>
      </w:pPr>
      <w:r>
        <w:t>A study of the effect of food on vemurafenib pharmacokinetics (NP25396) is ongoing. The study report is anticipated in the second quarter of 2012. At present, it is recommended that vemurafenib be taken on an empty stomach (one</w:t>
      </w:r>
      <w:r w:rsidR="00FF2684" w:rsidRPr="00FF2684">
        <w:t xml:space="preserve"> h </w:t>
      </w:r>
      <w:r>
        <w:t>before or 2 h after food).</w:t>
      </w:r>
    </w:p>
    <w:p w:rsidR="001B43F4" w:rsidRDefault="001B43F4" w:rsidP="00A93E0A">
      <w:pPr>
        <w:pStyle w:val="ListBullet"/>
        <w:rPr>
          <w:szCs w:val="24"/>
        </w:rPr>
      </w:pPr>
      <w:r>
        <w:t>The sponsor has been asked to tighten the limit for unspecified impurities in the drug substance. If not tightened or suitably justified, a tighter limit will be considered as a condition of registration.</w:t>
      </w:r>
    </w:p>
    <w:p w:rsidR="001B43F4" w:rsidRDefault="001B43F4" w:rsidP="00A93E0A">
      <w:pPr>
        <w:pStyle w:val="ListBullet"/>
        <w:rPr>
          <w:rFonts w:eastAsia="MS Mincho"/>
          <w:szCs w:val="20"/>
        </w:rPr>
      </w:pPr>
      <w:r>
        <w:t>The application was reviewed at the 142</w:t>
      </w:r>
      <w:r>
        <w:rPr>
          <w:vertAlign w:val="superscript"/>
        </w:rPr>
        <w:t>nd</w:t>
      </w:r>
      <w:r>
        <w:t xml:space="preserve"> meeting of the Pharmaceutical Subcommittee (PSC) on 21 November 2011.</w:t>
      </w:r>
    </w:p>
    <w:p w:rsidR="001B43F4" w:rsidRDefault="001B43F4" w:rsidP="001B43F4">
      <w:pPr>
        <w:widowControl w:val="0"/>
        <w:tabs>
          <w:tab w:val="left" w:pos="-1440"/>
          <w:tab w:val="num" w:pos="567"/>
        </w:tabs>
        <w:snapToGrid w:val="0"/>
        <w:rPr>
          <w:rFonts w:eastAsia="Times New Roman"/>
        </w:rPr>
      </w:pPr>
      <w:r>
        <w:rPr>
          <w:rFonts w:eastAsia="Times New Roman"/>
        </w:rPr>
        <w:t>The quality evaluator supported registration.</w:t>
      </w:r>
    </w:p>
    <w:p w:rsidR="00116AE6" w:rsidRDefault="00116AE6" w:rsidP="00116AE6">
      <w:pPr>
        <w:pStyle w:val="Heading3"/>
      </w:pPr>
      <w:bookmarkStart w:id="84" w:name="_Toc345675788"/>
      <w:r>
        <w:t>Nonclinical</w:t>
      </w:r>
      <w:bookmarkEnd w:id="84"/>
    </w:p>
    <w:p w:rsidR="001B43F4" w:rsidRDefault="001B43F4" w:rsidP="00A93E0A">
      <w:pPr>
        <w:pStyle w:val="ListBullet"/>
        <w:rPr>
          <w:rFonts w:ascii="Times New Roman" w:eastAsia="Times New Roman" w:hAnsi="Times New Roman"/>
        </w:rPr>
      </w:pPr>
      <w:bookmarkStart w:id="85" w:name="_Toc247691530"/>
      <w:r>
        <w:t>Vemurafenib inhibited BRAF V600 mutant kinase activity reducing MAPK/ERK and MEK signalling and inhibiting proliferation of melanoma cells in a mouse model with a human melanoma xenograft. There was also significant inhibition of 18 other kinases. Resistance developed relatively quickly.</w:t>
      </w:r>
    </w:p>
    <w:p w:rsidR="001B43F4" w:rsidRDefault="001B43F4" w:rsidP="00A93E0A">
      <w:pPr>
        <w:pStyle w:val="ListBullet"/>
        <w:rPr>
          <w:rFonts w:eastAsia="Times New Roman"/>
        </w:rPr>
      </w:pPr>
      <w:r>
        <w:t>The full toxicological profile of vemurafenib is unlikely to have been revealed because of subclinical animal exposure. Toxicological findings included potentiation of cutaneous squamous cell carcinoma (SCC), QT prolongation in the electrocardiogram, hepatotoxicity, gastrointestinal disturbance and phototoxicity.</w:t>
      </w:r>
    </w:p>
    <w:p w:rsidR="001B43F4" w:rsidRDefault="001B43F4" w:rsidP="001B43F4">
      <w:pPr>
        <w:widowControl w:val="0"/>
        <w:tabs>
          <w:tab w:val="left" w:pos="-1440"/>
          <w:tab w:val="center" w:pos="4153"/>
          <w:tab w:val="right" w:pos="8306"/>
        </w:tabs>
        <w:snapToGrid w:val="0"/>
        <w:rPr>
          <w:rFonts w:eastAsia="Times New Roman"/>
          <w:szCs w:val="20"/>
        </w:rPr>
      </w:pPr>
      <w:r>
        <w:rPr>
          <w:rFonts w:eastAsia="Times New Roman"/>
          <w:szCs w:val="24"/>
        </w:rPr>
        <w:t>There was insufficient information for the nonclinical evaluator to assess the benefit-risk profile of vemurafenib.</w:t>
      </w:r>
    </w:p>
    <w:p w:rsidR="00116AE6" w:rsidRDefault="00116AE6" w:rsidP="001B43F4">
      <w:pPr>
        <w:pStyle w:val="Heading3"/>
        <w:spacing w:before="240"/>
      </w:pPr>
      <w:bookmarkStart w:id="86" w:name="_Toc345675789"/>
      <w:r>
        <w:lastRenderedPageBreak/>
        <w:t>Clinical</w:t>
      </w:r>
      <w:bookmarkEnd w:id="85"/>
      <w:bookmarkEnd w:id="86"/>
    </w:p>
    <w:p w:rsidR="001B43F4" w:rsidRDefault="001B43F4" w:rsidP="001B43F4">
      <w:pPr>
        <w:pStyle w:val="Heading4"/>
      </w:pPr>
      <w:r>
        <w:t>Pharmacology</w:t>
      </w:r>
    </w:p>
    <w:p w:rsidR="001B43F4" w:rsidRDefault="001B43F4" w:rsidP="005C7653">
      <w:pPr>
        <w:widowControl w:val="0"/>
        <w:numPr>
          <w:ilvl w:val="0"/>
          <w:numId w:val="12"/>
        </w:numPr>
        <w:tabs>
          <w:tab w:val="left" w:pos="-1440"/>
          <w:tab w:val="num" w:pos="567"/>
        </w:tabs>
        <w:snapToGrid w:val="0"/>
        <w:spacing w:after="0" w:line="240" w:lineRule="auto"/>
        <w:ind w:left="567" w:hanging="425"/>
        <w:rPr>
          <w:rFonts w:ascii="Times New Roman" w:eastAsia="Times New Roman" w:hAnsi="Times New Roman"/>
        </w:rPr>
      </w:pPr>
      <w:r>
        <w:rPr>
          <w:rFonts w:eastAsia="Times New Roman"/>
        </w:rPr>
        <w:t xml:space="preserve">The maximum tolerated dose of the MBP formulation of vemurafenib was 960 mg bd (Study PLX06-02; </w:t>
      </w:r>
      <w:r>
        <w:rPr>
          <w:rFonts w:eastAsia="Times New Roman"/>
          <w:i/>
        </w:rPr>
        <w:t>Clinical Evaluation</w:t>
      </w:r>
      <w:r>
        <w:rPr>
          <w:rFonts w:eastAsia="Times New Roman"/>
        </w:rPr>
        <w:t xml:space="preserve"> (CE) summarised under </w:t>
      </w:r>
      <w:r w:rsidRPr="001B43F4">
        <w:rPr>
          <w:rFonts w:eastAsia="Times New Roman"/>
          <w:i/>
        </w:rPr>
        <w:t>Clinical Findings</w:t>
      </w:r>
      <w:r>
        <w:rPr>
          <w:rFonts w:eastAsia="Times New Roman"/>
        </w:rPr>
        <w:t xml:space="preserve"> in this AusPAR). This was the dose used in the efficacy studies. Dose limiting toxicities were Grade 3 rash and fatigue.</w:t>
      </w:r>
    </w:p>
    <w:p w:rsidR="001B43F4" w:rsidRDefault="001B43F4" w:rsidP="005C7653">
      <w:pPr>
        <w:widowControl w:val="0"/>
        <w:numPr>
          <w:ilvl w:val="0"/>
          <w:numId w:val="12"/>
        </w:numPr>
        <w:tabs>
          <w:tab w:val="left" w:pos="-1440"/>
          <w:tab w:val="num" w:pos="567"/>
        </w:tabs>
        <w:snapToGrid w:val="0"/>
        <w:spacing w:after="0" w:line="240" w:lineRule="auto"/>
        <w:ind w:left="567" w:hanging="425"/>
        <w:rPr>
          <w:rFonts w:eastAsia="Times New Roman"/>
        </w:rPr>
      </w:pPr>
      <w:r>
        <w:rPr>
          <w:rFonts w:eastAsia="Times New Roman"/>
        </w:rPr>
        <w:t>The pharmacokinetic Study NP25163 showed linear pharmacokinetics over the dose range 240 to 960 mg bd. In the 960 mg bd cohort (n=16), the median time to maximum vemurafenib plasma concentration was 5 h, range 2-8 h on the first day of dosing. Steady-state plasma concentrations were reached after about 15 days.</w:t>
      </w:r>
    </w:p>
    <w:p w:rsidR="001B43F4" w:rsidRDefault="001B43F4" w:rsidP="005C7653">
      <w:pPr>
        <w:widowControl w:val="0"/>
        <w:numPr>
          <w:ilvl w:val="0"/>
          <w:numId w:val="12"/>
        </w:numPr>
        <w:tabs>
          <w:tab w:val="left" w:pos="-1440"/>
          <w:tab w:val="num" w:pos="567"/>
        </w:tabs>
        <w:snapToGrid w:val="0"/>
        <w:spacing w:after="0" w:line="240" w:lineRule="auto"/>
        <w:ind w:left="567" w:hanging="425"/>
        <w:rPr>
          <w:rFonts w:eastAsia="Times New Roman"/>
        </w:rPr>
      </w:pPr>
      <w:r>
        <w:rPr>
          <w:rFonts w:eastAsia="Times New Roman"/>
        </w:rPr>
        <w:t>With 920 mg bd oral dosing, there was marked accumulation of vemurafenib over the dose interval. In a population pharmacokinetic analysis of three studies (the pharmacokinetic study NP25163, a Phase II efficacy Study NP22657 and a Phase III efficacy Sstudy NO25026) in 458 metastatic melanoma patients, the median accumulation factor was 6.7. There was considerable variability between patients. Food intake was not controlled. The estimated volume of distribution of vemurafenib was 91 L and the plasma clearance 29 L/day. Median plasma elimination half life was 57 h.</w:t>
      </w:r>
    </w:p>
    <w:p w:rsidR="001B43F4" w:rsidRDefault="001B43F4" w:rsidP="005C7653">
      <w:pPr>
        <w:widowControl w:val="0"/>
        <w:numPr>
          <w:ilvl w:val="0"/>
          <w:numId w:val="12"/>
        </w:numPr>
        <w:tabs>
          <w:tab w:val="left" w:pos="-1440"/>
          <w:tab w:val="num" w:pos="567"/>
        </w:tabs>
        <w:snapToGrid w:val="0"/>
        <w:spacing w:after="0" w:line="240" w:lineRule="auto"/>
        <w:ind w:left="567" w:hanging="425"/>
        <w:rPr>
          <w:rFonts w:eastAsia="Times New Roman"/>
        </w:rPr>
      </w:pPr>
      <w:r>
        <w:rPr>
          <w:rFonts w:eastAsia="Times New Roman"/>
        </w:rPr>
        <w:t>In a mass balance study in six metastatic melanoma patients (NP25158), vemurafenib was eliminated primarily by the liver and excreted in faeces mostly as unchanged drug. Less than 1% was excreted in urine.</w:t>
      </w:r>
    </w:p>
    <w:p w:rsidR="001B43F4" w:rsidRDefault="001B43F4" w:rsidP="005C7653">
      <w:pPr>
        <w:widowControl w:val="0"/>
        <w:numPr>
          <w:ilvl w:val="0"/>
          <w:numId w:val="12"/>
        </w:numPr>
        <w:tabs>
          <w:tab w:val="left" w:pos="-1440"/>
          <w:tab w:val="num" w:pos="567"/>
        </w:tabs>
        <w:snapToGrid w:val="0"/>
        <w:spacing w:after="0" w:line="240" w:lineRule="auto"/>
        <w:ind w:left="567" w:hanging="425"/>
        <w:rPr>
          <w:rFonts w:eastAsia="Times New Roman"/>
        </w:rPr>
      </w:pPr>
      <w:r>
        <w:rPr>
          <w:rFonts w:eastAsia="Times New Roman"/>
        </w:rPr>
        <w:t>Vemurafenib exposure is likely to be increased in patients with hepatic impairment. There was no study in these patients. The USA has required a study as a post market commitment.</w:t>
      </w:r>
    </w:p>
    <w:p w:rsidR="001B43F4" w:rsidRDefault="001B43F4" w:rsidP="005C7653">
      <w:pPr>
        <w:widowControl w:val="0"/>
        <w:numPr>
          <w:ilvl w:val="0"/>
          <w:numId w:val="12"/>
        </w:numPr>
        <w:tabs>
          <w:tab w:val="left" w:pos="-1440"/>
          <w:tab w:val="num" w:pos="567"/>
        </w:tabs>
        <w:snapToGrid w:val="0"/>
        <w:spacing w:after="0" w:line="240" w:lineRule="auto"/>
        <w:ind w:left="567" w:hanging="425"/>
        <w:rPr>
          <w:rFonts w:eastAsia="Times New Roman"/>
        </w:rPr>
      </w:pPr>
      <w:r>
        <w:rPr>
          <w:rFonts w:eastAsia="Times New Roman"/>
        </w:rPr>
        <w:t>The effect of vemurafenib on five CYP450 substrates was assessed in Study NP22676 in metastatic melanoma patients (n=20). Vemurafenib significantly increased caffeine exposure (CYP1A2 substrate) and significantly reduced midazolam exposure (CYP3A4 substrate). Hence, vemurafenib inhibits CYP1A2 and induces CYP3A4. Whilst there was no significant impact on warfarin exposure, caution is recommended when vemurafenib is administered with warfarin since warfarin exposure increased in some patients .</w:t>
      </w:r>
    </w:p>
    <w:p w:rsidR="001B43F4" w:rsidRDefault="001B43F4" w:rsidP="005C7653">
      <w:pPr>
        <w:widowControl w:val="0"/>
        <w:numPr>
          <w:ilvl w:val="0"/>
          <w:numId w:val="12"/>
        </w:numPr>
        <w:tabs>
          <w:tab w:val="left" w:pos="-1440"/>
          <w:tab w:val="num" w:pos="567"/>
        </w:tabs>
        <w:snapToGrid w:val="0"/>
        <w:spacing w:after="0" w:line="240" w:lineRule="auto"/>
        <w:ind w:left="567" w:hanging="425"/>
        <w:rPr>
          <w:rFonts w:eastAsia="Times New Roman"/>
        </w:rPr>
      </w:pPr>
      <w:r>
        <w:rPr>
          <w:rFonts w:eastAsia="Times New Roman"/>
        </w:rPr>
        <w:t>In a sub-study of the Phase II efficacy Study NP22657 (n=132), vemurafenib 960 mg bd prolonged the ECG QTc interval by a mean 12-15 ms. QTc exceeded 500 ms in two patients (1.5%) and QTc change exceeded 60 ms in one patient (0.8%).</w:t>
      </w:r>
    </w:p>
    <w:p w:rsidR="001B43F4" w:rsidRDefault="001B43F4" w:rsidP="001B43F4">
      <w:pPr>
        <w:widowControl w:val="0"/>
        <w:tabs>
          <w:tab w:val="left" w:pos="-1440"/>
          <w:tab w:val="num" w:pos="567"/>
        </w:tabs>
        <w:snapToGrid w:val="0"/>
        <w:rPr>
          <w:rFonts w:ascii="Arial" w:eastAsia="Times New Roman" w:hAnsi="Arial" w:cs="Arial"/>
          <w:b/>
        </w:rPr>
      </w:pPr>
    </w:p>
    <w:p w:rsidR="001B43F4" w:rsidRDefault="001B43F4" w:rsidP="001B43F4">
      <w:pPr>
        <w:widowControl w:val="0"/>
        <w:tabs>
          <w:tab w:val="left" w:pos="-1440"/>
          <w:tab w:val="num" w:pos="567"/>
        </w:tabs>
        <w:snapToGrid w:val="0"/>
        <w:rPr>
          <w:rFonts w:ascii="Arial" w:eastAsia="Times New Roman" w:hAnsi="Arial" w:cs="Arial"/>
          <w:b/>
        </w:rPr>
      </w:pPr>
      <w:r>
        <w:rPr>
          <w:rFonts w:ascii="Arial" w:eastAsia="Times New Roman" w:hAnsi="Arial" w:cs="Arial"/>
          <w:b/>
        </w:rPr>
        <w:t>Efficacy</w:t>
      </w:r>
    </w:p>
    <w:p w:rsidR="001B43F4" w:rsidRPr="00A93E0A" w:rsidRDefault="001B43F4" w:rsidP="005C7653">
      <w:pPr>
        <w:widowControl w:val="0"/>
        <w:numPr>
          <w:ilvl w:val="0"/>
          <w:numId w:val="12"/>
        </w:numPr>
        <w:tabs>
          <w:tab w:val="left" w:pos="-1440"/>
          <w:tab w:val="num" w:pos="567"/>
        </w:tabs>
        <w:snapToGrid w:val="0"/>
        <w:spacing w:after="0" w:line="240" w:lineRule="auto"/>
        <w:ind w:left="567" w:hanging="425"/>
        <w:rPr>
          <w:rFonts w:eastAsia="Times New Roman"/>
        </w:rPr>
      </w:pPr>
      <w:r w:rsidRPr="00A93E0A">
        <w:rPr>
          <w:rFonts w:eastAsia="Times New Roman"/>
        </w:rPr>
        <w:t xml:space="preserve">The efficacy of vemurafenib in BRAF V600E mutation-positive advanced melanoma was assessed in three trials, a controlled trial in </w:t>
      </w:r>
      <w:r w:rsidR="00A93E0A" w:rsidRPr="00A93E0A">
        <w:rPr>
          <w:rFonts w:eastAsia="Times New Roman"/>
        </w:rPr>
        <w:t xml:space="preserve">first </w:t>
      </w:r>
      <w:r w:rsidRPr="00A93E0A">
        <w:rPr>
          <w:rFonts w:eastAsia="Times New Roman"/>
        </w:rPr>
        <w:t xml:space="preserve">line patients (NO25026), an uncontrolled trial in </w:t>
      </w:r>
      <w:r w:rsidR="00A93E0A" w:rsidRPr="00A93E0A">
        <w:rPr>
          <w:rFonts w:eastAsia="Times New Roman"/>
        </w:rPr>
        <w:t xml:space="preserve">second </w:t>
      </w:r>
      <w:r w:rsidRPr="00A93E0A">
        <w:rPr>
          <w:rFonts w:eastAsia="Times New Roman"/>
        </w:rPr>
        <w:t xml:space="preserve">line patients (NP22657) and an uncontrolled trial in </w:t>
      </w:r>
      <w:r w:rsidR="00A93E0A" w:rsidRPr="00A93E0A">
        <w:rPr>
          <w:rFonts w:eastAsia="Times New Roman"/>
        </w:rPr>
        <w:t xml:space="preserve">first </w:t>
      </w:r>
      <w:r w:rsidRPr="00A93E0A">
        <w:rPr>
          <w:rFonts w:eastAsia="Times New Roman"/>
        </w:rPr>
        <w:t xml:space="preserve">and </w:t>
      </w:r>
      <w:r w:rsidR="00A93E0A" w:rsidRPr="00A93E0A">
        <w:rPr>
          <w:rFonts w:eastAsia="Times New Roman"/>
        </w:rPr>
        <w:t xml:space="preserve">second </w:t>
      </w:r>
      <w:r w:rsidRPr="00A93E0A">
        <w:rPr>
          <w:rFonts w:eastAsia="Times New Roman"/>
        </w:rPr>
        <w:t xml:space="preserve">line patients PLX06-02 (melanoma extension cohort). The mutation was detected using the cobas 4800 BRAF V600 Mutation Test in trials NO25026 and NP22657 and an early prototype test in </w:t>
      </w:r>
      <w:r w:rsidR="00A93E0A">
        <w:rPr>
          <w:rFonts w:eastAsia="Times New Roman"/>
        </w:rPr>
        <w:t>Study</w:t>
      </w:r>
      <w:r w:rsidRPr="00A93E0A">
        <w:rPr>
          <w:rFonts w:eastAsia="Times New Roman"/>
        </w:rPr>
        <w:t xml:space="preserve"> PLX06-02. The test was designed to detect the V600E mutation with high sensitivity. The test was also positive in the presence of some other V600 mutations; however, the validity of the test for detecting other V600 mutations was not assessed (</w:t>
      </w:r>
      <w:r w:rsidR="00A93E0A" w:rsidRPr="00A93E0A">
        <w:rPr>
          <w:rFonts w:eastAsia="Times New Roman"/>
        </w:rPr>
        <w:t>sponsor’s</w:t>
      </w:r>
      <w:r w:rsidRPr="00A93E0A">
        <w:rPr>
          <w:rFonts w:eastAsia="Times New Roman"/>
          <w:i/>
        </w:rPr>
        <w:t xml:space="preserve"> Clinical Overview</w:t>
      </w:r>
      <w:r w:rsidRPr="00A93E0A">
        <w:rPr>
          <w:rFonts w:eastAsia="Times New Roman"/>
        </w:rPr>
        <w:t>).</w:t>
      </w:r>
    </w:p>
    <w:p w:rsidR="001B43F4" w:rsidRPr="00A93E0A" w:rsidRDefault="00A93E0A" w:rsidP="005C7653">
      <w:pPr>
        <w:widowControl w:val="0"/>
        <w:numPr>
          <w:ilvl w:val="0"/>
          <w:numId w:val="12"/>
        </w:numPr>
        <w:tabs>
          <w:tab w:val="left" w:pos="-1440"/>
          <w:tab w:val="num" w:pos="567"/>
        </w:tabs>
        <w:snapToGrid w:val="0"/>
        <w:spacing w:after="0" w:line="240" w:lineRule="auto"/>
        <w:ind w:left="567" w:hanging="425"/>
        <w:rPr>
          <w:rFonts w:eastAsia="Times New Roman"/>
        </w:rPr>
      </w:pPr>
      <w:r>
        <w:rPr>
          <w:rFonts w:eastAsia="Times New Roman"/>
        </w:rPr>
        <w:t>Study</w:t>
      </w:r>
      <w:r w:rsidR="001B43F4" w:rsidRPr="00A93E0A">
        <w:rPr>
          <w:rFonts w:eastAsia="Times New Roman"/>
        </w:rPr>
        <w:t xml:space="preserve"> NO25026 was a randomised, open</w:t>
      </w:r>
      <w:r w:rsidRPr="00A93E0A">
        <w:rPr>
          <w:rFonts w:eastAsia="Times New Roman"/>
        </w:rPr>
        <w:t xml:space="preserve"> </w:t>
      </w:r>
      <w:r w:rsidR="001B43F4" w:rsidRPr="00A93E0A">
        <w:rPr>
          <w:rFonts w:eastAsia="Times New Roman"/>
        </w:rPr>
        <w:t xml:space="preserve">label trial in previously untreated patients with BRAF V600E mutation-positive unresectable </w:t>
      </w:r>
      <w:r w:rsidRPr="00A93E0A">
        <w:rPr>
          <w:rFonts w:eastAsia="Times New Roman"/>
        </w:rPr>
        <w:t>S</w:t>
      </w:r>
      <w:r w:rsidR="001B43F4" w:rsidRPr="00A93E0A">
        <w:rPr>
          <w:rFonts w:eastAsia="Times New Roman"/>
        </w:rPr>
        <w:t xml:space="preserve">tage IIIC or </w:t>
      </w:r>
      <w:r w:rsidRPr="00A93E0A">
        <w:rPr>
          <w:rFonts w:eastAsia="Times New Roman"/>
        </w:rPr>
        <w:t>S</w:t>
      </w:r>
      <w:r w:rsidR="001B43F4" w:rsidRPr="00A93E0A">
        <w:rPr>
          <w:rFonts w:eastAsia="Times New Roman"/>
        </w:rPr>
        <w:t xml:space="preserve">tage IV melanoma. The trial was multinational including Australia. Patients received either vemurafenib (Zelboraf) tablets 960 mg bd (n=337) or </w:t>
      </w:r>
      <w:r w:rsidR="001B43F4" w:rsidRPr="00EE5BAF">
        <w:rPr>
          <w:rFonts w:eastAsia="Times New Roman"/>
        </w:rPr>
        <w:t>dacarbazine IV 1,000 mg/m</w:t>
      </w:r>
      <w:r w:rsidR="001B43F4" w:rsidRPr="00EE5BAF">
        <w:rPr>
          <w:rFonts w:eastAsia="Times New Roman"/>
          <w:vertAlign w:val="superscript"/>
        </w:rPr>
        <w:t>2</w:t>
      </w:r>
      <w:r w:rsidR="001B43F4" w:rsidRPr="00EE5BAF">
        <w:rPr>
          <w:rFonts w:eastAsia="Times New Roman"/>
        </w:rPr>
        <w:t xml:space="preserve"> every 3 weeks (n=338). The comparator is a recognised standard treatment (</w:t>
      </w:r>
      <w:r w:rsidR="001B43F4" w:rsidRPr="00EE5BAF">
        <w:rPr>
          <w:rFonts w:eastAsia="Times New Roman"/>
          <w:i/>
        </w:rPr>
        <w:t xml:space="preserve">Cancer </w:t>
      </w:r>
      <w:r w:rsidR="001B43F4" w:rsidRPr="00EE5BAF">
        <w:rPr>
          <w:rFonts w:eastAsia="Times New Roman"/>
          <w:i/>
        </w:rPr>
        <w:lastRenderedPageBreak/>
        <w:t>Institute NSW</w:t>
      </w:r>
      <w:r w:rsidR="001B43F4" w:rsidRPr="00EE5BAF">
        <w:rPr>
          <w:rFonts w:eastAsia="Times New Roman"/>
        </w:rPr>
        <w:t>). The median age of vemurafenib subjects was 56 years (range 21-86) and dacarbazine subjects 53 years (range 17-86). ECOG performance</w:t>
      </w:r>
      <w:r w:rsidR="001B43F4" w:rsidRPr="00A93E0A">
        <w:rPr>
          <w:rFonts w:eastAsia="Times New Roman"/>
        </w:rPr>
        <w:t xml:space="preserve"> status was 0 or 1. Treatment was continued until disease progression. The median (range) follow-up was 3.8 months (0.3-10.8) with vemurafenib and 2.3 months (0.1-10.3) with dacarbazine. There were two primary endpoints, overall survival and progression-free survival.</w:t>
      </w:r>
    </w:p>
    <w:p w:rsidR="001B43F4" w:rsidRDefault="001B43F4" w:rsidP="005C7653">
      <w:pPr>
        <w:widowControl w:val="0"/>
        <w:numPr>
          <w:ilvl w:val="0"/>
          <w:numId w:val="12"/>
        </w:numPr>
        <w:tabs>
          <w:tab w:val="left" w:pos="-1440"/>
          <w:tab w:val="num" w:pos="567"/>
        </w:tabs>
        <w:snapToGrid w:val="0"/>
        <w:spacing w:after="0" w:line="240" w:lineRule="auto"/>
        <w:ind w:left="567" w:hanging="425"/>
        <w:rPr>
          <w:rFonts w:eastAsia="Times New Roman"/>
        </w:rPr>
      </w:pPr>
      <w:r>
        <w:rPr>
          <w:rFonts w:eastAsia="Times New Roman"/>
        </w:rPr>
        <w:t xml:space="preserve">Vemurafenib significantly increased overall survival and progression-free survival compared with </w:t>
      </w:r>
      <w:r w:rsidRPr="009A3DAC">
        <w:rPr>
          <w:rFonts w:eastAsia="Times New Roman"/>
        </w:rPr>
        <w:t xml:space="preserve">dacarbazine (Table </w:t>
      </w:r>
      <w:r w:rsidR="009A3DAC" w:rsidRPr="009A3DAC">
        <w:rPr>
          <w:rFonts w:eastAsia="Times New Roman"/>
        </w:rPr>
        <w:t>29</w:t>
      </w:r>
      <w:r w:rsidRPr="009A3DAC">
        <w:rPr>
          <w:rFonts w:eastAsia="Times New Roman"/>
        </w:rPr>
        <w:t>). Best overall</w:t>
      </w:r>
      <w:r>
        <w:rPr>
          <w:rFonts w:eastAsia="Times New Roman"/>
        </w:rPr>
        <w:t xml:space="preserve"> response rate was also signifi</w:t>
      </w:r>
      <w:r w:rsidR="00A93E0A">
        <w:rPr>
          <w:rFonts w:eastAsia="Times New Roman"/>
        </w:rPr>
        <w:t>cantly better with vemurafenib</w:t>
      </w:r>
      <w:r>
        <w:rPr>
          <w:rFonts w:eastAsia="Times New Roman"/>
        </w:rPr>
        <w:t>.</w:t>
      </w:r>
    </w:p>
    <w:p w:rsidR="001B43F4" w:rsidRDefault="001B43F4" w:rsidP="001B43F4">
      <w:pPr>
        <w:widowControl w:val="0"/>
        <w:tabs>
          <w:tab w:val="left" w:pos="-1440"/>
          <w:tab w:val="num" w:pos="567"/>
        </w:tabs>
        <w:snapToGrid w:val="0"/>
        <w:ind w:left="567"/>
        <w:jc w:val="center"/>
        <w:rPr>
          <w:rFonts w:eastAsia="Times New Roman"/>
        </w:rPr>
      </w:pPr>
    </w:p>
    <w:p w:rsidR="001B43F4" w:rsidRDefault="001B43F4" w:rsidP="00A93E0A">
      <w:pPr>
        <w:pStyle w:val="FigureTitle"/>
        <w:rPr>
          <w:i/>
        </w:rPr>
      </w:pPr>
      <w:r>
        <w:t xml:space="preserve">Table </w:t>
      </w:r>
      <w:r w:rsidR="009A3DAC">
        <w:t>29</w:t>
      </w:r>
      <w:r>
        <w:t>. Efficacy in previously untreated unresectable BRAF V600E mutation-positive stage IIIC or IV melanoma (</w:t>
      </w:r>
      <w:r w:rsidR="00A93E0A">
        <w:t>Study</w:t>
      </w:r>
      <w:r>
        <w:t xml:space="preserve"> NO25026) – </w:t>
      </w:r>
      <w:r>
        <w:rPr>
          <w:i/>
        </w:rPr>
        <w:t>intent-to-treat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2051"/>
        <w:gridCol w:w="1945"/>
        <w:gridCol w:w="2030"/>
      </w:tblGrid>
      <w:tr w:rsidR="001B43F4" w:rsidRPr="001B43F4" w:rsidTr="00A93E0A">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tcPr>
          <w:p w:rsidR="001B43F4" w:rsidRPr="00A93E0A" w:rsidRDefault="001B43F4" w:rsidP="001B43F4">
            <w:pPr>
              <w:widowControl w:val="0"/>
              <w:tabs>
                <w:tab w:val="left" w:pos="-1440"/>
                <w:tab w:val="num" w:pos="567"/>
              </w:tabs>
              <w:snapToGrid w:val="0"/>
              <w:rPr>
                <w:rFonts w:ascii="Times New Roman" w:eastAsia="Times New Roman" w:hAnsi="Times New Roman"/>
                <w:b/>
                <w:color w:val="FFFFFF" w:themeColor="background1"/>
                <w:sz w:val="20"/>
                <w:szCs w:val="20"/>
              </w:rPr>
            </w:pP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1B43F4" w:rsidRPr="005B75BE" w:rsidRDefault="008305A0" w:rsidP="001B43F4">
            <w:pPr>
              <w:jc w:val="center"/>
              <w:rPr>
                <w:rFonts w:ascii="Times New Roman" w:eastAsia="Times New Roman" w:hAnsi="Times New Roman"/>
                <w:b/>
                <w:color w:val="FFFFFF" w:themeColor="background1"/>
                <w:sz w:val="20"/>
                <w:szCs w:val="20"/>
                <w:lang w:val="de-CH"/>
              </w:rPr>
            </w:pPr>
            <w:r w:rsidRPr="008305A0">
              <w:rPr>
                <w:rFonts w:eastAsia="Times New Roman"/>
                <w:b/>
                <w:color w:val="FFFFFF" w:themeColor="background1"/>
                <w:sz w:val="20"/>
                <w:szCs w:val="20"/>
                <w:lang w:val="de-CH"/>
              </w:rPr>
              <w:t>Vemurafenib</w:t>
            </w:r>
          </w:p>
          <w:p w:rsidR="001B43F4" w:rsidRPr="005B75BE" w:rsidRDefault="008305A0" w:rsidP="001B43F4">
            <w:pPr>
              <w:jc w:val="center"/>
              <w:rPr>
                <w:rFonts w:eastAsia="Times New Roman"/>
                <w:b/>
                <w:color w:val="FFFFFF" w:themeColor="background1"/>
                <w:sz w:val="20"/>
                <w:szCs w:val="20"/>
                <w:lang w:val="de-CH"/>
              </w:rPr>
            </w:pPr>
            <w:r w:rsidRPr="008305A0">
              <w:rPr>
                <w:rFonts w:eastAsia="Times New Roman"/>
                <w:b/>
                <w:color w:val="FFFFFF" w:themeColor="background1"/>
                <w:sz w:val="20"/>
                <w:szCs w:val="20"/>
                <w:lang w:val="de-CH"/>
              </w:rPr>
              <w:t>960 mg bd po</w:t>
            </w:r>
          </w:p>
          <w:p w:rsidR="001B43F4" w:rsidRPr="005B75BE" w:rsidRDefault="008305A0" w:rsidP="001B43F4">
            <w:pPr>
              <w:widowControl w:val="0"/>
              <w:tabs>
                <w:tab w:val="left" w:pos="-1440"/>
                <w:tab w:val="num" w:pos="567"/>
              </w:tabs>
              <w:snapToGrid w:val="0"/>
              <w:jc w:val="center"/>
              <w:rPr>
                <w:rFonts w:ascii="Times New Roman" w:eastAsia="Times New Roman" w:hAnsi="Times New Roman"/>
                <w:b/>
                <w:color w:val="FFFFFF" w:themeColor="background1"/>
                <w:sz w:val="20"/>
                <w:szCs w:val="20"/>
                <w:lang w:val="de-CH"/>
              </w:rPr>
            </w:pPr>
            <w:r w:rsidRPr="008305A0">
              <w:rPr>
                <w:rFonts w:eastAsia="Times New Roman"/>
                <w:b/>
                <w:color w:val="FFFFFF" w:themeColor="background1"/>
                <w:sz w:val="20"/>
                <w:szCs w:val="20"/>
                <w:lang w:val="de-CH"/>
              </w:rPr>
              <w:t>n=337</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1B43F4" w:rsidRPr="00A93E0A" w:rsidRDefault="001B43F4" w:rsidP="001B43F4">
            <w:pPr>
              <w:widowControl w:val="0"/>
              <w:tabs>
                <w:tab w:val="left" w:pos="-1440"/>
              </w:tabs>
              <w:snapToGrid w:val="0"/>
              <w:ind w:left="-108"/>
              <w:jc w:val="center"/>
              <w:rPr>
                <w:rFonts w:ascii="Times New Roman" w:eastAsia="Times New Roman" w:hAnsi="Times New Roman"/>
                <w:b/>
                <w:color w:val="FFFFFF" w:themeColor="background1"/>
                <w:sz w:val="20"/>
                <w:szCs w:val="20"/>
              </w:rPr>
            </w:pPr>
            <w:r w:rsidRPr="00A93E0A">
              <w:rPr>
                <w:rFonts w:eastAsia="Times New Roman"/>
                <w:b/>
                <w:color w:val="FFFFFF" w:themeColor="background1"/>
                <w:sz w:val="20"/>
                <w:szCs w:val="20"/>
              </w:rPr>
              <w:t>Dacarbazine</w:t>
            </w:r>
          </w:p>
          <w:p w:rsidR="001B43F4" w:rsidRPr="00A93E0A" w:rsidRDefault="001B43F4" w:rsidP="001B43F4">
            <w:pPr>
              <w:widowControl w:val="0"/>
              <w:tabs>
                <w:tab w:val="left" w:pos="-1440"/>
              </w:tabs>
              <w:snapToGrid w:val="0"/>
              <w:ind w:left="-108"/>
              <w:jc w:val="center"/>
              <w:rPr>
                <w:rFonts w:eastAsia="Times New Roman"/>
                <w:b/>
                <w:color w:val="FFFFFF" w:themeColor="background1"/>
                <w:sz w:val="20"/>
                <w:szCs w:val="20"/>
              </w:rPr>
            </w:pPr>
            <w:r w:rsidRPr="00A93E0A">
              <w:rPr>
                <w:rFonts w:eastAsia="Times New Roman"/>
                <w:b/>
                <w:color w:val="FFFFFF" w:themeColor="background1"/>
                <w:sz w:val="20"/>
                <w:szCs w:val="20"/>
              </w:rPr>
              <w:t>1,000 mg/m</w:t>
            </w:r>
            <w:r w:rsidRPr="00A93E0A">
              <w:rPr>
                <w:rFonts w:eastAsia="Times New Roman"/>
                <w:b/>
                <w:color w:val="FFFFFF" w:themeColor="background1"/>
                <w:sz w:val="20"/>
                <w:szCs w:val="20"/>
                <w:vertAlign w:val="superscript"/>
              </w:rPr>
              <w:t>2</w:t>
            </w:r>
            <w:r w:rsidRPr="00A93E0A">
              <w:rPr>
                <w:rFonts w:eastAsia="Times New Roman"/>
                <w:b/>
                <w:color w:val="FFFFFF" w:themeColor="background1"/>
                <w:sz w:val="20"/>
                <w:szCs w:val="20"/>
              </w:rPr>
              <w:t xml:space="preserve"> q3w </w:t>
            </w:r>
            <w:r w:rsidRPr="00A93E0A">
              <w:rPr>
                <w:rFonts w:eastAsia="Times New Roman"/>
                <w:b/>
                <w:i/>
                <w:color w:val="FFFFFF" w:themeColor="background1"/>
                <w:sz w:val="20"/>
                <w:szCs w:val="20"/>
              </w:rPr>
              <w:t>iv</w:t>
            </w:r>
          </w:p>
          <w:p w:rsidR="001B43F4" w:rsidRPr="00A93E0A" w:rsidRDefault="001B43F4" w:rsidP="001B43F4">
            <w:pPr>
              <w:widowControl w:val="0"/>
              <w:tabs>
                <w:tab w:val="left" w:pos="-1440"/>
                <w:tab w:val="num" w:pos="567"/>
              </w:tabs>
              <w:snapToGrid w:val="0"/>
              <w:jc w:val="center"/>
              <w:rPr>
                <w:rFonts w:ascii="Times New Roman" w:eastAsia="Times New Roman" w:hAnsi="Times New Roman"/>
                <w:b/>
                <w:color w:val="FFFFFF" w:themeColor="background1"/>
                <w:sz w:val="20"/>
                <w:szCs w:val="20"/>
              </w:rPr>
            </w:pPr>
            <w:r w:rsidRPr="00A93E0A">
              <w:rPr>
                <w:rFonts w:eastAsia="Times New Roman"/>
                <w:b/>
                <w:i/>
                <w:color w:val="FFFFFF" w:themeColor="background1"/>
                <w:sz w:val="20"/>
                <w:szCs w:val="20"/>
              </w:rPr>
              <w:t>n=338</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1B43F4" w:rsidRPr="00A93E0A" w:rsidRDefault="001B43F4" w:rsidP="001B43F4">
            <w:pPr>
              <w:widowControl w:val="0"/>
              <w:tabs>
                <w:tab w:val="left" w:pos="-1440"/>
                <w:tab w:val="num" w:pos="567"/>
              </w:tabs>
              <w:snapToGrid w:val="0"/>
              <w:ind w:left="567" w:hanging="425"/>
              <w:jc w:val="center"/>
              <w:rPr>
                <w:rFonts w:ascii="Times New Roman" w:eastAsia="Times New Roman" w:hAnsi="Times New Roman"/>
                <w:b/>
                <w:color w:val="FFFFFF" w:themeColor="background1"/>
                <w:sz w:val="20"/>
                <w:szCs w:val="20"/>
              </w:rPr>
            </w:pPr>
            <w:r w:rsidRPr="00A93E0A">
              <w:rPr>
                <w:rFonts w:eastAsia="Times New Roman"/>
                <w:b/>
                <w:color w:val="FFFFFF" w:themeColor="background1"/>
                <w:sz w:val="20"/>
                <w:szCs w:val="20"/>
              </w:rPr>
              <w:t>Hazard Ratio</w:t>
            </w:r>
          </w:p>
          <w:p w:rsidR="001B43F4" w:rsidRPr="00A93E0A" w:rsidRDefault="001B43F4" w:rsidP="001B43F4">
            <w:pPr>
              <w:widowControl w:val="0"/>
              <w:tabs>
                <w:tab w:val="left" w:pos="-1440"/>
                <w:tab w:val="num" w:pos="567"/>
              </w:tabs>
              <w:snapToGrid w:val="0"/>
              <w:ind w:left="567" w:hanging="425"/>
              <w:jc w:val="center"/>
              <w:rPr>
                <w:rFonts w:eastAsia="Times New Roman"/>
                <w:b/>
                <w:color w:val="FFFFFF" w:themeColor="background1"/>
                <w:sz w:val="20"/>
                <w:szCs w:val="20"/>
              </w:rPr>
            </w:pPr>
            <w:r w:rsidRPr="00A93E0A">
              <w:rPr>
                <w:rFonts w:eastAsia="Times New Roman"/>
                <w:b/>
                <w:color w:val="FFFFFF" w:themeColor="background1"/>
                <w:sz w:val="20"/>
                <w:szCs w:val="20"/>
              </w:rPr>
              <w:t>[95% CI] or</w:t>
            </w:r>
          </w:p>
          <w:p w:rsidR="001B43F4" w:rsidRPr="00A93E0A" w:rsidRDefault="001B43F4" w:rsidP="001B43F4">
            <w:pPr>
              <w:widowControl w:val="0"/>
              <w:tabs>
                <w:tab w:val="left" w:pos="-1440"/>
                <w:tab w:val="num" w:pos="567"/>
              </w:tabs>
              <w:snapToGrid w:val="0"/>
              <w:jc w:val="center"/>
              <w:rPr>
                <w:rFonts w:ascii="Times New Roman" w:eastAsia="Times New Roman" w:hAnsi="Times New Roman"/>
                <w:b/>
                <w:color w:val="FFFFFF" w:themeColor="background1"/>
                <w:sz w:val="20"/>
                <w:szCs w:val="20"/>
              </w:rPr>
            </w:pPr>
            <w:r w:rsidRPr="00A93E0A">
              <w:rPr>
                <w:rFonts w:eastAsia="Times New Roman"/>
                <w:b/>
                <w:color w:val="FFFFFF" w:themeColor="background1"/>
                <w:sz w:val="20"/>
                <w:szCs w:val="20"/>
              </w:rPr>
              <w:t>p-value of diff</w:t>
            </w:r>
          </w:p>
        </w:tc>
      </w:tr>
      <w:tr w:rsidR="001B43F4" w:rsidRPr="001B43F4" w:rsidTr="00A93E0A">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3F4" w:rsidRPr="00A93E0A" w:rsidRDefault="001B43F4" w:rsidP="001B43F4">
            <w:pPr>
              <w:widowControl w:val="0"/>
              <w:tabs>
                <w:tab w:val="left" w:pos="-1440"/>
                <w:tab w:val="num" w:pos="567"/>
              </w:tabs>
              <w:snapToGrid w:val="0"/>
              <w:rPr>
                <w:rFonts w:ascii="Times New Roman" w:eastAsia="Times New Roman" w:hAnsi="Times New Roman"/>
                <w:sz w:val="20"/>
              </w:rPr>
            </w:pPr>
            <w:r w:rsidRPr="00A93E0A">
              <w:rPr>
                <w:rFonts w:eastAsia="Times New Roman"/>
                <w:sz w:val="20"/>
              </w:rPr>
              <w:t>Survival</w:t>
            </w:r>
            <w:r w:rsidR="003B4482" w:rsidRPr="003B4482">
              <w:rPr>
                <w:rFonts w:eastAsia="Times New Roman"/>
                <w:i/>
                <w:sz w:val="20"/>
              </w:rPr>
              <w:t xml:space="preserve"> </w:t>
            </w:r>
            <w:r w:rsidRPr="00A93E0A">
              <w:rPr>
                <w:rFonts w:eastAsia="Times New Roman"/>
                <w:sz w:val="20"/>
              </w:rPr>
              <w:t xml:space="preserve">6-mth </w:t>
            </w:r>
            <w:r w:rsidRPr="00A93E0A">
              <w:rPr>
                <w:rFonts w:eastAsia="Times New Roman"/>
                <w:i/>
                <w:sz w:val="20"/>
              </w:rPr>
              <w:t>%</w:t>
            </w:r>
          </w:p>
          <w:p w:rsidR="001B43F4" w:rsidRPr="00A93E0A" w:rsidRDefault="003B4482" w:rsidP="001B43F4">
            <w:pPr>
              <w:widowControl w:val="0"/>
              <w:tabs>
                <w:tab w:val="left" w:pos="-1440"/>
                <w:tab w:val="num" w:pos="567"/>
              </w:tabs>
              <w:snapToGrid w:val="0"/>
              <w:rPr>
                <w:rFonts w:ascii="Times New Roman" w:eastAsia="Times New Roman" w:hAnsi="Times New Roman"/>
                <w:sz w:val="20"/>
              </w:rPr>
            </w:pPr>
            <w:r w:rsidRPr="003B4482">
              <w:rPr>
                <w:rFonts w:eastAsia="Times New Roman"/>
                <w:i/>
                <w:sz w:val="20"/>
              </w:rPr>
              <w:t xml:space="preserve">    </w:t>
            </w:r>
            <w:r w:rsidR="001B43F4" w:rsidRPr="00A93E0A">
              <w:rPr>
                <w:rFonts w:eastAsia="Times New Roman"/>
                <w:sz w:val="20"/>
              </w:rPr>
              <w:t xml:space="preserve">median </w:t>
            </w:r>
            <w:r w:rsidR="001B43F4" w:rsidRPr="00A93E0A">
              <w:rPr>
                <w:rFonts w:eastAsia="Times New Roman"/>
                <w:i/>
                <w:sz w:val="20"/>
              </w:rPr>
              <w:t>mths</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3F4" w:rsidRPr="00A93E0A" w:rsidRDefault="001B43F4" w:rsidP="001B43F4">
            <w:pPr>
              <w:widowControl w:val="0"/>
              <w:tabs>
                <w:tab w:val="left" w:pos="-1440"/>
                <w:tab w:val="num" w:pos="567"/>
              </w:tabs>
              <w:snapToGrid w:val="0"/>
              <w:jc w:val="center"/>
              <w:rPr>
                <w:rFonts w:ascii="Times New Roman" w:eastAsia="Times New Roman" w:hAnsi="Times New Roman"/>
                <w:sz w:val="20"/>
              </w:rPr>
            </w:pPr>
            <w:r w:rsidRPr="00A93E0A">
              <w:rPr>
                <w:rFonts w:eastAsia="Times New Roman"/>
                <w:sz w:val="20"/>
              </w:rPr>
              <w:t>84%</w:t>
            </w:r>
          </w:p>
          <w:p w:rsidR="001B43F4" w:rsidRPr="00A93E0A" w:rsidRDefault="001B43F4" w:rsidP="001B43F4">
            <w:pPr>
              <w:widowControl w:val="0"/>
              <w:tabs>
                <w:tab w:val="left" w:pos="-1440"/>
                <w:tab w:val="num" w:pos="567"/>
              </w:tabs>
              <w:snapToGrid w:val="0"/>
              <w:jc w:val="center"/>
              <w:rPr>
                <w:rFonts w:ascii="Times New Roman" w:eastAsia="Times New Roman" w:hAnsi="Times New Roman"/>
                <w:sz w:val="20"/>
              </w:rPr>
            </w:pPr>
            <w:r w:rsidRPr="00A93E0A">
              <w:rPr>
                <w:rFonts w:eastAsia="Times New Roman"/>
                <w:sz w:val="20"/>
              </w:rPr>
              <w:t>9.2</w:t>
            </w:r>
            <w:r w:rsidRPr="00A93E0A">
              <w:rPr>
                <w:rFonts w:eastAsia="Times New Roman"/>
                <w:sz w:val="20"/>
                <w:vertAlign w:val="superscript"/>
              </w:rPr>
              <w:t>2</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3F4" w:rsidRPr="00A93E0A" w:rsidRDefault="001B43F4" w:rsidP="001B43F4">
            <w:pPr>
              <w:widowControl w:val="0"/>
              <w:tabs>
                <w:tab w:val="left" w:pos="-1440"/>
                <w:tab w:val="num" w:pos="567"/>
              </w:tabs>
              <w:snapToGrid w:val="0"/>
              <w:jc w:val="center"/>
              <w:rPr>
                <w:rFonts w:ascii="Times New Roman" w:eastAsia="Times New Roman" w:hAnsi="Times New Roman"/>
                <w:sz w:val="20"/>
              </w:rPr>
            </w:pPr>
            <w:r w:rsidRPr="00A93E0A">
              <w:rPr>
                <w:rFonts w:eastAsia="Times New Roman"/>
                <w:sz w:val="20"/>
              </w:rPr>
              <w:t>64%</w:t>
            </w:r>
          </w:p>
          <w:p w:rsidR="001B43F4" w:rsidRPr="00A93E0A" w:rsidRDefault="001B43F4" w:rsidP="001B43F4">
            <w:pPr>
              <w:widowControl w:val="0"/>
              <w:tabs>
                <w:tab w:val="left" w:pos="-1440"/>
                <w:tab w:val="num" w:pos="567"/>
              </w:tabs>
              <w:snapToGrid w:val="0"/>
              <w:jc w:val="center"/>
              <w:rPr>
                <w:rFonts w:ascii="Times New Roman" w:eastAsia="Times New Roman" w:hAnsi="Times New Roman"/>
                <w:sz w:val="20"/>
              </w:rPr>
            </w:pPr>
            <w:r w:rsidRPr="00A93E0A">
              <w:rPr>
                <w:rFonts w:eastAsia="Times New Roman"/>
                <w:sz w:val="20"/>
              </w:rPr>
              <w:t>7.8</w:t>
            </w:r>
            <w:r w:rsidRPr="00A93E0A">
              <w:rPr>
                <w:rFonts w:eastAsia="Times New Roman"/>
                <w:sz w:val="20"/>
                <w:vertAlign w:val="superscript"/>
              </w:rPr>
              <w:t>2</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3F4" w:rsidRPr="00A93E0A" w:rsidRDefault="001B43F4" w:rsidP="001B43F4">
            <w:pPr>
              <w:widowControl w:val="0"/>
              <w:tabs>
                <w:tab w:val="left" w:pos="-1440"/>
                <w:tab w:val="num" w:pos="567"/>
              </w:tabs>
              <w:snapToGrid w:val="0"/>
              <w:jc w:val="center"/>
              <w:rPr>
                <w:rFonts w:ascii="Times New Roman" w:eastAsia="Times New Roman" w:hAnsi="Times New Roman"/>
                <w:sz w:val="20"/>
              </w:rPr>
            </w:pPr>
            <w:r w:rsidRPr="00A93E0A">
              <w:rPr>
                <w:rFonts w:eastAsia="Times New Roman"/>
                <w:sz w:val="20"/>
              </w:rPr>
              <w:t>0.37</w:t>
            </w:r>
          </w:p>
          <w:p w:rsidR="001B43F4" w:rsidRPr="00A93E0A" w:rsidRDefault="001B43F4" w:rsidP="001B43F4">
            <w:pPr>
              <w:widowControl w:val="0"/>
              <w:tabs>
                <w:tab w:val="left" w:pos="-1440"/>
                <w:tab w:val="num" w:pos="567"/>
              </w:tabs>
              <w:snapToGrid w:val="0"/>
              <w:jc w:val="center"/>
              <w:rPr>
                <w:rFonts w:ascii="Times New Roman" w:eastAsia="Times New Roman" w:hAnsi="Times New Roman"/>
                <w:sz w:val="20"/>
              </w:rPr>
            </w:pPr>
            <w:r w:rsidRPr="00A93E0A">
              <w:rPr>
                <w:rFonts w:eastAsia="Times New Roman"/>
                <w:sz w:val="20"/>
              </w:rPr>
              <w:t>[0.26, 0.55]</w:t>
            </w:r>
          </w:p>
        </w:tc>
      </w:tr>
      <w:tr w:rsidR="001B43F4" w:rsidRPr="001B43F4" w:rsidTr="00A93E0A">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3F4" w:rsidRPr="00A93E0A" w:rsidRDefault="001B43F4" w:rsidP="001B43F4">
            <w:pPr>
              <w:widowControl w:val="0"/>
              <w:tabs>
                <w:tab w:val="left" w:pos="-1440"/>
                <w:tab w:val="num" w:pos="567"/>
              </w:tabs>
              <w:snapToGrid w:val="0"/>
              <w:rPr>
                <w:rFonts w:ascii="Times New Roman" w:eastAsia="MS Mincho" w:hAnsi="Times New Roman"/>
                <w:sz w:val="20"/>
                <w:lang w:eastAsia="ja-JP"/>
              </w:rPr>
            </w:pPr>
            <w:r w:rsidRPr="00A93E0A">
              <w:rPr>
                <w:sz w:val="20"/>
              </w:rPr>
              <w:t>PFS</w:t>
            </w:r>
            <w:r w:rsidRPr="00A93E0A">
              <w:rPr>
                <w:sz w:val="20"/>
                <w:vertAlign w:val="superscript"/>
              </w:rPr>
              <w:t>1</w:t>
            </w:r>
            <w:r w:rsidR="003B4482" w:rsidRPr="003B4482">
              <w:rPr>
                <w:i/>
                <w:sz w:val="20"/>
              </w:rPr>
              <w:t xml:space="preserve">  </w:t>
            </w:r>
            <w:r w:rsidRPr="00A93E0A">
              <w:rPr>
                <w:sz w:val="20"/>
              </w:rPr>
              <w:t xml:space="preserve">6-mth </w:t>
            </w:r>
            <w:r w:rsidRPr="00A93E0A">
              <w:rPr>
                <w:i/>
                <w:sz w:val="20"/>
              </w:rPr>
              <w:t>%</w:t>
            </w:r>
          </w:p>
          <w:p w:rsidR="001B43F4" w:rsidRPr="00A93E0A" w:rsidRDefault="003B4482" w:rsidP="001B43F4">
            <w:pPr>
              <w:widowControl w:val="0"/>
              <w:tabs>
                <w:tab w:val="left" w:pos="-1440"/>
                <w:tab w:val="num" w:pos="567"/>
              </w:tabs>
              <w:snapToGrid w:val="0"/>
              <w:rPr>
                <w:rFonts w:ascii="Times New Roman" w:eastAsia="Times New Roman" w:hAnsi="Times New Roman"/>
                <w:sz w:val="20"/>
              </w:rPr>
            </w:pPr>
            <w:r w:rsidRPr="003B4482">
              <w:rPr>
                <w:i/>
                <w:sz w:val="20"/>
              </w:rPr>
              <w:t xml:space="preserve">    </w:t>
            </w:r>
            <w:r w:rsidR="001B43F4" w:rsidRPr="00A93E0A">
              <w:rPr>
                <w:sz w:val="20"/>
              </w:rPr>
              <w:t xml:space="preserve">median </w:t>
            </w:r>
            <w:r w:rsidR="001B43F4" w:rsidRPr="00A93E0A">
              <w:rPr>
                <w:i/>
                <w:sz w:val="20"/>
              </w:rPr>
              <w:t>mths</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3F4" w:rsidRPr="00A93E0A" w:rsidRDefault="001B43F4" w:rsidP="001B43F4">
            <w:pPr>
              <w:widowControl w:val="0"/>
              <w:tabs>
                <w:tab w:val="left" w:pos="-1440"/>
                <w:tab w:val="num" w:pos="567"/>
              </w:tabs>
              <w:snapToGrid w:val="0"/>
              <w:jc w:val="center"/>
              <w:rPr>
                <w:rFonts w:ascii="Times New Roman" w:eastAsia="Times New Roman" w:hAnsi="Times New Roman"/>
                <w:sz w:val="20"/>
              </w:rPr>
            </w:pPr>
            <w:r w:rsidRPr="00A93E0A">
              <w:rPr>
                <w:rFonts w:eastAsia="Times New Roman"/>
                <w:sz w:val="20"/>
              </w:rPr>
              <w:t>47%</w:t>
            </w:r>
          </w:p>
          <w:p w:rsidR="001B43F4" w:rsidRPr="00A93E0A" w:rsidRDefault="001B43F4" w:rsidP="001B43F4">
            <w:pPr>
              <w:widowControl w:val="0"/>
              <w:tabs>
                <w:tab w:val="left" w:pos="-1440"/>
                <w:tab w:val="num" w:pos="567"/>
              </w:tabs>
              <w:snapToGrid w:val="0"/>
              <w:jc w:val="center"/>
              <w:rPr>
                <w:rFonts w:ascii="Times New Roman" w:eastAsia="Times New Roman" w:hAnsi="Times New Roman"/>
                <w:sz w:val="20"/>
              </w:rPr>
            </w:pPr>
            <w:r w:rsidRPr="00A93E0A">
              <w:rPr>
                <w:rFonts w:eastAsia="Times New Roman"/>
                <w:sz w:val="20"/>
              </w:rPr>
              <w:t>5.3</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3F4" w:rsidRPr="00A93E0A" w:rsidRDefault="001B43F4" w:rsidP="001B43F4">
            <w:pPr>
              <w:widowControl w:val="0"/>
              <w:tabs>
                <w:tab w:val="left" w:pos="-1440"/>
                <w:tab w:val="num" w:pos="567"/>
              </w:tabs>
              <w:snapToGrid w:val="0"/>
              <w:jc w:val="center"/>
              <w:rPr>
                <w:rFonts w:ascii="Times New Roman" w:eastAsia="Times New Roman" w:hAnsi="Times New Roman"/>
                <w:sz w:val="20"/>
              </w:rPr>
            </w:pPr>
            <w:r w:rsidRPr="00A93E0A">
              <w:rPr>
                <w:rFonts w:eastAsia="Times New Roman"/>
                <w:sz w:val="20"/>
              </w:rPr>
              <w:t>12%</w:t>
            </w:r>
          </w:p>
          <w:p w:rsidR="001B43F4" w:rsidRPr="00A93E0A" w:rsidRDefault="001B43F4" w:rsidP="001B43F4">
            <w:pPr>
              <w:widowControl w:val="0"/>
              <w:tabs>
                <w:tab w:val="left" w:pos="-1440"/>
                <w:tab w:val="num" w:pos="567"/>
              </w:tabs>
              <w:snapToGrid w:val="0"/>
              <w:jc w:val="center"/>
              <w:rPr>
                <w:rFonts w:ascii="Times New Roman" w:eastAsia="Times New Roman" w:hAnsi="Times New Roman"/>
                <w:sz w:val="20"/>
              </w:rPr>
            </w:pPr>
            <w:r w:rsidRPr="00A93E0A">
              <w:rPr>
                <w:rFonts w:eastAsia="Times New Roman"/>
                <w:sz w:val="20"/>
              </w:rPr>
              <w:t>1.6</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3F4" w:rsidRPr="00A93E0A" w:rsidRDefault="001B43F4" w:rsidP="001B43F4">
            <w:pPr>
              <w:widowControl w:val="0"/>
              <w:tabs>
                <w:tab w:val="left" w:pos="-1440"/>
                <w:tab w:val="num" w:pos="567"/>
              </w:tabs>
              <w:snapToGrid w:val="0"/>
              <w:jc w:val="center"/>
              <w:rPr>
                <w:rFonts w:ascii="Times New Roman" w:eastAsia="Times New Roman" w:hAnsi="Times New Roman"/>
                <w:sz w:val="20"/>
              </w:rPr>
            </w:pPr>
            <w:r w:rsidRPr="00A93E0A">
              <w:rPr>
                <w:rFonts w:eastAsia="Times New Roman"/>
                <w:sz w:val="20"/>
              </w:rPr>
              <w:t>0.26</w:t>
            </w:r>
          </w:p>
          <w:p w:rsidR="001B43F4" w:rsidRPr="00A93E0A" w:rsidRDefault="001B43F4" w:rsidP="001B43F4">
            <w:pPr>
              <w:widowControl w:val="0"/>
              <w:tabs>
                <w:tab w:val="left" w:pos="-1440"/>
                <w:tab w:val="num" w:pos="567"/>
              </w:tabs>
              <w:snapToGrid w:val="0"/>
              <w:jc w:val="center"/>
              <w:rPr>
                <w:rFonts w:ascii="Times New Roman" w:eastAsia="Times New Roman" w:hAnsi="Times New Roman"/>
                <w:sz w:val="20"/>
              </w:rPr>
            </w:pPr>
            <w:r w:rsidRPr="00A93E0A">
              <w:rPr>
                <w:rFonts w:eastAsia="Times New Roman"/>
                <w:sz w:val="20"/>
              </w:rPr>
              <w:t>[0.20, 0.33]</w:t>
            </w:r>
          </w:p>
        </w:tc>
      </w:tr>
      <w:tr w:rsidR="001B43F4" w:rsidRPr="001B43F4" w:rsidTr="00A93E0A">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3F4" w:rsidRPr="00A93E0A" w:rsidRDefault="001B43F4" w:rsidP="001B43F4">
            <w:pPr>
              <w:widowControl w:val="0"/>
              <w:tabs>
                <w:tab w:val="left" w:pos="-1440"/>
                <w:tab w:val="num" w:pos="567"/>
              </w:tabs>
              <w:snapToGrid w:val="0"/>
              <w:rPr>
                <w:rFonts w:ascii="Times New Roman" w:eastAsia="Times New Roman" w:hAnsi="Times New Roman"/>
                <w:sz w:val="20"/>
              </w:rPr>
            </w:pPr>
            <w:r w:rsidRPr="00A93E0A">
              <w:rPr>
                <w:rFonts w:eastAsia="Times New Roman"/>
                <w:sz w:val="20"/>
              </w:rPr>
              <w:t>BORR</w:t>
            </w:r>
            <w:r w:rsidRPr="00A93E0A">
              <w:rPr>
                <w:rFonts w:eastAsia="Times New Roman"/>
                <w:sz w:val="20"/>
                <w:vertAlign w:val="superscript"/>
              </w:rPr>
              <w:t>1</w:t>
            </w:r>
          </w:p>
          <w:p w:rsidR="001B43F4" w:rsidRPr="00A93E0A" w:rsidRDefault="003B4482" w:rsidP="001B43F4">
            <w:pPr>
              <w:widowControl w:val="0"/>
              <w:tabs>
                <w:tab w:val="left" w:pos="-1440"/>
                <w:tab w:val="num" w:pos="567"/>
              </w:tabs>
              <w:snapToGrid w:val="0"/>
              <w:rPr>
                <w:rFonts w:eastAsia="Times New Roman"/>
                <w:sz w:val="20"/>
              </w:rPr>
            </w:pPr>
            <w:r w:rsidRPr="003B4482">
              <w:rPr>
                <w:rFonts w:eastAsia="Times New Roman"/>
                <w:i/>
                <w:sz w:val="20"/>
              </w:rPr>
              <w:t xml:space="preserve"> </w:t>
            </w:r>
            <w:r w:rsidR="001B43F4" w:rsidRPr="00A93E0A">
              <w:rPr>
                <w:rFonts w:eastAsia="Times New Roman"/>
                <w:sz w:val="20"/>
              </w:rPr>
              <w:t>Complete Response</w:t>
            </w:r>
          </w:p>
          <w:p w:rsidR="001B43F4" w:rsidRPr="00A93E0A" w:rsidRDefault="003B4482" w:rsidP="001B43F4">
            <w:pPr>
              <w:widowControl w:val="0"/>
              <w:tabs>
                <w:tab w:val="left" w:pos="-1440"/>
                <w:tab w:val="num" w:pos="567"/>
              </w:tabs>
              <w:snapToGrid w:val="0"/>
              <w:rPr>
                <w:rFonts w:ascii="Times New Roman" w:eastAsia="Times New Roman" w:hAnsi="Times New Roman"/>
                <w:sz w:val="20"/>
              </w:rPr>
            </w:pPr>
            <w:r w:rsidRPr="003B4482">
              <w:rPr>
                <w:rFonts w:eastAsia="Times New Roman"/>
                <w:i/>
                <w:sz w:val="20"/>
              </w:rPr>
              <w:t xml:space="preserve"> </w:t>
            </w:r>
            <w:r w:rsidR="001B43F4" w:rsidRPr="00A93E0A">
              <w:rPr>
                <w:rFonts w:eastAsia="Times New Roman"/>
                <w:sz w:val="20"/>
              </w:rPr>
              <w:t>Partial Response</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3F4" w:rsidRPr="00A93E0A" w:rsidRDefault="001B43F4" w:rsidP="001B43F4">
            <w:pPr>
              <w:widowControl w:val="0"/>
              <w:tabs>
                <w:tab w:val="left" w:pos="-1440"/>
                <w:tab w:val="num" w:pos="567"/>
              </w:tabs>
              <w:snapToGrid w:val="0"/>
              <w:jc w:val="center"/>
              <w:rPr>
                <w:rFonts w:ascii="Times New Roman" w:eastAsia="Times New Roman" w:hAnsi="Times New Roman"/>
                <w:sz w:val="20"/>
              </w:rPr>
            </w:pPr>
            <w:r w:rsidRPr="00A93E0A">
              <w:rPr>
                <w:rFonts w:eastAsia="Times New Roman"/>
                <w:sz w:val="20"/>
              </w:rPr>
              <w:t>48.4% (n=219)</w:t>
            </w:r>
          </w:p>
          <w:p w:rsidR="001B43F4" w:rsidRPr="00A93E0A" w:rsidRDefault="001B43F4" w:rsidP="001B43F4">
            <w:pPr>
              <w:widowControl w:val="0"/>
              <w:tabs>
                <w:tab w:val="left" w:pos="-1440"/>
                <w:tab w:val="num" w:pos="567"/>
              </w:tabs>
              <w:snapToGrid w:val="0"/>
              <w:jc w:val="center"/>
              <w:rPr>
                <w:rFonts w:eastAsia="Times New Roman"/>
                <w:sz w:val="20"/>
              </w:rPr>
            </w:pPr>
            <w:r w:rsidRPr="00A93E0A">
              <w:rPr>
                <w:rFonts w:eastAsia="Times New Roman"/>
                <w:sz w:val="20"/>
              </w:rPr>
              <w:t>0.9%</w:t>
            </w:r>
          </w:p>
          <w:p w:rsidR="001B43F4" w:rsidRPr="00A93E0A" w:rsidRDefault="001B43F4" w:rsidP="001B43F4">
            <w:pPr>
              <w:widowControl w:val="0"/>
              <w:tabs>
                <w:tab w:val="left" w:pos="-1440"/>
                <w:tab w:val="num" w:pos="567"/>
              </w:tabs>
              <w:snapToGrid w:val="0"/>
              <w:jc w:val="center"/>
              <w:rPr>
                <w:rFonts w:ascii="Times New Roman" w:eastAsia="Times New Roman" w:hAnsi="Times New Roman"/>
                <w:sz w:val="20"/>
              </w:rPr>
            </w:pPr>
            <w:r w:rsidRPr="00A93E0A">
              <w:rPr>
                <w:rFonts w:eastAsia="Times New Roman"/>
                <w:sz w:val="20"/>
              </w:rPr>
              <w:t>47.5%</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3F4" w:rsidRPr="00A93E0A" w:rsidRDefault="001B43F4" w:rsidP="001B43F4">
            <w:pPr>
              <w:widowControl w:val="0"/>
              <w:tabs>
                <w:tab w:val="left" w:pos="-1440"/>
                <w:tab w:val="num" w:pos="567"/>
              </w:tabs>
              <w:snapToGrid w:val="0"/>
              <w:jc w:val="center"/>
              <w:rPr>
                <w:rFonts w:ascii="Times New Roman" w:eastAsia="Times New Roman" w:hAnsi="Times New Roman"/>
                <w:sz w:val="20"/>
              </w:rPr>
            </w:pPr>
            <w:r w:rsidRPr="00A93E0A">
              <w:rPr>
                <w:rFonts w:eastAsia="Times New Roman"/>
                <w:sz w:val="20"/>
              </w:rPr>
              <w:t>5.5% (n=220)</w:t>
            </w:r>
          </w:p>
          <w:p w:rsidR="001B43F4" w:rsidRPr="00A93E0A" w:rsidRDefault="001B43F4" w:rsidP="001B43F4">
            <w:pPr>
              <w:widowControl w:val="0"/>
              <w:tabs>
                <w:tab w:val="left" w:pos="-1440"/>
                <w:tab w:val="num" w:pos="567"/>
              </w:tabs>
              <w:snapToGrid w:val="0"/>
              <w:jc w:val="center"/>
              <w:rPr>
                <w:rFonts w:eastAsia="Times New Roman"/>
                <w:sz w:val="20"/>
              </w:rPr>
            </w:pPr>
            <w:r w:rsidRPr="00A93E0A">
              <w:rPr>
                <w:rFonts w:eastAsia="Times New Roman"/>
                <w:sz w:val="20"/>
              </w:rPr>
              <w:t>0</w:t>
            </w:r>
          </w:p>
          <w:p w:rsidR="001B43F4" w:rsidRPr="00A93E0A" w:rsidRDefault="001B43F4" w:rsidP="001B43F4">
            <w:pPr>
              <w:widowControl w:val="0"/>
              <w:tabs>
                <w:tab w:val="left" w:pos="-1440"/>
                <w:tab w:val="num" w:pos="567"/>
              </w:tabs>
              <w:snapToGrid w:val="0"/>
              <w:jc w:val="center"/>
              <w:rPr>
                <w:rFonts w:ascii="Times New Roman" w:eastAsia="Times New Roman" w:hAnsi="Times New Roman"/>
                <w:sz w:val="20"/>
              </w:rPr>
            </w:pPr>
            <w:r w:rsidRPr="00A93E0A">
              <w:rPr>
                <w:rFonts w:eastAsia="Times New Roman"/>
                <w:sz w:val="20"/>
              </w:rPr>
              <w:t>5.5%</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3F4" w:rsidRPr="00A93E0A" w:rsidRDefault="001B43F4" w:rsidP="001B43F4">
            <w:pPr>
              <w:widowControl w:val="0"/>
              <w:tabs>
                <w:tab w:val="left" w:pos="-1440"/>
                <w:tab w:val="num" w:pos="567"/>
              </w:tabs>
              <w:snapToGrid w:val="0"/>
              <w:jc w:val="center"/>
              <w:rPr>
                <w:rFonts w:ascii="Times New Roman" w:eastAsia="Times New Roman" w:hAnsi="Times New Roman"/>
                <w:sz w:val="20"/>
              </w:rPr>
            </w:pPr>
            <w:r w:rsidRPr="00A93E0A">
              <w:rPr>
                <w:rFonts w:eastAsia="Times New Roman"/>
                <w:sz w:val="20"/>
              </w:rPr>
              <w:t>p&lt;0.0001</w:t>
            </w:r>
          </w:p>
        </w:tc>
      </w:tr>
      <w:tr w:rsidR="001B43F4" w:rsidRPr="001B43F4" w:rsidTr="00A93E0A">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3F4" w:rsidRPr="00A93E0A" w:rsidRDefault="001B43F4" w:rsidP="001B43F4">
            <w:pPr>
              <w:widowControl w:val="0"/>
              <w:tabs>
                <w:tab w:val="left" w:pos="-1440"/>
                <w:tab w:val="num" w:pos="567"/>
              </w:tabs>
              <w:snapToGrid w:val="0"/>
              <w:rPr>
                <w:rFonts w:ascii="Times New Roman" w:eastAsia="Times New Roman" w:hAnsi="Times New Roman"/>
                <w:sz w:val="20"/>
              </w:rPr>
            </w:pPr>
            <w:r w:rsidRPr="00A93E0A">
              <w:rPr>
                <w:rFonts w:eastAsia="Times New Roman"/>
                <w:sz w:val="20"/>
              </w:rPr>
              <w:t>Duration of Response</w:t>
            </w:r>
          </w:p>
          <w:p w:rsidR="001B43F4" w:rsidRPr="00A93E0A" w:rsidRDefault="003B4482" w:rsidP="001B43F4">
            <w:pPr>
              <w:widowControl w:val="0"/>
              <w:tabs>
                <w:tab w:val="left" w:pos="-1440"/>
                <w:tab w:val="num" w:pos="567"/>
              </w:tabs>
              <w:snapToGrid w:val="0"/>
              <w:rPr>
                <w:rFonts w:ascii="Times New Roman" w:eastAsia="Times New Roman" w:hAnsi="Times New Roman"/>
                <w:sz w:val="20"/>
              </w:rPr>
            </w:pPr>
            <w:r w:rsidRPr="003B4482">
              <w:rPr>
                <w:i/>
                <w:sz w:val="20"/>
              </w:rPr>
              <w:t xml:space="preserve">    </w:t>
            </w:r>
            <w:r w:rsidR="001B43F4" w:rsidRPr="00A93E0A">
              <w:rPr>
                <w:sz w:val="20"/>
              </w:rPr>
              <w:t xml:space="preserve">median </w:t>
            </w:r>
            <w:r w:rsidR="001B43F4" w:rsidRPr="00A93E0A">
              <w:rPr>
                <w:i/>
                <w:sz w:val="20"/>
              </w:rPr>
              <w:t>mths</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43F4" w:rsidRPr="00A93E0A" w:rsidRDefault="001B43F4" w:rsidP="001B43F4">
            <w:pPr>
              <w:widowControl w:val="0"/>
              <w:tabs>
                <w:tab w:val="left" w:pos="-1440"/>
                <w:tab w:val="num" w:pos="567"/>
              </w:tabs>
              <w:snapToGrid w:val="0"/>
              <w:jc w:val="center"/>
              <w:rPr>
                <w:rFonts w:ascii="Times New Roman" w:eastAsia="Times New Roman" w:hAnsi="Times New Roman"/>
                <w:sz w:val="20"/>
              </w:rPr>
            </w:pPr>
          </w:p>
          <w:p w:rsidR="001B43F4" w:rsidRPr="00A93E0A" w:rsidRDefault="001B43F4" w:rsidP="001B43F4">
            <w:pPr>
              <w:widowControl w:val="0"/>
              <w:tabs>
                <w:tab w:val="left" w:pos="-1440"/>
                <w:tab w:val="num" w:pos="567"/>
              </w:tabs>
              <w:snapToGrid w:val="0"/>
              <w:jc w:val="center"/>
              <w:rPr>
                <w:rFonts w:ascii="Times New Roman" w:eastAsia="Times New Roman" w:hAnsi="Times New Roman"/>
                <w:sz w:val="20"/>
              </w:rPr>
            </w:pPr>
            <w:r w:rsidRPr="00A93E0A">
              <w:rPr>
                <w:rFonts w:eastAsia="Times New Roman"/>
                <w:sz w:val="20"/>
              </w:rPr>
              <w:t>5.5</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43F4" w:rsidRPr="00A93E0A" w:rsidRDefault="001B43F4" w:rsidP="001B43F4">
            <w:pPr>
              <w:widowControl w:val="0"/>
              <w:tabs>
                <w:tab w:val="left" w:pos="-1440"/>
                <w:tab w:val="num" w:pos="567"/>
              </w:tabs>
              <w:snapToGrid w:val="0"/>
              <w:jc w:val="center"/>
              <w:rPr>
                <w:rFonts w:ascii="Times New Roman" w:eastAsia="Times New Roman" w:hAnsi="Times New Roman"/>
                <w:sz w:val="20"/>
              </w:rPr>
            </w:pPr>
          </w:p>
          <w:p w:rsidR="001B43F4" w:rsidRPr="00A93E0A" w:rsidRDefault="001B43F4" w:rsidP="001B43F4">
            <w:pPr>
              <w:widowControl w:val="0"/>
              <w:tabs>
                <w:tab w:val="left" w:pos="-1440"/>
                <w:tab w:val="num" w:pos="567"/>
              </w:tabs>
              <w:snapToGrid w:val="0"/>
              <w:jc w:val="center"/>
              <w:rPr>
                <w:rFonts w:ascii="Times New Roman" w:eastAsia="Times New Roman" w:hAnsi="Times New Roman"/>
                <w:sz w:val="20"/>
              </w:rPr>
            </w:pPr>
            <w:r w:rsidRPr="00A93E0A">
              <w:rPr>
                <w:rFonts w:eastAsia="Times New Roman"/>
                <w:sz w:val="20"/>
              </w:rPr>
              <w:t>NR</w:t>
            </w:r>
            <w:r w:rsidRPr="00A93E0A">
              <w:rPr>
                <w:rFonts w:eastAsia="Times New Roman"/>
                <w:sz w:val="20"/>
                <w:vertAlign w:val="superscript"/>
              </w:rPr>
              <w:t>3</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43F4" w:rsidRPr="00A93E0A" w:rsidRDefault="001B43F4" w:rsidP="001B43F4">
            <w:pPr>
              <w:widowControl w:val="0"/>
              <w:tabs>
                <w:tab w:val="left" w:pos="-1440"/>
                <w:tab w:val="num" w:pos="567"/>
              </w:tabs>
              <w:snapToGrid w:val="0"/>
              <w:jc w:val="center"/>
              <w:rPr>
                <w:rFonts w:ascii="Times New Roman" w:eastAsia="Times New Roman" w:hAnsi="Times New Roman"/>
                <w:sz w:val="20"/>
              </w:rPr>
            </w:pPr>
          </w:p>
        </w:tc>
      </w:tr>
    </w:tbl>
    <w:p w:rsidR="001B43F4" w:rsidRDefault="001B43F4" w:rsidP="001B43F4">
      <w:pPr>
        <w:widowControl w:val="0"/>
        <w:tabs>
          <w:tab w:val="left" w:pos="-1440"/>
          <w:tab w:val="num" w:pos="709"/>
        </w:tabs>
        <w:snapToGrid w:val="0"/>
        <w:ind w:left="709"/>
        <w:rPr>
          <w:rFonts w:eastAsia="Times New Roman"/>
          <w:sz w:val="20"/>
          <w:szCs w:val="20"/>
        </w:rPr>
      </w:pPr>
      <w:r>
        <w:rPr>
          <w:rFonts w:eastAsia="Times New Roman"/>
        </w:rPr>
        <w:tab/>
      </w:r>
      <w:r>
        <w:rPr>
          <w:rFonts w:eastAsia="Times New Roman"/>
          <w:sz w:val="20"/>
          <w:vertAlign w:val="superscript"/>
        </w:rPr>
        <w:t>1</w:t>
      </w:r>
      <w:r>
        <w:rPr>
          <w:rFonts w:eastAsia="Times New Roman"/>
          <w:sz w:val="20"/>
        </w:rPr>
        <w:t xml:space="preserve"> Investigator assessed (RECIST 1.1 criteria). </w:t>
      </w:r>
      <w:r>
        <w:rPr>
          <w:rFonts w:eastAsia="Times New Roman"/>
          <w:sz w:val="20"/>
          <w:vertAlign w:val="superscript"/>
        </w:rPr>
        <w:t>2</w:t>
      </w:r>
      <w:r>
        <w:rPr>
          <w:rFonts w:eastAsia="Times New Roman"/>
          <w:sz w:val="20"/>
        </w:rPr>
        <w:t xml:space="preserve"> Not reliable due to short follow-up: &lt; 10% of patients followed up beyond month 7. </w:t>
      </w:r>
      <w:r>
        <w:rPr>
          <w:rFonts w:eastAsia="Times New Roman"/>
          <w:sz w:val="20"/>
          <w:vertAlign w:val="superscript"/>
        </w:rPr>
        <w:t>3</w:t>
      </w:r>
      <w:r>
        <w:rPr>
          <w:rFonts w:eastAsia="Times New Roman"/>
          <w:sz w:val="20"/>
        </w:rPr>
        <w:t xml:space="preserve"> Not reliable due to few responders. </w:t>
      </w:r>
      <w:r>
        <w:rPr>
          <w:sz w:val="20"/>
        </w:rPr>
        <w:t>PFS: progression-free survival. BORR: confirmed best overall response rate (complete response + partial response). NR: not reached.</w:t>
      </w:r>
      <w:r w:rsidR="00FC282A">
        <w:rPr>
          <w:sz w:val="20"/>
        </w:rPr>
        <w:t xml:space="preserve"> </w:t>
      </w:r>
      <w:r>
        <w:rPr>
          <w:sz w:val="20"/>
        </w:rPr>
        <w:t>6-mth and median survival, PFS and response duration estimated using Kaplan-Meier analysis. Hazard ratios estimated using Cox models.</w:t>
      </w:r>
    </w:p>
    <w:p w:rsidR="001B43F4" w:rsidRDefault="00A93E0A" w:rsidP="005C7653">
      <w:pPr>
        <w:widowControl w:val="0"/>
        <w:numPr>
          <w:ilvl w:val="0"/>
          <w:numId w:val="12"/>
        </w:numPr>
        <w:tabs>
          <w:tab w:val="left" w:pos="-1440"/>
          <w:tab w:val="num" w:pos="567"/>
        </w:tabs>
        <w:snapToGrid w:val="0"/>
        <w:spacing w:after="0" w:line="240" w:lineRule="auto"/>
        <w:ind w:left="567" w:hanging="425"/>
        <w:rPr>
          <w:rFonts w:eastAsia="Times New Roman"/>
        </w:rPr>
      </w:pPr>
      <w:r>
        <w:rPr>
          <w:rFonts w:eastAsia="Times New Roman"/>
        </w:rPr>
        <w:t>Study</w:t>
      </w:r>
      <w:r w:rsidR="001B43F4">
        <w:rPr>
          <w:rFonts w:eastAsia="Times New Roman"/>
        </w:rPr>
        <w:t xml:space="preserve"> NP22657 was an uncontrolled trial in previously treated patients with BRAF V600E mutation-positive stage IV melanoma. Patients received vemurafenib (Zelboraf) tablets 960 mg bd (n=132). The median age of subjects was 52 years (range 17-82). ECOG performance status was 0 or 1. Treatment was continued until disease progression. The median (range) follow-up was 6.9 months (0.6-11.3). Confirmed best overall response rate assessed by an independent review committee (IRC) using RECIST 1.1 criteria was 52.3% (complete response 2.3%, partial response 50%). Median duration of response was 6.5 months, range 1.4-9 months. The Kaplan-Meier estimate of 6-month survival was 77%. Median survival was not reached. Median PFS was 6.1 months.</w:t>
      </w:r>
    </w:p>
    <w:p w:rsidR="001B43F4" w:rsidRDefault="001B43F4" w:rsidP="005C7653">
      <w:pPr>
        <w:widowControl w:val="0"/>
        <w:numPr>
          <w:ilvl w:val="0"/>
          <w:numId w:val="12"/>
        </w:numPr>
        <w:tabs>
          <w:tab w:val="left" w:pos="-1440"/>
          <w:tab w:val="num" w:pos="567"/>
        </w:tabs>
        <w:snapToGrid w:val="0"/>
        <w:spacing w:after="0" w:line="240" w:lineRule="auto"/>
        <w:ind w:left="567" w:hanging="425"/>
        <w:rPr>
          <w:rFonts w:ascii="Arial" w:eastAsia="Times New Roman" w:hAnsi="Arial" w:cs="Arial"/>
          <w:b/>
        </w:rPr>
      </w:pPr>
      <w:r>
        <w:rPr>
          <w:rFonts w:eastAsia="Times New Roman"/>
        </w:rPr>
        <w:t xml:space="preserve">In the melanoma extension cohort of </w:t>
      </w:r>
      <w:r w:rsidR="00A93E0A">
        <w:rPr>
          <w:rFonts w:eastAsia="Times New Roman"/>
        </w:rPr>
        <w:t>Study</w:t>
      </w:r>
      <w:r>
        <w:rPr>
          <w:rFonts w:eastAsia="Times New Roman"/>
        </w:rPr>
        <w:t xml:space="preserve"> PLX06-02, untreated or previously treated patients with BRAF V600E mutation-positive </w:t>
      </w:r>
      <w:r w:rsidR="00A93E0A">
        <w:rPr>
          <w:rFonts w:eastAsia="Times New Roman"/>
        </w:rPr>
        <w:t>S</w:t>
      </w:r>
      <w:r>
        <w:rPr>
          <w:rFonts w:eastAsia="Times New Roman"/>
        </w:rPr>
        <w:t xml:space="preserve">tage IV melanoma received vemurafenib (Zelboraf) tablets 960 mg bd (n=32). The median age of subjects was 52 years (range 22-83). ECOG performance status was 0 or 1. Treatment was continued until disease progression. The median (range) duration of treatment was 8.8 months, (0.9-14.6). Confirmed best overall response rate assessed by the </w:t>
      </w:r>
      <w:r>
        <w:rPr>
          <w:rFonts w:eastAsia="Times New Roman"/>
        </w:rPr>
        <w:lastRenderedPageBreak/>
        <w:t>investigator using RECIST 1.1 criteria was 56.3% (complete response 9.4%, partial response 46.9%). Median duration of response was 7.6 months, range 2.9-11.1+ months. The Kaplan-Meier estimates of 6</w:t>
      </w:r>
      <w:r w:rsidR="00A93E0A">
        <w:rPr>
          <w:rFonts w:eastAsia="Times New Roman"/>
        </w:rPr>
        <w:t xml:space="preserve"> </w:t>
      </w:r>
      <w:r>
        <w:rPr>
          <w:rFonts w:eastAsia="Times New Roman"/>
        </w:rPr>
        <w:t>month and 1</w:t>
      </w:r>
      <w:r w:rsidR="00A93E0A">
        <w:rPr>
          <w:rFonts w:eastAsia="Times New Roman"/>
        </w:rPr>
        <w:t xml:space="preserve"> </w:t>
      </w:r>
      <w:r>
        <w:rPr>
          <w:rFonts w:eastAsia="Times New Roman"/>
        </w:rPr>
        <w:t>year survival were 87% and 57% respectively. Median survival was not reached. Median PFS was 7.8 months.</w:t>
      </w:r>
    </w:p>
    <w:p w:rsidR="001B43F4" w:rsidRDefault="001B43F4" w:rsidP="00A93E0A">
      <w:pPr>
        <w:pStyle w:val="Heading4"/>
      </w:pPr>
      <w:r>
        <w:t>Safety</w:t>
      </w:r>
    </w:p>
    <w:p w:rsidR="001B43F4" w:rsidRDefault="001B43F4" w:rsidP="005C7653">
      <w:pPr>
        <w:widowControl w:val="0"/>
        <w:numPr>
          <w:ilvl w:val="0"/>
          <w:numId w:val="13"/>
        </w:numPr>
        <w:tabs>
          <w:tab w:val="clear" w:pos="1080"/>
          <w:tab w:val="left" w:pos="-1440"/>
          <w:tab w:val="num" w:pos="567"/>
          <w:tab w:val="center" w:pos="4153"/>
          <w:tab w:val="right" w:pos="8306"/>
        </w:tabs>
        <w:snapToGrid w:val="0"/>
        <w:spacing w:after="0" w:line="240" w:lineRule="auto"/>
        <w:ind w:left="567" w:hanging="425"/>
        <w:rPr>
          <w:rFonts w:ascii="Times New Roman" w:eastAsia="Times New Roman" w:hAnsi="Times New Roman"/>
        </w:rPr>
      </w:pPr>
      <w:r>
        <w:rPr>
          <w:rFonts w:eastAsia="Times New Roman"/>
        </w:rPr>
        <w:t xml:space="preserve">Safety data was available from 584 patients who received vemurafenib. The major safety data was from the pivotal </w:t>
      </w:r>
      <w:r w:rsidR="00A93E0A">
        <w:rPr>
          <w:rFonts w:eastAsia="Times New Roman"/>
        </w:rPr>
        <w:t>Study</w:t>
      </w:r>
      <w:r>
        <w:rPr>
          <w:rFonts w:eastAsia="Times New Roman"/>
        </w:rPr>
        <w:t xml:space="preserve"> </w:t>
      </w:r>
      <w:r w:rsidR="00A93E0A">
        <w:rPr>
          <w:rFonts w:eastAsia="Times New Roman"/>
        </w:rPr>
        <w:t>NO25026 (n=336) and the pooled Study</w:t>
      </w:r>
      <w:r>
        <w:rPr>
          <w:rFonts w:eastAsia="Times New Roman"/>
        </w:rPr>
        <w:t>s NP22657 and PLX06-02 (n=164). Other data was from 84 patients in clinical pharmacology studies. Most patients received a dose of 960 mg bd. The median duration of treatment was 3.1 months, range 0-9.3 months, in trial NO25026 and 6.4 months, range 0.1-13.7 months, in the pooled trials NP22657 and PLX06-02. The duration of exposure was about 2 months in the other studies.</w:t>
      </w:r>
    </w:p>
    <w:p w:rsidR="001B43F4" w:rsidRDefault="001B43F4" w:rsidP="005C7653">
      <w:pPr>
        <w:widowControl w:val="0"/>
        <w:numPr>
          <w:ilvl w:val="0"/>
          <w:numId w:val="13"/>
        </w:numPr>
        <w:tabs>
          <w:tab w:val="clear" w:pos="1080"/>
          <w:tab w:val="left" w:pos="-1440"/>
          <w:tab w:val="num" w:pos="567"/>
          <w:tab w:val="center" w:pos="4153"/>
          <w:tab w:val="right" w:pos="8306"/>
        </w:tabs>
        <w:snapToGrid w:val="0"/>
        <w:spacing w:after="0" w:line="240" w:lineRule="auto"/>
        <w:ind w:left="567" w:hanging="425"/>
        <w:rPr>
          <w:rFonts w:eastAsia="Times New Roman"/>
        </w:rPr>
      </w:pPr>
      <w:r>
        <w:rPr>
          <w:rFonts w:eastAsia="Times New Roman"/>
        </w:rPr>
        <w:t>In the pivotal trial, the incidence of treatment related adverse events was high and greater with vemurafenib than dacarbazine</w:t>
      </w:r>
      <w:r w:rsidR="00A93E0A">
        <w:rPr>
          <w:rFonts w:eastAsia="Times New Roman"/>
        </w:rPr>
        <w:t>;</w:t>
      </w:r>
      <w:r>
        <w:rPr>
          <w:rFonts w:eastAsia="Times New Roman"/>
        </w:rPr>
        <w:t xml:space="preserve"> 94% for vemurafenib versus 69% for dacarbazine overall, 43% versus 19% for </w:t>
      </w:r>
      <w:r w:rsidR="00A93E0A">
        <w:rPr>
          <w:rFonts w:eastAsia="Times New Roman"/>
        </w:rPr>
        <w:t>G</w:t>
      </w:r>
      <w:r>
        <w:rPr>
          <w:rFonts w:eastAsia="Times New Roman"/>
        </w:rPr>
        <w:t>rade ≥ 3 events,</w:t>
      </w:r>
      <w:r w:rsidR="00FC282A">
        <w:rPr>
          <w:rFonts w:eastAsia="Times New Roman"/>
        </w:rPr>
        <w:t xml:space="preserve"> </w:t>
      </w:r>
      <w:r>
        <w:rPr>
          <w:rFonts w:eastAsia="Times New Roman"/>
        </w:rPr>
        <w:t>26% versus 5% for serious adverse events and 38% versus 16% for events requiring dose reduction. Similar high incidences were observed with vemurafenib in the other trials.</w:t>
      </w:r>
    </w:p>
    <w:p w:rsidR="001B43F4" w:rsidRDefault="001B43F4" w:rsidP="005C7653">
      <w:pPr>
        <w:widowControl w:val="0"/>
        <w:numPr>
          <w:ilvl w:val="0"/>
          <w:numId w:val="13"/>
        </w:numPr>
        <w:tabs>
          <w:tab w:val="clear" w:pos="1080"/>
          <w:tab w:val="left" w:pos="-1440"/>
          <w:tab w:val="num" w:pos="567"/>
          <w:tab w:val="center" w:pos="4153"/>
          <w:tab w:val="right" w:pos="8306"/>
        </w:tabs>
        <w:snapToGrid w:val="0"/>
        <w:spacing w:after="0" w:line="240" w:lineRule="auto"/>
        <w:ind w:left="567" w:hanging="425"/>
        <w:rPr>
          <w:rFonts w:eastAsia="Times New Roman"/>
        </w:rPr>
      </w:pPr>
      <w:r>
        <w:rPr>
          <w:rFonts w:eastAsia="Times New Roman"/>
        </w:rPr>
        <w:t xml:space="preserve">Common treatment related </w:t>
      </w:r>
      <w:r w:rsidR="00A93E0A">
        <w:rPr>
          <w:rFonts w:eastAsia="Times New Roman"/>
        </w:rPr>
        <w:t>G</w:t>
      </w:r>
      <w:r>
        <w:rPr>
          <w:rFonts w:eastAsia="Times New Roman"/>
        </w:rPr>
        <w:t>rade ≥ 3 events with vemurafenib (versus dacarbazine) in the pivotal trial were cutaneous SCC 11.3%, rash 8.3%, keratoacanthoma 6%, arthralgia 3.3%, photosensitivity 2.7%, elevated serum GGT 2.7% and elevated A</w:t>
      </w:r>
      <w:r w:rsidR="00BB2876">
        <w:rPr>
          <w:rFonts w:eastAsia="Times New Roman"/>
        </w:rPr>
        <w:t>L</w:t>
      </w:r>
      <w:r>
        <w:rPr>
          <w:rFonts w:eastAsia="Times New Roman"/>
        </w:rPr>
        <w:t xml:space="preserve">P 2.1%. In the dacarbazine group, </w:t>
      </w:r>
      <w:r w:rsidR="00A93E0A">
        <w:rPr>
          <w:rFonts w:eastAsia="Times New Roman"/>
        </w:rPr>
        <w:t>G</w:t>
      </w:r>
      <w:r>
        <w:rPr>
          <w:rFonts w:eastAsia="Times New Roman"/>
        </w:rPr>
        <w:t xml:space="preserve">rade ≥ 3 SCC was 0.4%, arthralgia 0.7% and the other events 0%. In the pooled trials with longer duration of treatment, the incidence of treatment related </w:t>
      </w:r>
      <w:r w:rsidR="00A93E0A">
        <w:rPr>
          <w:rFonts w:eastAsia="Times New Roman"/>
        </w:rPr>
        <w:t>G</w:t>
      </w:r>
      <w:r>
        <w:rPr>
          <w:rFonts w:eastAsia="Times New Roman"/>
        </w:rPr>
        <w:t>rade ≥ 3 SCC with vemurafenib was even higher at 23%. The corresponding incidences for the other events were rash 6.1%, keratoacanthoma 4.3%, arthralgia 5.5%, photosensitivity 3.7%, elevated serum GGT 8.5% and elevated serum A</w:t>
      </w:r>
      <w:r w:rsidR="00CE3715">
        <w:rPr>
          <w:rFonts w:eastAsia="Times New Roman"/>
        </w:rPr>
        <w:t>L</w:t>
      </w:r>
      <w:r>
        <w:rPr>
          <w:rFonts w:eastAsia="Times New Roman"/>
        </w:rPr>
        <w:t xml:space="preserve">P 2.4%. Other common treatment-related </w:t>
      </w:r>
      <w:r w:rsidR="00A93E0A">
        <w:rPr>
          <w:rFonts w:eastAsia="Times New Roman"/>
        </w:rPr>
        <w:t>G</w:t>
      </w:r>
      <w:r>
        <w:rPr>
          <w:rFonts w:eastAsia="Times New Roman"/>
        </w:rPr>
        <w:t>rade ≥ 3 events in the pooled trials included basal cell carcinoma 5.5%, increased serum ALT 4.3% and fatigue 2.4%.</w:t>
      </w:r>
    </w:p>
    <w:p w:rsidR="001B43F4" w:rsidRDefault="001B43F4" w:rsidP="005C7653">
      <w:pPr>
        <w:widowControl w:val="0"/>
        <w:numPr>
          <w:ilvl w:val="0"/>
          <w:numId w:val="13"/>
        </w:numPr>
        <w:tabs>
          <w:tab w:val="clear" w:pos="1080"/>
          <w:tab w:val="left" w:pos="-1440"/>
          <w:tab w:val="num" w:pos="567"/>
          <w:tab w:val="center" w:pos="4153"/>
          <w:tab w:val="right" w:pos="8306"/>
        </w:tabs>
        <w:snapToGrid w:val="0"/>
        <w:spacing w:after="0" w:line="240" w:lineRule="auto"/>
        <w:ind w:left="567" w:hanging="425"/>
        <w:rPr>
          <w:rFonts w:eastAsia="Times New Roman"/>
        </w:rPr>
      </w:pPr>
      <w:r>
        <w:rPr>
          <w:rFonts w:eastAsia="Times New Roman"/>
        </w:rPr>
        <w:t>Adverse events potentially associated with QT prolongation were common across the clinical trials in patients treated with vemurafenib</w:t>
      </w:r>
      <w:r w:rsidR="00A93E0A">
        <w:rPr>
          <w:rFonts w:eastAsia="Times New Roman"/>
        </w:rPr>
        <w:t>;</w:t>
      </w:r>
      <w:r>
        <w:rPr>
          <w:rFonts w:eastAsia="Times New Roman"/>
        </w:rPr>
        <w:t xml:space="preserve"> 8% of patients in the pivotal trial and 9% of patients in the pooled trials. The most common event was dizziness. Grade 3 events were uncommon.</w:t>
      </w:r>
    </w:p>
    <w:p w:rsidR="001B43F4" w:rsidRDefault="001B43F4" w:rsidP="005C7653">
      <w:pPr>
        <w:widowControl w:val="0"/>
        <w:numPr>
          <w:ilvl w:val="0"/>
          <w:numId w:val="13"/>
        </w:numPr>
        <w:tabs>
          <w:tab w:val="clear" w:pos="1080"/>
          <w:tab w:val="left" w:pos="-1440"/>
          <w:tab w:val="num" w:pos="567"/>
          <w:tab w:val="center" w:pos="4153"/>
          <w:tab w:val="right" w:pos="8306"/>
        </w:tabs>
        <w:snapToGrid w:val="0"/>
        <w:spacing w:after="0" w:line="240" w:lineRule="auto"/>
        <w:ind w:left="567" w:hanging="425"/>
        <w:rPr>
          <w:rFonts w:eastAsia="Times New Roman"/>
        </w:rPr>
      </w:pPr>
      <w:r>
        <w:rPr>
          <w:rFonts w:eastAsia="Times New Roman"/>
        </w:rPr>
        <w:t>Based on the Bradford-Hill criteria for causation, the following less common adverse events in clinical trials were possibly related to vemurafenib (</w:t>
      </w:r>
      <w:r w:rsidR="00A93E0A">
        <w:rPr>
          <w:rFonts w:eastAsia="Times New Roman"/>
        </w:rPr>
        <w:t xml:space="preserve">sponsor’s </w:t>
      </w:r>
      <w:r>
        <w:rPr>
          <w:rFonts w:eastAsia="Times New Roman"/>
          <w:i/>
        </w:rPr>
        <w:t>Clinical Overview</w:t>
      </w:r>
      <w:r>
        <w:rPr>
          <w:rFonts w:eastAsia="Times New Roman"/>
        </w:rPr>
        <w:t>):</w:t>
      </w:r>
    </w:p>
    <w:p w:rsidR="001B43F4" w:rsidRDefault="001B43F4" w:rsidP="005C7653">
      <w:pPr>
        <w:widowControl w:val="0"/>
        <w:numPr>
          <w:ilvl w:val="1"/>
          <w:numId w:val="13"/>
        </w:numPr>
        <w:tabs>
          <w:tab w:val="clear" w:pos="1800"/>
          <w:tab w:val="left" w:pos="-1440"/>
          <w:tab w:val="num" w:pos="1134"/>
          <w:tab w:val="center" w:pos="4153"/>
          <w:tab w:val="right" w:pos="8306"/>
        </w:tabs>
        <w:snapToGrid w:val="0"/>
        <w:spacing w:after="0" w:line="240" w:lineRule="auto"/>
        <w:ind w:left="1134" w:hanging="283"/>
        <w:rPr>
          <w:rFonts w:eastAsia="Times New Roman"/>
        </w:rPr>
      </w:pPr>
      <w:r>
        <w:rPr>
          <w:rFonts w:eastAsia="Times New Roman"/>
        </w:rPr>
        <w:t>Skin: palmar-plantar erythrodysaesthesia syndrome, keratosis pilaris, erythema nodosum, Stevens-Johnson syndrome</w:t>
      </w:r>
    </w:p>
    <w:p w:rsidR="001B43F4" w:rsidRDefault="001B43F4" w:rsidP="005C7653">
      <w:pPr>
        <w:widowControl w:val="0"/>
        <w:numPr>
          <w:ilvl w:val="1"/>
          <w:numId w:val="13"/>
        </w:numPr>
        <w:tabs>
          <w:tab w:val="clear" w:pos="1800"/>
          <w:tab w:val="left" w:pos="-1440"/>
          <w:tab w:val="num" w:pos="1134"/>
          <w:tab w:val="center" w:pos="4153"/>
          <w:tab w:val="right" w:pos="8306"/>
        </w:tabs>
        <w:snapToGrid w:val="0"/>
        <w:spacing w:after="0" w:line="240" w:lineRule="auto"/>
        <w:ind w:left="1134" w:hanging="283"/>
        <w:rPr>
          <w:rFonts w:eastAsia="Times New Roman"/>
        </w:rPr>
      </w:pPr>
      <w:r>
        <w:rPr>
          <w:rFonts w:eastAsia="Times New Roman"/>
        </w:rPr>
        <w:t>Musculoskeletal: arthritis</w:t>
      </w:r>
    </w:p>
    <w:p w:rsidR="001B43F4" w:rsidRDefault="001B43F4" w:rsidP="005C7653">
      <w:pPr>
        <w:widowControl w:val="0"/>
        <w:numPr>
          <w:ilvl w:val="1"/>
          <w:numId w:val="13"/>
        </w:numPr>
        <w:tabs>
          <w:tab w:val="clear" w:pos="1800"/>
          <w:tab w:val="left" w:pos="-1440"/>
          <w:tab w:val="num" w:pos="1134"/>
          <w:tab w:val="center" w:pos="4153"/>
          <w:tab w:val="right" w:pos="8306"/>
        </w:tabs>
        <w:snapToGrid w:val="0"/>
        <w:spacing w:after="0" w:line="240" w:lineRule="auto"/>
        <w:ind w:left="1134" w:hanging="283"/>
        <w:rPr>
          <w:rFonts w:eastAsia="Times New Roman"/>
        </w:rPr>
      </w:pPr>
      <w:r>
        <w:rPr>
          <w:rFonts w:eastAsia="Times New Roman"/>
        </w:rPr>
        <w:t>Neurological: dizziness, peripheral neuropathy, VIIth nerve paralysis</w:t>
      </w:r>
    </w:p>
    <w:p w:rsidR="001B43F4" w:rsidRDefault="001B43F4" w:rsidP="005C7653">
      <w:pPr>
        <w:widowControl w:val="0"/>
        <w:numPr>
          <w:ilvl w:val="1"/>
          <w:numId w:val="13"/>
        </w:numPr>
        <w:tabs>
          <w:tab w:val="clear" w:pos="1800"/>
          <w:tab w:val="left" w:pos="-1440"/>
          <w:tab w:val="num" w:pos="1134"/>
          <w:tab w:val="center" w:pos="4153"/>
          <w:tab w:val="right" w:pos="8306"/>
        </w:tabs>
        <w:snapToGrid w:val="0"/>
        <w:spacing w:after="0" w:line="240" w:lineRule="auto"/>
        <w:ind w:left="1134" w:hanging="283"/>
        <w:rPr>
          <w:rFonts w:eastAsia="Times New Roman"/>
        </w:rPr>
      </w:pPr>
      <w:r>
        <w:rPr>
          <w:rFonts w:eastAsia="Times New Roman"/>
        </w:rPr>
        <w:t>Infections: folliculitis</w:t>
      </w:r>
    </w:p>
    <w:p w:rsidR="001B43F4" w:rsidRDefault="001B43F4" w:rsidP="005C7653">
      <w:pPr>
        <w:widowControl w:val="0"/>
        <w:numPr>
          <w:ilvl w:val="1"/>
          <w:numId w:val="13"/>
        </w:numPr>
        <w:tabs>
          <w:tab w:val="clear" w:pos="1800"/>
          <w:tab w:val="left" w:pos="-1440"/>
          <w:tab w:val="num" w:pos="1134"/>
          <w:tab w:val="center" w:pos="4153"/>
          <w:tab w:val="right" w:pos="8306"/>
        </w:tabs>
        <w:snapToGrid w:val="0"/>
        <w:spacing w:after="0" w:line="240" w:lineRule="auto"/>
        <w:ind w:left="1134" w:hanging="283"/>
        <w:rPr>
          <w:rFonts w:eastAsia="Times New Roman"/>
        </w:rPr>
      </w:pPr>
      <w:r>
        <w:rPr>
          <w:rFonts w:eastAsia="Times New Roman"/>
        </w:rPr>
        <w:t>Eye: retinal vein occlusion, uveitis</w:t>
      </w:r>
    </w:p>
    <w:p w:rsidR="001B43F4" w:rsidRDefault="001B43F4" w:rsidP="005C7653">
      <w:pPr>
        <w:widowControl w:val="0"/>
        <w:numPr>
          <w:ilvl w:val="1"/>
          <w:numId w:val="13"/>
        </w:numPr>
        <w:tabs>
          <w:tab w:val="clear" w:pos="1800"/>
          <w:tab w:val="left" w:pos="-1440"/>
          <w:tab w:val="num" w:pos="1134"/>
          <w:tab w:val="center" w:pos="4153"/>
          <w:tab w:val="right" w:pos="8306"/>
        </w:tabs>
        <w:snapToGrid w:val="0"/>
        <w:spacing w:after="0" w:line="240" w:lineRule="auto"/>
        <w:ind w:left="1134" w:hanging="283"/>
        <w:rPr>
          <w:rFonts w:eastAsia="Times New Roman"/>
        </w:rPr>
      </w:pPr>
      <w:r>
        <w:rPr>
          <w:rFonts w:eastAsia="Times New Roman"/>
        </w:rPr>
        <w:t>Vascular: vasculitis</w:t>
      </w:r>
    </w:p>
    <w:p w:rsidR="001B43F4" w:rsidRDefault="001B43F4" w:rsidP="005C7653">
      <w:pPr>
        <w:widowControl w:val="0"/>
        <w:numPr>
          <w:ilvl w:val="1"/>
          <w:numId w:val="13"/>
        </w:numPr>
        <w:tabs>
          <w:tab w:val="clear" w:pos="1800"/>
          <w:tab w:val="left" w:pos="-1440"/>
          <w:tab w:val="num" w:pos="1134"/>
          <w:tab w:val="center" w:pos="4153"/>
          <w:tab w:val="right" w:pos="8306"/>
        </w:tabs>
        <w:snapToGrid w:val="0"/>
        <w:spacing w:after="0" w:line="240" w:lineRule="auto"/>
        <w:ind w:left="1134" w:hanging="283"/>
        <w:rPr>
          <w:rFonts w:eastAsia="Times New Roman"/>
        </w:rPr>
      </w:pPr>
      <w:r>
        <w:rPr>
          <w:rFonts w:eastAsia="Times New Roman"/>
        </w:rPr>
        <w:t>General: weight loss.</w:t>
      </w:r>
    </w:p>
    <w:p w:rsidR="001B43F4" w:rsidRDefault="001B43F4" w:rsidP="005C7653">
      <w:pPr>
        <w:pStyle w:val="ListParagraph"/>
        <w:numPr>
          <w:ilvl w:val="0"/>
          <w:numId w:val="14"/>
        </w:numPr>
        <w:adjustRightInd/>
        <w:snapToGrid/>
        <w:spacing w:after="200" w:line="276" w:lineRule="auto"/>
        <w:ind w:left="567" w:hanging="425"/>
        <w:rPr>
          <w:rFonts w:eastAsia="Times New Roman"/>
          <w:lang w:eastAsia="en-US"/>
        </w:rPr>
      </w:pPr>
      <w:r>
        <w:rPr>
          <w:rFonts w:eastAsia="Times New Roman"/>
          <w:lang w:eastAsia="en-US"/>
        </w:rPr>
        <w:t>In the pivotal trial, the vemurafenib dose was reduced mostly because of rash, arthralgia, elevated liver function tests and pyrexia.</w:t>
      </w:r>
    </w:p>
    <w:p w:rsidR="001B43F4" w:rsidRDefault="001B43F4" w:rsidP="005C7653">
      <w:pPr>
        <w:widowControl w:val="0"/>
        <w:numPr>
          <w:ilvl w:val="0"/>
          <w:numId w:val="13"/>
        </w:numPr>
        <w:tabs>
          <w:tab w:val="clear" w:pos="1080"/>
          <w:tab w:val="left" w:pos="-1440"/>
          <w:tab w:val="num" w:pos="567"/>
          <w:tab w:val="center" w:pos="4153"/>
          <w:tab w:val="right" w:pos="8306"/>
        </w:tabs>
        <w:snapToGrid w:val="0"/>
        <w:spacing w:after="0" w:line="240" w:lineRule="auto"/>
        <w:ind w:left="567" w:hanging="425"/>
        <w:rPr>
          <w:rFonts w:eastAsia="Times New Roman"/>
        </w:rPr>
      </w:pPr>
      <w:r>
        <w:rPr>
          <w:rFonts w:eastAsia="Times New Roman"/>
        </w:rPr>
        <w:t xml:space="preserve">One death (due to tumour lysis syndrome and renal failure) in the clinical trials was </w:t>
      </w:r>
      <w:r w:rsidR="00A93E0A">
        <w:rPr>
          <w:rFonts w:eastAsia="Times New Roman"/>
        </w:rPr>
        <w:t>possibly related to vemurafenib.</w:t>
      </w:r>
    </w:p>
    <w:p w:rsidR="001B43F4" w:rsidRDefault="001B43F4" w:rsidP="001B43F4">
      <w:pPr>
        <w:pStyle w:val="ListParagraph"/>
        <w:rPr>
          <w:rFonts w:eastAsia="Times New Roman"/>
          <w:lang w:eastAsia="en-US"/>
        </w:rPr>
      </w:pPr>
    </w:p>
    <w:p w:rsidR="001B43F4" w:rsidRDefault="001B43F4" w:rsidP="001B43F4">
      <w:pPr>
        <w:widowControl w:val="0"/>
        <w:tabs>
          <w:tab w:val="left" w:pos="-1440"/>
          <w:tab w:val="center" w:pos="4153"/>
          <w:tab w:val="right" w:pos="8306"/>
        </w:tabs>
        <w:snapToGrid w:val="0"/>
        <w:rPr>
          <w:rFonts w:eastAsia="Times New Roman"/>
          <w:i/>
        </w:rPr>
      </w:pPr>
      <w:r>
        <w:rPr>
          <w:rFonts w:eastAsia="Times New Roman"/>
        </w:rPr>
        <w:t>The evaluator supported registration.</w:t>
      </w:r>
    </w:p>
    <w:p w:rsidR="00116AE6" w:rsidRDefault="006165D4" w:rsidP="00116AE6">
      <w:pPr>
        <w:pStyle w:val="Heading3"/>
        <w:rPr>
          <w:lang w:eastAsia="en-AU"/>
        </w:rPr>
      </w:pPr>
      <w:bookmarkStart w:id="87" w:name="_Toc345675790"/>
      <w:r>
        <w:rPr>
          <w:lang w:eastAsia="en-AU"/>
        </w:rPr>
        <w:lastRenderedPageBreak/>
        <w:t>Risk management p</w:t>
      </w:r>
      <w:r w:rsidR="00116AE6">
        <w:rPr>
          <w:lang w:eastAsia="en-AU"/>
        </w:rPr>
        <w:t>lan</w:t>
      </w:r>
      <w:bookmarkEnd w:id="87"/>
    </w:p>
    <w:p w:rsidR="00A93E0A" w:rsidRDefault="00A93E0A" w:rsidP="005C7653">
      <w:pPr>
        <w:widowControl w:val="0"/>
        <w:numPr>
          <w:ilvl w:val="0"/>
          <w:numId w:val="12"/>
        </w:numPr>
        <w:tabs>
          <w:tab w:val="clear" w:pos="720"/>
          <w:tab w:val="left" w:pos="-1440"/>
          <w:tab w:val="num" w:pos="567"/>
          <w:tab w:val="center" w:pos="4153"/>
          <w:tab w:val="right" w:pos="8306"/>
        </w:tabs>
        <w:snapToGrid w:val="0"/>
        <w:spacing w:after="240" w:line="240" w:lineRule="auto"/>
        <w:ind w:left="567" w:hanging="425"/>
        <w:rPr>
          <w:rFonts w:eastAsia="Times New Roman"/>
        </w:rPr>
      </w:pPr>
      <w:bookmarkStart w:id="88" w:name="_Toc247691531"/>
      <w:bookmarkStart w:id="89" w:name="_Toc196046505"/>
      <w:bookmarkStart w:id="90" w:name="_Toc196046949"/>
      <w:r>
        <w:rPr>
          <w:rFonts w:eastAsia="Times New Roman"/>
        </w:rPr>
        <w:t>Implementation of the RMP version 1.0 dated May 2011 and subsequent revisions is recommended as a condition of registration.</w:t>
      </w:r>
    </w:p>
    <w:p w:rsidR="00116AE6" w:rsidRDefault="006165D4" w:rsidP="00116AE6">
      <w:pPr>
        <w:pStyle w:val="Heading3"/>
      </w:pPr>
      <w:bookmarkStart w:id="91" w:name="_Toc345675791"/>
      <w:r>
        <w:t>Risk-benefit a</w:t>
      </w:r>
      <w:r w:rsidR="00116AE6">
        <w:t>nalysis</w:t>
      </w:r>
      <w:bookmarkEnd w:id="88"/>
      <w:bookmarkEnd w:id="91"/>
    </w:p>
    <w:p w:rsidR="00116AE6" w:rsidRDefault="006165D4" w:rsidP="00116AE6">
      <w:pPr>
        <w:pStyle w:val="Heading4"/>
      </w:pPr>
      <w:r>
        <w:t>Delegate c</w:t>
      </w:r>
      <w:r w:rsidR="00116AE6">
        <w:t>onsiderations</w:t>
      </w:r>
    </w:p>
    <w:p w:rsidR="00A93E0A" w:rsidRDefault="00A93E0A" w:rsidP="00A93E0A">
      <w:pPr>
        <w:widowControl w:val="0"/>
        <w:tabs>
          <w:tab w:val="left" w:pos="-1440"/>
        </w:tabs>
        <w:snapToGrid w:val="0"/>
        <w:rPr>
          <w:rFonts w:eastAsia="Times New Roman"/>
        </w:rPr>
      </w:pPr>
      <w:r>
        <w:rPr>
          <w:rFonts w:eastAsia="Times New Roman"/>
        </w:rPr>
        <w:t>The pivotal Study NO25026 showed that vemurafenib significantly increased overall and progression-free survival compared with dacarbazine in BRAF V600E mutation positive unresectable Stage IIIC or IV melanoma. The data specifically relate to patients with tumours with the V600E mutation which the cobas test was designed to detect. Median follow-up was short. Based on the preliminary data, the median increase in overall survival was 1.4 months and progression-free survival 3.7 months compared with dacarbazine. There is potential for bias in progression-free survival since the trial was open label and there was no independent radiological review. However, there was support from one of the uncontrolled trials NP22657 which did have independent radiological review. The duration of response was short (median around 6 months). Further follow-up is needed to confirm the survival benefit. The US FDA has required an analysis of overall survival after a minimum 24 months follow-up as a post market commitment.</w:t>
      </w:r>
    </w:p>
    <w:p w:rsidR="00A93E0A" w:rsidRDefault="00A93E0A" w:rsidP="00A93E0A">
      <w:pPr>
        <w:widowControl w:val="0"/>
        <w:tabs>
          <w:tab w:val="left" w:pos="-1440"/>
        </w:tabs>
        <w:snapToGrid w:val="0"/>
        <w:rPr>
          <w:rFonts w:eastAsia="Times New Roman"/>
        </w:rPr>
      </w:pPr>
      <w:r>
        <w:rPr>
          <w:rFonts w:eastAsia="Times New Roman"/>
        </w:rPr>
        <w:t>There were limited data on the efficacy and safety of vemurafenib in patients having tumours with other V600 mutations that tested positive on the cobas test.</w:t>
      </w:r>
    </w:p>
    <w:p w:rsidR="00A93E0A" w:rsidRDefault="00A93E0A" w:rsidP="00A93E0A">
      <w:pPr>
        <w:widowControl w:val="0"/>
        <w:tabs>
          <w:tab w:val="left" w:pos="-1440"/>
        </w:tabs>
        <w:snapToGrid w:val="0"/>
        <w:rPr>
          <w:rFonts w:eastAsia="Times New Roman"/>
        </w:rPr>
      </w:pPr>
      <w:r>
        <w:rPr>
          <w:rFonts w:eastAsia="Times New Roman"/>
        </w:rPr>
        <w:t>Vemurafenib was associated with significant toxicity. Serious commonly occurring adverse reactions were cutaneous SCC, rash, arthralgia, photosensitivity, liver dysfunction and reactions associated with electrocardiographic QT prolongation. Skin effects and QT prolongation also occur with the related drug sorafenib. The duration of vemurafenib treatment and follow-up was short. The adverse reactions will require close monitoring and appropriate management. Dose reduction and discontinuation of treatment may be required. In regard to photosensitivity, protective measures against sun exposure are recommended. The Delegate recommended that the precautionary statements in the PI be updated in line with the US product label information.</w:t>
      </w:r>
    </w:p>
    <w:p w:rsidR="00A93E0A" w:rsidRDefault="00A93E0A" w:rsidP="00A93E0A">
      <w:pPr>
        <w:widowControl w:val="0"/>
        <w:tabs>
          <w:tab w:val="left" w:pos="-1440"/>
        </w:tabs>
        <w:snapToGrid w:val="0"/>
        <w:rPr>
          <w:rFonts w:eastAsia="Times New Roman"/>
        </w:rPr>
      </w:pPr>
      <w:r>
        <w:rPr>
          <w:rFonts w:eastAsia="Times New Roman"/>
        </w:rPr>
        <w:t>In conclusion, vemurafenib provided a small survival advantage over dacarbazine and was associated with some significant adverse effects. The benefit-risk balance is marginally in favour of approval but needs to be clarified with longer-term data. Vemurafenib is the first member of a new drug class for metastatic melanoma and provides an alternative for the treatment of some patients with this disease. The Delegate recommended that the indication be restricted to patients with the BRAF V600E mutation as in the trials.</w:t>
      </w:r>
    </w:p>
    <w:p w:rsidR="00A93E0A" w:rsidRDefault="006165D4" w:rsidP="00A93E0A">
      <w:pPr>
        <w:pStyle w:val="Heading5"/>
      </w:pPr>
      <w:r>
        <w:t>Delegate's draft d</w:t>
      </w:r>
      <w:r w:rsidR="00A93E0A">
        <w:t>ecision</w:t>
      </w:r>
    </w:p>
    <w:p w:rsidR="00A93E0A" w:rsidRDefault="00A93E0A" w:rsidP="00A93E0A">
      <w:pPr>
        <w:widowControl w:val="0"/>
        <w:snapToGrid w:val="0"/>
        <w:rPr>
          <w:rFonts w:eastAsia="Times New Roman"/>
          <w:color w:val="000000"/>
          <w:szCs w:val="24"/>
        </w:rPr>
      </w:pPr>
      <w:r>
        <w:rPr>
          <w:rFonts w:eastAsia="Times New Roman"/>
          <w:color w:val="000000"/>
          <w:szCs w:val="24"/>
        </w:rPr>
        <w:t xml:space="preserve">The Delegate proposed to approve </w:t>
      </w:r>
      <w:r>
        <w:rPr>
          <w:rFonts w:eastAsia="Times New Roman"/>
          <w:szCs w:val="24"/>
        </w:rPr>
        <w:t xml:space="preserve">vemurafenib tablets 240 mg (Zelboraf) </w:t>
      </w:r>
      <w:r>
        <w:rPr>
          <w:rFonts w:eastAsia="Times New Roman"/>
          <w:color w:val="000000"/>
          <w:szCs w:val="24"/>
        </w:rPr>
        <w:t>for the indication:</w:t>
      </w:r>
    </w:p>
    <w:p w:rsidR="00A93E0A" w:rsidRPr="00A93E0A" w:rsidRDefault="00A93E0A" w:rsidP="00A93E0A">
      <w:pPr>
        <w:widowControl w:val="0"/>
        <w:snapToGrid w:val="0"/>
        <w:ind w:left="720"/>
        <w:rPr>
          <w:rFonts w:eastAsia="Times New Roman"/>
          <w:i/>
          <w:szCs w:val="24"/>
        </w:rPr>
      </w:pPr>
      <w:r w:rsidRPr="00A93E0A">
        <w:rPr>
          <w:rFonts w:eastAsia="Times New Roman"/>
          <w:i/>
          <w:szCs w:val="24"/>
        </w:rPr>
        <w:t>Treatment of unresectable stage IIIC or stage IV metastatic melanoma positive for the BRAF V600</w:t>
      </w:r>
      <w:r w:rsidRPr="00A93E0A">
        <w:rPr>
          <w:rFonts w:eastAsia="Times New Roman"/>
          <w:i/>
          <w:szCs w:val="24"/>
          <w:u w:val="single"/>
        </w:rPr>
        <w:t>E</w:t>
      </w:r>
      <w:r w:rsidRPr="00A93E0A">
        <w:rPr>
          <w:rFonts w:eastAsia="Times New Roman"/>
          <w:i/>
          <w:szCs w:val="24"/>
        </w:rPr>
        <w:t xml:space="preserve"> mutation.</w:t>
      </w:r>
    </w:p>
    <w:p w:rsidR="00A93E0A" w:rsidRDefault="00A93E0A" w:rsidP="00A93E0A">
      <w:pPr>
        <w:widowControl w:val="0"/>
        <w:snapToGrid w:val="0"/>
        <w:rPr>
          <w:rFonts w:eastAsia="Times New Roman"/>
          <w:color w:val="000000"/>
          <w:szCs w:val="24"/>
        </w:rPr>
      </w:pPr>
      <w:r>
        <w:rPr>
          <w:rFonts w:eastAsia="Times New Roman"/>
          <w:color w:val="000000"/>
          <w:szCs w:val="24"/>
        </w:rPr>
        <w:t>Approval would be subject to finalisation of the Australian PI.</w:t>
      </w:r>
    </w:p>
    <w:p w:rsidR="00A93E0A" w:rsidRDefault="00A93E0A" w:rsidP="00A93E0A">
      <w:pPr>
        <w:widowControl w:val="0"/>
        <w:snapToGrid w:val="0"/>
        <w:rPr>
          <w:rFonts w:eastAsia="Times New Roman"/>
          <w:color w:val="000000"/>
          <w:szCs w:val="24"/>
        </w:rPr>
      </w:pPr>
      <w:r>
        <w:rPr>
          <w:rFonts w:eastAsia="Times New Roman"/>
          <w:color w:val="000000"/>
          <w:szCs w:val="24"/>
        </w:rPr>
        <w:t>Proposed conditions of registration:</w:t>
      </w:r>
    </w:p>
    <w:p w:rsidR="00A93E0A" w:rsidRDefault="00A93E0A" w:rsidP="005A0DB6">
      <w:pPr>
        <w:pStyle w:val="ListBullet"/>
        <w:rPr>
          <w:color w:val="000000"/>
          <w:szCs w:val="24"/>
        </w:rPr>
      </w:pPr>
      <w:r>
        <w:t>Implement RMP version 1.0 dated May 2011 and subsequent revisions</w:t>
      </w:r>
      <w:r>
        <w:rPr>
          <w:color w:val="000000"/>
          <w:szCs w:val="24"/>
        </w:rPr>
        <w:t xml:space="preserve"> as agreed with the Office of Product Review.</w:t>
      </w:r>
    </w:p>
    <w:p w:rsidR="00A93E0A" w:rsidRDefault="00A93E0A" w:rsidP="005A0DB6">
      <w:pPr>
        <w:pStyle w:val="ListBullet"/>
        <w:rPr>
          <w:color w:val="000000"/>
          <w:szCs w:val="24"/>
        </w:rPr>
      </w:pPr>
      <w:r>
        <w:t>Limit unspecified impurities in the drug substance (unless otherwise justified by sponsor).</w:t>
      </w:r>
    </w:p>
    <w:p w:rsidR="00A93E0A" w:rsidRDefault="00A93E0A" w:rsidP="005A0DB6">
      <w:pPr>
        <w:pStyle w:val="ListBullet"/>
        <w:rPr>
          <w:color w:val="000000"/>
          <w:szCs w:val="24"/>
        </w:rPr>
      </w:pPr>
      <w:r>
        <w:rPr>
          <w:color w:val="000000"/>
          <w:szCs w:val="24"/>
        </w:rPr>
        <w:lastRenderedPageBreak/>
        <w:t xml:space="preserve">Submit 24 month survival and safety data from Study </w:t>
      </w:r>
      <w:r>
        <w:t xml:space="preserve">NO25026 </w:t>
      </w:r>
      <w:r>
        <w:rPr>
          <w:color w:val="000000"/>
          <w:szCs w:val="24"/>
        </w:rPr>
        <w:t>when available.</w:t>
      </w:r>
    </w:p>
    <w:p w:rsidR="00A93E0A" w:rsidRDefault="00A93E0A" w:rsidP="005A0DB6">
      <w:pPr>
        <w:pStyle w:val="ListBullet"/>
        <w:rPr>
          <w:color w:val="000000"/>
          <w:szCs w:val="24"/>
        </w:rPr>
      </w:pPr>
      <w:r>
        <w:rPr>
          <w:color w:val="000000"/>
          <w:szCs w:val="24"/>
        </w:rPr>
        <w:t>Submit results of the food-effect study when available.</w:t>
      </w:r>
    </w:p>
    <w:p w:rsidR="00A93E0A" w:rsidRDefault="00A93E0A" w:rsidP="005A0DB6">
      <w:pPr>
        <w:pStyle w:val="ListBullet"/>
        <w:rPr>
          <w:color w:val="000000"/>
          <w:szCs w:val="24"/>
        </w:rPr>
      </w:pPr>
      <w:r>
        <w:rPr>
          <w:color w:val="000000"/>
          <w:szCs w:val="24"/>
        </w:rPr>
        <w:t>Submit results of the study in hepatic impairment when available.</w:t>
      </w:r>
    </w:p>
    <w:p w:rsidR="00A93E0A" w:rsidRDefault="005A0DB6" w:rsidP="005A0DB6">
      <w:r>
        <w:t>The application was s</w:t>
      </w:r>
      <w:r w:rsidR="00A93E0A">
        <w:t xml:space="preserve">ubmitted to </w:t>
      </w:r>
      <w:r>
        <w:t>the Advisory Committee on Prescription Medicines (</w:t>
      </w:r>
      <w:r w:rsidR="00A93E0A">
        <w:t>ACPM</w:t>
      </w:r>
      <w:r>
        <w:t>)</w:t>
      </w:r>
      <w:r w:rsidR="00A93E0A">
        <w:t xml:space="preserve"> for advice.</w:t>
      </w:r>
    </w:p>
    <w:p w:rsidR="00116AE6" w:rsidRDefault="006165D4" w:rsidP="009A3DAC">
      <w:pPr>
        <w:pStyle w:val="Heading4"/>
        <w:keepNext/>
      </w:pPr>
      <w:r>
        <w:t>Response from s</w:t>
      </w:r>
      <w:r w:rsidR="00116AE6">
        <w:t>ponsor</w:t>
      </w:r>
    </w:p>
    <w:p w:rsidR="004C3829" w:rsidRDefault="006165D4" w:rsidP="009A3DAC">
      <w:pPr>
        <w:pStyle w:val="Heading5"/>
        <w:rPr>
          <w:lang w:eastAsia="en-AU"/>
        </w:rPr>
      </w:pPr>
      <w:r>
        <w:rPr>
          <w:lang w:eastAsia="en-AU"/>
        </w:rPr>
        <w:t>Comment on the Delegate’s proposed a</w:t>
      </w:r>
      <w:r w:rsidR="004C3829">
        <w:rPr>
          <w:lang w:eastAsia="en-AU"/>
        </w:rPr>
        <w:t>ction</w:t>
      </w:r>
    </w:p>
    <w:p w:rsidR="004C3829" w:rsidRDefault="004C3829" w:rsidP="009A3DAC">
      <w:pPr>
        <w:keepNext/>
        <w:rPr>
          <w:lang w:eastAsia="en-AU"/>
        </w:rPr>
      </w:pPr>
      <w:r>
        <w:rPr>
          <w:lang w:eastAsia="en-AU"/>
        </w:rPr>
        <w:t>The sponsor agreed with the Delegate’s proposed action to approve Zelboraf (vemurafenib) 240 film-coated tablets.</w:t>
      </w:r>
    </w:p>
    <w:p w:rsidR="004C3829" w:rsidRDefault="004C3829" w:rsidP="004C3829">
      <w:pPr>
        <w:rPr>
          <w:lang w:eastAsia="en-AU"/>
        </w:rPr>
      </w:pPr>
      <w:r>
        <w:rPr>
          <w:lang w:eastAsia="en-AU"/>
        </w:rPr>
        <w:t>With regards to the statement from the Delegate that “the risk benefit balance is marginally in favour of approval but needs to be clarified with long term data”, Roche commented that a clinically meaningful and statistically significant benefit of vemurafenib treatment on overall survival compared to dacarbazine was demonstrated in the Clinical Study Report (CSR) analysis (December 30, 2010 cut-off). Taken together, the efficacy and safety of vemurafenib demonstrated in the randomised controlled Phase III trial supports a positive benefit-risk assessment in a population with high unmet medical need. Phase I and II studies of vemurafenib in metastatic melanoma patients provide support for this assessment. Additionally, the safety data from the clinical development program indicate that vemurafenib has a well characterised and manageable safety profile. Confirming this positive risk benefit profile, long term data will be provided to TGA as part of the Core Data Sheet updates and as committed to as part of the proposed conditions of registration.</w:t>
      </w:r>
    </w:p>
    <w:p w:rsidR="004C3829" w:rsidRDefault="004C3829" w:rsidP="004C3829">
      <w:pPr>
        <w:rPr>
          <w:lang w:eastAsia="en-AU"/>
        </w:rPr>
      </w:pPr>
      <w:r>
        <w:rPr>
          <w:lang w:eastAsia="en-AU"/>
        </w:rPr>
        <w:t>The sponsor disagreed with the Delegate’s proposal to restrict the use of Zelboraf to patients positive for the BRAF V600E mutation only. The sponsor considers that the clinical and nonclinical data support the use of the product with BRAF V600 mutations and proposes to change the indication proposed in the submission to make this clear:</w:t>
      </w:r>
    </w:p>
    <w:p w:rsidR="004C3829" w:rsidRPr="004C3829" w:rsidRDefault="004C3829" w:rsidP="004C3829">
      <w:pPr>
        <w:ind w:left="720"/>
        <w:rPr>
          <w:i/>
          <w:lang w:eastAsia="en-AU"/>
        </w:rPr>
      </w:pPr>
      <w:r w:rsidRPr="004C3829">
        <w:rPr>
          <w:i/>
          <w:lang w:eastAsia="en-AU"/>
        </w:rPr>
        <w:t xml:space="preserve">“Zelboraf is indicated for the treatment of unresectable stage IIIC or stage IV metastatic melanoma positive for </w:t>
      </w:r>
      <w:r w:rsidR="008305A0" w:rsidRPr="008305A0">
        <w:rPr>
          <w:i/>
          <w:strike/>
          <w:lang w:eastAsia="en-AU"/>
        </w:rPr>
        <w:t>the</w:t>
      </w:r>
      <w:r w:rsidRPr="004C3829">
        <w:rPr>
          <w:i/>
          <w:lang w:eastAsia="en-AU"/>
        </w:rPr>
        <w:t xml:space="preserve"> </w:t>
      </w:r>
      <w:r w:rsidR="008305A0" w:rsidRPr="008305A0">
        <w:rPr>
          <w:i/>
          <w:u w:val="single"/>
          <w:lang w:eastAsia="en-AU"/>
        </w:rPr>
        <w:t>a</w:t>
      </w:r>
      <w:r w:rsidRPr="004C3829">
        <w:rPr>
          <w:i/>
          <w:lang w:eastAsia="en-AU"/>
        </w:rPr>
        <w:t xml:space="preserve"> BRAF V600 mutation”.</w:t>
      </w:r>
    </w:p>
    <w:p w:rsidR="004C3829" w:rsidRDefault="004C3829" w:rsidP="004C3829">
      <w:pPr>
        <w:rPr>
          <w:lang w:eastAsia="en-AU"/>
        </w:rPr>
      </w:pPr>
      <w:r>
        <w:rPr>
          <w:lang w:eastAsia="en-AU"/>
        </w:rPr>
        <w:t>The rationale supporting this indication is provided below:</w:t>
      </w:r>
    </w:p>
    <w:p w:rsidR="004C3829" w:rsidRDefault="004C3829" w:rsidP="004C3829">
      <w:pPr>
        <w:rPr>
          <w:lang w:eastAsia="en-AU"/>
        </w:rPr>
      </w:pPr>
      <w:r>
        <w:rPr>
          <w:lang w:eastAsia="en-AU"/>
        </w:rPr>
        <w:t>Existing literature indicates that V600E, V600K, V600D and V600R represent &gt;99% of the metastatic melanoma cases with BRAF V600 mutations. The available nonclinical and clinical data suggest efficacy of vemurafenib against tumours with V600 non-E mutations. These data are summarised below followed by a proposal to provide further sequencing data from the pivotal study.</w:t>
      </w:r>
    </w:p>
    <w:p w:rsidR="004C3829" w:rsidRDefault="004C3829" w:rsidP="004C3829">
      <w:pPr>
        <w:pStyle w:val="Heading5"/>
        <w:rPr>
          <w:lang w:eastAsia="en-AU"/>
        </w:rPr>
      </w:pPr>
      <w:r>
        <w:rPr>
          <w:lang w:eastAsia="en-AU"/>
        </w:rPr>
        <w:t>1. Prevalence of V600 Non-E mutations in melanoma</w:t>
      </w:r>
    </w:p>
    <w:p w:rsidR="004C3829" w:rsidRPr="009A3DAC" w:rsidRDefault="004C3829" w:rsidP="004C3829">
      <w:pPr>
        <w:rPr>
          <w:lang w:eastAsia="en-AU"/>
        </w:rPr>
      </w:pPr>
      <w:r>
        <w:rPr>
          <w:lang w:eastAsia="en-AU"/>
        </w:rPr>
        <w:t>The public Catalog of Somatic Mutations in Cancer (COSMIC) database</w:t>
      </w:r>
      <w:r>
        <w:rPr>
          <w:rStyle w:val="FootnoteReference"/>
          <w:lang w:eastAsia="en-AU"/>
        </w:rPr>
        <w:footnoteReference w:id="25"/>
      </w:r>
      <w:r>
        <w:rPr>
          <w:lang w:eastAsia="en-AU"/>
        </w:rPr>
        <w:t xml:space="preserve"> catalogues entries from published reports of BRAF mutations among various cancers. As of July 2011, among 2099 melanoma specimens with sufficiently characterised BRAF mutations at codon 600, four types of mutations were observed more than once. As </w:t>
      </w:r>
      <w:r w:rsidRPr="009A3DAC">
        <w:rPr>
          <w:lang w:eastAsia="en-AU"/>
        </w:rPr>
        <w:t xml:space="preserve">noted in Table </w:t>
      </w:r>
      <w:r w:rsidR="009A3DAC" w:rsidRPr="009A3DAC">
        <w:rPr>
          <w:lang w:eastAsia="en-AU"/>
        </w:rPr>
        <w:t>30</w:t>
      </w:r>
      <w:r w:rsidRPr="009A3DAC">
        <w:rPr>
          <w:lang w:eastAsia="en-AU"/>
        </w:rPr>
        <w:t>, V600E (1799T&gt;A) was the most frequently identified mutation. V600K was the second most frequent codon 600 mutation, followed by V600R, and a rare 2-base change that results in V600E (denoted V600E2 hereafter). Three other mutations (V600D, V600G and V600M) were each reported only once. Another case of V600G and a single case of V600A were observed in benign melanocytic nevi.</w:t>
      </w:r>
    </w:p>
    <w:p w:rsidR="004C3829" w:rsidRDefault="004C3829" w:rsidP="004C3829">
      <w:pPr>
        <w:rPr>
          <w:lang w:eastAsia="en-AU"/>
        </w:rPr>
      </w:pPr>
      <w:r w:rsidRPr="009A3DAC">
        <w:rPr>
          <w:lang w:eastAsia="en-AU"/>
        </w:rPr>
        <w:lastRenderedPageBreak/>
        <w:t xml:space="preserve">In support of validating the cobas test which was used to select patients for the Phase II and Phase III clinical studies, Sanger sequencing data was collected retrospectively for 496 specimens submitted for Phase III eligibility testing. As shown in Table </w:t>
      </w:r>
      <w:r w:rsidR="009A3DAC" w:rsidRPr="009A3DAC">
        <w:rPr>
          <w:lang w:eastAsia="en-AU"/>
        </w:rPr>
        <w:t>30</w:t>
      </w:r>
      <w:r w:rsidRPr="009A3DAC">
        <w:rPr>
          <w:lang w:eastAsia="en-AU"/>
        </w:rPr>
        <w:t>, the results are consistent with expectations based upon the COSMIC database in that among V600 non-E mutations; only V600K, V600D and V600R were observed.</w:t>
      </w:r>
    </w:p>
    <w:p w:rsidR="00A45490" w:rsidRDefault="00A45490" w:rsidP="00A45490">
      <w:pPr>
        <w:pStyle w:val="FigureTitle"/>
        <w:keepNext/>
        <w:rPr>
          <w:lang w:eastAsia="en-AU"/>
        </w:rPr>
      </w:pPr>
      <w:r>
        <w:rPr>
          <w:lang w:eastAsia="en-AU"/>
        </w:rPr>
        <w:t xml:space="preserve">Table </w:t>
      </w:r>
      <w:r w:rsidR="009A3DAC">
        <w:rPr>
          <w:lang w:eastAsia="en-AU"/>
        </w:rPr>
        <w:t>30</w:t>
      </w:r>
      <w:r w:rsidR="006165D4">
        <w:rPr>
          <w:lang w:eastAsia="en-AU"/>
        </w:rPr>
        <w:t>. Codon 600 BRAF mutations in m</w:t>
      </w:r>
      <w:r>
        <w:rPr>
          <w:lang w:eastAsia="en-AU"/>
        </w:rPr>
        <w:t>elanoma</w:t>
      </w:r>
    </w:p>
    <w:p w:rsidR="004C3829" w:rsidRDefault="005B75BE" w:rsidP="00A45490">
      <w:pPr>
        <w:keepNext/>
        <w:rPr>
          <w:lang w:eastAsia="en-AU"/>
        </w:rPr>
      </w:pPr>
      <w:r>
        <w:rPr>
          <w:noProof/>
          <w:lang w:eastAsia="en-AU"/>
        </w:rPr>
        <w:drawing>
          <wp:inline distT="0" distB="0" distL="0" distR="0">
            <wp:extent cx="5057775" cy="2809875"/>
            <wp:effectExtent l="19050" t="0" r="9525" b="0"/>
            <wp:docPr id="61" name="Picture 61" descr="Tabl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09" t="7608" r="3839"/>
                    <a:stretch>
                      <a:fillRect/>
                    </a:stretch>
                  </pic:blipFill>
                  <pic:spPr bwMode="auto">
                    <a:xfrm>
                      <a:off x="0" y="0"/>
                      <a:ext cx="5057775" cy="2809875"/>
                    </a:xfrm>
                    <a:prstGeom prst="rect">
                      <a:avLst/>
                    </a:prstGeom>
                    <a:noFill/>
                    <a:ln>
                      <a:noFill/>
                    </a:ln>
                  </pic:spPr>
                </pic:pic>
              </a:graphicData>
            </a:graphic>
          </wp:inline>
        </w:drawing>
      </w:r>
    </w:p>
    <w:p w:rsidR="00A45490" w:rsidRPr="00A45490" w:rsidRDefault="00A45490" w:rsidP="00A45490">
      <w:pPr>
        <w:pStyle w:val="Heading5"/>
      </w:pPr>
      <w:r>
        <w:t>2. Non</w:t>
      </w:r>
      <w:r w:rsidR="006165D4">
        <w:t>clinical information on efficacy of v</w:t>
      </w:r>
      <w:r w:rsidRPr="00A45490">
        <w:t>emurafenib</w:t>
      </w:r>
      <w:r w:rsidR="006165D4">
        <w:t xml:space="preserve"> for V600 Non-E m</w:t>
      </w:r>
      <w:r w:rsidRPr="00A45490">
        <w:t>utations</w:t>
      </w:r>
    </w:p>
    <w:p w:rsidR="00A45490" w:rsidRDefault="00A45490" w:rsidP="00A45490">
      <w:r>
        <w:t>Non</w:t>
      </w:r>
      <w:r w:rsidRPr="00A45490">
        <w:t>clinical data generated in biochemical assays demonstrated that vemurafenib can</w:t>
      </w:r>
      <w:r>
        <w:t xml:space="preserve"> </w:t>
      </w:r>
      <w:r w:rsidRPr="00A45490">
        <w:t>potently inhibit BRAF kinases with activating codon 600 mutations, including V600E, K, D and</w:t>
      </w:r>
      <w:r>
        <w:t xml:space="preserve"> </w:t>
      </w:r>
      <w:r w:rsidRPr="00A45490">
        <w:t xml:space="preserve">R-mutant kinases (Table </w:t>
      </w:r>
      <w:r w:rsidR="009A3DAC">
        <w:t>31</w:t>
      </w:r>
      <w:r w:rsidRPr="00A45490">
        <w:t>) and this inhibitory effect was confirmed in the ERK</w:t>
      </w:r>
      <w:r>
        <w:t xml:space="preserve"> </w:t>
      </w:r>
      <w:r w:rsidRPr="00A45490">
        <w:t>phosphorylation and cellular anti-proliferation assays in melanoma cells expressing V600E-,</w:t>
      </w:r>
      <w:r>
        <w:t xml:space="preserve"> </w:t>
      </w:r>
      <w:r w:rsidRPr="00A45490">
        <w:t xml:space="preserve">V600K-, V600D- and V600R-mutant BRAF. Therefore, the data generated in the </w:t>
      </w:r>
      <w:r>
        <w:t>non</w:t>
      </w:r>
      <w:r w:rsidRPr="00A45490">
        <w:t>clinical</w:t>
      </w:r>
      <w:r>
        <w:t xml:space="preserve"> </w:t>
      </w:r>
      <w:r w:rsidRPr="00A45490">
        <w:t>biochemical assay appear to reliably predict efficacy on BRAF V600 mutants other than</w:t>
      </w:r>
      <w:r>
        <w:t xml:space="preserve"> </w:t>
      </w:r>
      <w:r w:rsidRPr="00A45490">
        <w:t>V600E. Cell lines bearing rare mutations such as V600A, V600G and V600M are not available</w:t>
      </w:r>
      <w:r>
        <w:t xml:space="preserve"> </w:t>
      </w:r>
      <w:r w:rsidRPr="00A45490">
        <w:t>for comparison</w:t>
      </w:r>
      <w:r w:rsidRPr="009A3DAC">
        <w:t xml:space="preserve">. Table </w:t>
      </w:r>
      <w:r w:rsidR="009A3DAC" w:rsidRPr="009A3DAC">
        <w:t>30</w:t>
      </w:r>
      <w:r w:rsidRPr="009A3DAC">
        <w:t xml:space="preserve"> shows that V600E</w:t>
      </w:r>
      <w:r w:rsidRPr="00A45490">
        <w:t>, V600K, V600D and V600R represent &gt;99.5% of</w:t>
      </w:r>
      <w:r>
        <w:t xml:space="preserve"> </w:t>
      </w:r>
      <w:r w:rsidRPr="00A45490">
        <w:t>the metastatic melanoma cases with BRAF V600 mutations.</w:t>
      </w:r>
    </w:p>
    <w:p w:rsidR="00A45490" w:rsidRDefault="00A45490" w:rsidP="00A03670">
      <w:pPr>
        <w:pStyle w:val="FigureTitle"/>
        <w:keepNext/>
      </w:pPr>
      <w:r>
        <w:lastRenderedPageBreak/>
        <w:t>Table</w:t>
      </w:r>
      <w:r w:rsidR="009A3DAC">
        <w:t xml:space="preserve"> 31</w:t>
      </w:r>
      <w:r>
        <w:t>. Kinase inhibitory activity of vermurafenib against V600 mutated BRAF kinases.</w:t>
      </w:r>
    </w:p>
    <w:p w:rsidR="00A45490" w:rsidRPr="00A45490" w:rsidRDefault="005B75BE" w:rsidP="00A03670">
      <w:pPr>
        <w:keepNext/>
      </w:pPr>
      <w:r>
        <w:rPr>
          <w:noProof/>
          <w:lang w:eastAsia="en-AU"/>
        </w:rPr>
        <w:drawing>
          <wp:inline distT="0" distB="0" distL="0" distR="0">
            <wp:extent cx="3962400" cy="2295525"/>
            <wp:effectExtent l="19050" t="0" r="0" b="0"/>
            <wp:docPr id="62" name="Picture 62" descr="Tabl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55" t="14491" r="13255" b="1736"/>
                    <a:stretch>
                      <a:fillRect/>
                    </a:stretch>
                  </pic:blipFill>
                  <pic:spPr bwMode="auto">
                    <a:xfrm>
                      <a:off x="0" y="0"/>
                      <a:ext cx="3962400" cy="2295525"/>
                    </a:xfrm>
                    <a:prstGeom prst="rect">
                      <a:avLst/>
                    </a:prstGeom>
                    <a:noFill/>
                    <a:ln>
                      <a:noFill/>
                    </a:ln>
                  </pic:spPr>
                </pic:pic>
              </a:graphicData>
            </a:graphic>
          </wp:inline>
        </w:drawing>
      </w:r>
    </w:p>
    <w:p w:rsidR="00A45490" w:rsidRDefault="00A45490" w:rsidP="00A45490">
      <w:pPr>
        <w:rPr>
          <w:lang w:eastAsia="en-AU"/>
        </w:rPr>
      </w:pPr>
      <w:r w:rsidRPr="00A45490">
        <w:rPr>
          <w:i/>
        </w:rPr>
        <w:t>In silico</w:t>
      </w:r>
      <w:r>
        <w:rPr>
          <w:rFonts w:ascii="Imago,Italic" w:hAnsi="Imago,Italic" w:cs="Imago,Italic"/>
          <w:i/>
          <w:iCs/>
          <w:lang w:eastAsia="en-AU"/>
        </w:rPr>
        <w:t xml:space="preserve"> </w:t>
      </w:r>
      <w:r>
        <w:rPr>
          <w:lang w:eastAsia="en-AU"/>
        </w:rPr>
        <w:t xml:space="preserve">protein structure </w:t>
      </w:r>
      <w:r w:rsidRPr="009A3DAC">
        <w:rPr>
          <w:lang w:eastAsia="en-AU"/>
        </w:rPr>
        <w:t xml:space="preserve">modelling similarly suggests that vemurafenib should inhibit all BRAF V600 mutants. As shown in Figure </w:t>
      </w:r>
      <w:r w:rsidR="009A3DAC" w:rsidRPr="009A3DAC">
        <w:rPr>
          <w:lang w:eastAsia="en-AU"/>
        </w:rPr>
        <w:t>2</w:t>
      </w:r>
      <w:r w:rsidR="009A3DAC">
        <w:rPr>
          <w:lang w:eastAsia="en-AU"/>
        </w:rPr>
        <w:t>6</w:t>
      </w:r>
      <w:r w:rsidRPr="009A3DAC">
        <w:rPr>
          <w:lang w:eastAsia="en-AU"/>
        </w:rPr>
        <w:t xml:space="preserve">, valine (V) at amino acid position 600 stabilises the inactive conformation of BRAF. Amino acid substitutions for valine which are disruptive induce BRAF to adopt its active conformation, which in turn favours binding of vemurafenib. </w:t>
      </w:r>
      <w:r w:rsidR="009A3DAC" w:rsidRPr="009A3DAC">
        <w:rPr>
          <w:lang w:eastAsia="en-AU"/>
        </w:rPr>
        <w:t xml:space="preserve">Figure </w:t>
      </w:r>
      <w:r w:rsidR="009A3DAC">
        <w:rPr>
          <w:lang w:eastAsia="en-AU"/>
        </w:rPr>
        <w:t>26</w:t>
      </w:r>
      <w:r w:rsidRPr="009A3DAC">
        <w:rPr>
          <w:lang w:eastAsia="en-AU"/>
        </w:rPr>
        <w:t xml:space="preserve"> notes how the inactive</w:t>
      </w:r>
      <w:r>
        <w:rPr>
          <w:lang w:eastAsia="en-AU"/>
        </w:rPr>
        <w:t xml:space="preserve"> conformation is disrupted by the properties of amino acids glutamic acid (E), lysine (K), arginine (R), aspartic acid (D), alanine (A), glycine (G) and methionine (M), among others. Figure </w:t>
      </w:r>
      <w:r w:rsidR="009A3DAC">
        <w:rPr>
          <w:lang w:eastAsia="en-AU"/>
        </w:rPr>
        <w:t>27</w:t>
      </w:r>
      <w:r>
        <w:rPr>
          <w:lang w:eastAsia="en-AU"/>
        </w:rPr>
        <w:t xml:space="preserve"> highlights the interaction and illustrates how V600E and V600D interact with the </w:t>
      </w:r>
      <w:r>
        <w:rPr>
          <w:rFonts w:ascii="TimesNewRoman" w:hAnsi="TimesNewRoman" w:cs="TimesNewRoman"/>
          <w:lang w:eastAsia="en-AU"/>
        </w:rPr>
        <w:t>α</w:t>
      </w:r>
      <w:r>
        <w:rPr>
          <w:lang w:eastAsia="en-AU"/>
        </w:rPr>
        <w:t xml:space="preserve">C helix, while V600K and V600R interact with the </w:t>
      </w:r>
      <w:r>
        <w:rPr>
          <w:rFonts w:ascii="TimesNewRoman" w:hAnsi="TimesNewRoman" w:cs="TimesNewRoman"/>
          <w:lang w:eastAsia="en-AU"/>
        </w:rPr>
        <w:t>α</w:t>
      </w:r>
      <w:r>
        <w:rPr>
          <w:lang w:eastAsia="en-AU"/>
        </w:rPr>
        <w:t>E helix. The nonclinical data predict that vemurafenib would inhibit mutant BRAF kinases bearing activating mutations other than V600E and would be effective against tumours bearing such mutations.</w:t>
      </w:r>
    </w:p>
    <w:p w:rsidR="00A45490" w:rsidRDefault="00A45490" w:rsidP="00A45490">
      <w:pPr>
        <w:pStyle w:val="Heading5"/>
        <w:rPr>
          <w:lang w:eastAsia="en-AU"/>
        </w:rPr>
      </w:pPr>
      <w:r>
        <w:rPr>
          <w:lang w:eastAsia="en-AU"/>
        </w:rPr>
        <w:t>3. Summary of available data supporting clinical efficacy in patients with V600 Non-E mutations</w:t>
      </w:r>
    </w:p>
    <w:p w:rsidR="00A45490" w:rsidRDefault="00A45490" w:rsidP="00A45490">
      <w:pPr>
        <w:rPr>
          <w:lang w:eastAsia="en-AU"/>
        </w:rPr>
      </w:pPr>
      <w:r>
        <w:rPr>
          <w:lang w:eastAsia="en-AU"/>
        </w:rPr>
        <w:t>Tumour specimens from the PLX06-02 melanoma treatment extension cohort (32 patients), NP22657 (132 patients), and NO25026 (220 patients) studies were retrospectively analysed by Sanger sequencing to investigate the presence of BRAF V600 non-E mutations. Sequencing was also performed on available tumour specimens for patients screened by the cobas test for the Phase II and Phase III trials as of June 15, 2010. A total of 30 patients with V600 non-E mutation-positive melanoma were identified (29 V600K, 1 other which was an unusual V600D mutation and therefore reported as “other”), of whom 20 patients with V600K mutation-positive melanoma received vemurafenib:</w:t>
      </w:r>
    </w:p>
    <w:p w:rsidR="006B171E" w:rsidRDefault="00A45490" w:rsidP="00A45490">
      <w:pPr>
        <w:rPr>
          <w:lang w:eastAsia="en-AU"/>
        </w:rPr>
      </w:pPr>
      <w:r>
        <w:rPr>
          <w:lang w:eastAsia="en-AU"/>
        </w:rPr>
        <w:t xml:space="preserve">PLX06-02 melanoma extension cohort (Phase I): One of 32 patients had BRAF V600 non-E mutation-positive melanoma (V600K) and responded to vemurafenib (960 mg, MBP formulation). </w:t>
      </w:r>
      <w:r w:rsidR="004A4EB4">
        <w:rPr>
          <w:lang w:eastAsia="en-AU"/>
        </w:rPr>
        <w:t xml:space="preserve">This </w:t>
      </w:r>
      <w:r>
        <w:rPr>
          <w:lang w:eastAsia="en-AU"/>
        </w:rPr>
        <w:t>patient had a PFS of 350 days, OS of 392 days and duration of response of 232 days.</w:t>
      </w:r>
      <w:r>
        <w:rPr>
          <w:rStyle w:val="FootnoteReference"/>
          <w:lang w:eastAsia="en-AU"/>
        </w:rPr>
        <w:footnoteReference w:id="26"/>
      </w:r>
      <w:r>
        <w:rPr>
          <w:lang w:eastAsia="en-AU"/>
        </w:rPr>
        <w:t xml:space="preserve"> </w:t>
      </w:r>
    </w:p>
    <w:p w:rsidR="00A45490" w:rsidRDefault="00A45490" w:rsidP="00A45490">
      <w:pPr>
        <w:rPr>
          <w:lang w:eastAsia="en-AU"/>
        </w:rPr>
      </w:pPr>
      <w:r>
        <w:rPr>
          <w:lang w:eastAsia="en-AU"/>
        </w:rPr>
        <w:t xml:space="preserve">NP22657 (Phase II): Nine of the 132 patients had BRAF V600 non-E mutation-positive melanoma by Sanger sequencing, all of which were V600K mutations. Amongst these patients, 3 had a PR, 3 had SD, 2 had </w:t>
      </w:r>
      <w:r w:rsidR="00EE5BAF">
        <w:rPr>
          <w:lang w:eastAsia="en-AU"/>
        </w:rPr>
        <w:t>progressive disease</w:t>
      </w:r>
      <w:r>
        <w:rPr>
          <w:lang w:eastAsia="en-AU"/>
        </w:rPr>
        <w:t xml:space="preserve"> and one was not evaluable.</w:t>
      </w:r>
      <w:r>
        <w:rPr>
          <w:rStyle w:val="FootnoteReference"/>
          <w:lang w:eastAsia="en-AU"/>
        </w:rPr>
        <w:footnoteReference w:id="27"/>
      </w:r>
    </w:p>
    <w:p w:rsidR="00A45490" w:rsidRDefault="00A45490" w:rsidP="00A45490">
      <w:pPr>
        <w:rPr>
          <w:lang w:eastAsia="en-AU"/>
        </w:rPr>
      </w:pPr>
      <w:r>
        <w:rPr>
          <w:lang w:eastAsia="en-AU"/>
        </w:rPr>
        <w:lastRenderedPageBreak/>
        <w:t>NO25026 (Phase III): Twenty of 220 patients were identified to have BRAF V600 non-E mutation-positive melanoma (19 V600K and 1 V600D BRAF mutation). In the vemurafenib group, 4 of 10 patients with BRAF V600K mutation-positive melanoma experienced a treatment response. In the DTIC treatment group, 0 of 9 patients with BRAF V600K mutation positive melanoma and 0 of 1 with BRAF V600D mutation-positive melanoma responded to treatment.</w:t>
      </w:r>
      <w:r>
        <w:rPr>
          <w:rStyle w:val="FootnoteReference"/>
          <w:lang w:eastAsia="en-AU"/>
        </w:rPr>
        <w:footnoteReference w:id="28"/>
      </w:r>
    </w:p>
    <w:p w:rsidR="00A45490" w:rsidRDefault="00A45490" w:rsidP="00A45490">
      <w:pPr>
        <w:rPr>
          <w:lang w:eastAsia="en-AU"/>
        </w:rPr>
      </w:pPr>
      <w:r>
        <w:rPr>
          <w:lang w:eastAsia="en-AU"/>
        </w:rPr>
        <w:t>In patients with V600K mutation-positive melanoma, PFS (HR 0.09, 95% CI, 0.02, 0.45) and OS (HR 0.27; 95% CI: 0.05, 1.51) results were suggestive of a treatment benefit of vemurafenib in this subset of 19 patients.</w:t>
      </w:r>
      <w:r>
        <w:rPr>
          <w:rStyle w:val="FootnoteReference"/>
          <w:lang w:eastAsia="en-AU"/>
        </w:rPr>
        <w:footnoteReference w:id="29"/>
      </w:r>
    </w:p>
    <w:p w:rsidR="00A45490" w:rsidRDefault="00A45490" w:rsidP="00A45490">
      <w:pPr>
        <w:rPr>
          <w:lang w:eastAsia="en-AU"/>
        </w:rPr>
      </w:pPr>
      <w:r>
        <w:rPr>
          <w:lang w:eastAsia="en-AU"/>
        </w:rPr>
        <w:t>Adverse events observed in patients with the V600K mutatio</w:t>
      </w:r>
      <w:r w:rsidR="00496C9B">
        <w:rPr>
          <w:lang w:eastAsia="en-AU"/>
        </w:rPr>
        <w:t>n-positive melanoma are summaris</w:t>
      </w:r>
      <w:r>
        <w:rPr>
          <w:lang w:eastAsia="en-AU"/>
        </w:rPr>
        <w:t xml:space="preserve">ed </w:t>
      </w:r>
      <w:r w:rsidR="00496C9B">
        <w:rPr>
          <w:lang w:eastAsia="en-AU"/>
        </w:rPr>
        <w:t>in NO25026 CSR</w:t>
      </w:r>
      <w:r>
        <w:rPr>
          <w:lang w:eastAsia="en-AU"/>
        </w:rPr>
        <w:t>. The available clinical data on V600K mutation-positive cases are consistent with the nonclinical data predicting that vemurafenib would inhibit V600 non-E mutant BRAF kinases and would be effective against tumours bearing such mutations.</w:t>
      </w:r>
    </w:p>
    <w:p w:rsidR="00A45490" w:rsidRDefault="00A45490" w:rsidP="00A45490">
      <w:pPr>
        <w:pStyle w:val="Heading5"/>
        <w:rPr>
          <w:lang w:eastAsia="en-AU"/>
        </w:rPr>
      </w:pPr>
      <w:r>
        <w:rPr>
          <w:lang w:eastAsia="en-AU"/>
        </w:rPr>
        <w:t>4. Further evidence of clinical efficacy for V600 Non-E mutations</w:t>
      </w:r>
    </w:p>
    <w:p w:rsidR="00A45490" w:rsidRDefault="00A45490" w:rsidP="00496C9B">
      <w:pPr>
        <w:rPr>
          <w:lang w:eastAsia="en-AU"/>
        </w:rPr>
      </w:pPr>
      <w:r>
        <w:rPr>
          <w:lang w:eastAsia="en-AU"/>
        </w:rPr>
        <w:t xml:space="preserve">Roche is performing sequencing on remaining specimens from </w:t>
      </w:r>
      <w:r w:rsidR="00496C9B">
        <w:rPr>
          <w:lang w:eastAsia="en-AU"/>
        </w:rPr>
        <w:t>S</w:t>
      </w:r>
      <w:r>
        <w:rPr>
          <w:lang w:eastAsia="en-AU"/>
        </w:rPr>
        <w:t>tudy NO25026 (</w:t>
      </w:r>
      <w:r>
        <w:rPr>
          <w:rFonts w:ascii="Imago,Italic" w:hAnsi="Imago,Italic" w:cs="Imago,Italic"/>
          <w:i/>
          <w:iCs/>
          <w:lang w:eastAsia="en-AU"/>
        </w:rPr>
        <w:t xml:space="preserve">n </w:t>
      </w:r>
      <w:r>
        <w:rPr>
          <w:lang w:eastAsia="en-AU"/>
        </w:rPr>
        <w:t>= 455) to</w:t>
      </w:r>
      <w:r w:rsidR="00496C9B">
        <w:rPr>
          <w:lang w:eastAsia="en-AU"/>
        </w:rPr>
        <w:t xml:space="preserve"> </w:t>
      </w:r>
      <w:r>
        <w:rPr>
          <w:lang w:eastAsia="en-AU"/>
        </w:rPr>
        <w:t>further explore efficacy in patients with V600K mutation-positive melanoma and other V600</w:t>
      </w:r>
      <w:r w:rsidR="00496C9B">
        <w:rPr>
          <w:lang w:eastAsia="en-AU"/>
        </w:rPr>
        <w:t xml:space="preserve"> </w:t>
      </w:r>
      <w:r>
        <w:rPr>
          <w:lang w:eastAsia="en-AU"/>
        </w:rPr>
        <w:t>non-E mutations. We may be able to identify an additional 30 to 35 patients with BRAF non-E</w:t>
      </w:r>
      <w:r w:rsidR="00496C9B">
        <w:rPr>
          <w:lang w:eastAsia="en-AU"/>
        </w:rPr>
        <w:t xml:space="preserve"> </w:t>
      </w:r>
      <w:r>
        <w:rPr>
          <w:lang w:eastAsia="en-AU"/>
        </w:rPr>
        <w:t>mutation-positive melanoma (primarily V600K). Results from the additional sequencing will</w:t>
      </w:r>
      <w:r w:rsidR="00496C9B">
        <w:rPr>
          <w:lang w:eastAsia="en-AU"/>
        </w:rPr>
        <w:t xml:space="preserve"> </w:t>
      </w:r>
      <w:r>
        <w:rPr>
          <w:lang w:eastAsia="en-AU"/>
        </w:rPr>
        <w:t xml:space="preserve">be provided as updated information for the entirety of samples from </w:t>
      </w:r>
      <w:r w:rsidR="00496C9B">
        <w:rPr>
          <w:lang w:eastAsia="en-AU"/>
        </w:rPr>
        <w:t>S</w:t>
      </w:r>
      <w:r>
        <w:rPr>
          <w:lang w:eastAsia="en-AU"/>
        </w:rPr>
        <w:t>tudy NO25026. In total,</w:t>
      </w:r>
      <w:r w:rsidR="00496C9B">
        <w:rPr>
          <w:lang w:eastAsia="en-AU"/>
        </w:rPr>
        <w:t xml:space="preserve"> </w:t>
      </w:r>
      <w:r>
        <w:rPr>
          <w:lang w:eastAsia="en-AU"/>
        </w:rPr>
        <w:t>the report (</w:t>
      </w:r>
      <w:r w:rsidR="00496C9B">
        <w:rPr>
          <w:lang w:eastAsia="en-AU"/>
        </w:rPr>
        <w:t>second quarter of</w:t>
      </w:r>
      <w:r>
        <w:rPr>
          <w:lang w:eastAsia="en-AU"/>
        </w:rPr>
        <w:t xml:space="preserve"> 2012) will include approximately 50 to 55 patients with BRAF V600K</w:t>
      </w:r>
      <w:r w:rsidR="00496C9B">
        <w:rPr>
          <w:lang w:eastAsia="en-AU"/>
        </w:rPr>
        <w:t xml:space="preserve"> </w:t>
      </w:r>
      <w:r>
        <w:rPr>
          <w:lang w:eastAsia="en-AU"/>
        </w:rPr>
        <w:t>mutation-positive melanoma (including 19 of 220 patients with V600K mutation-positive</w:t>
      </w:r>
      <w:r w:rsidR="00496C9B">
        <w:rPr>
          <w:lang w:eastAsia="en-AU"/>
        </w:rPr>
        <w:t xml:space="preserve"> </w:t>
      </w:r>
      <w:r>
        <w:rPr>
          <w:lang w:eastAsia="en-AU"/>
        </w:rPr>
        <w:t>melanoma who were previously identified). OS, PFS and ORR will be reported for each type</w:t>
      </w:r>
      <w:r w:rsidR="00496C9B">
        <w:rPr>
          <w:lang w:eastAsia="en-AU"/>
        </w:rPr>
        <w:t xml:space="preserve"> </w:t>
      </w:r>
      <w:r>
        <w:rPr>
          <w:lang w:eastAsia="en-AU"/>
        </w:rPr>
        <w:t>of BRAF mutation as was done for the NO25026 CSR.</w:t>
      </w:r>
    </w:p>
    <w:p w:rsidR="00A45490" w:rsidRDefault="00A45490" w:rsidP="00496C9B">
      <w:pPr>
        <w:rPr>
          <w:lang w:eastAsia="en-AU"/>
        </w:rPr>
      </w:pPr>
      <w:r>
        <w:rPr>
          <w:lang w:eastAsia="en-AU"/>
        </w:rPr>
        <w:t>Based on the results from vemurafenib trials in patients with metastatic melanoma, similar</w:t>
      </w:r>
      <w:r w:rsidR="00496C9B">
        <w:rPr>
          <w:lang w:eastAsia="en-AU"/>
        </w:rPr>
        <w:t xml:space="preserve"> </w:t>
      </w:r>
      <w:r>
        <w:rPr>
          <w:lang w:eastAsia="en-AU"/>
        </w:rPr>
        <w:t>anti-tumour activity is expected for vemurafenib in across the spectrum of BRAF V600 non-E</w:t>
      </w:r>
      <w:r w:rsidR="00496C9B">
        <w:rPr>
          <w:lang w:eastAsia="en-AU"/>
        </w:rPr>
        <w:t xml:space="preserve"> </w:t>
      </w:r>
      <w:r>
        <w:rPr>
          <w:lang w:eastAsia="en-AU"/>
        </w:rPr>
        <w:t>mutation-positive tumours. Roche expects the additional sequencing results from the pivotal</w:t>
      </w:r>
      <w:r w:rsidR="00496C9B">
        <w:rPr>
          <w:lang w:eastAsia="en-AU"/>
        </w:rPr>
        <w:t xml:space="preserve"> </w:t>
      </w:r>
      <w:r>
        <w:rPr>
          <w:lang w:eastAsia="en-AU"/>
        </w:rPr>
        <w:t>study will provide further evidence of clinical efficacy in this subpopulation.</w:t>
      </w:r>
    </w:p>
    <w:p w:rsidR="00A45490" w:rsidRDefault="00A45490" w:rsidP="00496C9B">
      <w:pPr>
        <w:rPr>
          <w:lang w:eastAsia="en-AU"/>
        </w:rPr>
      </w:pPr>
      <w:r>
        <w:rPr>
          <w:lang w:eastAsia="en-AU"/>
        </w:rPr>
        <w:t xml:space="preserve">In addition, Roche has initiated a </w:t>
      </w:r>
      <w:r w:rsidR="00496C9B">
        <w:rPr>
          <w:lang w:eastAsia="en-AU"/>
        </w:rPr>
        <w:t>P</w:t>
      </w:r>
      <w:r>
        <w:rPr>
          <w:lang w:eastAsia="en-AU"/>
        </w:rPr>
        <w:t xml:space="preserve">hase IV </w:t>
      </w:r>
      <w:r w:rsidR="00496C9B">
        <w:rPr>
          <w:lang w:eastAsia="en-AU"/>
        </w:rPr>
        <w:t>S</w:t>
      </w:r>
      <w:r>
        <w:rPr>
          <w:lang w:eastAsia="en-AU"/>
        </w:rPr>
        <w:t xml:space="preserve">tudy ML27763 “An </w:t>
      </w:r>
      <w:r w:rsidR="00D73147" w:rsidRPr="00D73147">
        <w:rPr>
          <w:lang w:eastAsia="en-AU"/>
        </w:rPr>
        <w:t>open label</w:t>
      </w:r>
      <w:r>
        <w:rPr>
          <w:lang w:eastAsia="en-AU"/>
        </w:rPr>
        <w:t xml:space="preserve"> multicenter Phase</w:t>
      </w:r>
      <w:r w:rsidR="00496C9B">
        <w:rPr>
          <w:lang w:eastAsia="en-AU"/>
        </w:rPr>
        <w:t xml:space="preserve"> </w:t>
      </w:r>
      <w:r>
        <w:rPr>
          <w:lang w:eastAsia="en-AU"/>
        </w:rPr>
        <w:t>II study of continuous oral vemurafenib in patients with metastatic melanoma and BRAF</w:t>
      </w:r>
      <w:r w:rsidR="00496C9B">
        <w:rPr>
          <w:lang w:eastAsia="en-AU"/>
        </w:rPr>
        <w:t xml:space="preserve"> </w:t>
      </w:r>
      <w:r>
        <w:rPr>
          <w:lang w:eastAsia="en-AU"/>
        </w:rPr>
        <w:t>mutation not detected by cobas</w:t>
      </w:r>
      <w:r w:rsidR="008305A0" w:rsidRPr="008305A0">
        <w:rPr>
          <w:sz w:val="16"/>
          <w:szCs w:val="16"/>
          <w:vertAlign w:val="superscript"/>
          <w:lang w:eastAsia="en-AU"/>
        </w:rPr>
        <w:t>®</w:t>
      </w:r>
      <w:r>
        <w:rPr>
          <w:sz w:val="16"/>
          <w:szCs w:val="16"/>
          <w:lang w:eastAsia="en-AU"/>
        </w:rPr>
        <w:t xml:space="preserve"> </w:t>
      </w:r>
      <w:r>
        <w:rPr>
          <w:lang w:eastAsia="en-AU"/>
        </w:rPr>
        <w:t>4800 BRAF V600 Mutation Test”. Roche propose</w:t>
      </w:r>
      <w:r w:rsidR="00496C9B">
        <w:rPr>
          <w:lang w:eastAsia="en-AU"/>
        </w:rPr>
        <w:t>d</w:t>
      </w:r>
      <w:r>
        <w:rPr>
          <w:lang w:eastAsia="en-AU"/>
        </w:rPr>
        <w:t xml:space="preserve"> to</w:t>
      </w:r>
      <w:r w:rsidR="00496C9B">
        <w:rPr>
          <w:lang w:eastAsia="en-AU"/>
        </w:rPr>
        <w:t xml:space="preserve"> </w:t>
      </w:r>
      <w:r>
        <w:rPr>
          <w:lang w:eastAsia="en-AU"/>
        </w:rPr>
        <w:t>amend the current eligibility criteria to specify that Sanger sequencing to identify other BRAF</w:t>
      </w:r>
      <w:r w:rsidR="00496C9B">
        <w:rPr>
          <w:lang w:eastAsia="en-AU"/>
        </w:rPr>
        <w:t xml:space="preserve"> </w:t>
      </w:r>
      <w:r>
        <w:rPr>
          <w:lang w:eastAsia="en-AU"/>
        </w:rPr>
        <w:t>V600 mutations will be conducted by a central commercial laboratory. Roche is committing</w:t>
      </w:r>
      <w:r w:rsidR="00496C9B">
        <w:rPr>
          <w:lang w:eastAsia="en-AU"/>
        </w:rPr>
        <w:t xml:space="preserve"> </w:t>
      </w:r>
      <w:r>
        <w:rPr>
          <w:lang w:eastAsia="en-AU"/>
        </w:rPr>
        <w:t xml:space="preserve">to provide any publication from this study to the TGA </w:t>
      </w:r>
      <w:r w:rsidR="00496C9B">
        <w:rPr>
          <w:lang w:eastAsia="en-AU"/>
        </w:rPr>
        <w:t>at the end of 2</w:t>
      </w:r>
      <w:r>
        <w:rPr>
          <w:lang w:eastAsia="en-AU"/>
        </w:rPr>
        <w:t>015.</w:t>
      </w:r>
    </w:p>
    <w:p w:rsidR="00496C9B" w:rsidRDefault="00496C9B" w:rsidP="00A03670">
      <w:pPr>
        <w:pStyle w:val="FigureTitle"/>
        <w:keepNext/>
        <w:rPr>
          <w:lang w:eastAsia="en-AU"/>
        </w:rPr>
      </w:pPr>
      <w:r>
        <w:rPr>
          <w:lang w:eastAsia="en-AU"/>
        </w:rPr>
        <w:lastRenderedPageBreak/>
        <w:t xml:space="preserve">Figure </w:t>
      </w:r>
      <w:r w:rsidR="009A3DAC">
        <w:rPr>
          <w:lang w:eastAsia="en-AU"/>
        </w:rPr>
        <w:t>26</w:t>
      </w:r>
      <w:r>
        <w:rPr>
          <w:lang w:eastAsia="en-AU"/>
        </w:rPr>
        <w:t xml:space="preserve">. </w:t>
      </w:r>
      <w:r w:rsidRPr="00496C9B">
        <w:rPr>
          <w:i/>
          <w:lang w:eastAsia="en-AU"/>
        </w:rPr>
        <w:t>In silico</w:t>
      </w:r>
      <w:r>
        <w:rPr>
          <w:lang w:eastAsia="en-AU"/>
        </w:rPr>
        <w:t xml:space="preserve"> Protein Structure Modelling of Vemurafenib and V600 Mutants</w:t>
      </w:r>
    </w:p>
    <w:p w:rsidR="00496C9B" w:rsidRDefault="005B75BE" w:rsidP="00A03670">
      <w:pPr>
        <w:keepNext/>
      </w:pPr>
      <w:r>
        <w:rPr>
          <w:noProof/>
          <w:lang w:eastAsia="en-AU"/>
        </w:rPr>
        <w:drawing>
          <wp:inline distT="0" distB="0" distL="0" distR="0">
            <wp:extent cx="4933950" cy="1895475"/>
            <wp:effectExtent l="19050" t="0" r="0" b="0"/>
            <wp:docPr id="63" name="Picture 63" descr="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51" t="5368" b="55989"/>
                    <a:stretch>
                      <a:fillRect/>
                    </a:stretch>
                  </pic:blipFill>
                  <pic:spPr bwMode="auto">
                    <a:xfrm>
                      <a:off x="0" y="0"/>
                      <a:ext cx="4933950" cy="1895475"/>
                    </a:xfrm>
                    <a:prstGeom prst="rect">
                      <a:avLst/>
                    </a:prstGeom>
                    <a:noFill/>
                    <a:ln>
                      <a:noFill/>
                    </a:ln>
                  </pic:spPr>
                </pic:pic>
              </a:graphicData>
            </a:graphic>
          </wp:inline>
        </w:drawing>
      </w:r>
    </w:p>
    <w:p w:rsidR="00496C9B" w:rsidRDefault="00496C9B" w:rsidP="0062138B">
      <w:pPr>
        <w:pStyle w:val="FigureTitle"/>
        <w:keepNext/>
      </w:pPr>
      <w:r>
        <w:t>Figure 2</w:t>
      </w:r>
      <w:r w:rsidR="009A3DAC">
        <w:t>7</w:t>
      </w:r>
      <w:r>
        <w:t>. Detailed Interactions between Vemurafenib and BRAF V600 Mutation</w:t>
      </w:r>
    </w:p>
    <w:p w:rsidR="00496C9B" w:rsidRDefault="005B75BE" w:rsidP="0062138B">
      <w:pPr>
        <w:keepNext/>
      </w:pPr>
      <w:r>
        <w:rPr>
          <w:noProof/>
          <w:lang w:eastAsia="en-AU"/>
        </w:rPr>
        <w:drawing>
          <wp:inline distT="0" distB="0" distL="0" distR="0">
            <wp:extent cx="4905375" cy="2095500"/>
            <wp:effectExtent l="19050" t="0" r="9525" b="0"/>
            <wp:docPr id="64" name="Picture 64" descr="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846" t="53914" b="3239"/>
                    <a:stretch>
                      <a:fillRect/>
                    </a:stretch>
                  </pic:blipFill>
                  <pic:spPr bwMode="auto">
                    <a:xfrm>
                      <a:off x="0" y="0"/>
                      <a:ext cx="4905375" cy="2095500"/>
                    </a:xfrm>
                    <a:prstGeom prst="rect">
                      <a:avLst/>
                    </a:prstGeom>
                    <a:noFill/>
                    <a:ln>
                      <a:noFill/>
                    </a:ln>
                  </pic:spPr>
                </pic:pic>
              </a:graphicData>
            </a:graphic>
          </wp:inline>
        </w:drawing>
      </w:r>
    </w:p>
    <w:p w:rsidR="00496C9B" w:rsidRDefault="00496C9B" w:rsidP="00496C9B">
      <w:pPr>
        <w:rPr>
          <w:lang w:eastAsia="en-AU"/>
        </w:rPr>
      </w:pPr>
      <w:r>
        <w:rPr>
          <w:lang w:eastAsia="en-AU"/>
        </w:rPr>
        <w:t>Nonclinical and clinical data indicate that vemurafenib is effective against all V600 mutations.</w:t>
      </w:r>
    </w:p>
    <w:p w:rsidR="00496C9B" w:rsidRDefault="00496C9B" w:rsidP="00496C9B">
      <w:pPr>
        <w:rPr>
          <w:lang w:eastAsia="en-AU"/>
        </w:rPr>
      </w:pPr>
      <w:r>
        <w:rPr>
          <w:lang w:eastAsia="en-AU"/>
        </w:rPr>
        <w:t>The non-V600E mutations occur too infrequently to study in a rigorous statistical manner; however, nonclinical data and results from patients across the three safety and efficacy studies show there is consistency in responsiveness of the small number of patients with other V600 mutations.</w:t>
      </w:r>
    </w:p>
    <w:p w:rsidR="00496C9B" w:rsidRDefault="00496C9B" w:rsidP="00496C9B">
      <w:pPr>
        <w:pStyle w:val="Heading5"/>
        <w:rPr>
          <w:lang w:eastAsia="en-AU"/>
        </w:rPr>
      </w:pPr>
      <w:r>
        <w:rPr>
          <w:lang w:eastAsia="en-AU"/>
        </w:rPr>
        <w:t xml:space="preserve">Comment on the Delegate’s </w:t>
      </w:r>
      <w:r w:rsidR="006165D4">
        <w:rPr>
          <w:lang w:eastAsia="en-AU"/>
        </w:rPr>
        <w:t>overview and p</w:t>
      </w:r>
      <w:r>
        <w:rPr>
          <w:lang w:eastAsia="en-AU"/>
        </w:rPr>
        <w:t>roposed conditions of registration:</w:t>
      </w:r>
    </w:p>
    <w:p w:rsidR="00496C9B" w:rsidRDefault="00496C9B" w:rsidP="00496C9B">
      <w:pPr>
        <w:rPr>
          <w:lang w:eastAsia="en-AU"/>
        </w:rPr>
      </w:pPr>
      <w:r>
        <w:rPr>
          <w:lang w:eastAsia="en-AU"/>
        </w:rPr>
        <w:t xml:space="preserve">The sponsor stated that while an absolute bioavailability study was not included with the current submission, the sponsor will be conducting an absolute bioavailability study following the development of an intravenous microdose formulation of vemurafenib containing </w:t>
      </w:r>
      <w:r w:rsidRPr="00496C9B">
        <w:rPr>
          <w:vertAlign w:val="superscript"/>
          <w:lang w:eastAsia="en-AU"/>
        </w:rPr>
        <w:t>14</w:t>
      </w:r>
      <w:r>
        <w:rPr>
          <w:lang w:eastAsia="en-AU"/>
        </w:rPr>
        <w:t xml:space="preserve">C-labeled drug substance. A CSR for this study is anticipated to be available in second quarter of 2014. The sponsor committed to providing the CSR to TGA once it is available. </w:t>
      </w:r>
    </w:p>
    <w:p w:rsidR="00496C9B" w:rsidRDefault="00496C9B" w:rsidP="00496C9B">
      <w:pPr>
        <w:rPr>
          <w:lang w:eastAsia="en-AU"/>
        </w:rPr>
      </w:pPr>
      <w:r>
        <w:rPr>
          <w:lang w:eastAsia="en-AU"/>
        </w:rPr>
        <w:t>The Delegate proposed the following conditions of registration in the Delegate’s Overview:</w:t>
      </w:r>
    </w:p>
    <w:p w:rsidR="00496C9B" w:rsidRPr="00496C9B" w:rsidRDefault="00496C9B" w:rsidP="00496C9B">
      <w:pPr>
        <w:pStyle w:val="Heading6"/>
      </w:pPr>
      <w:r>
        <w:t xml:space="preserve">1. </w:t>
      </w:r>
      <w:r w:rsidRPr="00496C9B">
        <w:t>Implement RMP version 1.0 dated May 2011 and subsequent revisions as agreed with the Office of Product Review.</w:t>
      </w:r>
    </w:p>
    <w:p w:rsidR="00496C9B" w:rsidRDefault="00496C9B" w:rsidP="00496C9B">
      <w:pPr>
        <w:autoSpaceDE w:val="0"/>
        <w:autoSpaceDN w:val="0"/>
        <w:adjustRightInd w:val="0"/>
        <w:spacing w:after="0" w:line="240" w:lineRule="auto"/>
        <w:ind w:firstLine="720"/>
        <w:rPr>
          <w:rFonts w:ascii="Arial" w:hAnsi="Arial" w:cs="Arial"/>
          <w:sz w:val="24"/>
          <w:szCs w:val="24"/>
          <w:lang w:eastAsia="en-AU"/>
        </w:rPr>
      </w:pPr>
      <w:r w:rsidRPr="00496C9B">
        <w:t>The sponsor committed to this condition</w:t>
      </w:r>
      <w:r>
        <w:rPr>
          <w:rFonts w:ascii="Arial" w:hAnsi="Arial" w:cs="Arial"/>
          <w:sz w:val="24"/>
          <w:szCs w:val="24"/>
          <w:lang w:eastAsia="en-AU"/>
        </w:rPr>
        <w:t>.</w:t>
      </w:r>
    </w:p>
    <w:p w:rsidR="00496C9B" w:rsidRDefault="00496C9B" w:rsidP="00496C9B">
      <w:pPr>
        <w:pStyle w:val="Heading6"/>
        <w:rPr>
          <w:lang w:eastAsia="en-AU"/>
        </w:rPr>
      </w:pPr>
      <w:r>
        <w:rPr>
          <w:lang w:eastAsia="en-AU"/>
        </w:rPr>
        <w:t>2. Limit unspecified impurities in the drug substance (unless otherwise justified by sponsor).</w:t>
      </w:r>
    </w:p>
    <w:p w:rsidR="00496C9B" w:rsidRDefault="00496C9B" w:rsidP="00496C9B">
      <w:pPr>
        <w:ind w:left="720"/>
        <w:rPr>
          <w:lang w:eastAsia="en-AU"/>
        </w:rPr>
      </w:pPr>
      <w:r>
        <w:rPr>
          <w:lang w:eastAsia="en-AU"/>
        </w:rPr>
        <w:t>Roche accepted to limit unspecified impurities in the drug substance (R05185426-006). As a consequence, the unspecified impurities in the drug substance intermediate R05185426-000 has also been limited.</w:t>
      </w:r>
    </w:p>
    <w:p w:rsidR="00496C9B" w:rsidRDefault="00591017" w:rsidP="00496C9B">
      <w:pPr>
        <w:pStyle w:val="Heading6"/>
        <w:rPr>
          <w:lang w:eastAsia="en-AU"/>
        </w:rPr>
      </w:pPr>
      <w:r>
        <w:rPr>
          <w:lang w:eastAsia="en-AU"/>
        </w:rPr>
        <w:lastRenderedPageBreak/>
        <w:t xml:space="preserve">3. Submit 24 </w:t>
      </w:r>
      <w:r w:rsidR="00496C9B">
        <w:rPr>
          <w:lang w:eastAsia="en-AU"/>
        </w:rPr>
        <w:t>month survival and safety data from trial N025026 when available.</w:t>
      </w:r>
    </w:p>
    <w:p w:rsidR="00496C9B" w:rsidRDefault="00496C9B" w:rsidP="00496C9B">
      <w:pPr>
        <w:ind w:left="360"/>
        <w:rPr>
          <w:lang w:eastAsia="en-AU"/>
        </w:rPr>
      </w:pPr>
      <w:r>
        <w:rPr>
          <w:lang w:eastAsia="en-AU"/>
        </w:rPr>
        <w:t>Roche would like to propose to submit to TGA long term survival and safety data from trial NO25026 as agreed upon with the FDA. Roche would therefore propose to address this commitment as follows:</w:t>
      </w:r>
    </w:p>
    <w:p w:rsidR="00496C9B" w:rsidRDefault="00496C9B" w:rsidP="00EE5BAF">
      <w:pPr>
        <w:pStyle w:val="ListBullet2"/>
        <w:numPr>
          <w:ilvl w:val="1"/>
          <w:numId w:val="25"/>
        </w:numPr>
        <w:rPr>
          <w:lang w:eastAsia="en-AU"/>
        </w:rPr>
      </w:pPr>
      <w:r>
        <w:rPr>
          <w:lang w:eastAsia="en-AU"/>
        </w:rPr>
        <w:t xml:space="preserve">Submit in </w:t>
      </w:r>
      <w:r w:rsidR="005F06E6">
        <w:rPr>
          <w:lang w:eastAsia="en-AU"/>
        </w:rPr>
        <w:t xml:space="preserve">third quarter of </w:t>
      </w:r>
      <w:r>
        <w:rPr>
          <w:lang w:eastAsia="en-AU"/>
        </w:rPr>
        <w:t>2013 updated overall survival results from the ongoing trial (Protocol N025026: BRIM3) with a minimum follow-up of 24 months after the last patient was enrolled into the trial (cut-off = 12/2012).</w:t>
      </w:r>
    </w:p>
    <w:p w:rsidR="00496C9B" w:rsidRDefault="00496C9B" w:rsidP="00EE5BAF">
      <w:pPr>
        <w:pStyle w:val="ListBullet2"/>
        <w:numPr>
          <w:ilvl w:val="1"/>
          <w:numId w:val="25"/>
        </w:numPr>
        <w:rPr>
          <w:lang w:eastAsia="en-AU"/>
        </w:rPr>
      </w:pPr>
      <w:r>
        <w:rPr>
          <w:lang w:eastAsia="en-AU"/>
        </w:rPr>
        <w:t xml:space="preserve">Submit in </w:t>
      </w:r>
      <w:r w:rsidR="005F06E6">
        <w:rPr>
          <w:lang w:eastAsia="en-AU"/>
        </w:rPr>
        <w:t>fourth quarter of</w:t>
      </w:r>
      <w:r>
        <w:rPr>
          <w:lang w:eastAsia="en-AU"/>
        </w:rPr>
        <w:t xml:space="preserve"> 2014 the final analysis of safety from the ongoing trial (Protocol N025026: BRIM3) to provide the potential for new safety signals from longer duration of exposure (cut-off = 03/2014).</w:t>
      </w:r>
    </w:p>
    <w:p w:rsidR="00496C9B" w:rsidRDefault="00496C9B" w:rsidP="005F06E6">
      <w:pPr>
        <w:pStyle w:val="Heading6"/>
        <w:rPr>
          <w:lang w:eastAsia="en-AU"/>
        </w:rPr>
      </w:pPr>
      <w:r>
        <w:rPr>
          <w:lang w:eastAsia="en-AU"/>
        </w:rPr>
        <w:t>4. Submit results of the food-effect study when available.</w:t>
      </w:r>
    </w:p>
    <w:p w:rsidR="00496C9B" w:rsidRDefault="00496C9B" w:rsidP="005F06E6">
      <w:pPr>
        <w:ind w:firstLine="720"/>
        <w:rPr>
          <w:lang w:eastAsia="en-AU"/>
        </w:rPr>
      </w:pPr>
      <w:r>
        <w:rPr>
          <w:lang w:eastAsia="en-AU"/>
        </w:rPr>
        <w:t xml:space="preserve">Results of the food effect study will be submitted in </w:t>
      </w:r>
      <w:r w:rsidR="005F06E6">
        <w:rPr>
          <w:lang w:eastAsia="en-AU"/>
        </w:rPr>
        <w:t>second quarter of</w:t>
      </w:r>
      <w:r>
        <w:rPr>
          <w:lang w:eastAsia="en-AU"/>
        </w:rPr>
        <w:t xml:space="preserve"> 2012.</w:t>
      </w:r>
    </w:p>
    <w:p w:rsidR="00496C9B" w:rsidRDefault="00496C9B" w:rsidP="005F06E6">
      <w:pPr>
        <w:pStyle w:val="Heading6"/>
        <w:rPr>
          <w:lang w:eastAsia="en-AU"/>
        </w:rPr>
      </w:pPr>
      <w:r>
        <w:rPr>
          <w:lang w:eastAsia="en-AU"/>
        </w:rPr>
        <w:t>5</w:t>
      </w:r>
      <w:r w:rsidR="005F06E6">
        <w:rPr>
          <w:lang w:eastAsia="en-AU"/>
        </w:rPr>
        <w:t>.</w:t>
      </w:r>
      <w:r>
        <w:rPr>
          <w:lang w:eastAsia="en-AU"/>
        </w:rPr>
        <w:t xml:space="preserve"> Submit results of the study in hepatic impairment when available.</w:t>
      </w:r>
    </w:p>
    <w:p w:rsidR="00496C9B" w:rsidRPr="00496C9B" w:rsidRDefault="00496C9B" w:rsidP="005F06E6">
      <w:pPr>
        <w:ind w:left="709" w:firstLine="11"/>
        <w:rPr>
          <w:lang w:eastAsia="en-AU"/>
        </w:rPr>
      </w:pPr>
      <w:r>
        <w:rPr>
          <w:lang w:eastAsia="en-AU"/>
        </w:rPr>
        <w:t xml:space="preserve">Results of the study in hepatic impairment will be submitted in </w:t>
      </w:r>
      <w:r w:rsidR="005F06E6">
        <w:rPr>
          <w:lang w:eastAsia="en-AU"/>
        </w:rPr>
        <w:t xml:space="preserve">third quarter of </w:t>
      </w:r>
      <w:r>
        <w:rPr>
          <w:lang w:eastAsia="en-AU"/>
        </w:rPr>
        <w:t>2017.</w:t>
      </w:r>
    </w:p>
    <w:p w:rsidR="00116AE6" w:rsidRDefault="006165D4" w:rsidP="004C3829">
      <w:pPr>
        <w:pStyle w:val="Heading4"/>
      </w:pPr>
      <w:r>
        <w:t>Advisory committee c</w:t>
      </w:r>
      <w:r w:rsidR="00116AE6">
        <w:t>onsiderations</w:t>
      </w:r>
    </w:p>
    <w:p w:rsidR="00116AE6" w:rsidRDefault="00116AE6" w:rsidP="00116AE6">
      <w:pPr>
        <w:rPr>
          <w:bCs/>
        </w:rPr>
      </w:pPr>
      <w:r>
        <w:rPr>
          <w:bCs/>
        </w:rPr>
        <w:t>The Advisory Committee on Prescription Medicines (</w:t>
      </w:r>
      <w:r w:rsidRPr="001C5DFC">
        <w:rPr>
          <w:bCs/>
        </w:rPr>
        <w:t>AC</w:t>
      </w:r>
      <w:r>
        <w:rPr>
          <w:bCs/>
        </w:rPr>
        <w:t>PM), having considered the evaluations and the Delegate’s overview,</w:t>
      </w:r>
      <w:r w:rsidRPr="001C5DFC">
        <w:rPr>
          <w:bCs/>
        </w:rPr>
        <w:t xml:space="preserve"> </w:t>
      </w:r>
      <w:r>
        <w:rPr>
          <w:bCs/>
        </w:rPr>
        <w:t xml:space="preserve">as well as the sponsor’s response to these documents, </w:t>
      </w:r>
      <w:r w:rsidR="005A27B0">
        <w:rPr>
          <w:bCs/>
        </w:rPr>
        <w:t>advised the following:</w:t>
      </w:r>
    </w:p>
    <w:p w:rsidR="009C50CA" w:rsidRPr="007A6BC0" w:rsidRDefault="009C50CA" w:rsidP="009C50CA">
      <w:pPr>
        <w:spacing w:after="240"/>
        <w:rPr>
          <w:rFonts w:asciiTheme="majorHAnsi" w:hAnsiTheme="majorHAnsi"/>
          <w:b/>
          <w:color w:val="000000" w:themeColor="text1"/>
        </w:rPr>
      </w:pPr>
      <w:r w:rsidRPr="007A6BC0">
        <w:rPr>
          <w:rFonts w:asciiTheme="majorHAnsi" w:hAnsiTheme="majorHAnsi"/>
          <w:color w:val="000000" w:themeColor="text1"/>
        </w:rPr>
        <w:t>The ACPM, taking into account the submitted evidence of efficacy, safet</w:t>
      </w:r>
      <w:r>
        <w:rPr>
          <w:rFonts w:asciiTheme="majorHAnsi" w:hAnsiTheme="majorHAnsi"/>
          <w:color w:val="000000" w:themeColor="text1"/>
        </w:rPr>
        <w:t>y and quality, agreed with the D</w:t>
      </w:r>
      <w:r w:rsidRPr="007A6BC0">
        <w:rPr>
          <w:rFonts w:asciiTheme="majorHAnsi" w:hAnsiTheme="majorHAnsi"/>
          <w:color w:val="000000" w:themeColor="text1"/>
        </w:rPr>
        <w:t xml:space="preserve">elegate and considered this product to have an overall positive </w:t>
      </w:r>
      <w:r w:rsidRPr="009C50CA">
        <w:rPr>
          <w:rFonts w:asciiTheme="majorHAnsi" w:hAnsiTheme="majorHAnsi"/>
          <w:i/>
          <w:color w:val="000000" w:themeColor="text1"/>
        </w:rPr>
        <w:t xml:space="preserve">benefit–risk profile </w:t>
      </w:r>
      <w:r w:rsidRPr="007A6BC0">
        <w:rPr>
          <w:rFonts w:asciiTheme="majorHAnsi" w:hAnsiTheme="majorHAnsi"/>
          <w:color w:val="000000" w:themeColor="text1"/>
        </w:rPr>
        <w:t>for the following indication</w:t>
      </w:r>
      <w:r w:rsidRPr="007A6BC0">
        <w:rPr>
          <w:rFonts w:asciiTheme="majorHAnsi" w:hAnsiTheme="majorHAnsi"/>
          <w:b/>
          <w:color w:val="000000" w:themeColor="text1"/>
        </w:rPr>
        <w:t>:</w:t>
      </w:r>
    </w:p>
    <w:p w:rsidR="009C50CA" w:rsidRPr="009C50CA" w:rsidRDefault="009C50CA" w:rsidP="009C50CA">
      <w:pPr>
        <w:autoSpaceDE w:val="0"/>
        <w:autoSpaceDN w:val="0"/>
        <w:spacing w:after="240"/>
        <w:ind w:left="567"/>
        <w:rPr>
          <w:rFonts w:asciiTheme="majorHAnsi" w:hAnsiTheme="majorHAnsi"/>
          <w:bCs/>
          <w:i/>
          <w:iCs/>
        </w:rPr>
      </w:pPr>
      <w:r w:rsidRPr="009C50CA">
        <w:rPr>
          <w:rFonts w:asciiTheme="majorHAnsi" w:hAnsiTheme="majorHAnsi"/>
          <w:bCs/>
          <w:i/>
          <w:iCs/>
        </w:rPr>
        <w:t>Treatment of unresectable stage IIIC or stage IV metastatic melanoma positive for the BRAF V600 mutation.</w:t>
      </w:r>
    </w:p>
    <w:p w:rsidR="009C50CA" w:rsidRPr="007A6BC0" w:rsidRDefault="009C50CA" w:rsidP="009C50CA">
      <w:pPr>
        <w:autoSpaceDE w:val="0"/>
        <w:autoSpaceDN w:val="0"/>
        <w:spacing w:after="240"/>
        <w:rPr>
          <w:rFonts w:asciiTheme="majorHAnsi" w:hAnsiTheme="majorHAnsi"/>
          <w:bCs/>
        </w:rPr>
      </w:pPr>
      <w:r w:rsidRPr="007A6BC0">
        <w:rPr>
          <w:rFonts w:asciiTheme="majorHAnsi" w:hAnsiTheme="majorHAnsi"/>
          <w:bCs/>
        </w:rPr>
        <w:t xml:space="preserve">In making this recommendation the ACPM noted the significant initial efficacy </w:t>
      </w:r>
      <w:r w:rsidRPr="007A6BC0">
        <w:rPr>
          <w:rFonts w:asciiTheme="majorHAnsi" w:hAnsiTheme="majorHAnsi"/>
          <w:bCs/>
          <w:color w:val="000000" w:themeColor="text1"/>
        </w:rPr>
        <w:t xml:space="preserve">but </w:t>
      </w:r>
      <w:r w:rsidRPr="007A6BC0">
        <w:rPr>
          <w:rFonts w:asciiTheme="majorHAnsi" w:hAnsiTheme="majorHAnsi"/>
          <w:bCs/>
        </w:rPr>
        <w:t>cautioned that there was no evidence of significant prolongation of overall survival.</w:t>
      </w:r>
      <w:r w:rsidR="005777FF">
        <w:rPr>
          <w:rFonts w:asciiTheme="majorHAnsi" w:hAnsiTheme="majorHAnsi"/>
          <w:bCs/>
        </w:rPr>
        <w:t xml:space="preserve"> </w:t>
      </w:r>
      <w:r w:rsidRPr="007A6BC0">
        <w:rPr>
          <w:rFonts w:asciiTheme="majorHAnsi" w:hAnsiTheme="majorHAnsi"/>
          <w:bCs/>
        </w:rPr>
        <w:t xml:space="preserve">The ACPM discussed the evidence to support the proposed indication and agreed with the </w:t>
      </w:r>
      <w:r>
        <w:rPr>
          <w:rFonts w:asciiTheme="majorHAnsi" w:hAnsiTheme="majorHAnsi"/>
          <w:bCs/>
        </w:rPr>
        <w:t>D</w:t>
      </w:r>
      <w:r w:rsidRPr="007A6BC0">
        <w:rPr>
          <w:rFonts w:asciiTheme="majorHAnsi" w:hAnsiTheme="majorHAnsi"/>
          <w:bCs/>
        </w:rPr>
        <w:t xml:space="preserve">elegate that the efficacy and safety had only been established for the V600E mutation and therefore the indication should be similarly restricted. However, the ACPM advised the TGA to investigate the sensitivity of the </w:t>
      </w:r>
      <w:r w:rsidRPr="007A6BC0">
        <w:rPr>
          <w:rFonts w:asciiTheme="majorHAnsi" w:eastAsiaTheme="minorHAnsi" w:hAnsiTheme="majorHAnsi"/>
          <w:color w:val="000000"/>
        </w:rPr>
        <w:t xml:space="preserve">Cobas 4800 BRAF V600 test to confirm if it is feasible to restrict the indication to the V600E mutation to match the efficacy evidence. </w:t>
      </w:r>
    </w:p>
    <w:p w:rsidR="009C50CA" w:rsidRPr="007A6BC0" w:rsidRDefault="009C50CA" w:rsidP="009C50CA">
      <w:pPr>
        <w:spacing w:after="240"/>
        <w:jc w:val="both"/>
        <w:rPr>
          <w:rFonts w:asciiTheme="majorHAnsi" w:hAnsiTheme="majorHAnsi"/>
          <w:bCs/>
        </w:rPr>
      </w:pPr>
      <w:r>
        <w:rPr>
          <w:rFonts w:asciiTheme="majorHAnsi" w:hAnsiTheme="majorHAnsi"/>
          <w:bCs/>
        </w:rPr>
        <w:t>The ACPM agreed with the D</w:t>
      </w:r>
      <w:r w:rsidRPr="007A6BC0">
        <w:rPr>
          <w:rFonts w:asciiTheme="majorHAnsi" w:hAnsiTheme="majorHAnsi"/>
          <w:bCs/>
        </w:rPr>
        <w:t>elegate to the proposed amendments to the Product Information (PI) and Consumer Medicine Information (CMI) and specifically advised on inclusion of the following:</w:t>
      </w:r>
    </w:p>
    <w:p w:rsidR="009C50CA" w:rsidRPr="007A6BC0" w:rsidRDefault="009C50CA" w:rsidP="005C7653">
      <w:pPr>
        <w:pStyle w:val="ListParagraph"/>
        <w:numPr>
          <w:ilvl w:val="0"/>
          <w:numId w:val="5"/>
        </w:numPr>
        <w:autoSpaceDE w:val="0"/>
        <w:autoSpaceDN w:val="0"/>
        <w:spacing w:after="240"/>
        <w:ind w:hanging="153"/>
        <w:rPr>
          <w:rFonts w:asciiTheme="majorHAnsi" w:hAnsiTheme="majorHAnsi"/>
          <w:bCs/>
          <w:szCs w:val="22"/>
          <w:lang w:val="en-GB"/>
        </w:rPr>
      </w:pPr>
      <w:r w:rsidRPr="007A6BC0">
        <w:rPr>
          <w:rFonts w:asciiTheme="majorHAnsi" w:hAnsiTheme="majorHAnsi"/>
          <w:bCs/>
          <w:szCs w:val="22"/>
          <w:lang w:val="en-GB"/>
        </w:rPr>
        <w:t xml:space="preserve">Inclusion in the appropriate section of the CMI a statement to ensure that the evidence of the development of secondary </w:t>
      </w:r>
      <w:r w:rsidRPr="007A6BC0">
        <w:rPr>
          <w:rFonts w:asciiTheme="majorHAnsi" w:eastAsiaTheme="minorHAnsi" w:hAnsiTheme="majorHAnsi"/>
          <w:szCs w:val="22"/>
          <w:lang w:val="en-US"/>
        </w:rPr>
        <w:t xml:space="preserve">cutaneous </w:t>
      </w:r>
      <w:r w:rsidRPr="007A6BC0">
        <w:rPr>
          <w:rFonts w:asciiTheme="majorHAnsi" w:hAnsiTheme="majorHAnsi"/>
          <w:szCs w:val="22"/>
        </w:rPr>
        <w:t>squamous-cell carcinomas</w:t>
      </w:r>
      <w:r w:rsidRPr="007A6BC0">
        <w:rPr>
          <w:rFonts w:asciiTheme="majorHAnsi" w:hAnsiTheme="majorHAnsi"/>
          <w:bCs/>
          <w:szCs w:val="22"/>
          <w:lang w:val="en-GB"/>
        </w:rPr>
        <w:t>, as early as in first month of therapy is highlighted.</w:t>
      </w:r>
    </w:p>
    <w:p w:rsidR="009C50CA" w:rsidRDefault="009C50CA" w:rsidP="005C7653">
      <w:pPr>
        <w:pStyle w:val="ListParagraph"/>
        <w:numPr>
          <w:ilvl w:val="0"/>
          <w:numId w:val="5"/>
        </w:numPr>
        <w:spacing w:after="240"/>
        <w:ind w:hanging="153"/>
        <w:jc w:val="both"/>
        <w:rPr>
          <w:rFonts w:asciiTheme="majorHAnsi" w:hAnsiTheme="majorHAnsi"/>
          <w:bCs/>
          <w:szCs w:val="22"/>
        </w:rPr>
      </w:pPr>
      <w:r w:rsidRPr="00544AF2">
        <w:rPr>
          <w:rFonts w:asciiTheme="majorHAnsi" w:hAnsiTheme="majorHAnsi"/>
          <w:bCs/>
          <w:szCs w:val="22"/>
        </w:rPr>
        <w:t xml:space="preserve">Inclusion of information </w:t>
      </w:r>
      <w:r>
        <w:rPr>
          <w:rFonts w:asciiTheme="majorHAnsi" w:hAnsiTheme="majorHAnsi"/>
          <w:bCs/>
          <w:szCs w:val="22"/>
        </w:rPr>
        <w:t xml:space="preserve">in the appropriate section of the PI </w:t>
      </w:r>
      <w:r w:rsidRPr="00544AF2">
        <w:rPr>
          <w:rFonts w:asciiTheme="majorHAnsi" w:hAnsiTheme="majorHAnsi"/>
          <w:bCs/>
          <w:szCs w:val="22"/>
        </w:rPr>
        <w:t>to support prescriber awareness of the efficacy and safety for V600E mutations only.</w:t>
      </w:r>
    </w:p>
    <w:p w:rsidR="009C50CA" w:rsidRPr="00544AF2" w:rsidRDefault="009C50CA" w:rsidP="009C50CA">
      <w:pPr>
        <w:spacing w:after="240"/>
        <w:jc w:val="both"/>
        <w:rPr>
          <w:rFonts w:asciiTheme="majorHAnsi" w:hAnsiTheme="majorHAnsi"/>
          <w:bCs/>
        </w:rPr>
      </w:pPr>
      <w:r w:rsidRPr="00544AF2">
        <w:rPr>
          <w:rFonts w:asciiTheme="majorHAnsi" w:hAnsiTheme="majorHAnsi"/>
          <w:bCs/>
        </w:rPr>
        <w:t xml:space="preserve">The ACPM agreed with the </w:t>
      </w:r>
      <w:r>
        <w:rPr>
          <w:rFonts w:asciiTheme="majorHAnsi" w:hAnsiTheme="majorHAnsi"/>
          <w:bCs/>
        </w:rPr>
        <w:t>D</w:t>
      </w:r>
      <w:r w:rsidRPr="00544AF2">
        <w:rPr>
          <w:rFonts w:asciiTheme="majorHAnsi" w:hAnsiTheme="majorHAnsi"/>
          <w:bCs/>
        </w:rPr>
        <w:t>elegate on the proposed conditions of registration and supported the consideration of the adequacy of the testing mechanisms and the specificity for the V600E mutation.</w:t>
      </w:r>
    </w:p>
    <w:p w:rsidR="009C50CA" w:rsidRPr="007A6BC0" w:rsidRDefault="009C50CA" w:rsidP="009C50CA">
      <w:pPr>
        <w:rPr>
          <w:rFonts w:asciiTheme="majorHAnsi" w:hAnsiTheme="majorHAnsi"/>
          <w:bCs/>
        </w:rPr>
      </w:pPr>
      <w:r w:rsidRPr="007A6BC0">
        <w:rPr>
          <w:rFonts w:asciiTheme="majorHAnsi" w:hAnsiTheme="majorHAnsi"/>
          <w:bCs/>
        </w:rPr>
        <w:lastRenderedPageBreak/>
        <w:t xml:space="preserve">The ACPM advised that the implementation by the sponsor of the recommendations outlined above to the satisfaction of the TGA, in addition to the evidence of efficacy and safety provided would support the safe and effective use of these products. </w:t>
      </w:r>
    </w:p>
    <w:p w:rsidR="009C50CA" w:rsidRPr="00A322B3" w:rsidRDefault="009C50CA" w:rsidP="00116AE6"/>
    <w:p w:rsidR="00116AE6" w:rsidRPr="002E238E" w:rsidRDefault="00116AE6" w:rsidP="00116AE6">
      <w:pPr>
        <w:pStyle w:val="Heading3"/>
      </w:pPr>
      <w:bookmarkStart w:id="92" w:name="_Toc247691532"/>
      <w:bookmarkStart w:id="93" w:name="_Toc345675792"/>
      <w:bookmarkEnd w:id="75"/>
      <w:bookmarkEnd w:id="89"/>
      <w:bookmarkEnd w:id="90"/>
      <w:r>
        <w:t>Outcome</w:t>
      </w:r>
      <w:bookmarkEnd w:id="92"/>
      <w:bookmarkEnd w:id="93"/>
    </w:p>
    <w:p w:rsidR="00116AE6" w:rsidRPr="009C50CA" w:rsidRDefault="00116AE6" w:rsidP="009C50CA">
      <w:pPr>
        <w:tabs>
          <w:tab w:val="left" w:pos="720"/>
        </w:tabs>
      </w:pPr>
      <w:r>
        <w:t xml:space="preserve">Based on a review of quality, safety and efficacy, TGA </w:t>
      </w:r>
      <w:r w:rsidRPr="009C50CA">
        <w:t xml:space="preserve">approved the registration of </w:t>
      </w:r>
      <w:bookmarkStart w:id="94" w:name="a10"/>
      <w:r w:rsidR="009C50CA" w:rsidRPr="009C50CA">
        <w:t>Zelboraf Vemurafenib 240 mg film-coated tablet blister pack</w:t>
      </w:r>
      <w:bookmarkEnd w:id="94"/>
      <w:r w:rsidR="009C50CA" w:rsidRPr="009C50CA">
        <w:t xml:space="preserve">, </w:t>
      </w:r>
      <w:r w:rsidRPr="009C50CA">
        <w:t>indicated for:</w:t>
      </w:r>
    </w:p>
    <w:p w:rsidR="009C50CA" w:rsidRDefault="009C50CA" w:rsidP="009C50CA">
      <w:pPr>
        <w:ind w:left="720"/>
        <w:rPr>
          <w:i/>
        </w:rPr>
      </w:pPr>
      <w:bookmarkStart w:id="95" w:name="_Toc247691533"/>
      <w:r>
        <w:rPr>
          <w:i/>
        </w:rPr>
        <w:t>“</w:t>
      </w:r>
      <w:r w:rsidRPr="009C50CA">
        <w:rPr>
          <w:i/>
        </w:rPr>
        <w:t>The treatment of unresectable stage IIIC or stage IV metastatic melanoma positive for a BRAF V600 mutation</w:t>
      </w:r>
      <w:r>
        <w:rPr>
          <w:i/>
        </w:rPr>
        <w:t>.”</w:t>
      </w:r>
    </w:p>
    <w:p w:rsidR="009C50CA" w:rsidRDefault="009C50CA" w:rsidP="009C50CA">
      <w:pPr>
        <w:pStyle w:val="Heading5"/>
      </w:pPr>
    </w:p>
    <w:p w:rsidR="009C50CA" w:rsidRDefault="006165D4" w:rsidP="009C50CA">
      <w:pPr>
        <w:pStyle w:val="Heading5"/>
      </w:pPr>
      <w:r>
        <w:t>Specific conditions of registration a</w:t>
      </w:r>
      <w:r w:rsidR="009C50CA">
        <w:t>pplying to these Therapeutic Goods</w:t>
      </w:r>
    </w:p>
    <w:p w:rsidR="009C50CA" w:rsidRPr="009C50CA" w:rsidRDefault="009C50CA" w:rsidP="009C50CA">
      <w:pPr>
        <w:pStyle w:val="Numberbullet0"/>
      </w:pPr>
      <w:r w:rsidRPr="009C50CA">
        <w:t xml:space="preserve">The implementation in Australia of the Vemurafenib Risk Management Plan (RMP), version 1.0, dated May 2011, included with </w:t>
      </w:r>
      <w:r>
        <w:t xml:space="preserve">this </w:t>
      </w:r>
      <w:r w:rsidRPr="009C50CA">
        <w:t>submission</w:t>
      </w:r>
      <w:r>
        <w:t>,</w:t>
      </w:r>
      <w:r w:rsidRPr="009C50CA">
        <w:t xml:space="preserve"> and any subsequent revisions, as agreed with the TGA and its Office of Product Review.</w:t>
      </w:r>
    </w:p>
    <w:p w:rsidR="009C50CA" w:rsidRPr="009C50CA" w:rsidRDefault="009C50CA" w:rsidP="009C50CA">
      <w:pPr>
        <w:pStyle w:val="Numberbullet0"/>
      </w:pPr>
      <w:r w:rsidRPr="009C50CA">
        <w:t>Submission of the results of ongoing trials to the TGA according to Roche’s commitment in their Pre</w:t>
      </w:r>
      <w:r>
        <w:t xml:space="preserve"> </w:t>
      </w:r>
      <w:r w:rsidRPr="009C50CA">
        <w:t>ACPM Response dated 2 March 2012</w:t>
      </w:r>
      <w:r w:rsidR="00591017">
        <w:t>.</w:t>
      </w:r>
      <w:r w:rsidRPr="009C50CA">
        <w:t xml:space="preserve"> </w:t>
      </w:r>
    </w:p>
    <w:p w:rsidR="009C50CA" w:rsidRPr="009C50CA" w:rsidRDefault="009C50CA" w:rsidP="009C50CA">
      <w:pPr>
        <w:ind w:left="720"/>
        <w:rPr>
          <w:i/>
        </w:rPr>
      </w:pPr>
    </w:p>
    <w:p w:rsidR="00116AE6" w:rsidRDefault="00116AE6" w:rsidP="003602A9">
      <w:pPr>
        <w:pStyle w:val="Heading2"/>
      </w:pPr>
      <w:bookmarkStart w:id="96" w:name="_Toc345675793"/>
      <w:r>
        <w:t>Attachment 1.</w:t>
      </w:r>
      <w:r>
        <w:tab/>
        <w:t>Product Information</w:t>
      </w:r>
      <w:bookmarkEnd w:id="95"/>
      <w:bookmarkEnd w:id="96"/>
    </w:p>
    <w:p w:rsidR="006D03E5" w:rsidRDefault="00886EC3" w:rsidP="009A3DAC">
      <w:pPr>
        <w:autoSpaceDE w:val="0"/>
        <w:autoSpaceDN w:val="0"/>
        <w:adjustRightInd w:val="0"/>
        <w:spacing w:after="0"/>
        <w:sectPr w:rsidR="006D03E5" w:rsidSect="00EF0159">
          <w:pgSz w:w="11906" w:h="16838" w:code="9"/>
          <w:pgMar w:top="1701" w:right="1701" w:bottom="1560" w:left="1701" w:header="907" w:footer="142" w:gutter="0"/>
          <w:cols w:space="708"/>
          <w:docGrid w:linePitch="360"/>
        </w:sectPr>
      </w:pPr>
      <w:r w:rsidRPr="0037352E">
        <w:t>The following Product Information was approved at the time this AusPAR was published. For the current Product Information please refer to the TGA website at</w:t>
      </w:r>
      <w:r>
        <w:t xml:space="preserve"> &lt;</w:t>
      </w:r>
      <w:r w:rsidRPr="00722B57">
        <w:rPr>
          <w:rStyle w:val="Hyperlink"/>
        </w:rPr>
        <w:t>http://www.tga.gov.au/hp/information-medicines-pi.htm</w:t>
      </w:r>
      <w:hyperlink w:history="1"/>
      <w:r>
        <w:rPr>
          <w:color w:val="000000"/>
          <w:lang w:eastAsia="en-AU"/>
        </w:rPr>
        <w:t>&gt;.</w:t>
      </w:r>
    </w:p>
    <w:p w:rsidR="006E08B3" w:rsidRPr="006E08B3" w:rsidRDefault="006E08B3" w:rsidP="00AE65EB"/>
    <w:sectPr w:rsidR="006E08B3" w:rsidRPr="006E08B3" w:rsidSect="00A36FA7">
      <w:headerReference w:type="even" r:id="rId75"/>
      <w:headerReference w:type="default" r:id="rId76"/>
      <w:footerReference w:type="default" r:id="rId77"/>
      <w:headerReference w:type="first" r:id="rId78"/>
      <w:footerReference w:type="first" r:id="rId79"/>
      <w:pgSz w:w="11906" w:h="16838" w:code="9"/>
      <w:pgMar w:top="2211" w:right="1701" w:bottom="1701" w:left="1701" w:header="90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08DA" w:rsidRDefault="00A408DA" w:rsidP="00C40A36">
      <w:pPr>
        <w:spacing w:after="0"/>
      </w:pPr>
      <w:r>
        <w:separator/>
      </w:r>
    </w:p>
  </w:endnote>
  <w:endnote w:type="continuationSeparator" w:id="0">
    <w:p w:rsidR="00A408DA" w:rsidRDefault="00A408DA"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embedRegular r:id="rId1" w:fontKey="{F9AB584F-D7BD-41A8-A2BC-988BCD71B851}"/>
    <w:embedBold r:id="rId2" w:fontKey="{E326ABD3-1944-44F0-B3F5-8A6ED3CA19B7}"/>
    <w:embedItalic r:id="rId3" w:fontKey="{AD949B6E-9627-44B1-90C5-9E40C928D2D5}"/>
    <w:embedBoldItalic r:id="rId4" w:fontKey="{6B78DFB8-5B31-484C-B853-941037D0E7C5}"/>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5" w:fontKey="{357E5C5E-8964-4CB7-82E4-813DA27E550C}"/>
    <w:embedItalic r:id="rId6" w:fontKey="{E926E469-E2BA-432A-83DB-4D849DB99CF4}"/>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embedRegular r:id="rId7" w:fontKey="{19F50988-8737-465B-AED4-0C08D5BF5C2B}"/>
    <w:embedBold r:id="rId8" w:fontKey="{D0E59C77-4706-475A-9F33-B876B4C91470}"/>
  </w:font>
  <w:font w:name="Minion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mago">
    <w:altName w:val="Imago"/>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00"/>
    <w:family w:val="roman"/>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3000003" w:usb1="08070000" w:usb2="00000010" w:usb3="00000000" w:csb0="00020001" w:csb1="00000000"/>
  </w:font>
  <w:font w:name="Helvetica">
    <w:panose1 w:val="020B0604020202020204"/>
    <w:charset w:val="00"/>
    <w:family w:val="swiss"/>
    <w:notTrueType/>
    <w:pitch w:val="variable"/>
    <w:sig w:usb0="00000003" w:usb1="00000000" w:usb2="00000000" w:usb3="00000000" w:csb0="00000001" w:csb1="00000000"/>
  </w:font>
  <w:font w:name="Imago,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Layout w:type="fixed"/>
      <w:tblCellMar>
        <w:left w:w="0" w:type="dxa"/>
        <w:right w:w="0" w:type="dxa"/>
      </w:tblCellMar>
      <w:tblLook w:val="04A0"/>
    </w:tblPr>
    <w:tblGrid>
      <w:gridCol w:w="4519"/>
      <w:gridCol w:w="3986"/>
    </w:tblGrid>
    <w:tr w:rsidR="00A408DA" w:rsidRPr="005A27B0" w:rsidTr="00886EC3">
      <w:trPr>
        <w:trHeight w:hRule="exact" w:val="567"/>
      </w:trPr>
      <w:tc>
        <w:tcPr>
          <w:tcW w:w="4519" w:type="dxa"/>
          <w:tcMar>
            <w:top w:w="142" w:type="dxa"/>
            <w:bottom w:w="0" w:type="dxa"/>
          </w:tcMar>
        </w:tcPr>
        <w:p w:rsidR="00A408DA" w:rsidRDefault="00A408DA" w:rsidP="00F86234">
          <w:pPr>
            <w:pStyle w:val="Footer"/>
          </w:pPr>
          <w:r w:rsidRPr="005A27B0">
            <w:t xml:space="preserve">AusPAR </w:t>
          </w:r>
          <w:r>
            <w:t>Zelboraf Vemurafenib Roche Products Pty Ltd</w:t>
          </w:r>
        </w:p>
        <w:p w:rsidR="00A408DA" w:rsidRPr="005A27B0" w:rsidRDefault="00A408DA" w:rsidP="00F86234">
          <w:pPr>
            <w:pStyle w:val="Footer"/>
          </w:pPr>
          <w:r>
            <w:t>PM-2011-00795-3-4 Final 17 December 2012</w:t>
          </w:r>
        </w:p>
      </w:tc>
      <w:tc>
        <w:tcPr>
          <w:tcW w:w="3986" w:type="dxa"/>
          <w:tcMar>
            <w:top w:w="142" w:type="dxa"/>
            <w:bottom w:w="0" w:type="dxa"/>
          </w:tcMar>
        </w:tcPr>
        <w:p w:rsidR="00A408DA" w:rsidRPr="005A27B0" w:rsidRDefault="00A408DA" w:rsidP="005A27B0">
          <w:pPr>
            <w:pStyle w:val="Footer"/>
            <w:jc w:val="right"/>
          </w:pPr>
          <w:r w:rsidRPr="005A27B0">
            <w:t xml:space="preserve">Page </w:t>
          </w:r>
          <w:fldSimple w:instr=" PAGE  \* Arabic  \* MERGEFORMAT ">
            <w:r w:rsidR="00581386">
              <w:rPr>
                <w:noProof/>
              </w:rPr>
              <w:t>2</w:t>
            </w:r>
          </w:fldSimple>
          <w:r w:rsidRPr="005A27B0">
            <w:t xml:space="preserve"> of </w:t>
          </w:r>
          <w:fldSimple w:instr=" NUMPAGES  \* Arabic  \* MERGEFORMAT ">
            <w:r w:rsidR="00581386">
              <w:rPr>
                <w:noProof/>
              </w:rPr>
              <w:t>96</w:t>
            </w:r>
          </w:fldSimple>
        </w:p>
      </w:tc>
    </w:tr>
  </w:tbl>
  <w:p w:rsidR="00A408DA" w:rsidRDefault="00A408DA" w:rsidP="000555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8DA" w:rsidRDefault="00A408DA" w:rsidP="00165389">
    <w:fldSimple w:instr=" MERGEFIELD AN ">
      <w:r>
        <w:rPr>
          <w:noProof/>
        </w:rPr>
        <w:t>«AN»</w:t>
      </w:r>
    </w:fldSimple>
  </w:p>
  <w:p w:rsidR="00A408DA" w:rsidRDefault="00A408D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Borders>
        <w:top w:val="single" w:sz="4" w:space="0" w:color="auto"/>
      </w:tblBorders>
      <w:tblLayout w:type="fixed"/>
      <w:tblCellMar>
        <w:left w:w="0" w:type="dxa"/>
        <w:right w:w="0" w:type="dxa"/>
      </w:tblCellMar>
      <w:tblLook w:val="04A0"/>
    </w:tblPr>
    <w:tblGrid>
      <w:gridCol w:w="4519"/>
      <w:gridCol w:w="3986"/>
    </w:tblGrid>
    <w:tr w:rsidR="00A408DA" w:rsidRPr="005A27B0" w:rsidTr="00171611">
      <w:trPr>
        <w:trHeight w:hRule="exact" w:val="567"/>
      </w:trPr>
      <w:tc>
        <w:tcPr>
          <w:tcW w:w="4519" w:type="dxa"/>
          <w:tcMar>
            <w:top w:w="142" w:type="dxa"/>
            <w:bottom w:w="0" w:type="dxa"/>
          </w:tcMar>
        </w:tcPr>
        <w:p w:rsidR="00A408DA" w:rsidRDefault="00A408DA" w:rsidP="00F86234">
          <w:pPr>
            <w:pStyle w:val="Footer"/>
          </w:pPr>
          <w:r w:rsidRPr="005A27B0">
            <w:t xml:space="preserve">AusPAR </w:t>
          </w:r>
          <w:r>
            <w:t>Zelboraf Vemurafenib Roche Products Pty Ltd</w:t>
          </w:r>
        </w:p>
        <w:p w:rsidR="00A408DA" w:rsidRPr="005A27B0" w:rsidRDefault="00A408DA" w:rsidP="00F86234">
          <w:pPr>
            <w:pStyle w:val="Footer"/>
          </w:pPr>
          <w:r>
            <w:t>PM-2011-00795-3-4 Final 17 December 2012</w:t>
          </w:r>
        </w:p>
      </w:tc>
      <w:tc>
        <w:tcPr>
          <w:tcW w:w="3986" w:type="dxa"/>
          <w:tcMar>
            <w:top w:w="142" w:type="dxa"/>
            <w:bottom w:w="0" w:type="dxa"/>
          </w:tcMar>
        </w:tcPr>
        <w:p w:rsidR="00A408DA" w:rsidRPr="005A27B0" w:rsidRDefault="00A408DA" w:rsidP="005A27B0">
          <w:pPr>
            <w:pStyle w:val="Footer"/>
            <w:jc w:val="right"/>
          </w:pPr>
          <w:r w:rsidRPr="005A27B0">
            <w:t xml:space="preserve">Page </w:t>
          </w:r>
          <w:fldSimple w:instr=" PAGE  \* Arabic  \* MERGEFORMAT ">
            <w:r w:rsidR="00581386">
              <w:rPr>
                <w:noProof/>
              </w:rPr>
              <w:t>4</w:t>
            </w:r>
          </w:fldSimple>
          <w:r w:rsidRPr="005A27B0">
            <w:t xml:space="preserve"> of </w:t>
          </w:r>
          <w:fldSimple w:instr=" NUMPAGES  \* Arabic  \* MERGEFORMAT ">
            <w:r w:rsidR="00581386">
              <w:rPr>
                <w:noProof/>
              </w:rPr>
              <w:t>96</w:t>
            </w:r>
          </w:fldSimple>
        </w:p>
      </w:tc>
    </w:tr>
  </w:tbl>
  <w:p w:rsidR="00A408DA" w:rsidRDefault="00A408DA" w:rsidP="0005559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A408DA" w:rsidRPr="005A27B0" w:rsidTr="005A27B0">
      <w:trPr>
        <w:trHeight w:val="269"/>
      </w:trPr>
      <w:tc>
        <w:tcPr>
          <w:tcW w:w="4519" w:type="dxa"/>
          <w:tcBorders>
            <w:top w:val="single" w:sz="4" w:space="0" w:color="auto"/>
          </w:tcBorders>
          <w:tcMar>
            <w:top w:w="142" w:type="dxa"/>
            <w:bottom w:w="0" w:type="dxa"/>
          </w:tcMar>
        </w:tcPr>
        <w:p w:rsidR="00A408DA" w:rsidRPr="005A27B0" w:rsidRDefault="00A408DA" w:rsidP="00FE1DEE">
          <w:pPr>
            <w:pStyle w:val="Footer"/>
          </w:pPr>
          <w:r w:rsidRPr="005A27B0">
            <w:t>Document title, Part #, Section # - Section title</w:t>
          </w:r>
        </w:p>
        <w:p w:rsidR="00A408DA" w:rsidRPr="005A27B0" w:rsidRDefault="00A408DA" w:rsidP="00FE1DEE">
          <w:pPr>
            <w:pStyle w:val="Footer"/>
          </w:pPr>
          <w:r w:rsidRPr="005A27B0">
            <w:t>V1.0 October 2010</w:t>
          </w:r>
        </w:p>
      </w:tc>
      <w:tc>
        <w:tcPr>
          <w:tcW w:w="4342" w:type="dxa"/>
          <w:tcBorders>
            <w:top w:val="single" w:sz="4" w:space="0" w:color="auto"/>
          </w:tcBorders>
          <w:tcMar>
            <w:top w:w="142" w:type="dxa"/>
            <w:bottom w:w="0" w:type="dxa"/>
          </w:tcMar>
        </w:tcPr>
        <w:p w:rsidR="00A408DA" w:rsidRPr="005A27B0" w:rsidRDefault="00A408DA" w:rsidP="005A27B0">
          <w:pPr>
            <w:pStyle w:val="Footer"/>
            <w:jc w:val="right"/>
          </w:pPr>
          <w:r w:rsidRPr="005A27B0">
            <w:t xml:space="preserve">Page </w:t>
          </w:r>
          <w:fldSimple w:instr=" PAGE   \* MERGEFORMAT ">
            <w:r>
              <w:rPr>
                <w:noProof/>
              </w:rPr>
              <w:t>1</w:t>
            </w:r>
          </w:fldSimple>
          <w:r w:rsidRPr="005A27B0">
            <w:t xml:space="preserve"> of </w:t>
          </w:r>
          <w:fldSimple w:instr=" NUMPAGES  ">
            <w:r>
              <w:rPr>
                <w:noProof/>
              </w:rPr>
              <w:t>96</w:t>
            </w:r>
          </w:fldSimple>
        </w:p>
      </w:tc>
    </w:tr>
  </w:tbl>
  <w:p w:rsidR="00A408DA" w:rsidRDefault="00A408D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8DA" w:rsidRDefault="00A408DA" w:rsidP="0005559E">
    <w:pPr>
      <w:pStyle w:val="Footer"/>
    </w:pPr>
  </w:p>
  <w:tbl>
    <w:tblPr>
      <w:tblW w:w="9145" w:type="dxa"/>
      <w:tblInd w:w="-284" w:type="dxa"/>
      <w:tblLayout w:type="fixed"/>
      <w:tblCellMar>
        <w:left w:w="0" w:type="dxa"/>
        <w:right w:w="0" w:type="dxa"/>
      </w:tblCellMar>
      <w:tblLook w:val="04A0"/>
    </w:tblPr>
    <w:tblGrid>
      <w:gridCol w:w="9145"/>
    </w:tblGrid>
    <w:tr w:rsidR="00A408DA" w:rsidRPr="005A27B0" w:rsidTr="005A27B0">
      <w:trPr>
        <w:trHeight w:hRule="exact" w:val="454"/>
      </w:trPr>
      <w:tc>
        <w:tcPr>
          <w:tcW w:w="9145" w:type="dxa"/>
        </w:tcPr>
        <w:p w:rsidR="00A408DA" w:rsidRPr="005A27B0" w:rsidRDefault="00A408DA" w:rsidP="00576378">
          <w:pPr>
            <w:pStyle w:val="TGASignoff"/>
          </w:pPr>
          <w:r w:rsidRPr="005A27B0">
            <w:t>Therapeutic Goods Administration</w:t>
          </w:r>
        </w:p>
      </w:tc>
    </w:tr>
    <w:tr w:rsidR="00A408DA" w:rsidRPr="005A27B0" w:rsidTr="005A27B0">
      <w:trPr>
        <w:trHeight w:val="1284"/>
      </w:trPr>
      <w:tc>
        <w:tcPr>
          <w:tcW w:w="9145" w:type="dxa"/>
          <w:tcMar>
            <w:top w:w="28" w:type="dxa"/>
          </w:tcMar>
        </w:tcPr>
        <w:p w:rsidR="00A408DA" w:rsidRPr="005A27B0" w:rsidRDefault="00A408DA" w:rsidP="00576378">
          <w:pPr>
            <w:pStyle w:val="Address"/>
          </w:pPr>
          <w:r w:rsidRPr="005A27B0">
            <w:t>PO Box 100 Woden ACT 2606 Australia</w:t>
          </w:r>
        </w:p>
        <w:p w:rsidR="00A408DA" w:rsidRPr="005A27B0" w:rsidRDefault="00A408DA" w:rsidP="00576378">
          <w:pPr>
            <w:pStyle w:val="Address"/>
          </w:pPr>
          <w:r w:rsidRPr="005A27B0">
            <w:t>Email: info@tga.gov.au</w:t>
          </w:r>
          <w:r>
            <w:t xml:space="preserve"> </w:t>
          </w:r>
          <w:r w:rsidRPr="005A27B0">
            <w:t>Phone: 1800 020 653</w:t>
          </w:r>
          <w:r>
            <w:t xml:space="preserve"> </w:t>
          </w:r>
          <w:r w:rsidRPr="005A27B0">
            <w:t>Fax: 02 6232 8605</w:t>
          </w:r>
        </w:p>
        <w:p w:rsidR="00A408DA" w:rsidRPr="005A27B0" w:rsidRDefault="00A408DA" w:rsidP="005A27B0">
          <w:pPr>
            <w:pStyle w:val="Address"/>
            <w:spacing w:line="260" w:lineRule="atLeast"/>
            <w:rPr>
              <w:b/>
            </w:rPr>
          </w:pPr>
          <w:r w:rsidRPr="005A27B0">
            <w:rPr>
              <w:b/>
            </w:rPr>
            <w:t>www.tga.gov.au</w:t>
          </w:r>
        </w:p>
        <w:p w:rsidR="00A408DA" w:rsidRPr="005A27B0" w:rsidRDefault="00A408DA" w:rsidP="00576378">
          <w:pPr>
            <w:pStyle w:val="Reference"/>
          </w:pPr>
        </w:p>
      </w:tc>
    </w:tr>
  </w:tbl>
  <w:p w:rsidR="00A408DA" w:rsidRDefault="00A408DA" w:rsidP="0005559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A408DA" w:rsidRPr="005A27B0" w:rsidTr="005A27B0">
      <w:trPr>
        <w:trHeight w:val="108"/>
      </w:trPr>
      <w:tc>
        <w:tcPr>
          <w:tcW w:w="8875" w:type="dxa"/>
          <w:gridSpan w:val="2"/>
          <w:tcBorders>
            <w:bottom w:val="single" w:sz="4" w:space="0" w:color="auto"/>
          </w:tcBorders>
          <w:tcMar>
            <w:right w:w="284" w:type="dxa"/>
          </w:tcMar>
        </w:tcPr>
        <w:p w:rsidR="00A408DA" w:rsidRPr="005A27B0" w:rsidRDefault="00A408DA" w:rsidP="005A27B0">
          <w:pPr>
            <w:pStyle w:val="Heading3"/>
            <w:spacing w:after="0"/>
          </w:pPr>
          <w:r w:rsidRPr="005A27B0">
            <w:t>Copyright</w:t>
          </w:r>
        </w:p>
        <w:p w:rsidR="00A408DA" w:rsidRPr="005A27B0" w:rsidRDefault="00A408DA" w:rsidP="006E08B3">
          <w:pPr>
            <w:pStyle w:val="Footer"/>
          </w:pPr>
          <w:r w:rsidRPr="005A27B0">
            <w:rPr>
              <w:rFonts w:cs="Arial"/>
            </w:rPr>
            <w:t>©</w:t>
          </w:r>
          <w:r w:rsidRPr="005A27B0">
            <w:t xml:space="preserve"> Commonwealth of Australia [add year]</w:t>
          </w:r>
        </w:p>
        <w:p w:rsidR="00A408DA" w:rsidRPr="005A27B0" w:rsidRDefault="00A408DA" w:rsidP="006E08B3">
          <w:pPr>
            <w:pStyle w:val="Footer"/>
          </w:pPr>
        </w:p>
        <w:p w:rsidR="00A408DA" w:rsidRPr="005A27B0" w:rsidRDefault="00A408DA" w:rsidP="006E08B3">
          <w:pPr>
            <w:pStyle w:val="Footer"/>
          </w:pPr>
          <w:r w:rsidRPr="005A27B0">
            <w:t>This work is copyright. Apart from any use as permitted under the Copyright Act 1968, no part may be reproduced by any process without prior written permission from the Commonwealth Copyright Administration, Attorney General’s Department, National Circuit, Barton ACT 2600 or posted at</w:t>
          </w:r>
          <w:r>
            <w:t xml:space="preserve"> </w:t>
          </w:r>
          <w:r w:rsidRPr="005A27B0">
            <w:t>http://www.ag.gov.au/cca</w:t>
          </w:r>
        </w:p>
        <w:p w:rsidR="00A408DA" w:rsidRPr="005A27B0" w:rsidRDefault="00A408DA" w:rsidP="006E08B3">
          <w:pPr>
            <w:pStyle w:val="Footer"/>
          </w:pPr>
        </w:p>
        <w:p w:rsidR="00A408DA" w:rsidRPr="005A27B0" w:rsidRDefault="00A408DA" w:rsidP="005A27B0">
          <w:pPr>
            <w:pStyle w:val="Heading3"/>
            <w:spacing w:after="0"/>
          </w:pPr>
          <w:r w:rsidRPr="005A27B0">
            <w:t>Confidentiality</w:t>
          </w:r>
        </w:p>
        <w:p w:rsidR="00A408DA" w:rsidRPr="005A27B0" w:rsidRDefault="00A408DA" w:rsidP="006E08B3">
          <w:pPr>
            <w:pStyle w:val="Footer"/>
          </w:pPr>
          <w:r w:rsidRPr="005A27B0">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408DA" w:rsidRPr="005A27B0" w:rsidRDefault="00A408DA" w:rsidP="006E08B3">
          <w:pPr>
            <w:pStyle w:val="Footer"/>
          </w:pPr>
        </w:p>
        <w:p w:rsidR="00A408DA" w:rsidRPr="005A27B0" w:rsidRDefault="00A408DA" w:rsidP="006E08B3">
          <w:pPr>
            <w:pStyle w:val="Footer"/>
          </w:pPr>
          <w:r w:rsidRPr="005A27B0">
            <w:t>For submission made by individuals, all personal details, other than your name, will be removed from your submission before it is published on the TGA’s Internet site.</w:t>
          </w:r>
        </w:p>
        <w:p w:rsidR="00A408DA" w:rsidRPr="005A27B0" w:rsidRDefault="00A408DA" w:rsidP="006E08B3">
          <w:pPr>
            <w:pStyle w:val="Footer"/>
          </w:pPr>
        </w:p>
        <w:p w:rsidR="00A408DA" w:rsidRPr="005A27B0" w:rsidRDefault="00A408DA" w:rsidP="006E08B3">
          <w:pPr>
            <w:pStyle w:val="Footer"/>
          </w:pPr>
          <w:r w:rsidRPr="005A27B0">
            <w:t>In addition, a list of parties making submissions will be published. If you do not wish to be identified with your submission you must specifically request this in the space provided ib the submission coversheet.</w:t>
          </w:r>
        </w:p>
      </w:tc>
    </w:tr>
    <w:tr w:rsidR="00A408DA" w:rsidRPr="005A27B0" w:rsidTr="005A27B0">
      <w:trPr>
        <w:trHeight w:val="417"/>
      </w:trPr>
      <w:tc>
        <w:tcPr>
          <w:tcW w:w="4519" w:type="dxa"/>
          <w:tcBorders>
            <w:top w:val="single" w:sz="4" w:space="0" w:color="auto"/>
          </w:tcBorders>
          <w:tcMar>
            <w:top w:w="142" w:type="dxa"/>
            <w:bottom w:w="0" w:type="dxa"/>
          </w:tcMar>
        </w:tcPr>
        <w:p w:rsidR="00A408DA" w:rsidRPr="005A27B0" w:rsidRDefault="00A408DA" w:rsidP="006E08B3">
          <w:pPr>
            <w:pStyle w:val="Footer"/>
          </w:pPr>
          <w:r w:rsidRPr="005A27B0">
            <w:t>Document title, Part #, Section # - Section title</w:t>
          </w:r>
        </w:p>
        <w:p w:rsidR="00A408DA" w:rsidRPr="005A27B0" w:rsidRDefault="00A408DA" w:rsidP="006E08B3">
          <w:pPr>
            <w:pStyle w:val="Footer"/>
          </w:pPr>
          <w:r w:rsidRPr="005A27B0">
            <w:t>V1.0 October 2010</w:t>
          </w:r>
        </w:p>
      </w:tc>
      <w:tc>
        <w:tcPr>
          <w:tcW w:w="4356" w:type="dxa"/>
          <w:tcBorders>
            <w:top w:val="single" w:sz="4" w:space="0" w:color="auto"/>
          </w:tcBorders>
          <w:tcMar>
            <w:top w:w="142" w:type="dxa"/>
            <w:bottom w:w="0" w:type="dxa"/>
          </w:tcMar>
        </w:tcPr>
        <w:p w:rsidR="00A408DA" w:rsidRPr="005A27B0" w:rsidRDefault="00A408DA" w:rsidP="005A27B0">
          <w:pPr>
            <w:pStyle w:val="Footer"/>
            <w:jc w:val="right"/>
          </w:pPr>
          <w:r w:rsidRPr="005A27B0">
            <w:t xml:space="preserve">Page </w:t>
          </w:r>
          <w:fldSimple w:instr=" PAGE   \* MERGEFORMAT ">
            <w:r>
              <w:rPr>
                <w:noProof/>
              </w:rPr>
              <w:t>1</w:t>
            </w:r>
          </w:fldSimple>
          <w:r w:rsidRPr="005A27B0">
            <w:t xml:space="preserve"> of </w:t>
          </w:r>
          <w:fldSimple w:instr=" NUMPAGES  \* Arabic ">
            <w:r>
              <w:rPr>
                <w:noProof/>
              </w:rPr>
              <w:t>96</w:t>
            </w:r>
          </w:fldSimple>
          <w:r>
            <w:t xml:space="preserve"> </w:t>
          </w:r>
        </w:p>
      </w:tc>
    </w:tr>
  </w:tbl>
  <w:p w:rsidR="00A408DA" w:rsidRDefault="00A408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08DA" w:rsidRDefault="00A408DA" w:rsidP="00C40A36">
      <w:pPr>
        <w:spacing w:after="0"/>
      </w:pPr>
      <w:r>
        <w:separator/>
      </w:r>
    </w:p>
  </w:footnote>
  <w:footnote w:type="continuationSeparator" w:id="0">
    <w:p w:rsidR="00A408DA" w:rsidRDefault="00A408DA" w:rsidP="00C40A36">
      <w:pPr>
        <w:spacing w:after="0"/>
      </w:pPr>
      <w:r>
        <w:continuationSeparator/>
      </w:r>
    </w:p>
  </w:footnote>
  <w:footnote w:id="1">
    <w:p w:rsidR="00A408DA" w:rsidRDefault="00A408DA">
      <w:pPr>
        <w:pStyle w:val="FootnoteText"/>
      </w:pPr>
      <w:r>
        <w:rPr>
          <w:rStyle w:val="FootnoteReference"/>
        </w:rPr>
        <w:footnoteRef/>
      </w:r>
      <w:r>
        <w:t xml:space="preserve"> Sponsor comment:’</w:t>
      </w:r>
      <w:r w:rsidRPr="006E14E1">
        <w:t>This</w:t>
      </w:r>
      <w:r>
        <w:t xml:space="preserve"> </w:t>
      </w:r>
      <w:r w:rsidRPr="006E14E1">
        <w:t>test was approved in Australia on 2</w:t>
      </w:r>
      <w:r>
        <w:t>5</w:t>
      </w:r>
      <w:r w:rsidRPr="006E14E1">
        <w:t xml:space="preserve"> November 2011</w:t>
      </w:r>
      <w:r>
        <w:t>.”</w:t>
      </w:r>
    </w:p>
  </w:footnote>
  <w:footnote w:id="2">
    <w:p w:rsidR="00A408DA" w:rsidRPr="00EE5BAF" w:rsidRDefault="00A408DA" w:rsidP="005A0DB6">
      <w:pPr>
        <w:pStyle w:val="FootnoteText"/>
        <w:rPr>
          <w:rFonts w:ascii="Times New Roman" w:hAnsi="Times New Roman"/>
          <w:sz w:val="18"/>
          <w:szCs w:val="18"/>
        </w:rPr>
      </w:pPr>
      <w:r w:rsidRPr="00EE5BAF">
        <w:rPr>
          <w:rStyle w:val="FootnoteReference"/>
          <w:sz w:val="18"/>
          <w:szCs w:val="18"/>
        </w:rPr>
        <w:footnoteRef/>
      </w:r>
      <w:r w:rsidRPr="00EE5BAF">
        <w:rPr>
          <w:sz w:val="18"/>
          <w:szCs w:val="18"/>
        </w:rPr>
        <w:t xml:space="preserve"> </w:t>
      </w:r>
      <w:r w:rsidRPr="00EE5BAF">
        <w:rPr>
          <w:sz w:val="18"/>
          <w:szCs w:val="18"/>
          <w:lang w:eastAsia="en-AU"/>
        </w:rPr>
        <w:t xml:space="preserve">CPMP/EWG/205/95. </w:t>
      </w:r>
      <w:hyperlink r:id="rId1" w:history="1">
        <w:r w:rsidRPr="00EE5BAF">
          <w:rPr>
            <w:rStyle w:val="Hyperlink"/>
            <w:sz w:val="18"/>
            <w:szCs w:val="18"/>
          </w:rPr>
          <w:t>http://www.ema.europa.eu/docs/en_GB/document_library/Scientific_guideline/2009/12/WC500017748.pdf</w:t>
        </w:r>
      </w:hyperlink>
    </w:p>
  </w:footnote>
  <w:footnote w:id="3">
    <w:p w:rsidR="00A408DA" w:rsidRPr="005B75BE" w:rsidRDefault="00A408DA" w:rsidP="00A80A91">
      <w:pPr>
        <w:autoSpaceDE w:val="0"/>
        <w:autoSpaceDN w:val="0"/>
        <w:adjustRightInd w:val="0"/>
        <w:spacing w:after="0" w:line="240" w:lineRule="auto"/>
        <w:rPr>
          <w:sz w:val="18"/>
          <w:szCs w:val="18"/>
          <w:lang w:val="de-CH"/>
        </w:rPr>
      </w:pPr>
      <w:r w:rsidRPr="00A80A91">
        <w:rPr>
          <w:rStyle w:val="FootnoteReference"/>
          <w:sz w:val="18"/>
          <w:szCs w:val="18"/>
        </w:rPr>
        <w:footnoteRef/>
      </w:r>
      <w:r w:rsidRPr="00A80A91">
        <w:rPr>
          <w:sz w:val="18"/>
          <w:szCs w:val="18"/>
        </w:rPr>
        <w:t xml:space="preserve"> </w:t>
      </w:r>
      <w:r w:rsidRPr="00A80A91">
        <w:rPr>
          <w:rFonts w:cs="Times-Bold"/>
          <w:bCs/>
          <w:sz w:val="18"/>
          <w:szCs w:val="18"/>
          <w:lang w:eastAsia="en-AU"/>
        </w:rPr>
        <w:t xml:space="preserve">ICH Topic Q 3 A (R1) Impurities testing guideline. Impurities in new drug substances. </w:t>
      </w:r>
      <w:r w:rsidRPr="00195B3B">
        <w:rPr>
          <w:rFonts w:cs="Times-Bold"/>
          <w:bCs/>
          <w:sz w:val="18"/>
          <w:szCs w:val="18"/>
          <w:lang w:val="de-CH" w:eastAsia="en-AU"/>
        </w:rPr>
        <w:t>CPMP/ICH/2737/99. http://www.tga.gov.au/pdf/euguide/ich273799en.pdf</w:t>
      </w:r>
    </w:p>
  </w:footnote>
  <w:footnote w:id="4">
    <w:p w:rsidR="00A408DA" w:rsidRPr="00734347" w:rsidRDefault="00A408DA" w:rsidP="00734347">
      <w:pPr>
        <w:pStyle w:val="Default"/>
        <w:rPr>
          <w:rFonts w:ascii="Cambria" w:hAnsi="Cambria"/>
          <w:sz w:val="18"/>
          <w:szCs w:val="18"/>
        </w:rPr>
      </w:pPr>
      <w:r w:rsidRPr="00734347">
        <w:rPr>
          <w:rStyle w:val="FootnoteReference"/>
          <w:rFonts w:ascii="Cambria" w:hAnsi="Cambria"/>
          <w:sz w:val="18"/>
          <w:szCs w:val="18"/>
        </w:rPr>
        <w:footnoteRef/>
      </w:r>
      <w:r w:rsidRPr="00734347">
        <w:rPr>
          <w:rFonts w:ascii="Cambria" w:hAnsi="Cambria"/>
          <w:sz w:val="18"/>
          <w:szCs w:val="18"/>
        </w:rPr>
        <w:t xml:space="preserve">EMEA/CHMP/ICH/646107/2008 </w:t>
      </w:r>
      <w:r w:rsidRPr="00734347">
        <w:rPr>
          <w:rFonts w:ascii="Cambria" w:hAnsi="Cambria"/>
          <w:bCs/>
          <w:sz w:val="18"/>
          <w:szCs w:val="18"/>
        </w:rPr>
        <w:t>ICH Topic S9</w:t>
      </w:r>
      <w:r>
        <w:rPr>
          <w:rFonts w:ascii="Cambria" w:hAnsi="Cambria"/>
          <w:bCs/>
          <w:sz w:val="18"/>
          <w:szCs w:val="18"/>
        </w:rPr>
        <w:t>.</w:t>
      </w:r>
      <w:r w:rsidRPr="00734347">
        <w:rPr>
          <w:rFonts w:ascii="Cambria" w:hAnsi="Cambria"/>
          <w:bCs/>
          <w:sz w:val="18"/>
          <w:szCs w:val="18"/>
        </w:rPr>
        <w:t xml:space="preserve"> Nonclinical Evaluation for Anticancer Pharmaceuticals</w:t>
      </w:r>
      <w:r w:rsidRPr="00734347">
        <w:rPr>
          <w:rFonts w:ascii="Cambria" w:hAnsi="Cambria"/>
          <w:sz w:val="18"/>
          <w:szCs w:val="18"/>
        </w:rPr>
        <w:t xml:space="preserve"> http://www.tga.gov.au/pdf/euguide/swp64610708enfin.pdf</w:t>
      </w:r>
    </w:p>
  </w:footnote>
  <w:footnote w:id="5">
    <w:p w:rsidR="00A408DA" w:rsidRPr="005777FF" w:rsidRDefault="00A408DA" w:rsidP="005F06E6">
      <w:pPr>
        <w:pStyle w:val="FootnoteText"/>
        <w:rPr>
          <w:sz w:val="18"/>
          <w:szCs w:val="18"/>
        </w:rPr>
      </w:pPr>
      <w:r w:rsidRPr="005777FF">
        <w:rPr>
          <w:rStyle w:val="FootnoteReference"/>
          <w:sz w:val="18"/>
          <w:szCs w:val="18"/>
        </w:rPr>
        <w:footnoteRef/>
      </w:r>
      <w:r w:rsidRPr="005777FF">
        <w:rPr>
          <w:sz w:val="18"/>
          <w:szCs w:val="18"/>
        </w:rPr>
        <w:t xml:space="preserve"> Based on clinical steady state plasma levels (C</w:t>
      </w:r>
      <w:r w:rsidRPr="005777FF">
        <w:rPr>
          <w:sz w:val="18"/>
          <w:szCs w:val="18"/>
          <w:vertAlign w:val="subscript"/>
        </w:rPr>
        <w:t>ss</w:t>
      </w:r>
      <w:r w:rsidRPr="005777FF">
        <w:rPr>
          <w:sz w:val="18"/>
          <w:szCs w:val="18"/>
        </w:rPr>
        <w:t>) of 119 µM (58.5 µg/mL) and a plasma free fraction of 0.14%.</w:t>
      </w:r>
    </w:p>
  </w:footnote>
  <w:footnote w:id="6">
    <w:p w:rsidR="00A408DA" w:rsidRPr="005777FF" w:rsidRDefault="00A408DA" w:rsidP="005777FF">
      <w:pPr>
        <w:rPr>
          <w:sz w:val="18"/>
          <w:szCs w:val="18"/>
        </w:rPr>
      </w:pPr>
      <w:r w:rsidRPr="005777FF">
        <w:rPr>
          <w:rStyle w:val="FootnoteReference"/>
          <w:sz w:val="18"/>
          <w:szCs w:val="18"/>
        </w:rPr>
        <w:footnoteRef/>
      </w:r>
      <w:r w:rsidRPr="005777FF">
        <w:rPr>
          <w:sz w:val="18"/>
          <w:szCs w:val="18"/>
        </w:rPr>
        <w:t xml:space="preserve"> Atefi, M., E. Von Euw, N. Attar, C. Ng, C. Chu, D. Guo, R. Nazarian, B. Chmielowski, J.A. Glaspy, B. Comin-Anduix, P.S. Mischel, R.S. Lo and A. Ribas. (2011) Reversing melanoma cross-resistance to BRAF and MEK inhibitors by co-targeting the AKT/mTOR pathway. </w:t>
      </w:r>
      <w:r w:rsidRPr="005777FF">
        <w:rPr>
          <w:i/>
          <w:sz w:val="18"/>
          <w:szCs w:val="18"/>
        </w:rPr>
        <w:t>PLOS One</w:t>
      </w:r>
      <w:r w:rsidRPr="005777FF">
        <w:rPr>
          <w:b/>
          <w:sz w:val="18"/>
          <w:szCs w:val="18"/>
        </w:rPr>
        <w:t xml:space="preserve"> 6:</w:t>
      </w:r>
      <w:r w:rsidRPr="005777FF">
        <w:rPr>
          <w:sz w:val="18"/>
          <w:szCs w:val="18"/>
        </w:rPr>
        <w:t xml:space="preserve"> e28973.</w:t>
      </w:r>
    </w:p>
  </w:footnote>
  <w:footnote w:id="7">
    <w:p w:rsidR="00A408DA" w:rsidRPr="005777FF" w:rsidRDefault="00A408DA" w:rsidP="005777FF">
      <w:pPr>
        <w:rPr>
          <w:sz w:val="18"/>
          <w:szCs w:val="18"/>
        </w:rPr>
      </w:pPr>
      <w:r w:rsidRPr="005777FF">
        <w:rPr>
          <w:rStyle w:val="FootnoteReference"/>
          <w:sz w:val="18"/>
          <w:szCs w:val="18"/>
        </w:rPr>
        <w:footnoteRef/>
      </w:r>
      <w:r w:rsidRPr="005777FF">
        <w:rPr>
          <w:sz w:val="18"/>
          <w:szCs w:val="18"/>
        </w:rPr>
        <w:t xml:space="preserve"> Molina-Arcas, M. And J. Downward. (2012) How to fool a wonder drug: truncate and dimerize. </w:t>
      </w:r>
      <w:r w:rsidRPr="005777FF">
        <w:rPr>
          <w:i/>
          <w:sz w:val="18"/>
          <w:szCs w:val="18"/>
        </w:rPr>
        <w:t>Cancer Cell</w:t>
      </w:r>
      <w:r w:rsidRPr="005777FF">
        <w:rPr>
          <w:b/>
          <w:sz w:val="18"/>
          <w:szCs w:val="18"/>
        </w:rPr>
        <w:t xml:space="preserve"> 21:</w:t>
      </w:r>
      <w:r w:rsidRPr="005777FF">
        <w:rPr>
          <w:sz w:val="18"/>
          <w:szCs w:val="18"/>
        </w:rPr>
        <w:t xml:space="preserve"> 7-9.</w:t>
      </w:r>
    </w:p>
  </w:footnote>
  <w:footnote w:id="8">
    <w:p w:rsidR="00A408DA" w:rsidRPr="00083FBD" w:rsidRDefault="00A408DA" w:rsidP="005F06E6">
      <w:pPr>
        <w:pStyle w:val="FootnoteText"/>
        <w:rPr>
          <w:sz w:val="18"/>
          <w:szCs w:val="18"/>
        </w:rPr>
      </w:pPr>
      <w:r w:rsidRPr="00083FBD">
        <w:rPr>
          <w:rStyle w:val="FootnoteReference"/>
          <w:sz w:val="18"/>
          <w:szCs w:val="18"/>
        </w:rPr>
        <w:footnoteRef/>
      </w:r>
      <w:r w:rsidRPr="00083FBD">
        <w:rPr>
          <w:sz w:val="18"/>
          <w:szCs w:val="18"/>
        </w:rPr>
        <w:t xml:space="preserve"> Report 1041532: the C</w:t>
      </w:r>
      <w:r w:rsidRPr="00083FBD">
        <w:rPr>
          <w:sz w:val="18"/>
          <w:szCs w:val="18"/>
          <w:vertAlign w:val="subscript"/>
        </w:rPr>
        <w:t>max</w:t>
      </w:r>
      <w:r w:rsidRPr="00083FBD">
        <w:rPr>
          <w:sz w:val="18"/>
          <w:szCs w:val="18"/>
        </w:rPr>
        <w:t xml:space="preserve"> in rats that received 1000 mg/kg PO vemurafenib in corn oil was 18 </w:t>
      </w:r>
      <w:r w:rsidRPr="00083FBD">
        <w:rPr>
          <w:sz w:val="18"/>
          <w:szCs w:val="18"/>
        </w:rPr>
        <w:sym w:font="Symbol" w:char="006D"/>
      </w:r>
      <w:r w:rsidRPr="00083FBD">
        <w:rPr>
          <w:sz w:val="18"/>
          <w:szCs w:val="18"/>
        </w:rPr>
        <w:t>g/mL; Report 1041531: the C</w:t>
      </w:r>
      <w:r w:rsidRPr="00083FBD">
        <w:rPr>
          <w:sz w:val="18"/>
          <w:szCs w:val="18"/>
          <w:vertAlign w:val="subscript"/>
        </w:rPr>
        <w:t>max</w:t>
      </w:r>
      <w:r w:rsidRPr="00083FBD">
        <w:rPr>
          <w:sz w:val="18"/>
          <w:szCs w:val="18"/>
        </w:rPr>
        <w:t xml:space="preserve"> in dogs that received 1000 mg/kg PO vemurafenib in corn oil was 6.3 </w:t>
      </w:r>
      <w:r w:rsidRPr="00083FBD">
        <w:rPr>
          <w:sz w:val="18"/>
          <w:szCs w:val="18"/>
        </w:rPr>
        <w:sym w:font="Symbol" w:char="006D"/>
      </w:r>
      <w:r w:rsidRPr="00083FBD">
        <w:rPr>
          <w:sz w:val="18"/>
          <w:szCs w:val="18"/>
        </w:rPr>
        <w:t>g/mL</w:t>
      </w:r>
    </w:p>
  </w:footnote>
  <w:footnote w:id="9">
    <w:p w:rsidR="00A408DA" w:rsidRPr="00083FBD" w:rsidRDefault="00A408DA" w:rsidP="00083FBD">
      <w:pPr>
        <w:rPr>
          <w:sz w:val="18"/>
          <w:szCs w:val="18"/>
        </w:rPr>
      </w:pPr>
      <w:r w:rsidRPr="00083FBD">
        <w:rPr>
          <w:rStyle w:val="FootnoteReference"/>
          <w:sz w:val="18"/>
          <w:szCs w:val="18"/>
        </w:rPr>
        <w:footnoteRef/>
      </w:r>
      <w:r w:rsidRPr="00083FBD">
        <w:rPr>
          <w:sz w:val="18"/>
          <w:szCs w:val="18"/>
        </w:rPr>
        <w:t xml:space="preserve"> Redfern, W.S., L. Carlsson, A.S. Davis, W.G. Lynch, I. MacKenzie, S. Palethorpe, P.K.S. Siegl, I. Strang, A.T. Sullivan, R. Wallis, A.J. Camm and T.G. Hammond. (2003) Relationships between preclinical cardiac electrophysiology, clinical QT interval prolongation and torsade de pointes for a broad range of drugs: evidence for a provisional safety margin in drug development. </w:t>
      </w:r>
      <w:r w:rsidRPr="00083FBD">
        <w:rPr>
          <w:i/>
          <w:sz w:val="18"/>
          <w:szCs w:val="18"/>
        </w:rPr>
        <w:t>Cardiovascular Res.</w:t>
      </w:r>
      <w:r w:rsidRPr="00083FBD">
        <w:rPr>
          <w:sz w:val="18"/>
          <w:szCs w:val="18"/>
        </w:rPr>
        <w:t xml:space="preserve"> </w:t>
      </w:r>
      <w:r w:rsidRPr="00083FBD">
        <w:rPr>
          <w:b/>
          <w:sz w:val="18"/>
          <w:szCs w:val="18"/>
        </w:rPr>
        <w:t>58:</w:t>
      </w:r>
      <w:r w:rsidRPr="00083FBD">
        <w:rPr>
          <w:sz w:val="18"/>
          <w:szCs w:val="18"/>
        </w:rPr>
        <w:t>32-45.</w:t>
      </w:r>
    </w:p>
  </w:footnote>
  <w:footnote w:id="10">
    <w:p w:rsidR="00A408DA" w:rsidRPr="00083FBD" w:rsidRDefault="00A408DA" w:rsidP="00083FBD">
      <w:pPr>
        <w:rPr>
          <w:sz w:val="18"/>
          <w:szCs w:val="18"/>
        </w:rPr>
      </w:pPr>
      <w:r w:rsidRPr="00083FBD">
        <w:rPr>
          <w:rStyle w:val="FootnoteReference"/>
          <w:sz w:val="18"/>
          <w:szCs w:val="18"/>
        </w:rPr>
        <w:footnoteRef/>
      </w:r>
      <w:r w:rsidRPr="00083FBD">
        <w:rPr>
          <w:sz w:val="18"/>
          <w:szCs w:val="18"/>
        </w:rPr>
        <w:t xml:space="preserve"> QT interval: </w:t>
      </w:r>
      <w:r w:rsidRPr="00083FBD">
        <w:rPr>
          <w:color w:val="000000"/>
          <w:sz w:val="18"/>
          <w:szCs w:val="18"/>
        </w:rPr>
        <w:t>a measure of the time between the start of the Q wave and the end of the T wave in the heart's electrical cycle. A prolonged QT interval is a risk factor for ventricular tachyarrhythmias and sudden death.</w:t>
      </w:r>
    </w:p>
  </w:footnote>
  <w:footnote w:id="11">
    <w:p w:rsidR="00A408DA" w:rsidRPr="00D23DAB" w:rsidRDefault="00A408DA" w:rsidP="00B25B29">
      <w:pPr>
        <w:pStyle w:val="FootnoteText"/>
        <w:rPr>
          <w:sz w:val="18"/>
          <w:szCs w:val="18"/>
        </w:rPr>
      </w:pPr>
      <w:r w:rsidRPr="00D23DAB">
        <w:rPr>
          <w:rStyle w:val="FootnoteReference"/>
          <w:sz w:val="18"/>
          <w:szCs w:val="18"/>
        </w:rPr>
        <w:footnoteRef/>
      </w:r>
      <w:r w:rsidRPr="00D23DAB">
        <w:rPr>
          <w:sz w:val="18"/>
          <w:szCs w:val="18"/>
        </w:rPr>
        <w:t>ALT=alanine aminotransferase; AST=aspartate aminotransferase; ALP=alkaline phosphatase and GGT=g</w:t>
      </w:r>
      <w:r w:rsidRPr="00D23DAB">
        <w:rPr>
          <w:rStyle w:val="st1"/>
          <w:rFonts w:cs="Arial"/>
          <w:color w:val="222222"/>
          <w:sz w:val="18"/>
          <w:szCs w:val="18"/>
        </w:rPr>
        <w:t>amma glutamyltransferase</w:t>
      </w:r>
    </w:p>
  </w:footnote>
  <w:footnote w:id="12">
    <w:p w:rsidR="00A408DA" w:rsidRPr="00EE5BAF" w:rsidRDefault="00A408DA" w:rsidP="005F06E6">
      <w:pPr>
        <w:pStyle w:val="FootnoteText"/>
        <w:rPr>
          <w:sz w:val="18"/>
          <w:szCs w:val="18"/>
        </w:rPr>
      </w:pPr>
      <w:r w:rsidRPr="00EE5BAF">
        <w:rPr>
          <w:rStyle w:val="FootnoteReference"/>
          <w:sz w:val="18"/>
          <w:szCs w:val="18"/>
        </w:rPr>
        <w:footnoteRef/>
      </w:r>
      <w:r w:rsidRPr="00EE5BAF">
        <w:rPr>
          <w:sz w:val="18"/>
          <w:szCs w:val="18"/>
        </w:rPr>
        <w:t xml:space="preserve"> The units were not clear in the report as </w:t>
      </w:r>
      <w:r w:rsidRPr="00EE5BAF">
        <w:rPr>
          <w:sz w:val="18"/>
          <w:szCs w:val="18"/>
        </w:rPr>
        <w:sym w:font="Symbol" w:char="006D"/>
      </w:r>
      <w:r w:rsidRPr="00EE5BAF">
        <w:rPr>
          <w:sz w:val="18"/>
          <w:szCs w:val="18"/>
        </w:rPr>
        <w:t xml:space="preserve">g/mL and </w:t>
      </w:r>
      <w:r w:rsidRPr="00EE5BAF">
        <w:rPr>
          <w:sz w:val="18"/>
          <w:szCs w:val="18"/>
        </w:rPr>
        <w:sym w:font="Symbol" w:char="006D"/>
      </w:r>
      <w:r w:rsidRPr="00EE5BAF">
        <w:rPr>
          <w:sz w:val="18"/>
          <w:szCs w:val="18"/>
        </w:rPr>
        <w:t xml:space="preserve">M appeared to be used interchangeably. For the purposes of this Assessment, the units were assumed to be </w:t>
      </w:r>
      <w:r w:rsidRPr="00EE5BAF">
        <w:rPr>
          <w:sz w:val="18"/>
          <w:szCs w:val="18"/>
        </w:rPr>
        <w:sym w:font="Symbol" w:char="006D"/>
      </w:r>
      <w:r w:rsidRPr="00EE5BAF">
        <w:rPr>
          <w:sz w:val="18"/>
          <w:szCs w:val="18"/>
        </w:rPr>
        <w:t>M.</w:t>
      </w:r>
    </w:p>
  </w:footnote>
  <w:footnote w:id="13">
    <w:p w:rsidR="00A408DA" w:rsidRPr="00EE5BAF" w:rsidRDefault="00A408DA" w:rsidP="005F06E6">
      <w:pPr>
        <w:pStyle w:val="FootnoteText"/>
        <w:rPr>
          <w:sz w:val="18"/>
          <w:szCs w:val="18"/>
        </w:rPr>
      </w:pPr>
      <w:r w:rsidRPr="00EE5BAF">
        <w:rPr>
          <w:rStyle w:val="FootnoteReference"/>
          <w:sz w:val="18"/>
          <w:szCs w:val="18"/>
        </w:rPr>
        <w:footnoteRef/>
      </w:r>
      <w:r w:rsidRPr="00EE5BAF">
        <w:rPr>
          <w:sz w:val="18"/>
          <w:szCs w:val="18"/>
        </w:rPr>
        <w:t xml:space="preserve"> Based on data in Study 1041430, where an 800 mg/kg PO dose of the MBP formulation of vemurafenib resulted in an AUC</w:t>
      </w:r>
      <w:r w:rsidRPr="00EE5BAF">
        <w:rPr>
          <w:sz w:val="18"/>
          <w:szCs w:val="18"/>
          <w:vertAlign w:val="subscript"/>
        </w:rPr>
        <w:t>0-24h</w:t>
      </w:r>
      <w:r w:rsidRPr="00EE5BAF">
        <w:rPr>
          <w:sz w:val="18"/>
          <w:szCs w:val="18"/>
        </w:rPr>
        <w:t xml:space="preserve"> of 1130 </w:t>
      </w:r>
      <w:r w:rsidRPr="00EE5BAF">
        <w:rPr>
          <w:sz w:val="18"/>
          <w:szCs w:val="18"/>
        </w:rPr>
        <w:sym w:font="Symbol" w:char="006D"/>
      </w:r>
      <w:r w:rsidRPr="00EE5BAF">
        <w:rPr>
          <w:sz w:val="18"/>
          <w:szCs w:val="18"/>
        </w:rPr>
        <w:t>g</w:t>
      </w:r>
      <w:r>
        <w:rPr>
          <w:sz w:val="18"/>
          <w:szCs w:val="18"/>
        </w:rPr>
        <w:t>.</w:t>
      </w:r>
      <w:r w:rsidRPr="00EE5BAF">
        <w:rPr>
          <w:sz w:val="18"/>
          <w:szCs w:val="18"/>
        </w:rPr>
        <w:t>h/mL.</w:t>
      </w:r>
    </w:p>
  </w:footnote>
  <w:footnote w:id="14">
    <w:p w:rsidR="00A408DA" w:rsidRPr="00EE5BAF" w:rsidRDefault="00A408DA" w:rsidP="005F06E6">
      <w:pPr>
        <w:pStyle w:val="FootnoteText"/>
        <w:rPr>
          <w:sz w:val="18"/>
          <w:szCs w:val="18"/>
        </w:rPr>
      </w:pPr>
      <w:r w:rsidRPr="00EE5BAF">
        <w:rPr>
          <w:rStyle w:val="FootnoteReference"/>
          <w:sz w:val="18"/>
          <w:szCs w:val="18"/>
        </w:rPr>
        <w:footnoteRef/>
      </w:r>
      <w:r w:rsidRPr="00EE5BAF">
        <w:rPr>
          <w:sz w:val="18"/>
          <w:szCs w:val="18"/>
        </w:rPr>
        <w:t xml:space="preserve"> Based on Day 1 data in Report 1025760 where an AUC</w:t>
      </w:r>
      <w:r w:rsidRPr="00EE5BAF">
        <w:rPr>
          <w:sz w:val="18"/>
          <w:szCs w:val="18"/>
          <w:vertAlign w:val="subscript"/>
        </w:rPr>
        <w:t>0-24h</w:t>
      </w:r>
      <w:r w:rsidRPr="00EE5BAF">
        <w:rPr>
          <w:sz w:val="18"/>
          <w:szCs w:val="18"/>
        </w:rPr>
        <w:t xml:space="preserve"> of 732 </w:t>
      </w:r>
      <w:r w:rsidRPr="00EE5BAF">
        <w:rPr>
          <w:sz w:val="18"/>
          <w:szCs w:val="18"/>
        </w:rPr>
        <w:sym w:font="Symbol" w:char="006D"/>
      </w:r>
      <w:r w:rsidRPr="00EE5BAF">
        <w:rPr>
          <w:sz w:val="18"/>
          <w:szCs w:val="18"/>
        </w:rPr>
        <w:t>g</w:t>
      </w:r>
      <w:r w:rsidRPr="00EE5BAF">
        <w:rPr>
          <w:sz w:val="18"/>
          <w:szCs w:val="18"/>
        </w:rPr>
        <w:sym w:font="Symbol" w:char="00B7"/>
      </w:r>
      <w:r w:rsidRPr="00EE5BAF">
        <w:rPr>
          <w:sz w:val="18"/>
          <w:szCs w:val="18"/>
        </w:rPr>
        <w:t>h/mL was seen in female rats that received 450 mg/kg PO vemurafenib in the MBP formulation.</w:t>
      </w:r>
    </w:p>
  </w:footnote>
  <w:footnote w:id="15">
    <w:p w:rsidR="00A408DA" w:rsidRPr="00CE3715" w:rsidRDefault="00A408DA">
      <w:pPr>
        <w:pStyle w:val="FootnoteText"/>
        <w:rPr>
          <w:sz w:val="18"/>
          <w:szCs w:val="18"/>
        </w:rPr>
      </w:pPr>
      <w:r w:rsidRPr="00CE3715">
        <w:rPr>
          <w:rStyle w:val="FootnoteReference"/>
          <w:sz w:val="18"/>
          <w:szCs w:val="18"/>
        </w:rPr>
        <w:footnoteRef/>
      </w:r>
      <w:r w:rsidRPr="00CE3715">
        <w:rPr>
          <w:sz w:val="18"/>
          <w:szCs w:val="18"/>
        </w:rPr>
        <w:t xml:space="preserve"> GGT=</w:t>
      </w:r>
      <w:r w:rsidRPr="00CE3715">
        <w:rPr>
          <w:rFonts w:eastAsia="Times New Roman"/>
          <w:sz w:val="18"/>
          <w:szCs w:val="18"/>
        </w:rPr>
        <w:t xml:space="preserve">gamma glutamyltransferase; ALP= serum alkaline phosphatase; ALT= </w:t>
      </w:r>
      <w:r w:rsidRPr="00CE3715">
        <w:rPr>
          <w:rStyle w:val="st1"/>
          <w:rFonts w:cs="Arial"/>
          <w:color w:val="222222"/>
          <w:sz w:val="18"/>
          <w:szCs w:val="18"/>
        </w:rPr>
        <w:t xml:space="preserve">alanine aminotransferase </w:t>
      </w:r>
      <w:r w:rsidRPr="00CE3715">
        <w:rPr>
          <w:rFonts w:eastAsia="Times New Roman"/>
          <w:sz w:val="18"/>
          <w:szCs w:val="18"/>
        </w:rPr>
        <w:t>and AST=a</w:t>
      </w:r>
      <w:r w:rsidRPr="00CE3715">
        <w:rPr>
          <w:rStyle w:val="st1"/>
          <w:rFonts w:cs="Arial"/>
          <w:color w:val="222222"/>
          <w:sz w:val="18"/>
          <w:szCs w:val="18"/>
        </w:rPr>
        <w:t>spartate aminotransferase</w:t>
      </w:r>
    </w:p>
  </w:footnote>
  <w:footnote w:id="16">
    <w:p w:rsidR="00A408DA" w:rsidRPr="003B4482" w:rsidRDefault="00A408DA" w:rsidP="003B4482">
      <w:pPr>
        <w:pStyle w:val="NormalWeb"/>
        <w:rPr>
          <w:rFonts w:ascii="Cambria" w:hAnsi="Cambria"/>
          <w:sz w:val="18"/>
          <w:szCs w:val="18"/>
        </w:rPr>
      </w:pPr>
      <w:r w:rsidRPr="003B4482">
        <w:rPr>
          <w:rStyle w:val="FootnoteReference"/>
          <w:rFonts w:ascii="Cambria" w:hAnsi="Cambria"/>
          <w:sz w:val="18"/>
          <w:szCs w:val="18"/>
        </w:rPr>
        <w:footnoteRef/>
      </w:r>
      <w:r w:rsidRPr="003B4482">
        <w:rPr>
          <w:rFonts w:ascii="Cambria" w:hAnsi="Cambria"/>
          <w:sz w:val="18"/>
          <w:szCs w:val="18"/>
        </w:rPr>
        <w:t xml:space="preserve"> </w:t>
      </w:r>
      <w:r w:rsidRPr="003B4482">
        <w:rPr>
          <w:rFonts w:ascii="Cambria" w:hAnsi="Cambria"/>
          <w:bCs/>
          <w:sz w:val="18"/>
          <w:szCs w:val="18"/>
        </w:rPr>
        <w:t>Response Evaluation Criteria In Solid Tumors</w:t>
      </w:r>
      <w:r w:rsidRPr="003B4482">
        <w:rPr>
          <w:rFonts w:ascii="Cambria" w:hAnsi="Cambria"/>
          <w:sz w:val="18"/>
          <w:szCs w:val="18"/>
        </w:rPr>
        <w:t xml:space="preserve"> (</w:t>
      </w:r>
      <w:r w:rsidRPr="003B4482">
        <w:rPr>
          <w:rFonts w:ascii="Cambria" w:hAnsi="Cambria"/>
          <w:bCs/>
          <w:sz w:val="18"/>
          <w:szCs w:val="18"/>
        </w:rPr>
        <w:t>RECIST</w:t>
      </w:r>
      <w:r w:rsidRPr="003B4482">
        <w:rPr>
          <w:rFonts w:ascii="Cambria" w:hAnsi="Cambria"/>
          <w:sz w:val="18"/>
          <w:szCs w:val="18"/>
        </w:rPr>
        <w:t xml:space="preserve">) is a set of published rules that define when </w:t>
      </w:r>
      <w:hyperlink r:id="rId2" w:tooltip="Cancer" w:history="1">
        <w:r w:rsidRPr="003B4482">
          <w:rPr>
            <w:rStyle w:val="Hyperlink"/>
            <w:rFonts w:ascii="Cambria" w:hAnsi="Cambria"/>
            <w:color w:val="auto"/>
            <w:sz w:val="18"/>
            <w:szCs w:val="18"/>
            <w:u w:val="none"/>
          </w:rPr>
          <w:t>cancer</w:t>
        </w:r>
      </w:hyperlink>
      <w:r w:rsidRPr="003B4482">
        <w:rPr>
          <w:rFonts w:ascii="Cambria" w:hAnsi="Cambria"/>
          <w:sz w:val="18"/>
          <w:szCs w:val="18"/>
        </w:rPr>
        <w:t xml:space="preserve"> patients improve ("respond"), stay the same ("stabilize"), or worsen ("progression") during treatments established by an international collaboration including the </w:t>
      </w:r>
      <w:hyperlink r:id="rId3" w:tooltip="European Organisation for Research and Treatment of Cancer" w:history="1">
        <w:r w:rsidRPr="003B4482">
          <w:rPr>
            <w:rStyle w:val="Hyperlink"/>
            <w:rFonts w:ascii="Cambria" w:hAnsi="Cambria"/>
            <w:color w:val="auto"/>
            <w:sz w:val="18"/>
            <w:szCs w:val="18"/>
            <w:u w:val="none"/>
          </w:rPr>
          <w:t>European Organisation for Research and Treatment of Cancer</w:t>
        </w:r>
      </w:hyperlink>
      <w:r w:rsidRPr="003B4482">
        <w:rPr>
          <w:rFonts w:ascii="Cambria" w:hAnsi="Cambria"/>
          <w:sz w:val="18"/>
          <w:szCs w:val="18"/>
        </w:rPr>
        <w:t xml:space="preserve"> (</w:t>
      </w:r>
      <w:hyperlink r:id="rId4" w:tooltip="EORTC" w:history="1">
        <w:r w:rsidRPr="003B4482">
          <w:rPr>
            <w:rStyle w:val="Hyperlink"/>
            <w:rFonts w:ascii="Cambria" w:hAnsi="Cambria"/>
            <w:color w:val="auto"/>
            <w:sz w:val="18"/>
            <w:szCs w:val="18"/>
            <w:u w:val="none"/>
          </w:rPr>
          <w:t>EORTC</w:t>
        </w:r>
      </w:hyperlink>
      <w:r w:rsidRPr="003B4482">
        <w:rPr>
          <w:rFonts w:ascii="Cambria" w:hAnsi="Cambria"/>
          <w:sz w:val="18"/>
          <w:szCs w:val="18"/>
        </w:rPr>
        <w:t xml:space="preserve">), </w:t>
      </w:r>
      <w:hyperlink r:id="rId5" w:tooltip="National Cancer Institute" w:history="1">
        <w:r w:rsidRPr="003B4482">
          <w:rPr>
            <w:rStyle w:val="Hyperlink"/>
            <w:rFonts w:ascii="Cambria" w:hAnsi="Cambria"/>
            <w:color w:val="auto"/>
            <w:sz w:val="18"/>
            <w:szCs w:val="18"/>
            <w:u w:val="none"/>
          </w:rPr>
          <w:t>National Cancer Institute</w:t>
        </w:r>
      </w:hyperlink>
      <w:r w:rsidRPr="003B4482">
        <w:rPr>
          <w:rFonts w:ascii="Cambria" w:hAnsi="Cambria"/>
          <w:sz w:val="18"/>
          <w:szCs w:val="18"/>
        </w:rPr>
        <w:t xml:space="preserve"> of the </w:t>
      </w:r>
      <w:hyperlink r:id="rId6" w:tooltip="United States" w:history="1">
        <w:r w:rsidRPr="003B4482">
          <w:rPr>
            <w:rStyle w:val="Hyperlink"/>
            <w:rFonts w:ascii="Cambria" w:hAnsi="Cambria"/>
            <w:color w:val="auto"/>
            <w:sz w:val="18"/>
            <w:szCs w:val="18"/>
            <w:u w:val="none"/>
          </w:rPr>
          <w:t>United States</w:t>
        </w:r>
      </w:hyperlink>
      <w:r w:rsidRPr="003B4482">
        <w:rPr>
          <w:rFonts w:ascii="Cambria" w:hAnsi="Cambria"/>
          <w:sz w:val="18"/>
          <w:szCs w:val="18"/>
        </w:rPr>
        <w:t xml:space="preserve">, and the </w:t>
      </w:r>
      <w:hyperlink r:id="rId7" w:tooltip="National Cancer Institute of Canada (page does not exist)" w:history="1">
        <w:r w:rsidRPr="003B4482">
          <w:rPr>
            <w:rStyle w:val="Hyperlink"/>
            <w:rFonts w:ascii="Cambria" w:hAnsi="Cambria"/>
            <w:color w:val="auto"/>
            <w:sz w:val="18"/>
            <w:szCs w:val="18"/>
            <w:u w:val="none"/>
          </w:rPr>
          <w:t>National Cancer Institute of Canada</w:t>
        </w:r>
      </w:hyperlink>
      <w:r w:rsidRPr="003B4482">
        <w:rPr>
          <w:rFonts w:ascii="Cambria" w:hAnsi="Cambria"/>
          <w:sz w:val="18"/>
          <w:szCs w:val="18"/>
        </w:rPr>
        <w:t xml:space="preserve"> Clinical Trials Group. </w:t>
      </w:r>
    </w:p>
  </w:footnote>
  <w:footnote w:id="17">
    <w:p w:rsidR="00A408DA" w:rsidRPr="00D73147" w:rsidRDefault="00A408DA" w:rsidP="00D73147">
      <w:pPr>
        <w:rPr>
          <w:sz w:val="18"/>
          <w:szCs w:val="18"/>
        </w:rPr>
      </w:pPr>
      <w:r w:rsidRPr="00D73147">
        <w:rPr>
          <w:rStyle w:val="FootnoteReference"/>
          <w:sz w:val="18"/>
          <w:szCs w:val="18"/>
        </w:rPr>
        <w:footnoteRef/>
      </w:r>
      <w:r w:rsidRPr="00D73147">
        <w:rPr>
          <w:sz w:val="18"/>
          <w:szCs w:val="18"/>
        </w:rPr>
        <w:t xml:space="preserve"> ECOG Performance Status. The Eastern Cooperative Oncology Group (ECOG) has developed criteria used by doctors and researchers to assess how a patient's disease is progressing, assess how the disease affects the daily living abilities of the patient, and determine appropriate treatment and prognosis</w:t>
      </w:r>
      <w:r w:rsidRPr="00D73147">
        <w:rPr>
          <w:rFonts w:cs="Helvetica"/>
          <w:i/>
          <w:iCs/>
          <w:sz w:val="18"/>
          <w:szCs w:val="18"/>
        </w:rPr>
        <w:t xml:space="preserve">. </w:t>
      </w:r>
      <w:r w:rsidRPr="00D73147">
        <w:rPr>
          <w:sz w:val="18"/>
          <w:szCs w:val="18"/>
        </w:rPr>
        <w:t xml:space="preserve">The following are used: </w:t>
      </w:r>
    </w:p>
    <w:p w:rsidR="00A408DA" w:rsidRPr="00D73147" w:rsidRDefault="00A408DA" w:rsidP="00D73147">
      <w:pPr>
        <w:rPr>
          <w:sz w:val="18"/>
          <w:szCs w:val="18"/>
        </w:rPr>
      </w:pPr>
      <w:r w:rsidRPr="00D73147">
        <w:rPr>
          <w:rFonts w:cs="Helvetica"/>
          <w:iCs/>
          <w:sz w:val="18"/>
          <w:szCs w:val="18"/>
        </w:rPr>
        <w:t xml:space="preserve">0 - </w:t>
      </w:r>
      <w:r w:rsidRPr="00D73147">
        <w:rPr>
          <w:sz w:val="18"/>
          <w:szCs w:val="18"/>
        </w:rPr>
        <w:t>Fully active, able to carry on all pre-disease performance without restriction</w:t>
      </w:r>
    </w:p>
    <w:p w:rsidR="00A408DA" w:rsidRPr="00D73147" w:rsidRDefault="00A408DA" w:rsidP="00D73147">
      <w:pPr>
        <w:rPr>
          <w:sz w:val="18"/>
          <w:szCs w:val="18"/>
        </w:rPr>
      </w:pPr>
      <w:r w:rsidRPr="00D73147">
        <w:rPr>
          <w:sz w:val="18"/>
          <w:szCs w:val="18"/>
        </w:rPr>
        <w:t>1- Restricted in physically strenuous activity but ambulatory and able to carry out work of a light or sedentary nature, e.g., light house work, office work</w:t>
      </w:r>
    </w:p>
    <w:p w:rsidR="00A408DA" w:rsidRPr="00D73147" w:rsidRDefault="00A408DA" w:rsidP="00D73147">
      <w:pPr>
        <w:rPr>
          <w:sz w:val="18"/>
          <w:szCs w:val="18"/>
        </w:rPr>
      </w:pPr>
      <w:r w:rsidRPr="00D73147">
        <w:rPr>
          <w:sz w:val="18"/>
          <w:szCs w:val="18"/>
        </w:rPr>
        <w:t>2 - Ambulatory and capable of all selfcare but unable to carry out any work activities. Up and about more than 50% of waking hours</w:t>
      </w:r>
    </w:p>
    <w:p w:rsidR="00A408DA" w:rsidRPr="00D73147" w:rsidRDefault="00A408DA" w:rsidP="00D73147">
      <w:pPr>
        <w:rPr>
          <w:sz w:val="18"/>
          <w:szCs w:val="18"/>
        </w:rPr>
      </w:pPr>
      <w:r w:rsidRPr="00D73147">
        <w:rPr>
          <w:sz w:val="18"/>
          <w:szCs w:val="18"/>
        </w:rPr>
        <w:t>3 - Capable of only limited selfcare, confined to bed or chair more than 50% of waking hours</w:t>
      </w:r>
    </w:p>
    <w:p w:rsidR="00A408DA" w:rsidRPr="00D73147" w:rsidRDefault="00A408DA" w:rsidP="00D73147">
      <w:pPr>
        <w:rPr>
          <w:sz w:val="18"/>
          <w:szCs w:val="18"/>
        </w:rPr>
      </w:pPr>
      <w:r w:rsidRPr="00D73147">
        <w:rPr>
          <w:sz w:val="18"/>
          <w:szCs w:val="18"/>
        </w:rPr>
        <w:t>4 - Completely disabled. Cannot carry on any selfcare. Totally confined to bed or chair</w:t>
      </w:r>
    </w:p>
    <w:p w:rsidR="00A408DA" w:rsidRPr="00D73147" w:rsidRDefault="00A408DA" w:rsidP="00D73147">
      <w:pPr>
        <w:rPr>
          <w:sz w:val="18"/>
          <w:szCs w:val="18"/>
        </w:rPr>
      </w:pPr>
      <w:r w:rsidRPr="00D73147">
        <w:rPr>
          <w:sz w:val="18"/>
          <w:szCs w:val="18"/>
        </w:rPr>
        <w:t>5 – Dead</w:t>
      </w:r>
    </w:p>
  </w:footnote>
  <w:footnote w:id="18">
    <w:p w:rsidR="00A408DA" w:rsidRDefault="00A408DA">
      <w:pPr>
        <w:pStyle w:val="FootnoteText"/>
      </w:pPr>
      <w:r>
        <w:rPr>
          <w:rStyle w:val="FootnoteReference"/>
        </w:rPr>
        <w:footnoteRef/>
      </w:r>
      <w:r>
        <w:t xml:space="preserve"> Sponsor comment: “While these PK parameters were planned to be assessed, because of the flat concentration-time profile at Day 15 and the limited PK sampling, the elimination half-life could not be derived with confidence in this study.”</w:t>
      </w:r>
    </w:p>
  </w:footnote>
  <w:footnote w:id="19">
    <w:p w:rsidR="00A408DA" w:rsidRDefault="00A408DA">
      <w:pPr>
        <w:pStyle w:val="FootnoteText"/>
      </w:pPr>
      <w:r>
        <w:rPr>
          <w:rStyle w:val="FootnoteReference"/>
        </w:rPr>
        <w:footnoteRef/>
      </w:r>
      <w:r>
        <w:t xml:space="preserve"> Sponsor comment: “By CYP3A4.” </w:t>
      </w:r>
    </w:p>
  </w:footnote>
  <w:footnote w:id="20">
    <w:p w:rsidR="00A408DA" w:rsidRPr="00A71D02" w:rsidRDefault="00A408DA" w:rsidP="00322BFB">
      <w:pPr>
        <w:pStyle w:val="NormalWeb"/>
        <w:rPr>
          <w:rFonts w:ascii="Cambria" w:hAnsi="Cambria"/>
          <w:sz w:val="18"/>
          <w:szCs w:val="18"/>
        </w:rPr>
      </w:pPr>
      <w:r w:rsidRPr="00A71D02">
        <w:rPr>
          <w:rStyle w:val="FootnoteReference"/>
          <w:rFonts w:ascii="Cambria" w:hAnsi="Cambria"/>
          <w:sz w:val="18"/>
          <w:szCs w:val="18"/>
        </w:rPr>
        <w:footnoteRef/>
      </w:r>
      <w:r w:rsidRPr="00A71D02">
        <w:rPr>
          <w:rFonts w:ascii="Cambria" w:hAnsi="Cambria"/>
          <w:sz w:val="18"/>
          <w:szCs w:val="18"/>
        </w:rPr>
        <w:t xml:space="preserve"> QT</w:t>
      </w:r>
      <w:r w:rsidRPr="00A71D02">
        <w:rPr>
          <w:rFonts w:ascii="Cambria" w:hAnsi="Cambria"/>
          <w:sz w:val="18"/>
          <w:szCs w:val="18"/>
          <w:vertAlign w:val="subscript"/>
        </w:rPr>
        <w:t>c</w:t>
      </w:r>
      <w:r w:rsidRPr="00A71D02">
        <w:rPr>
          <w:rFonts w:ascii="Cambria" w:hAnsi="Cambria"/>
          <w:sz w:val="18"/>
          <w:szCs w:val="18"/>
        </w:rPr>
        <w:t xml:space="preserve">: The QT interval is dependent on the </w:t>
      </w:r>
      <w:hyperlink r:id="rId8" w:tgtFrame="_top" w:history="1">
        <w:r w:rsidRPr="00A71D02">
          <w:rPr>
            <w:rStyle w:val="Hyperlink"/>
            <w:rFonts w:ascii="Cambria" w:hAnsi="Cambria"/>
            <w:sz w:val="18"/>
            <w:szCs w:val="18"/>
            <w:u w:val="none"/>
          </w:rPr>
          <w:t>heart rate</w:t>
        </w:r>
      </w:hyperlink>
      <w:r w:rsidRPr="00A71D02">
        <w:rPr>
          <w:rFonts w:ascii="Cambria" w:hAnsi="Cambria"/>
          <w:sz w:val="18"/>
          <w:szCs w:val="18"/>
        </w:rPr>
        <w:t xml:space="preserve"> (the faster the heart rate, the shorter the QT interval). To correct for changes in heart rate and thereby improve the detection of patients at increased risk of ventricular arrhythmia, a heart rate-corrected QT interval </w:t>
      </w:r>
      <w:r w:rsidRPr="00A71D02">
        <w:rPr>
          <w:rFonts w:ascii="Cambria" w:hAnsi="Cambria"/>
          <w:i/>
          <w:iCs/>
          <w:sz w:val="18"/>
          <w:szCs w:val="18"/>
        </w:rPr>
        <w:t>QTc</w:t>
      </w:r>
      <w:r w:rsidRPr="00A71D02">
        <w:rPr>
          <w:rFonts w:ascii="Cambria" w:hAnsi="Cambria"/>
          <w:iCs/>
          <w:sz w:val="18"/>
          <w:szCs w:val="18"/>
        </w:rPr>
        <w:t xml:space="preserve"> is often calculated</w:t>
      </w:r>
      <w:r w:rsidRPr="00A71D02">
        <w:rPr>
          <w:rFonts w:ascii="Cambria" w:hAnsi="Cambria"/>
          <w:sz w:val="18"/>
          <w:szCs w:val="18"/>
        </w:rPr>
        <w:t>.</w:t>
      </w:r>
    </w:p>
  </w:footnote>
  <w:footnote w:id="21">
    <w:p w:rsidR="00A408DA" w:rsidRDefault="00A408DA">
      <w:pPr>
        <w:pStyle w:val="FootnoteText"/>
      </w:pPr>
      <w:r>
        <w:rPr>
          <w:rStyle w:val="FootnoteReference"/>
        </w:rPr>
        <w:footnoteRef/>
      </w:r>
      <w:r>
        <w:t xml:space="preserve"> Sponsor comment: “</w:t>
      </w:r>
      <w:r w:rsidRPr="008305A0">
        <w:t>KM esti</w:t>
      </w:r>
      <w:r w:rsidRPr="001848B0">
        <w:t xml:space="preserve">mates of median OS for VEM and </w:t>
      </w:r>
      <w:r>
        <w:t>d</w:t>
      </w:r>
      <w:r w:rsidRPr="008305A0">
        <w:t>acarbazine were considered not reliably estimated at the time of this analysis because few patients had &gt;7 months follow-up.</w:t>
      </w:r>
      <w:r>
        <w:t>”</w:t>
      </w:r>
    </w:p>
  </w:footnote>
  <w:footnote w:id="22">
    <w:p w:rsidR="00A408DA" w:rsidRPr="000204EF" w:rsidRDefault="00A408DA">
      <w:pPr>
        <w:pStyle w:val="FootnoteText"/>
        <w:rPr>
          <w:sz w:val="18"/>
          <w:szCs w:val="18"/>
        </w:rPr>
      </w:pPr>
      <w:r w:rsidRPr="000204EF">
        <w:rPr>
          <w:rStyle w:val="FootnoteReference"/>
          <w:sz w:val="18"/>
          <w:szCs w:val="18"/>
        </w:rPr>
        <w:footnoteRef/>
      </w:r>
      <w:r w:rsidRPr="000204EF">
        <w:rPr>
          <w:sz w:val="18"/>
          <w:szCs w:val="18"/>
        </w:rPr>
        <w:t xml:space="preserve"> Sponsor comment:” 5.67 is the median”.</w:t>
      </w:r>
    </w:p>
  </w:footnote>
  <w:footnote w:id="23">
    <w:p w:rsidR="00A408DA" w:rsidRPr="000204EF" w:rsidRDefault="00A408DA">
      <w:pPr>
        <w:pStyle w:val="FootnoteText"/>
        <w:rPr>
          <w:sz w:val="18"/>
          <w:szCs w:val="18"/>
        </w:rPr>
      </w:pPr>
      <w:r w:rsidRPr="000204EF">
        <w:rPr>
          <w:rStyle w:val="FootnoteReference"/>
          <w:sz w:val="18"/>
          <w:szCs w:val="18"/>
        </w:rPr>
        <w:footnoteRef/>
      </w:r>
      <w:r w:rsidRPr="000204EF">
        <w:rPr>
          <w:sz w:val="18"/>
          <w:szCs w:val="18"/>
        </w:rPr>
        <w:t xml:space="preserve"> Sponsor comment: “The majority of responders had responded to treatment at the first </w:t>
      </w:r>
      <w:r w:rsidRPr="000204EF">
        <w:rPr>
          <w:i/>
          <w:sz w:val="18"/>
          <w:szCs w:val="18"/>
        </w:rPr>
        <w:t>post</w:t>
      </w:r>
      <w:r w:rsidRPr="000204EF">
        <w:rPr>
          <w:sz w:val="18"/>
          <w:szCs w:val="18"/>
        </w:rPr>
        <w:t>-baseline tumour assessment of 1.6 months”.</w:t>
      </w:r>
    </w:p>
  </w:footnote>
  <w:footnote w:id="24">
    <w:p w:rsidR="00A408DA" w:rsidRPr="000204EF" w:rsidRDefault="00A408DA">
      <w:pPr>
        <w:pStyle w:val="FootnoteText"/>
        <w:rPr>
          <w:sz w:val="18"/>
          <w:szCs w:val="18"/>
        </w:rPr>
      </w:pPr>
      <w:r w:rsidRPr="000204EF">
        <w:rPr>
          <w:rStyle w:val="FootnoteReference"/>
          <w:sz w:val="18"/>
          <w:szCs w:val="18"/>
        </w:rPr>
        <w:footnoteRef/>
      </w:r>
      <w:r w:rsidRPr="000204EF">
        <w:rPr>
          <w:sz w:val="18"/>
          <w:szCs w:val="18"/>
        </w:rPr>
        <w:t xml:space="preserve"> Sponsor comment: “A small proportion of patients, that is, &lt;6% required discontinuation of treatment and only one death considered possibly attributable to VEM therapy occurred across the clinical studies presented.”</w:t>
      </w:r>
    </w:p>
  </w:footnote>
  <w:footnote w:id="25">
    <w:p w:rsidR="00A408DA" w:rsidRDefault="00A408DA">
      <w:pPr>
        <w:pStyle w:val="FootnoteText"/>
      </w:pPr>
      <w:r>
        <w:rPr>
          <w:rStyle w:val="FootnoteReference"/>
        </w:rPr>
        <w:footnoteRef/>
      </w:r>
      <w:r>
        <w:t xml:space="preserve"> </w:t>
      </w:r>
      <w:r>
        <w:rPr>
          <w:lang w:eastAsia="en-AU"/>
        </w:rPr>
        <w:t>http://www.sanger.ac.uk/perl/genetics/CGP/cosmic</w:t>
      </w:r>
    </w:p>
  </w:footnote>
  <w:footnote w:id="26">
    <w:p w:rsidR="00A408DA" w:rsidRPr="00EE5BAF" w:rsidRDefault="00A408DA">
      <w:pPr>
        <w:pStyle w:val="FootnoteText"/>
        <w:rPr>
          <w:sz w:val="18"/>
          <w:szCs w:val="18"/>
        </w:rPr>
      </w:pPr>
      <w:r w:rsidRPr="00EE5BAF">
        <w:rPr>
          <w:rStyle w:val="FootnoteReference"/>
          <w:sz w:val="18"/>
          <w:szCs w:val="18"/>
        </w:rPr>
        <w:footnoteRef/>
      </w:r>
      <w:r w:rsidRPr="00EE5BAF">
        <w:rPr>
          <w:sz w:val="18"/>
          <w:szCs w:val="18"/>
        </w:rPr>
        <w:t xml:space="preserve"> </w:t>
      </w:r>
      <w:r w:rsidRPr="00EE5BAF">
        <w:rPr>
          <w:sz w:val="18"/>
          <w:szCs w:val="18"/>
          <w:lang w:eastAsia="en-AU"/>
        </w:rPr>
        <w:t>Reference: PLX06-02 Clinical Study Report (CSR), BRAF V600 Mutation Screening of Tumors, section 3.3 Retrospective Sequence Analyses.</w:t>
      </w:r>
    </w:p>
  </w:footnote>
  <w:footnote w:id="27">
    <w:p w:rsidR="00A408DA" w:rsidRPr="00EE5BAF" w:rsidRDefault="00A408DA">
      <w:pPr>
        <w:pStyle w:val="FootnoteText"/>
        <w:rPr>
          <w:sz w:val="18"/>
          <w:szCs w:val="18"/>
        </w:rPr>
      </w:pPr>
      <w:r w:rsidRPr="00EE5BAF">
        <w:rPr>
          <w:rStyle w:val="FootnoteReference"/>
          <w:sz w:val="18"/>
          <w:szCs w:val="18"/>
        </w:rPr>
        <w:footnoteRef/>
      </w:r>
      <w:r w:rsidRPr="00EE5BAF">
        <w:rPr>
          <w:sz w:val="18"/>
          <w:szCs w:val="18"/>
        </w:rPr>
        <w:t xml:space="preserve"> </w:t>
      </w:r>
      <w:r w:rsidRPr="00EE5BAF">
        <w:rPr>
          <w:sz w:val="18"/>
          <w:szCs w:val="18"/>
          <w:lang w:eastAsia="en-AU"/>
        </w:rPr>
        <w:t>Reference: NP22657 CSR</w:t>
      </w:r>
    </w:p>
  </w:footnote>
  <w:footnote w:id="28">
    <w:p w:rsidR="00A408DA" w:rsidRPr="00EE5BAF" w:rsidRDefault="00A408DA">
      <w:pPr>
        <w:pStyle w:val="FootnoteText"/>
        <w:rPr>
          <w:sz w:val="18"/>
          <w:szCs w:val="18"/>
        </w:rPr>
      </w:pPr>
      <w:r w:rsidRPr="00EE5BAF">
        <w:rPr>
          <w:rStyle w:val="FootnoteReference"/>
          <w:sz w:val="18"/>
          <w:szCs w:val="18"/>
        </w:rPr>
        <w:footnoteRef/>
      </w:r>
      <w:r w:rsidRPr="00EE5BAF">
        <w:rPr>
          <w:sz w:val="18"/>
          <w:szCs w:val="18"/>
        </w:rPr>
        <w:t xml:space="preserve"> R</w:t>
      </w:r>
      <w:r w:rsidRPr="00EE5BAF">
        <w:rPr>
          <w:sz w:val="18"/>
          <w:szCs w:val="18"/>
          <w:lang w:eastAsia="en-AU"/>
        </w:rPr>
        <w:t>eference: NO25026 CSR, Table 31 BORR by BRAF V600E Mutation Status.</w:t>
      </w:r>
    </w:p>
  </w:footnote>
  <w:footnote w:id="29">
    <w:p w:rsidR="00A408DA" w:rsidRPr="00EE5BAF" w:rsidRDefault="00A408DA">
      <w:pPr>
        <w:pStyle w:val="FootnoteText"/>
        <w:rPr>
          <w:sz w:val="18"/>
          <w:szCs w:val="18"/>
        </w:rPr>
      </w:pPr>
      <w:r w:rsidRPr="00EE5BAF">
        <w:rPr>
          <w:rStyle w:val="FootnoteReference"/>
          <w:sz w:val="18"/>
          <w:szCs w:val="18"/>
        </w:rPr>
        <w:footnoteRef/>
      </w:r>
      <w:r w:rsidRPr="00EE5BAF">
        <w:rPr>
          <w:sz w:val="18"/>
          <w:szCs w:val="18"/>
        </w:rPr>
        <w:t xml:space="preserve"> </w:t>
      </w:r>
      <w:r w:rsidRPr="00EE5BAF">
        <w:rPr>
          <w:sz w:val="18"/>
          <w:szCs w:val="18"/>
          <w:lang w:eastAsia="en-AU"/>
        </w:rPr>
        <w:t>Reference: NO25026 CSR.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8DA" w:rsidRDefault="00A408DA">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8DA" w:rsidRDefault="00A408DA">
    <w:pPr>
      <w:rPr>
        <w:noProof/>
        <w:lang w:eastAsia="en-AU"/>
      </w:rPr>
    </w:pPr>
    <w:r>
      <w:rPr>
        <w:noProof/>
        <w:lang w:eastAsia="en-AU"/>
      </w:rPr>
      <w:drawing>
        <wp:anchor distT="0" distB="0" distL="114300" distR="114300" simplePos="0" relativeHeight="251657728" behindDoc="0" locked="0" layoutInCell="1" allowOverlap="1">
          <wp:simplePos x="0" y="0"/>
          <wp:positionH relativeFrom="margin">
            <wp:posOffset>-1083310</wp:posOffset>
          </wp:positionH>
          <wp:positionV relativeFrom="margin">
            <wp:posOffset>-3128645</wp:posOffset>
          </wp:positionV>
          <wp:extent cx="7565390" cy="10714355"/>
          <wp:effectExtent l="19050" t="0" r="0" b="0"/>
          <wp:wrapSquare wrapText="bothSides"/>
          <wp:docPr id="2" name="Picture 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blue.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5390" cy="10714355"/>
                  </a:xfrm>
                  <a:prstGeom prst="rect">
                    <a:avLst/>
                  </a:prstGeom>
                  <a:noFill/>
                </pic:spPr>
              </pic:pic>
            </a:graphicData>
          </a:graphic>
        </wp:anchor>
      </w:drawing>
    </w:r>
  </w:p>
  <w:p w:rsidR="00A408DA" w:rsidRDefault="00A408DA">
    <w:pPr>
      <w:rPr>
        <w:noProof/>
        <w:lang w:eastAsia="en-AU"/>
      </w:rPr>
    </w:pPr>
  </w:p>
  <w:p w:rsidR="00A408DA" w:rsidRDefault="00A408DA"/>
  <w:tbl>
    <w:tblPr>
      <w:tblW w:w="9057" w:type="dxa"/>
      <w:tblInd w:w="-280" w:type="dxa"/>
      <w:tblLayout w:type="fixed"/>
      <w:tblCellMar>
        <w:left w:w="0" w:type="dxa"/>
        <w:right w:w="0" w:type="dxa"/>
      </w:tblCellMar>
      <w:tblLook w:val="04A0"/>
    </w:tblPr>
    <w:tblGrid>
      <w:gridCol w:w="9057"/>
    </w:tblGrid>
    <w:tr w:rsidR="00A408DA" w:rsidRPr="005A27B0" w:rsidTr="005A27B0">
      <w:trPr>
        <w:trHeight w:hRule="exact" w:val="193"/>
      </w:trPr>
      <w:tc>
        <w:tcPr>
          <w:tcW w:w="9057" w:type="dxa"/>
        </w:tcPr>
        <w:p w:rsidR="00A408DA" w:rsidRPr="005A27B0" w:rsidRDefault="00A408DA" w:rsidP="00E02FB4">
          <w:pPr>
            <w:pStyle w:val="HeaderNoLine"/>
          </w:pPr>
        </w:p>
      </w:tc>
    </w:tr>
    <w:tr w:rsidR="00A408DA" w:rsidRPr="005A27B0" w:rsidTr="005A27B0">
      <w:trPr>
        <w:trHeight w:hRule="exact" w:val="2693"/>
      </w:trPr>
      <w:tc>
        <w:tcPr>
          <w:tcW w:w="9057" w:type="dxa"/>
        </w:tcPr>
        <w:p w:rsidR="00A408DA" w:rsidRPr="005A27B0" w:rsidRDefault="00A408DA" w:rsidP="00E02FB4">
          <w:pPr>
            <w:pStyle w:val="HeaderNoLine"/>
          </w:pPr>
        </w:p>
      </w:tc>
    </w:tr>
  </w:tbl>
  <w:p w:rsidR="00A408DA" w:rsidRDefault="00A408DA" w:rsidP="00593AD1">
    <w:pPr>
      <w:pStyle w:val="HeaderNoLine"/>
    </w:pPr>
    <w:r>
      <w:rPr>
        <w:noProof/>
        <w:lang w:eastAsia="en-AU"/>
      </w:rPr>
      <w:drawing>
        <wp:inline distT="0" distB="0" distL="0" distR="0">
          <wp:extent cx="5400675" cy="7639050"/>
          <wp:effectExtent l="0" t="0" r="9525" b="0"/>
          <wp:docPr id="1" name="Picture 0"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ightblue.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8DA" w:rsidRDefault="00A408D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8DA" w:rsidRDefault="00A408DA">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8DA" w:rsidRDefault="00A408DA">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8DA" w:rsidRDefault="00A408DA">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8DA" w:rsidRDefault="00A408DA" w:rsidP="00AE65EB"/>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8DA" w:rsidRDefault="00A408DA" w:rsidP="006E08B3">
    <w:pPr>
      <w:pStyle w:val="Header"/>
    </w:pPr>
    <w:r>
      <w:t>Therapeutic Goods Administration</w:t>
    </w:r>
  </w:p>
  <w:p w:rsidR="00A408DA" w:rsidRDefault="00A408DA" w:rsidP="006D03E5">
    <w:pPr>
      <w:pStyle w:val="HeaderNoLi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14292"/>
    <w:multiLevelType w:val="multilevel"/>
    <w:tmpl w:val="575CEDBE"/>
    <w:numStyleLink w:val="NumberBullet"/>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0A23FC2"/>
    <w:multiLevelType w:val="multilevel"/>
    <w:tmpl w:val="8E3C3E38"/>
    <w:lvl w:ilvl="0">
      <w:start w:val="7"/>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10BD6232"/>
    <w:multiLevelType w:val="multilevel"/>
    <w:tmpl w:val="AF1AFF9C"/>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168F13E9"/>
    <w:multiLevelType w:val="multilevel"/>
    <w:tmpl w:val="E3B4F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22704ECF"/>
    <w:multiLevelType w:val="hybridMultilevel"/>
    <w:tmpl w:val="530ED2B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
    <w:nsid w:val="251E29B5"/>
    <w:multiLevelType w:val="multilevel"/>
    <w:tmpl w:val="4404C9B6"/>
    <w:lvl w:ilvl="0">
      <w:start w:val="8"/>
      <w:numFmt w:val="decimal"/>
      <w:lvlText w:val="%1"/>
      <w:lvlJc w:val="left"/>
      <w:pPr>
        <w:tabs>
          <w:tab w:val="num" w:pos="600"/>
        </w:tabs>
        <w:ind w:left="600" w:hanging="600"/>
      </w:pPr>
      <w:rPr>
        <w:u w:val="single"/>
      </w:rPr>
    </w:lvl>
    <w:lvl w:ilvl="1">
      <w:start w:val="10"/>
      <w:numFmt w:val="decimal"/>
      <w:lvlText w:val="%1.%2"/>
      <w:lvlJc w:val="left"/>
      <w:pPr>
        <w:tabs>
          <w:tab w:val="num" w:pos="600"/>
        </w:tabs>
        <w:ind w:left="600" w:hanging="600"/>
      </w:pPr>
      <w:rPr>
        <w:u w:val="single"/>
      </w:rPr>
    </w:lvl>
    <w:lvl w:ilvl="2">
      <w:start w:val="1"/>
      <w:numFmt w:val="decimal"/>
      <w:lvlText w:val="%1.%2.%3"/>
      <w:lvlJc w:val="left"/>
      <w:pPr>
        <w:tabs>
          <w:tab w:val="num" w:pos="720"/>
        </w:tabs>
        <w:ind w:left="720" w:hanging="720"/>
      </w:pPr>
      <w:rPr>
        <w:strike w:val="0"/>
        <w:dstrike w:val="0"/>
        <w:u w:val="none"/>
        <w:effect w:val="none"/>
      </w:rPr>
    </w:lvl>
    <w:lvl w:ilvl="3">
      <w:start w:val="1"/>
      <w:numFmt w:val="decimal"/>
      <w:lvlText w:val="%1.%2.%3.%4"/>
      <w:lvlJc w:val="left"/>
      <w:pPr>
        <w:tabs>
          <w:tab w:val="num" w:pos="720"/>
        </w:tabs>
        <w:ind w:left="720" w:hanging="720"/>
      </w:pPr>
      <w:rPr>
        <w:u w:val="single"/>
      </w:rPr>
    </w:lvl>
    <w:lvl w:ilvl="4">
      <w:start w:val="1"/>
      <w:numFmt w:val="decimal"/>
      <w:lvlText w:val="%1.%2.%3.%4.%5"/>
      <w:lvlJc w:val="left"/>
      <w:pPr>
        <w:tabs>
          <w:tab w:val="num" w:pos="1080"/>
        </w:tabs>
        <w:ind w:left="1080" w:hanging="1080"/>
      </w:pPr>
      <w:rPr>
        <w:u w:val="single"/>
      </w:rPr>
    </w:lvl>
    <w:lvl w:ilvl="5">
      <w:start w:val="1"/>
      <w:numFmt w:val="decimal"/>
      <w:lvlText w:val="%1.%2.%3.%4.%5.%6"/>
      <w:lvlJc w:val="left"/>
      <w:pPr>
        <w:tabs>
          <w:tab w:val="num" w:pos="1080"/>
        </w:tabs>
        <w:ind w:left="1080" w:hanging="1080"/>
      </w:pPr>
      <w:rPr>
        <w:u w:val="single"/>
      </w:rPr>
    </w:lvl>
    <w:lvl w:ilvl="6">
      <w:start w:val="1"/>
      <w:numFmt w:val="decimal"/>
      <w:lvlText w:val="%1.%2.%3.%4.%5.%6.%7"/>
      <w:lvlJc w:val="left"/>
      <w:pPr>
        <w:tabs>
          <w:tab w:val="num" w:pos="1440"/>
        </w:tabs>
        <w:ind w:left="1440" w:hanging="1440"/>
      </w:pPr>
      <w:rPr>
        <w:u w:val="single"/>
      </w:rPr>
    </w:lvl>
    <w:lvl w:ilvl="7">
      <w:start w:val="1"/>
      <w:numFmt w:val="decimal"/>
      <w:lvlText w:val="%1.%2.%3.%4.%5.%6.%7.%8"/>
      <w:lvlJc w:val="left"/>
      <w:pPr>
        <w:tabs>
          <w:tab w:val="num" w:pos="1440"/>
        </w:tabs>
        <w:ind w:left="1440" w:hanging="1440"/>
      </w:pPr>
      <w:rPr>
        <w:u w:val="single"/>
      </w:rPr>
    </w:lvl>
    <w:lvl w:ilvl="8">
      <w:start w:val="1"/>
      <w:numFmt w:val="decimal"/>
      <w:lvlText w:val="%1.%2.%3.%4.%5.%6.%7.%8.%9"/>
      <w:lvlJc w:val="left"/>
      <w:pPr>
        <w:tabs>
          <w:tab w:val="num" w:pos="1800"/>
        </w:tabs>
        <w:ind w:left="1800" w:hanging="1800"/>
      </w:pPr>
      <w:rPr>
        <w:u w:val="single"/>
      </w:rPr>
    </w:lvl>
  </w:abstractNum>
  <w:abstractNum w:abstractNumId="7">
    <w:nsid w:val="25A2010D"/>
    <w:multiLevelType w:val="multilevel"/>
    <w:tmpl w:val="F4388C3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2EE533E0"/>
    <w:multiLevelType w:val="hybridMultilevel"/>
    <w:tmpl w:val="B8DECF6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nsid w:val="2F2B2DEF"/>
    <w:multiLevelType w:val="multilevel"/>
    <w:tmpl w:val="D1541AF2"/>
    <w:lvl w:ilvl="0">
      <w:start w:val="8"/>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3B57411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nsid w:val="3FE7504D"/>
    <w:multiLevelType w:val="multilevel"/>
    <w:tmpl w:val="373A0C6C"/>
    <w:lvl w:ilvl="0">
      <w:start w:val="8"/>
      <w:numFmt w:val="decimal"/>
      <w:lvlText w:val="%1"/>
      <w:lvlJc w:val="left"/>
      <w:pPr>
        <w:tabs>
          <w:tab w:val="num" w:pos="480"/>
        </w:tabs>
        <w:ind w:left="480" w:hanging="480"/>
      </w:pPr>
      <w:rPr>
        <w:u w:val="single"/>
      </w:rPr>
    </w:lvl>
    <w:lvl w:ilvl="1">
      <w:start w:val="9"/>
      <w:numFmt w:val="decimal"/>
      <w:lvlText w:val="%1.%2"/>
      <w:lvlJc w:val="left"/>
      <w:pPr>
        <w:tabs>
          <w:tab w:val="num" w:pos="480"/>
        </w:tabs>
        <w:ind w:left="480" w:hanging="480"/>
      </w:pPr>
      <w:rPr>
        <w:strike w:val="0"/>
        <w:dstrike w:val="0"/>
        <w:u w:val="none"/>
        <w:effect w:val="none"/>
      </w:rPr>
    </w:lvl>
    <w:lvl w:ilvl="2">
      <w:start w:val="5"/>
      <w:numFmt w:val="decimal"/>
      <w:lvlText w:val="%1.%2.%3"/>
      <w:lvlJc w:val="left"/>
      <w:pPr>
        <w:tabs>
          <w:tab w:val="num" w:pos="720"/>
        </w:tabs>
        <w:ind w:left="720" w:hanging="720"/>
      </w:pPr>
      <w:rPr>
        <w:strike w:val="0"/>
        <w:dstrike w:val="0"/>
        <w:u w:val="none"/>
        <w:effect w:val="none"/>
      </w:rPr>
    </w:lvl>
    <w:lvl w:ilvl="3">
      <w:start w:val="1"/>
      <w:numFmt w:val="decimal"/>
      <w:lvlText w:val="%1.%2.%3.%4"/>
      <w:lvlJc w:val="left"/>
      <w:pPr>
        <w:tabs>
          <w:tab w:val="num" w:pos="720"/>
        </w:tabs>
        <w:ind w:left="720" w:hanging="720"/>
      </w:pPr>
      <w:rPr>
        <w:u w:val="single"/>
      </w:rPr>
    </w:lvl>
    <w:lvl w:ilvl="4">
      <w:start w:val="1"/>
      <w:numFmt w:val="decimal"/>
      <w:lvlText w:val="%1.%2.%3.%4.%5"/>
      <w:lvlJc w:val="left"/>
      <w:pPr>
        <w:tabs>
          <w:tab w:val="num" w:pos="1080"/>
        </w:tabs>
        <w:ind w:left="1080" w:hanging="1080"/>
      </w:pPr>
      <w:rPr>
        <w:u w:val="single"/>
      </w:rPr>
    </w:lvl>
    <w:lvl w:ilvl="5">
      <w:start w:val="1"/>
      <w:numFmt w:val="decimal"/>
      <w:lvlText w:val="%1.%2.%3.%4.%5.%6"/>
      <w:lvlJc w:val="left"/>
      <w:pPr>
        <w:tabs>
          <w:tab w:val="num" w:pos="1080"/>
        </w:tabs>
        <w:ind w:left="1080" w:hanging="1080"/>
      </w:pPr>
      <w:rPr>
        <w:u w:val="single"/>
      </w:rPr>
    </w:lvl>
    <w:lvl w:ilvl="6">
      <w:start w:val="1"/>
      <w:numFmt w:val="decimal"/>
      <w:lvlText w:val="%1.%2.%3.%4.%5.%6.%7"/>
      <w:lvlJc w:val="left"/>
      <w:pPr>
        <w:tabs>
          <w:tab w:val="num" w:pos="1440"/>
        </w:tabs>
        <w:ind w:left="1440" w:hanging="1440"/>
      </w:pPr>
      <w:rPr>
        <w:u w:val="single"/>
      </w:rPr>
    </w:lvl>
    <w:lvl w:ilvl="7">
      <w:start w:val="1"/>
      <w:numFmt w:val="decimal"/>
      <w:lvlText w:val="%1.%2.%3.%4.%5.%6.%7.%8"/>
      <w:lvlJc w:val="left"/>
      <w:pPr>
        <w:tabs>
          <w:tab w:val="num" w:pos="1440"/>
        </w:tabs>
        <w:ind w:left="1440" w:hanging="1440"/>
      </w:pPr>
      <w:rPr>
        <w:u w:val="single"/>
      </w:rPr>
    </w:lvl>
    <w:lvl w:ilvl="8">
      <w:start w:val="1"/>
      <w:numFmt w:val="decimal"/>
      <w:lvlText w:val="%1.%2.%3.%4.%5.%6.%7.%8.%9"/>
      <w:lvlJc w:val="left"/>
      <w:pPr>
        <w:tabs>
          <w:tab w:val="num" w:pos="1800"/>
        </w:tabs>
        <w:ind w:left="1800" w:hanging="1800"/>
      </w:pPr>
      <w:rPr>
        <w:u w:val="single"/>
      </w:rPr>
    </w:lvl>
  </w:abstractNum>
  <w:abstractNum w:abstractNumId="12">
    <w:nsid w:val="4155186F"/>
    <w:multiLevelType w:val="hybridMultilevel"/>
    <w:tmpl w:val="01184B90"/>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nsid w:val="4A143603"/>
    <w:multiLevelType w:val="multilevel"/>
    <w:tmpl w:val="91143962"/>
    <w:lvl w:ilvl="0">
      <w:start w:val="7"/>
      <w:numFmt w:val="decimal"/>
      <w:lvlText w:val="%1"/>
      <w:lvlJc w:val="left"/>
      <w:pPr>
        <w:tabs>
          <w:tab w:val="num" w:pos="720"/>
        </w:tabs>
        <w:ind w:left="720" w:hanging="7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4C521A34"/>
    <w:multiLevelType w:val="multilevel"/>
    <w:tmpl w:val="DFF2D4C6"/>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55AA2A80"/>
    <w:multiLevelType w:val="multilevel"/>
    <w:tmpl w:val="0C090029"/>
    <w:lvl w:ilvl="0">
      <w:start w:val="1"/>
      <w:numFmt w:val="decimal"/>
      <w:pStyle w:val="Heading1"/>
      <w:suff w:val="space"/>
      <w:lvlText w:val="Chapter %1"/>
      <w:lvlJc w:val="left"/>
      <w:pPr>
        <w:ind w:left="6238"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6">
    <w:nsid w:val="62855043"/>
    <w:multiLevelType w:val="multilevel"/>
    <w:tmpl w:val="C3A2A0A8"/>
    <w:lvl w:ilvl="0">
      <w:start w:val="9"/>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7">
    <w:nsid w:val="643B6F1B"/>
    <w:multiLevelType w:val="hybridMultilevel"/>
    <w:tmpl w:val="F8740F6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062"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7147E10"/>
    <w:multiLevelType w:val="hybridMultilevel"/>
    <w:tmpl w:val="0D8E7A3A"/>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nsid w:val="7B193321"/>
    <w:multiLevelType w:val="hybridMultilevel"/>
    <w:tmpl w:val="6A3C11E6"/>
    <w:lvl w:ilvl="0" w:tplc="0C090001">
      <w:start w:val="1"/>
      <w:numFmt w:val="bullet"/>
      <w:lvlText w:val=""/>
      <w:lvlJc w:val="left"/>
      <w:pPr>
        <w:tabs>
          <w:tab w:val="num" w:pos="1140"/>
        </w:tabs>
        <w:ind w:left="114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nsid w:val="7BC800BE"/>
    <w:multiLevelType w:val="hybridMultilevel"/>
    <w:tmpl w:val="634E2A3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nsid w:val="7E9D2CF3"/>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22">
    <w:nsid w:val="7EDE5C34"/>
    <w:multiLevelType w:val="hybridMultilevel"/>
    <w:tmpl w:val="24E0E6E2"/>
    <w:lvl w:ilvl="0" w:tplc="0C090001">
      <w:start w:val="1"/>
      <w:numFmt w:val="bullet"/>
      <w:lvlText w:val=""/>
      <w:lvlJc w:val="left"/>
      <w:pPr>
        <w:tabs>
          <w:tab w:val="num" w:pos="780"/>
        </w:tabs>
        <w:ind w:left="78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4"/>
  </w:num>
  <w:num w:numId="2">
    <w:abstractNumId w:val="4"/>
  </w:num>
  <w:num w:numId="3">
    <w:abstractNumId w:val="1"/>
  </w:num>
  <w:num w:numId="4">
    <w:abstractNumId w:val="0"/>
  </w:num>
  <w:num w:numId="5">
    <w:abstractNumId w:val="17"/>
  </w:num>
  <w:num w:numId="6">
    <w:abstractNumId w:val="15"/>
  </w:num>
  <w:num w:numId="7">
    <w:abstractNumId w:val="10"/>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3"/>
  </w:num>
  <w:num w:numId="12">
    <w:abstractNumId w:val="21"/>
  </w:num>
  <w:num w:numId="1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8"/>
    </w:lvlOverride>
    <w:lvlOverride w:ilvl="1">
      <w:startOverride w:val="9"/>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8"/>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tylePaneFormatFilter w:val="1001"/>
  <w:stylePaneSortMethod w:val="0000"/>
  <w:mailMerge>
    <w:mainDocumentType w:val="formLetters"/>
    <w:linkToQuery/>
    <w:dataType w:val="native"/>
    <w:connectString w:val="Provider=Microsoft.ACE.OLEDB.12.0;User ID=Admin;Data Source=I:\apps\CSU\ACPM\ACPM agenda preparation\283 ACPM Agenda March 2012\Working Documents\283 - ACPM planning sheet.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Item 2 and 3$'`"/>
    <w:activeRecord w:val="8"/>
    <w:odso>
      <w:fieldMapData>
        <w:column w:val="0"/>
        <w:lid w:val="en-AU"/>
      </w:fieldMapData>
      <w:fieldMapData>
        <w:column w:val="0"/>
        <w:lid w:val="en-AU"/>
      </w:fieldMapData>
      <w:fieldMapData>
        <w:type w:val="dbColumn"/>
        <w:name w:val="First Name"/>
        <w:mappedName w:val="First Name"/>
        <w:column w:val="34"/>
        <w:lid w:val="en-AU"/>
      </w:fieldMapData>
      <w:fieldMapData>
        <w:column w:val="0"/>
        <w:lid w:val="en-AU"/>
      </w:fieldMapData>
      <w:fieldMapData>
        <w:type w:val="dbColumn"/>
        <w:name w:val="Last Name"/>
        <w:mappedName w:val="Last Name"/>
        <w:column w:val="35"/>
        <w:lid w:val="en-AU"/>
      </w:fieldMapData>
      <w:fieldMapData>
        <w:column w:val="0"/>
        <w:lid w:val="en-AU"/>
      </w:fieldMapData>
      <w:fieldMapData>
        <w:column w:val="0"/>
        <w:lid w:val="en-AU"/>
      </w:fieldMapData>
      <w:fieldMapData>
        <w:column w:val="0"/>
        <w:lid w:val="en-AU"/>
      </w:fieldMapData>
      <w:fieldMapData>
        <w:column w:val="0"/>
        <w:lid w:val="en-AU"/>
      </w:fieldMapData>
      <w:fieldMapData>
        <w:type w:val="dbColumn"/>
        <w:name w:val="Address1"/>
        <w:mappedName w:val="Address 1"/>
        <w:column w:val="37"/>
        <w:lid w:val="en-AU"/>
      </w:fieldMapData>
      <w:fieldMapData>
        <w:type w:val="dbColumn"/>
        <w:name w:val="Address2"/>
        <w:mappedName w:val="Address 2"/>
        <w:column w:val="38"/>
        <w:lid w:val="en-AU"/>
      </w:fieldMapData>
      <w:fieldMapData>
        <w:type w:val="dbColumn"/>
        <w:name w:val="City"/>
        <w:mappedName w:val="City"/>
        <w:column w:val="39"/>
        <w:lid w:val="en-AU"/>
      </w:fieldMapData>
      <w:fieldMapData>
        <w:type w:val="dbColumn"/>
        <w:name w:val="State"/>
        <w:mappedName w:val="State"/>
        <w:column w:val="40"/>
        <w:lid w:val="en-AU"/>
      </w:fieldMapData>
      <w:fieldMapData>
        <w:type w:val="dbColumn"/>
        <w:name w:val="Postcode"/>
        <w:mappedName w:val="Postal Code"/>
        <w:column w:val="41"/>
        <w:lid w:val="en-AU"/>
      </w:fieldMapData>
      <w:fieldMapData>
        <w:column w:val="0"/>
        <w:lid w:val="en-AU"/>
      </w:fieldMapData>
      <w:fieldMapData>
        <w:type w:val="dbColumn"/>
        <w:name w:val="Phone"/>
        <w:mappedName w:val="Business Phone"/>
        <w:column w:val="43"/>
        <w:lid w:val="en-AU"/>
      </w:fieldMapData>
      <w:fieldMapData>
        <w:type w:val="dbColumn"/>
        <w:name w:val="Fax"/>
        <w:mappedName w:val="Business Fax"/>
        <w:column w:val="42"/>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odso>
  </w:mailMerge>
  <w:defaultTabStop w:val="720"/>
  <w:drawingGridHorizontalSpacing w:val="110"/>
  <w:displayHorizontalDrawingGridEvery w:val="2"/>
  <w:characterSpacingControl w:val="doNotCompress"/>
  <w:hdrShapeDefaults>
    <o:shapedefaults v:ext="edit" spidmax="88065">
      <o:colormenu v:ext="edit" fillcolor="none [3206]" strokecolor="none"/>
    </o:shapedefaults>
  </w:hdrShapeDefaults>
  <w:footnotePr>
    <w:footnote w:id="-1"/>
    <w:footnote w:id="0"/>
  </w:footnotePr>
  <w:endnotePr>
    <w:endnote w:id="-1"/>
    <w:endnote w:id="0"/>
  </w:endnotePr>
  <w:compat/>
  <w:rsids>
    <w:rsidRoot w:val="00570F92"/>
    <w:rsid w:val="00002031"/>
    <w:rsid w:val="00004734"/>
    <w:rsid w:val="000057F7"/>
    <w:rsid w:val="00006B22"/>
    <w:rsid w:val="000204EF"/>
    <w:rsid w:val="000246AE"/>
    <w:rsid w:val="00025C67"/>
    <w:rsid w:val="00027383"/>
    <w:rsid w:val="00035901"/>
    <w:rsid w:val="00041F4D"/>
    <w:rsid w:val="00044E54"/>
    <w:rsid w:val="0005559E"/>
    <w:rsid w:val="0006208B"/>
    <w:rsid w:val="00083FBD"/>
    <w:rsid w:val="000A2586"/>
    <w:rsid w:val="000A4E05"/>
    <w:rsid w:val="000B3532"/>
    <w:rsid w:val="000B3A75"/>
    <w:rsid w:val="000B446F"/>
    <w:rsid w:val="000D391B"/>
    <w:rsid w:val="000D3D6D"/>
    <w:rsid w:val="000D4FC7"/>
    <w:rsid w:val="000E0116"/>
    <w:rsid w:val="000F4869"/>
    <w:rsid w:val="000F5B42"/>
    <w:rsid w:val="000F6E6F"/>
    <w:rsid w:val="0010601F"/>
    <w:rsid w:val="00110EA5"/>
    <w:rsid w:val="00116AE6"/>
    <w:rsid w:val="00125318"/>
    <w:rsid w:val="001305A2"/>
    <w:rsid w:val="00133238"/>
    <w:rsid w:val="0013332A"/>
    <w:rsid w:val="0014197B"/>
    <w:rsid w:val="001447CD"/>
    <w:rsid w:val="001516B1"/>
    <w:rsid w:val="00154DE3"/>
    <w:rsid w:val="00156316"/>
    <w:rsid w:val="001563E4"/>
    <w:rsid w:val="00165389"/>
    <w:rsid w:val="00170CA0"/>
    <w:rsid w:val="00171611"/>
    <w:rsid w:val="0017693F"/>
    <w:rsid w:val="0018110E"/>
    <w:rsid w:val="00181684"/>
    <w:rsid w:val="001843C6"/>
    <w:rsid w:val="001848B0"/>
    <w:rsid w:val="00191B3B"/>
    <w:rsid w:val="001941D7"/>
    <w:rsid w:val="00195B3B"/>
    <w:rsid w:val="001A183C"/>
    <w:rsid w:val="001A7B78"/>
    <w:rsid w:val="001B09F9"/>
    <w:rsid w:val="001B43F4"/>
    <w:rsid w:val="001B6448"/>
    <w:rsid w:val="001C57BE"/>
    <w:rsid w:val="001E07CF"/>
    <w:rsid w:val="001E4C86"/>
    <w:rsid w:val="001E59F1"/>
    <w:rsid w:val="001E641F"/>
    <w:rsid w:val="001F232C"/>
    <w:rsid w:val="001F2F98"/>
    <w:rsid w:val="001F49EB"/>
    <w:rsid w:val="001F5319"/>
    <w:rsid w:val="001F6CBA"/>
    <w:rsid w:val="00201D4E"/>
    <w:rsid w:val="002257F3"/>
    <w:rsid w:val="002332C1"/>
    <w:rsid w:val="00233456"/>
    <w:rsid w:val="002339A5"/>
    <w:rsid w:val="00246873"/>
    <w:rsid w:val="0027084A"/>
    <w:rsid w:val="00286434"/>
    <w:rsid w:val="00286C59"/>
    <w:rsid w:val="00287251"/>
    <w:rsid w:val="002942D1"/>
    <w:rsid w:val="002A36E1"/>
    <w:rsid w:val="002B160C"/>
    <w:rsid w:val="002B1638"/>
    <w:rsid w:val="002C2F2B"/>
    <w:rsid w:val="002C3BB9"/>
    <w:rsid w:val="002D18B9"/>
    <w:rsid w:val="002E4C9A"/>
    <w:rsid w:val="002E7A26"/>
    <w:rsid w:val="002F1FA0"/>
    <w:rsid w:val="002F3F56"/>
    <w:rsid w:val="002F44B5"/>
    <w:rsid w:val="00301CA8"/>
    <w:rsid w:val="00311AC0"/>
    <w:rsid w:val="00320D62"/>
    <w:rsid w:val="00322BFB"/>
    <w:rsid w:val="00344857"/>
    <w:rsid w:val="003521E8"/>
    <w:rsid w:val="003538A2"/>
    <w:rsid w:val="003602A9"/>
    <w:rsid w:val="00361EC5"/>
    <w:rsid w:val="003624B5"/>
    <w:rsid w:val="00365CD7"/>
    <w:rsid w:val="00366515"/>
    <w:rsid w:val="003728F3"/>
    <w:rsid w:val="00387299"/>
    <w:rsid w:val="003A6B67"/>
    <w:rsid w:val="003B3421"/>
    <w:rsid w:val="003B4482"/>
    <w:rsid w:val="003B7E39"/>
    <w:rsid w:val="003C58DC"/>
    <w:rsid w:val="003D4AAA"/>
    <w:rsid w:val="003E5A27"/>
    <w:rsid w:val="003E6908"/>
    <w:rsid w:val="003F0B04"/>
    <w:rsid w:val="0040134E"/>
    <w:rsid w:val="00404042"/>
    <w:rsid w:val="00417AD2"/>
    <w:rsid w:val="00423721"/>
    <w:rsid w:val="00427ACC"/>
    <w:rsid w:val="00434E67"/>
    <w:rsid w:val="00440A2D"/>
    <w:rsid w:val="0044574F"/>
    <w:rsid w:val="004564A7"/>
    <w:rsid w:val="0045671D"/>
    <w:rsid w:val="00457E37"/>
    <w:rsid w:val="004617BF"/>
    <w:rsid w:val="00486FD9"/>
    <w:rsid w:val="0049266E"/>
    <w:rsid w:val="00494E60"/>
    <w:rsid w:val="00496C9B"/>
    <w:rsid w:val="004A2D76"/>
    <w:rsid w:val="004A4EB4"/>
    <w:rsid w:val="004C3829"/>
    <w:rsid w:val="004C48B3"/>
    <w:rsid w:val="004D25F1"/>
    <w:rsid w:val="004E4E2D"/>
    <w:rsid w:val="004F0F38"/>
    <w:rsid w:val="004F7270"/>
    <w:rsid w:val="00501921"/>
    <w:rsid w:val="005207B1"/>
    <w:rsid w:val="005302CC"/>
    <w:rsid w:val="00530354"/>
    <w:rsid w:val="00531952"/>
    <w:rsid w:val="005363C4"/>
    <w:rsid w:val="0053753E"/>
    <w:rsid w:val="005434C6"/>
    <w:rsid w:val="00543B39"/>
    <w:rsid w:val="00547E35"/>
    <w:rsid w:val="00550096"/>
    <w:rsid w:val="00556A3F"/>
    <w:rsid w:val="00557FF9"/>
    <w:rsid w:val="00567138"/>
    <w:rsid w:val="00570F92"/>
    <w:rsid w:val="005732B2"/>
    <w:rsid w:val="00576378"/>
    <w:rsid w:val="005777FF"/>
    <w:rsid w:val="00577E38"/>
    <w:rsid w:val="00581386"/>
    <w:rsid w:val="00585322"/>
    <w:rsid w:val="00591017"/>
    <w:rsid w:val="00593AD1"/>
    <w:rsid w:val="005A0DB6"/>
    <w:rsid w:val="005A27B0"/>
    <w:rsid w:val="005B6498"/>
    <w:rsid w:val="005B75BE"/>
    <w:rsid w:val="005C5570"/>
    <w:rsid w:val="005C7653"/>
    <w:rsid w:val="005C79A4"/>
    <w:rsid w:val="005D5442"/>
    <w:rsid w:val="005F06E6"/>
    <w:rsid w:val="0060188E"/>
    <w:rsid w:val="006165D4"/>
    <w:rsid w:val="006211C6"/>
    <w:rsid w:val="0062138B"/>
    <w:rsid w:val="00640FC3"/>
    <w:rsid w:val="00642020"/>
    <w:rsid w:val="0065419D"/>
    <w:rsid w:val="0065543A"/>
    <w:rsid w:val="006624A3"/>
    <w:rsid w:val="00664167"/>
    <w:rsid w:val="00664A5B"/>
    <w:rsid w:val="00680C08"/>
    <w:rsid w:val="006931B1"/>
    <w:rsid w:val="0069418F"/>
    <w:rsid w:val="006A1469"/>
    <w:rsid w:val="006A15C0"/>
    <w:rsid w:val="006B171E"/>
    <w:rsid w:val="006C642F"/>
    <w:rsid w:val="006D03E5"/>
    <w:rsid w:val="006D5D3E"/>
    <w:rsid w:val="006D6272"/>
    <w:rsid w:val="006E08B3"/>
    <w:rsid w:val="006E7895"/>
    <w:rsid w:val="006F0D5E"/>
    <w:rsid w:val="006F572E"/>
    <w:rsid w:val="007046D6"/>
    <w:rsid w:val="007236E2"/>
    <w:rsid w:val="00734347"/>
    <w:rsid w:val="0074253D"/>
    <w:rsid w:val="007426E4"/>
    <w:rsid w:val="0074429B"/>
    <w:rsid w:val="007553EA"/>
    <w:rsid w:val="007615BC"/>
    <w:rsid w:val="00762F05"/>
    <w:rsid w:val="00764AC4"/>
    <w:rsid w:val="007652FF"/>
    <w:rsid w:val="00773EF7"/>
    <w:rsid w:val="00775581"/>
    <w:rsid w:val="0077675A"/>
    <w:rsid w:val="00793A59"/>
    <w:rsid w:val="007A19BE"/>
    <w:rsid w:val="007A437F"/>
    <w:rsid w:val="007A6BEB"/>
    <w:rsid w:val="007D3439"/>
    <w:rsid w:val="0081696D"/>
    <w:rsid w:val="00821776"/>
    <w:rsid w:val="00825F87"/>
    <w:rsid w:val="008305A0"/>
    <w:rsid w:val="0083086B"/>
    <w:rsid w:val="008321F5"/>
    <w:rsid w:val="00832369"/>
    <w:rsid w:val="00834660"/>
    <w:rsid w:val="00836BC2"/>
    <w:rsid w:val="00840622"/>
    <w:rsid w:val="0085641B"/>
    <w:rsid w:val="00870860"/>
    <w:rsid w:val="008801E1"/>
    <w:rsid w:val="008838EE"/>
    <w:rsid w:val="00885044"/>
    <w:rsid w:val="00886EC3"/>
    <w:rsid w:val="008946A6"/>
    <w:rsid w:val="00896018"/>
    <w:rsid w:val="008A2B9D"/>
    <w:rsid w:val="008A6D16"/>
    <w:rsid w:val="008B4B03"/>
    <w:rsid w:val="008B596F"/>
    <w:rsid w:val="008C159F"/>
    <w:rsid w:val="008C1623"/>
    <w:rsid w:val="008E1A93"/>
    <w:rsid w:val="008F1A5A"/>
    <w:rsid w:val="008F1CCC"/>
    <w:rsid w:val="008F2967"/>
    <w:rsid w:val="008F42D5"/>
    <w:rsid w:val="00914085"/>
    <w:rsid w:val="00916697"/>
    <w:rsid w:val="00920330"/>
    <w:rsid w:val="009219D7"/>
    <w:rsid w:val="00922D53"/>
    <w:rsid w:val="00923B70"/>
    <w:rsid w:val="00930237"/>
    <w:rsid w:val="00932EEC"/>
    <w:rsid w:val="00945286"/>
    <w:rsid w:val="00952100"/>
    <w:rsid w:val="00952B7B"/>
    <w:rsid w:val="00954679"/>
    <w:rsid w:val="00956288"/>
    <w:rsid w:val="00963C08"/>
    <w:rsid w:val="009702FF"/>
    <w:rsid w:val="00980055"/>
    <w:rsid w:val="009A3DAC"/>
    <w:rsid w:val="009A4CED"/>
    <w:rsid w:val="009B0527"/>
    <w:rsid w:val="009B1D12"/>
    <w:rsid w:val="009B416B"/>
    <w:rsid w:val="009C0A94"/>
    <w:rsid w:val="009C179C"/>
    <w:rsid w:val="009C4BD5"/>
    <w:rsid w:val="009C50CA"/>
    <w:rsid w:val="009D1F32"/>
    <w:rsid w:val="009D3ABF"/>
    <w:rsid w:val="009D7B0D"/>
    <w:rsid w:val="009E3FBB"/>
    <w:rsid w:val="00A03670"/>
    <w:rsid w:val="00A14DF7"/>
    <w:rsid w:val="00A3246D"/>
    <w:rsid w:val="00A32971"/>
    <w:rsid w:val="00A33CDE"/>
    <w:rsid w:val="00A35339"/>
    <w:rsid w:val="00A36FA7"/>
    <w:rsid w:val="00A408DA"/>
    <w:rsid w:val="00A45490"/>
    <w:rsid w:val="00A475B7"/>
    <w:rsid w:val="00A47AF7"/>
    <w:rsid w:val="00A47C3E"/>
    <w:rsid w:val="00A50226"/>
    <w:rsid w:val="00A53E16"/>
    <w:rsid w:val="00A60745"/>
    <w:rsid w:val="00A6420A"/>
    <w:rsid w:val="00A71D02"/>
    <w:rsid w:val="00A80A91"/>
    <w:rsid w:val="00A93288"/>
    <w:rsid w:val="00A93E0A"/>
    <w:rsid w:val="00AA7C94"/>
    <w:rsid w:val="00AA7D64"/>
    <w:rsid w:val="00AB59B7"/>
    <w:rsid w:val="00AB7F5F"/>
    <w:rsid w:val="00AC2B40"/>
    <w:rsid w:val="00AC2BB2"/>
    <w:rsid w:val="00AC438C"/>
    <w:rsid w:val="00AC653F"/>
    <w:rsid w:val="00AD3C23"/>
    <w:rsid w:val="00AE65EB"/>
    <w:rsid w:val="00AF1D94"/>
    <w:rsid w:val="00B009C6"/>
    <w:rsid w:val="00B01548"/>
    <w:rsid w:val="00B127BE"/>
    <w:rsid w:val="00B12F30"/>
    <w:rsid w:val="00B21D29"/>
    <w:rsid w:val="00B25034"/>
    <w:rsid w:val="00B25B29"/>
    <w:rsid w:val="00B33863"/>
    <w:rsid w:val="00B376C7"/>
    <w:rsid w:val="00B37D17"/>
    <w:rsid w:val="00B4175E"/>
    <w:rsid w:val="00B44CA0"/>
    <w:rsid w:val="00B4514F"/>
    <w:rsid w:val="00B54C25"/>
    <w:rsid w:val="00B55C65"/>
    <w:rsid w:val="00B72073"/>
    <w:rsid w:val="00B75722"/>
    <w:rsid w:val="00B76B91"/>
    <w:rsid w:val="00B81A68"/>
    <w:rsid w:val="00B920AA"/>
    <w:rsid w:val="00BA095D"/>
    <w:rsid w:val="00BB0550"/>
    <w:rsid w:val="00BB2876"/>
    <w:rsid w:val="00BB49CA"/>
    <w:rsid w:val="00BC622A"/>
    <w:rsid w:val="00BC73C9"/>
    <w:rsid w:val="00BD37C3"/>
    <w:rsid w:val="00BE0A78"/>
    <w:rsid w:val="00BE79F0"/>
    <w:rsid w:val="00BF046D"/>
    <w:rsid w:val="00C00E19"/>
    <w:rsid w:val="00C066AC"/>
    <w:rsid w:val="00C10BC3"/>
    <w:rsid w:val="00C14956"/>
    <w:rsid w:val="00C404A6"/>
    <w:rsid w:val="00C40A36"/>
    <w:rsid w:val="00C40CAE"/>
    <w:rsid w:val="00C44419"/>
    <w:rsid w:val="00C45E7B"/>
    <w:rsid w:val="00C6316B"/>
    <w:rsid w:val="00C634A9"/>
    <w:rsid w:val="00C673E7"/>
    <w:rsid w:val="00C772FF"/>
    <w:rsid w:val="00C801AF"/>
    <w:rsid w:val="00C80256"/>
    <w:rsid w:val="00C85E5D"/>
    <w:rsid w:val="00CA1902"/>
    <w:rsid w:val="00CB3224"/>
    <w:rsid w:val="00CB6BC0"/>
    <w:rsid w:val="00CC727F"/>
    <w:rsid w:val="00CE3715"/>
    <w:rsid w:val="00CF15C3"/>
    <w:rsid w:val="00CF2B6F"/>
    <w:rsid w:val="00CF3291"/>
    <w:rsid w:val="00D017ED"/>
    <w:rsid w:val="00D044A3"/>
    <w:rsid w:val="00D05FF7"/>
    <w:rsid w:val="00D13A6F"/>
    <w:rsid w:val="00D14D86"/>
    <w:rsid w:val="00D217F1"/>
    <w:rsid w:val="00D21C4E"/>
    <w:rsid w:val="00D224FE"/>
    <w:rsid w:val="00D23DAB"/>
    <w:rsid w:val="00D2520C"/>
    <w:rsid w:val="00D26A7F"/>
    <w:rsid w:val="00D32B0B"/>
    <w:rsid w:val="00D32B56"/>
    <w:rsid w:val="00D54E51"/>
    <w:rsid w:val="00D56026"/>
    <w:rsid w:val="00D6493E"/>
    <w:rsid w:val="00D70583"/>
    <w:rsid w:val="00D73147"/>
    <w:rsid w:val="00DA1124"/>
    <w:rsid w:val="00DA3539"/>
    <w:rsid w:val="00DA3DA6"/>
    <w:rsid w:val="00DA4E8E"/>
    <w:rsid w:val="00DB3BC0"/>
    <w:rsid w:val="00DE02AE"/>
    <w:rsid w:val="00DE7088"/>
    <w:rsid w:val="00DF1D7F"/>
    <w:rsid w:val="00E01E7F"/>
    <w:rsid w:val="00E02FB4"/>
    <w:rsid w:val="00E13405"/>
    <w:rsid w:val="00E20571"/>
    <w:rsid w:val="00E239D4"/>
    <w:rsid w:val="00E23CE0"/>
    <w:rsid w:val="00E40B22"/>
    <w:rsid w:val="00E4588F"/>
    <w:rsid w:val="00E46DA3"/>
    <w:rsid w:val="00E8012C"/>
    <w:rsid w:val="00E95918"/>
    <w:rsid w:val="00EB049D"/>
    <w:rsid w:val="00EB0798"/>
    <w:rsid w:val="00EB40AD"/>
    <w:rsid w:val="00EB586E"/>
    <w:rsid w:val="00EB7D7D"/>
    <w:rsid w:val="00EC0739"/>
    <w:rsid w:val="00ED58D9"/>
    <w:rsid w:val="00EE5BAF"/>
    <w:rsid w:val="00EE5C85"/>
    <w:rsid w:val="00EE6D5B"/>
    <w:rsid w:val="00EF0159"/>
    <w:rsid w:val="00EF158B"/>
    <w:rsid w:val="00F016D0"/>
    <w:rsid w:val="00F01C9F"/>
    <w:rsid w:val="00F02EFC"/>
    <w:rsid w:val="00F033EC"/>
    <w:rsid w:val="00F04F68"/>
    <w:rsid w:val="00F12670"/>
    <w:rsid w:val="00F1318A"/>
    <w:rsid w:val="00F14B27"/>
    <w:rsid w:val="00F2067A"/>
    <w:rsid w:val="00F24394"/>
    <w:rsid w:val="00F26005"/>
    <w:rsid w:val="00F35298"/>
    <w:rsid w:val="00F44921"/>
    <w:rsid w:val="00F47E37"/>
    <w:rsid w:val="00F54D40"/>
    <w:rsid w:val="00F5770D"/>
    <w:rsid w:val="00F61989"/>
    <w:rsid w:val="00F640B6"/>
    <w:rsid w:val="00F651B3"/>
    <w:rsid w:val="00F65D38"/>
    <w:rsid w:val="00F70BAF"/>
    <w:rsid w:val="00F71CC5"/>
    <w:rsid w:val="00F74459"/>
    <w:rsid w:val="00F80E40"/>
    <w:rsid w:val="00F83869"/>
    <w:rsid w:val="00F86234"/>
    <w:rsid w:val="00FA5B82"/>
    <w:rsid w:val="00FA639E"/>
    <w:rsid w:val="00FB6B44"/>
    <w:rsid w:val="00FC25E4"/>
    <w:rsid w:val="00FC282A"/>
    <w:rsid w:val="00FC4EF7"/>
    <w:rsid w:val="00FD6FAB"/>
    <w:rsid w:val="00FE0DC9"/>
    <w:rsid w:val="00FE1DEE"/>
    <w:rsid w:val="00FF2126"/>
    <w:rsid w:val="00FF2684"/>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88065">
      <o:colormenu v:ext="edit" fillcolor="none [3206]"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Body Text 3" w:uiPriority="0"/>
    <w:lsdException w:name="Strong" w:semiHidden="0" w:uiPriority="22" w:unhideWhenUsed="0"/>
    <w:lsdException w:name="Emphasis" w:semiHidden="0" w:uiPriority="20" w:unhideWhenUsed="0"/>
    <w:lsdException w:name="Normal (Web)" w:uiPriority="0"/>
    <w:lsdException w:name="Table Grid" w:semiHidden="0" w:uiPriority="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777FF"/>
    <w:pPr>
      <w:spacing w:after="120" w:line="240" w:lineRule="atLeast"/>
    </w:pPr>
    <w:rPr>
      <w:sz w:val="22"/>
      <w:szCs w:val="22"/>
      <w:lang w:eastAsia="en-US"/>
    </w:rPr>
  </w:style>
  <w:style w:type="paragraph" w:styleId="Heading1">
    <w:name w:val="heading 1"/>
    <w:basedOn w:val="Normal"/>
    <w:next w:val="Normal"/>
    <w:link w:val="Heading1Char"/>
    <w:qFormat/>
    <w:rsid w:val="00930237"/>
    <w:pPr>
      <w:keepNext/>
      <w:keepLines/>
      <w:numPr>
        <w:numId w:val="6"/>
      </w:numPr>
      <w:spacing w:after="360"/>
      <w:outlineLvl w:val="0"/>
    </w:pPr>
    <w:rPr>
      <w:rFonts w:ascii="Arial" w:eastAsia="Times New Roman" w:hAnsi="Arial"/>
      <w:b/>
      <w:bCs/>
      <w:sz w:val="64"/>
      <w:szCs w:val="28"/>
    </w:rPr>
  </w:style>
  <w:style w:type="paragraph" w:styleId="Heading2">
    <w:name w:val="heading 2"/>
    <w:basedOn w:val="Normal"/>
    <w:next w:val="Normal"/>
    <w:link w:val="Heading2Char"/>
    <w:qFormat/>
    <w:rsid w:val="00930237"/>
    <w:pPr>
      <w:keepNext/>
      <w:keepLines/>
      <w:numPr>
        <w:ilvl w:val="1"/>
        <w:numId w:val="6"/>
      </w:numPr>
      <w:spacing w:after="240"/>
      <w:outlineLvl w:val="1"/>
    </w:pPr>
    <w:rPr>
      <w:rFonts w:ascii="Arial" w:eastAsia="Times New Roman" w:hAnsi="Arial"/>
      <w:b/>
      <w:bCs/>
      <w:sz w:val="32"/>
      <w:szCs w:val="26"/>
    </w:rPr>
  </w:style>
  <w:style w:type="paragraph" w:styleId="Heading3">
    <w:name w:val="heading 3"/>
    <w:basedOn w:val="Normal"/>
    <w:next w:val="Normal"/>
    <w:link w:val="Heading3Char"/>
    <w:qFormat/>
    <w:rsid w:val="00D56026"/>
    <w:pPr>
      <w:keepNext/>
      <w:keepLines/>
      <w:numPr>
        <w:ilvl w:val="2"/>
        <w:numId w:val="6"/>
      </w:numPr>
      <w:spacing w:line="220" w:lineRule="atLeast"/>
      <w:outlineLvl w:val="2"/>
    </w:pPr>
    <w:rPr>
      <w:rFonts w:ascii="Arial" w:eastAsia="Times New Roman" w:hAnsi="Arial"/>
      <w:b/>
      <w:bCs/>
    </w:rPr>
  </w:style>
  <w:style w:type="paragraph" w:styleId="Heading4">
    <w:name w:val="heading 4"/>
    <w:basedOn w:val="Normal"/>
    <w:next w:val="Normal"/>
    <w:link w:val="Heading4Char"/>
    <w:qFormat/>
    <w:rsid w:val="00D56026"/>
    <w:pPr>
      <w:numPr>
        <w:ilvl w:val="3"/>
        <w:numId w:val="6"/>
      </w:numPr>
      <w:spacing w:line="220" w:lineRule="atLeast"/>
      <w:outlineLvl w:val="3"/>
    </w:pPr>
    <w:rPr>
      <w:b/>
    </w:rPr>
  </w:style>
  <w:style w:type="paragraph" w:styleId="Heading5">
    <w:name w:val="heading 5"/>
    <w:basedOn w:val="Normal"/>
    <w:next w:val="Normal"/>
    <w:link w:val="Heading5Char"/>
    <w:qFormat/>
    <w:rsid w:val="00D56026"/>
    <w:pPr>
      <w:keepNext/>
      <w:keepLines/>
      <w:numPr>
        <w:ilvl w:val="4"/>
        <w:numId w:val="6"/>
      </w:numPr>
      <w:spacing w:line="220" w:lineRule="atLeast"/>
      <w:outlineLvl w:val="4"/>
    </w:pPr>
    <w:rPr>
      <w:rFonts w:eastAsia="Times New Roman"/>
      <w:b/>
      <w:i/>
      <w:color w:val="001523"/>
    </w:rPr>
  </w:style>
  <w:style w:type="paragraph" w:styleId="Heading6">
    <w:name w:val="heading 6"/>
    <w:basedOn w:val="Normal"/>
    <w:next w:val="Normal"/>
    <w:link w:val="Heading6Char"/>
    <w:qFormat/>
    <w:rsid w:val="00D56026"/>
    <w:pPr>
      <w:keepNext/>
      <w:keepLines/>
      <w:numPr>
        <w:ilvl w:val="5"/>
        <w:numId w:val="6"/>
      </w:numPr>
      <w:spacing w:line="220" w:lineRule="atLeast"/>
      <w:outlineLvl w:val="5"/>
    </w:pPr>
    <w:rPr>
      <w:rFonts w:eastAsia="Times New Roman"/>
      <w:i/>
      <w:iCs/>
      <w:color w:val="001523"/>
    </w:rPr>
  </w:style>
  <w:style w:type="paragraph" w:styleId="Heading7">
    <w:name w:val="heading 7"/>
    <w:basedOn w:val="Normal"/>
    <w:next w:val="Normal"/>
    <w:link w:val="Heading7Char"/>
    <w:uiPriority w:val="9"/>
    <w:semiHidden/>
    <w:unhideWhenUsed/>
    <w:qFormat/>
    <w:rsid w:val="00496C9B"/>
    <w:pPr>
      <w:numPr>
        <w:ilvl w:val="6"/>
        <w:numId w:val="6"/>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496C9B"/>
    <w:pPr>
      <w:numPr>
        <w:ilvl w:val="7"/>
        <w:numId w:val="6"/>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496C9B"/>
    <w:pPr>
      <w:numPr>
        <w:ilvl w:val="8"/>
        <w:numId w:val="6"/>
      </w:num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0237"/>
    <w:rPr>
      <w:rFonts w:ascii="Arial" w:eastAsia="Times New Roman" w:hAnsi="Arial"/>
      <w:b/>
      <w:bCs/>
      <w:sz w:val="64"/>
      <w:szCs w:val="28"/>
      <w:lang w:eastAsia="en-US"/>
    </w:rPr>
  </w:style>
  <w:style w:type="character" w:customStyle="1" w:styleId="Heading2Char">
    <w:name w:val="Heading 2 Char"/>
    <w:basedOn w:val="DefaultParagraphFont"/>
    <w:link w:val="Heading2"/>
    <w:rsid w:val="00930237"/>
    <w:rPr>
      <w:rFonts w:ascii="Arial" w:eastAsia="Times New Roman" w:hAnsi="Arial"/>
      <w:b/>
      <w:bCs/>
      <w:sz w:val="32"/>
      <w:szCs w:val="26"/>
      <w:lang w:eastAsia="en-US"/>
    </w:rPr>
  </w:style>
  <w:style w:type="character" w:customStyle="1" w:styleId="Heading3Char">
    <w:name w:val="Heading 3 Char"/>
    <w:basedOn w:val="DefaultParagraphFont"/>
    <w:link w:val="Heading3"/>
    <w:rsid w:val="00D56026"/>
    <w:rPr>
      <w:rFonts w:ascii="Arial" w:eastAsia="Times New Roman" w:hAnsi="Arial"/>
      <w:b/>
      <w:bCs/>
      <w:sz w:val="22"/>
      <w:szCs w:val="22"/>
      <w:lang w:eastAsia="en-US"/>
    </w:rPr>
  </w:style>
  <w:style w:type="paragraph" w:customStyle="1" w:styleId="TableTitle">
    <w:name w:val="Table Title"/>
    <w:basedOn w:val="Normal"/>
    <w:link w:val="TableTitleChar"/>
    <w:qFormat/>
    <w:rsid w:val="00AC2B40"/>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uiPriority w:val="99"/>
    <w:rsid w:val="00B33863"/>
    <w:pPr>
      <w:tabs>
        <w:tab w:val="center" w:pos="4513"/>
        <w:tab w:val="right" w:pos="9026"/>
      </w:tabs>
      <w:spacing w:after="0" w:line="240" w:lineRule="auto"/>
    </w:pPr>
    <w:rPr>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uiPriority w:val="99"/>
    <w:qFormat/>
    <w:rsid w:val="00D26A7F"/>
    <w:pPr>
      <w:numPr>
        <w:numId w:val="2"/>
      </w:numPr>
      <w:spacing w:after="160"/>
    </w:pPr>
  </w:style>
  <w:style w:type="paragraph" w:styleId="ListBullet2">
    <w:name w:val="List Bullet 2"/>
    <w:basedOn w:val="Normal"/>
    <w:uiPriority w:val="99"/>
    <w:qFormat/>
    <w:rsid w:val="00D26A7F"/>
    <w:pPr>
      <w:numPr>
        <w:ilvl w:val="1"/>
        <w:numId w:val="2"/>
      </w:numPr>
      <w:contextualSpacing/>
    </w:pPr>
  </w:style>
  <w:style w:type="paragraph" w:customStyle="1" w:styleId="Reference">
    <w:name w:val="Reference"/>
    <w:basedOn w:val="Normal"/>
    <w:rsid w:val="00F02EFC"/>
    <w:pPr>
      <w:spacing w:before="40" w:after="0" w:line="180" w:lineRule="atLeast"/>
      <w:ind w:left="170" w:hanging="170"/>
    </w:pPr>
    <w:rPr>
      <w:sz w:val="19"/>
    </w:rPr>
  </w:style>
  <w:style w:type="table" w:styleId="TableGrid">
    <w:name w:val="Table Grid"/>
    <w:basedOn w:val="TableNormal"/>
    <w:rsid w:val="00C40A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D56026"/>
    <w:rPr>
      <w:b/>
      <w:sz w:val="22"/>
      <w:szCs w:val="22"/>
      <w:lang w:eastAsia="en-US"/>
    </w:rPr>
  </w:style>
  <w:style w:type="paragraph" w:customStyle="1" w:styleId="HeaderNoLine">
    <w:name w:val="Header No Line"/>
    <w:basedOn w:val="Header"/>
    <w:uiPriority w:val="99"/>
    <w:rsid w:val="00593AD1"/>
    <w:pPr>
      <w:pBdr>
        <w:bottom w:val="none" w:sz="0" w:space="0" w:color="auto"/>
      </w:pBdr>
      <w:jc w:val="left"/>
    </w:pPr>
  </w:style>
  <w:style w:type="paragraph" w:styleId="BalloonText">
    <w:name w:val="Balloon Text"/>
    <w:basedOn w:val="Normal"/>
    <w:link w:val="BalloonTextChar"/>
    <w:uiPriority w:val="99"/>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uiPriority w:val="99"/>
    <w:qFormat/>
    <w:rsid w:val="00A47AF7"/>
    <w:rPr>
      <w:b/>
      <w:color w:val="FFFFFF"/>
    </w:rPr>
  </w:style>
  <w:style w:type="paragraph" w:customStyle="1" w:styleId="TGASignoff">
    <w:name w:val="TGA Signoff"/>
    <w:basedOn w:val="Normal"/>
    <w:uiPriority w:val="99"/>
    <w:qFormat/>
    <w:rsid w:val="000D4FC7"/>
    <w:pPr>
      <w:jc w:val="center"/>
    </w:pPr>
    <w:rPr>
      <w:rFonts w:ascii="Arial" w:hAnsi="Arial"/>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832369"/>
    <w:pPr>
      <w:spacing w:before="480" w:after="0" w:line="276" w:lineRule="auto"/>
      <w:outlineLvl w:val="9"/>
    </w:pPr>
    <w:rPr>
      <w:color w:val="002035"/>
      <w:sz w:val="28"/>
      <w:lang w:val="en-US"/>
    </w:rPr>
  </w:style>
  <w:style w:type="paragraph" w:styleId="TOC1">
    <w:name w:val="toc 1"/>
    <w:basedOn w:val="Normal"/>
    <w:next w:val="Normal"/>
    <w:uiPriority w:val="39"/>
    <w:unhideWhenUsed/>
    <w:rsid w:val="00006B22"/>
    <w:pPr>
      <w:tabs>
        <w:tab w:val="right" w:pos="8505"/>
      </w:tabs>
      <w:spacing w:after="200"/>
    </w:pPr>
    <w:rPr>
      <w:rFonts w:ascii="Arial" w:hAnsi="Arial"/>
      <w:b/>
      <w:sz w:val="32"/>
    </w:rPr>
  </w:style>
  <w:style w:type="paragraph" w:styleId="TOC2">
    <w:name w:val="toc 2"/>
    <w:basedOn w:val="Normal"/>
    <w:next w:val="Normal"/>
    <w:uiPriority w:val="39"/>
    <w:unhideWhenUsed/>
    <w:rsid w:val="00006B22"/>
    <w:pPr>
      <w:tabs>
        <w:tab w:val="right" w:leader="underscore" w:pos="8505"/>
      </w:tabs>
      <w:spacing w:after="100"/>
      <w:ind w:left="624"/>
    </w:pPr>
    <w:rPr>
      <w:b/>
      <w:sz w:val="25"/>
    </w:rPr>
  </w:style>
  <w:style w:type="paragraph" w:customStyle="1" w:styleId="FigureCaption">
    <w:name w:val="Figure Caption"/>
    <w:basedOn w:val="Normal"/>
    <w:qFormat/>
    <w:rsid w:val="00FA639E"/>
    <w:pPr>
      <w:spacing w:after="0"/>
    </w:pPr>
  </w:style>
  <w:style w:type="character" w:customStyle="1" w:styleId="Heading5Char">
    <w:name w:val="Heading 5 Char"/>
    <w:basedOn w:val="DefaultParagraphFont"/>
    <w:link w:val="Heading5"/>
    <w:rsid w:val="00D56026"/>
    <w:rPr>
      <w:rFonts w:eastAsia="Times New Roman"/>
      <w:b/>
      <w:i/>
      <w:color w:val="001523"/>
      <w:sz w:val="22"/>
      <w:szCs w:val="22"/>
      <w:lang w:eastAsia="en-US"/>
    </w:rPr>
  </w:style>
  <w:style w:type="table" w:customStyle="1" w:styleId="TableTGA1">
    <w:name w:val="Table_TGA_1"/>
    <w:basedOn w:val="TableNormal"/>
    <w:uiPriority w:val="99"/>
    <w:rsid w:val="00F14B27"/>
    <w:rPr>
      <w:rFonts w:ascii="Minion Pro" w:hAnsi="Minion Pro"/>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LegalCopy">
    <w:name w:val="Legal Copy"/>
    <w:basedOn w:val="Footer"/>
    <w:qFormat/>
    <w:rsid w:val="001F6CBA"/>
  </w:style>
  <w:style w:type="paragraph" w:customStyle="1" w:styleId="FlowChartWhiteHeading">
    <w:name w:val="Flow Chart White Heading"/>
    <w:basedOn w:val="Normal"/>
    <w:uiPriority w:val="99"/>
    <w:rsid w:val="00311AC0"/>
    <w:pPr>
      <w:spacing w:after="0"/>
      <w:jc w:val="center"/>
    </w:pPr>
    <w:rPr>
      <w:b/>
      <w:color w:val="FFFFFF"/>
    </w:rPr>
  </w:style>
  <w:style w:type="paragraph" w:customStyle="1" w:styleId="FlowChartWhiteText">
    <w:name w:val="Flow Chart White Text"/>
    <w:basedOn w:val="Normal"/>
    <w:uiPriority w:val="99"/>
    <w:rsid w:val="00311AC0"/>
    <w:pPr>
      <w:spacing w:after="0"/>
      <w:jc w:val="center"/>
    </w:pPr>
    <w:rPr>
      <w:color w:val="FFFFFF"/>
    </w:rPr>
  </w:style>
  <w:style w:type="paragraph" w:customStyle="1" w:styleId="FlowChartBlackHeading">
    <w:name w:val="Flow Chart Black Heading"/>
    <w:basedOn w:val="FlowChartWhiteHeading"/>
    <w:uiPriority w:val="99"/>
    <w:rsid w:val="00664A5B"/>
    <w:rPr>
      <w:color w:val="auto"/>
    </w:rPr>
  </w:style>
  <w:style w:type="paragraph" w:customStyle="1" w:styleId="FlowchartText">
    <w:name w:val="Flowchart Text"/>
    <w:basedOn w:val="Normal"/>
    <w:uiPriority w:val="99"/>
    <w:rsid w:val="001516B1"/>
    <w:pPr>
      <w:spacing w:after="240"/>
      <w:jc w:val="center"/>
    </w:pPr>
  </w:style>
  <w:style w:type="paragraph" w:customStyle="1" w:styleId="NonTOCHeading2">
    <w:name w:val="Non TOC Heading 2"/>
    <w:basedOn w:val="Normal"/>
    <w:qFormat/>
    <w:rsid w:val="00FF2126"/>
    <w:pPr>
      <w:spacing w:after="240"/>
    </w:pPr>
    <w:rPr>
      <w:rFonts w:ascii="Arial" w:hAnsi="Arial"/>
      <w:b/>
      <w:sz w:val="32"/>
    </w:rPr>
  </w:style>
  <w:style w:type="paragraph" w:customStyle="1" w:styleId="Contents">
    <w:name w:val="Contents"/>
    <w:basedOn w:val="Normal"/>
    <w:uiPriority w:val="99"/>
    <w:rsid w:val="00FF2126"/>
    <w:pPr>
      <w:spacing w:after="360"/>
    </w:pPr>
    <w:rPr>
      <w:rFonts w:ascii="Arial" w:hAnsi="Arial"/>
      <w:b/>
      <w:sz w:val="64"/>
    </w:rPr>
  </w:style>
  <w:style w:type="paragraph" w:customStyle="1" w:styleId="LegalSubheading">
    <w:name w:val="Legal Subheading"/>
    <w:basedOn w:val="Footer"/>
    <w:qFormat/>
    <w:rsid w:val="001F6CBA"/>
    <w:rPr>
      <w:b/>
    </w:rPr>
  </w:style>
  <w:style w:type="paragraph" w:styleId="TOC3">
    <w:name w:val="toc 3"/>
    <w:basedOn w:val="Normal"/>
    <w:next w:val="Normal"/>
    <w:uiPriority w:val="39"/>
    <w:unhideWhenUsed/>
    <w:rsid w:val="00006B22"/>
    <w:pPr>
      <w:tabs>
        <w:tab w:val="right" w:leader="underscore" w:pos="8505"/>
      </w:tabs>
      <w:spacing w:after="100"/>
      <w:ind w:left="1021"/>
    </w:pPr>
    <w:rPr>
      <w:sz w:val="21"/>
    </w:rPr>
  </w:style>
  <w:style w:type="paragraph" w:customStyle="1" w:styleId="Address">
    <w:name w:val="Address"/>
    <w:basedOn w:val="Normal"/>
    <w:uiPriority w:val="99"/>
    <w:qFormat/>
    <w:rsid w:val="00A36FA7"/>
    <w:pPr>
      <w:spacing w:after="0" w:line="280" w:lineRule="atLeast"/>
      <w:jc w:val="center"/>
    </w:pPr>
    <w:rPr>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D56026"/>
    <w:pPr>
      <w:spacing w:line="220" w:lineRule="atLeast"/>
    </w:pPr>
    <w:rPr>
      <w:b/>
    </w:rPr>
  </w:style>
  <w:style w:type="paragraph" w:styleId="Title">
    <w:name w:val="Title"/>
    <w:basedOn w:val="Normal"/>
    <w:next w:val="Normal"/>
    <w:link w:val="TitleChar"/>
    <w:uiPriority w:val="10"/>
    <w:rsid w:val="0014197B"/>
    <w:pPr>
      <w:spacing w:after="60"/>
      <w:contextualSpacing/>
    </w:pPr>
    <w:rPr>
      <w:rFonts w:ascii="Arial" w:eastAsia="Times New Roman" w:hAnsi="Arial"/>
      <w:color w:val="002C47"/>
      <w:spacing w:val="5"/>
      <w:kern w:val="28"/>
      <w:sz w:val="52"/>
      <w:szCs w:val="52"/>
    </w:rPr>
  </w:style>
  <w:style w:type="character" w:customStyle="1" w:styleId="TitleChar">
    <w:name w:val="Title Char"/>
    <w:basedOn w:val="DefaultParagraphFont"/>
    <w:link w:val="Title"/>
    <w:uiPriority w:val="10"/>
    <w:rsid w:val="0014197B"/>
    <w:rPr>
      <w:rFonts w:ascii="Arial" w:eastAsia="Times New Roman" w:hAnsi="Arial" w:cs="Times New Roman"/>
      <w:color w:val="002C47"/>
      <w:spacing w:val="5"/>
      <w:kern w:val="28"/>
      <w:sz w:val="52"/>
      <w:szCs w:val="52"/>
    </w:rPr>
  </w:style>
  <w:style w:type="paragraph" w:customStyle="1" w:styleId="TableCaption">
    <w:name w:val="Table Caption"/>
    <w:basedOn w:val="FigureCaption"/>
    <w:uiPriority w:val="99"/>
    <w:qFormat/>
    <w:rsid w:val="00BC622A"/>
  </w:style>
  <w:style w:type="paragraph" w:customStyle="1" w:styleId="TableHeading2">
    <w:name w:val="Table Heading 2"/>
    <w:basedOn w:val="Normal"/>
    <w:uiPriority w:val="99"/>
    <w:qFormat/>
    <w:rsid w:val="00A47AF7"/>
    <w:rPr>
      <w:b/>
    </w:rPr>
  </w:style>
  <w:style w:type="table" w:customStyle="1" w:styleId="TableTGA2">
    <w:name w:val="Table_TGA_2"/>
    <w:basedOn w:val="TableNormal"/>
    <w:uiPriority w:val="99"/>
    <w:qFormat/>
    <w:rsid w:val="009B1D12"/>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paragraph" w:customStyle="1" w:styleId="Notes">
    <w:name w:val="Notes"/>
    <w:basedOn w:val="Normal"/>
    <w:uiPriority w:val="99"/>
    <w:qFormat/>
    <w:rsid w:val="00BF046D"/>
    <w:pPr>
      <w:spacing w:after="0" w:line="240" w:lineRule="auto"/>
    </w:pPr>
    <w:rPr>
      <w:rFonts w:ascii="Arial" w:hAnsi="Arial"/>
      <w:sz w:val="16"/>
    </w:rPr>
  </w:style>
  <w:style w:type="paragraph" w:customStyle="1" w:styleId="AxisLabel">
    <w:name w:val="Axis Label"/>
    <w:basedOn w:val="Normal"/>
    <w:uiPriority w:val="99"/>
    <w:qFormat/>
    <w:rsid w:val="00BF046D"/>
    <w:pPr>
      <w:spacing w:after="0" w:line="240" w:lineRule="auto"/>
    </w:pPr>
    <w:rPr>
      <w:rFonts w:ascii="Arial" w:hAnsi="Arial"/>
      <w:noProof/>
      <w:sz w:val="14"/>
      <w:lang w:eastAsia="en-AU"/>
    </w:rPr>
  </w:style>
  <w:style w:type="paragraph" w:customStyle="1" w:styleId="AxisTitle">
    <w:name w:val="Axis Title"/>
    <w:basedOn w:val="Normal"/>
    <w:uiPriority w:val="99"/>
    <w:qFormat/>
    <w:rsid w:val="00BF046D"/>
    <w:pPr>
      <w:spacing w:after="0" w:line="240" w:lineRule="auto"/>
    </w:pPr>
    <w:rPr>
      <w:rFonts w:ascii="Arial" w:hAnsi="Arial"/>
      <w:sz w:val="16"/>
    </w:rPr>
  </w:style>
  <w:style w:type="paragraph" w:customStyle="1" w:styleId="Key">
    <w:name w:val="Key"/>
    <w:basedOn w:val="Normal"/>
    <w:uiPriority w:val="99"/>
    <w:qFormat/>
    <w:rsid w:val="00BE79F0"/>
    <w:rPr>
      <w:sz w:val="14"/>
    </w:rPr>
  </w:style>
  <w:style w:type="paragraph" w:styleId="Subtitle">
    <w:name w:val="Subtitle"/>
    <w:basedOn w:val="Normal"/>
    <w:next w:val="Normal"/>
    <w:link w:val="SubtitleChar"/>
    <w:uiPriority w:val="11"/>
    <w:rsid w:val="00B76B91"/>
    <w:pPr>
      <w:numPr>
        <w:ilvl w:val="1"/>
      </w:numPr>
      <w:spacing w:after="360"/>
    </w:pPr>
    <w:rPr>
      <w:rFonts w:ascii="Arial" w:eastAsia="Times New Roman" w:hAnsi="Arial"/>
      <w:iCs/>
      <w:color w:val="006DA7"/>
      <w:sz w:val="40"/>
      <w:szCs w:val="24"/>
    </w:rPr>
  </w:style>
  <w:style w:type="character" w:customStyle="1" w:styleId="SubtitleChar">
    <w:name w:val="Subtitle Char"/>
    <w:basedOn w:val="DefaultParagraphFont"/>
    <w:link w:val="Subtitle"/>
    <w:uiPriority w:val="11"/>
    <w:rsid w:val="00B76B91"/>
    <w:rPr>
      <w:rFonts w:ascii="Arial" w:eastAsia="Times New Roman" w:hAnsi="Arial" w:cs="Times New Roman"/>
      <w:iCs/>
      <w:color w:val="006DA7"/>
      <w:sz w:val="40"/>
      <w:szCs w:val="24"/>
    </w:rPr>
  </w:style>
  <w:style w:type="character" w:styleId="Hyperlink">
    <w:name w:val="Hyperlink"/>
    <w:basedOn w:val="DefaultParagraphFont"/>
    <w:uiPriority w:val="99"/>
    <w:unhideWhenUsed/>
    <w:rsid w:val="00F24394"/>
    <w:rPr>
      <w:color w:val="0000FF"/>
      <w:u w:val="single"/>
    </w:rPr>
  </w:style>
  <w:style w:type="paragraph" w:styleId="ListBullet3">
    <w:name w:val="List Bullet 3"/>
    <w:basedOn w:val="Normal"/>
    <w:uiPriority w:val="99"/>
    <w:unhideWhenUsed/>
    <w:qFormat/>
    <w:rsid w:val="00D26A7F"/>
    <w:pPr>
      <w:numPr>
        <w:ilvl w:val="2"/>
        <w:numId w:val="2"/>
      </w:numPr>
      <w:contextualSpacing/>
    </w:pPr>
  </w:style>
  <w:style w:type="numbering" w:customStyle="1" w:styleId="ListBullets">
    <w:name w:val="ListBullets"/>
    <w:uiPriority w:val="99"/>
    <w:rsid w:val="00D26A7F"/>
    <w:pPr>
      <w:numPr>
        <w:numId w:val="1"/>
      </w:numPr>
    </w:pPr>
  </w:style>
  <w:style w:type="paragraph" w:customStyle="1" w:styleId="Numberbullet0">
    <w:name w:val="Number bullet"/>
    <w:basedOn w:val="ListBullet"/>
    <w:uiPriority w:val="99"/>
    <w:qFormat/>
    <w:rsid w:val="00D26A7F"/>
    <w:pPr>
      <w:numPr>
        <w:numId w:val="4"/>
      </w:numPr>
    </w:pPr>
  </w:style>
  <w:style w:type="paragraph" w:customStyle="1" w:styleId="Numberbullet2">
    <w:name w:val="Number bullet 2"/>
    <w:basedOn w:val="ListBullet2"/>
    <w:uiPriority w:val="99"/>
    <w:qFormat/>
    <w:rsid w:val="00D26A7F"/>
    <w:pPr>
      <w:numPr>
        <w:numId w:val="4"/>
      </w:numPr>
    </w:pPr>
  </w:style>
  <w:style w:type="paragraph" w:customStyle="1" w:styleId="Numberbullet3">
    <w:name w:val="Number bullet 3"/>
    <w:basedOn w:val="ListBullet3"/>
    <w:uiPriority w:val="99"/>
    <w:qFormat/>
    <w:rsid w:val="00D26A7F"/>
    <w:pPr>
      <w:numPr>
        <w:numId w:val="4"/>
      </w:numPr>
    </w:pPr>
  </w:style>
  <w:style w:type="numbering" w:customStyle="1" w:styleId="NumberBullet">
    <w:name w:val="NumberBullet"/>
    <w:uiPriority w:val="99"/>
    <w:rsid w:val="00D26A7F"/>
    <w:pPr>
      <w:numPr>
        <w:numId w:val="3"/>
      </w:numPr>
    </w:pPr>
  </w:style>
  <w:style w:type="character" w:customStyle="1" w:styleId="Heading6Char">
    <w:name w:val="Heading 6 Char"/>
    <w:basedOn w:val="DefaultParagraphFont"/>
    <w:link w:val="Heading6"/>
    <w:rsid w:val="00D56026"/>
    <w:rPr>
      <w:rFonts w:eastAsia="Times New Roman"/>
      <w:i/>
      <w:iCs/>
      <w:color w:val="001523"/>
      <w:sz w:val="22"/>
      <w:szCs w:val="22"/>
      <w:lang w:eastAsia="en-US"/>
    </w:rPr>
  </w:style>
  <w:style w:type="paragraph" w:styleId="ListParagraph">
    <w:name w:val="List Paragraph"/>
    <w:basedOn w:val="Normal"/>
    <w:uiPriority w:val="34"/>
    <w:qFormat/>
    <w:rsid w:val="009C50CA"/>
    <w:pPr>
      <w:adjustRightInd w:val="0"/>
      <w:snapToGrid w:val="0"/>
      <w:spacing w:after="0"/>
      <w:ind w:left="720"/>
      <w:contextualSpacing/>
    </w:pPr>
    <w:rPr>
      <w:rFonts w:eastAsia="MS Mincho"/>
      <w:szCs w:val="20"/>
      <w:lang w:eastAsia="ja-JP"/>
    </w:rPr>
  </w:style>
  <w:style w:type="paragraph" w:customStyle="1" w:styleId="Default">
    <w:name w:val="Default"/>
    <w:rsid w:val="009C50CA"/>
    <w:pPr>
      <w:autoSpaceDE w:val="0"/>
      <w:autoSpaceDN w:val="0"/>
      <w:adjustRightInd w:val="0"/>
    </w:pPr>
    <w:rPr>
      <w:rFonts w:ascii="Imago" w:hAnsi="Imago" w:cs="Imago"/>
      <w:color w:val="000000"/>
      <w:sz w:val="24"/>
      <w:szCs w:val="24"/>
    </w:rPr>
  </w:style>
  <w:style w:type="paragraph" w:styleId="FootnoteText">
    <w:name w:val="footnote text"/>
    <w:basedOn w:val="Normal"/>
    <w:link w:val="FootnoteTextChar"/>
    <w:semiHidden/>
    <w:unhideWhenUsed/>
    <w:rsid w:val="004C3829"/>
    <w:rPr>
      <w:sz w:val="20"/>
      <w:szCs w:val="20"/>
    </w:rPr>
  </w:style>
  <w:style w:type="character" w:customStyle="1" w:styleId="FootnoteTextChar">
    <w:name w:val="Footnote Text Char"/>
    <w:basedOn w:val="DefaultParagraphFont"/>
    <w:link w:val="FootnoteText"/>
    <w:semiHidden/>
    <w:rsid w:val="004C3829"/>
    <w:rPr>
      <w:lang w:eastAsia="en-US"/>
    </w:rPr>
  </w:style>
  <w:style w:type="character" w:styleId="FootnoteReference">
    <w:name w:val="footnote reference"/>
    <w:basedOn w:val="DefaultParagraphFont"/>
    <w:semiHidden/>
    <w:unhideWhenUsed/>
    <w:rsid w:val="004C3829"/>
    <w:rPr>
      <w:vertAlign w:val="superscript"/>
    </w:rPr>
  </w:style>
  <w:style w:type="character" w:customStyle="1" w:styleId="Heading7Char">
    <w:name w:val="Heading 7 Char"/>
    <w:basedOn w:val="DefaultParagraphFont"/>
    <w:link w:val="Heading7"/>
    <w:uiPriority w:val="9"/>
    <w:semiHidden/>
    <w:rsid w:val="00496C9B"/>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496C9B"/>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496C9B"/>
    <w:rPr>
      <w:rFonts w:asciiTheme="majorHAnsi" w:eastAsiaTheme="majorEastAsia" w:hAnsiTheme="majorHAnsi" w:cstheme="majorBidi"/>
      <w:sz w:val="22"/>
      <w:szCs w:val="22"/>
      <w:lang w:eastAsia="en-US"/>
    </w:rPr>
  </w:style>
  <w:style w:type="paragraph" w:customStyle="1" w:styleId="Heading">
    <w:name w:val="Heading"/>
    <w:aliases w:val="general"/>
    <w:basedOn w:val="Heading9"/>
    <w:next w:val="Normal"/>
    <w:autoRedefine/>
    <w:uiPriority w:val="99"/>
    <w:rsid w:val="005F06E6"/>
    <w:pPr>
      <w:keepNext/>
      <w:numPr>
        <w:ilvl w:val="0"/>
        <w:numId w:val="0"/>
      </w:numPr>
      <w:spacing w:before="0" w:after="240" w:line="240" w:lineRule="auto"/>
    </w:pPr>
    <w:rPr>
      <w:rFonts w:ascii="Times New Roman" w:eastAsia="Times New Roman" w:hAnsi="Times New Roman" w:cs="Arial"/>
      <w:b/>
      <w:caps/>
      <w:sz w:val="24"/>
      <w:szCs w:val="24"/>
      <w:lang w:eastAsia="en-AU"/>
    </w:rPr>
  </w:style>
  <w:style w:type="paragraph" w:customStyle="1" w:styleId="AssessmentSection">
    <w:name w:val="Assessment Section"/>
    <w:basedOn w:val="Normal"/>
    <w:next w:val="Normal"/>
    <w:uiPriority w:val="99"/>
    <w:rsid w:val="005F06E6"/>
    <w:pPr>
      <w:keepNext/>
      <w:spacing w:after="240" w:line="240" w:lineRule="auto"/>
      <w:outlineLvl w:val="1"/>
    </w:pPr>
    <w:rPr>
      <w:rFonts w:ascii="Times New Roman" w:eastAsia="Times New Roman" w:hAnsi="Times New Roman"/>
      <w:b/>
      <w:sz w:val="24"/>
      <w:szCs w:val="24"/>
    </w:rPr>
  </w:style>
  <w:style w:type="paragraph" w:styleId="BodyText3">
    <w:name w:val="Body Text 3"/>
    <w:basedOn w:val="Normal"/>
    <w:link w:val="BodyText3Char"/>
    <w:unhideWhenUsed/>
    <w:rsid w:val="005F06E6"/>
    <w:pPr>
      <w:spacing w:after="0" w:line="240" w:lineRule="auto"/>
      <w:jc w:val="center"/>
    </w:pPr>
    <w:rPr>
      <w:rFonts w:ascii="Arial" w:eastAsia="Times New Roman" w:hAnsi="Arial"/>
      <w:b/>
      <w:sz w:val="56"/>
      <w:szCs w:val="20"/>
    </w:rPr>
  </w:style>
  <w:style w:type="character" w:customStyle="1" w:styleId="BodyText3Char">
    <w:name w:val="Body Text 3 Char"/>
    <w:basedOn w:val="DefaultParagraphFont"/>
    <w:link w:val="BodyText3"/>
    <w:rsid w:val="005F06E6"/>
    <w:rPr>
      <w:rFonts w:ascii="Arial" w:eastAsia="Times New Roman" w:hAnsi="Arial"/>
      <w:b/>
      <w:sz w:val="56"/>
      <w:lang w:eastAsia="en-US"/>
    </w:rPr>
  </w:style>
  <w:style w:type="paragraph" w:customStyle="1" w:styleId="Table">
    <w:name w:val="Table"/>
    <w:basedOn w:val="Normal"/>
    <w:semiHidden/>
    <w:rsid w:val="005F06E6"/>
    <w:pPr>
      <w:widowControl w:val="0"/>
      <w:snapToGrid w:val="0"/>
      <w:spacing w:after="0" w:line="240" w:lineRule="auto"/>
    </w:pPr>
    <w:rPr>
      <w:rFonts w:ascii="Times New Roman" w:eastAsia="Times New Roman" w:hAnsi="Times New Roman"/>
      <w:sz w:val="24"/>
      <w:szCs w:val="24"/>
    </w:rPr>
  </w:style>
  <w:style w:type="character" w:customStyle="1" w:styleId="TableTitleChar">
    <w:name w:val="Table Title Char"/>
    <w:basedOn w:val="DefaultParagraphFont"/>
    <w:link w:val="TableTitle"/>
    <w:locked/>
    <w:rsid w:val="005F06E6"/>
    <w:rPr>
      <w:b/>
      <w:sz w:val="22"/>
      <w:szCs w:val="22"/>
      <w:lang w:eastAsia="en-US"/>
    </w:rPr>
  </w:style>
  <w:style w:type="character" w:customStyle="1" w:styleId="TabletextChar">
    <w:name w:val="Table text Char"/>
    <w:basedOn w:val="DefaultParagraphFont"/>
    <w:link w:val="Tabletext"/>
    <w:locked/>
    <w:rsid w:val="005F06E6"/>
    <w:rPr>
      <w:kern w:val="16"/>
      <w:sz w:val="19"/>
      <w:szCs w:val="19"/>
      <w:lang w:eastAsia="en-US"/>
    </w:rPr>
  </w:style>
  <w:style w:type="paragraph" w:customStyle="1" w:styleId="Tabletext">
    <w:name w:val="Table text"/>
    <w:basedOn w:val="Normal"/>
    <w:link w:val="TabletextChar"/>
    <w:rsid w:val="005F06E6"/>
    <w:pPr>
      <w:spacing w:after="0" w:line="210" w:lineRule="exact"/>
    </w:pPr>
    <w:rPr>
      <w:kern w:val="16"/>
      <w:sz w:val="19"/>
      <w:szCs w:val="19"/>
    </w:rPr>
  </w:style>
  <w:style w:type="character" w:customStyle="1" w:styleId="st1">
    <w:name w:val="st1"/>
    <w:basedOn w:val="DefaultParagraphFont"/>
    <w:rsid w:val="00083FBD"/>
  </w:style>
  <w:style w:type="paragraph" w:styleId="NormalWeb">
    <w:name w:val="Normal (Web)"/>
    <w:basedOn w:val="Normal"/>
    <w:rsid w:val="00083FBD"/>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a">
    <w:name w:val="_"/>
    <w:basedOn w:val="Normal"/>
    <w:rsid w:val="005A0DB6"/>
    <w:pPr>
      <w:widowControl w:val="0"/>
      <w:snapToGrid w:val="0"/>
      <w:spacing w:after="0" w:line="240" w:lineRule="auto"/>
      <w:ind w:left="720" w:hanging="720"/>
    </w:pPr>
    <w:rPr>
      <w:rFonts w:ascii="Times New Roman" w:eastAsia="Times New Roman" w:hAnsi="Times New Roman"/>
      <w:sz w:val="24"/>
      <w:szCs w:val="20"/>
      <w:lang w:val="en-US"/>
    </w:rPr>
  </w:style>
  <w:style w:type="character" w:styleId="CommentReference">
    <w:name w:val="annotation reference"/>
    <w:basedOn w:val="DefaultParagraphFont"/>
    <w:uiPriority w:val="99"/>
    <w:semiHidden/>
    <w:unhideWhenUsed/>
    <w:rsid w:val="006A1469"/>
    <w:rPr>
      <w:sz w:val="16"/>
      <w:szCs w:val="16"/>
    </w:rPr>
  </w:style>
  <w:style w:type="paragraph" w:styleId="CommentText">
    <w:name w:val="annotation text"/>
    <w:basedOn w:val="Normal"/>
    <w:link w:val="CommentTextChar"/>
    <w:uiPriority w:val="99"/>
    <w:unhideWhenUsed/>
    <w:rsid w:val="006A1469"/>
    <w:rPr>
      <w:sz w:val="20"/>
      <w:szCs w:val="20"/>
    </w:rPr>
  </w:style>
  <w:style w:type="character" w:customStyle="1" w:styleId="CommentTextChar">
    <w:name w:val="Comment Text Char"/>
    <w:basedOn w:val="DefaultParagraphFont"/>
    <w:link w:val="CommentText"/>
    <w:uiPriority w:val="99"/>
    <w:rsid w:val="006A1469"/>
    <w:rPr>
      <w:lang w:eastAsia="en-US"/>
    </w:rPr>
  </w:style>
  <w:style w:type="paragraph" w:styleId="CommentSubject">
    <w:name w:val="annotation subject"/>
    <w:basedOn w:val="CommentText"/>
    <w:next w:val="CommentText"/>
    <w:link w:val="CommentSubjectChar"/>
    <w:uiPriority w:val="99"/>
    <w:semiHidden/>
    <w:unhideWhenUsed/>
    <w:rsid w:val="006A1469"/>
    <w:rPr>
      <w:b/>
      <w:bCs/>
    </w:rPr>
  </w:style>
  <w:style w:type="character" w:customStyle="1" w:styleId="CommentSubjectChar">
    <w:name w:val="Comment Subject Char"/>
    <w:basedOn w:val="CommentTextChar"/>
    <w:link w:val="CommentSubject"/>
    <w:uiPriority w:val="99"/>
    <w:semiHidden/>
    <w:rsid w:val="006A1469"/>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Body Text 3" w:uiPriority="0"/>
    <w:lsdException w:name="Strong" w:semiHidden="0" w:uiPriority="22" w:unhideWhenUsed="0"/>
    <w:lsdException w:name="Emphasis" w:semiHidden="0" w:uiPriority="20" w:unhideWhenUsed="0"/>
    <w:lsdException w:name="Normal (Web)" w:uiPriority="0"/>
    <w:lsdException w:name="Table Grid" w:semiHidden="0" w:uiPriority="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777FF"/>
    <w:pPr>
      <w:spacing w:after="120" w:line="240" w:lineRule="atLeast"/>
    </w:pPr>
    <w:rPr>
      <w:sz w:val="22"/>
      <w:szCs w:val="22"/>
      <w:lang w:eastAsia="en-US"/>
    </w:rPr>
  </w:style>
  <w:style w:type="paragraph" w:styleId="Heading1">
    <w:name w:val="heading 1"/>
    <w:basedOn w:val="Normal"/>
    <w:next w:val="Normal"/>
    <w:link w:val="Heading1Char"/>
    <w:qFormat/>
    <w:rsid w:val="00930237"/>
    <w:pPr>
      <w:keepNext/>
      <w:keepLines/>
      <w:numPr>
        <w:numId w:val="6"/>
      </w:numPr>
      <w:spacing w:after="360"/>
      <w:outlineLvl w:val="0"/>
    </w:pPr>
    <w:rPr>
      <w:rFonts w:ascii="Arial" w:eastAsia="Times New Roman" w:hAnsi="Arial"/>
      <w:b/>
      <w:bCs/>
      <w:sz w:val="64"/>
      <w:szCs w:val="28"/>
    </w:rPr>
  </w:style>
  <w:style w:type="paragraph" w:styleId="Heading2">
    <w:name w:val="heading 2"/>
    <w:basedOn w:val="Normal"/>
    <w:next w:val="Normal"/>
    <w:link w:val="Heading2Char"/>
    <w:qFormat/>
    <w:rsid w:val="00930237"/>
    <w:pPr>
      <w:keepNext/>
      <w:keepLines/>
      <w:numPr>
        <w:ilvl w:val="1"/>
        <w:numId w:val="6"/>
      </w:numPr>
      <w:spacing w:after="240"/>
      <w:outlineLvl w:val="1"/>
    </w:pPr>
    <w:rPr>
      <w:rFonts w:ascii="Arial" w:eastAsia="Times New Roman" w:hAnsi="Arial"/>
      <w:b/>
      <w:bCs/>
      <w:sz w:val="32"/>
      <w:szCs w:val="26"/>
    </w:rPr>
  </w:style>
  <w:style w:type="paragraph" w:styleId="Heading3">
    <w:name w:val="heading 3"/>
    <w:basedOn w:val="Normal"/>
    <w:next w:val="Normal"/>
    <w:link w:val="Heading3Char"/>
    <w:qFormat/>
    <w:rsid w:val="00D56026"/>
    <w:pPr>
      <w:keepNext/>
      <w:keepLines/>
      <w:numPr>
        <w:ilvl w:val="2"/>
        <w:numId w:val="6"/>
      </w:numPr>
      <w:spacing w:line="220" w:lineRule="atLeast"/>
      <w:outlineLvl w:val="2"/>
    </w:pPr>
    <w:rPr>
      <w:rFonts w:ascii="Arial" w:eastAsia="Times New Roman" w:hAnsi="Arial"/>
      <w:b/>
      <w:bCs/>
    </w:rPr>
  </w:style>
  <w:style w:type="paragraph" w:styleId="Heading4">
    <w:name w:val="heading 4"/>
    <w:basedOn w:val="Normal"/>
    <w:next w:val="Normal"/>
    <w:link w:val="Heading4Char"/>
    <w:qFormat/>
    <w:rsid w:val="00D56026"/>
    <w:pPr>
      <w:numPr>
        <w:ilvl w:val="3"/>
        <w:numId w:val="6"/>
      </w:numPr>
      <w:spacing w:line="220" w:lineRule="atLeast"/>
      <w:outlineLvl w:val="3"/>
    </w:pPr>
    <w:rPr>
      <w:b/>
    </w:rPr>
  </w:style>
  <w:style w:type="paragraph" w:styleId="Heading5">
    <w:name w:val="heading 5"/>
    <w:basedOn w:val="Normal"/>
    <w:next w:val="Normal"/>
    <w:link w:val="Heading5Char"/>
    <w:qFormat/>
    <w:rsid w:val="00D56026"/>
    <w:pPr>
      <w:keepNext/>
      <w:keepLines/>
      <w:numPr>
        <w:ilvl w:val="4"/>
        <w:numId w:val="6"/>
      </w:numPr>
      <w:spacing w:line="220" w:lineRule="atLeast"/>
      <w:outlineLvl w:val="4"/>
    </w:pPr>
    <w:rPr>
      <w:rFonts w:eastAsia="Times New Roman"/>
      <w:b/>
      <w:i/>
      <w:color w:val="001523"/>
    </w:rPr>
  </w:style>
  <w:style w:type="paragraph" w:styleId="Heading6">
    <w:name w:val="heading 6"/>
    <w:basedOn w:val="Normal"/>
    <w:next w:val="Normal"/>
    <w:link w:val="Heading6Char"/>
    <w:qFormat/>
    <w:rsid w:val="00D56026"/>
    <w:pPr>
      <w:keepNext/>
      <w:keepLines/>
      <w:numPr>
        <w:ilvl w:val="5"/>
        <w:numId w:val="6"/>
      </w:numPr>
      <w:spacing w:line="220" w:lineRule="atLeast"/>
      <w:outlineLvl w:val="5"/>
    </w:pPr>
    <w:rPr>
      <w:rFonts w:eastAsia="Times New Roman"/>
      <w:i/>
      <w:iCs/>
      <w:color w:val="001523"/>
    </w:rPr>
  </w:style>
  <w:style w:type="paragraph" w:styleId="Heading7">
    <w:name w:val="heading 7"/>
    <w:basedOn w:val="Normal"/>
    <w:next w:val="Normal"/>
    <w:link w:val="Heading7Char"/>
    <w:uiPriority w:val="9"/>
    <w:semiHidden/>
    <w:unhideWhenUsed/>
    <w:qFormat/>
    <w:rsid w:val="00496C9B"/>
    <w:pPr>
      <w:numPr>
        <w:ilvl w:val="6"/>
        <w:numId w:val="6"/>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496C9B"/>
    <w:pPr>
      <w:numPr>
        <w:ilvl w:val="7"/>
        <w:numId w:val="6"/>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496C9B"/>
    <w:pPr>
      <w:numPr>
        <w:ilvl w:val="8"/>
        <w:numId w:val="6"/>
      </w:num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0237"/>
    <w:rPr>
      <w:rFonts w:ascii="Arial" w:eastAsia="Times New Roman" w:hAnsi="Arial"/>
      <w:b/>
      <w:bCs/>
      <w:sz w:val="64"/>
      <w:szCs w:val="28"/>
      <w:lang w:eastAsia="en-US"/>
    </w:rPr>
  </w:style>
  <w:style w:type="character" w:customStyle="1" w:styleId="Heading2Char">
    <w:name w:val="Heading 2 Char"/>
    <w:basedOn w:val="DefaultParagraphFont"/>
    <w:link w:val="Heading2"/>
    <w:rsid w:val="00930237"/>
    <w:rPr>
      <w:rFonts w:ascii="Arial" w:eastAsia="Times New Roman" w:hAnsi="Arial"/>
      <w:b/>
      <w:bCs/>
      <w:sz w:val="32"/>
      <w:szCs w:val="26"/>
      <w:lang w:eastAsia="en-US"/>
    </w:rPr>
  </w:style>
  <w:style w:type="character" w:customStyle="1" w:styleId="Heading3Char">
    <w:name w:val="Heading 3 Char"/>
    <w:basedOn w:val="DefaultParagraphFont"/>
    <w:link w:val="Heading3"/>
    <w:rsid w:val="00D56026"/>
    <w:rPr>
      <w:rFonts w:ascii="Arial" w:eastAsia="Times New Roman" w:hAnsi="Arial"/>
      <w:b/>
      <w:bCs/>
      <w:sz w:val="22"/>
      <w:szCs w:val="22"/>
      <w:lang w:eastAsia="en-US"/>
    </w:rPr>
  </w:style>
  <w:style w:type="paragraph" w:customStyle="1" w:styleId="TableTitle">
    <w:name w:val="Table Title"/>
    <w:basedOn w:val="Normal"/>
    <w:link w:val="TableTitleChar"/>
    <w:qFormat/>
    <w:rsid w:val="00AC2B40"/>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uiPriority w:val="99"/>
    <w:rsid w:val="00B33863"/>
    <w:pPr>
      <w:tabs>
        <w:tab w:val="center" w:pos="4513"/>
        <w:tab w:val="right" w:pos="9026"/>
      </w:tabs>
      <w:spacing w:after="0" w:line="240" w:lineRule="auto"/>
    </w:pPr>
    <w:rPr>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uiPriority w:val="99"/>
    <w:qFormat/>
    <w:rsid w:val="00D26A7F"/>
    <w:pPr>
      <w:numPr>
        <w:numId w:val="2"/>
      </w:numPr>
      <w:spacing w:after="160"/>
    </w:pPr>
  </w:style>
  <w:style w:type="paragraph" w:styleId="ListBullet2">
    <w:name w:val="List Bullet 2"/>
    <w:basedOn w:val="Normal"/>
    <w:uiPriority w:val="99"/>
    <w:qFormat/>
    <w:rsid w:val="00D26A7F"/>
    <w:pPr>
      <w:numPr>
        <w:ilvl w:val="1"/>
        <w:numId w:val="2"/>
      </w:numPr>
      <w:contextualSpacing/>
    </w:pPr>
  </w:style>
  <w:style w:type="paragraph" w:customStyle="1" w:styleId="Reference">
    <w:name w:val="Reference"/>
    <w:basedOn w:val="Normal"/>
    <w:rsid w:val="00F02EFC"/>
    <w:pPr>
      <w:spacing w:before="40" w:after="0" w:line="180" w:lineRule="atLeast"/>
      <w:ind w:left="170" w:hanging="170"/>
    </w:pPr>
    <w:rPr>
      <w:sz w:val="19"/>
    </w:rPr>
  </w:style>
  <w:style w:type="table" w:styleId="TableGrid">
    <w:name w:val="Table Grid"/>
    <w:basedOn w:val="TableNormal"/>
    <w:rsid w:val="00C40A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D56026"/>
    <w:rPr>
      <w:b/>
      <w:sz w:val="22"/>
      <w:szCs w:val="22"/>
      <w:lang w:eastAsia="en-US"/>
    </w:rPr>
  </w:style>
  <w:style w:type="paragraph" w:customStyle="1" w:styleId="HeaderNoLine">
    <w:name w:val="Header No Line"/>
    <w:basedOn w:val="Header"/>
    <w:uiPriority w:val="99"/>
    <w:rsid w:val="00593AD1"/>
    <w:pPr>
      <w:pBdr>
        <w:bottom w:val="none" w:sz="0" w:space="0" w:color="auto"/>
      </w:pBdr>
      <w:jc w:val="left"/>
    </w:pPr>
  </w:style>
  <w:style w:type="paragraph" w:styleId="BalloonText">
    <w:name w:val="Balloon Text"/>
    <w:basedOn w:val="Normal"/>
    <w:link w:val="BalloonTextChar"/>
    <w:uiPriority w:val="99"/>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uiPriority w:val="99"/>
    <w:qFormat/>
    <w:rsid w:val="00A47AF7"/>
    <w:rPr>
      <w:b/>
      <w:color w:val="FFFFFF"/>
    </w:rPr>
  </w:style>
  <w:style w:type="paragraph" w:customStyle="1" w:styleId="TGASignoff">
    <w:name w:val="TGA Signoff"/>
    <w:basedOn w:val="Normal"/>
    <w:uiPriority w:val="99"/>
    <w:qFormat/>
    <w:rsid w:val="000D4FC7"/>
    <w:pPr>
      <w:jc w:val="center"/>
    </w:pPr>
    <w:rPr>
      <w:rFonts w:ascii="Arial" w:hAnsi="Arial"/>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832369"/>
    <w:pPr>
      <w:spacing w:before="480" w:after="0" w:line="276" w:lineRule="auto"/>
      <w:outlineLvl w:val="9"/>
    </w:pPr>
    <w:rPr>
      <w:color w:val="002035"/>
      <w:sz w:val="28"/>
      <w:lang w:val="en-US"/>
    </w:rPr>
  </w:style>
  <w:style w:type="paragraph" w:styleId="TOC1">
    <w:name w:val="toc 1"/>
    <w:basedOn w:val="Normal"/>
    <w:next w:val="Normal"/>
    <w:uiPriority w:val="39"/>
    <w:unhideWhenUsed/>
    <w:rsid w:val="00006B22"/>
    <w:pPr>
      <w:tabs>
        <w:tab w:val="right" w:pos="8505"/>
      </w:tabs>
      <w:spacing w:after="200"/>
    </w:pPr>
    <w:rPr>
      <w:rFonts w:ascii="Arial" w:hAnsi="Arial"/>
      <w:b/>
      <w:sz w:val="32"/>
    </w:rPr>
  </w:style>
  <w:style w:type="paragraph" w:styleId="TOC2">
    <w:name w:val="toc 2"/>
    <w:basedOn w:val="Normal"/>
    <w:next w:val="Normal"/>
    <w:uiPriority w:val="39"/>
    <w:unhideWhenUsed/>
    <w:rsid w:val="00006B22"/>
    <w:pPr>
      <w:tabs>
        <w:tab w:val="right" w:leader="underscore" w:pos="8505"/>
      </w:tabs>
      <w:spacing w:after="100"/>
      <w:ind w:left="624"/>
    </w:pPr>
    <w:rPr>
      <w:b/>
      <w:sz w:val="25"/>
    </w:rPr>
  </w:style>
  <w:style w:type="paragraph" w:customStyle="1" w:styleId="FigureCaption">
    <w:name w:val="Figure Caption"/>
    <w:basedOn w:val="Normal"/>
    <w:qFormat/>
    <w:rsid w:val="00FA639E"/>
    <w:pPr>
      <w:spacing w:after="0"/>
    </w:pPr>
  </w:style>
  <w:style w:type="character" w:customStyle="1" w:styleId="Heading5Char">
    <w:name w:val="Heading 5 Char"/>
    <w:basedOn w:val="DefaultParagraphFont"/>
    <w:link w:val="Heading5"/>
    <w:rsid w:val="00D56026"/>
    <w:rPr>
      <w:rFonts w:eastAsia="Times New Roman"/>
      <w:b/>
      <w:i/>
      <w:color w:val="001523"/>
      <w:sz w:val="22"/>
      <w:szCs w:val="22"/>
      <w:lang w:eastAsia="en-US"/>
    </w:rPr>
  </w:style>
  <w:style w:type="table" w:customStyle="1" w:styleId="TableTGA1">
    <w:name w:val="Table_TGA_1"/>
    <w:basedOn w:val="TableNormal"/>
    <w:uiPriority w:val="99"/>
    <w:rsid w:val="00F14B27"/>
    <w:rPr>
      <w:rFonts w:ascii="Minion Pro" w:hAnsi="Minion Pro"/>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LegalCopy">
    <w:name w:val="Legal Copy"/>
    <w:basedOn w:val="Footer"/>
    <w:uiPriority w:val="99"/>
    <w:qFormat/>
    <w:rsid w:val="001F6CBA"/>
  </w:style>
  <w:style w:type="paragraph" w:customStyle="1" w:styleId="FlowChartWhiteHeading">
    <w:name w:val="Flow Chart White Heading"/>
    <w:basedOn w:val="Normal"/>
    <w:uiPriority w:val="99"/>
    <w:rsid w:val="00311AC0"/>
    <w:pPr>
      <w:spacing w:after="0"/>
      <w:jc w:val="center"/>
    </w:pPr>
    <w:rPr>
      <w:b/>
      <w:color w:val="FFFFFF"/>
    </w:rPr>
  </w:style>
  <w:style w:type="paragraph" w:customStyle="1" w:styleId="FlowChartWhiteText">
    <w:name w:val="Flow Chart White Text"/>
    <w:basedOn w:val="Normal"/>
    <w:uiPriority w:val="99"/>
    <w:rsid w:val="00311AC0"/>
    <w:pPr>
      <w:spacing w:after="0"/>
      <w:jc w:val="center"/>
    </w:pPr>
    <w:rPr>
      <w:color w:val="FFFFFF"/>
    </w:rPr>
  </w:style>
  <w:style w:type="paragraph" w:customStyle="1" w:styleId="FlowChartBlackHeading">
    <w:name w:val="Flow Chart Black Heading"/>
    <w:basedOn w:val="FlowChartWhiteHeading"/>
    <w:uiPriority w:val="99"/>
    <w:rsid w:val="00664A5B"/>
    <w:rPr>
      <w:color w:val="auto"/>
    </w:rPr>
  </w:style>
  <w:style w:type="paragraph" w:customStyle="1" w:styleId="FlowchartText">
    <w:name w:val="Flowchart Text"/>
    <w:basedOn w:val="Normal"/>
    <w:uiPriority w:val="99"/>
    <w:rsid w:val="001516B1"/>
    <w:pPr>
      <w:spacing w:after="240"/>
      <w:jc w:val="center"/>
    </w:pPr>
  </w:style>
  <w:style w:type="paragraph" w:customStyle="1" w:styleId="NonTOCHeading2">
    <w:name w:val="Non TOC Heading 2"/>
    <w:basedOn w:val="Normal"/>
    <w:uiPriority w:val="99"/>
    <w:qFormat/>
    <w:rsid w:val="00FF2126"/>
    <w:pPr>
      <w:spacing w:after="240"/>
    </w:pPr>
    <w:rPr>
      <w:rFonts w:ascii="Arial" w:hAnsi="Arial"/>
      <w:b/>
      <w:sz w:val="32"/>
    </w:rPr>
  </w:style>
  <w:style w:type="paragraph" w:customStyle="1" w:styleId="Contents">
    <w:name w:val="Contents"/>
    <w:basedOn w:val="Normal"/>
    <w:uiPriority w:val="99"/>
    <w:rsid w:val="00FF2126"/>
    <w:pPr>
      <w:spacing w:after="360"/>
    </w:pPr>
    <w:rPr>
      <w:rFonts w:ascii="Arial" w:hAnsi="Arial"/>
      <w:b/>
      <w:sz w:val="64"/>
    </w:rPr>
  </w:style>
  <w:style w:type="paragraph" w:customStyle="1" w:styleId="LegalSubheading">
    <w:name w:val="Legal Subheading"/>
    <w:basedOn w:val="Footer"/>
    <w:uiPriority w:val="99"/>
    <w:qFormat/>
    <w:rsid w:val="001F6CBA"/>
    <w:rPr>
      <w:b/>
    </w:rPr>
  </w:style>
  <w:style w:type="paragraph" w:styleId="TOC3">
    <w:name w:val="toc 3"/>
    <w:basedOn w:val="Normal"/>
    <w:next w:val="Normal"/>
    <w:uiPriority w:val="39"/>
    <w:unhideWhenUsed/>
    <w:rsid w:val="00006B22"/>
    <w:pPr>
      <w:tabs>
        <w:tab w:val="right" w:leader="underscore" w:pos="8505"/>
      </w:tabs>
      <w:spacing w:after="100"/>
      <w:ind w:left="1021"/>
    </w:pPr>
    <w:rPr>
      <w:sz w:val="21"/>
    </w:rPr>
  </w:style>
  <w:style w:type="paragraph" w:customStyle="1" w:styleId="Address">
    <w:name w:val="Address"/>
    <w:basedOn w:val="Normal"/>
    <w:uiPriority w:val="99"/>
    <w:qFormat/>
    <w:rsid w:val="00A36FA7"/>
    <w:pPr>
      <w:spacing w:after="0" w:line="280" w:lineRule="atLeast"/>
      <w:jc w:val="center"/>
    </w:pPr>
    <w:rPr>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D56026"/>
    <w:pPr>
      <w:spacing w:line="220" w:lineRule="atLeast"/>
    </w:pPr>
    <w:rPr>
      <w:b/>
    </w:rPr>
  </w:style>
  <w:style w:type="paragraph" w:styleId="Title">
    <w:name w:val="Title"/>
    <w:basedOn w:val="Normal"/>
    <w:next w:val="Normal"/>
    <w:link w:val="TitleChar"/>
    <w:uiPriority w:val="10"/>
    <w:rsid w:val="0014197B"/>
    <w:pPr>
      <w:spacing w:after="60"/>
      <w:contextualSpacing/>
    </w:pPr>
    <w:rPr>
      <w:rFonts w:ascii="Arial" w:eastAsia="Times New Roman" w:hAnsi="Arial"/>
      <w:color w:val="002C47"/>
      <w:spacing w:val="5"/>
      <w:kern w:val="28"/>
      <w:sz w:val="52"/>
      <w:szCs w:val="52"/>
    </w:rPr>
  </w:style>
  <w:style w:type="character" w:customStyle="1" w:styleId="TitleChar">
    <w:name w:val="Title Char"/>
    <w:basedOn w:val="DefaultParagraphFont"/>
    <w:link w:val="Title"/>
    <w:uiPriority w:val="10"/>
    <w:rsid w:val="0014197B"/>
    <w:rPr>
      <w:rFonts w:ascii="Arial" w:eastAsia="Times New Roman" w:hAnsi="Arial" w:cs="Times New Roman"/>
      <w:color w:val="002C47"/>
      <w:spacing w:val="5"/>
      <w:kern w:val="28"/>
      <w:sz w:val="52"/>
      <w:szCs w:val="52"/>
    </w:rPr>
  </w:style>
  <w:style w:type="paragraph" w:customStyle="1" w:styleId="TableCaption">
    <w:name w:val="Table Caption"/>
    <w:basedOn w:val="FigureCaption"/>
    <w:uiPriority w:val="99"/>
    <w:qFormat/>
    <w:rsid w:val="00BC622A"/>
  </w:style>
  <w:style w:type="paragraph" w:customStyle="1" w:styleId="TableHeading2">
    <w:name w:val="Table Heading 2"/>
    <w:basedOn w:val="Normal"/>
    <w:uiPriority w:val="99"/>
    <w:qFormat/>
    <w:rsid w:val="00A47AF7"/>
    <w:rPr>
      <w:b/>
    </w:rPr>
  </w:style>
  <w:style w:type="table" w:customStyle="1" w:styleId="TableTGA2">
    <w:name w:val="Table_TGA_2"/>
    <w:basedOn w:val="TableNormal"/>
    <w:uiPriority w:val="99"/>
    <w:qFormat/>
    <w:rsid w:val="009B1D12"/>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paragraph" w:customStyle="1" w:styleId="Notes">
    <w:name w:val="Notes"/>
    <w:basedOn w:val="Normal"/>
    <w:uiPriority w:val="99"/>
    <w:qFormat/>
    <w:rsid w:val="00BF046D"/>
    <w:pPr>
      <w:spacing w:after="0" w:line="240" w:lineRule="auto"/>
    </w:pPr>
    <w:rPr>
      <w:rFonts w:ascii="Arial" w:hAnsi="Arial"/>
      <w:sz w:val="16"/>
    </w:rPr>
  </w:style>
  <w:style w:type="paragraph" w:customStyle="1" w:styleId="AxisLabel">
    <w:name w:val="Axis Label"/>
    <w:basedOn w:val="Normal"/>
    <w:uiPriority w:val="99"/>
    <w:qFormat/>
    <w:rsid w:val="00BF046D"/>
    <w:pPr>
      <w:spacing w:after="0" w:line="240" w:lineRule="auto"/>
    </w:pPr>
    <w:rPr>
      <w:rFonts w:ascii="Arial" w:hAnsi="Arial"/>
      <w:noProof/>
      <w:sz w:val="14"/>
      <w:lang w:eastAsia="en-AU"/>
    </w:rPr>
  </w:style>
  <w:style w:type="paragraph" w:customStyle="1" w:styleId="AxisTitle">
    <w:name w:val="Axis Title"/>
    <w:basedOn w:val="Normal"/>
    <w:uiPriority w:val="99"/>
    <w:qFormat/>
    <w:rsid w:val="00BF046D"/>
    <w:pPr>
      <w:spacing w:after="0" w:line="240" w:lineRule="auto"/>
    </w:pPr>
    <w:rPr>
      <w:rFonts w:ascii="Arial" w:hAnsi="Arial"/>
      <w:sz w:val="16"/>
    </w:rPr>
  </w:style>
  <w:style w:type="paragraph" w:customStyle="1" w:styleId="Key">
    <w:name w:val="Key"/>
    <w:basedOn w:val="Normal"/>
    <w:uiPriority w:val="99"/>
    <w:qFormat/>
    <w:rsid w:val="00BE79F0"/>
    <w:rPr>
      <w:sz w:val="14"/>
    </w:rPr>
  </w:style>
  <w:style w:type="paragraph" w:styleId="Subtitle">
    <w:name w:val="Subtitle"/>
    <w:basedOn w:val="Normal"/>
    <w:next w:val="Normal"/>
    <w:link w:val="SubtitleChar"/>
    <w:uiPriority w:val="11"/>
    <w:rsid w:val="00B76B91"/>
    <w:pPr>
      <w:numPr>
        <w:ilvl w:val="1"/>
      </w:numPr>
      <w:spacing w:after="360"/>
    </w:pPr>
    <w:rPr>
      <w:rFonts w:ascii="Arial" w:eastAsia="Times New Roman" w:hAnsi="Arial"/>
      <w:iCs/>
      <w:color w:val="006DA7"/>
      <w:sz w:val="40"/>
      <w:szCs w:val="24"/>
    </w:rPr>
  </w:style>
  <w:style w:type="character" w:customStyle="1" w:styleId="SubtitleChar">
    <w:name w:val="Subtitle Char"/>
    <w:basedOn w:val="DefaultParagraphFont"/>
    <w:link w:val="Subtitle"/>
    <w:uiPriority w:val="11"/>
    <w:rsid w:val="00B76B91"/>
    <w:rPr>
      <w:rFonts w:ascii="Arial" w:eastAsia="Times New Roman" w:hAnsi="Arial" w:cs="Times New Roman"/>
      <w:iCs/>
      <w:color w:val="006DA7"/>
      <w:sz w:val="40"/>
      <w:szCs w:val="24"/>
    </w:rPr>
  </w:style>
  <w:style w:type="character" w:styleId="Hyperlink">
    <w:name w:val="Hyperlink"/>
    <w:basedOn w:val="DefaultParagraphFont"/>
    <w:uiPriority w:val="99"/>
    <w:unhideWhenUsed/>
    <w:rsid w:val="007A19BE"/>
    <w:rPr>
      <w:color w:val="50555C"/>
      <w:u w:val="single"/>
    </w:rPr>
  </w:style>
  <w:style w:type="paragraph" w:styleId="ListBullet3">
    <w:name w:val="List Bullet 3"/>
    <w:basedOn w:val="Normal"/>
    <w:uiPriority w:val="99"/>
    <w:unhideWhenUsed/>
    <w:qFormat/>
    <w:rsid w:val="00D26A7F"/>
    <w:pPr>
      <w:numPr>
        <w:ilvl w:val="2"/>
        <w:numId w:val="2"/>
      </w:numPr>
      <w:contextualSpacing/>
    </w:pPr>
  </w:style>
  <w:style w:type="numbering" w:customStyle="1" w:styleId="ListBullets">
    <w:name w:val="ListBullets"/>
    <w:uiPriority w:val="99"/>
    <w:rsid w:val="00D26A7F"/>
    <w:pPr>
      <w:numPr>
        <w:numId w:val="1"/>
      </w:numPr>
    </w:pPr>
  </w:style>
  <w:style w:type="paragraph" w:customStyle="1" w:styleId="Numberbullet0">
    <w:name w:val="Number bullet"/>
    <w:basedOn w:val="ListBullet"/>
    <w:uiPriority w:val="99"/>
    <w:qFormat/>
    <w:rsid w:val="00D26A7F"/>
    <w:pPr>
      <w:numPr>
        <w:numId w:val="4"/>
      </w:numPr>
    </w:pPr>
  </w:style>
  <w:style w:type="paragraph" w:customStyle="1" w:styleId="Numberbullet2">
    <w:name w:val="Number bullet 2"/>
    <w:basedOn w:val="ListBullet2"/>
    <w:uiPriority w:val="99"/>
    <w:qFormat/>
    <w:rsid w:val="00D26A7F"/>
    <w:pPr>
      <w:numPr>
        <w:numId w:val="4"/>
      </w:numPr>
    </w:pPr>
  </w:style>
  <w:style w:type="paragraph" w:customStyle="1" w:styleId="Numberbullet3">
    <w:name w:val="Number bullet 3"/>
    <w:basedOn w:val="ListBullet3"/>
    <w:uiPriority w:val="99"/>
    <w:qFormat/>
    <w:rsid w:val="00D26A7F"/>
    <w:pPr>
      <w:numPr>
        <w:numId w:val="4"/>
      </w:numPr>
    </w:pPr>
  </w:style>
  <w:style w:type="numbering" w:customStyle="1" w:styleId="NumberBullet">
    <w:name w:val="NumberBullet"/>
    <w:uiPriority w:val="99"/>
    <w:rsid w:val="00D26A7F"/>
    <w:pPr>
      <w:numPr>
        <w:numId w:val="3"/>
      </w:numPr>
    </w:pPr>
  </w:style>
  <w:style w:type="character" w:customStyle="1" w:styleId="Heading6Char">
    <w:name w:val="Heading 6 Char"/>
    <w:basedOn w:val="DefaultParagraphFont"/>
    <w:link w:val="Heading6"/>
    <w:rsid w:val="00D56026"/>
    <w:rPr>
      <w:rFonts w:eastAsia="Times New Roman"/>
      <w:i/>
      <w:iCs/>
      <w:color w:val="001523"/>
      <w:sz w:val="22"/>
      <w:szCs w:val="22"/>
      <w:lang w:eastAsia="en-US"/>
    </w:rPr>
  </w:style>
  <w:style w:type="paragraph" w:styleId="ListParagraph">
    <w:name w:val="List Paragraph"/>
    <w:basedOn w:val="Normal"/>
    <w:uiPriority w:val="34"/>
    <w:qFormat/>
    <w:rsid w:val="009C50CA"/>
    <w:pPr>
      <w:adjustRightInd w:val="0"/>
      <w:snapToGrid w:val="0"/>
      <w:spacing w:after="0"/>
      <w:ind w:left="720"/>
      <w:contextualSpacing/>
    </w:pPr>
    <w:rPr>
      <w:rFonts w:eastAsia="MS Mincho"/>
      <w:szCs w:val="20"/>
      <w:lang w:eastAsia="ja-JP"/>
    </w:rPr>
  </w:style>
  <w:style w:type="paragraph" w:customStyle="1" w:styleId="Default">
    <w:name w:val="Default"/>
    <w:rsid w:val="009C50CA"/>
    <w:pPr>
      <w:autoSpaceDE w:val="0"/>
      <w:autoSpaceDN w:val="0"/>
      <w:adjustRightInd w:val="0"/>
    </w:pPr>
    <w:rPr>
      <w:rFonts w:ascii="Imago" w:hAnsi="Imago" w:cs="Imago"/>
      <w:color w:val="000000"/>
      <w:sz w:val="24"/>
      <w:szCs w:val="24"/>
    </w:rPr>
  </w:style>
  <w:style w:type="paragraph" w:styleId="FootnoteText">
    <w:name w:val="footnote text"/>
    <w:basedOn w:val="Normal"/>
    <w:link w:val="FootnoteTextChar"/>
    <w:semiHidden/>
    <w:unhideWhenUsed/>
    <w:rsid w:val="004C3829"/>
    <w:rPr>
      <w:sz w:val="20"/>
      <w:szCs w:val="20"/>
    </w:rPr>
  </w:style>
  <w:style w:type="character" w:customStyle="1" w:styleId="FootnoteTextChar">
    <w:name w:val="Footnote Text Char"/>
    <w:basedOn w:val="DefaultParagraphFont"/>
    <w:link w:val="FootnoteText"/>
    <w:semiHidden/>
    <w:rsid w:val="004C3829"/>
    <w:rPr>
      <w:lang w:eastAsia="en-US"/>
    </w:rPr>
  </w:style>
  <w:style w:type="character" w:styleId="FootnoteReference">
    <w:name w:val="footnote reference"/>
    <w:basedOn w:val="DefaultParagraphFont"/>
    <w:semiHidden/>
    <w:unhideWhenUsed/>
    <w:rsid w:val="004C3829"/>
    <w:rPr>
      <w:vertAlign w:val="superscript"/>
    </w:rPr>
  </w:style>
  <w:style w:type="character" w:customStyle="1" w:styleId="Heading7Char">
    <w:name w:val="Heading 7 Char"/>
    <w:basedOn w:val="DefaultParagraphFont"/>
    <w:link w:val="Heading7"/>
    <w:uiPriority w:val="9"/>
    <w:semiHidden/>
    <w:rsid w:val="00496C9B"/>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496C9B"/>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496C9B"/>
    <w:rPr>
      <w:rFonts w:asciiTheme="majorHAnsi" w:eastAsiaTheme="majorEastAsia" w:hAnsiTheme="majorHAnsi" w:cstheme="majorBidi"/>
      <w:sz w:val="22"/>
      <w:szCs w:val="22"/>
      <w:lang w:eastAsia="en-US"/>
    </w:rPr>
  </w:style>
  <w:style w:type="paragraph" w:customStyle="1" w:styleId="Heading">
    <w:name w:val="Heading"/>
    <w:aliases w:val="general"/>
    <w:basedOn w:val="Heading9"/>
    <w:next w:val="Normal"/>
    <w:autoRedefine/>
    <w:uiPriority w:val="99"/>
    <w:rsid w:val="005F06E6"/>
    <w:pPr>
      <w:keepNext/>
      <w:numPr>
        <w:ilvl w:val="0"/>
        <w:numId w:val="0"/>
      </w:numPr>
      <w:spacing w:before="0" w:after="240" w:line="240" w:lineRule="auto"/>
    </w:pPr>
    <w:rPr>
      <w:rFonts w:ascii="Times New Roman" w:eastAsia="Times New Roman" w:hAnsi="Times New Roman" w:cs="Arial"/>
      <w:b/>
      <w:caps/>
      <w:sz w:val="24"/>
      <w:szCs w:val="24"/>
      <w:lang w:eastAsia="en-AU"/>
    </w:rPr>
  </w:style>
  <w:style w:type="paragraph" w:customStyle="1" w:styleId="AssessmentSection">
    <w:name w:val="Assessment Section"/>
    <w:basedOn w:val="Normal"/>
    <w:next w:val="Normal"/>
    <w:uiPriority w:val="99"/>
    <w:rsid w:val="005F06E6"/>
    <w:pPr>
      <w:keepNext/>
      <w:spacing w:after="240" w:line="240" w:lineRule="auto"/>
      <w:outlineLvl w:val="1"/>
    </w:pPr>
    <w:rPr>
      <w:rFonts w:ascii="Times New Roman" w:eastAsia="Times New Roman" w:hAnsi="Times New Roman"/>
      <w:b/>
      <w:sz w:val="24"/>
      <w:szCs w:val="24"/>
    </w:rPr>
  </w:style>
  <w:style w:type="paragraph" w:styleId="BodyText3">
    <w:name w:val="Body Text 3"/>
    <w:basedOn w:val="Normal"/>
    <w:link w:val="BodyText3Char"/>
    <w:unhideWhenUsed/>
    <w:rsid w:val="005F06E6"/>
    <w:pPr>
      <w:spacing w:after="0" w:line="240" w:lineRule="auto"/>
      <w:jc w:val="center"/>
    </w:pPr>
    <w:rPr>
      <w:rFonts w:ascii="Arial" w:eastAsia="Times New Roman" w:hAnsi="Arial"/>
      <w:b/>
      <w:sz w:val="56"/>
      <w:szCs w:val="20"/>
    </w:rPr>
  </w:style>
  <w:style w:type="character" w:customStyle="1" w:styleId="BodyText3Char">
    <w:name w:val="Body Text 3 Char"/>
    <w:basedOn w:val="DefaultParagraphFont"/>
    <w:link w:val="BodyText3"/>
    <w:rsid w:val="005F06E6"/>
    <w:rPr>
      <w:rFonts w:ascii="Arial" w:eastAsia="Times New Roman" w:hAnsi="Arial"/>
      <w:b/>
      <w:sz w:val="56"/>
      <w:lang w:eastAsia="en-US"/>
    </w:rPr>
  </w:style>
  <w:style w:type="paragraph" w:customStyle="1" w:styleId="Table">
    <w:name w:val="Table"/>
    <w:basedOn w:val="Normal"/>
    <w:semiHidden/>
    <w:rsid w:val="005F06E6"/>
    <w:pPr>
      <w:widowControl w:val="0"/>
      <w:snapToGrid w:val="0"/>
      <w:spacing w:after="0" w:line="240" w:lineRule="auto"/>
    </w:pPr>
    <w:rPr>
      <w:rFonts w:ascii="Times New Roman" w:eastAsia="Times New Roman" w:hAnsi="Times New Roman"/>
      <w:sz w:val="24"/>
      <w:szCs w:val="24"/>
    </w:rPr>
  </w:style>
  <w:style w:type="character" w:customStyle="1" w:styleId="TableTitleChar">
    <w:name w:val="Table Title Char"/>
    <w:basedOn w:val="DefaultParagraphFont"/>
    <w:link w:val="TableTitle"/>
    <w:locked/>
    <w:rsid w:val="005F06E6"/>
    <w:rPr>
      <w:b/>
      <w:sz w:val="22"/>
      <w:szCs w:val="22"/>
      <w:lang w:eastAsia="en-US"/>
    </w:rPr>
  </w:style>
  <w:style w:type="character" w:customStyle="1" w:styleId="TabletextChar">
    <w:name w:val="Table text Char"/>
    <w:basedOn w:val="DefaultParagraphFont"/>
    <w:link w:val="Tabletext"/>
    <w:locked/>
    <w:rsid w:val="005F06E6"/>
    <w:rPr>
      <w:kern w:val="16"/>
      <w:sz w:val="19"/>
      <w:szCs w:val="19"/>
      <w:lang w:eastAsia="en-US"/>
    </w:rPr>
  </w:style>
  <w:style w:type="paragraph" w:customStyle="1" w:styleId="Tabletext">
    <w:name w:val="Table text"/>
    <w:basedOn w:val="Normal"/>
    <w:link w:val="TabletextChar"/>
    <w:rsid w:val="005F06E6"/>
    <w:pPr>
      <w:spacing w:after="0" w:line="210" w:lineRule="exact"/>
    </w:pPr>
    <w:rPr>
      <w:kern w:val="16"/>
      <w:sz w:val="19"/>
      <w:szCs w:val="19"/>
    </w:rPr>
  </w:style>
  <w:style w:type="character" w:customStyle="1" w:styleId="st1">
    <w:name w:val="st1"/>
    <w:basedOn w:val="DefaultParagraphFont"/>
    <w:rsid w:val="00083FBD"/>
  </w:style>
  <w:style w:type="paragraph" w:styleId="NormalWeb">
    <w:name w:val="Normal (Web)"/>
    <w:basedOn w:val="Normal"/>
    <w:rsid w:val="00083FBD"/>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a">
    <w:name w:val="_"/>
    <w:basedOn w:val="Normal"/>
    <w:rsid w:val="005A0DB6"/>
    <w:pPr>
      <w:widowControl w:val="0"/>
      <w:snapToGrid w:val="0"/>
      <w:spacing w:after="0" w:line="240" w:lineRule="auto"/>
      <w:ind w:left="720" w:hanging="720"/>
    </w:pPr>
    <w:rPr>
      <w:rFonts w:ascii="Times New Roman" w:eastAsia="Times New Roman" w:hAnsi="Times New Roman"/>
      <w:sz w:val="24"/>
      <w:szCs w:val="20"/>
      <w:lang w:val="en-US"/>
    </w:rPr>
  </w:style>
  <w:style w:type="character" w:styleId="CommentReference">
    <w:name w:val="annotation reference"/>
    <w:basedOn w:val="DefaultParagraphFont"/>
    <w:uiPriority w:val="99"/>
    <w:semiHidden/>
    <w:unhideWhenUsed/>
    <w:rsid w:val="006A1469"/>
    <w:rPr>
      <w:sz w:val="16"/>
      <w:szCs w:val="16"/>
    </w:rPr>
  </w:style>
  <w:style w:type="paragraph" w:styleId="CommentText">
    <w:name w:val="annotation text"/>
    <w:basedOn w:val="Normal"/>
    <w:link w:val="CommentTextChar"/>
    <w:uiPriority w:val="99"/>
    <w:unhideWhenUsed/>
    <w:rsid w:val="006A1469"/>
    <w:rPr>
      <w:sz w:val="20"/>
      <w:szCs w:val="20"/>
    </w:rPr>
  </w:style>
  <w:style w:type="character" w:customStyle="1" w:styleId="CommentTextChar">
    <w:name w:val="Comment Text Char"/>
    <w:basedOn w:val="DefaultParagraphFont"/>
    <w:link w:val="CommentText"/>
    <w:uiPriority w:val="99"/>
    <w:rsid w:val="006A1469"/>
    <w:rPr>
      <w:lang w:eastAsia="en-US"/>
    </w:rPr>
  </w:style>
  <w:style w:type="paragraph" w:styleId="CommentSubject">
    <w:name w:val="annotation subject"/>
    <w:basedOn w:val="CommentText"/>
    <w:next w:val="CommentText"/>
    <w:link w:val="CommentSubjectChar"/>
    <w:uiPriority w:val="99"/>
    <w:semiHidden/>
    <w:unhideWhenUsed/>
    <w:rsid w:val="006A1469"/>
    <w:rPr>
      <w:b/>
      <w:bCs/>
    </w:rPr>
  </w:style>
  <w:style w:type="character" w:customStyle="1" w:styleId="CommentSubjectChar">
    <w:name w:val="Comment Subject Char"/>
    <w:basedOn w:val="CommentTextChar"/>
    <w:link w:val="CommentSubject"/>
    <w:uiPriority w:val="99"/>
    <w:semiHidden/>
    <w:rsid w:val="006A1469"/>
    <w:rPr>
      <w:b/>
      <w:bCs/>
      <w:lang w:eastAsia="en-US"/>
    </w:rPr>
  </w:style>
</w:styles>
</file>

<file path=word/webSettings.xml><?xml version="1.0" encoding="utf-8"?>
<w:webSettings xmlns:r="http://schemas.openxmlformats.org/officeDocument/2006/relationships" xmlns:w="http://schemas.openxmlformats.org/wordprocessingml/2006/main">
  <w:divs>
    <w:div w:id="149179683">
      <w:bodyDiv w:val="1"/>
      <w:marLeft w:val="0"/>
      <w:marRight w:val="0"/>
      <w:marTop w:val="0"/>
      <w:marBottom w:val="0"/>
      <w:divBdr>
        <w:top w:val="none" w:sz="0" w:space="0" w:color="auto"/>
        <w:left w:val="none" w:sz="0" w:space="0" w:color="auto"/>
        <w:bottom w:val="none" w:sz="0" w:space="0" w:color="auto"/>
        <w:right w:val="none" w:sz="0" w:space="0" w:color="auto"/>
      </w:divBdr>
    </w:div>
    <w:div w:id="176193060">
      <w:bodyDiv w:val="1"/>
      <w:marLeft w:val="0"/>
      <w:marRight w:val="0"/>
      <w:marTop w:val="0"/>
      <w:marBottom w:val="0"/>
      <w:divBdr>
        <w:top w:val="none" w:sz="0" w:space="0" w:color="auto"/>
        <w:left w:val="none" w:sz="0" w:space="0" w:color="auto"/>
        <w:bottom w:val="none" w:sz="0" w:space="0" w:color="auto"/>
        <w:right w:val="none" w:sz="0" w:space="0" w:color="auto"/>
      </w:divBdr>
    </w:div>
    <w:div w:id="283771551">
      <w:bodyDiv w:val="1"/>
      <w:marLeft w:val="0"/>
      <w:marRight w:val="0"/>
      <w:marTop w:val="0"/>
      <w:marBottom w:val="0"/>
      <w:divBdr>
        <w:top w:val="none" w:sz="0" w:space="0" w:color="auto"/>
        <w:left w:val="none" w:sz="0" w:space="0" w:color="auto"/>
        <w:bottom w:val="none" w:sz="0" w:space="0" w:color="auto"/>
        <w:right w:val="none" w:sz="0" w:space="0" w:color="auto"/>
      </w:divBdr>
    </w:div>
    <w:div w:id="325675503">
      <w:bodyDiv w:val="1"/>
      <w:marLeft w:val="0"/>
      <w:marRight w:val="0"/>
      <w:marTop w:val="0"/>
      <w:marBottom w:val="0"/>
      <w:divBdr>
        <w:top w:val="none" w:sz="0" w:space="0" w:color="auto"/>
        <w:left w:val="none" w:sz="0" w:space="0" w:color="auto"/>
        <w:bottom w:val="none" w:sz="0" w:space="0" w:color="auto"/>
        <w:right w:val="none" w:sz="0" w:space="0" w:color="auto"/>
      </w:divBdr>
    </w:div>
    <w:div w:id="341786859">
      <w:bodyDiv w:val="1"/>
      <w:marLeft w:val="0"/>
      <w:marRight w:val="0"/>
      <w:marTop w:val="0"/>
      <w:marBottom w:val="0"/>
      <w:divBdr>
        <w:top w:val="none" w:sz="0" w:space="0" w:color="auto"/>
        <w:left w:val="none" w:sz="0" w:space="0" w:color="auto"/>
        <w:bottom w:val="none" w:sz="0" w:space="0" w:color="auto"/>
        <w:right w:val="none" w:sz="0" w:space="0" w:color="auto"/>
      </w:divBdr>
    </w:div>
    <w:div w:id="349987137">
      <w:bodyDiv w:val="1"/>
      <w:marLeft w:val="0"/>
      <w:marRight w:val="0"/>
      <w:marTop w:val="0"/>
      <w:marBottom w:val="0"/>
      <w:divBdr>
        <w:top w:val="none" w:sz="0" w:space="0" w:color="auto"/>
        <w:left w:val="none" w:sz="0" w:space="0" w:color="auto"/>
        <w:bottom w:val="none" w:sz="0" w:space="0" w:color="auto"/>
        <w:right w:val="none" w:sz="0" w:space="0" w:color="auto"/>
      </w:divBdr>
    </w:div>
    <w:div w:id="391316150">
      <w:bodyDiv w:val="1"/>
      <w:marLeft w:val="0"/>
      <w:marRight w:val="0"/>
      <w:marTop w:val="0"/>
      <w:marBottom w:val="0"/>
      <w:divBdr>
        <w:top w:val="none" w:sz="0" w:space="0" w:color="auto"/>
        <w:left w:val="none" w:sz="0" w:space="0" w:color="auto"/>
        <w:bottom w:val="none" w:sz="0" w:space="0" w:color="auto"/>
        <w:right w:val="none" w:sz="0" w:space="0" w:color="auto"/>
      </w:divBdr>
    </w:div>
    <w:div w:id="484468279">
      <w:bodyDiv w:val="1"/>
      <w:marLeft w:val="0"/>
      <w:marRight w:val="0"/>
      <w:marTop w:val="0"/>
      <w:marBottom w:val="0"/>
      <w:divBdr>
        <w:top w:val="none" w:sz="0" w:space="0" w:color="auto"/>
        <w:left w:val="none" w:sz="0" w:space="0" w:color="auto"/>
        <w:bottom w:val="none" w:sz="0" w:space="0" w:color="auto"/>
        <w:right w:val="none" w:sz="0" w:space="0" w:color="auto"/>
      </w:divBdr>
    </w:div>
    <w:div w:id="586773225">
      <w:bodyDiv w:val="1"/>
      <w:marLeft w:val="0"/>
      <w:marRight w:val="0"/>
      <w:marTop w:val="0"/>
      <w:marBottom w:val="0"/>
      <w:divBdr>
        <w:top w:val="none" w:sz="0" w:space="0" w:color="auto"/>
        <w:left w:val="none" w:sz="0" w:space="0" w:color="auto"/>
        <w:bottom w:val="none" w:sz="0" w:space="0" w:color="auto"/>
        <w:right w:val="none" w:sz="0" w:space="0" w:color="auto"/>
      </w:divBdr>
    </w:div>
    <w:div w:id="650645230">
      <w:bodyDiv w:val="1"/>
      <w:marLeft w:val="0"/>
      <w:marRight w:val="0"/>
      <w:marTop w:val="0"/>
      <w:marBottom w:val="0"/>
      <w:divBdr>
        <w:top w:val="none" w:sz="0" w:space="0" w:color="auto"/>
        <w:left w:val="none" w:sz="0" w:space="0" w:color="auto"/>
        <w:bottom w:val="none" w:sz="0" w:space="0" w:color="auto"/>
        <w:right w:val="none" w:sz="0" w:space="0" w:color="auto"/>
      </w:divBdr>
    </w:div>
    <w:div w:id="652299469">
      <w:bodyDiv w:val="1"/>
      <w:marLeft w:val="0"/>
      <w:marRight w:val="0"/>
      <w:marTop w:val="0"/>
      <w:marBottom w:val="0"/>
      <w:divBdr>
        <w:top w:val="none" w:sz="0" w:space="0" w:color="auto"/>
        <w:left w:val="none" w:sz="0" w:space="0" w:color="auto"/>
        <w:bottom w:val="none" w:sz="0" w:space="0" w:color="auto"/>
        <w:right w:val="none" w:sz="0" w:space="0" w:color="auto"/>
      </w:divBdr>
    </w:div>
    <w:div w:id="654533564">
      <w:bodyDiv w:val="1"/>
      <w:marLeft w:val="0"/>
      <w:marRight w:val="0"/>
      <w:marTop w:val="0"/>
      <w:marBottom w:val="0"/>
      <w:divBdr>
        <w:top w:val="none" w:sz="0" w:space="0" w:color="auto"/>
        <w:left w:val="none" w:sz="0" w:space="0" w:color="auto"/>
        <w:bottom w:val="none" w:sz="0" w:space="0" w:color="auto"/>
        <w:right w:val="none" w:sz="0" w:space="0" w:color="auto"/>
      </w:divBdr>
    </w:div>
    <w:div w:id="659121187">
      <w:bodyDiv w:val="1"/>
      <w:marLeft w:val="0"/>
      <w:marRight w:val="0"/>
      <w:marTop w:val="0"/>
      <w:marBottom w:val="0"/>
      <w:divBdr>
        <w:top w:val="none" w:sz="0" w:space="0" w:color="auto"/>
        <w:left w:val="none" w:sz="0" w:space="0" w:color="auto"/>
        <w:bottom w:val="none" w:sz="0" w:space="0" w:color="auto"/>
        <w:right w:val="none" w:sz="0" w:space="0" w:color="auto"/>
      </w:divBdr>
    </w:div>
    <w:div w:id="702941510">
      <w:bodyDiv w:val="1"/>
      <w:marLeft w:val="0"/>
      <w:marRight w:val="0"/>
      <w:marTop w:val="0"/>
      <w:marBottom w:val="0"/>
      <w:divBdr>
        <w:top w:val="none" w:sz="0" w:space="0" w:color="auto"/>
        <w:left w:val="none" w:sz="0" w:space="0" w:color="auto"/>
        <w:bottom w:val="none" w:sz="0" w:space="0" w:color="auto"/>
        <w:right w:val="none" w:sz="0" w:space="0" w:color="auto"/>
      </w:divBdr>
    </w:div>
    <w:div w:id="705374491">
      <w:bodyDiv w:val="1"/>
      <w:marLeft w:val="0"/>
      <w:marRight w:val="0"/>
      <w:marTop w:val="0"/>
      <w:marBottom w:val="0"/>
      <w:divBdr>
        <w:top w:val="none" w:sz="0" w:space="0" w:color="auto"/>
        <w:left w:val="none" w:sz="0" w:space="0" w:color="auto"/>
        <w:bottom w:val="none" w:sz="0" w:space="0" w:color="auto"/>
        <w:right w:val="none" w:sz="0" w:space="0" w:color="auto"/>
      </w:divBdr>
    </w:div>
    <w:div w:id="717440129">
      <w:bodyDiv w:val="1"/>
      <w:marLeft w:val="0"/>
      <w:marRight w:val="0"/>
      <w:marTop w:val="0"/>
      <w:marBottom w:val="0"/>
      <w:divBdr>
        <w:top w:val="none" w:sz="0" w:space="0" w:color="auto"/>
        <w:left w:val="none" w:sz="0" w:space="0" w:color="auto"/>
        <w:bottom w:val="none" w:sz="0" w:space="0" w:color="auto"/>
        <w:right w:val="none" w:sz="0" w:space="0" w:color="auto"/>
      </w:divBdr>
    </w:div>
    <w:div w:id="732855313">
      <w:bodyDiv w:val="1"/>
      <w:marLeft w:val="0"/>
      <w:marRight w:val="0"/>
      <w:marTop w:val="0"/>
      <w:marBottom w:val="0"/>
      <w:divBdr>
        <w:top w:val="none" w:sz="0" w:space="0" w:color="auto"/>
        <w:left w:val="none" w:sz="0" w:space="0" w:color="auto"/>
        <w:bottom w:val="none" w:sz="0" w:space="0" w:color="auto"/>
        <w:right w:val="none" w:sz="0" w:space="0" w:color="auto"/>
      </w:divBdr>
    </w:div>
    <w:div w:id="762994162">
      <w:bodyDiv w:val="1"/>
      <w:marLeft w:val="0"/>
      <w:marRight w:val="0"/>
      <w:marTop w:val="0"/>
      <w:marBottom w:val="0"/>
      <w:divBdr>
        <w:top w:val="none" w:sz="0" w:space="0" w:color="auto"/>
        <w:left w:val="none" w:sz="0" w:space="0" w:color="auto"/>
        <w:bottom w:val="none" w:sz="0" w:space="0" w:color="auto"/>
        <w:right w:val="none" w:sz="0" w:space="0" w:color="auto"/>
      </w:divBdr>
    </w:div>
    <w:div w:id="771558182">
      <w:bodyDiv w:val="1"/>
      <w:marLeft w:val="0"/>
      <w:marRight w:val="0"/>
      <w:marTop w:val="0"/>
      <w:marBottom w:val="0"/>
      <w:divBdr>
        <w:top w:val="none" w:sz="0" w:space="0" w:color="auto"/>
        <w:left w:val="none" w:sz="0" w:space="0" w:color="auto"/>
        <w:bottom w:val="none" w:sz="0" w:space="0" w:color="auto"/>
        <w:right w:val="none" w:sz="0" w:space="0" w:color="auto"/>
      </w:divBdr>
    </w:div>
    <w:div w:id="786854003">
      <w:bodyDiv w:val="1"/>
      <w:marLeft w:val="0"/>
      <w:marRight w:val="0"/>
      <w:marTop w:val="0"/>
      <w:marBottom w:val="0"/>
      <w:divBdr>
        <w:top w:val="none" w:sz="0" w:space="0" w:color="auto"/>
        <w:left w:val="none" w:sz="0" w:space="0" w:color="auto"/>
        <w:bottom w:val="none" w:sz="0" w:space="0" w:color="auto"/>
        <w:right w:val="none" w:sz="0" w:space="0" w:color="auto"/>
      </w:divBdr>
    </w:div>
    <w:div w:id="798457703">
      <w:bodyDiv w:val="1"/>
      <w:marLeft w:val="0"/>
      <w:marRight w:val="0"/>
      <w:marTop w:val="0"/>
      <w:marBottom w:val="0"/>
      <w:divBdr>
        <w:top w:val="none" w:sz="0" w:space="0" w:color="auto"/>
        <w:left w:val="none" w:sz="0" w:space="0" w:color="auto"/>
        <w:bottom w:val="none" w:sz="0" w:space="0" w:color="auto"/>
        <w:right w:val="none" w:sz="0" w:space="0" w:color="auto"/>
      </w:divBdr>
    </w:div>
    <w:div w:id="868765515">
      <w:bodyDiv w:val="1"/>
      <w:marLeft w:val="0"/>
      <w:marRight w:val="0"/>
      <w:marTop w:val="0"/>
      <w:marBottom w:val="0"/>
      <w:divBdr>
        <w:top w:val="none" w:sz="0" w:space="0" w:color="auto"/>
        <w:left w:val="none" w:sz="0" w:space="0" w:color="auto"/>
        <w:bottom w:val="none" w:sz="0" w:space="0" w:color="auto"/>
        <w:right w:val="none" w:sz="0" w:space="0" w:color="auto"/>
      </w:divBdr>
      <w:divsChild>
        <w:div w:id="408502978">
          <w:marLeft w:val="0"/>
          <w:marRight w:val="0"/>
          <w:marTop w:val="0"/>
          <w:marBottom w:val="0"/>
          <w:divBdr>
            <w:top w:val="none" w:sz="0" w:space="0" w:color="auto"/>
            <w:left w:val="none" w:sz="0" w:space="0" w:color="auto"/>
            <w:bottom w:val="none" w:sz="0" w:space="0" w:color="auto"/>
            <w:right w:val="none" w:sz="0" w:space="0" w:color="auto"/>
          </w:divBdr>
          <w:divsChild>
            <w:div w:id="958414202">
              <w:marLeft w:val="0"/>
              <w:marRight w:val="0"/>
              <w:marTop w:val="0"/>
              <w:marBottom w:val="0"/>
              <w:divBdr>
                <w:top w:val="none" w:sz="0" w:space="0" w:color="auto"/>
                <w:left w:val="none" w:sz="0" w:space="0" w:color="auto"/>
                <w:bottom w:val="none" w:sz="0" w:space="0" w:color="auto"/>
                <w:right w:val="none" w:sz="0" w:space="0" w:color="auto"/>
              </w:divBdr>
              <w:divsChild>
                <w:div w:id="111124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00545">
      <w:bodyDiv w:val="1"/>
      <w:marLeft w:val="0"/>
      <w:marRight w:val="0"/>
      <w:marTop w:val="0"/>
      <w:marBottom w:val="0"/>
      <w:divBdr>
        <w:top w:val="none" w:sz="0" w:space="0" w:color="auto"/>
        <w:left w:val="none" w:sz="0" w:space="0" w:color="auto"/>
        <w:bottom w:val="none" w:sz="0" w:space="0" w:color="auto"/>
        <w:right w:val="none" w:sz="0" w:space="0" w:color="auto"/>
      </w:divBdr>
    </w:div>
    <w:div w:id="968784572">
      <w:bodyDiv w:val="1"/>
      <w:marLeft w:val="0"/>
      <w:marRight w:val="0"/>
      <w:marTop w:val="0"/>
      <w:marBottom w:val="0"/>
      <w:divBdr>
        <w:top w:val="none" w:sz="0" w:space="0" w:color="auto"/>
        <w:left w:val="none" w:sz="0" w:space="0" w:color="auto"/>
        <w:bottom w:val="none" w:sz="0" w:space="0" w:color="auto"/>
        <w:right w:val="none" w:sz="0" w:space="0" w:color="auto"/>
      </w:divBdr>
    </w:div>
    <w:div w:id="978924014">
      <w:bodyDiv w:val="1"/>
      <w:marLeft w:val="0"/>
      <w:marRight w:val="0"/>
      <w:marTop w:val="0"/>
      <w:marBottom w:val="0"/>
      <w:divBdr>
        <w:top w:val="none" w:sz="0" w:space="0" w:color="auto"/>
        <w:left w:val="none" w:sz="0" w:space="0" w:color="auto"/>
        <w:bottom w:val="none" w:sz="0" w:space="0" w:color="auto"/>
        <w:right w:val="none" w:sz="0" w:space="0" w:color="auto"/>
      </w:divBdr>
    </w:div>
    <w:div w:id="982272457">
      <w:bodyDiv w:val="1"/>
      <w:marLeft w:val="0"/>
      <w:marRight w:val="0"/>
      <w:marTop w:val="0"/>
      <w:marBottom w:val="0"/>
      <w:divBdr>
        <w:top w:val="none" w:sz="0" w:space="0" w:color="auto"/>
        <w:left w:val="none" w:sz="0" w:space="0" w:color="auto"/>
        <w:bottom w:val="none" w:sz="0" w:space="0" w:color="auto"/>
        <w:right w:val="none" w:sz="0" w:space="0" w:color="auto"/>
      </w:divBdr>
    </w:div>
    <w:div w:id="994140469">
      <w:bodyDiv w:val="1"/>
      <w:marLeft w:val="0"/>
      <w:marRight w:val="0"/>
      <w:marTop w:val="0"/>
      <w:marBottom w:val="0"/>
      <w:divBdr>
        <w:top w:val="none" w:sz="0" w:space="0" w:color="auto"/>
        <w:left w:val="none" w:sz="0" w:space="0" w:color="auto"/>
        <w:bottom w:val="none" w:sz="0" w:space="0" w:color="auto"/>
        <w:right w:val="none" w:sz="0" w:space="0" w:color="auto"/>
      </w:divBdr>
    </w:div>
    <w:div w:id="1038820806">
      <w:bodyDiv w:val="1"/>
      <w:marLeft w:val="0"/>
      <w:marRight w:val="0"/>
      <w:marTop w:val="0"/>
      <w:marBottom w:val="0"/>
      <w:divBdr>
        <w:top w:val="none" w:sz="0" w:space="0" w:color="auto"/>
        <w:left w:val="none" w:sz="0" w:space="0" w:color="auto"/>
        <w:bottom w:val="none" w:sz="0" w:space="0" w:color="auto"/>
        <w:right w:val="none" w:sz="0" w:space="0" w:color="auto"/>
      </w:divBdr>
    </w:div>
    <w:div w:id="1085494566">
      <w:bodyDiv w:val="1"/>
      <w:marLeft w:val="0"/>
      <w:marRight w:val="0"/>
      <w:marTop w:val="0"/>
      <w:marBottom w:val="0"/>
      <w:divBdr>
        <w:top w:val="none" w:sz="0" w:space="0" w:color="auto"/>
        <w:left w:val="none" w:sz="0" w:space="0" w:color="auto"/>
        <w:bottom w:val="none" w:sz="0" w:space="0" w:color="auto"/>
        <w:right w:val="none" w:sz="0" w:space="0" w:color="auto"/>
      </w:divBdr>
    </w:div>
    <w:div w:id="1098597030">
      <w:bodyDiv w:val="1"/>
      <w:marLeft w:val="0"/>
      <w:marRight w:val="0"/>
      <w:marTop w:val="0"/>
      <w:marBottom w:val="0"/>
      <w:divBdr>
        <w:top w:val="none" w:sz="0" w:space="0" w:color="auto"/>
        <w:left w:val="none" w:sz="0" w:space="0" w:color="auto"/>
        <w:bottom w:val="none" w:sz="0" w:space="0" w:color="auto"/>
        <w:right w:val="none" w:sz="0" w:space="0" w:color="auto"/>
      </w:divBdr>
    </w:div>
    <w:div w:id="1204059745">
      <w:bodyDiv w:val="1"/>
      <w:marLeft w:val="0"/>
      <w:marRight w:val="0"/>
      <w:marTop w:val="0"/>
      <w:marBottom w:val="0"/>
      <w:divBdr>
        <w:top w:val="none" w:sz="0" w:space="0" w:color="auto"/>
        <w:left w:val="none" w:sz="0" w:space="0" w:color="auto"/>
        <w:bottom w:val="none" w:sz="0" w:space="0" w:color="auto"/>
        <w:right w:val="none" w:sz="0" w:space="0" w:color="auto"/>
      </w:divBdr>
    </w:div>
    <w:div w:id="1205366584">
      <w:bodyDiv w:val="1"/>
      <w:marLeft w:val="0"/>
      <w:marRight w:val="0"/>
      <w:marTop w:val="0"/>
      <w:marBottom w:val="0"/>
      <w:divBdr>
        <w:top w:val="none" w:sz="0" w:space="0" w:color="auto"/>
        <w:left w:val="none" w:sz="0" w:space="0" w:color="auto"/>
        <w:bottom w:val="none" w:sz="0" w:space="0" w:color="auto"/>
        <w:right w:val="none" w:sz="0" w:space="0" w:color="auto"/>
      </w:divBdr>
    </w:div>
    <w:div w:id="1240217655">
      <w:bodyDiv w:val="1"/>
      <w:marLeft w:val="0"/>
      <w:marRight w:val="0"/>
      <w:marTop w:val="0"/>
      <w:marBottom w:val="0"/>
      <w:divBdr>
        <w:top w:val="none" w:sz="0" w:space="0" w:color="auto"/>
        <w:left w:val="none" w:sz="0" w:space="0" w:color="auto"/>
        <w:bottom w:val="none" w:sz="0" w:space="0" w:color="auto"/>
        <w:right w:val="none" w:sz="0" w:space="0" w:color="auto"/>
      </w:divBdr>
    </w:div>
    <w:div w:id="1297758717">
      <w:bodyDiv w:val="1"/>
      <w:marLeft w:val="0"/>
      <w:marRight w:val="0"/>
      <w:marTop w:val="0"/>
      <w:marBottom w:val="0"/>
      <w:divBdr>
        <w:top w:val="none" w:sz="0" w:space="0" w:color="auto"/>
        <w:left w:val="none" w:sz="0" w:space="0" w:color="auto"/>
        <w:bottom w:val="none" w:sz="0" w:space="0" w:color="auto"/>
        <w:right w:val="none" w:sz="0" w:space="0" w:color="auto"/>
      </w:divBdr>
    </w:div>
    <w:div w:id="1308170084">
      <w:bodyDiv w:val="1"/>
      <w:marLeft w:val="0"/>
      <w:marRight w:val="0"/>
      <w:marTop w:val="0"/>
      <w:marBottom w:val="0"/>
      <w:divBdr>
        <w:top w:val="none" w:sz="0" w:space="0" w:color="auto"/>
        <w:left w:val="none" w:sz="0" w:space="0" w:color="auto"/>
        <w:bottom w:val="none" w:sz="0" w:space="0" w:color="auto"/>
        <w:right w:val="none" w:sz="0" w:space="0" w:color="auto"/>
      </w:divBdr>
    </w:div>
    <w:div w:id="1312099568">
      <w:bodyDiv w:val="1"/>
      <w:marLeft w:val="0"/>
      <w:marRight w:val="0"/>
      <w:marTop w:val="0"/>
      <w:marBottom w:val="0"/>
      <w:divBdr>
        <w:top w:val="none" w:sz="0" w:space="0" w:color="auto"/>
        <w:left w:val="none" w:sz="0" w:space="0" w:color="auto"/>
        <w:bottom w:val="none" w:sz="0" w:space="0" w:color="auto"/>
        <w:right w:val="none" w:sz="0" w:space="0" w:color="auto"/>
      </w:divBdr>
    </w:div>
    <w:div w:id="1467966333">
      <w:bodyDiv w:val="1"/>
      <w:marLeft w:val="0"/>
      <w:marRight w:val="0"/>
      <w:marTop w:val="0"/>
      <w:marBottom w:val="0"/>
      <w:divBdr>
        <w:top w:val="none" w:sz="0" w:space="0" w:color="auto"/>
        <w:left w:val="none" w:sz="0" w:space="0" w:color="auto"/>
        <w:bottom w:val="none" w:sz="0" w:space="0" w:color="auto"/>
        <w:right w:val="none" w:sz="0" w:space="0" w:color="auto"/>
      </w:divBdr>
    </w:div>
    <w:div w:id="1477648044">
      <w:bodyDiv w:val="1"/>
      <w:marLeft w:val="0"/>
      <w:marRight w:val="0"/>
      <w:marTop w:val="0"/>
      <w:marBottom w:val="0"/>
      <w:divBdr>
        <w:top w:val="none" w:sz="0" w:space="0" w:color="auto"/>
        <w:left w:val="none" w:sz="0" w:space="0" w:color="auto"/>
        <w:bottom w:val="none" w:sz="0" w:space="0" w:color="auto"/>
        <w:right w:val="none" w:sz="0" w:space="0" w:color="auto"/>
      </w:divBdr>
    </w:div>
    <w:div w:id="1492794691">
      <w:bodyDiv w:val="1"/>
      <w:marLeft w:val="0"/>
      <w:marRight w:val="0"/>
      <w:marTop w:val="0"/>
      <w:marBottom w:val="0"/>
      <w:divBdr>
        <w:top w:val="none" w:sz="0" w:space="0" w:color="auto"/>
        <w:left w:val="none" w:sz="0" w:space="0" w:color="auto"/>
        <w:bottom w:val="none" w:sz="0" w:space="0" w:color="auto"/>
        <w:right w:val="none" w:sz="0" w:space="0" w:color="auto"/>
      </w:divBdr>
    </w:div>
    <w:div w:id="1506558565">
      <w:bodyDiv w:val="1"/>
      <w:marLeft w:val="0"/>
      <w:marRight w:val="0"/>
      <w:marTop w:val="0"/>
      <w:marBottom w:val="0"/>
      <w:divBdr>
        <w:top w:val="none" w:sz="0" w:space="0" w:color="auto"/>
        <w:left w:val="none" w:sz="0" w:space="0" w:color="auto"/>
        <w:bottom w:val="none" w:sz="0" w:space="0" w:color="auto"/>
        <w:right w:val="none" w:sz="0" w:space="0" w:color="auto"/>
      </w:divBdr>
    </w:div>
    <w:div w:id="1579897897">
      <w:bodyDiv w:val="1"/>
      <w:marLeft w:val="0"/>
      <w:marRight w:val="0"/>
      <w:marTop w:val="0"/>
      <w:marBottom w:val="0"/>
      <w:divBdr>
        <w:top w:val="none" w:sz="0" w:space="0" w:color="auto"/>
        <w:left w:val="none" w:sz="0" w:space="0" w:color="auto"/>
        <w:bottom w:val="none" w:sz="0" w:space="0" w:color="auto"/>
        <w:right w:val="none" w:sz="0" w:space="0" w:color="auto"/>
      </w:divBdr>
    </w:div>
    <w:div w:id="1600026118">
      <w:bodyDiv w:val="1"/>
      <w:marLeft w:val="0"/>
      <w:marRight w:val="0"/>
      <w:marTop w:val="0"/>
      <w:marBottom w:val="0"/>
      <w:divBdr>
        <w:top w:val="none" w:sz="0" w:space="0" w:color="auto"/>
        <w:left w:val="none" w:sz="0" w:space="0" w:color="auto"/>
        <w:bottom w:val="none" w:sz="0" w:space="0" w:color="auto"/>
        <w:right w:val="none" w:sz="0" w:space="0" w:color="auto"/>
      </w:divBdr>
    </w:div>
    <w:div w:id="1621953448">
      <w:bodyDiv w:val="1"/>
      <w:marLeft w:val="0"/>
      <w:marRight w:val="0"/>
      <w:marTop w:val="0"/>
      <w:marBottom w:val="0"/>
      <w:divBdr>
        <w:top w:val="none" w:sz="0" w:space="0" w:color="auto"/>
        <w:left w:val="none" w:sz="0" w:space="0" w:color="auto"/>
        <w:bottom w:val="none" w:sz="0" w:space="0" w:color="auto"/>
        <w:right w:val="none" w:sz="0" w:space="0" w:color="auto"/>
      </w:divBdr>
    </w:div>
    <w:div w:id="1640768917">
      <w:bodyDiv w:val="1"/>
      <w:marLeft w:val="0"/>
      <w:marRight w:val="0"/>
      <w:marTop w:val="0"/>
      <w:marBottom w:val="0"/>
      <w:divBdr>
        <w:top w:val="none" w:sz="0" w:space="0" w:color="auto"/>
        <w:left w:val="none" w:sz="0" w:space="0" w:color="auto"/>
        <w:bottom w:val="none" w:sz="0" w:space="0" w:color="auto"/>
        <w:right w:val="none" w:sz="0" w:space="0" w:color="auto"/>
      </w:divBdr>
    </w:div>
    <w:div w:id="1683120493">
      <w:bodyDiv w:val="1"/>
      <w:marLeft w:val="0"/>
      <w:marRight w:val="0"/>
      <w:marTop w:val="0"/>
      <w:marBottom w:val="0"/>
      <w:divBdr>
        <w:top w:val="none" w:sz="0" w:space="0" w:color="auto"/>
        <w:left w:val="none" w:sz="0" w:space="0" w:color="auto"/>
        <w:bottom w:val="none" w:sz="0" w:space="0" w:color="auto"/>
        <w:right w:val="none" w:sz="0" w:space="0" w:color="auto"/>
      </w:divBdr>
    </w:div>
    <w:div w:id="1718240955">
      <w:bodyDiv w:val="1"/>
      <w:marLeft w:val="0"/>
      <w:marRight w:val="0"/>
      <w:marTop w:val="0"/>
      <w:marBottom w:val="0"/>
      <w:divBdr>
        <w:top w:val="none" w:sz="0" w:space="0" w:color="auto"/>
        <w:left w:val="none" w:sz="0" w:space="0" w:color="auto"/>
        <w:bottom w:val="none" w:sz="0" w:space="0" w:color="auto"/>
        <w:right w:val="none" w:sz="0" w:space="0" w:color="auto"/>
      </w:divBdr>
    </w:div>
    <w:div w:id="1733119545">
      <w:bodyDiv w:val="1"/>
      <w:marLeft w:val="0"/>
      <w:marRight w:val="0"/>
      <w:marTop w:val="0"/>
      <w:marBottom w:val="0"/>
      <w:divBdr>
        <w:top w:val="none" w:sz="0" w:space="0" w:color="auto"/>
        <w:left w:val="none" w:sz="0" w:space="0" w:color="auto"/>
        <w:bottom w:val="none" w:sz="0" w:space="0" w:color="auto"/>
        <w:right w:val="none" w:sz="0" w:space="0" w:color="auto"/>
      </w:divBdr>
    </w:div>
    <w:div w:id="1757552558">
      <w:bodyDiv w:val="1"/>
      <w:marLeft w:val="0"/>
      <w:marRight w:val="0"/>
      <w:marTop w:val="0"/>
      <w:marBottom w:val="0"/>
      <w:divBdr>
        <w:top w:val="none" w:sz="0" w:space="0" w:color="auto"/>
        <w:left w:val="none" w:sz="0" w:space="0" w:color="auto"/>
        <w:bottom w:val="none" w:sz="0" w:space="0" w:color="auto"/>
        <w:right w:val="none" w:sz="0" w:space="0" w:color="auto"/>
      </w:divBdr>
    </w:div>
    <w:div w:id="1764915935">
      <w:bodyDiv w:val="1"/>
      <w:marLeft w:val="0"/>
      <w:marRight w:val="0"/>
      <w:marTop w:val="0"/>
      <w:marBottom w:val="0"/>
      <w:divBdr>
        <w:top w:val="none" w:sz="0" w:space="0" w:color="auto"/>
        <w:left w:val="none" w:sz="0" w:space="0" w:color="auto"/>
        <w:bottom w:val="none" w:sz="0" w:space="0" w:color="auto"/>
        <w:right w:val="none" w:sz="0" w:space="0" w:color="auto"/>
      </w:divBdr>
    </w:div>
    <w:div w:id="1765104074">
      <w:bodyDiv w:val="1"/>
      <w:marLeft w:val="0"/>
      <w:marRight w:val="0"/>
      <w:marTop w:val="0"/>
      <w:marBottom w:val="0"/>
      <w:divBdr>
        <w:top w:val="none" w:sz="0" w:space="0" w:color="auto"/>
        <w:left w:val="none" w:sz="0" w:space="0" w:color="auto"/>
        <w:bottom w:val="none" w:sz="0" w:space="0" w:color="auto"/>
        <w:right w:val="none" w:sz="0" w:space="0" w:color="auto"/>
      </w:divBdr>
    </w:div>
    <w:div w:id="1776434723">
      <w:bodyDiv w:val="1"/>
      <w:marLeft w:val="0"/>
      <w:marRight w:val="0"/>
      <w:marTop w:val="0"/>
      <w:marBottom w:val="0"/>
      <w:divBdr>
        <w:top w:val="none" w:sz="0" w:space="0" w:color="auto"/>
        <w:left w:val="none" w:sz="0" w:space="0" w:color="auto"/>
        <w:bottom w:val="none" w:sz="0" w:space="0" w:color="auto"/>
        <w:right w:val="none" w:sz="0" w:space="0" w:color="auto"/>
      </w:divBdr>
    </w:div>
    <w:div w:id="1836071157">
      <w:bodyDiv w:val="1"/>
      <w:marLeft w:val="0"/>
      <w:marRight w:val="0"/>
      <w:marTop w:val="0"/>
      <w:marBottom w:val="0"/>
      <w:divBdr>
        <w:top w:val="none" w:sz="0" w:space="0" w:color="auto"/>
        <w:left w:val="none" w:sz="0" w:space="0" w:color="auto"/>
        <w:bottom w:val="none" w:sz="0" w:space="0" w:color="auto"/>
        <w:right w:val="none" w:sz="0" w:space="0" w:color="auto"/>
      </w:divBdr>
    </w:div>
    <w:div w:id="1895463394">
      <w:bodyDiv w:val="1"/>
      <w:marLeft w:val="0"/>
      <w:marRight w:val="0"/>
      <w:marTop w:val="0"/>
      <w:marBottom w:val="0"/>
      <w:divBdr>
        <w:top w:val="none" w:sz="0" w:space="0" w:color="auto"/>
        <w:left w:val="none" w:sz="0" w:space="0" w:color="auto"/>
        <w:bottom w:val="none" w:sz="0" w:space="0" w:color="auto"/>
        <w:right w:val="none" w:sz="0" w:space="0" w:color="auto"/>
      </w:divBdr>
    </w:div>
    <w:div w:id="1928683368">
      <w:bodyDiv w:val="1"/>
      <w:marLeft w:val="0"/>
      <w:marRight w:val="0"/>
      <w:marTop w:val="0"/>
      <w:marBottom w:val="0"/>
      <w:divBdr>
        <w:top w:val="none" w:sz="0" w:space="0" w:color="auto"/>
        <w:left w:val="none" w:sz="0" w:space="0" w:color="auto"/>
        <w:bottom w:val="none" w:sz="0" w:space="0" w:color="auto"/>
        <w:right w:val="none" w:sz="0" w:space="0" w:color="auto"/>
      </w:divBdr>
    </w:div>
    <w:div w:id="1945115900">
      <w:bodyDiv w:val="1"/>
      <w:marLeft w:val="0"/>
      <w:marRight w:val="0"/>
      <w:marTop w:val="0"/>
      <w:marBottom w:val="0"/>
      <w:divBdr>
        <w:top w:val="none" w:sz="0" w:space="0" w:color="auto"/>
        <w:left w:val="none" w:sz="0" w:space="0" w:color="auto"/>
        <w:bottom w:val="none" w:sz="0" w:space="0" w:color="auto"/>
        <w:right w:val="none" w:sz="0" w:space="0" w:color="auto"/>
      </w:divBdr>
    </w:div>
    <w:div w:id="1955281827">
      <w:bodyDiv w:val="1"/>
      <w:marLeft w:val="0"/>
      <w:marRight w:val="0"/>
      <w:marTop w:val="0"/>
      <w:marBottom w:val="0"/>
      <w:divBdr>
        <w:top w:val="none" w:sz="0" w:space="0" w:color="auto"/>
        <w:left w:val="none" w:sz="0" w:space="0" w:color="auto"/>
        <w:bottom w:val="none" w:sz="0" w:space="0" w:color="auto"/>
        <w:right w:val="none" w:sz="0" w:space="0" w:color="auto"/>
      </w:divBdr>
    </w:div>
    <w:div w:id="1990667401">
      <w:bodyDiv w:val="1"/>
      <w:marLeft w:val="0"/>
      <w:marRight w:val="0"/>
      <w:marTop w:val="0"/>
      <w:marBottom w:val="0"/>
      <w:divBdr>
        <w:top w:val="none" w:sz="0" w:space="0" w:color="auto"/>
        <w:left w:val="none" w:sz="0" w:space="0" w:color="auto"/>
        <w:bottom w:val="none" w:sz="0" w:space="0" w:color="auto"/>
        <w:right w:val="none" w:sz="0" w:space="0" w:color="auto"/>
      </w:divBdr>
    </w:div>
    <w:div w:id="2017733200">
      <w:bodyDiv w:val="1"/>
      <w:marLeft w:val="0"/>
      <w:marRight w:val="0"/>
      <w:marTop w:val="0"/>
      <w:marBottom w:val="0"/>
      <w:divBdr>
        <w:top w:val="none" w:sz="0" w:space="0" w:color="auto"/>
        <w:left w:val="none" w:sz="0" w:space="0" w:color="auto"/>
        <w:bottom w:val="none" w:sz="0" w:space="0" w:color="auto"/>
        <w:right w:val="none" w:sz="0" w:space="0" w:color="auto"/>
      </w:divBdr>
    </w:div>
    <w:div w:id="2029717670">
      <w:bodyDiv w:val="1"/>
      <w:marLeft w:val="0"/>
      <w:marRight w:val="0"/>
      <w:marTop w:val="0"/>
      <w:marBottom w:val="0"/>
      <w:divBdr>
        <w:top w:val="none" w:sz="0" w:space="0" w:color="auto"/>
        <w:left w:val="none" w:sz="0" w:space="0" w:color="auto"/>
        <w:bottom w:val="none" w:sz="0" w:space="0" w:color="auto"/>
        <w:right w:val="none" w:sz="0" w:space="0" w:color="auto"/>
      </w:divBdr>
    </w:div>
    <w:div w:id="2055234653">
      <w:bodyDiv w:val="1"/>
      <w:marLeft w:val="0"/>
      <w:marRight w:val="0"/>
      <w:marTop w:val="0"/>
      <w:marBottom w:val="0"/>
      <w:divBdr>
        <w:top w:val="none" w:sz="0" w:space="0" w:color="auto"/>
        <w:left w:val="none" w:sz="0" w:space="0" w:color="auto"/>
        <w:bottom w:val="none" w:sz="0" w:space="0" w:color="auto"/>
        <w:right w:val="none" w:sz="0" w:space="0" w:color="auto"/>
      </w:divBdr>
    </w:div>
    <w:div w:id="2063213806">
      <w:bodyDiv w:val="1"/>
      <w:marLeft w:val="0"/>
      <w:marRight w:val="0"/>
      <w:marTop w:val="0"/>
      <w:marBottom w:val="0"/>
      <w:divBdr>
        <w:top w:val="none" w:sz="0" w:space="0" w:color="auto"/>
        <w:left w:val="none" w:sz="0" w:space="0" w:color="auto"/>
        <w:bottom w:val="none" w:sz="0" w:space="0" w:color="auto"/>
        <w:right w:val="none" w:sz="0" w:space="0" w:color="auto"/>
      </w:divBdr>
    </w:div>
    <w:div w:id="2064676403">
      <w:bodyDiv w:val="1"/>
      <w:marLeft w:val="0"/>
      <w:marRight w:val="0"/>
      <w:marTop w:val="0"/>
      <w:marBottom w:val="0"/>
      <w:divBdr>
        <w:top w:val="none" w:sz="0" w:space="0" w:color="auto"/>
        <w:left w:val="none" w:sz="0" w:space="0" w:color="auto"/>
        <w:bottom w:val="none" w:sz="0" w:space="0" w:color="auto"/>
        <w:right w:val="none" w:sz="0" w:space="0" w:color="auto"/>
      </w:divBdr>
    </w:div>
    <w:div w:id="2073381289">
      <w:bodyDiv w:val="1"/>
      <w:marLeft w:val="0"/>
      <w:marRight w:val="0"/>
      <w:marTop w:val="0"/>
      <w:marBottom w:val="0"/>
      <w:divBdr>
        <w:top w:val="none" w:sz="0" w:space="0" w:color="auto"/>
        <w:left w:val="none" w:sz="0" w:space="0" w:color="auto"/>
        <w:bottom w:val="none" w:sz="0" w:space="0" w:color="auto"/>
        <w:right w:val="none" w:sz="0" w:space="0" w:color="auto"/>
      </w:divBdr>
    </w:div>
    <w:div w:id="2097969369">
      <w:bodyDiv w:val="1"/>
      <w:marLeft w:val="0"/>
      <w:marRight w:val="0"/>
      <w:marTop w:val="0"/>
      <w:marBottom w:val="0"/>
      <w:divBdr>
        <w:top w:val="none" w:sz="0" w:space="0" w:color="auto"/>
        <w:left w:val="none" w:sz="0" w:space="0" w:color="auto"/>
        <w:bottom w:val="none" w:sz="0" w:space="0" w:color="auto"/>
        <w:right w:val="none" w:sz="0" w:space="0" w:color="auto"/>
      </w:divBdr>
    </w:div>
    <w:div w:id="2108965555">
      <w:bodyDiv w:val="1"/>
      <w:marLeft w:val="0"/>
      <w:marRight w:val="0"/>
      <w:marTop w:val="0"/>
      <w:marBottom w:val="0"/>
      <w:divBdr>
        <w:top w:val="none" w:sz="0" w:space="0" w:color="auto"/>
        <w:left w:val="none" w:sz="0" w:space="0" w:color="auto"/>
        <w:bottom w:val="none" w:sz="0" w:space="0" w:color="auto"/>
        <w:right w:val="none" w:sz="0" w:space="0" w:color="auto"/>
      </w:divBdr>
    </w:div>
    <w:div w:id="211316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header" Target="header5.xml"/><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7.emf"/><Relationship Id="rId68" Type="http://schemas.openxmlformats.org/officeDocument/2006/relationships/image" Target="media/image52.emf"/><Relationship Id="rId76"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55.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50.emf"/><Relationship Id="rId74" Type="http://schemas.openxmlformats.org/officeDocument/2006/relationships/image" Target="media/image58.emf"/><Relationship Id="rId79"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45.emf"/><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header" Target="header8.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footer" Target="footer5.xml"/><Relationship Id="rId8" Type="http://schemas.openxmlformats.org/officeDocument/2006/relationships/hyperlink" Target="http://www.tga.gov.au" TargetMode="External"/><Relationship Id="rId51" Type="http://schemas.openxmlformats.org/officeDocument/2006/relationships/image" Target="media/image35.emf"/><Relationship Id="rId72" Type="http://schemas.openxmlformats.org/officeDocument/2006/relationships/image" Target="media/image56.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footer" Target="footer3.xml"/><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header" Target="header6.xml"/><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answers.com/topic/heart-rate" TargetMode="External"/><Relationship Id="rId3" Type="http://schemas.openxmlformats.org/officeDocument/2006/relationships/hyperlink" Target="http://en.wikipedia.org/wiki/European_Organisation_for_Research_and_Treatment_of_Cancer" TargetMode="External"/><Relationship Id="rId7" Type="http://schemas.openxmlformats.org/officeDocument/2006/relationships/hyperlink" Target="http://en.wikipedia.org/w/index.php?title=National_Cancer_Institute_of_Canada&amp;action=edit&amp;redlink=1" TargetMode="External"/><Relationship Id="rId2" Type="http://schemas.openxmlformats.org/officeDocument/2006/relationships/hyperlink" Target="http://en.wikipedia.org/wiki/Cancer" TargetMode="External"/><Relationship Id="rId1" Type="http://schemas.openxmlformats.org/officeDocument/2006/relationships/hyperlink" Target="http://www.ema.europa.eu/docs/en_GB/document_library/Scientific_guideline/2009/12/WC500017748.pdf" TargetMode="External"/><Relationship Id="rId6" Type="http://schemas.openxmlformats.org/officeDocument/2006/relationships/hyperlink" Target="http://en.wikipedia.org/wiki/United_States" TargetMode="External"/><Relationship Id="rId5" Type="http://schemas.openxmlformats.org/officeDocument/2006/relationships/hyperlink" Target="http://en.wikipedia.org/wiki/National_Cancer_Institute" TargetMode="External"/><Relationship Id="rId4" Type="http://schemas.openxmlformats.org/officeDocument/2006/relationships/hyperlink" Target="http://en.wikipedia.org/wiki/EORTC"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63115-5442-4700-A008-533711D32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96</Pages>
  <Words>28760</Words>
  <Characters>163938</Characters>
  <Application>Microsoft Office Word</Application>
  <DocSecurity>0</DocSecurity>
  <Lines>1366</Lines>
  <Paragraphs>384</Paragraphs>
  <ScaleCrop>false</ScaleCrop>
  <HeadingPairs>
    <vt:vector size="2" baseType="variant">
      <vt:variant>
        <vt:lpstr>Title</vt:lpstr>
      </vt:variant>
      <vt:variant>
        <vt:i4>1</vt:i4>
      </vt:variant>
    </vt:vector>
  </HeadingPairs>
  <TitlesOfParts>
    <vt:vector size="1" baseType="lpstr">
      <vt:lpstr>Australian Public Assessment Report for Vemurafenib</vt:lpstr>
    </vt:vector>
  </TitlesOfParts>
  <Company>Department of Health and Ageing Therapeutic Goods Administration</Company>
  <LinksUpToDate>false</LinksUpToDate>
  <CharactersWithSpaces>192314</CharactersWithSpaces>
  <SharedDoc>false</SharedDoc>
  <HLinks>
    <vt:vector size="222" baseType="variant">
      <vt:variant>
        <vt:i4>1114157</vt:i4>
      </vt:variant>
      <vt:variant>
        <vt:i4>249</vt:i4>
      </vt:variant>
      <vt:variant>
        <vt:i4>0</vt:i4>
      </vt:variant>
      <vt:variant>
        <vt:i4>5</vt:i4>
      </vt:variant>
      <vt:variant>
        <vt:lpwstr>http://www.tga.gov.au_/</vt:lpwstr>
      </vt:variant>
      <vt:variant>
        <vt:lpwstr/>
      </vt:variant>
      <vt:variant>
        <vt:i4>1376316</vt:i4>
      </vt:variant>
      <vt:variant>
        <vt:i4>218</vt:i4>
      </vt:variant>
      <vt:variant>
        <vt:i4>0</vt:i4>
      </vt:variant>
      <vt:variant>
        <vt:i4>5</vt:i4>
      </vt:variant>
      <vt:variant>
        <vt:lpwstr/>
      </vt:variant>
      <vt:variant>
        <vt:lpwstr>_Toc299009727</vt:lpwstr>
      </vt:variant>
      <vt:variant>
        <vt:i4>1376316</vt:i4>
      </vt:variant>
      <vt:variant>
        <vt:i4>212</vt:i4>
      </vt:variant>
      <vt:variant>
        <vt:i4>0</vt:i4>
      </vt:variant>
      <vt:variant>
        <vt:i4>5</vt:i4>
      </vt:variant>
      <vt:variant>
        <vt:lpwstr/>
      </vt:variant>
      <vt:variant>
        <vt:lpwstr>_Toc299009726</vt:lpwstr>
      </vt:variant>
      <vt:variant>
        <vt:i4>1376316</vt:i4>
      </vt:variant>
      <vt:variant>
        <vt:i4>206</vt:i4>
      </vt:variant>
      <vt:variant>
        <vt:i4>0</vt:i4>
      </vt:variant>
      <vt:variant>
        <vt:i4>5</vt:i4>
      </vt:variant>
      <vt:variant>
        <vt:lpwstr/>
      </vt:variant>
      <vt:variant>
        <vt:lpwstr>_Toc299009725</vt:lpwstr>
      </vt:variant>
      <vt:variant>
        <vt:i4>1376316</vt:i4>
      </vt:variant>
      <vt:variant>
        <vt:i4>200</vt:i4>
      </vt:variant>
      <vt:variant>
        <vt:i4>0</vt:i4>
      </vt:variant>
      <vt:variant>
        <vt:i4>5</vt:i4>
      </vt:variant>
      <vt:variant>
        <vt:lpwstr/>
      </vt:variant>
      <vt:variant>
        <vt:lpwstr>_Toc299009724</vt:lpwstr>
      </vt:variant>
      <vt:variant>
        <vt:i4>1376316</vt:i4>
      </vt:variant>
      <vt:variant>
        <vt:i4>194</vt:i4>
      </vt:variant>
      <vt:variant>
        <vt:i4>0</vt:i4>
      </vt:variant>
      <vt:variant>
        <vt:i4>5</vt:i4>
      </vt:variant>
      <vt:variant>
        <vt:lpwstr/>
      </vt:variant>
      <vt:variant>
        <vt:lpwstr>_Toc299009723</vt:lpwstr>
      </vt:variant>
      <vt:variant>
        <vt:i4>1376316</vt:i4>
      </vt:variant>
      <vt:variant>
        <vt:i4>188</vt:i4>
      </vt:variant>
      <vt:variant>
        <vt:i4>0</vt:i4>
      </vt:variant>
      <vt:variant>
        <vt:i4>5</vt:i4>
      </vt:variant>
      <vt:variant>
        <vt:lpwstr/>
      </vt:variant>
      <vt:variant>
        <vt:lpwstr>_Toc299009722</vt:lpwstr>
      </vt:variant>
      <vt:variant>
        <vt:i4>1376316</vt:i4>
      </vt:variant>
      <vt:variant>
        <vt:i4>182</vt:i4>
      </vt:variant>
      <vt:variant>
        <vt:i4>0</vt:i4>
      </vt:variant>
      <vt:variant>
        <vt:i4>5</vt:i4>
      </vt:variant>
      <vt:variant>
        <vt:lpwstr/>
      </vt:variant>
      <vt:variant>
        <vt:lpwstr>_Toc299009721</vt:lpwstr>
      </vt:variant>
      <vt:variant>
        <vt:i4>1376316</vt:i4>
      </vt:variant>
      <vt:variant>
        <vt:i4>176</vt:i4>
      </vt:variant>
      <vt:variant>
        <vt:i4>0</vt:i4>
      </vt:variant>
      <vt:variant>
        <vt:i4>5</vt:i4>
      </vt:variant>
      <vt:variant>
        <vt:lpwstr/>
      </vt:variant>
      <vt:variant>
        <vt:lpwstr>_Toc299009720</vt:lpwstr>
      </vt:variant>
      <vt:variant>
        <vt:i4>1441852</vt:i4>
      </vt:variant>
      <vt:variant>
        <vt:i4>170</vt:i4>
      </vt:variant>
      <vt:variant>
        <vt:i4>0</vt:i4>
      </vt:variant>
      <vt:variant>
        <vt:i4>5</vt:i4>
      </vt:variant>
      <vt:variant>
        <vt:lpwstr/>
      </vt:variant>
      <vt:variant>
        <vt:lpwstr>_Toc299009719</vt:lpwstr>
      </vt:variant>
      <vt:variant>
        <vt:i4>1441852</vt:i4>
      </vt:variant>
      <vt:variant>
        <vt:i4>164</vt:i4>
      </vt:variant>
      <vt:variant>
        <vt:i4>0</vt:i4>
      </vt:variant>
      <vt:variant>
        <vt:i4>5</vt:i4>
      </vt:variant>
      <vt:variant>
        <vt:lpwstr/>
      </vt:variant>
      <vt:variant>
        <vt:lpwstr>_Toc299009718</vt:lpwstr>
      </vt:variant>
      <vt:variant>
        <vt:i4>1441852</vt:i4>
      </vt:variant>
      <vt:variant>
        <vt:i4>158</vt:i4>
      </vt:variant>
      <vt:variant>
        <vt:i4>0</vt:i4>
      </vt:variant>
      <vt:variant>
        <vt:i4>5</vt:i4>
      </vt:variant>
      <vt:variant>
        <vt:lpwstr/>
      </vt:variant>
      <vt:variant>
        <vt:lpwstr>_Toc299009717</vt:lpwstr>
      </vt:variant>
      <vt:variant>
        <vt:i4>1441852</vt:i4>
      </vt:variant>
      <vt:variant>
        <vt:i4>152</vt:i4>
      </vt:variant>
      <vt:variant>
        <vt:i4>0</vt:i4>
      </vt:variant>
      <vt:variant>
        <vt:i4>5</vt:i4>
      </vt:variant>
      <vt:variant>
        <vt:lpwstr/>
      </vt:variant>
      <vt:variant>
        <vt:lpwstr>_Toc299009716</vt:lpwstr>
      </vt:variant>
      <vt:variant>
        <vt:i4>1441852</vt:i4>
      </vt:variant>
      <vt:variant>
        <vt:i4>146</vt:i4>
      </vt:variant>
      <vt:variant>
        <vt:i4>0</vt:i4>
      </vt:variant>
      <vt:variant>
        <vt:i4>5</vt:i4>
      </vt:variant>
      <vt:variant>
        <vt:lpwstr/>
      </vt:variant>
      <vt:variant>
        <vt:lpwstr>_Toc299009715</vt:lpwstr>
      </vt:variant>
      <vt:variant>
        <vt:i4>1441852</vt:i4>
      </vt:variant>
      <vt:variant>
        <vt:i4>140</vt:i4>
      </vt:variant>
      <vt:variant>
        <vt:i4>0</vt:i4>
      </vt:variant>
      <vt:variant>
        <vt:i4>5</vt:i4>
      </vt:variant>
      <vt:variant>
        <vt:lpwstr/>
      </vt:variant>
      <vt:variant>
        <vt:lpwstr>_Toc299009714</vt:lpwstr>
      </vt:variant>
      <vt:variant>
        <vt:i4>1441852</vt:i4>
      </vt:variant>
      <vt:variant>
        <vt:i4>134</vt:i4>
      </vt:variant>
      <vt:variant>
        <vt:i4>0</vt:i4>
      </vt:variant>
      <vt:variant>
        <vt:i4>5</vt:i4>
      </vt:variant>
      <vt:variant>
        <vt:lpwstr/>
      </vt:variant>
      <vt:variant>
        <vt:lpwstr>_Toc299009713</vt:lpwstr>
      </vt:variant>
      <vt:variant>
        <vt:i4>1441852</vt:i4>
      </vt:variant>
      <vt:variant>
        <vt:i4>128</vt:i4>
      </vt:variant>
      <vt:variant>
        <vt:i4>0</vt:i4>
      </vt:variant>
      <vt:variant>
        <vt:i4>5</vt:i4>
      </vt:variant>
      <vt:variant>
        <vt:lpwstr/>
      </vt:variant>
      <vt:variant>
        <vt:lpwstr>_Toc299009712</vt:lpwstr>
      </vt:variant>
      <vt:variant>
        <vt:i4>1441852</vt:i4>
      </vt:variant>
      <vt:variant>
        <vt:i4>122</vt:i4>
      </vt:variant>
      <vt:variant>
        <vt:i4>0</vt:i4>
      </vt:variant>
      <vt:variant>
        <vt:i4>5</vt:i4>
      </vt:variant>
      <vt:variant>
        <vt:lpwstr/>
      </vt:variant>
      <vt:variant>
        <vt:lpwstr>_Toc299009711</vt:lpwstr>
      </vt:variant>
      <vt:variant>
        <vt:i4>1441852</vt:i4>
      </vt:variant>
      <vt:variant>
        <vt:i4>116</vt:i4>
      </vt:variant>
      <vt:variant>
        <vt:i4>0</vt:i4>
      </vt:variant>
      <vt:variant>
        <vt:i4>5</vt:i4>
      </vt:variant>
      <vt:variant>
        <vt:lpwstr/>
      </vt:variant>
      <vt:variant>
        <vt:lpwstr>_Toc299009710</vt:lpwstr>
      </vt:variant>
      <vt:variant>
        <vt:i4>1507388</vt:i4>
      </vt:variant>
      <vt:variant>
        <vt:i4>110</vt:i4>
      </vt:variant>
      <vt:variant>
        <vt:i4>0</vt:i4>
      </vt:variant>
      <vt:variant>
        <vt:i4>5</vt:i4>
      </vt:variant>
      <vt:variant>
        <vt:lpwstr/>
      </vt:variant>
      <vt:variant>
        <vt:lpwstr>_Toc299009709</vt:lpwstr>
      </vt:variant>
      <vt:variant>
        <vt:i4>1507388</vt:i4>
      </vt:variant>
      <vt:variant>
        <vt:i4>104</vt:i4>
      </vt:variant>
      <vt:variant>
        <vt:i4>0</vt:i4>
      </vt:variant>
      <vt:variant>
        <vt:i4>5</vt:i4>
      </vt:variant>
      <vt:variant>
        <vt:lpwstr/>
      </vt:variant>
      <vt:variant>
        <vt:lpwstr>_Toc299009708</vt:lpwstr>
      </vt:variant>
      <vt:variant>
        <vt:i4>1507388</vt:i4>
      </vt:variant>
      <vt:variant>
        <vt:i4>98</vt:i4>
      </vt:variant>
      <vt:variant>
        <vt:i4>0</vt:i4>
      </vt:variant>
      <vt:variant>
        <vt:i4>5</vt:i4>
      </vt:variant>
      <vt:variant>
        <vt:lpwstr/>
      </vt:variant>
      <vt:variant>
        <vt:lpwstr>_Toc299009707</vt:lpwstr>
      </vt:variant>
      <vt:variant>
        <vt:i4>1507388</vt:i4>
      </vt:variant>
      <vt:variant>
        <vt:i4>92</vt:i4>
      </vt:variant>
      <vt:variant>
        <vt:i4>0</vt:i4>
      </vt:variant>
      <vt:variant>
        <vt:i4>5</vt:i4>
      </vt:variant>
      <vt:variant>
        <vt:lpwstr/>
      </vt:variant>
      <vt:variant>
        <vt:lpwstr>_Toc299009706</vt:lpwstr>
      </vt:variant>
      <vt:variant>
        <vt:i4>1507388</vt:i4>
      </vt:variant>
      <vt:variant>
        <vt:i4>86</vt:i4>
      </vt:variant>
      <vt:variant>
        <vt:i4>0</vt:i4>
      </vt:variant>
      <vt:variant>
        <vt:i4>5</vt:i4>
      </vt:variant>
      <vt:variant>
        <vt:lpwstr/>
      </vt:variant>
      <vt:variant>
        <vt:lpwstr>_Toc299009705</vt:lpwstr>
      </vt:variant>
      <vt:variant>
        <vt:i4>1507388</vt:i4>
      </vt:variant>
      <vt:variant>
        <vt:i4>80</vt:i4>
      </vt:variant>
      <vt:variant>
        <vt:i4>0</vt:i4>
      </vt:variant>
      <vt:variant>
        <vt:i4>5</vt:i4>
      </vt:variant>
      <vt:variant>
        <vt:lpwstr/>
      </vt:variant>
      <vt:variant>
        <vt:lpwstr>_Toc299009704</vt:lpwstr>
      </vt:variant>
      <vt:variant>
        <vt:i4>1507388</vt:i4>
      </vt:variant>
      <vt:variant>
        <vt:i4>74</vt:i4>
      </vt:variant>
      <vt:variant>
        <vt:i4>0</vt:i4>
      </vt:variant>
      <vt:variant>
        <vt:i4>5</vt:i4>
      </vt:variant>
      <vt:variant>
        <vt:lpwstr/>
      </vt:variant>
      <vt:variant>
        <vt:lpwstr>_Toc299009703</vt:lpwstr>
      </vt:variant>
      <vt:variant>
        <vt:i4>1507388</vt:i4>
      </vt:variant>
      <vt:variant>
        <vt:i4>68</vt:i4>
      </vt:variant>
      <vt:variant>
        <vt:i4>0</vt:i4>
      </vt:variant>
      <vt:variant>
        <vt:i4>5</vt:i4>
      </vt:variant>
      <vt:variant>
        <vt:lpwstr/>
      </vt:variant>
      <vt:variant>
        <vt:lpwstr>_Toc299009702</vt:lpwstr>
      </vt:variant>
      <vt:variant>
        <vt:i4>1507388</vt:i4>
      </vt:variant>
      <vt:variant>
        <vt:i4>62</vt:i4>
      </vt:variant>
      <vt:variant>
        <vt:i4>0</vt:i4>
      </vt:variant>
      <vt:variant>
        <vt:i4>5</vt:i4>
      </vt:variant>
      <vt:variant>
        <vt:lpwstr/>
      </vt:variant>
      <vt:variant>
        <vt:lpwstr>_Toc299009701</vt:lpwstr>
      </vt:variant>
      <vt:variant>
        <vt:i4>1507388</vt:i4>
      </vt:variant>
      <vt:variant>
        <vt:i4>56</vt:i4>
      </vt:variant>
      <vt:variant>
        <vt:i4>0</vt:i4>
      </vt:variant>
      <vt:variant>
        <vt:i4>5</vt:i4>
      </vt:variant>
      <vt:variant>
        <vt:lpwstr/>
      </vt:variant>
      <vt:variant>
        <vt:lpwstr>_Toc299009700</vt:lpwstr>
      </vt:variant>
      <vt:variant>
        <vt:i4>1966141</vt:i4>
      </vt:variant>
      <vt:variant>
        <vt:i4>50</vt:i4>
      </vt:variant>
      <vt:variant>
        <vt:i4>0</vt:i4>
      </vt:variant>
      <vt:variant>
        <vt:i4>5</vt:i4>
      </vt:variant>
      <vt:variant>
        <vt:lpwstr/>
      </vt:variant>
      <vt:variant>
        <vt:lpwstr>_Toc299009699</vt:lpwstr>
      </vt:variant>
      <vt:variant>
        <vt:i4>1966141</vt:i4>
      </vt:variant>
      <vt:variant>
        <vt:i4>44</vt:i4>
      </vt:variant>
      <vt:variant>
        <vt:i4>0</vt:i4>
      </vt:variant>
      <vt:variant>
        <vt:i4>5</vt:i4>
      </vt:variant>
      <vt:variant>
        <vt:lpwstr/>
      </vt:variant>
      <vt:variant>
        <vt:lpwstr>_Toc299009698</vt:lpwstr>
      </vt:variant>
      <vt:variant>
        <vt:i4>1966141</vt:i4>
      </vt:variant>
      <vt:variant>
        <vt:i4>38</vt:i4>
      </vt:variant>
      <vt:variant>
        <vt:i4>0</vt:i4>
      </vt:variant>
      <vt:variant>
        <vt:i4>5</vt:i4>
      </vt:variant>
      <vt:variant>
        <vt:lpwstr/>
      </vt:variant>
      <vt:variant>
        <vt:lpwstr>_Toc299009697</vt:lpwstr>
      </vt:variant>
      <vt:variant>
        <vt:i4>1966141</vt:i4>
      </vt:variant>
      <vt:variant>
        <vt:i4>32</vt:i4>
      </vt:variant>
      <vt:variant>
        <vt:i4>0</vt:i4>
      </vt:variant>
      <vt:variant>
        <vt:i4>5</vt:i4>
      </vt:variant>
      <vt:variant>
        <vt:lpwstr/>
      </vt:variant>
      <vt:variant>
        <vt:lpwstr>_Toc299009696</vt:lpwstr>
      </vt:variant>
      <vt:variant>
        <vt:i4>1966141</vt:i4>
      </vt:variant>
      <vt:variant>
        <vt:i4>26</vt:i4>
      </vt:variant>
      <vt:variant>
        <vt:i4>0</vt:i4>
      </vt:variant>
      <vt:variant>
        <vt:i4>5</vt:i4>
      </vt:variant>
      <vt:variant>
        <vt:lpwstr/>
      </vt:variant>
      <vt:variant>
        <vt:lpwstr>_Toc299009695</vt:lpwstr>
      </vt:variant>
      <vt:variant>
        <vt:i4>1966141</vt:i4>
      </vt:variant>
      <vt:variant>
        <vt:i4>20</vt:i4>
      </vt:variant>
      <vt:variant>
        <vt:i4>0</vt:i4>
      </vt:variant>
      <vt:variant>
        <vt:i4>5</vt:i4>
      </vt:variant>
      <vt:variant>
        <vt:lpwstr/>
      </vt:variant>
      <vt:variant>
        <vt:lpwstr>_Toc299009694</vt:lpwstr>
      </vt:variant>
      <vt:variant>
        <vt:i4>1966141</vt:i4>
      </vt:variant>
      <vt:variant>
        <vt:i4>14</vt:i4>
      </vt:variant>
      <vt:variant>
        <vt:i4>0</vt:i4>
      </vt:variant>
      <vt:variant>
        <vt:i4>5</vt:i4>
      </vt:variant>
      <vt:variant>
        <vt:lpwstr/>
      </vt:variant>
      <vt:variant>
        <vt:lpwstr>_Toc299009693</vt:lpwstr>
      </vt:variant>
      <vt:variant>
        <vt:i4>6291548</vt:i4>
      </vt:variant>
      <vt:variant>
        <vt:i4>9</vt:i4>
      </vt:variant>
      <vt:variant>
        <vt:i4>0</vt:i4>
      </vt:variant>
      <vt:variant>
        <vt:i4>5</vt:i4>
      </vt:variant>
      <vt:variant>
        <vt:lpwstr>mailto:tga.copyright@tga.gov.au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Vemurafenib</dc:title>
  <dc:subject>prescription medicine regulation</dc:subject>
  <dc:creator>Therapeutic Goods Administration</dc:creator>
  <cp:keywords>auspar, prescription, medicine, assessment, regulation, australia, vemurafenib, zelboraf</cp:keywords>
  <cp:lastModifiedBy>Wrigley, Andrew</cp:lastModifiedBy>
  <cp:revision>11</cp:revision>
  <cp:lastPrinted>2012-12-12T00:59:00Z</cp:lastPrinted>
  <dcterms:created xsi:type="dcterms:W3CDTF">2013-01-11T00:37:00Z</dcterms:created>
  <dcterms:modified xsi:type="dcterms:W3CDTF">2013-01-11T02:54:00Z</dcterms:modified>
</cp:coreProperties>
</file>