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ctober 2017"/>
      </w:tblPr>
      <w:tblGrid>
        <w:gridCol w:w="3652"/>
      </w:tblGrid>
      <w:tr w:rsidR="008E7846" w:rsidRPr="00487162" w14:paraId="51E9E80A" w14:textId="77777777" w:rsidTr="00BF1190">
        <w:trPr>
          <w:trHeight w:val="1863"/>
        </w:trPr>
        <w:tc>
          <w:tcPr>
            <w:tcW w:w="3652" w:type="dxa"/>
            <w:tcBorders>
              <w:top w:val="nil"/>
              <w:left w:val="nil"/>
              <w:bottom w:val="nil"/>
              <w:right w:val="nil"/>
            </w:tcBorders>
          </w:tcPr>
          <w:p w14:paraId="3E86BC13" w14:textId="323B385D" w:rsidR="008E7846" w:rsidRPr="00096AA7" w:rsidRDefault="00516729" w:rsidP="00881EA3">
            <w:pPr>
              <w:rPr>
                <w:rFonts w:ascii="Arial" w:hAnsi="Arial" w:cs="Arial"/>
                <w:b/>
                <w:color w:val="002C47"/>
                <w:sz w:val="36"/>
                <w:szCs w:val="36"/>
              </w:rPr>
            </w:pPr>
            <w:r>
              <w:rPr>
                <w:rFonts w:ascii="Arial" w:hAnsi="Arial" w:cs="Arial"/>
                <w:b/>
                <w:color w:val="002C47"/>
                <w:sz w:val="36"/>
                <w:szCs w:val="36"/>
              </w:rPr>
              <w:t xml:space="preserve">October </w:t>
            </w:r>
            <w:r w:rsidR="00881EA3">
              <w:rPr>
                <w:rFonts w:ascii="Arial" w:hAnsi="Arial" w:cs="Arial"/>
                <w:b/>
                <w:color w:val="002C47"/>
                <w:sz w:val="36"/>
                <w:szCs w:val="36"/>
              </w:rPr>
              <w:t>2017</w:t>
            </w:r>
          </w:p>
        </w:tc>
      </w:tr>
    </w:tbl>
    <w:tbl>
      <w:tblPr>
        <w:tblpPr w:leftFromText="180" w:rightFromText="180" w:vertAnchor="page" w:tblpY="3316"/>
        <w:tblW w:w="9079" w:type="dxa"/>
        <w:tblLayout w:type="fixed"/>
        <w:tblLook w:val="04A0" w:firstRow="1" w:lastRow="0" w:firstColumn="1" w:lastColumn="0" w:noHBand="0" w:noVBand="1"/>
        <w:tblDescription w:val="October 2017"/>
      </w:tblPr>
      <w:tblGrid>
        <w:gridCol w:w="9079"/>
      </w:tblGrid>
      <w:tr w:rsidR="0032583B" w:rsidRPr="00A964D1" w14:paraId="280A812F" w14:textId="77777777" w:rsidTr="0032583B">
        <w:trPr>
          <w:trHeight w:val="868"/>
        </w:trPr>
        <w:tc>
          <w:tcPr>
            <w:tcW w:w="9079" w:type="dxa"/>
          </w:tcPr>
          <w:p w14:paraId="157797E2" w14:textId="77777777" w:rsidR="0032583B" w:rsidRPr="00A964D1" w:rsidRDefault="0032583B" w:rsidP="00881EA3">
            <w:pPr>
              <w:pStyle w:val="Title"/>
              <w:rPr>
                <w:color w:val="FFFFFF" w:themeColor="background1"/>
              </w:rPr>
            </w:pPr>
            <w:r w:rsidRPr="00A964D1">
              <w:rPr>
                <w:color w:val="FFFFFF" w:themeColor="background1"/>
              </w:rPr>
              <w:t xml:space="preserve">Australian Public Assessment Report for </w:t>
            </w:r>
            <w:r w:rsidR="00881EA3" w:rsidRPr="00881EA3">
              <w:rPr>
                <w:color w:val="FFFFFF" w:themeColor="background1"/>
              </w:rPr>
              <w:t>Ustekinumab</w:t>
            </w:r>
          </w:p>
        </w:tc>
      </w:tr>
      <w:tr w:rsidR="0032583B" w:rsidRPr="00B64760" w14:paraId="543CD102" w14:textId="77777777" w:rsidTr="0032583B">
        <w:tc>
          <w:tcPr>
            <w:tcW w:w="9079" w:type="dxa"/>
          </w:tcPr>
          <w:p w14:paraId="360AB7E0" w14:textId="77777777" w:rsidR="0032583B" w:rsidRPr="008E7846" w:rsidRDefault="0032583B" w:rsidP="00881EA3">
            <w:pPr>
              <w:pStyle w:val="Subtitle"/>
              <w:rPr>
                <w:color w:val="FFFFFF" w:themeColor="background1"/>
              </w:rPr>
            </w:pPr>
            <w:r w:rsidRPr="008E7846">
              <w:rPr>
                <w:color w:val="FFFFFF" w:themeColor="background1"/>
              </w:rPr>
              <w:t xml:space="preserve">Proprietary Product Name: </w:t>
            </w:r>
            <w:r w:rsidR="00881EA3">
              <w:rPr>
                <w:color w:val="FFFFFF" w:themeColor="background1"/>
              </w:rPr>
              <w:t>Stelara</w:t>
            </w:r>
          </w:p>
        </w:tc>
      </w:tr>
      <w:tr w:rsidR="0032583B" w:rsidRPr="00B64760" w14:paraId="5DCDDA00" w14:textId="77777777" w:rsidTr="0032583B">
        <w:trPr>
          <w:trHeight w:val="486"/>
        </w:trPr>
        <w:tc>
          <w:tcPr>
            <w:tcW w:w="9079" w:type="dxa"/>
          </w:tcPr>
          <w:p w14:paraId="3C2B2241" w14:textId="77777777" w:rsidR="0032583B" w:rsidRPr="008E7846" w:rsidRDefault="0032583B" w:rsidP="0032583B">
            <w:pPr>
              <w:pStyle w:val="Subtitle"/>
              <w:rPr>
                <w:color w:val="FFFFFF" w:themeColor="background1"/>
              </w:rPr>
            </w:pPr>
            <w:r w:rsidRPr="008E7846">
              <w:rPr>
                <w:color w:val="FFFFFF" w:themeColor="background1"/>
              </w:rPr>
              <w:t xml:space="preserve">Sponsor: </w:t>
            </w:r>
            <w:r w:rsidR="00881EA3" w:rsidRPr="00881EA3">
              <w:rPr>
                <w:color w:val="FFFFFF" w:themeColor="background1"/>
              </w:rPr>
              <w:t>Janssen-Cilag Pty. Ltd.</w:t>
            </w:r>
          </w:p>
        </w:tc>
      </w:tr>
    </w:tbl>
    <w:p w14:paraId="3D31094B" w14:textId="77777777" w:rsidR="008E7846" w:rsidRPr="0085156D" w:rsidRDefault="008E7846" w:rsidP="0085156D">
      <w:r w:rsidRPr="0085156D">
        <w:br w:type="page"/>
      </w:r>
    </w:p>
    <w:p w14:paraId="1D3E4D2D" w14:textId="77777777" w:rsidR="008E7846" w:rsidRPr="001F6CBA" w:rsidRDefault="008E7846" w:rsidP="008E7846">
      <w:pPr>
        <w:pStyle w:val="NonTOCHeading2"/>
      </w:pPr>
      <w:r w:rsidRPr="001F6CBA">
        <w:lastRenderedPageBreak/>
        <w:t>About the Therapeutic Goods Administration (TGA)</w:t>
      </w:r>
    </w:p>
    <w:p w14:paraId="7A238366" w14:textId="77777777" w:rsidR="008E7846" w:rsidRDefault="008E7846" w:rsidP="00BF3DCE">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3F74C7E8" w14:textId="77777777" w:rsidR="008E7846" w:rsidRDefault="00C80137" w:rsidP="00BF3DCE">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7E25DFD3" w14:textId="77777777" w:rsidR="008E7846" w:rsidRDefault="008E7846" w:rsidP="00BF3DCE">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14:paraId="0E08ABF9" w14:textId="77777777" w:rsidR="008E7846" w:rsidRDefault="008E7846" w:rsidP="00BF3DCE">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7DBA2EEB" w14:textId="77777777" w:rsidR="00441C3F" w:rsidRDefault="008E7846" w:rsidP="00BF3DCE">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14:paraId="6AA6E7CD" w14:textId="77777777" w:rsidR="008E7846" w:rsidRDefault="008E7846" w:rsidP="00875A6B">
      <w:pPr>
        <w:pStyle w:val="NonTOCHeading2"/>
      </w:pPr>
      <w:r>
        <w:t>About AusPARs</w:t>
      </w:r>
    </w:p>
    <w:p w14:paraId="20179C2F" w14:textId="77777777" w:rsidR="008E7846" w:rsidRDefault="008E7846" w:rsidP="00BF3DCE">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44CF8274" w14:textId="77777777" w:rsidR="008E7846" w:rsidRDefault="008E7846" w:rsidP="00BF3DCE">
      <w:pPr>
        <w:pStyle w:val="ListBullet"/>
        <w:numPr>
          <w:ilvl w:val="0"/>
          <w:numId w:val="1"/>
        </w:numPr>
        <w:ind w:left="357" w:hanging="357"/>
      </w:pPr>
      <w:r>
        <w:t>AusPARs are prepared and published by the TGA.</w:t>
      </w:r>
    </w:p>
    <w:p w14:paraId="67CC6BA3" w14:textId="77777777" w:rsidR="008E7846" w:rsidRDefault="008E7846" w:rsidP="00BF3DCE">
      <w:pPr>
        <w:pStyle w:val="ListBullet"/>
        <w:numPr>
          <w:ilvl w:val="0"/>
          <w:numId w:val="1"/>
        </w:numPr>
        <w:ind w:left="357" w:hanging="357"/>
      </w:pPr>
      <w:r>
        <w:t>An AusPAR is prepared for submissions that relate to new chemical entities, generic medicines, major variations and extensions of indications.</w:t>
      </w:r>
    </w:p>
    <w:p w14:paraId="284A41B4" w14:textId="77777777" w:rsidR="008E7846" w:rsidRDefault="008E7846" w:rsidP="00BF3DCE">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43C76909" w14:textId="77777777" w:rsidR="00B452CE" w:rsidRDefault="008E7846" w:rsidP="00BF3DCE">
      <w:pPr>
        <w:pStyle w:val="ListBullet"/>
        <w:numPr>
          <w:ilvl w:val="0"/>
          <w:numId w:val="1"/>
        </w:numPr>
        <w:ind w:left="357" w:hanging="357"/>
      </w:pPr>
      <w:r>
        <w:t>A new AusPAR will be developed to reflect changes to indications and/or major variations to a prescription medicine subject to evaluation by the TGA.</w:t>
      </w:r>
    </w:p>
    <w:p w14:paraId="54156585" w14:textId="77777777" w:rsidR="00924482" w:rsidRPr="00DF1D7F" w:rsidRDefault="00924482" w:rsidP="00F54B65">
      <w:pPr>
        <w:pStyle w:val="LegalSubheading"/>
        <w:spacing w:before="3120"/>
      </w:pPr>
      <w:r w:rsidRPr="00DF1D7F">
        <w:t>Copyright</w:t>
      </w:r>
    </w:p>
    <w:p w14:paraId="5927377F" w14:textId="77C3594E" w:rsidR="00B65B47" w:rsidRDefault="00B65B47" w:rsidP="009A34F5">
      <w:pPr>
        <w:pStyle w:val="LegalCopy"/>
      </w:pPr>
      <w:r>
        <w:rPr>
          <w:rFonts w:cs="Arial"/>
          <w:lang w:val="en-GB"/>
        </w:rPr>
        <w:t>© Commonwealth of Australia 2017</w:t>
      </w:r>
      <w:r>
        <w:rPr>
          <w:rFonts w:cs="Arial"/>
          <w:lang w:val="en-GB"/>
        </w:rPr>
        <w:br/>
      </w:r>
      <w:proofErr w:type="gramStart"/>
      <w:r>
        <w:rPr>
          <w:rFonts w:cs="Arial"/>
          <w:lang w:val="en-GB"/>
        </w:rPr>
        <w:t>This</w:t>
      </w:r>
      <w:proofErr w:type="gramEnd"/>
      <w:r>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Pr>
          <w:rFonts w:cs="Arial"/>
          <w:i/>
          <w:lang w:val="en-GB"/>
        </w:rPr>
        <w:t>Copyright Act 1968</w:t>
      </w:r>
      <w:r>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Pr>
            <w:rStyle w:val="Hyperlink"/>
            <w:rFonts w:cs="Arial"/>
            <w:lang w:val="en-GB"/>
          </w:rPr>
          <w:t>tga.copyright@tga.gov.au</w:t>
        </w:r>
      </w:hyperlink>
      <w:r w:rsidR="009A34F5">
        <w:rPr>
          <w:rFonts w:cs="Arial"/>
        </w:rPr>
        <w:t>&gt;.</w:t>
      </w:r>
    </w:p>
    <w:p w14:paraId="00C3714B"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64DDE871" w14:textId="77777777" w:rsidR="0089635C" w:rsidRPr="0089635C" w:rsidRDefault="0089635C" w:rsidP="0010788A">
          <w:pPr>
            <w:pStyle w:val="Contents"/>
          </w:pPr>
          <w:r w:rsidRPr="0010788A">
            <w:t>Contents</w:t>
          </w:r>
        </w:p>
        <w:bookmarkStart w:id="2" w:name="_GoBack"/>
        <w:bookmarkEnd w:id="2"/>
        <w:p w14:paraId="1F2F6A8A" w14:textId="77777777" w:rsidR="009A34F5"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97744800" w:history="1">
            <w:r w:rsidR="009A34F5" w:rsidRPr="00E95870">
              <w:rPr>
                <w:rStyle w:val="Hyperlink"/>
                <w:noProof/>
              </w:rPr>
              <w:t>Common abbreviations</w:t>
            </w:r>
            <w:r w:rsidR="009A34F5">
              <w:rPr>
                <w:noProof/>
                <w:webHidden/>
              </w:rPr>
              <w:tab/>
            </w:r>
            <w:r w:rsidR="009A34F5">
              <w:rPr>
                <w:noProof/>
                <w:webHidden/>
              </w:rPr>
              <w:fldChar w:fldCharType="begin"/>
            </w:r>
            <w:r w:rsidR="009A34F5">
              <w:rPr>
                <w:noProof/>
                <w:webHidden/>
              </w:rPr>
              <w:instrText xml:space="preserve"> PAGEREF _Toc497744800 \h </w:instrText>
            </w:r>
            <w:r w:rsidR="009A34F5">
              <w:rPr>
                <w:noProof/>
                <w:webHidden/>
              </w:rPr>
            </w:r>
            <w:r w:rsidR="009A34F5">
              <w:rPr>
                <w:noProof/>
                <w:webHidden/>
              </w:rPr>
              <w:fldChar w:fldCharType="separate"/>
            </w:r>
            <w:r w:rsidR="009A34F5">
              <w:rPr>
                <w:noProof/>
                <w:webHidden/>
              </w:rPr>
              <w:t>5</w:t>
            </w:r>
            <w:r w:rsidR="009A34F5">
              <w:rPr>
                <w:noProof/>
                <w:webHidden/>
              </w:rPr>
              <w:fldChar w:fldCharType="end"/>
            </w:r>
          </w:hyperlink>
        </w:p>
        <w:p w14:paraId="7916F54A" w14:textId="77777777" w:rsidR="009A34F5" w:rsidRDefault="009A34F5">
          <w:pPr>
            <w:pStyle w:val="TOC2"/>
            <w:rPr>
              <w:rFonts w:asciiTheme="minorHAnsi" w:eastAsiaTheme="minorEastAsia" w:hAnsiTheme="minorHAnsi" w:cstheme="minorBidi"/>
              <w:b w:val="0"/>
              <w:noProof/>
              <w:sz w:val="22"/>
              <w:lang w:eastAsia="en-AU"/>
            </w:rPr>
          </w:pPr>
          <w:hyperlink w:anchor="_Toc497744801" w:history="1">
            <w:r w:rsidRPr="00E95870">
              <w:rPr>
                <w:rStyle w:val="Hyperlink"/>
                <w:noProof/>
              </w:rPr>
              <w:t>I. Introduction to product submission</w:t>
            </w:r>
            <w:r>
              <w:rPr>
                <w:noProof/>
                <w:webHidden/>
              </w:rPr>
              <w:tab/>
            </w:r>
            <w:r>
              <w:rPr>
                <w:noProof/>
                <w:webHidden/>
              </w:rPr>
              <w:fldChar w:fldCharType="begin"/>
            </w:r>
            <w:r>
              <w:rPr>
                <w:noProof/>
                <w:webHidden/>
              </w:rPr>
              <w:instrText xml:space="preserve"> PAGEREF _Toc497744801 \h </w:instrText>
            </w:r>
            <w:r>
              <w:rPr>
                <w:noProof/>
                <w:webHidden/>
              </w:rPr>
            </w:r>
            <w:r>
              <w:rPr>
                <w:noProof/>
                <w:webHidden/>
              </w:rPr>
              <w:fldChar w:fldCharType="separate"/>
            </w:r>
            <w:r>
              <w:rPr>
                <w:noProof/>
                <w:webHidden/>
              </w:rPr>
              <w:t>11</w:t>
            </w:r>
            <w:r>
              <w:rPr>
                <w:noProof/>
                <w:webHidden/>
              </w:rPr>
              <w:fldChar w:fldCharType="end"/>
            </w:r>
          </w:hyperlink>
        </w:p>
        <w:p w14:paraId="00CD0AD4" w14:textId="77777777" w:rsidR="009A34F5" w:rsidRDefault="009A34F5">
          <w:pPr>
            <w:pStyle w:val="TOC3"/>
            <w:rPr>
              <w:rFonts w:asciiTheme="minorHAnsi" w:eastAsiaTheme="minorEastAsia" w:hAnsiTheme="minorHAnsi" w:cstheme="minorBidi"/>
              <w:noProof/>
              <w:lang w:eastAsia="en-AU"/>
            </w:rPr>
          </w:pPr>
          <w:hyperlink w:anchor="_Toc497744802" w:history="1">
            <w:r w:rsidRPr="00E95870">
              <w:rPr>
                <w:rStyle w:val="Hyperlink"/>
                <w:noProof/>
                <w:lang w:eastAsia="en-AU"/>
              </w:rPr>
              <w:t>Submission details</w:t>
            </w:r>
            <w:r>
              <w:rPr>
                <w:noProof/>
                <w:webHidden/>
              </w:rPr>
              <w:tab/>
            </w:r>
            <w:r>
              <w:rPr>
                <w:noProof/>
                <w:webHidden/>
              </w:rPr>
              <w:fldChar w:fldCharType="begin"/>
            </w:r>
            <w:r>
              <w:rPr>
                <w:noProof/>
                <w:webHidden/>
              </w:rPr>
              <w:instrText xml:space="preserve"> PAGEREF _Toc497744802 \h </w:instrText>
            </w:r>
            <w:r>
              <w:rPr>
                <w:noProof/>
                <w:webHidden/>
              </w:rPr>
            </w:r>
            <w:r>
              <w:rPr>
                <w:noProof/>
                <w:webHidden/>
              </w:rPr>
              <w:fldChar w:fldCharType="separate"/>
            </w:r>
            <w:r>
              <w:rPr>
                <w:noProof/>
                <w:webHidden/>
              </w:rPr>
              <w:t>11</w:t>
            </w:r>
            <w:r>
              <w:rPr>
                <w:noProof/>
                <w:webHidden/>
              </w:rPr>
              <w:fldChar w:fldCharType="end"/>
            </w:r>
          </w:hyperlink>
        </w:p>
        <w:p w14:paraId="55250C8E" w14:textId="77777777" w:rsidR="009A34F5" w:rsidRDefault="009A34F5">
          <w:pPr>
            <w:pStyle w:val="TOC3"/>
            <w:rPr>
              <w:rFonts w:asciiTheme="minorHAnsi" w:eastAsiaTheme="minorEastAsia" w:hAnsiTheme="minorHAnsi" w:cstheme="minorBidi"/>
              <w:noProof/>
              <w:lang w:eastAsia="en-AU"/>
            </w:rPr>
          </w:pPr>
          <w:hyperlink w:anchor="_Toc497744803" w:history="1">
            <w:r w:rsidRPr="00E95870">
              <w:rPr>
                <w:rStyle w:val="Hyperlink"/>
                <w:noProof/>
              </w:rPr>
              <w:t>Product background</w:t>
            </w:r>
            <w:r>
              <w:rPr>
                <w:noProof/>
                <w:webHidden/>
              </w:rPr>
              <w:tab/>
            </w:r>
            <w:r>
              <w:rPr>
                <w:noProof/>
                <w:webHidden/>
              </w:rPr>
              <w:fldChar w:fldCharType="begin"/>
            </w:r>
            <w:r>
              <w:rPr>
                <w:noProof/>
                <w:webHidden/>
              </w:rPr>
              <w:instrText xml:space="preserve"> PAGEREF _Toc497744803 \h </w:instrText>
            </w:r>
            <w:r>
              <w:rPr>
                <w:noProof/>
                <w:webHidden/>
              </w:rPr>
            </w:r>
            <w:r>
              <w:rPr>
                <w:noProof/>
                <w:webHidden/>
              </w:rPr>
              <w:fldChar w:fldCharType="separate"/>
            </w:r>
            <w:r>
              <w:rPr>
                <w:noProof/>
                <w:webHidden/>
              </w:rPr>
              <w:t>12</w:t>
            </w:r>
            <w:r>
              <w:rPr>
                <w:noProof/>
                <w:webHidden/>
              </w:rPr>
              <w:fldChar w:fldCharType="end"/>
            </w:r>
          </w:hyperlink>
        </w:p>
        <w:p w14:paraId="095F7D81" w14:textId="77777777" w:rsidR="009A34F5" w:rsidRDefault="009A34F5">
          <w:pPr>
            <w:pStyle w:val="TOC3"/>
            <w:rPr>
              <w:rFonts w:asciiTheme="minorHAnsi" w:eastAsiaTheme="minorEastAsia" w:hAnsiTheme="minorHAnsi" w:cstheme="minorBidi"/>
              <w:noProof/>
              <w:lang w:eastAsia="en-AU"/>
            </w:rPr>
          </w:pPr>
          <w:hyperlink w:anchor="_Toc497744804" w:history="1">
            <w:r w:rsidRPr="00E95870">
              <w:rPr>
                <w:rStyle w:val="Hyperlink"/>
                <w:noProof/>
              </w:rPr>
              <w:t>Regulatory status</w:t>
            </w:r>
            <w:r>
              <w:rPr>
                <w:noProof/>
                <w:webHidden/>
              </w:rPr>
              <w:tab/>
            </w:r>
            <w:r>
              <w:rPr>
                <w:noProof/>
                <w:webHidden/>
              </w:rPr>
              <w:fldChar w:fldCharType="begin"/>
            </w:r>
            <w:r>
              <w:rPr>
                <w:noProof/>
                <w:webHidden/>
              </w:rPr>
              <w:instrText xml:space="preserve"> PAGEREF _Toc497744804 \h </w:instrText>
            </w:r>
            <w:r>
              <w:rPr>
                <w:noProof/>
                <w:webHidden/>
              </w:rPr>
            </w:r>
            <w:r>
              <w:rPr>
                <w:noProof/>
                <w:webHidden/>
              </w:rPr>
              <w:fldChar w:fldCharType="separate"/>
            </w:r>
            <w:r>
              <w:rPr>
                <w:noProof/>
                <w:webHidden/>
              </w:rPr>
              <w:t>13</w:t>
            </w:r>
            <w:r>
              <w:rPr>
                <w:noProof/>
                <w:webHidden/>
              </w:rPr>
              <w:fldChar w:fldCharType="end"/>
            </w:r>
          </w:hyperlink>
        </w:p>
        <w:p w14:paraId="2F5E7B9B" w14:textId="77777777" w:rsidR="009A34F5" w:rsidRDefault="009A34F5">
          <w:pPr>
            <w:pStyle w:val="TOC3"/>
            <w:rPr>
              <w:rFonts w:asciiTheme="minorHAnsi" w:eastAsiaTheme="minorEastAsia" w:hAnsiTheme="minorHAnsi" w:cstheme="minorBidi"/>
              <w:noProof/>
              <w:lang w:eastAsia="en-AU"/>
            </w:rPr>
          </w:pPr>
          <w:hyperlink w:anchor="_Toc497744805" w:history="1">
            <w:r w:rsidRPr="00E95870">
              <w:rPr>
                <w:rStyle w:val="Hyperlink"/>
                <w:noProof/>
              </w:rPr>
              <w:t>Product information</w:t>
            </w:r>
            <w:r>
              <w:rPr>
                <w:noProof/>
                <w:webHidden/>
              </w:rPr>
              <w:tab/>
            </w:r>
            <w:r>
              <w:rPr>
                <w:noProof/>
                <w:webHidden/>
              </w:rPr>
              <w:fldChar w:fldCharType="begin"/>
            </w:r>
            <w:r>
              <w:rPr>
                <w:noProof/>
                <w:webHidden/>
              </w:rPr>
              <w:instrText xml:space="preserve"> PAGEREF _Toc497744805 \h </w:instrText>
            </w:r>
            <w:r>
              <w:rPr>
                <w:noProof/>
                <w:webHidden/>
              </w:rPr>
            </w:r>
            <w:r>
              <w:rPr>
                <w:noProof/>
                <w:webHidden/>
              </w:rPr>
              <w:fldChar w:fldCharType="separate"/>
            </w:r>
            <w:r>
              <w:rPr>
                <w:noProof/>
                <w:webHidden/>
              </w:rPr>
              <w:t>13</w:t>
            </w:r>
            <w:r>
              <w:rPr>
                <w:noProof/>
                <w:webHidden/>
              </w:rPr>
              <w:fldChar w:fldCharType="end"/>
            </w:r>
          </w:hyperlink>
        </w:p>
        <w:p w14:paraId="56B8B68F" w14:textId="77777777" w:rsidR="009A34F5" w:rsidRDefault="009A34F5">
          <w:pPr>
            <w:pStyle w:val="TOC2"/>
            <w:rPr>
              <w:rFonts w:asciiTheme="minorHAnsi" w:eastAsiaTheme="minorEastAsia" w:hAnsiTheme="minorHAnsi" w:cstheme="minorBidi"/>
              <w:b w:val="0"/>
              <w:noProof/>
              <w:sz w:val="22"/>
              <w:lang w:eastAsia="en-AU"/>
            </w:rPr>
          </w:pPr>
          <w:hyperlink w:anchor="_Toc497744806" w:history="1">
            <w:r w:rsidRPr="00E95870">
              <w:rPr>
                <w:rStyle w:val="Hyperlink"/>
                <w:noProof/>
              </w:rPr>
              <w:t>II. Quality findings</w:t>
            </w:r>
            <w:r>
              <w:rPr>
                <w:noProof/>
                <w:webHidden/>
              </w:rPr>
              <w:tab/>
            </w:r>
            <w:r>
              <w:rPr>
                <w:noProof/>
                <w:webHidden/>
              </w:rPr>
              <w:fldChar w:fldCharType="begin"/>
            </w:r>
            <w:r>
              <w:rPr>
                <w:noProof/>
                <w:webHidden/>
              </w:rPr>
              <w:instrText xml:space="preserve"> PAGEREF _Toc497744806 \h </w:instrText>
            </w:r>
            <w:r>
              <w:rPr>
                <w:noProof/>
                <w:webHidden/>
              </w:rPr>
            </w:r>
            <w:r>
              <w:rPr>
                <w:noProof/>
                <w:webHidden/>
              </w:rPr>
              <w:fldChar w:fldCharType="separate"/>
            </w:r>
            <w:r>
              <w:rPr>
                <w:noProof/>
                <w:webHidden/>
              </w:rPr>
              <w:t>14</w:t>
            </w:r>
            <w:r>
              <w:rPr>
                <w:noProof/>
                <w:webHidden/>
              </w:rPr>
              <w:fldChar w:fldCharType="end"/>
            </w:r>
          </w:hyperlink>
        </w:p>
        <w:p w14:paraId="07407035" w14:textId="77777777" w:rsidR="009A34F5" w:rsidRDefault="009A34F5">
          <w:pPr>
            <w:pStyle w:val="TOC3"/>
            <w:rPr>
              <w:rFonts w:asciiTheme="minorHAnsi" w:eastAsiaTheme="minorEastAsia" w:hAnsiTheme="minorHAnsi" w:cstheme="minorBidi"/>
              <w:noProof/>
              <w:lang w:eastAsia="en-AU"/>
            </w:rPr>
          </w:pPr>
          <w:hyperlink w:anchor="_Toc497744807" w:history="1">
            <w:r w:rsidRPr="00E95870">
              <w:rPr>
                <w:rStyle w:val="Hyperlink"/>
                <w:noProof/>
              </w:rPr>
              <w:t>Drug substance (active ingredient)</w:t>
            </w:r>
            <w:r>
              <w:rPr>
                <w:noProof/>
                <w:webHidden/>
              </w:rPr>
              <w:tab/>
            </w:r>
            <w:r>
              <w:rPr>
                <w:noProof/>
                <w:webHidden/>
              </w:rPr>
              <w:fldChar w:fldCharType="begin"/>
            </w:r>
            <w:r>
              <w:rPr>
                <w:noProof/>
                <w:webHidden/>
              </w:rPr>
              <w:instrText xml:space="preserve"> PAGEREF _Toc497744807 \h </w:instrText>
            </w:r>
            <w:r>
              <w:rPr>
                <w:noProof/>
                <w:webHidden/>
              </w:rPr>
            </w:r>
            <w:r>
              <w:rPr>
                <w:noProof/>
                <w:webHidden/>
              </w:rPr>
              <w:fldChar w:fldCharType="separate"/>
            </w:r>
            <w:r>
              <w:rPr>
                <w:noProof/>
                <w:webHidden/>
              </w:rPr>
              <w:t>14</w:t>
            </w:r>
            <w:r>
              <w:rPr>
                <w:noProof/>
                <w:webHidden/>
              </w:rPr>
              <w:fldChar w:fldCharType="end"/>
            </w:r>
          </w:hyperlink>
        </w:p>
        <w:p w14:paraId="4E1D5614" w14:textId="77777777" w:rsidR="009A34F5" w:rsidRDefault="009A34F5">
          <w:pPr>
            <w:pStyle w:val="TOC3"/>
            <w:rPr>
              <w:rFonts w:asciiTheme="minorHAnsi" w:eastAsiaTheme="minorEastAsia" w:hAnsiTheme="minorHAnsi" w:cstheme="minorBidi"/>
              <w:noProof/>
              <w:lang w:eastAsia="en-AU"/>
            </w:rPr>
          </w:pPr>
          <w:hyperlink w:anchor="_Toc497744808" w:history="1">
            <w:r w:rsidRPr="00E95870">
              <w:rPr>
                <w:rStyle w:val="Hyperlink"/>
                <w:noProof/>
              </w:rPr>
              <w:t>Drug product</w:t>
            </w:r>
            <w:r>
              <w:rPr>
                <w:noProof/>
                <w:webHidden/>
              </w:rPr>
              <w:tab/>
            </w:r>
            <w:r>
              <w:rPr>
                <w:noProof/>
                <w:webHidden/>
              </w:rPr>
              <w:fldChar w:fldCharType="begin"/>
            </w:r>
            <w:r>
              <w:rPr>
                <w:noProof/>
                <w:webHidden/>
              </w:rPr>
              <w:instrText xml:space="preserve"> PAGEREF _Toc497744808 \h </w:instrText>
            </w:r>
            <w:r>
              <w:rPr>
                <w:noProof/>
                <w:webHidden/>
              </w:rPr>
            </w:r>
            <w:r>
              <w:rPr>
                <w:noProof/>
                <w:webHidden/>
              </w:rPr>
              <w:fldChar w:fldCharType="separate"/>
            </w:r>
            <w:r>
              <w:rPr>
                <w:noProof/>
                <w:webHidden/>
              </w:rPr>
              <w:t>15</w:t>
            </w:r>
            <w:r>
              <w:rPr>
                <w:noProof/>
                <w:webHidden/>
              </w:rPr>
              <w:fldChar w:fldCharType="end"/>
            </w:r>
          </w:hyperlink>
        </w:p>
        <w:p w14:paraId="567C1947" w14:textId="77777777" w:rsidR="009A34F5" w:rsidRDefault="009A34F5">
          <w:pPr>
            <w:pStyle w:val="TOC3"/>
            <w:rPr>
              <w:rFonts w:asciiTheme="minorHAnsi" w:eastAsiaTheme="minorEastAsia" w:hAnsiTheme="minorHAnsi" w:cstheme="minorBidi"/>
              <w:noProof/>
              <w:lang w:eastAsia="en-AU"/>
            </w:rPr>
          </w:pPr>
          <w:hyperlink w:anchor="_Toc497744809" w:history="1">
            <w:r w:rsidRPr="00E95870">
              <w:rPr>
                <w:rStyle w:val="Hyperlink"/>
                <w:noProof/>
              </w:rPr>
              <w:t>Biopharmaceutics</w:t>
            </w:r>
            <w:r>
              <w:rPr>
                <w:noProof/>
                <w:webHidden/>
              </w:rPr>
              <w:tab/>
            </w:r>
            <w:r>
              <w:rPr>
                <w:noProof/>
                <w:webHidden/>
              </w:rPr>
              <w:fldChar w:fldCharType="begin"/>
            </w:r>
            <w:r>
              <w:rPr>
                <w:noProof/>
                <w:webHidden/>
              </w:rPr>
              <w:instrText xml:space="preserve"> PAGEREF _Toc497744809 \h </w:instrText>
            </w:r>
            <w:r>
              <w:rPr>
                <w:noProof/>
                <w:webHidden/>
              </w:rPr>
            </w:r>
            <w:r>
              <w:rPr>
                <w:noProof/>
                <w:webHidden/>
              </w:rPr>
              <w:fldChar w:fldCharType="separate"/>
            </w:r>
            <w:r>
              <w:rPr>
                <w:noProof/>
                <w:webHidden/>
              </w:rPr>
              <w:t>16</w:t>
            </w:r>
            <w:r>
              <w:rPr>
                <w:noProof/>
                <w:webHidden/>
              </w:rPr>
              <w:fldChar w:fldCharType="end"/>
            </w:r>
          </w:hyperlink>
        </w:p>
        <w:p w14:paraId="71E294BA" w14:textId="77777777" w:rsidR="009A34F5" w:rsidRDefault="009A34F5">
          <w:pPr>
            <w:pStyle w:val="TOC3"/>
            <w:rPr>
              <w:rFonts w:asciiTheme="minorHAnsi" w:eastAsiaTheme="minorEastAsia" w:hAnsiTheme="minorHAnsi" w:cstheme="minorBidi"/>
              <w:noProof/>
              <w:lang w:eastAsia="en-AU"/>
            </w:rPr>
          </w:pPr>
          <w:hyperlink w:anchor="_Toc497744810" w:history="1">
            <w:r w:rsidRPr="00E95870">
              <w:rPr>
                <w:rStyle w:val="Hyperlink"/>
                <w:noProof/>
              </w:rPr>
              <w:t>Quality summary and conclusions</w:t>
            </w:r>
            <w:r>
              <w:rPr>
                <w:noProof/>
                <w:webHidden/>
              </w:rPr>
              <w:tab/>
            </w:r>
            <w:r>
              <w:rPr>
                <w:noProof/>
                <w:webHidden/>
              </w:rPr>
              <w:fldChar w:fldCharType="begin"/>
            </w:r>
            <w:r>
              <w:rPr>
                <w:noProof/>
                <w:webHidden/>
              </w:rPr>
              <w:instrText xml:space="preserve"> PAGEREF _Toc497744810 \h </w:instrText>
            </w:r>
            <w:r>
              <w:rPr>
                <w:noProof/>
                <w:webHidden/>
              </w:rPr>
            </w:r>
            <w:r>
              <w:rPr>
                <w:noProof/>
                <w:webHidden/>
              </w:rPr>
              <w:fldChar w:fldCharType="separate"/>
            </w:r>
            <w:r>
              <w:rPr>
                <w:noProof/>
                <w:webHidden/>
              </w:rPr>
              <w:t>16</w:t>
            </w:r>
            <w:r>
              <w:rPr>
                <w:noProof/>
                <w:webHidden/>
              </w:rPr>
              <w:fldChar w:fldCharType="end"/>
            </w:r>
          </w:hyperlink>
        </w:p>
        <w:p w14:paraId="1C709EE8" w14:textId="77777777" w:rsidR="009A34F5" w:rsidRDefault="009A34F5">
          <w:pPr>
            <w:pStyle w:val="TOC2"/>
            <w:rPr>
              <w:rFonts w:asciiTheme="minorHAnsi" w:eastAsiaTheme="minorEastAsia" w:hAnsiTheme="minorHAnsi" w:cstheme="minorBidi"/>
              <w:b w:val="0"/>
              <w:noProof/>
              <w:sz w:val="22"/>
              <w:lang w:eastAsia="en-AU"/>
            </w:rPr>
          </w:pPr>
          <w:hyperlink w:anchor="_Toc497744811" w:history="1">
            <w:r w:rsidRPr="00E95870">
              <w:rPr>
                <w:rStyle w:val="Hyperlink"/>
                <w:noProof/>
              </w:rPr>
              <w:t>III. Nonclinical findings</w:t>
            </w:r>
            <w:r>
              <w:rPr>
                <w:noProof/>
                <w:webHidden/>
              </w:rPr>
              <w:tab/>
            </w:r>
            <w:r>
              <w:rPr>
                <w:noProof/>
                <w:webHidden/>
              </w:rPr>
              <w:fldChar w:fldCharType="begin"/>
            </w:r>
            <w:r>
              <w:rPr>
                <w:noProof/>
                <w:webHidden/>
              </w:rPr>
              <w:instrText xml:space="preserve"> PAGEREF _Toc497744811 \h </w:instrText>
            </w:r>
            <w:r>
              <w:rPr>
                <w:noProof/>
                <w:webHidden/>
              </w:rPr>
            </w:r>
            <w:r>
              <w:rPr>
                <w:noProof/>
                <w:webHidden/>
              </w:rPr>
              <w:fldChar w:fldCharType="separate"/>
            </w:r>
            <w:r>
              <w:rPr>
                <w:noProof/>
                <w:webHidden/>
              </w:rPr>
              <w:t>16</w:t>
            </w:r>
            <w:r>
              <w:rPr>
                <w:noProof/>
                <w:webHidden/>
              </w:rPr>
              <w:fldChar w:fldCharType="end"/>
            </w:r>
          </w:hyperlink>
        </w:p>
        <w:p w14:paraId="278CDD02" w14:textId="77777777" w:rsidR="009A34F5" w:rsidRDefault="009A34F5">
          <w:pPr>
            <w:pStyle w:val="TOC3"/>
            <w:rPr>
              <w:rFonts w:asciiTheme="minorHAnsi" w:eastAsiaTheme="minorEastAsia" w:hAnsiTheme="minorHAnsi" w:cstheme="minorBidi"/>
              <w:noProof/>
              <w:lang w:eastAsia="en-AU"/>
            </w:rPr>
          </w:pPr>
          <w:hyperlink w:anchor="_Toc497744812" w:history="1">
            <w:r w:rsidRPr="00E95870">
              <w:rPr>
                <w:rStyle w:val="Hyperlink"/>
                <w:noProof/>
              </w:rPr>
              <w:t>Introduction</w:t>
            </w:r>
            <w:r>
              <w:rPr>
                <w:noProof/>
                <w:webHidden/>
              </w:rPr>
              <w:tab/>
            </w:r>
            <w:r>
              <w:rPr>
                <w:noProof/>
                <w:webHidden/>
              </w:rPr>
              <w:fldChar w:fldCharType="begin"/>
            </w:r>
            <w:r>
              <w:rPr>
                <w:noProof/>
                <w:webHidden/>
              </w:rPr>
              <w:instrText xml:space="preserve"> PAGEREF _Toc497744812 \h </w:instrText>
            </w:r>
            <w:r>
              <w:rPr>
                <w:noProof/>
                <w:webHidden/>
              </w:rPr>
            </w:r>
            <w:r>
              <w:rPr>
                <w:noProof/>
                <w:webHidden/>
              </w:rPr>
              <w:fldChar w:fldCharType="separate"/>
            </w:r>
            <w:r>
              <w:rPr>
                <w:noProof/>
                <w:webHidden/>
              </w:rPr>
              <w:t>16</w:t>
            </w:r>
            <w:r>
              <w:rPr>
                <w:noProof/>
                <w:webHidden/>
              </w:rPr>
              <w:fldChar w:fldCharType="end"/>
            </w:r>
          </w:hyperlink>
        </w:p>
        <w:p w14:paraId="62076E71" w14:textId="77777777" w:rsidR="009A34F5" w:rsidRDefault="009A34F5">
          <w:pPr>
            <w:pStyle w:val="TOC3"/>
            <w:rPr>
              <w:rFonts w:asciiTheme="minorHAnsi" w:eastAsiaTheme="minorEastAsia" w:hAnsiTheme="minorHAnsi" w:cstheme="minorBidi"/>
              <w:noProof/>
              <w:lang w:eastAsia="en-AU"/>
            </w:rPr>
          </w:pPr>
          <w:hyperlink w:anchor="_Toc497744813" w:history="1">
            <w:r w:rsidRPr="00E95870">
              <w:rPr>
                <w:rStyle w:val="Hyperlink"/>
                <w:noProof/>
              </w:rPr>
              <w:t>Pharmacology</w:t>
            </w:r>
            <w:r>
              <w:rPr>
                <w:noProof/>
                <w:webHidden/>
              </w:rPr>
              <w:tab/>
            </w:r>
            <w:r>
              <w:rPr>
                <w:noProof/>
                <w:webHidden/>
              </w:rPr>
              <w:fldChar w:fldCharType="begin"/>
            </w:r>
            <w:r>
              <w:rPr>
                <w:noProof/>
                <w:webHidden/>
              </w:rPr>
              <w:instrText xml:space="preserve"> PAGEREF _Toc497744813 \h </w:instrText>
            </w:r>
            <w:r>
              <w:rPr>
                <w:noProof/>
                <w:webHidden/>
              </w:rPr>
            </w:r>
            <w:r>
              <w:rPr>
                <w:noProof/>
                <w:webHidden/>
              </w:rPr>
              <w:fldChar w:fldCharType="separate"/>
            </w:r>
            <w:r>
              <w:rPr>
                <w:noProof/>
                <w:webHidden/>
              </w:rPr>
              <w:t>17</w:t>
            </w:r>
            <w:r>
              <w:rPr>
                <w:noProof/>
                <w:webHidden/>
              </w:rPr>
              <w:fldChar w:fldCharType="end"/>
            </w:r>
          </w:hyperlink>
        </w:p>
        <w:p w14:paraId="5224C149" w14:textId="77777777" w:rsidR="009A34F5" w:rsidRDefault="009A34F5">
          <w:pPr>
            <w:pStyle w:val="TOC3"/>
            <w:rPr>
              <w:rFonts w:asciiTheme="minorHAnsi" w:eastAsiaTheme="minorEastAsia" w:hAnsiTheme="minorHAnsi" w:cstheme="minorBidi"/>
              <w:noProof/>
              <w:lang w:eastAsia="en-AU"/>
            </w:rPr>
          </w:pPr>
          <w:hyperlink w:anchor="_Toc497744814" w:history="1">
            <w:r w:rsidRPr="00E95870">
              <w:rPr>
                <w:rStyle w:val="Hyperlink"/>
                <w:noProof/>
              </w:rPr>
              <w:t>Second round evaluation</w:t>
            </w:r>
            <w:r>
              <w:rPr>
                <w:noProof/>
                <w:webHidden/>
              </w:rPr>
              <w:tab/>
            </w:r>
            <w:r>
              <w:rPr>
                <w:noProof/>
                <w:webHidden/>
              </w:rPr>
              <w:fldChar w:fldCharType="begin"/>
            </w:r>
            <w:r>
              <w:rPr>
                <w:noProof/>
                <w:webHidden/>
              </w:rPr>
              <w:instrText xml:space="preserve"> PAGEREF _Toc497744814 \h </w:instrText>
            </w:r>
            <w:r>
              <w:rPr>
                <w:noProof/>
                <w:webHidden/>
              </w:rPr>
            </w:r>
            <w:r>
              <w:rPr>
                <w:noProof/>
                <w:webHidden/>
              </w:rPr>
              <w:fldChar w:fldCharType="separate"/>
            </w:r>
            <w:r>
              <w:rPr>
                <w:noProof/>
                <w:webHidden/>
              </w:rPr>
              <w:t>18</w:t>
            </w:r>
            <w:r>
              <w:rPr>
                <w:noProof/>
                <w:webHidden/>
              </w:rPr>
              <w:fldChar w:fldCharType="end"/>
            </w:r>
          </w:hyperlink>
        </w:p>
        <w:p w14:paraId="6717FE5C" w14:textId="77777777" w:rsidR="009A34F5" w:rsidRDefault="009A34F5">
          <w:pPr>
            <w:pStyle w:val="TOC3"/>
            <w:rPr>
              <w:rFonts w:asciiTheme="minorHAnsi" w:eastAsiaTheme="minorEastAsia" w:hAnsiTheme="minorHAnsi" w:cstheme="minorBidi"/>
              <w:noProof/>
              <w:lang w:eastAsia="en-AU"/>
            </w:rPr>
          </w:pPr>
          <w:hyperlink w:anchor="_Toc497744815" w:history="1">
            <w:r w:rsidRPr="00E95870">
              <w:rPr>
                <w:rStyle w:val="Hyperlink"/>
                <w:noProof/>
              </w:rPr>
              <w:t>Toxicology</w:t>
            </w:r>
            <w:r>
              <w:rPr>
                <w:noProof/>
                <w:webHidden/>
              </w:rPr>
              <w:tab/>
            </w:r>
            <w:r>
              <w:rPr>
                <w:noProof/>
                <w:webHidden/>
              </w:rPr>
              <w:fldChar w:fldCharType="begin"/>
            </w:r>
            <w:r>
              <w:rPr>
                <w:noProof/>
                <w:webHidden/>
              </w:rPr>
              <w:instrText xml:space="preserve"> PAGEREF _Toc497744815 \h </w:instrText>
            </w:r>
            <w:r>
              <w:rPr>
                <w:noProof/>
                <w:webHidden/>
              </w:rPr>
            </w:r>
            <w:r>
              <w:rPr>
                <w:noProof/>
                <w:webHidden/>
              </w:rPr>
              <w:fldChar w:fldCharType="separate"/>
            </w:r>
            <w:r>
              <w:rPr>
                <w:noProof/>
                <w:webHidden/>
              </w:rPr>
              <w:t>18</w:t>
            </w:r>
            <w:r>
              <w:rPr>
                <w:noProof/>
                <w:webHidden/>
              </w:rPr>
              <w:fldChar w:fldCharType="end"/>
            </w:r>
          </w:hyperlink>
        </w:p>
        <w:p w14:paraId="1E85FE65" w14:textId="77777777" w:rsidR="009A34F5" w:rsidRDefault="009A34F5">
          <w:pPr>
            <w:pStyle w:val="TOC3"/>
            <w:rPr>
              <w:rFonts w:asciiTheme="minorHAnsi" w:eastAsiaTheme="minorEastAsia" w:hAnsiTheme="minorHAnsi" w:cstheme="minorBidi"/>
              <w:noProof/>
              <w:lang w:eastAsia="en-AU"/>
            </w:rPr>
          </w:pPr>
          <w:hyperlink w:anchor="_Toc497744816" w:history="1">
            <w:r w:rsidRPr="00E95870">
              <w:rPr>
                <w:rStyle w:val="Hyperlink"/>
                <w:noProof/>
              </w:rPr>
              <w:t>Nonclinical summary and conclusions</w:t>
            </w:r>
            <w:r>
              <w:rPr>
                <w:noProof/>
                <w:webHidden/>
              </w:rPr>
              <w:tab/>
            </w:r>
            <w:r>
              <w:rPr>
                <w:noProof/>
                <w:webHidden/>
              </w:rPr>
              <w:fldChar w:fldCharType="begin"/>
            </w:r>
            <w:r>
              <w:rPr>
                <w:noProof/>
                <w:webHidden/>
              </w:rPr>
              <w:instrText xml:space="preserve"> PAGEREF _Toc497744816 \h </w:instrText>
            </w:r>
            <w:r>
              <w:rPr>
                <w:noProof/>
                <w:webHidden/>
              </w:rPr>
            </w:r>
            <w:r>
              <w:rPr>
                <w:noProof/>
                <w:webHidden/>
              </w:rPr>
              <w:fldChar w:fldCharType="separate"/>
            </w:r>
            <w:r>
              <w:rPr>
                <w:noProof/>
                <w:webHidden/>
              </w:rPr>
              <w:t>21</w:t>
            </w:r>
            <w:r>
              <w:rPr>
                <w:noProof/>
                <w:webHidden/>
              </w:rPr>
              <w:fldChar w:fldCharType="end"/>
            </w:r>
          </w:hyperlink>
        </w:p>
        <w:p w14:paraId="157D1C8B" w14:textId="77777777" w:rsidR="009A34F5" w:rsidRDefault="009A34F5">
          <w:pPr>
            <w:pStyle w:val="TOC2"/>
            <w:rPr>
              <w:rFonts w:asciiTheme="minorHAnsi" w:eastAsiaTheme="minorEastAsia" w:hAnsiTheme="minorHAnsi" w:cstheme="minorBidi"/>
              <w:b w:val="0"/>
              <w:noProof/>
              <w:sz w:val="22"/>
              <w:lang w:eastAsia="en-AU"/>
            </w:rPr>
          </w:pPr>
          <w:hyperlink w:anchor="_Toc497744817" w:history="1">
            <w:r w:rsidRPr="00E95870">
              <w:rPr>
                <w:rStyle w:val="Hyperlink"/>
                <w:noProof/>
              </w:rPr>
              <w:t>IV. Clinical findings</w:t>
            </w:r>
            <w:r>
              <w:rPr>
                <w:noProof/>
                <w:webHidden/>
              </w:rPr>
              <w:tab/>
            </w:r>
            <w:r>
              <w:rPr>
                <w:noProof/>
                <w:webHidden/>
              </w:rPr>
              <w:fldChar w:fldCharType="begin"/>
            </w:r>
            <w:r>
              <w:rPr>
                <w:noProof/>
                <w:webHidden/>
              </w:rPr>
              <w:instrText xml:space="preserve"> PAGEREF _Toc497744817 \h </w:instrText>
            </w:r>
            <w:r>
              <w:rPr>
                <w:noProof/>
                <w:webHidden/>
              </w:rPr>
            </w:r>
            <w:r>
              <w:rPr>
                <w:noProof/>
                <w:webHidden/>
              </w:rPr>
              <w:fldChar w:fldCharType="separate"/>
            </w:r>
            <w:r>
              <w:rPr>
                <w:noProof/>
                <w:webHidden/>
              </w:rPr>
              <w:t>21</w:t>
            </w:r>
            <w:r>
              <w:rPr>
                <w:noProof/>
                <w:webHidden/>
              </w:rPr>
              <w:fldChar w:fldCharType="end"/>
            </w:r>
          </w:hyperlink>
        </w:p>
        <w:p w14:paraId="7BBCCEA5" w14:textId="77777777" w:rsidR="009A34F5" w:rsidRDefault="009A34F5">
          <w:pPr>
            <w:pStyle w:val="TOC3"/>
            <w:rPr>
              <w:rFonts w:asciiTheme="minorHAnsi" w:eastAsiaTheme="minorEastAsia" w:hAnsiTheme="minorHAnsi" w:cstheme="minorBidi"/>
              <w:noProof/>
              <w:lang w:eastAsia="en-AU"/>
            </w:rPr>
          </w:pPr>
          <w:hyperlink w:anchor="_Toc497744818" w:history="1">
            <w:r w:rsidRPr="00E95870">
              <w:rPr>
                <w:rStyle w:val="Hyperlink"/>
                <w:noProof/>
              </w:rPr>
              <w:t>Introduction</w:t>
            </w:r>
            <w:r>
              <w:rPr>
                <w:noProof/>
                <w:webHidden/>
              </w:rPr>
              <w:tab/>
            </w:r>
            <w:r>
              <w:rPr>
                <w:noProof/>
                <w:webHidden/>
              </w:rPr>
              <w:fldChar w:fldCharType="begin"/>
            </w:r>
            <w:r>
              <w:rPr>
                <w:noProof/>
                <w:webHidden/>
              </w:rPr>
              <w:instrText xml:space="preserve"> PAGEREF _Toc497744818 \h </w:instrText>
            </w:r>
            <w:r>
              <w:rPr>
                <w:noProof/>
                <w:webHidden/>
              </w:rPr>
            </w:r>
            <w:r>
              <w:rPr>
                <w:noProof/>
                <w:webHidden/>
              </w:rPr>
              <w:fldChar w:fldCharType="separate"/>
            </w:r>
            <w:r>
              <w:rPr>
                <w:noProof/>
                <w:webHidden/>
              </w:rPr>
              <w:t>21</w:t>
            </w:r>
            <w:r>
              <w:rPr>
                <w:noProof/>
                <w:webHidden/>
              </w:rPr>
              <w:fldChar w:fldCharType="end"/>
            </w:r>
          </w:hyperlink>
        </w:p>
        <w:p w14:paraId="15507B17" w14:textId="77777777" w:rsidR="009A34F5" w:rsidRDefault="009A34F5">
          <w:pPr>
            <w:pStyle w:val="TOC3"/>
            <w:rPr>
              <w:rFonts w:asciiTheme="minorHAnsi" w:eastAsiaTheme="minorEastAsia" w:hAnsiTheme="minorHAnsi" w:cstheme="minorBidi"/>
              <w:noProof/>
              <w:lang w:eastAsia="en-AU"/>
            </w:rPr>
          </w:pPr>
          <w:hyperlink w:anchor="_Toc497744819" w:history="1">
            <w:r w:rsidRPr="00E95870">
              <w:rPr>
                <w:rStyle w:val="Hyperlink"/>
                <w:noProof/>
              </w:rPr>
              <w:t>Clinical rationale</w:t>
            </w:r>
            <w:r>
              <w:rPr>
                <w:noProof/>
                <w:webHidden/>
              </w:rPr>
              <w:tab/>
            </w:r>
            <w:r>
              <w:rPr>
                <w:noProof/>
                <w:webHidden/>
              </w:rPr>
              <w:fldChar w:fldCharType="begin"/>
            </w:r>
            <w:r>
              <w:rPr>
                <w:noProof/>
                <w:webHidden/>
              </w:rPr>
              <w:instrText xml:space="preserve"> PAGEREF _Toc497744819 \h </w:instrText>
            </w:r>
            <w:r>
              <w:rPr>
                <w:noProof/>
                <w:webHidden/>
              </w:rPr>
            </w:r>
            <w:r>
              <w:rPr>
                <w:noProof/>
                <w:webHidden/>
              </w:rPr>
              <w:fldChar w:fldCharType="separate"/>
            </w:r>
            <w:r>
              <w:rPr>
                <w:noProof/>
                <w:webHidden/>
              </w:rPr>
              <w:t>23</w:t>
            </w:r>
            <w:r>
              <w:rPr>
                <w:noProof/>
                <w:webHidden/>
              </w:rPr>
              <w:fldChar w:fldCharType="end"/>
            </w:r>
          </w:hyperlink>
        </w:p>
        <w:p w14:paraId="4B8EF174" w14:textId="77777777" w:rsidR="009A34F5" w:rsidRDefault="009A34F5">
          <w:pPr>
            <w:pStyle w:val="TOC3"/>
            <w:rPr>
              <w:rFonts w:asciiTheme="minorHAnsi" w:eastAsiaTheme="minorEastAsia" w:hAnsiTheme="minorHAnsi" w:cstheme="minorBidi"/>
              <w:noProof/>
              <w:lang w:eastAsia="en-AU"/>
            </w:rPr>
          </w:pPr>
          <w:hyperlink w:anchor="_Toc497744820" w:history="1">
            <w:r w:rsidRPr="00E95870">
              <w:rPr>
                <w:rStyle w:val="Hyperlink"/>
                <w:noProof/>
              </w:rPr>
              <w:t>Pharmacokinetics</w:t>
            </w:r>
            <w:r>
              <w:rPr>
                <w:noProof/>
                <w:webHidden/>
              </w:rPr>
              <w:tab/>
            </w:r>
            <w:r>
              <w:rPr>
                <w:noProof/>
                <w:webHidden/>
              </w:rPr>
              <w:fldChar w:fldCharType="begin"/>
            </w:r>
            <w:r>
              <w:rPr>
                <w:noProof/>
                <w:webHidden/>
              </w:rPr>
              <w:instrText xml:space="preserve"> PAGEREF _Toc497744820 \h </w:instrText>
            </w:r>
            <w:r>
              <w:rPr>
                <w:noProof/>
                <w:webHidden/>
              </w:rPr>
            </w:r>
            <w:r>
              <w:rPr>
                <w:noProof/>
                <w:webHidden/>
              </w:rPr>
              <w:fldChar w:fldCharType="separate"/>
            </w:r>
            <w:r>
              <w:rPr>
                <w:noProof/>
                <w:webHidden/>
              </w:rPr>
              <w:t>24</w:t>
            </w:r>
            <w:r>
              <w:rPr>
                <w:noProof/>
                <w:webHidden/>
              </w:rPr>
              <w:fldChar w:fldCharType="end"/>
            </w:r>
          </w:hyperlink>
        </w:p>
        <w:p w14:paraId="45D1CFA6" w14:textId="77777777" w:rsidR="009A34F5" w:rsidRDefault="009A34F5">
          <w:pPr>
            <w:pStyle w:val="TOC3"/>
            <w:rPr>
              <w:rFonts w:asciiTheme="minorHAnsi" w:eastAsiaTheme="minorEastAsia" w:hAnsiTheme="minorHAnsi" w:cstheme="minorBidi"/>
              <w:noProof/>
              <w:lang w:eastAsia="en-AU"/>
            </w:rPr>
          </w:pPr>
          <w:hyperlink w:anchor="_Toc497744821" w:history="1">
            <w:r w:rsidRPr="00E95870">
              <w:rPr>
                <w:rStyle w:val="Hyperlink"/>
                <w:noProof/>
              </w:rPr>
              <w:t>Pharmacodynamics</w:t>
            </w:r>
            <w:r>
              <w:rPr>
                <w:noProof/>
                <w:webHidden/>
              </w:rPr>
              <w:tab/>
            </w:r>
            <w:r>
              <w:rPr>
                <w:noProof/>
                <w:webHidden/>
              </w:rPr>
              <w:fldChar w:fldCharType="begin"/>
            </w:r>
            <w:r>
              <w:rPr>
                <w:noProof/>
                <w:webHidden/>
              </w:rPr>
              <w:instrText xml:space="preserve"> PAGEREF _Toc497744821 \h </w:instrText>
            </w:r>
            <w:r>
              <w:rPr>
                <w:noProof/>
                <w:webHidden/>
              </w:rPr>
            </w:r>
            <w:r>
              <w:rPr>
                <w:noProof/>
                <w:webHidden/>
              </w:rPr>
              <w:fldChar w:fldCharType="separate"/>
            </w:r>
            <w:r>
              <w:rPr>
                <w:noProof/>
                <w:webHidden/>
              </w:rPr>
              <w:t>27</w:t>
            </w:r>
            <w:r>
              <w:rPr>
                <w:noProof/>
                <w:webHidden/>
              </w:rPr>
              <w:fldChar w:fldCharType="end"/>
            </w:r>
          </w:hyperlink>
        </w:p>
        <w:p w14:paraId="1D17EB59" w14:textId="77777777" w:rsidR="009A34F5" w:rsidRDefault="009A34F5">
          <w:pPr>
            <w:pStyle w:val="TOC3"/>
            <w:rPr>
              <w:rFonts w:asciiTheme="minorHAnsi" w:eastAsiaTheme="minorEastAsia" w:hAnsiTheme="minorHAnsi" w:cstheme="minorBidi"/>
              <w:noProof/>
              <w:lang w:eastAsia="en-AU"/>
            </w:rPr>
          </w:pPr>
          <w:hyperlink w:anchor="_Toc497744822" w:history="1">
            <w:r w:rsidRPr="00E95870">
              <w:rPr>
                <w:rStyle w:val="Hyperlink"/>
                <w:noProof/>
              </w:rPr>
              <w:t>Efficacy</w:t>
            </w:r>
            <w:r>
              <w:rPr>
                <w:noProof/>
                <w:webHidden/>
              </w:rPr>
              <w:tab/>
            </w:r>
            <w:r>
              <w:rPr>
                <w:noProof/>
                <w:webHidden/>
              </w:rPr>
              <w:fldChar w:fldCharType="begin"/>
            </w:r>
            <w:r>
              <w:rPr>
                <w:noProof/>
                <w:webHidden/>
              </w:rPr>
              <w:instrText xml:space="preserve"> PAGEREF _Toc497744822 \h </w:instrText>
            </w:r>
            <w:r>
              <w:rPr>
                <w:noProof/>
                <w:webHidden/>
              </w:rPr>
            </w:r>
            <w:r>
              <w:rPr>
                <w:noProof/>
                <w:webHidden/>
              </w:rPr>
              <w:fldChar w:fldCharType="separate"/>
            </w:r>
            <w:r>
              <w:rPr>
                <w:noProof/>
                <w:webHidden/>
              </w:rPr>
              <w:t>29</w:t>
            </w:r>
            <w:r>
              <w:rPr>
                <w:noProof/>
                <w:webHidden/>
              </w:rPr>
              <w:fldChar w:fldCharType="end"/>
            </w:r>
          </w:hyperlink>
        </w:p>
        <w:p w14:paraId="39AC7938" w14:textId="77777777" w:rsidR="009A34F5" w:rsidRDefault="009A34F5">
          <w:pPr>
            <w:pStyle w:val="TOC3"/>
            <w:rPr>
              <w:rFonts w:asciiTheme="minorHAnsi" w:eastAsiaTheme="minorEastAsia" w:hAnsiTheme="minorHAnsi" w:cstheme="minorBidi"/>
              <w:noProof/>
              <w:lang w:eastAsia="en-AU"/>
            </w:rPr>
          </w:pPr>
          <w:hyperlink w:anchor="_Toc497744823" w:history="1">
            <w:r w:rsidRPr="00E95870">
              <w:rPr>
                <w:rStyle w:val="Hyperlink"/>
                <w:noProof/>
              </w:rPr>
              <w:t>Safety</w:t>
            </w:r>
            <w:r>
              <w:rPr>
                <w:noProof/>
                <w:webHidden/>
              </w:rPr>
              <w:tab/>
            </w:r>
            <w:r>
              <w:rPr>
                <w:noProof/>
                <w:webHidden/>
              </w:rPr>
              <w:fldChar w:fldCharType="begin"/>
            </w:r>
            <w:r>
              <w:rPr>
                <w:noProof/>
                <w:webHidden/>
              </w:rPr>
              <w:instrText xml:space="preserve"> PAGEREF _Toc497744823 \h </w:instrText>
            </w:r>
            <w:r>
              <w:rPr>
                <w:noProof/>
                <w:webHidden/>
              </w:rPr>
            </w:r>
            <w:r>
              <w:rPr>
                <w:noProof/>
                <w:webHidden/>
              </w:rPr>
              <w:fldChar w:fldCharType="separate"/>
            </w:r>
            <w:r>
              <w:rPr>
                <w:noProof/>
                <w:webHidden/>
              </w:rPr>
              <w:t>35</w:t>
            </w:r>
            <w:r>
              <w:rPr>
                <w:noProof/>
                <w:webHidden/>
              </w:rPr>
              <w:fldChar w:fldCharType="end"/>
            </w:r>
          </w:hyperlink>
        </w:p>
        <w:p w14:paraId="28B3228D" w14:textId="77777777" w:rsidR="009A34F5" w:rsidRDefault="009A34F5">
          <w:pPr>
            <w:pStyle w:val="TOC3"/>
            <w:rPr>
              <w:rFonts w:asciiTheme="minorHAnsi" w:eastAsiaTheme="minorEastAsia" w:hAnsiTheme="minorHAnsi" w:cstheme="minorBidi"/>
              <w:noProof/>
              <w:lang w:eastAsia="en-AU"/>
            </w:rPr>
          </w:pPr>
          <w:hyperlink w:anchor="_Toc497744824" w:history="1">
            <w:r w:rsidRPr="00E95870">
              <w:rPr>
                <w:rStyle w:val="Hyperlink"/>
                <w:noProof/>
              </w:rPr>
              <w:t>First round benefit risk assessment</w:t>
            </w:r>
            <w:r>
              <w:rPr>
                <w:noProof/>
                <w:webHidden/>
              </w:rPr>
              <w:tab/>
            </w:r>
            <w:r>
              <w:rPr>
                <w:noProof/>
                <w:webHidden/>
              </w:rPr>
              <w:fldChar w:fldCharType="begin"/>
            </w:r>
            <w:r>
              <w:rPr>
                <w:noProof/>
                <w:webHidden/>
              </w:rPr>
              <w:instrText xml:space="preserve"> PAGEREF _Toc497744824 \h </w:instrText>
            </w:r>
            <w:r>
              <w:rPr>
                <w:noProof/>
                <w:webHidden/>
              </w:rPr>
            </w:r>
            <w:r>
              <w:rPr>
                <w:noProof/>
                <w:webHidden/>
              </w:rPr>
              <w:fldChar w:fldCharType="separate"/>
            </w:r>
            <w:r>
              <w:rPr>
                <w:noProof/>
                <w:webHidden/>
              </w:rPr>
              <w:t>37</w:t>
            </w:r>
            <w:r>
              <w:rPr>
                <w:noProof/>
                <w:webHidden/>
              </w:rPr>
              <w:fldChar w:fldCharType="end"/>
            </w:r>
          </w:hyperlink>
        </w:p>
        <w:p w14:paraId="7B414074" w14:textId="77777777" w:rsidR="009A34F5" w:rsidRDefault="009A34F5">
          <w:pPr>
            <w:pStyle w:val="TOC3"/>
            <w:rPr>
              <w:rFonts w:asciiTheme="minorHAnsi" w:eastAsiaTheme="minorEastAsia" w:hAnsiTheme="minorHAnsi" w:cstheme="minorBidi"/>
              <w:noProof/>
              <w:lang w:eastAsia="en-AU"/>
            </w:rPr>
          </w:pPr>
          <w:hyperlink w:anchor="_Toc497744825" w:history="1">
            <w:r w:rsidRPr="00E95870">
              <w:rPr>
                <w:rStyle w:val="Hyperlink"/>
                <w:noProof/>
              </w:rPr>
              <w:t>First round recommendation regarding authorisation</w:t>
            </w:r>
            <w:r>
              <w:rPr>
                <w:noProof/>
                <w:webHidden/>
              </w:rPr>
              <w:tab/>
            </w:r>
            <w:r>
              <w:rPr>
                <w:noProof/>
                <w:webHidden/>
              </w:rPr>
              <w:fldChar w:fldCharType="begin"/>
            </w:r>
            <w:r>
              <w:rPr>
                <w:noProof/>
                <w:webHidden/>
              </w:rPr>
              <w:instrText xml:space="preserve"> PAGEREF _Toc497744825 \h </w:instrText>
            </w:r>
            <w:r>
              <w:rPr>
                <w:noProof/>
                <w:webHidden/>
              </w:rPr>
            </w:r>
            <w:r>
              <w:rPr>
                <w:noProof/>
                <w:webHidden/>
              </w:rPr>
              <w:fldChar w:fldCharType="separate"/>
            </w:r>
            <w:r>
              <w:rPr>
                <w:noProof/>
                <w:webHidden/>
              </w:rPr>
              <w:t>42</w:t>
            </w:r>
            <w:r>
              <w:rPr>
                <w:noProof/>
                <w:webHidden/>
              </w:rPr>
              <w:fldChar w:fldCharType="end"/>
            </w:r>
          </w:hyperlink>
        </w:p>
        <w:p w14:paraId="11529C0D" w14:textId="77777777" w:rsidR="009A34F5" w:rsidRDefault="009A34F5">
          <w:pPr>
            <w:pStyle w:val="TOC3"/>
            <w:rPr>
              <w:rFonts w:asciiTheme="minorHAnsi" w:eastAsiaTheme="minorEastAsia" w:hAnsiTheme="minorHAnsi" w:cstheme="minorBidi"/>
              <w:noProof/>
              <w:lang w:eastAsia="en-AU"/>
            </w:rPr>
          </w:pPr>
          <w:hyperlink w:anchor="_Toc497744826" w:history="1">
            <w:r w:rsidRPr="00E95870">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_Toc497744826 \h </w:instrText>
            </w:r>
            <w:r>
              <w:rPr>
                <w:noProof/>
                <w:webHidden/>
              </w:rPr>
            </w:r>
            <w:r>
              <w:rPr>
                <w:noProof/>
                <w:webHidden/>
              </w:rPr>
              <w:fldChar w:fldCharType="separate"/>
            </w:r>
            <w:r>
              <w:rPr>
                <w:noProof/>
                <w:webHidden/>
              </w:rPr>
              <w:t>43</w:t>
            </w:r>
            <w:r>
              <w:rPr>
                <w:noProof/>
                <w:webHidden/>
              </w:rPr>
              <w:fldChar w:fldCharType="end"/>
            </w:r>
          </w:hyperlink>
        </w:p>
        <w:p w14:paraId="29396695" w14:textId="77777777" w:rsidR="009A34F5" w:rsidRDefault="009A34F5">
          <w:pPr>
            <w:pStyle w:val="TOC3"/>
            <w:rPr>
              <w:rFonts w:asciiTheme="minorHAnsi" w:eastAsiaTheme="minorEastAsia" w:hAnsiTheme="minorHAnsi" w:cstheme="minorBidi"/>
              <w:noProof/>
              <w:lang w:eastAsia="en-AU"/>
            </w:rPr>
          </w:pPr>
          <w:hyperlink w:anchor="_Toc497744827" w:history="1">
            <w:r w:rsidRPr="00E95870">
              <w:rPr>
                <w:rStyle w:val="Hyperlink"/>
                <w:noProof/>
              </w:rPr>
              <w:t>Second round benefit-risk assessment</w:t>
            </w:r>
            <w:r>
              <w:rPr>
                <w:noProof/>
                <w:webHidden/>
              </w:rPr>
              <w:tab/>
            </w:r>
            <w:r>
              <w:rPr>
                <w:noProof/>
                <w:webHidden/>
              </w:rPr>
              <w:fldChar w:fldCharType="begin"/>
            </w:r>
            <w:r>
              <w:rPr>
                <w:noProof/>
                <w:webHidden/>
              </w:rPr>
              <w:instrText xml:space="preserve"> PAGEREF _Toc497744827 \h </w:instrText>
            </w:r>
            <w:r>
              <w:rPr>
                <w:noProof/>
                <w:webHidden/>
              </w:rPr>
            </w:r>
            <w:r>
              <w:rPr>
                <w:noProof/>
                <w:webHidden/>
              </w:rPr>
              <w:fldChar w:fldCharType="separate"/>
            </w:r>
            <w:r>
              <w:rPr>
                <w:noProof/>
                <w:webHidden/>
              </w:rPr>
              <w:t>43</w:t>
            </w:r>
            <w:r>
              <w:rPr>
                <w:noProof/>
                <w:webHidden/>
              </w:rPr>
              <w:fldChar w:fldCharType="end"/>
            </w:r>
          </w:hyperlink>
        </w:p>
        <w:p w14:paraId="1A211D06" w14:textId="77777777" w:rsidR="009A34F5" w:rsidRDefault="009A34F5">
          <w:pPr>
            <w:pStyle w:val="TOC3"/>
            <w:rPr>
              <w:rFonts w:asciiTheme="minorHAnsi" w:eastAsiaTheme="minorEastAsia" w:hAnsiTheme="minorHAnsi" w:cstheme="minorBidi"/>
              <w:noProof/>
              <w:lang w:eastAsia="en-AU"/>
            </w:rPr>
          </w:pPr>
          <w:hyperlink w:anchor="_Toc497744828" w:history="1">
            <w:r w:rsidRPr="00E95870">
              <w:rPr>
                <w:rStyle w:val="Hyperlink"/>
                <w:noProof/>
              </w:rPr>
              <w:t>Second round assessment of benefit-risk balance</w:t>
            </w:r>
            <w:r>
              <w:rPr>
                <w:noProof/>
                <w:webHidden/>
              </w:rPr>
              <w:tab/>
            </w:r>
            <w:r>
              <w:rPr>
                <w:noProof/>
                <w:webHidden/>
              </w:rPr>
              <w:fldChar w:fldCharType="begin"/>
            </w:r>
            <w:r>
              <w:rPr>
                <w:noProof/>
                <w:webHidden/>
              </w:rPr>
              <w:instrText xml:space="preserve"> PAGEREF _Toc497744828 \h </w:instrText>
            </w:r>
            <w:r>
              <w:rPr>
                <w:noProof/>
                <w:webHidden/>
              </w:rPr>
            </w:r>
            <w:r>
              <w:rPr>
                <w:noProof/>
                <w:webHidden/>
              </w:rPr>
              <w:fldChar w:fldCharType="separate"/>
            </w:r>
            <w:r>
              <w:rPr>
                <w:noProof/>
                <w:webHidden/>
              </w:rPr>
              <w:t>43</w:t>
            </w:r>
            <w:r>
              <w:rPr>
                <w:noProof/>
                <w:webHidden/>
              </w:rPr>
              <w:fldChar w:fldCharType="end"/>
            </w:r>
          </w:hyperlink>
        </w:p>
        <w:p w14:paraId="0363402E" w14:textId="77777777" w:rsidR="009A34F5" w:rsidRDefault="009A34F5">
          <w:pPr>
            <w:pStyle w:val="TOC3"/>
            <w:rPr>
              <w:rFonts w:asciiTheme="minorHAnsi" w:eastAsiaTheme="minorEastAsia" w:hAnsiTheme="minorHAnsi" w:cstheme="minorBidi"/>
              <w:noProof/>
              <w:lang w:eastAsia="en-AU"/>
            </w:rPr>
          </w:pPr>
          <w:hyperlink w:anchor="_Toc497744829" w:history="1">
            <w:r w:rsidRPr="00E95870">
              <w:rPr>
                <w:rStyle w:val="Hyperlink"/>
                <w:noProof/>
              </w:rPr>
              <w:t>Second round recommendation regarding authorisation</w:t>
            </w:r>
            <w:r>
              <w:rPr>
                <w:noProof/>
                <w:webHidden/>
              </w:rPr>
              <w:tab/>
            </w:r>
            <w:r>
              <w:rPr>
                <w:noProof/>
                <w:webHidden/>
              </w:rPr>
              <w:fldChar w:fldCharType="begin"/>
            </w:r>
            <w:r>
              <w:rPr>
                <w:noProof/>
                <w:webHidden/>
              </w:rPr>
              <w:instrText xml:space="preserve"> PAGEREF _Toc497744829 \h </w:instrText>
            </w:r>
            <w:r>
              <w:rPr>
                <w:noProof/>
                <w:webHidden/>
              </w:rPr>
            </w:r>
            <w:r>
              <w:rPr>
                <w:noProof/>
                <w:webHidden/>
              </w:rPr>
              <w:fldChar w:fldCharType="separate"/>
            </w:r>
            <w:r>
              <w:rPr>
                <w:noProof/>
                <w:webHidden/>
              </w:rPr>
              <w:t>43</w:t>
            </w:r>
            <w:r>
              <w:rPr>
                <w:noProof/>
                <w:webHidden/>
              </w:rPr>
              <w:fldChar w:fldCharType="end"/>
            </w:r>
          </w:hyperlink>
        </w:p>
        <w:p w14:paraId="11A1E5C0" w14:textId="77777777" w:rsidR="009A34F5" w:rsidRDefault="009A34F5">
          <w:pPr>
            <w:pStyle w:val="TOC2"/>
            <w:rPr>
              <w:rFonts w:asciiTheme="minorHAnsi" w:eastAsiaTheme="minorEastAsia" w:hAnsiTheme="minorHAnsi" w:cstheme="minorBidi"/>
              <w:b w:val="0"/>
              <w:noProof/>
              <w:sz w:val="22"/>
              <w:lang w:eastAsia="en-AU"/>
            </w:rPr>
          </w:pPr>
          <w:hyperlink w:anchor="_Toc497744830" w:history="1">
            <w:r w:rsidRPr="00E95870">
              <w:rPr>
                <w:rStyle w:val="Hyperlink"/>
                <w:noProof/>
              </w:rPr>
              <w:t>V. Pharmacovigilance findings</w:t>
            </w:r>
            <w:r>
              <w:rPr>
                <w:noProof/>
                <w:webHidden/>
              </w:rPr>
              <w:tab/>
            </w:r>
            <w:r>
              <w:rPr>
                <w:noProof/>
                <w:webHidden/>
              </w:rPr>
              <w:fldChar w:fldCharType="begin"/>
            </w:r>
            <w:r>
              <w:rPr>
                <w:noProof/>
                <w:webHidden/>
              </w:rPr>
              <w:instrText xml:space="preserve"> PAGEREF _Toc497744830 \h </w:instrText>
            </w:r>
            <w:r>
              <w:rPr>
                <w:noProof/>
                <w:webHidden/>
              </w:rPr>
            </w:r>
            <w:r>
              <w:rPr>
                <w:noProof/>
                <w:webHidden/>
              </w:rPr>
              <w:fldChar w:fldCharType="separate"/>
            </w:r>
            <w:r>
              <w:rPr>
                <w:noProof/>
                <w:webHidden/>
              </w:rPr>
              <w:t>43</w:t>
            </w:r>
            <w:r>
              <w:rPr>
                <w:noProof/>
                <w:webHidden/>
              </w:rPr>
              <w:fldChar w:fldCharType="end"/>
            </w:r>
          </w:hyperlink>
        </w:p>
        <w:p w14:paraId="0AF7C3B4" w14:textId="77777777" w:rsidR="009A34F5" w:rsidRDefault="009A34F5">
          <w:pPr>
            <w:pStyle w:val="TOC3"/>
            <w:rPr>
              <w:rFonts w:asciiTheme="minorHAnsi" w:eastAsiaTheme="minorEastAsia" w:hAnsiTheme="minorHAnsi" w:cstheme="minorBidi"/>
              <w:noProof/>
              <w:lang w:eastAsia="en-AU"/>
            </w:rPr>
          </w:pPr>
          <w:hyperlink w:anchor="_Toc497744831" w:history="1">
            <w:r w:rsidRPr="00E95870">
              <w:rPr>
                <w:rStyle w:val="Hyperlink"/>
                <w:noProof/>
                <w:lang w:eastAsia="en-AU"/>
              </w:rPr>
              <w:t>Risk management plan</w:t>
            </w:r>
            <w:r>
              <w:rPr>
                <w:noProof/>
                <w:webHidden/>
              </w:rPr>
              <w:tab/>
            </w:r>
            <w:r>
              <w:rPr>
                <w:noProof/>
                <w:webHidden/>
              </w:rPr>
              <w:fldChar w:fldCharType="begin"/>
            </w:r>
            <w:r>
              <w:rPr>
                <w:noProof/>
                <w:webHidden/>
              </w:rPr>
              <w:instrText xml:space="preserve"> PAGEREF _Toc497744831 \h </w:instrText>
            </w:r>
            <w:r>
              <w:rPr>
                <w:noProof/>
                <w:webHidden/>
              </w:rPr>
            </w:r>
            <w:r>
              <w:rPr>
                <w:noProof/>
                <w:webHidden/>
              </w:rPr>
              <w:fldChar w:fldCharType="separate"/>
            </w:r>
            <w:r>
              <w:rPr>
                <w:noProof/>
                <w:webHidden/>
              </w:rPr>
              <w:t>43</w:t>
            </w:r>
            <w:r>
              <w:rPr>
                <w:noProof/>
                <w:webHidden/>
              </w:rPr>
              <w:fldChar w:fldCharType="end"/>
            </w:r>
          </w:hyperlink>
        </w:p>
        <w:p w14:paraId="5E1B98C5" w14:textId="77777777" w:rsidR="009A34F5" w:rsidRDefault="009A34F5">
          <w:pPr>
            <w:pStyle w:val="TOC2"/>
            <w:rPr>
              <w:rFonts w:asciiTheme="minorHAnsi" w:eastAsiaTheme="minorEastAsia" w:hAnsiTheme="minorHAnsi" w:cstheme="minorBidi"/>
              <w:b w:val="0"/>
              <w:noProof/>
              <w:sz w:val="22"/>
              <w:lang w:eastAsia="en-AU"/>
            </w:rPr>
          </w:pPr>
          <w:hyperlink w:anchor="_Toc497744832" w:history="1">
            <w:r w:rsidRPr="00E95870">
              <w:rPr>
                <w:rStyle w:val="Hyperlink"/>
                <w:noProof/>
              </w:rPr>
              <w:t>VI. Overall conclusion and risk/benefit assessment</w:t>
            </w:r>
            <w:r>
              <w:rPr>
                <w:noProof/>
                <w:webHidden/>
              </w:rPr>
              <w:tab/>
            </w:r>
            <w:r>
              <w:rPr>
                <w:noProof/>
                <w:webHidden/>
              </w:rPr>
              <w:fldChar w:fldCharType="begin"/>
            </w:r>
            <w:r>
              <w:rPr>
                <w:noProof/>
                <w:webHidden/>
              </w:rPr>
              <w:instrText xml:space="preserve"> PAGEREF _Toc497744832 \h </w:instrText>
            </w:r>
            <w:r>
              <w:rPr>
                <w:noProof/>
                <w:webHidden/>
              </w:rPr>
            </w:r>
            <w:r>
              <w:rPr>
                <w:noProof/>
                <w:webHidden/>
              </w:rPr>
              <w:fldChar w:fldCharType="separate"/>
            </w:r>
            <w:r>
              <w:rPr>
                <w:noProof/>
                <w:webHidden/>
              </w:rPr>
              <w:t>46</w:t>
            </w:r>
            <w:r>
              <w:rPr>
                <w:noProof/>
                <w:webHidden/>
              </w:rPr>
              <w:fldChar w:fldCharType="end"/>
            </w:r>
          </w:hyperlink>
        </w:p>
        <w:p w14:paraId="63C0A93D" w14:textId="77777777" w:rsidR="009A34F5" w:rsidRDefault="009A34F5">
          <w:pPr>
            <w:pStyle w:val="TOC3"/>
            <w:rPr>
              <w:rFonts w:asciiTheme="minorHAnsi" w:eastAsiaTheme="minorEastAsia" w:hAnsiTheme="minorHAnsi" w:cstheme="minorBidi"/>
              <w:noProof/>
              <w:lang w:eastAsia="en-AU"/>
            </w:rPr>
          </w:pPr>
          <w:hyperlink w:anchor="_Toc497744833" w:history="1">
            <w:r w:rsidRPr="00E95870">
              <w:rPr>
                <w:rStyle w:val="Hyperlink"/>
                <w:noProof/>
              </w:rPr>
              <w:t>Quality</w:t>
            </w:r>
            <w:r>
              <w:rPr>
                <w:noProof/>
                <w:webHidden/>
              </w:rPr>
              <w:tab/>
            </w:r>
            <w:r>
              <w:rPr>
                <w:noProof/>
                <w:webHidden/>
              </w:rPr>
              <w:fldChar w:fldCharType="begin"/>
            </w:r>
            <w:r>
              <w:rPr>
                <w:noProof/>
                <w:webHidden/>
              </w:rPr>
              <w:instrText xml:space="preserve"> PAGEREF _Toc497744833 \h </w:instrText>
            </w:r>
            <w:r>
              <w:rPr>
                <w:noProof/>
                <w:webHidden/>
              </w:rPr>
            </w:r>
            <w:r>
              <w:rPr>
                <w:noProof/>
                <w:webHidden/>
              </w:rPr>
              <w:fldChar w:fldCharType="separate"/>
            </w:r>
            <w:r>
              <w:rPr>
                <w:noProof/>
                <w:webHidden/>
              </w:rPr>
              <w:t>46</w:t>
            </w:r>
            <w:r>
              <w:rPr>
                <w:noProof/>
                <w:webHidden/>
              </w:rPr>
              <w:fldChar w:fldCharType="end"/>
            </w:r>
          </w:hyperlink>
        </w:p>
        <w:p w14:paraId="712963AC" w14:textId="77777777" w:rsidR="009A34F5" w:rsidRDefault="009A34F5">
          <w:pPr>
            <w:pStyle w:val="TOC3"/>
            <w:rPr>
              <w:rFonts w:asciiTheme="minorHAnsi" w:eastAsiaTheme="minorEastAsia" w:hAnsiTheme="minorHAnsi" w:cstheme="minorBidi"/>
              <w:noProof/>
              <w:lang w:eastAsia="en-AU"/>
            </w:rPr>
          </w:pPr>
          <w:hyperlink w:anchor="_Toc497744834" w:history="1">
            <w:r w:rsidRPr="00E95870">
              <w:rPr>
                <w:rStyle w:val="Hyperlink"/>
                <w:noProof/>
              </w:rPr>
              <w:t>Nonclinical</w:t>
            </w:r>
            <w:r>
              <w:rPr>
                <w:noProof/>
                <w:webHidden/>
              </w:rPr>
              <w:tab/>
            </w:r>
            <w:r>
              <w:rPr>
                <w:noProof/>
                <w:webHidden/>
              </w:rPr>
              <w:fldChar w:fldCharType="begin"/>
            </w:r>
            <w:r>
              <w:rPr>
                <w:noProof/>
                <w:webHidden/>
              </w:rPr>
              <w:instrText xml:space="preserve"> PAGEREF _Toc497744834 \h </w:instrText>
            </w:r>
            <w:r>
              <w:rPr>
                <w:noProof/>
                <w:webHidden/>
              </w:rPr>
            </w:r>
            <w:r>
              <w:rPr>
                <w:noProof/>
                <w:webHidden/>
              </w:rPr>
              <w:fldChar w:fldCharType="separate"/>
            </w:r>
            <w:r>
              <w:rPr>
                <w:noProof/>
                <w:webHidden/>
              </w:rPr>
              <w:t>47</w:t>
            </w:r>
            <w:r>
              <w:rPr>
                <w:noProof/>
                <w:webHidden/>
              </w:rPr>
              <w:fldChar w:fldCharType="end"/>
            </w:r>
          </w:hyperlink>
        </w:p>
        <w:p w14:paraId="5BE1A782" w14:textId="77777777" w:rsidR="009A34F5" w:rsidRDefault="009A34F5">
          <w:pPr>
            <w:pStyle w:val="TOC3"/>
            <w:rPr>
              <w:rFonts w:asciiTheme="minorHAnsi" w:eastAsiaTheme="minorEastAsia" w:hAnsiTheme="minorHAnsi" w:cstheme="minorBidi"/>
              <w:noProof/>
              <w:lang w:eastAsia="en-AU"/>
            </w:rPr>
          </w:pPr>
          <w:hyperlink w:anchor="_Toc497744835" w:history="1">
            <w:r w:rsidRPr="00E95870">
              <w:rPr>
                <w:rStyle w:val="Hyperlink"/>
                <w:noProof/>
              </w:rPr>
              <w:t>Clinical</w:t>
            </w:r>
            <w:r>
              <w:rPr>
                <w:noProof/>
                <w:webHidden/>
              </w:rPr>
              <w:tab/>
            </w:r>
            <w:r>
              <w:rPr>
                <w:noProof/>
                <w:webHidden/>
              </w:rPr>
              <w:fldChar w:fldCharType="begin"/>
            </w:r>
            <w:r>
              <w:rPr>
                <w:noProof/>
                <w:webHidden/>
              </w:rPr>
              <w:instrText xml:space="preserve"> PAGEREF _Toc497744835 \h </w:instrText>
            </w:r>
            <w:r>
              <w:rPr>
                <w:noProof/>
                <w:webHidden/>
              </w:rPr>
            </w:r>
            <w:r>
              <w:rPr>
                <w:noProof/>
                <w:webHidden/>
              </w:rPr>
              <w:fldChar w:fldCharType="separate"/>
            </w:r>
            <w:r>
              <w:rPr>
                <w:noProof/>
                <w:webHidden/>
              </w:rPr>
              <w:t>47</w:t>
            </w:r>
            <w:r>
              <w:rPr>
                <w:noProof/>
                <w:webHidden/>
              </w:rPr>
              <w:fldChar w:fldCharType="end"/>
            </w:r>
          </w:hyperlink>
        </w:p>
        <w:p w14:paraId="7AE400F6" w14:textId="77777777" w:rsidR="009A34F5" w:rsidRDefault="009A34F5">
          <w:pPr>
            <w:pStyle w:val="TOC3"/>
            <w:rPr>
              <w:rFonts w:asciiTheme="minorHAnsi" w:eastAsiaTheme="minorEastAsia" w:hAnsiTheme="minorHAnsi" w:cstheme="minorBidi"/>
              <w:noProof/>
              <w:lang w:eastAsia="en-AU"/>
            </w:rPr>
          </w:pPr>
          <w:hyperlink w:anchor="_Toc497744836" w:history="1">
            <w:r w:rsidRPr="00E95870">
              <w:rPr>
                <w:rStyle w:val="Hyperlink"/>
                <w:noProof/>
                <w:lang w:eastAsia="en-AU"/>
              </w:rPr>
              <w:t>Risk management plan</w:t>
            </w:r>
            <w:r>
              <w:rPr>
                <w:noProof/>
                <w:webHidden/>
              </w:rPr>
              <w:tab/>
            </w:r>
            <w:r>
              <w:rPr>
                <w:noProof/>
                <w:webHidden/>
              </w:rPr>
              <w:fldChar w:fldCharType="begin"/>
            </w:r>
            <w:r>
              <w:rPr>
                <w:noProof/>
                <w:webHidden/>
              </w:rPr>
              <w:instrText xml:space="preserve"> PAGEREF _Toc497744836 \h </w:instrText>
            </w:r>
            <w:r>
              <w:rPr>
                <w:noProof/>
                <w:webHidden/>
              </w:rPr>
            </w:r>
            <w:r>
              <w:rPr>
                <w:noProof/>
                <w:webHidden/>
              </w:rPr>
              <w:fldChar w:fldCharType="separate"/>
            </w:r>
            <w:r>
              <w:rPr>
                <w:noProof/>
                <w:webHidden/>
              </w:rPr>
              <w:t>55</w:t>
            </w:r>
            <w:r>
              <w:rPr>
                <w:noProof/>
                <w:webHidden/>
              </w:rPr>
              <w:fldChar w:fldCharType="end"/>
            </w:r>
          </w:hyperlink>
        </w:p>
        <w:p w14:paraId="1805DC4C" w14:textId="77777777" w:rsidR="009A34F5" w:rsidRDefault="009A34F5">
          <w:pPr>
            <w:pStyle w:val="TOC3"/>
            <w:rPr>
              <w:rFonts w:asciiTheme="minorHAnsi" w:eastAsiaTheme="minorEastAsia" w:hAnsiTheme="minorHAnsi" w:cstheme="minorBidi"/>
              <w:noProof/>
              <w:lang w:eastAsia="en-AU"/>
            </w:rPr>
          </w:pPr>
          <w:hyperlink w:anchor="_Toc497744837" w:history="1">
            <w:r w:rsidRPr="00E95870">
              <w:rPr>
                <w:rStyle w:val="Hyperlink"/>
                <w:noProof/>
              </w:rPr>
              <w:t>Risk-benefit analysis</w:t>
            </w:r>
            <w:r>
              <w:rPr>
                <w:noProof/>
                <w:webHidden/>
              </w:rPr>
              <w:tab/>
            </w:r>
            <w:r>
              <w:rPr>
                <w:noProof/>
                <w:webHidden/>
              </w:rPr>
              <w:fldChar w:fldCharType="begin"/>
            </w:r>
            <w:r>
              <w:rPr>
                <w:noProof/>
                <w:webHidden/>
              </w:rPr>
              <w:instrText xml:space="preserve"> PAGEREF _Toc497744837 \h </w:instrText>
            </w:r>
            <w:r>
              <w:rPr>
                <w:noProof/>
                <w:webHidden/>
              </w:rPr>
            </w:r>
            <w:r>
              <w:rPr>
                <w:noProof/>
                <w:webHidden/>
              </w:rPr>
              <w:fldChar w:fldCharType="separate"/>
            </w:r>
            <w:r>
              <w:rPr>
                <w:noProof/>
                <w:webHidden/>
              </w:rPr>
              <w:t>55</w:t>
            </w:r>
            <w:r>
              <w:rPr>
                <w:noProof/>
                <w:webHidden/>
              </w:rPr>
              <w:fldChar w:fldCharType="end"/>
            </w:r>
          </w:hyperlink>
        </w:p>
        <w:p w14:paraId="33E11DE9" w14:textId="77777777" w:rsidR="009A34F5" w:rsidRDefault="009A34F5">
          <w:pPr>
            <w:pStyle w:val="TOC3"/>
            <w:rPr>
              <w:rFonts w:asciiTheme="minorHAnsi" w:eastAsiaTheme="minorEastAsia" w:hAnsiTheme="minorHAnsi" w:cstheme="minorBidi"/>
              <w:noProof/>
              <w:lang w:eastAsia="en-AU"/>
            </w:rPr>
          </w:pPr>
          <w:hyperlink w:anchor="_Toc497744838" w:history="1">
            <w:r w:rsidRPr="00E95870">
              <w:rPr>
                <w:rStyle w:val="Hyperlink"/>
                <w:noProof/>
              </w:rPr>
              <w:t>Outcome</w:t>
            </w:r>
            <w:r>
              <w:rPr>
                <w:noProof/>
                <w:webHidden/>
              </w:rPr>
              <w:tab/>
            </w:r>
            <w:r>
              <w:rPr>
                <w:noProof/>
                <w:webHidden/>
              </w:rPr>
              <w:fldChar w:fldCharType="begin"/>
            </w:r>
            <w:r>
              <w:rPr>
                <w:noProof/>
                <w:webHidden/>
              </w:rPr>
              <w:instrText xml:space="preserve"> PAGEREF _Toc497744838 \h </w:instrText>
            </w:r>
            <w:r>
              <w:rPr>
                <w:noProof/>
                <w:webHidden/>
              </w:rPr>
            </w:r>
            <w:r>
              <w:rPr>
                <w:noProof/>
                <w:webHidden/>
              </w:rPr>
              <w:fldChar w:fldCharType="separate"/>
            </w:r>
            <w:r>
              <w:rPr>
                <w:noProof/>
                <w:webHidden/>
              </w:rPr>
              <w:t>65</w:t>
            </w:r>
            <w:r>
              <w:rPr>
                <w:noProof/>
                <w:webHidden/>
              </w:rPr>
              <w:fldChar w:fldCharType="end"/>
            </w:r>
          </w:hyperlink>
        </w:p>
        <w:p w14:paraId="5E45465D" w14:textId="77777777" w:rsidR="009A34F5" w:rsidRDefault="009A34F5">
          <w:pPr>
            <w:pStyle w:val="TOC2"/>
            <w:rPr>
              <w:rFonts w:asciiTheme="minorHAnsi" w:eastAsiaTheme="minorEastAsia" w:hAnsiTheme="minorHAnsi" w:cstheme="minorBidi"/>
              <w:b w:val="0"/>
              <w:noProof/>
              <w:sz w:val="22"/>
              <w:lang w:eastAsia="en-AU"/>
            </w:rPr>
          </w:pPr>
          <w:hyperlink w:anchor="_Toc497744839" w:history="1">
            <w:r w:rsidRPr="00E95870">
              <w:rPr>
                <w:rStyle w:val="Hyperlink"/>
                <w:noProof/>
              </w:rPr>
              <w:t>Attachment 1. Product Information</w:t>
            </w:r>
            <w:r>
              <w:rPr>
                <w:noProof/>
                <w:webHidden/>
              </w:rPr>
              <w:tab/>
            </w:r>
            <w:r>
              <w:rPr>
                <w:noProof/>
                <w:webHidden/>
              </w:rPr>
              <w:fldChar w:fldCharType="begin"/>
            </w:r>
            <w:r>
              <w:rPr>
                <w:noProof/>
                <w:webHidden/>
              </w:rPr>
              <w:instrText xml:space="preserve"> PAGEREF _Toc497744839 \h </w:instrText>
            </w:r>
            <w:r>
              <w:rPr>
                <w:noProof/>
                <w:webHidden/>
              </w:rPr>
            </w:r>
            <w:r>
              <w:rPr>
                <w:noProof/>
                <w:webHidden/>
              </w:rPr>
              <w:fldChar w:fldCharType="separate"/>
            </w:r>
            <w:r>
              <w:rPr>
                <w:noProof/>
                <w:webHidden/>
              </w:rPr>
              <w:t>66</w:t>
            </w:r>
            <w:r>
              <w:rPr>
                <w:noProof/>
                <w:webHidden/>
              </w:rPr>
              <w:fldChar w:fldCharType="end"/>
            </w:r>
          </w:hyperlink>
        </w:p>
        <w:p w14:paraId="22A94C02" w14:textId="77777777" w:rsidR="009A34F5" w:rsidRDefault="009A34F5">
          <w:pPr>
            <w:pStyle w:val="TOC2"/>
            <w:rPr>
              <w:rFonts w:asciiTheme="minorHAnsi" w:eastAsiaTheme="minorEastAsia" w:hAnsiTheme="minorHAnsi" w:cstheme="minorBidi"/>
              <w:b w:val="0"/>
              <w:noProof/>
              <w:sz w:val="22"/>
              <w:lang w:eastAsia="en-AU"/>
            </w:rPr>
          </w:pPr>
          <w:hyperlink w:anchor="_Toc497744840" w:history="1">
            <w:r w:rsidRPr="00E95870">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_Toc497744840 \h </w:instrText>
            </w:r>
            <w:r>
              <w:rPr>
                <w:noProof/>
                <w:webHidden/>
              </w:rPr>
            </w:r>
            <w:r>
              <w:rPr>
                <w:noProof/>
                <w:webHidden/>
              </w:rPr>
              <w:fldChar w:fldCharType="separate"/>
            </w:r>
            <w:r>
              <w:rPr>
                <w:noProof/>
                <w:webHidden/>
              </w:rPr>
              <w:t>66</w:t>
            </w:r>
            <w:r>
              <w:rPr>
                <w:noProof/>
                <w:webHidden/>
              </w:rPr>
              <w:fldChar w:fldCharType="end"/>
            </w:r>
          </w:hyperlink>
        </w:p>
        <w:p w14:paraId="4C3750D0" w14:textId="77777777" w:rsidR="003A7F6C" w:rsidRPr="00B811C6" w:rsidRDefault="00DB6124" w:rsidP="00B811C6">
          <w:pPr>
            <w:pStyle w:val="TOC2"/>
          </w:pPr>
          <w:r>
            <w:fldChar w:fldCharType="end"/>
          </w:r>
        </w:p>
      </w:sdtContent>
    </w:sdt>
    <w:bookmarkStart w:id="3" w:name="_Toc314842482" w:displacedByCustomXml="prev"/>
    <w:p w14:paraId="012427C3" w14:textId="709B55D9" w:rsidR="00FD119B" w:rsidRDefault="00FD119B">
      <w:pPr>
        <w:spacing w:before="0" w:after="200" w:line="0" w:lineRule="auto"/>
      </w:pPr>
    </w:p>
    <w:p w14:paraId="63162267" w14:textId="77777777" w:rsidR="00FD119B" w:rsidRDefault="00441C3F" w:rsidP="00815F43">
      <w:pPr>
        <w:pStyle w:val="Heading2"/>
        <w:pageBreakBefore/>
      </w:pPr>
      <w:bookmarkStart w:id="4" w:name="_Toc351716269"/>
      <w:bookmarkStart w:id="5" w:name="_Toc351718881"/>
      <w:bookmarkStart w:id="6" w:name="_Toc355338616"/>
      <w:bookmarkStart w:id="7" w:name="_Toc356306144"/>
      <w:bookmarkStart w:id="8" w:name="_Toc497744800"/>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Description w:val="Common abbreviations table"/>
      </w:tblPr>
      <w:tblGrid>
        <w:gridCol w:w="1890"/>
        <w:gridCol w:w="6830"/>
      </w:tblGrid>
      <w:tr w:rsidR="00FD119B" w:rsidRPr="008F37FC" w14:paraId="756C2267" w14:textId="77777777" w:rsidTr="002F16A0">
        <w:trPr>
          <w:cnfStyle w:val="100000000000" w:firstRow="1" w:lastRow="0" w:firstColumn="0" w:lastColumn="0" w:oddVBand="0" w:evenVBand="0" w:oddHBand="0" w:evenHBand="0" w:firstRowFirstColumn="0" w:firstRowLastColumn="0" w:lastRowFirstColumn="0" w:lastRowLastColumn="0"/>
        </w:trPr>
        <w:tc>
          <w:tcPr>
            <w:tcW w:w="1890" w:type="dxa"/>
          </w:tcPr>
          <w:p w14:paraId="6332BCF5" w14:textId="77777777" w:rsidR="00FD119B" w:rsidRPr="008F37FC" w:rsidRDefault="00FD119B" w:rsidP="008F37FC">
            <w:pPr>
              <w:rPr>
                <w:rFonts w:asciiTheme="minorHAnsi" w:hAnsiTheme="minorHAnsi"/>
                <w:szCs w:val="22"/>
                <w:lang w:eastAsia="en-US"/>
              </w:rPr>
            </w:pPr>
            <w:r w:rsidRPr="008F37FC">
              <w:rPr>
                <w:rFonts w:asciiTheme="minorHAnsi" w:hAnsiTheme="minorHAnsi"/>
                <w:szCs w:val="22"/>
                <w:lang w:eastAsia="en-US"/>
              </w:rPr>
              <w:t>Abbreviation</w:t>
            </w:r>
          </w:p>
        </w:tc>
        <w:tc>
          <w:tcPr>
            <w:tcW w:w="6830" w:type="dxa"/>
          </w:tcPr>
          <w:p w14:paraId="2C87EBC1" w14:textId="77777777" w:rsidR="00FD119B" w:rsidRPr="008F37FC" w:rsidRDefault="00FD119B" w:rsidP="008F37FC">
            <w:pPr>
              <w:rPr>
                <w:rFonts w:asciiTheme="minorHAnsi" w:hAnsiTheme="minorHAnsi"/>
                <w:szCs w:val="22"/>
                <w:lang w:eastAsia="en-US"/>
              </w:rPr>
            </w:pPr>
            <w:r w:rsidRPr="008F37FC">
              <w:rPr>
                <w:rFonts w:asciiTheme="minorHAnsi" w:hAnsiTheme="minorHAnsi"/>
                <w:szCs w:val="22"/>
                <w:lang w:eastAsia="en-US"/>
              </w:rPr>
              <w:t>Meaning</w:t>
            </w:r>
          </w:p>
        </w:tc>
      </w:tr>
      <w:tr w:rsidR="00013951" w:rsidRPr="008F37FC" w14:paraId="1321ED7A" w14:textId="77777777" w:rsidTr="002F16A0">
        <w:tc>
          <w:tcPr>
            <w:tcW w:w="1890" w:type="dxa"/>
          </w:tcPr>
          <w:p w14:paraId="5070BAB5" w14:textId="7E04F43C" w:rsidR="00013951" w:rsidRPr="008F37FC" w:rsidRDefault="00F315D8" w:rsidP="008F37FC">
            <w:pPr>
              <w:rPr>
                <w:rFonts w:asciiTheme="minorHAnsi" w:eastAsia="TimesNewRoman" w:hAnsiTheme="minorHAnsi" w:cs="Calibri"/>
                <w:szCs w:val="22"/>
              </w:rPr>
            </w:pPr>
            <w:r>
              <w:rPr>
                <w:rFonts w:asciiTheme="minorHAnsi" w:eastAsia="TimesNewRoman" w:hAnsiTheme="minorHAnsi" w:cs="Calibri"/>
                <w:szCs w:val="22"/>
              </w:rPr>
              <w:t>5-ASA</w:t>
            </w:r>
          </w:p>
        </w:tc>
        <w:tc>
          <w:tcPr>
            <w:tcW w:w="6830" w:type="dxa"/>
          </w:tcPr>
          <w:p w14:paraId="0FB7A42C"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5-aminosalicylic acid</w:t>
            </w:r>
          </w:p>
        </w:tc>
      </w:tr>
      <w:tr w:rsidR="00013951" w:rsidRPr="008F37FC" w14:paraId="4B6B5ED2" w14:textId="77777777" w:rsidTr="002F16A0">
        <w:tc>
          <w:tcPr>
            <w:tcW w:w="1890" w:type="dxa"/>
          </w:tcPr>
          <w:p w14:paraId="17A00B5C" w14:textId="6462FFF4" w:rsidR="00013951" w:rsidRPr="008F37FC" w:rsidRDefault="00F315D8" w:rsidP="008F37FC">
            <w:pPr>
              <w:rPr>
                <w:rFonts w:asciiTheme="minorHAnsi" w:eastAsia="TimesNewRoman" w:hAnsiTheme="minorHAnsi" w:cs="Calibri"/>
                <w:szCs w:val="22"/>
              </w:rPr>
            </w:pPr>
            <w:r>
              <w:rPr>
                <w:rFonts w:asciiTheme="minorHAnsi" w:eastAsia="TimesNewRoman" w:hAnsiTheme="minorHAnsi" w:cs="Calibri"/>
                <w:szCs w:val="22"/>
              </w:rPr>
              <w:t>6-MP</w:t>
            </w:r>
          </w:p>
        </w:tc>
        <w:tc>
          <w:tcPr>
            <w:tcW w:w="6830" w:type="dxa"/>
          </w:tcPr>
          <w:p w14:paraId="71E07813"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6-mercaptopurine</w:t>
            </w:r>
          </w:p>
        </w:tc>
      </w:tr>
      <w:tr w:rsidR="00013951" w:rsidRPr="008F37FC" w14:paraId="066E81B2" w14:textId="77777777" w:rsidTr="002F16A0">
        <w:tc>
          <w:tcPr>
            <w:tcW w:w="1890" w:type="dxa"/>
          </w:tcPr>
          <w:p w14:paraId="71218A1C"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ADA</w:t>
            </w:r>
          </w:p>
        </w:tc>
        <w:tc>
          <w:tcPr>
            <w:tcW w:w="6830" w:type="dxa"/>
          </w:tcPr>
          <w:p w14:paraId="2EBC3CA0"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antidrug antibodies</w:t>
            </w:r>
          </w:p>
        </w:tc>
      </w:tr>
      <w:tr w:rsidR="00013951" w:rsidRPr="008F37FC" w14:paraId="1B75C182" w14:textId="77777777" w:rsidTr="002F16A0">
        <w:tc>
          <w:tcPr>
            <w:tcW w:w="1890" w:type="dxa"/>
          </w:tcPr>
          <w:p w14:paraId="58724CA6" w14:textId="0B551299" w:rsidR="00013951" w:rsidRPr="008F37FC" w:rsidRDefault="00F315D8" w:rsidP="008F37FC">
            <w:pPr>
              <w:rPr>
                <w:rFonts w:asciiTheme="minorHAnsi" w:eastAsia="TimesNewRoman" w:hAnsiTheme="minorHAnsi" w:cs="Calibri"/>
                <w:szCs w:val="22"/>
              </w:rPr>
            </w:pPr>
            <w:r>
              <w:rPr>
                <w:rFonts w:asciiTheme="minorHAnsi" w:eastAsia="TimesNewRoman" w:hAnsiTheme="minorHAnsi" w:cs="Calibri"/>
                <w:szCs w:val="22"/>
              </w:rPr>
              <w:t>ADR</w:t>
            </w:r>
          </w:p>
        </w:tc>
        <w:tc>
          <w:tcPr>
            <w:tcW w:w="6830" w:type="dxa"/>
          </w:tcPr>
          <w:p w14:paraId="33F364FB"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adverse drug reaction</w:t>
            </w:r>
          </w:p>
        </w:tc>
      </w:tr>
      <w:tr w:rsidR="00013951" w:rsidRPr="008F37FC" w14:paraId="612D18F7" w14:textId="77777777" w:rsidTr="002F16A0">
        <w:tc>
          <w:tcPr>
            <w:tcW w:w="1890" w:type="dxa"/>
          </w:tcPr>
          <w:p w14:paraId="0F8D6747"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AE</w:t>
            </w:r>
          </w:p>
        </w:tc>
        <w:tc>
          <w:tcPr>
            <w:tcW w:w="6830" w:type="dxa"/>
          </w:tcPr>
          <w:p w14:paraId="3EBFDA79"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adverse event</w:t>
            </w:r>
          </w:p>
        </w:tc>
      </w:tr>
      <w:tr w:rsidR="00013951" w:rsidRPr="008F37FC" w14:paraId="421B6837" w14:textId="77777777" w:rsidTr="002F16A0">
        <w:tc>
          <w:tcPr>
            <w:tcW w:w="1890" w:type="dxa"/>
          </w:tcPr>
          <w:p w14:paraId="1A23A0BD"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ALT</w:t>
            </w:r>
          </w:p>
        </w:tc>
        <w:tc>
          <w:tcPr>
            <w:tcW w:w="6830" w:type="dxa"/>
          </w:tcPr>
          <w:p w14:paraId="63DA2071"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alanine aminotransferase</w:t>
            </w:r>
          </w:p>
        </w:tc>
      </w:tr>
      <w:tr w:rsidR="00013951" w:rsidRPr="008F37FC" w14:paraId="10E5963B" w14:textId="77777777" w:rsidTr="002F16A0">
        <w:tc>
          <w:tcPr>
            <w:tcW w:w="1890" w:type="dxa"/>
          </w:tcPr>
          <w:p w14:paraId="3079E5AA"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AST</w:t>
            </w:r>
          </w:p>
        </w:tc>
        <w:tc>
          <w:tcPr>
            <w:tcW w:w="6830" w:type="dxa"/>
          </w:tcPr>
          <w:p w14:paraId="4F6C82DF"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aspartate aminotransferase</w:t>
            </w:r>
          </w:p>
        </w:tc>
      </w:tr>
      <w:tr w:rsidR="00013951" w:rsidRPr="008F37FC" w14:paraId="4072C51F" w14:textId="77777777" w:rsidTr="002F16A0">
        <w:tc>
          <w:tcPr>
            <w:tcW w:w="1890" w:type="dxa"/>
          </w:tcPr>
          <w:p w14:paraId="52C11A84"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AUC</w:t>
            </w:r>
          </w:p>
        </w:tc>
        <w:tc>
          <w:tcPr>
            <w:tcW w:w="6830" w:type="dxa"/>
          </w:tcPr>
          <w:p w14:paraId="552325EC"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area under the serum concentration versus time curve</w:t>
            </w:r>
          </w:p>
        </w:tc>
      </w:tr>
      <w:tr w:rsidR="00013951" w:rsidRPr="008F37FC" w14:paraId="69D9BBB9" w14:textId="77777777" w:rsidTr="002F16A0">
        <w:tc>
          <w:tcPr>
            <w:tcW w:w="1890" w:type="dxa"/>
          </w:tcPr>
          <w:p w14:paraId="0E010FCE"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AUC</w:t>
            </w:r>
            <w:r w:rsidRPr="008F37FC">
              <w:rPr>
                <w:rFonts w:asciiTheme="minorHAnsi" w:hAnsiTheme="minorHAnsi" w:cs="Calibri"/>
                <w:szCs w:val="22"/>
                <w:vertAlign w:val="subscript"/>
              </w:rPr>
              <w:t>inf</w:t>
            </w:r>
          </w:p>
        </w:tc>
        <w:tc>
          <w:tcPr>
            <w:tcW w:w="6830" w:type="dxa"/>
          </w:tcPr>
          <w:p w14:paraId="59C807A2" w14:textId="77777777" w:rsidR="00013951" w:rsidRPr="008F37FC" w:rsidRDefault="00013951" w:rsidP="008F37FC">
            <w:pPr>
              <w:rPr>
                <w:rFonts w:asciiTheme="minorHAnsi" w:hAnsiTheme="minorHAnsi" w:cs="Calibri"/>
                <w:szCs w:val="22"/>
              </w:rPr>
            </w:pPr>
            <w:proofErr w:type="gramStart"/>
            <w:r w:rsidRPr="008F37FC">
              <w:rPr>
                <w:rFonts w:asciiTheme="minorHAnsi" w:hAnsiTheme="minorHAnsi" w:cs="Calibri"/>
                <w:szCs w:val="22"/>
              </w:rPr>
              <w:t>area</w:t>
            </w:r>
            <w:proofErr w:type="gramEnd"/>
            <w:r w:rsidRPr="008F37FC">
              <w:rPr>
                <w:rFonts w:asciiTheme="minorHAnsi" w:hAnsiTheme="minorHAnsi" w:cs="Calibri"/>
                <w:szCs w:val="22"/>
              </w:rPr>
              <w:t xml:space="preserve"> under the serum concentration versus time curve from time zero to infinity with extrapolation of the terminal phase.</w:t>
            </w:r>
          </w:p>
        </w:tc>
      </w:tr>
      <w:tr w:rsidR="00013951" w:rsidRPr="008F37FC" w14:paraId="063DE974" w14:textId="77777777" w:rsidTr="002F16A0">
        <w:tc>
          <w:tcPr>
            <w:tcW w:w="1890" w:type="dxa"/>
          </w:tcPr>
          <w:p w14:paraId="61039B4C"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AUC</w:t>
            </w:r>
            <w:r w:rsidRPr="008F37FC">
              <w:rPr>
                <w:rFonts w:asciiTheme="minorHAnsi" w:hAnsiTheme="minorHAnsi" w:cs="Calibri"/>
                <w:szCs w:val="22"/>
                <w:vertAlign w:val="subscript"/>
              </w:rPr>
              <w:t>last</w:t>
            </w:r>
          </w:p>
        </w:tc>
        <w:tc>
          <w:tcPr>
            <w:tcW w:w="6830" w:type="dxa"/>
          </w:tcPr>
          <w:p w14:paraId="62698C72" w14:textId="77777777" w:rsidR="00013951" w:rsidRPr="008F37FC" w:rsidRDefault="00013951" w:rsidP="008F37FC">
            <w:pPr>
              <w:rPr>
                <w:rFonts w:asciiTheme="minorHAnsi" w:hAnsiTheme="minorHAnsi" w:cs="Calibri"/>
                <w:szCs w:val="22"/>
              </w:rPr>
            </w:pPr>
            <w:proofErr w:type="gramStart"/>
            <w:r w:rsidRPr="008F37FC">
              <w:rPr>
                <w:rFonts w:asciiTheme="minorHAnsi" w:hAnsiTheme="minorHAnsi" w:cs="Calibri"/>
                <w:szCs w:val="22"/>
              </w:rPr>
              <w:t>area</w:t>
            </w:r>
            <w:proofErr w:type="gramEnd"/>
            <w:r w:rsidRPr="008F37FC">
              <w:rPr>
                <w:rFonts w:asciiTheme="minorHAnsi" w:hAnsiTheme="minorHAnsi" w:cs="Calibri"/>
                <w:szCs w:val="22"/>
              </w:rPr>
              <w:t xml:space="preserve"> under the serum concentration versus time curve from time zero to the time corresponding to the last quantifiable concentration.</w:t>
            </w:r>
          </w:p>
        </w:tc>
      </w:tr>
      <w:tr w:rsidR="00013951" w:rsidRPr="008F37FC" w14:paraId="7FE23D95" w14:textId="77777777" w:rsidTr="002F16A0">
        <w:tc>
          <w:tcPr>
            <w:tcW w:w="1890" w:type="dxa"/>
          </w:tcPr>
          <w:p w14:paraId="1031BA2C"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AxSpA</w:t>
            </w:r>
          </w:p>
        </w:tc>
        <w:tc>
          <w:tcPr>
            <w:tcW w:w="6830" w:type="dxa"/>
          </w:tcPr>
          <w:p w14:paraId="5EBFD1D8"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axial spondyloarthritis</w:t>
            </w:r>
          </w:p>
        </w:tc>
      </w:tr>
      <w:tr w:rsidR="00013951" w:rsidRPr="008F37FC" w14:paraId="2375EF95" w14:textId="77777777" w:rsidTr="002F16A0">
        <w:tc>
          <w:tcPr>
            <w:tcW w:w="1890" w:type="dxa"/>
          </w:tcPr>
          <w:p w14:paraId="25616F79"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AZA</w:t>
            </w:r>
          </w:p>
        </w:tc>
        <w:tc>
          <w:tcPr>
            <w:tcW w:w="6830" w:type="dxa"/>
          </w:tcPr>
          <w:p w14:paraId="25FE2FA1"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azathioprine</w:t>
            </w:r>
          </w:p>
        </w:tc>
      </w:tr>
      <w:tr w:rsidR="00013951" w:rsidRPr="008F37FC" w14:paraId="10C8BDBF" w14:textId="77777777" w:rsidTr="002F16A0">
        <w:tc>
          <w:tcPr>
            <w:tcW w:w="1890" w:type="dxa"/>
          </w:tcPr>
          <w:p w14:paraId="7E74F487"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AZMP</w:t>
            </w:r>
          </w:p>
        </w:tc>
        <w:tc>
          <w:tcPr>
            <w:tcW w:w="6830" w:type="dxa"/>
          </w:tcPr>
          <w:p w14:paraId="67D5D13B" w14:textId="01CECCD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azathioprine</w:t>
            </w:r>
            <w:r w:rsidR="00C93E28">
              <w:rPr>
                <w:rFonts w:asciiTheme="minorHAnsi" w:eastAsia="TimesNewRoman" w:hAnsiTheme="minorHAnsi" w:cs="Calibri"/>
                <w:szCs w:val="22"/>
              </w:rPr>
              <w:t xml:space="preserve"> </w:t>
            </w:r>
            <w:r w:rsidR="00B035A5" w:rsidRPr="00B035A5">
              <w:rPr>
                <w:rFonts w:asciiTheme="minorHAnsi" w:eastAsia="TimesNewRoman" w:hAnsiTheme="minorHAnsi" w:cs="Calibri"/>
                <w:szCs w:val="22"/>
              </w:rPr>
              <w:t>or 6-mercaptopurine</w:t>
            </w:r>
          </w:p>
        </w:tc>
      </w:tr>
      <w:tr w:rsidR="00013951" w:rsidRPr="008F37FC" w14:paraId="0AA49822" w14:textId="77777777" w:rsidTr="002F16A0">
        <w:tc>
          <w:tcPr>
            <w:tcW w:w="1890" w:type="dxa"/>
          </w:tcPr>
          <w:p w14:paraId="0023FECA"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BALB</w:t>
            </w:r>
          </w:p>
        </w:tc>
        <w:tc>
          <w:tcPr>
            <w:tcW w:w="6830" w:type="dxa"/>
          </w:tcPr>
          <w:p w14:paraId="7FF239E9"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baseline albumin</w:t>
            </w:r>
          </w:p>
        </w:tc>
      </w:tr>
      <w:tr w:rsidR="00013951" w:rsidRPr="008F37FC" w14:paraId="753C08F5" w14:textId="77777777" w:rsidTr="002F16A0">
        <w:tc>
          <w:tcPr>
            <w:tcW w:w="1890" w:type="dxa"/>
          </w:tcPr>
          <w:p w14:paraId="676D1535"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BLQ</w:t>
            </w:r>
          </w:p>
        </w:tc>
        <w:tc>
          <w:tcPr>
            <w:tcW w:w="6830" w:type="dxa"/>
          </w:tcPr>
          <w:p w14:paraId="5ED38FAF" w14:textId="77777777" w:rsidR="00013951" w:rsidRPr="008F37FC" w:rsidRDefault="00013951" w:rsidP="008F37FC">
            <w:pPr>
              <w:rPr>
                <w:rFonts w:asciiTheme="minorHAnsi" w:eastAsia="TimesNewRoman" w:hAnsiTheme="minorHAnsi" w:cs="Calibri"/>
                <w:szCs w:val="22"/>
              </w:rPr>
            </w:pPr>
            <w:r w:rsidRPr="008F37FC">
              <w:rPr>
                <w:rFonts w:asciiTheme="minorHAnsi" w:hAnsiTheme="minorHAnsi" w:cs="Calibri"/>
                <w:szCs w:val="22"/>
              </w:rPr>
              <w:t>below the limit of quantification</w:t>
            </w:r>
          </w:p>
        </w:tc>
      </w:tr>
      <w:tr w:rsidR="00013951" w:rsidRPr="008F37FC" w14:paraId="36DCD291" w14:textId="77777777" w:rsidTr="002F16A0">
        <w:tc>
          <w:tcPr>
            <w:tcW w:w="1890" w:type="dxa"/>
          </w:tcPr>
          <w:p w14:paraId="1B309DC9"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BMI</w:t>
            </w:r>
          </w:p>
        </w:tc>
        <w:tc>
          <w:tcPr>
            <w:tcW w:w="6830" w:type="dxa"/>
          </w:tcPr>
          <w:p w14:paraId="3321E862" w14:textId="77777777" w:rsidR="00013951" w:rsidRPr="008F37FC" w:rsidRDefault="00013951" w:rsidP="008F37FC">
            <w:pPr>
              <w:rPr>
                <w:rFonts w:asciiTheme="minorHAnsi" w:hAnsiTheme="minorHAnsi" w:cs="Calibri"/>
                <w:bCs/>
                <w:szCs w:val="22"/>
              </w:rPr>
            </w:pPr>
            <w:r w:rsidRPr="008F37FC">
              <w:rPr>
                <w:rFonts w:asciiTheme="minorHAnsi" w:eastAsia="TimesNewRoman" w:hAnsiTheme="minorHAnsi" w:cs="Calibri"/>
                <w:szCs w:val="22"/>
              </w:rPr>
              <w:t>body mass index</w:t>
            </w:r>
          </w:p>
        </w:tc>
      </w:tr>
      <w:tr w:rsidR="00013951" w:rsidRPr="008F37FC" w14:paraId="09B94DDA" w14:textId="77777777" w:rsidTr="002F16A0">
        <w:tc>
          <w:tcPr>
            <w:tcW w:w="1890" w:type="dxa"/>
          </w:tcPr>
          <w:p w14:paraId="5086CBC8"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BSV</w:t>
            </w:r>
          </w:p>
        </w:tc>
        <w:tc>
          <w:tcPr>
            <w:tcW w:w="6830" w:type="dxa"/>
          </w:tcPr>
          <w:p w14:paraId="5E449FF4"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between-subject variability</w:t>
            </w:r>
          </w:p>
        </w:tc>
      </w:tr>
      <w:tr w:rsidR="00013951" w:rsidRPr="008F37FC" w14:paraId="037B8E9A" w14:textId="77777777" w:rsidTr="002F16A0">
        <w:tc>
          <w:tcPr>
            <w:tcW w:w="1890" w:type="dxa"/>
          </w:tcPr>
          <w:p w14:paraId="24EC617D"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BWGT</w:t>
            </w:r>
          </w:p>
        </w:tc>
        <w:tc>
          <w:tcPr>
            <w:tcW w:w="6830" w:type="dxa"/>
          </w:tcPr>
          <w:p w14:paraId="1B64C238" w14:textId="77777777" w:rsidR="00013951" w:rsidRPr="008F37FC" w:rsidRDefault="00013951" w:rsidP="008F37FC">
            <w:pPr>
              <w:rPr>
                <w:rFonts w:asciiTheme="minorHAnsi" w:hAnsiTheme="minorHAnsi" w:cs="Calibri"/>
                <w:szCs w:val="22"/>
              </w:rPr>
            </w:pPr>
            <w:r w:rsidRPr="008F37FC">
              <w:rPr>
                <w:rFonts w:asciiTheme="minorHAnsi" w:eastAsia="TimesNewRoman" w:hAnsiTheme="minorHAnsi" w:cs="Calibri"/>
                <w:szCs w:val="22"/>
              </w:rPr>
              <w:t>baseline body weight</w:t>
            </w:r>
          </w:p>
        </w:tc>
      </w:tr>
      <w:tr w:rsidR="00013951" w:rsidRPr="008F37FC" w14:paraId="6BC7ABFB" w14:textId="77777777" w:rsidTr="002F16A0">
        <w:tc>
          <w:tcPr>
            <w:tcW w:w="1890" w:type="dxa"/>
          </w:tcPr>
          <w:p w14:paraId="361A5C86"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CD</w:t>
            </w:r>
          </w:p>
        </w:tc>
        <w:tc>
          <w:tcPr>
            <w:tcW w:w="6830" w:type="dxa"/>
          </w:tcPr>
          <w:p w14:paraId="2C5C4B76"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Crohn’s disease</w:t>
            </w:r>
          </w:p>
        </w:tc>
      </w:tr>
      <w:tr w:rsidR="00013951" w:rsidRPr="008F37FC" w14:paraId="56FC9F1C" w14:textId="77777777" w:rsidTr="002F16A0">
        <w:tc>
          <w:tcPr>
            <w:tcW w:w="1890" w:type="dxa"/>
          </w:tcPr>
          <w:p w14:paraId="661DAC46" w14:textId="77777777" w:rsidR="00013951" w:rsidRPr="008F37FC" w:rsidRDefault="008F37FC" w:rsidP="008F37FC">
            <w:pPr>
              <w:rPr>
                <w:rFonts w:asciiTheme="minorHAnsi" w:eastAsia="TimesNewRoman" w:hAnsiTheme="minorHAnsi" w:cs="Calibri"/>
                <w:szCs w:val="22"/>
              </w:rPr>
            </w:pPr>
            <w:r>
              <w:rPr>
                <w:rFonts w:asciiTheme="minorHAnsi" w:eastAsia="TimesNewRoman" w:hAnsiTheme="minorHAnsi" w:cs="Calibri"/>
                <w:szCs w:val="22"/>
              </w:rPr>
              <w:t xml:space="preserve">CDAI </w:t>
            </w:r>
          </w:p>
        </w:tc>
        <w:tc>
          <w:tcPr>
            <w:tcW w:w="6830" w:type="dxa"/>
          </w:tcPr>
          <w:p w14:paraId="1B66EF72"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Crohn’s Disease Activity Index</w:t>
            </w:r>
          </w:p>
        </w:tc>
      </w:tr>
      <w:tr w:rsidR="00013951" w:rsidRPr="008F37FC" w14:paraId="1DA3DFC6" w14:textId="77777777" w:rsidTr="002F16A0">
        <w:tc>
          <w:tcPr>
            <w:tcW w:w="1890" w:type="dxa"/>
          </w:tcPr>
          <w:p w14:paraId="3470E5F1" w14:textId="6B6D9C5A" w:rsidR="00013951" w:rsidRPr="008F37FC" w:rsidRDefault="00F315D8" w:rsidP="008F37FC">
            <w:pPr>
              <w:rPr>
                <w:rFonts w:asciiTheme="minorHAnsi" w:eastAsia="TimesNewRoman" w:hAnsiTheme="minorHAnsi" w:cs="Calibri"/>
                <w:szCs w:val="22"/>
              </w:rPr>
            </w:pPr>
            <w:r>
              <w:rPr>
                <w:rFonts w:asciiTheme="minorHAnsi" w:eastAsia="TimesNewRoman" w:hAnsiTheme="minorHAnsi" w:cs="Calibri"/>
                <w:szCs w:val="22"/>
              </w:rPr>
              <w:t>CI</w:t>
            </w:r>
          </w:p>
        </w:tc>
        <w:tc>
          <w:tcPr>
            <w:tcW w:w="6830" w:type="dxa"/>
          </w:tcPr>
          <w:p w14:paraId="6A321030"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confidence interval</w:t>
            </w:r>
          </w:p>
        </w:tc>
      </w:tr>
      <w:tr w:rsidR="00013951" w:rsidRPr="008F37FC" w14:paraId="4317C827" w14:textId="77777777" w:rsidTr="002F16A0">
        <w:tc>
          <w:tcPr>
            <w:tcW w:w="1890" w:type="dxa"/>
          </w:tcPr>
          <w:p w14:paraId="32CC7CB5"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CKMB</w:t>
            </w:r>
          </w:p>
        </w:tc>
        <w:tc>
          <w:tcPr>
            <w:tcW w:w="6830" w:type="dxa"/>
          </w:tcPr>
          <w:p w14:paraId="69D8F40F" w14:textId="77777777" w:rsidR="00013951" w:rsidRPr="008F37FC" w:rsidRDefault="00013951" w:rsidP="008F37FC">
            <w:pPr>
              <w:rPr>
                <w:rFonts w:asciiTheme="minorHAnsi" w:hAnsiTheme="minorHAnsi" w:cs="Calibri"/>
                <w:szCs w:val="22"/>
              </w:rPr>
            </w:pPr>
            <w:r w:rsidRPr="008F37FC">
              <w:rPr>
                <w:rFonts w:asciiTheme="minorHAnsi" w:eastAsia="TimesNewRoman" w:hAnsiTheme="minorHAnsi" w:cs="Calibri"/>
                <w:szCs w:val="22"/>
              </w:rPr>
              <w:t>creatine kinase isoenzyme-MB</w:t>
            </w:r>
          </w:p>
        </w:tc>
      </w:tr>
      <w:tr w:rsidR="00013951" w:rsidRPr="008F37FC" w14:paraId="0BBD2B74" w14:textId="77777777" w:rsidTr="002F16A0">
        <w:tc>
          <w:tcPr>
            <w:tcW w:w="1890" w:type="dxa"/>
          </w:tcPr>
          <w:p w14:paraId="02665ECE"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CL</w:t>
            </w:r>
          </w:p>
        </w:tc>
        <w:tc>
          <w:tcPr>
            <w:tcW w:w="6830" w:type="dxa"/>
          </w:tcPr>
          <w:p w14:paraId="2C4FC820"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total systemic clearance</w:t>
            </w:r>
          </w:p>
        </w:tc>
      </w:tr>
      <w:tr w:rsidR="00013951" w:rsidRPr="008F37FC" w14:paraId="47947774" w14:textId="77777777" w:rsidTr="002F16A0">
        <w:tc>
          <w:tcPr>
            <w:tcW w:w="1890" w:type="dxa"/>
          </w:tcPr>
          <w:p w14:paraId="7338B19E"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lastRenderedPageBreak/>
              <w:t>Cmax</w:t>
            </w:r>
          </w:p>
        </w:tc>
        <w:tc>
          <w:tcPr>
            <w:tcW w:w="6830" w:type="dxa"/>
          </w:tcPr>
          <w:p w14:paraId="6102E83E"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maximum observed serum concentration</w:t>
            </w:r>
          </w:p>
        </w:tc>
      </w:tr>
      <w:tr w:rsidR="00013951" w:rsidRPr="008F37FC" w14:paraId="45815F6D" w14:textId="77777777" w:rsidTr="002F16A0">
        <w:tc>
          <w:tcPr>
            <w:tcW w:w="1890" w:type="dxa"/>
          </w:tcPr>
          <w:p w14:paraId="25B76A52"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 xml:space="preserve">CNTO 1275 </w:t>
            </w:r>
          </w:p>
        </w:tc>
        <w:tc>
          <w:tcPr>
            <w:tcW w:w="6830" w:type="dxa"/>
          </w:tcPr>
          <w:p w14:paraId="087682B7" w14:textId="77777777" w:rsidR="00013951" w:rsidRPr="008F37FC" w:rsidRDefault="00CC3432" w:rsidP="008F37FC">
            <w:pPr>
              <w:rPr>
                <w:rFonts w:asciiTheme="minorHAnsi" w:hAnsiTheme="minorHAnsi" w:cs="Calibri"/>
                <w:szCs w:val="22"/>
              </w:rPr>
            </w:pPr>
            <w:r>
              <w:rPr>
                <w:rFonts w:asciiTheme="minorHAnsi" w:hAnsiTheme="minorHAnsi" w:cs="Calibri"/>
                <w:szCs w:val="22"/>
              </w:rPr>
              <w:t>Stelara</w:t>
            </w:r>
            <w:r w:rsidR="00013951" w:rsidRPr="008F37FC">
              <w:rPr>
                <w:rFonts w:asciiTheme="minorHAnsi" w:hAnsiTheme="minorHAnsi" w:cs="Calibri"/>
                <w:szCs w:val="22"/>
              </w:rPr>
              <w:t>, ustekinumab</w:t>
            </w:r>
          </w:p>
        </w:tc>
      </w:tr>
      <w:tr w:rsidR="00013951" w:rsidRPr="008F37FC" w14:paraId="51AD4430" w14:textId="77777777" w:rsidTr="002F16A0">
        <w:tc>
          <w:tcPr>
            <w:tcW w:w="1890" w:type="dxa"/>
          </w:tcPr>
          <w:p w14:paraId="0F36B43D"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CORT</w:t>
            </w:r>
          </w:p>
        </w:tc>
        <w:tc>
          <w:tcPr>
            <w:tcW w:w="6830" w:type="dxa"/>
          </w:tcPr>
          <w:p w14:paraId="40AD4141"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corticosteroid usage</w:t>
            </w:r>
          </w:p>
        </w:tc>
      </w:tr>
      <w:tr w:rsidR="00013951" w:rsidRPr="008F37FC" w14:paraId="1FBFAC86" w14:textId="77777777" w:rsidTr="002F16A0">
        <w:tc>
          <w:tcPr>
            <w:tcW w:w="1890" w:type="dxa"/>
          </w:tcPr>
          <w:p w14:paraId="7F1DBCA7"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CRF</w:t>
            </w:r>
          </w:p>
        </w:tc>
        <w:tc>
          <w:tcPr>
            <w:tcW w:w="6830" w:type="dxa"/>
          </w:tcPr>
          <w:p w14:paraId="32DB3CFE"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case report form</w:t>
            </w:r>
          </w:p>
        </w:tc>
      </w:tr>
      <w:tr w:rsidR="00013951" w:rsidRPr="008F37FC" w14:paraId="0AF15837" w14:textId="77777777" w:rsidTr="002F16A0">
        <w:tc>
          <w:tcPr>
            <w:tcW w:w="1890" w:type="dxa"/>
          </w:tcPr>
          <w:p w14:paraId="174A58C3"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CRP</w:t>
            </w:r>
          </w:p>
        </w:tc>
        <w:tc>
          <w:tcPr>
            <w:tcW w:w="6830" w:type="dxa"/>
          </w:tcPr>
          <w:p w14:paraId="1A3C00A4"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C-reactive protein</w:t>
            </w:r>
          </w:p>
        </w:tc>
      </w:tr>
      <w:tr w:rsidR="00013951" w:rsidRPr="008F37FC" w14:paraId="38344D4F" w14:textId="77777777" w:rsidTr="002F16A0">
        <w:tc>
          <w:tcPr>
            <w:tcW w:w="1890" w:type="dxa"/>
          </w:tcPr>
          <w:p w14:paraId="67D1F824" w14:textId="4F7ED51B" w:rsidR="00013951" w:rsidRPr="008F37FC" w:rsidRDefault="00F315D8" w:rsidP="008F37FC">
            <w:pPr>
              <w:rPr>
                <w:rFonts w:asciiTheme="minorHAnsi" w:eastAsia="TimesNewRoman" w:hAnsiTheme="minorHAnsi" w:cs="Calibri"/>
                <w:szCs w:val="22"/>
              </w:rPr>
            </w:pPr>
            <w:r>
              <w:rPr>
                <w:rFonts w:asciiTheme="minorHAnsi" w:eastAsia="TimesNewRoman" w:hAnsiTheme="minorHAnsi" w:cs="Calibri"/>
                <w:szCs w:val="22"/>
              </w:rPr>
              <w:t>CSR</w:t>
            </w:r>
          </w:p>
        </w:tc>
        <w:tc>
          <w:tcPr>
            <w:tcW w:w="6830" w:type="dxa"/>
          </w:tcPr>
          <w:p w14:paraId="7D2965D3"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clinical study report</w:t>
            </w:r>
          </w:p>
        </w:tc>
      </w:tr>
      <w:tr w:rsidR="00013951" w:rsidRPr="008F37FC" w14:paraId="613AA5DF" w14:textId="77777777" w:rsidTr="002F16A0">
        <w:tc>
          <w:tcPr>
            <w:tcW w:w="1890" w:type="dxa"/>
          </w:tcPr>
          <w:p w14:paraId="49869AB4" w14:textId="1E3AA769" w:rsidR="00013951" w:rsidRPr="008F37FC" w:rsidRDefault="00F315D8" w:rsidP="008F37FC">
            <w:pPr>
              <w:rPr>
                <w:rFonts w:asciiTheme="minorHAnsi" w:hAnsiTheme="minorHAnsi" w:cs="Calibri"/>
                <w:szCs w:val="22"/>
              </w:rPr>
            </w:pPr>
            <w:r>
              <w:rPr>
                <w:rFonts w:asciiTheme="minorHAnsi" w:hAnsiTheme="minorHAnsi" w:cs="Calibri"/>
                <w:szCs w:val="22"/>
              </w:rPr>
              <w:t>CV%</w:t>
            </w:r>
          </w:p>
        </w:tc>
        <w:tc>
          <w:tcPr>
            <w:tcW w:w="6830" w:type="dxa"/>
          </w:tcPr>
          <w:p w14:paraId="4BE9BE69"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coefficient of variation</w:t>
            </w:r>
          </w:p>
        </w:tc>
      </w:tr>
      <w:tr w:rsidR="00013951" w:rsidRPr="008F37FC" w14:paraId="1A3C824A" w14:textId="77777777" w:rsidTr="002F16A0">
        <w:tc>
          <w:tcPr>
            <w:tcW w:w="1890" w:type="dxa"/>
          </w:tcPr>
          <w:p w14:paraId="21FA5326"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DP</w:t>
            </w:r>
          </w:p>
        </w:tc>
        <w:tc>
          <w:tcPr>
            <w:tcW w:w="6830" w:type="dxa"/>
          </w:tcPr>
          <w:p w14:paraId="1B54AB4E"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drug product</w:t>
            </w:r>
          </w:p>
        </w:tc>
      </w:tr>
      <w:tr w:rsidR="00013951" w:rsidRPr="008F37FC" w14:paraId="19E8183F" w14:textId="77777777" w:rsidTr="002F16A0">
        <w:tc>
          <w:tcPr>
            <w:tcW w:w="1890" w:type="dxa"/>
          </w:tcPr>
          <w:p w14:paraId="1E5F1824" w14:textId="3DCE832F" w:rsidR="00013951" w:rsidRPr="008F37FC" w:rsidRDefault="00F315D8" w:rsidP="008F37FC">
            <w:pPr>
              <w:rPr>
                <w:rFonts w:asciiTheme="minorHAnsi" w:hAnsiTheme="minorHAnsi" w:cs="Calibri"/>
                <w:szCs w:val="22"/>
              </w:rPr>
            </w:pPr>
            <w:r>
              <w:rPr>
                <w:rFonts w:asciiTheme="minorHAnsi" w:hAnsiTheme="minorHAnsi" w:cs="Calibri"/>
                <w:szCs w:val="22"/>
              </w:rPr>
              <w:t>ECG</w:t>
            </w:r>
          </w:p>
        </w:tc>
        <w:tc>
          <w:tcPr>
            <w:tcW w:w="6830" w:type="dxa"/>
          </w:tcPr>
          <w:p w14:paraId="412DECF4" w14:textId="77777777" w:rsidR="00013951" w:rsidRPr="008F37FC" w:rsidRDefault="00013951" w:rsidP="008F37FC">
            <w:pPr>
              <w:rPr>
                <w:rFonts w:asciiTheme="minorHAnsi" w:hAnsiTheme="minorHAnsi" w:cs="Calibri"/>
                <w:bCs/>
                <w:szCs w:val="22"/>
              </w:rPr>
            </w:pPr>
            <w:r w:rsidRPr="008F37FC">
              <w:rPr>
                <w:rFonts w:asciiTheme="minorHAnsi" w:hAnsiTheme="minorHAnsi" w:cs="Calibri"/>
                <w:szCs w:val="22"/>
              </w:rPr>
              <w:t>electrocardiogram</w:t>
            </w:r>
          </w:p>
        </w:tc>
      </w:tr>
      <w:tr w:rsidR="00013951" w:rsidRPr="008F37FC" w14:paraId="3E838D8D" w14:textId="77777777" w:rsidTr="002F16A0">
        <w:tc>
          <w:tcPr>
            <w:tcW w:w="1890" w:type="dxa"/>
          </w:tcPr>
          <w:p w14:paraId="77F6E6ED" w14:textId="442E1056" w:rsidR="00013951" w:rsidRPr="008F37FC" w:rsidRDefault="00F315D8" w:rsidP="008F37FC">
            <w:pPr>
              <w:rPr>
                <w:rFonts w:asciiTheme="minorHAnsi" w:hAnsiTheme="minorHAnsi" w:cs="Calibri"/>
                <w:szCs w:val="22"/>
              </w:rPr>
            </w:pPr>
            <w:r>
              <w:rPr>
                <w:rFonts w:asciiTheme="minorHAnsi" w:hAnsiTheme="minorHAnsi" w:cs="Calibri"/>
                <w:szCs w:val="22"/>
              </w:rPr>
              <w:t>ECL</w:t>
            </w:r>
          </w:p>
        </w:tc>
        <w:tc>
          <w:tcPr>
            <w:tcW w:w="6830" w:type="dxa"/>
          </w:tcPr>
          <w:p w14:paraId="5605FB39"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electrochemiluminescent</w:t>
            </w:r>
          </w:p>
        </w:tc>
      </w:tr>
      <w:tr w:rsidR="00013951" w:rsidRPr="008F37FC" w14:paraId="7E8F6D1C" w14:textId="77777777" w:rsidTr="002F16A0">
        <w:tc>
          <w:tcPr>
            <w:tcW w:w="1890" w:type="dxa"/>
          </w:tcPr>
          <w:p w14:paraId="57DA3DE0" w14:textId="1CFBE3EF" w:rsidR="00013951" w:rsidRPr="008F37FC" w:rsidRDefault="00F315D8" w:rsidP="008F37FC">
            <w:pPr>
              <w:rPr>
                <w:rFonts w:asciiTheme="minorHAnsi" w:eastAsia="TimesNewRoman" w:hAnsiTheme="minorHAnsi" w:cs="Calibri"/>
                <w:szCs w:val="22"/>
              </w:rPr>
            </w:pPr>
            <w:r>
              <w:rPr>
                <w:rFonts w:asciiTheme="minorHAnsi" w:eastAsia="TimesNewRoman" w:hAnsiTheme="minorHAnsi" w:cs="Calibri"/>
                <w:szCs w:val="22"/>
              </w:rPr>
              <w:t>ECLIA</w:t>
            </w:r>
          </w:p>
        </w:tc>
        <w:tc>
          <w:tcPr>
            <w:tcW w:w="6830" w:type="dxa"/>
          </w:tcPr>
          <w:p w14:paraId="6A84AA8A"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electrochemiluminescent immunoassay</w:t>
            </w:r>
          </w:p>
        </w:tc>
      </w:tr>
      <w:tr w:rsidR="00013951" w:rsidRPr="008F37FC" w14:paraId="6FD1046E" w14:textId="77777777" w:rsidTr="002F16A0">
        <w:tc>
          <w:tcPr>
            <w:tcW w:w="1890" w:type="dxa"/>
          </w:tcPr>
          <w:p w14:paraId="5F59CA79"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eCRF</w:t>
            </w:r>
          </w:p>
        </w:tc>
        <w:tc>
          <w:tcPr>
            <w:tcW w:w="6830" w:type="dxa"/>
          </w:tcPr>
          <w:p w14:paraId="12B9752D"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electronic case report form</w:t>
            </w:r>
          </w:p>
        </w:tc>
      </w:tr>
      <w:tr w:rsidR="00013951" w:rsidRPr="008F37FC" w14:paraId="51F0513E" w14:textId="77777777" w:rsidTr="002F16A0">
        <w:tc>
          <w:tcPr>
            <w:tcW w:w="1890" w:type="dxa"/>
          </w:tcPr>
          <w:p w14:paraId="40A3DBEF"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 xml:space="preserve">EIA </w:t>
            </w:r>
          </w:p>
        </w:tc>
        <w:tc>
          <w:tcPr>
            <w:tcW w:w="6830" w:type="dxa"/>
          </w:tcPr>
          <w:p w14:paraId="69392FEC"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enzyme immunoassay</w:t>
            </w:r>
          </w:p>
        </w:tc>
      </w:tr>
      <w:tr w:rsidR="00013951" w:rsidRPr="008F37FC" w14:paraId="2AD26A85" w14:textId="77777777" w:rsidTr="002F16A0">
        <w:tc>
          <w:tcPr>
            <w:tcW w:w="1890" w:type="dxa"/>
          </w:tcPr>
          <w:p w14:paraId="0B698F91"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 xml:space="preserve">ELISA </w:t>
            </w:r>
          </w:p>
        </w:tc>
        <w:tc>
          <w:tcPr>
            <w:tcW w:w="6830" w:type="dxa"/>
          </w:tcPr>
          <w:p w14:paraId="6BB5718F"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enzyme-linked immunosorbent assay</w:t>
            </w:r>
          </w:p>
        </w:tc>
      </w:tr>
      <w:tr w:rsidR="00013951" w:rsidRPr="008F37FC" w14:paraId="03BDF83E" w14:textId="77777777" w:rsidTr="002F16A0">
        <w:tc>
          <w:tcPr>
            <w:tcW w:w="1890" w:type="dxa"/>
          </w:tcPr>
          <w:p w14:paraId="654D35A0"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EMA</w:t>
            </w:r>
          </w:p>
        </w:tc>
        <w:tc>
          <w:tcPr>
            <w:tcW w:w="6830" w:type="dxa"/>
          </w:tcPr>
          <w:p w14:paraId="5E0F15A3"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European Medicines Evaluation Agency</w:t>
            </w:r>
          </w:p>
        </w:tc>
      </w:tr>
      <w:tr w:rsidR="00013951" w:rsidRPr="008F37FC" w14:paraId="7A1B5FAB" w14:textId="77777777" w:rsidTr="002F16A0">
        <w:tc>
          <w:tcPr>
            <w:tcW w:w="1890" w:type="dxa"/>
          </w:tcPr>
          <w:p w14:paraId="29E916D3"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E-R</w:t>
            </w:r>
          </w:p>
        </w:tc>
        <w:tc>
          <w:tcPr>
            <w:tcW w:w="6830" w:type="dxa"/>
          </w:tcPr>
          <w:p w14:paraId="6E1D6E3F"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Exposure-response</w:t>
            </w:r>
          </w:p>
        </w:tc>
      </w:tr>
      <w:tr w:rsidR="00013951" w:rsidRPr="008F37FC" w14:paraId="66B512D8" w14:textId="77777777" w:rsidTr="002F16A0">
        <w:tc>
          <w:tcPr>
            <w:tcW w:w="1890" w:type="dxa"/>
          </w:tcPr>
          <w:p w14:paraId="07321BD6"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EU</w:t>
            </w:r>
          </w:p>
        </w:tc>
        <w:tc>
          <w:tcPr>
            <w:tcW w:w="6830" w:type="dxa"/>
          </w:tcPr>
          <w:p w14:paraId="286285D5"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European Union</w:t>
            </w:r>
          </w:p>
        </w:tc>
      </w:tr>
      <w:tr w:rsidR="00013951" w:rsidRPr="008F37FC" w14:paraId="2CD05192" w14:textId="77777777" w:rsidTr="002F16A0">
        <w:tc>
          <w:tcPr>
            <w:tcW w:w="1890" w:type="dxa"/>
          </w:tcPr>
          <w:p w14:paraId="4BA0D9D6" w14:textId="77777777" w:rsidR="00013951" w:rsidRPr="008F37FC" w:rsidRDefault="00013951" w:rsidP="008F37FC">
            <w:pPr>
              <w:rPr>
                <w:rFonts w:asciiTheme="minorHAnsi" w:eastAsia="TimesNewRoman" w:hAnsiTheme="minorHAnsi" w:cs="Calibri"/>
                <w:color w:val="000000"/>
                <w:szCs w:val="22"/>
              </w:rPr>
            </w:pPr>
            <w:r w:rsidRPr="008F37FC">
              <w:rPr>
                <w:rFonts w:asciiTheme="minorHAnsi" w:eastAsia="TimesNewRoman" w:hAnsiTheme="minorHAnsi" w:cs="Calibri"/>
                <w:color w:val="000000"/>
                <w:szCs w:val="22"/>
              </w:rPr>
              <w:t>F</w:t>
            </w:r>
          </w:p>
        </w:tc>
        <w:tc>
          <w:tcPr>
            <w:tcW w:w="6830" w:type="dxa"/>
          </w:tcPr>
          <w:p w14:paraId="74D1B9C3" w14:textId="77777777" w:rsidR="00013951" w:rsidRPr="008F37FC" w:rsidRDefault="00013951" w:rsidP="008F37FC">
            <w:pPr>
              <w:rPr>
                <w:rFonts w:asciiTheme="minorHAnsi" w:eastAsia="TimesNewRoman" w:hAnsiTheme="minorHAnsi" w:cs="Calibri"/>
                <w:color w:val="000000"/>
                <w:szCs w:val="22"/>
              </w:rPr>
            </w:pPr>
            <w:r w:rsidRPr="008F37FC">
              <w:rPr>
                <w:rFonts w:asciiTheme="minorHAnsi" w:eastAsia="TimesNewRoman" w:hAnsiTheme="minorHAnsi" w:cs="Calibri"/>
                <w:color w:val="000000"/>
                <w:szCs w:val="22"/>
              </w:rPr>
              <w:t>bioavailability</w:t>
            </w:r>
          </w:p>
        </w:tc>
      </w:tr>
      <w:tr w:rsidR="00013951" w:rsidRPr="008F37FC" w14:paraId="4C4856A7" w14:textId="77777777" w:rsidTr="002F16A0">
        <w:tc>
          <w:tcPr>
            <w:tcW w:w="1890" w:type="dxa"/>
          </w:tcPr>
          <w:p w14:paraId="4ED61EE3" w14:textId="77777777" w:rsidR="00013951" w:rsidRPr="008F37FC" w:rsidRDefault="00013951" w:rsidP="008F37FC">
            <w:pPr>
              <w:rPr>
                <w:rFonts w:asciiTheme="minorHAnsi" w:eastAsia="TimesNewRoman" w:hAnsiTheme="minorHAnsi" w:cs="Calibri"/>
                <w:color w:val="000000"/>
                <w:szCs w:val="22"/>
              </w:rPr>
            </w:pPr>
            <w:r w:rsidRPr="008F37FC">
              <w:rPr>
                <w:rFonts w:asciiTheme="minorHAnsi" w:eastAsia="TimesNewRoman" w:hAnsiTheme="minorHAnsi" w:cs="Calibri"/>
                <w:color w:val="000000"/>
                <w:szCs w:val="22"/>
              </w:rPr>
              <w:t>fCAL</w:t>
            </w:r>
          </w:p>
        </w:tc>
        <w:tc>
          <w:tcPr>
            <w:tcW w:w="6830" w:type="dxa"/>
          </w:tcPr>
          <w:p w14:paraId="076BC3EF" w14:textId="77777777" w:rsidR="00013951" w:rsidRPr="008F37FC" w:rsidRDefault="00013951" w:rsidP="008F37FC">
            <w:pPr>
              <w:rPr>
                <w:rFonts w:asciiTheme="minorHAnsi" w:eastAsia="TimesNewRoman" w:hAnsiTheme="minorHAnsi" w:cs="Calibri"/>
                <w:color w:val="000000"/>
                <w:szCs w:val="22"/>
              </w:rPr>
            </w:pPr>
            <w:r w:rsidRPr="008F37FC">
              <w:rPr>
                <w:rFonts w:asciiTheme="minorHAnsi" w:hAnsiTheme="minorHAnsi" w:cs="Calibri"/>
                <w:szCs w:val="22"/>
              </w:rPr>
              <w:t>faecal calprotectin</w:t>
            </w:r>
          </w:p>
        </w:tc>
      </w:tr>
      <w:tr w:rsidR="00013951" w:rsidRPr="008F37FC" w14:paraId="6AE6BF88" w14:textId="77777777" w:rsidTr="002F16A0">
        <w:tc>
          <w:tcPr>
            <w:tcW w:w="1890" w:type="dxa"/>
          </w:tcPr>
          <w:p w14:paraId="0E3132AB"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FDA</w:t>
            </w:r>
          </w:p>
        </w:tc>
        <w:tc>
          <w:tcPr>
            <w:tcW w:w="6830" w:type="dxa"/>
          </w:tcPr>
          <w:p w14:paraId="1071701D"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Food and Drug Administration (US)</w:t>
            </w:r>
          </w:p>
        </w:tc>
      </w:tr>
      <w:tr w:rsidR="00013951" w:rsidRPr="008F37FC" w14:paraId="650FD90F" w14:textId="77777777" w:rsidTr="002F16A0">
        <w:tc>
          <w:tcPr>
            <w:tcW w:w="1890" w:type="dxa"/>
          </w:tcPr>
          <w:p w14:paraId="314EAAAF" w14:textId="77777777" w:rsidR="00013951" w:rsidRPr="008F37FC" w:rsidRDefault="00013951" w:rsidP="008F37FC">
            <w:pPr>
              <w:rPr>
                <w:rFonts w:asciiTheme="minorHAnsi" w:eastAsia="TimesNewRoman" w:hAnsiTheme="minorHAnsi" w:cs="Calibri"/>
                <w:color w:val="000000"/>
                <w:szCs w:val="22"/>
              </w:rPr>
            </w:pPr>
            <w:r w:rsidRPr="008F37FC">
              <w:rPr>
                <w:rFonts w:asciiTheme="minorHAnsi" w:eastAsia="TimesNewRoman" w:hAnsiTheme="minorHAnsi" w:cs="Calibri"/>
                <w:color w:val="000000"/>
                <w:szCs w:val="22"/>
              </w:rPr>
              <w:t>FDR</w:t>
            </w:r>
          </w:p>
        </w:tc>
        <w:tc>
          <w:tcPr>
            <w:tcW w:w="6830" w:type="dxa"/>
          </w:tcPr>
          <w:p w14:paraId="31F6D32B"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false discovery rate</w:t>
            </w:r>
          </w:p>
        </w:tc>
      </w:tr>
      <w:tr w:rsidR="00013951" w:rsidRPr="008F37FC" w14:paraId="461CF32B" w14:textId="77777777" w:rsidTr="002F16A0">
        <w:tc>
          <w:tcPr>
            <w:tcW w:w="1890" w:type="dxa"/>
          </w:tcPr>
          <w:p w14:paraId="2C06F662"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fLAC</w:t>
            </w:r>
          </w:p>
        </w:tc>
        <w:tc>
          <w:tcPr>
            <w:tcW w:w="6830" w:type="dxa"/>
          </w:tcPr>
          <w:p w14:paraId="2226D097" w14:textId="77777777" w:rsidR="00013951" w:rsidRPr="008F37FC" w:rsidRDefault="00013951" w:rsidP="008F37FC">
            <w:pPr>
              <w:rPr>
                <w:rFonts w:asciiTheme="minorHAnsi" w:eastAsia="TimesNewRoman" w:hAnsiTheme="minorHAnsi" w:cs="Calibri"/>
                <w:color w:val="000000"/>
                <w:szCs w:val="22"/>
              </w:rPr>
            </w:pPr>
            <w:r w:rsidRPr="008F37FC">
              <w:rPr>
                <w:rFonts w:asciiTheme="minorHAnsi" w:hAnsiTheme="minorHAnsi" w:cs="Calibri"/>
                <w:szCs w:val="22"/>
              </w:rPr>
              <w:t>faecal lactoferrin</w:t>
            </w:r>
          </w:p>
        </w:tc>
      </w:tr>
      <w:tr w:rsidR="00013951" w:rsidRPr="008F37FC" w14:paraId="0235216A" w14:textId="77777777" w:rsidTr="002F16A0">
        <w:tc>
          <w:tcPr>
            <w:tcW w:w="1890" w:type="dxa"/>
          </w:tcPr>
          <w:p w14:paraId="5FA988F1" w14:textId="77777777" w:rsidR="00013951" w:rsidRPr="008F37FC" w:rsidRDefault="00013951" w:rsidP="008F37FC">
            <w:pPr>
              <w:rPr>
                <w:rFonts w:asciiTheme="minorHAnsi" w:eastAsia="TimesNewRoman" w:hAnsiTheme="minorHAnsi" w:cs="Calibri"/>
                <w:color w:val="000000"/>
                <w:szCs w:val="22"/>
              </w:rPr>
            </w:pPr>
            <w:r w:rsidRPr="008F37FC">
              <w:rPr>
                <w:rFonts w:asciiTheme="minorHAnsi" w:eastAsia="TimesNewRoman" w:hAnsiTheme="minorHAnsi" w:cs="Calibri"/>
                <w:color w:val="000000"/>
                <w:szCs w:val="22"/>
              </w:rPr>
              <w:t>FTNF</w:t>
            </w:r>
          </w:p>
        </w:tc>
        <w:tc>
          <w:tcPr>
            <w:tcW w:w="6830" w:type="dxa"/>
          </w:tcPr>
          <w:p w14:paraId="05F77AF8" w14:textId="77777777" w:rsidR="00013951" w:rsidRPr="008F37FC" w:rsidRDefault="00013951" w:rsidP="008F37FC">
            <w:pPr>
              <w:rPr>
                <w:rFonts w:asciiTheme="minorHAnsi" w:eastAsia="TimesNewRoman" w:hAnsiTheme="minorHAnsi" w:cs="Calibri"/>
                <w:color w:val="000000"/>
                <w:szCs w:val="22"/>
              </w:rPr>
            </w:pPr>
            <w:r w:rsidRPr="008F37FC">
              <w:rPr>
                <w:rFonts w:asciiTheme="minorHAnsi" w:eastAsia="TimesNewRoman" w:hAnsiTheme="minorHAnsi" w:cs="Calibri"/>
                <w:color w:val="000000"/>
                <w:szCs w:val="22"/>
              </w:rPr>
              <w:t>TNF failure</w:t>
            </w:r>
          </w:p>
        </w:tc>
      </w:tr>
      <w:tr w:rsidR="00013951" w:rsidRPr="008F37FC" w14:paraId="0C601A23" w14:textId="77777777" w:rsidTr="002F16A0">
        <w:tc>
          <w:tcPr>
            <w:tcW w:w="1890" w:type="dxa"/>
          </w:tcPr>
          <w:p w14:paraId="4B4F7E27" w14:textId="77777777" w:rsidR="00013951" w:rsidRPr="008F37FC" w:rsidRDefault="00013951" w:rsidP="008F37FC">
            <w:pPr>
              <w:rPr>
                <w:rFonts w:asciiTheme="minorHAnsi" w:eastAsia="TimesNewRoman" w:hAnsiTheme="minorHAnsi" w:cs="Calibri"/>
                <w:color w:val="000000"/>
                <w:szCs w:val="22"/>
              </w:rPr>
            </w:pPr>
            <w:r w:rsidRPr="008F37FC">
              <w:rPr>
                <w:rFonts w:asciiTheme="minorHAnsi" w:eastAsia="TimesNewRoman" w:hAnsiTheme="minorHAnsi" w:cs="Calibri"/>
                <w:color w:val="000000"/>
                <w:szCs w:val="22"/>
              </w:rPr>
              <w:t>FVP (IV)</w:t>
            </w:r>
          </w:p>
        </w:tc>
        <w:tc>
          <w:tcPr>
            <w:tcW w:w="6830" w:type="dxa"/>
          </w:tcPr>
          <w:p w14:paraId="43A7832C" w14:textId="77777777" w:rsidR="00013951" w:rsidRPr="008F37FC" w:rsidRDefault="00013951" w:rsidP="008F37FC">
            <w:pPr>
              <w:rPr>
                <w:rFonts w:asciiTheme="minorHAnsi" w:hAnsiTheme="minorHAnsi" w:cs="Calibri"/>
                <w:szCs w:val="22"/>
              </w:rPr>
            </w:pPr>
            <w:r w:rsidRPr="008F37FC">
              <w:rPr>
                <w:rFonts w:asciiTheme="minorHAnsi" w:eastAsia="TimesNewRoman" w:hAnsiTheme="minorHAnsi" w:cs="Calibri"/>
                <w:color w:val="000000"/>
                <w:szCs w:val="22"/>
              </w:rPr>
              <w:t>final vialed product for intravenous administration</w:t>
            </w:r>
          </w:p>
        </w:tc>
      </w:tr>
      <w:tr w:rsidR="00013951" w:rsidRPr="008F37FC" w14:paraId="3EB79E90" w14:textId="77777777" w:rsidTr="002F16A0">
        <w:tc>
          <w:tcPr>
            <w:tcW w:w="1890" w:type="dxa"/>
          </w:tcPr>
          <w:p w14:paraId="5DD75A73"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GI</w:t>
            </w:r>
          </w:p>
        </w:tc>
        <w:tc>
          <w:tcPr>
            <w:tcW w:w="6830" w:type="dxa"/>
          </w:tcPr>
          <w:p w14:paraId="29B5CE49"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gastrointestinal</w:t>
            </w:r>
          </w:p>
        </w:tc>
      </w:tr>
      <w:tr w:rsidR="00013951" w:rsidRPr="008F37FC" w14:paraId="31B7B888" w14:textId="77777777" w:rsidTr="002F16A0">
        <w:tc>
          <w:tcPr>
            <w:tcW w:w="1890" w:type="dxa"/>
          </w:tcPr>
          <w:p w14:paraId="254ABE33"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GMCSF</w:t>
            </w:r>
          </w:p>
        </w:tc>
        <w:tc>
          <w:tcPr>
            <w:tcW w:w="6830" w:type="dxa"/>
          </w:tcPr>
          <w:p w14:paraId="3F6F73BC" w14:textId="77777777" w:rsidR="00013951" w:rsidRPr="008F37FC" w:rsidRDefault="00013951" w:rsidP="008F37FC">
            <w:pPr>
              <w:rPr>
                <w:rFonts w:asciiTheme="minorHAnsi" w:hAnsiTheme="minorHAnsi" w:cs="Calibri"/>
                <w:szCs w:val="22"/>
              </w:rPr>
            </w:pPr>
            <w:r w:rsidRPr="008F37FC">
              <w:rPr>
                <w:rFonts w:asciiTheme="minorHAnsi" w:eastAsia="TimesNewRoman" w:hAnsiTheme="minorHAnsi" w:cs="Calibri"/>
                <w:szCs w:val="22"/>
              </w:rPr>
              <w:t>granulocyte macrophage-colony stimulating factor</w:t>
            </w:r>
          </w:p>
        </w:tc>
      </w:tr>
      <w:tr w:rsidR="00013951" w:rsidRPr="008F37FC" w14:paraId="13E66DAD" w14:textId="77777777" w:rsidTr="002F16A0">
        <w:tc>
          <w:tcPr>
            <w:tcW w:w="1890" w:type="dxa"/>
          </w:tcPr>
          <w:p w14:paraId="702F0CF3"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lastRenderedPageBreak/>
              <w:t>h</w:t>
            </w:r>
          </w:p>
        </w:tc>
        <w:tc>
          <w:tcPr>
            <w:tcW w:w="6830" w:type="dxa"/>
          </w:tcPr>
          <w:p w14:paraId="5810B46C"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hour/s</w:t>
            </w:r>
          </w:p>
        </w:tc>
      </w:tr>
      <w:tr w:rsidR="00013951" w:rsidRPr="008F37FC" w14:paraId="23EFB698" w14:textId="77777777" w:rsidTr="002F16A0">
        <w:tc>
          <w:tcPr>
            <w:tcW w:w="1890" w:type="dxa"/>
          </w:tcPr>
          <w:p w14:paraId="0A0A428B"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HSTCL</w:t>
            </w:r>
          </w:p>
        </w:tc>
        <w:tc>
          <w:tcPr>
            <w:tcW w:w="6830" w:type="dxa"/>
          </w:tcPr>
          <w:p w14:paraId="46A786EB"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hepatosplenic T-cell lymphoma</w:t>
            </w:r>
          </w:p>
        </w:tc>
      </w:tr>
      <w:tr w:rsidR="00013951" w:rsidRPr="008F37FC" w14:paraId="7D782055" w14:textId="77777777" w:rsidTr="002F16A0">
        <w:tc>
          <w:tcPr>
            <w:tcW w:w="1890" w:type="dxa"/>
          </w:tcPr>
          <w:p w14:paraId="3E3CBB29" w14:textId="77777777" w:rsidR="00013951" w:rsidRPr="008F37FC" w:rsidRDefault="00013951" w:rsidP="008F37FC">
            <w:pPr>
              <w:rPr>
                <w:rFonts w:asciiTheme="minorHAnsi" w:eastAsia="TimesNewRoman" w:hAnsiTheme="minorHAnsi" w:cs="Calibri"/>
                <w:iCs/>
                <w:szCs w:val="22"/>
              </w:rPr>
            </w:pPr>
            <w:r w:rsidRPr="008F37FC">
              <w:rPr>
                <w:rFonts w:asciiTheme="minorHAnsi" w:eastAsia="TimesNewRoman" w:hAnsiTheme="minorHAnsi" w:cs="Calibri"/>
                <w:iCs/>
                <w:szCs w:val="22"/>
              </w:rPr>
              <w:t>IBCRP</w:t>
            </w:r>
          </w:p>
        </w:tc>
        <w:tc>
          <w:tcPr>
            <w:tcW w:w="6830" w:type="dxa"/>
          </w:tcPr>
          <w:p w14:paraId="3AE4FAD9" w14:textId="77777777" w:rsidR="00013951" w:rsidRPr="008F37FC" w:rsidRDefault="00013951" w:rsidP="008F37FC">
            <w:pPr>
              <w:rPr>
                <w:rFonts w:asciiTheme="minorHAnsi" w:hAnsiTheme="minorHAnsi" w:cs="Calibri"/>
                <w:szCs w:val="22"/>
              </w:rPr>
            </w:pPr>
            <w:r w:rsidRPr="008F37FC">
              <w:rPr>
                <w:rFonts w:asciiTheme="minorHAnsi" w:eastAsia="TimesNewRoman" w:hAnsiTheme="minorHAnsi" w:cs="Calibri"/>
                <w:iCs/>
                <w:szCs w:val="22"/>
              </w:rPr>
              <w:t>baseline CRP</w:t>
            </w:r>
          </w:p>
        </w:tc>
      </w:tr>
      <w:tr w:rsidR="00013951" w:rsidRPr="008F37FC" w14:paraId="0E5442C3" w14:textId="77777777" w:rsidTr="002F16A0">
        <w:tc>
          <w:tcPr>
            <w:tcW w:w="1890" w:type="dxa"/>
          </w:tcPr>
          <w:p w14:paraId="047D645A" w14:textId="1FC3A527" w:rsidR="00013951" w:rsidRPr="008F37FC" w:rsidRDefault="00F315D8" w:rsidP="008F37FC">
            <w:pPr>
              <w:rPr>
                <w:rFonts w:asciiTheme="minorHAnsi" w:eastAsia="TimesNewRoman" w:hAnsiTheme="minorHAnsi" w:cs="Calibri"/>
                <w:szCs w:val="22"/>
              </w:rPr>
            </w:pPr>
            <w:r>
              <w:rPr>
                <w:rFonts w:asciiTheme="minorHAnsi" w:eastAsia="TimesNewRoman" w:hAnsiTheme="minorHAnsi" w:cs="Calibri"/>
                <w:szCs w:val="22"/>
              </w:rPr>
              <w:t>IBD</w:t>
            </w:r>
          </w:p>
        </w:tc>
        <w:tc>
          <w:tcPr>
            <w:tcW w:w="6830" w:type="dxa"/>
          </w:tcPr>
          <w:p w14:paraId="597F93C1"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inflammatory bowel disease</w:t>
            </w:r>
          </w:p>
        </w:tc>
      </w:tr>
      <w:tr w:rsidR="00013951" w:rsidRPr="008F37FC" w14:paraId="1DCBE760" w14:textId="77777777" w:rsidTr="002F16A0">
        <w:tc>
          <w:tcPr>
            <w:tcW w:w="1890" w:type="dxa"/>
          </w:tcPr>
          <w:p w14:paraId="5191D8AE" w14:textId="326F63E2" w:rsidR="00013951" w:rsidRPr="008F37FC" w:rsidRDefault="00F315D8" w:rsidP="008F37FC">
            <w:pPr>
              <w:rPr>
                <w:rFonts w:asciiTheme="minorHAnsi" w:eastAsia="TimesNewRoman" w:hAnsiTheme="minorHAnsi" w:cs="Calibri"/>
                <w:szCs w:val="22"/>
              </w:rPr>
            </w:pPr>
            <w:r>
              <w:rPr>
                <w:rFonts w:asciiTheme="minorHAnsi" w:eastAsia="TimesNewRoman" w:hAnsiTheme="minorHAnsi" w:cs="Calibri"/>
                <w:szCs w:val="22"/>
              </w:rPr>
              <w:t>IBDQ</w:t>
            </w:r>
          </w:p>
        </w:tc>
        <w:tc>
          <w:tcPr>
            <w:tcW w:w="6830" w:type="dxa"/>
          </w:tcPr>
          <w:p w14:paraId="63325AA2"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Inflammatory Bowel Disease Questionnaire</w:t>
            </w:r>
          </w:p>
        </w:tc>
      </w:tr>
      <w:tr w:rsidR="00013951" w:rsidRPr="008F37FC" w14:paraId="29EC1906" w14:textId="77777777" w:rsidTr="002F16A0">
        <w:tc>
          <w:tcPr>
            <w:tcW w:w="1890" w:type="dxa"/>
          </w:tcPr>
          <w:p w14:paraId="3277FE48" w14:textId="77777777" w:rsidR="00013951" w:rsidRPr="008F37FC" w:rsidRDefault="00013951" w:rsidP="008F37FC">
            <w:pPr>
              <w:rPr>
                <w:rFonts w:asciiTheme="minorHAnsi" w:eastAsia="TimesNewRoman" w:hAnsiTheme="minorHAnsi" w:cs="Calibri"/>
                <w:color w:val="000000"/>
                <w:szCs w:val="22"/>
              </w:rPr>
            </w:pPr>
            <w:r w:rsidRPr="008F37FC">
              <w:rPr>
                <w:rFonts w:asciiTheme="minorHAnsi" w:eastAsia="TimesNewRoman" w:hAnsiTheme="minorHAnsi" w:cs="Calibri"/>
                <w:color w:val="000000"/>
                <w:szCs w:val="22"/>
              </w:rPr>
              <w:t>ICAM-1</w:t>
            </w:r>
          </w:p>
        </w:tc>
        <w:tc>
          <w:tcPr>
            <w:tcW w:w="6830" w:type="dxa"/>
          </w:tcPr>
          <w:p w14:paraId="4062D0AB" w14:textId="77777777" w:rsidR="00013951" w:rsidRPr="008F37FC" w:rsidRDefault="00013951" w:rsidP="008F37FC">
            <w:pPr>
              <w:rPr>
                <w:rFonts w:asciiTheme="minorHAnsi" w:eastAsia="TimesNewRoman" w:hAnsiTheme="minorHAnsi" w:cs="Calibri"/>
                <w:color w:val="000000"/>
                <w:szCs w:val="22"/>
              </w:rPr>
            </w:pPr>
            <w:r w:rsidRPr="008F37FC">
              <w:rPr>
                <w:rFonts w:asciiTheme="minorHAnsi" w:eastAsia="TimesNewRoman" w:hAnsiTheme="minorHAnsi" w:cs="Calibri"/>
                <w:color w:val="000000"/>
                <w:szCs w:val="22"/>
              </w:rPr>
              <w:t>intercellular adhesion molecule 1</w:t>
            </w:r>
          </w:p>
        </w:tc>
      </w:tr>
      <w:tr w:rsidR="00013951" w:rsidRPr="008F37FC" w14:paraId="643E9629" w14:textId="77777777" w:rsidTr="002F16A0">
        <w:tc>
          <w:tcPr>
            <w:tcW w:w="1890" w:type="dxa"/>
          </w:tcPr>
          <w:p w14:paraId="6188BA0B" w14:textId="77777777" w:rsidR="00013951" w:rsidRPr="008F37FC" w:rsidRDefault="00013951" w:rsidP="008F37FC">
            <w:pPr>
              <w:rPr>
                <w:rFonts w:asciiTheme="minorHAnsi" w:eastAsia="TimesNewRoman" w:hAnsiTheme="minorHAnsi" w:cs="Calibri"/>
                <w:color w:val="000000"/>
                <w:szCs w:val="22"/>
              </w:rPr>
            </w:pPr>
            <w:r w:rsidRPr="008F37FC">
              <w:rPr>
                <w:rFonts w:asciiTheme="minorHAnsi" w:eastAsia="TimesNewRoman" w:hAnsiTheme="minorHAnsi" w:cs="Calibri"/>
                <w:color w:val="000000"/>
                <w:szCs w:val="22"/>
              </w:rPr>
              <w:t>ICAM-3</w:t>
            </w:r>
          </w:p>
        </w:tc>
        <w:tc>
          <w:tcPr>
            <w:tcW w:w="6830" w:type="dxa"/>
          </w:tcPr>
          <w:p w14:paraId="5556210B" w14:textId="77777777" w:rsidR="00013951" w:rsidRPr="008F37FC" w:rsidRDefault="00013951" w:rsidP="008F37FC">
            <w:pPr>
              <w:rPr>
                <w:rFonts w:asciiTheme="minorHAnsi" w:hAnsiTheme="minorHAnsi" w:cs="Calibri"/>
                <w:szCs w:val="22"/>
              </w:rPr>
            </w:pPr>
            <w:r w:rsidRPr="008F37FC">
              <w:rPr>
                <w:rFonts w:asciiTheme="minorHAnsi" w:eastAsia="TimesNewRoman" w:hAnsiTheme="minorHAnsi" w:cs="Calibri"/>
                <w:color w:val="000000"/>
                <w:szCs w:val="22"/>
              </w:rPr>
              <w:t>intercellular adhesion molecule 3</w:t>
            </w:r>
          </w:p>
        </w:tc>
      </w:tr>
      <w:tr w:rsidR="00013951" w:rsidRPr="008F37FC" w14:paraId="6410C050" w14:textId="77777777" w:rsidTr="002F16A0">
        <w:tc>
          <w:tcPr>
            <w:tcW w:w="1890" w:type="dxa"/>
          </w:tcPr>
          <w:p w14:paraId="501383B4" w14:textId="77777777" w:rsidR="00013951" w:rsidRPr="008F37FC" w:rsidRDefault="00013951" w:rsidP="008F37FC">
            <w:pPr>
              <w:rPr>
                <w:rFonts w:asciiTheme="minorHAnsi" w:eastAsia="TimesNewRoman" w:hAnsiTheme="minorHAnsi" w:cs="Calibri"/>
                <w:color w:val="000000"/>
                <w:szCs w:val="22"/>
              </w:rPr>
            </w:pPr>
            <w:r w:rsidRPr="008F37FC">
              <w:rPr>
                <w:rFonts w:asciiTheme="minorHAnsi" w:eastAsia="TimesNewRoman" w:hAnsiTheme="minorHAnsi" w:cs="Calibri"/>
                <w:szCs w:val="22"/>
              </w:rPr>
              <w:t>IFNγ</w:t>
            </w:r>
          </w:p>
        </w:tc>
        <w:tc>
          <w:tcPr>
            <w:tcW w:w="6830" w:type="dxa"/>
          </w:tcPr>
          <w:p w14:paraId="17B05DF2" w14:textId="77777777" w:rsidR="00013951" w:rsidRPr="008F37FC" w:rsidRDefault="00013951" w:rsidP="008F37FC">
            <w:pPr>
              <w:rPr>
                <w:rFonts w:asciiTheme="minorHAnsi" w:eastAsia="TimesNewRoman" w:hAnsiTheme="minorHAnsi" w:cs="Calibri"/>
                <w:color w:val="000000"/>
                <w:szCs w:val="22"/>
              </w:rPr>
            </w:pPr>
            <w:r w:rsidRPr="008F37FC">
              <w:rPr>
                <w:rFonts w:asciiTheme="minorHAnsi" w:eastAsia="TimesNewRoman" w:hAnsiTheme="minorHAnsi" w:cs="Calibri"/>
                <w:szCs w:val="22"/>
              </w:rPr>
              <w:t>Interferon-γ</w:t>
            </w:r>
          </w:p>
        </w:tc>
      </w:tr>
      <w:tr w:rsidR="00013951" w:rsidRPr="008F37FC" w14:paraId="1FEECD5A" w14:textId="77777777" w:rsidTr="002F16A0">
        <w:tc>
          <w:tcPr>
            <w:tcW w:w="1890" w:type="dxa"/>
          </w:tcPr>
          <w:p w14:paraId="71AEAE20"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IIV</w:t>
            </w:r>
          </w:p>
        </w:tc>
        <w:tc>
          <w:tcPr>
            <w:tcW w:w="6830" w:type="dxa"/>
          </w:tcPr>
          <w:p w14:paraId="555B057F"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inter-individual variability</w:t>
            </w:r>
          </w:p>
        </w:tc>
      </w:tr>
      <w:tr w:rsidR="00013951" w:rsidRPr="008F37FC" w14:paraId="36A651DC" w14:textId="77777777" w:rsidTr="002F16A0">
        <w:tc>
          <w:tcPr>
            <w:tcW w:w="1890" w:type="dxa"/>
          </w:tcPr>
          <w:p w14:paraId="2748C4F9"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 xml:space="preserve">IL </w:t>
            </w:r>
          </w:p>
        </w:tc>
        <w:tc>
          <w:tcPr>
            <w:tcW w:w="6830" w:type="dxa"/>
          </w:tcPr>
          <w:p w14:paraId="2DB93EAE"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interleukin</w:t>
            </w:r>
          </w:p>
        </w:tc>
      </w:tr>
      <w:tr w:rsidR="00013951" w:rsidRPr="008F37FC" w14:paraId="2BF7D908" w14:textId="77777777" w:rsidTr="002F16A0">
        <w:tc>
          <w:tcPr>
            <w:tcW w:w="1890" w:type="dxa"/>
          </w:tcPr>
          <w:p w14:paraId="259F24B0" w14:textId="1D52B06C" w:rsidR="00013951" w:rsidRPr="008F37FC" w:rsidRDefault="00F315D8" w:rsidP="008F37FC">
            <w:pPr>
              <w:rPr>
                <w:rFonts w:asciiTheme="minorHAnsi" w:hAnsiTheme="minorHAnsi" w:cs="Calibri"/>
                <w:szCs w:val="22"/>
              </w:rPr>
            </w:pPr>
            <w:r>
              <w:rPr>
                <w:rFonts w:asciiTheme="minorHAnsi" w:hAnsiTheme="minorHAnsi" w:cs="Calibri"/>
                <w:szCs w:val="22"/>
              </w:rPr>
              <w:t>IL-12</w:t>
            </w:r>
          </w:p>
        </w:tc>
        <w:tc>
          <w:tcPr>
            <w:tcW w:w="6830" w:type="dxa"/>
          </w:tcPr>
          <w:p w14:paraId="654F3D84"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interleukin 12</w:t>
            </w:r>
          </w:p>
        </w:tc>
      </w:tr>
      <w:tr w:rsidR="00013951" w:rsidRPr="008F37FC" w14:paraId="64675017" w14:textId="77777777" w:rsidTr="002F16A0">
        <w:tc>
          <w:tcPr>
            <w:tcW w:w="1890" w:type="dxa"/>
          </w:tcPr>
          <w:p w14:paraId="5E4DC6D8"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IL-17A</w:t>
            </w:r>
          </w:p>
        </w:tc>
        <w:tc>
          <w:tcPr>
            <w:tcW w:w="6830" w:type="dxa"/>
          </w:tcPr>
          <w:p w14:paraId="68D23C7C"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interleukin-17A</w:t>
            </w:r>
          </w:p>
        </w:tc>
      </w:tr>
      <w:tr w:rsidR="00013951" w:rsidRPr="008F37FC" w14:paraId="44A8636B" w14:textId="77777777" w:rsidTr="002F16A0">
        <w:tc>
          <w:tcPr>
            <w:tcW w:w="1890" w:type="dxa"/>
          </w:tcPr>
          <w:p w14:paraId="6A786389"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IL-17F</w:t>
            </w:r>
          </w:p>
        </w:tc>
        <w:tc>
          <w:tcPr>
            <w:tcW w:w="6830" w:type="dxa"/>
          </w:tcPr>
          <w:p w14:paraId="278F6F2A"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interleukin-17F</w:t>
            </w:r>
          </w:p>
        </w:tc>
      </w:tr>
      <w:tr w:rsidR="00013951" w:rsidRPr="008F37FC" w14:paraId="659FA41F" w14:textId="77777777" w:rsidTr="002F16A0">
        <w:tc>
          <w:tcPr>
            <w:tcW w:w="1890" w:type="dxa"/>
          </w:tcPr>
          <w:p w14:paraId="0AFACC74"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 xml:space="preserve">IL-23 </w:t>
            </w:r>
          </w:p>
        </w:tc>
        <w:tc>
          <w:tcPr>
            <w:tcW w:w="6830" w:type="dxa"/>
          </w:tcPr>
          <w:p w14:paraId="528223AE"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interleukin 23</w:t>
            </w:r>
          </w:p>
        </w:tc>
      </w:tr>
      <w:tr w:rsidR="00013951" w:rsidRPr="008F37FC" w14:paraId="6078E80E" w14:textId="77777777" w:rsidTr="002F16A0">
        <w:tc>
          <w:tcPr>
            <w:tcW w:w="1890" w:type="dxa"/>
          </w:tcPr>
          <w:p w14:paraId="38683844" w14:textId="77777777" w:rsidR="00013951" w:rsidRPr="008F37FC" w:rsidRDefault="00013951" w:rsidP="008F37FC">
            <w:pPr>
              <w:rPr>
                <w:rFonts w:asciiTheme="minorHAnsi" w:eastAsia="TimesNewRoman" w:hAnsiTheme="minorHAnsi" w:cs="Calibri"/>
                <w:color w:val="000000"/>
                <w:szCs w:val="22"/>
              </w:rPr>
            </w:pPr>
            <w:r w:rsidRPr="008F37FC">
              <w:rPr>
                <w:rFonts w:asciiTheme="minorHAnsi" w:eastAsia="TimesNewRoman" w:hAnsiTheme="minorHAnsi" w:cs="Calibri"/>
                <w:color w:val="000000"/>
                <w:szCs w:val="22"/>
              </w:rPr>
              <w:t>IOV</w:t>
            </w:r>
          </w:p>
        </w:tc>
        <w:tc>
          <w:tcPr>
            <w:tcW w:w="6830" w:type="dxa"/>
          </w:tcPr>
          <w:p w14:paraId="11435DFA" w14:textId="77777777" w:rsidR="00013951" w:rsidRPr="008F37FC" w:rsidRDefault="00013951" w:rsidP="008F37FC">
            <w:pPr>
              <w:rPr>
                <w:rFonts w:asciiTheme="minorHAnsi" w:eastAsia="TimesNewRoman" w:hAnsiTheme="minorHAnsi" w:cs="Calibri"/>
                <w:color w:val="000000"/>
                <w:szCs w:val="22"/>
              </w:rPr>
            </w:pPr>
            <w:r w:rsidRPr="008F37FC">
              <w:rPr>
                <w:rFonts w:asciiTheme="minorHAnsi" w:eastAsia="TimesNewRoman" w:hAnsiTheme="minorHAnsi" w:cs="Calibri"/>
                <w:color w:val="000000"/>
                <w:szCs w:val="22"/>
              </w:rPr>
              <w:t>inter-occasion variability</w:t>
            </w:r>
          </w:p>
        </w:tc>
      </w:tr>
      <w:tr w:rsidR="00013951" w:rsidRPr="008F37FC" w14:paraId="5F8A5DAB" w14:textId="77777777" w:rsidTr="002F16A0">
        <w:tc>
          <w:tcPr>
            <w:tcW w:w="1890" w:type="dxa"/>
          </w:tcPr>
          <w:p w14:paraId="196B4FAF" w14:textId="77777777" w:rsidR="00013951" w:rsidRPr="008F37FC" w:rsidRDefault="00013951" w:rsidP="008F37FC">
            <w:pPr>
              <w:rPr>
                <w:rFonts w:asciiTheme="minorHAnsi" w:eastAsia="TimesNewRoman" w:hAnsiTheme="minorHAnsi" w:cs="Calibri"/>
                <w:color w:val="000000"/>
                <w:szCs w:val="22"/>
              </w:rPr>
            </w:pPr>
            <w:r w:rsidRPr="008F37FC">
              <w:rPr>
                <w:rFonts w:asciiTheme="minorHAnsi" w:eastAsia="TimesNewRoman" w:hAnsiTheme="minorHAnsi" w:cs="Calibri"/>
                <w:color w:val="000000"/>
                <w:szCs w:val="22"/>
              </w:rPr>
              <w:t>IP-10</w:t>
            </w:r>
          </w:p>
        </w:tc>
        <w:tc>
          <w:tcPr>
            <w:tcW w:w="6830" w:type="dxa"/>
          </w:tcPr>
          <w:p w14:paraId="44DCA3F2" w14:textId="77777777" w:rsidR="00013951" w:rsidRPr="008F37FC" w:rsidRDefault="00013951" w:rsidP="008F37FC">
            <w:pPr>
              <w:rPr>
                <w:rFonts w:asciiTheme="minorHAnsi" w:hAnsiTheme="minorHAnsi" w:cs="Calibri"/>
                <w:bCs/>
                <w:szCs w:val="22"/>
              </w:rPr>
            </w:pPr>
            <w:r w:rsidRPr="008F37FC">
              <w:rPr>
                <w:rFonts w:asciiTheme="minorHAnsi" w:eastAsia="TimesNewRoman" w:hAnsiTheme="minorHAnsi" w:cs="Calibri"/>
                <w:color w:val="000000"/>
                <w:szCs w:val="22"/>
              </w:rPr>
              <w:t>interferon-gamma inducible protein 10</w:t>
            </w:r>
          </w:p>
        </w:tc>
      </w:tr>
      <w:tr w:rsidR="00013951" w:rsidRPr="008F37FC" w14:paraId="35A3F380" w14:textId="77777777" w:rsidTr="002F16A0">
        <w:tc>
          <w:tcPr>
            <w:tcW w:w="1890" w:type="dxa"/>
          </w:tcPr>
          <w:p w14:paraId="5A385265"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IRPT</w:t>
            </w:r>
          </w:p>
        </w:tc>
        <w:tc>
          <w:tcPr>
            <w:tcW w:w="6830" w:type="dxa"/>
          </w:tcPr>
          <w:p w14:paraId="3DBDCE66" w14:textId="5A317AF9" w:rsidR="00013951" w:rsidRPr="008F37FC" w:rsidRDefault="00013951" w:rsidP="008F37FC">
            <w:pPr>
              <w:rPr>
                <w:rFonts w:asciiTheme="minorHAnsi" w:hAnsiTheme="minorHAnsi" w:cs="Calibri"/>
                <w:bCs/>
                <w:szCs w:val="22"/>
              </w:rPr>
            </w:pPr>
            <w:r w:rsidRPr="008F37FC">
              <w:rPr>
                <w:rFonts w:asciiTheme="minorHAnsi" w:hAnsiTheme="minorHAnsi" w:cs="Calibri"/>
                <w:szCs w:val="22"/>
              </w:rPr>
              <w:t>positive</w:t>
            </w:r>
            <w:r w:rsidR="00C93E28">
              <w:rPr>
                <w:rFonts w:asciiTheme="minorHAnsi" w:hAnsiTheme="minorHAnsi" w:cs="Calibri"/>
                <w:szCs w:val="22"/>
              </w:rPr>
              <w:t xml:space="preserve"> for</w:t>
            </w:r>
            <w:r w:rsidRPr="008F37FC">
              <w:rPr>
                <w:rFonts w:asciiTheme="minorHAnsi" w:hAnsiTheme="minorHAnsi" w:cs="Calibri"/>
                <w:szCs w:val="22"/>
              </w:rPr>
              <w:t xml:space="preserve"> </w:t>
            </w:r>
            <w:r w:rsidRPr="008F37FC">
              <w:rPr>
                <w:rFonts w:asciiTheme="minorHAnsi" w:hAnsiTheme="minorHAnsi" w:cs="Calibri"/>
                <w:bCs/>
                <w:szCs w:val="22"/>
              </w:rPr>
              <w:t>antidrug antibodies</w:t>
            </w:r>
          </w:p>
        </w:tc>
      </w:tr>
      <w:tr w:rsidR="00013951" w:rsidRPr="008F37FC" w14:paraId="701C718C" w14:textId="77777777" w:rsidTr="002F16A0">
        <w:tc>
          <w:tcPr>
            <w:tcW w:w="1890" w:type="dxa"/>
          </w:tcPr>
          <w:p w14:paraId="6DC1442C"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IV</w:t>
            </w:r>
          </w:p>
        </w:tc>
        <w:tc>
          <w:tcPr>
            <w:tcW w:w="6830" w:type="dxa"/>
          </w:tcPr>
          <w:p w14:paraId="2A61418C" w14:textId="77777777" w:rsidR="00013951" w:rsidRPr="008F37FC" w:rsidRDefault="00013951" w:rsidP="008F37FC">
            <w:pPr>
              <w:rPr>
                <w:rFonts w:asciiTheme="minorHAnsi" w:hAnsiTheme="minorHAnsi" w:cs="Calibri"/>
                <w:bCs/>
                <w:szCs w:val="22"/>
              </w:rPr>
            </w:pPr>
            <w:r w:rsidRPr="008F37FC">
              <w:rPr>
                <w:rFonts w:asciiTheme="minorHAnsi" w:hAnsiTheme="minorHAnsi" w:cs="Calibri"/>
                <w:szCs w:val="22"/>
              </w:rPr>
              <w:t>intravenous</w:t>
            </w:r>
          </w:p>
        </w:tc>
      </w:tr>
      <w:tr w:rsidR="00013951" w:rsidRPr="008F37FC" w14:paraId="537FABB1" w14:textId="77777777" w:rsidTr="002F16A0">
        <w:tc>
          <w:tcPr>
            <w:tcW w:w="1890" w:type="dxa"/>
          </w:tcPr>
          <w:p w14:paraId="0E3CF1F6"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Kg</w:t>
            </w:r>
          </w:p>
        </w:tc>
        <w:tc>
          <w:tcPr>
            <w:tcW w:w="6830" w:type="dxa"/>
          </w:tcPr>
          <w:p w14:paraId="531B25A2"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Kilogram</w:t>
            </w:r>
          </w:p>
        </w:tc>
      </w:tr>
      <w:tr w:rsidR="00013951" w:rsidRPr="008F37FC" w14:paraId="7AD1126A" w14:textId="77777777" w:rsidTr="002F16A0">
        <w:tc>
          <w:tcPr>
            <w:tcW w:w="1890" w:type="dxa"/>
          </w:tcPr>
          <w:p w14:paraId="63EA7818"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 xml:space="preserve">LIV </w:t>
            </w:r>
          </w:p>
        </w:tc>
        <w:tc>
          <w:tcPr>
            <w:tcW w:w="6830" w:type="dxa"/>
          </w:tcPr>
          <w:p w14:paraId="350E25E8"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liquid in vial</w:t>
            </w:r>
          </w:p>
        </w:tc>
      </w:tr>
      <w:tr w:rsidR="00013951" w:rsidRPr="008F37FC" w14:paraId="0BC347DF" w14:textId="77777777" w:rsidTr="002F16A0">
        <w:tc>
          <w:tcPr>
            <w:tcW w:w="1890" w:type="dxa"/>
          </w:tcPr>
          <w:p w14:paraId="41BC643E"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LLOQ</w:t>
            </w:r>
          </w:p>
        </w:tc>
        <w:tc>
          <w:tcPr>
            <w:tcW w:w="6830" w:type="dxa"/>
          </w:tcPr>
          <w:p w14:paraId="735E828D"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lower limit of quantitation</w:t>
            </w:r>
          </w:p>
        </w:tc>
      </w:tr>
      <w:tr w:rsidR="00013951" w:rsidRPr="008F37FC" w14:paraId="27013B97" w14:textId="77777777" w:rsidTr="002F16A0">
        <w:tc>
          <w:tcPr>
            <w:tcW w:w="1890" w:type="dxa"/>
          </w:tcPr>
          <w:p w14:paraId="5DA8F82C"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 xml:space="preserve">LOR </w:t>
            </w:r>
          </w:p>
        </w:tc>
        <w:tc>
          <w:tcPr>
            <w:tcW w:w="6830" w:type="dxa"/>
          </w:tcPr>
          <w:p w14:paraId="364598BC"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loss of response</w:t>
            </w:r>
          </w:p>
        </w:tc>
      </w:tr>
      <w:tr w:rsidR="00013951" w:rsidRPr="008F37FC" w14:paraId="7C752376" w14:textId="77777777" w:rsidTr="002F16A0">
        <w:tc>
          <w:tcPr>
            <w:tcW w:w="1890" w:type="dxa"/>
          </w:tcPr>
          <w:p w14:paraId="7557DAC8"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LTE</w:t>
            </w:r>
          </w:p>
        </w:tc>
        <w:tc>
          <w:tcPr>
            <w:tcW w:w="6830" w:type="dxa"/>
          </w:tcPr>
          <w:p w14:paraId="46711D12"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long-term extension</w:t>
            </w:r>
          </w:p>
        </w:tc>
      </w:tr>
      <w:tr w:rsidR="00013951" w:rsidRPr="008F37FC" w14:paraId="542E145B" w14:textId="77777777" w:rsidTr="002F16A0">
        <w:tc>
          <w:tcPr>
            <w:tcW w:w="1890" w:type="dxa"/>
          </w:tcPr>
          <w:p w14:paraId="34DE6399"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mAb</w:t>
            </w:r>
          </w:p>
        </w:tc>
        <w:tc>
          <w:tcPr>
            <w:tcW w:w="6830" w:type="dxa"/>
          </w:tcPr>
          <w:p w14:paraId="529FB6A1"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monoclonal antibody</w:t>
            </w:r>
          </w:p>
        </w:tc>
      </w:tr>
      <w:tr w:rsidR="00013951" w:rsidRPr="008F37FC" w14:paraId="4C84BA7E" w14:textId="77777777" w:rsidTr="002F16A0">
        <w:tc>
          <w:tcPr>
            <w:tcW w:w="1890" w:type="dxa"/>
          </w:tcPr>
          <w:p w14:paraId="06CFC70C"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MACE</w:t>
            </w:r>
          </w:p>
        </w:tc>
        <w:tc>
          <w:tcPr>
            <w:tcW w:w="6830" w:type="dxa"/>
          </w:tcPr>
          <w:p w14:paraId="6C13BE9F"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major adverse cardiovascular events</w:t>
            </w:r>
          </w:p>
        </w:tc>
      </w:tr>
      <w:tr w:rsidR="00013951" w:rsidRPr="008F37FC" w14:paraId="5EB64A27" w14:textId="77777777" w:rsidTr="002F16A0">
        <w:tc>
          <w:tcPr>
            <w:tcW w:w="1890" w:type="dxa"/>
          </w:tcPr>
          <w:p w14:paraId="1AF360CC"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MCP-1</w:t>
            </w:r>
          </w:p>
        </w:tc>
        <w:tc>
          <w:tcPr>
            <w:tcW w:w="6830" w:type="dxa"/>
          </w:tcPr>
          <w:p w14:paraId="05D5309A" w14:textId="77777777" w:rsidR="00013951" w:rsidRPr="008F37FC" w:rsidRDefault="00013951" w:rsidP="008F37FC">
            <w:pPr>
              <w:rPr>
                <w:rFonts w:asciiTheme="minorHAnsi" w:hAnsiTheme="minorHAnsi" w:cs="Calibri"/>
                <w:bCs/>
                <w:szCs w:val="22"/>
              </w:rPr>
            </w:pPr>
            <w:r w:rsidRPr="008F37FC">
              <w:rPr>
                <w:rFonts w:asciiTheme="minorHAnsi" w:eastAsia="TimesNewRoman" w:hAnsiTheme="minorHAnsi" w:cs="Calibri"/>
                <w:color w:val="000000"/>
                <w:szCs w:val="22"/>
              </w:rPr>
              <w:t>monocyte chemotactic protein 1</w:t>
            </w:r>
          </w:p>
        </w:tc>
      </w:tr>
      <w:tr w:rsidR="00013951" w:rsidRPr="008F37FC" w14:paraId="01930368" w14:textId="77777777" w:rsidTr="002F16A0">
        <w:tc>
          <w:tcPr>
            <w:tcW w:w="1890" w:type="dxa"/>
          </w:tcPr>
          <w:p w14:paraId="12479B94"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lastRenderedPageBreak/>
              <w:t>MCS</w:t>
            </w:r>
          </w:p>
        </w:tc>
        <w:tc>
          <w:tcPr>
            <w:tcW w:w="6830" w:type="dxa"/>
          </w:tcPr>
          <w:p w14:paraId="60283556"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Mental Component Summary</w:t>
            </w:r>
          </w:p>
        </w:tc>
      </w:tr>
      <w:tr w:rsidR="00013951" w:rsidRPr="008F37FC" w14:paraId="0605E3F3" w14:textId="77777777" w:rsidTr="002F16A0">
        <w:tc>
          <w:tcPr>
            <w:tcW w:w="1890" w:type="dxa"/>
          </w:tcPr>
          <w:p w14:paraId="7FF6541D"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MedDRA</w:t>
            </w:r>
          </w:p>
        </w:tc>
        <w:tc>
          <w:tcPr>
            <w:tcW w:w="6830" w:type="dxa"/>
          </w:tcPr>
          <w:p w14:paraId="2805EA9A"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Medical Dictionary for Regulatory Activities</w:t>
            </w:r>
          </w:p>
        </w:tc>
      </w:tr>
      <w:tr w:rsidR="00013951" w:rsidRPr="008F37FC" w14:paraId="1D31727E" w14:textId="77777777" w:rsidTr="002F16A0">
        <w:tc>
          <w:tcPr>
            <w:tcW w:w="1890" w:type="dxa"/>
          </w:tcPr>
          <w:p w14:paraId="2B069820"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mg</w:t>
            </w:r>
          </w:p>
        </w:tc>
        <w:tc>
          <w:tcPr>
            <w:tcW w:w="6830" w:type="dxa"/>
          </w:tcPr>
          <w:p w14:paraId="3706DBF7"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milligram</w:t>
            </w:r>
          </w:p>
        </w:tc>
      </w:tr>
      <w:tr w:rsidR="00013951" w:rsidRPr="008F37FC" w14:paraId="5DD92A78" w14:textId="77777777" w:rsidTr="002F16A0">
        <w:tc>
          <w:tcPr>
            <w:tcW w:w="1890" w:type="dxa"/>
          </w:tcPr>
          <w:p w14:paraId="0D02047F" w14:textId="41134BC1" w:rsidR="00013951" w:rsidRPr="008F37FC" w:rsidRDefault="00A46BF1" w:rsidP="008F37FC">
            <w:pPr>
              <w:rPr>
                <w:rFonts w:asciiTheme="minorHAnsi" w:eastAsia="TimesNewRoman" w:hAnsiTheme="minorHAnsi" w:cs="Calibri"/>
                <w:szCs w:val="22"/>
              </w:rPr>
            </w:pPr>
            <w:r>
              <w:rPr>
                <w:rFonts w:asciiTheme="minorHAnsi" w:eastAsia="TimesNewRoman" w:hAnsiTheme="minorHAnsi" w:cs="Calibri"/>
                <w:szCs w:val="22"/>
              </w:rPr>
              <w:t>MI</w:t>
            </w:r>
          </w:p>
        </w:tc>
        <w:tc>
          <w:tcPr>
            <w:tcW w:w="6830" w:type="dxa"/>
          </w:tcPr>
          <w:p w14:paraId="217342DF"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myocardial infarction</w:t>
            </w:r>
          </w:p>
        </w:tc>
      </w:tr>
      <w:tr w:rsidR="00013951" w:rsidRPr="008F37FC" w14:paraId="691E8EC7" w14:textId="77777777" w:rsidTr="002F16A0">
        <w:tc>
          <w:tcPr>
            <w:tcW w:w="1890" w:type="dxa"/>
          </w:tcPr>
          <w:p w14:paraId="6F3F260B"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min</w:t>
            </w:r>
          </w:p>
        </w:tc>
        <w:tc>
          <w:tcPr>
            <w:tcW w:w="6830" w:type="dxa"/>
          </w:tcPr>
          <w:p w14:paraId="64A355C7"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minute/s</w:t>
            </w:r>
          </w:p>
        </w:tc>
      </w:tr>
      <w:tr w:rsidR="00013951" w:rsidRPr="008F37FC" w14:paraId="759D71B9" w14:textId="77777777" w:rsidTr="002F16A0">
        <w:tc>
          <w:tcPr>
            <w:tcW w:w="1890" w:type="dxa"/>
          </w:tcPr>
          <w:p w14:paraId="5458602D"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MMP</w:t>
            </w:r>
          </w:p>
        </w:tc>
        <w:tc>
          <w:tcPr>
            <w:tcW w:w="6830" w:type="dxa"/>
          </w:tcPr>
          <w:p w14:paraId="5D6E902A" w14:textId="77777777" w:rsidR="00013951" w:rsidRPr="008F37FC" w:rsidRDefault="00013951" w:rsidP="008F37FC">
            <w:pPr>
              <w:rPr>
                <w:rFonts w:asciiTheme="minorHAnsi" w:hAnsiTheme="minorHAnsi" w:cs="Calibri"/>
                <w:bCs/>
                <w:szCs w:val="22"/>
              </w:rPr>
            </w:pPr>
            <w:r w:rsidRPr="008F37FC">
              <w:rPr>
                <w:rFonts w:asciiTheme="minorHAnsi" w:eastAsia="TimesNewRoman" w:hAnsiTheme="minorHAnsi" w:cs="Calibri"/>
                <w:szCs w:val="22"/>
              </w:rPr>
              <w:t>matrix metalloproteinase</w:t>
            </w:r>
          </w:p>
        </w:tc>
      </w:tr>
      <w:tr w:rsidR="00013951" w:rsidRPr="008F37FC" w14:paraId="40EFD3D6" w14:textId="77777777" w:rsidTr="002F16A0">
        <w:tc>
          <w:tcPr>
            <w:tcW w:w="1890" w:type="dxa"/>
          </w:tcPr>
          <w:p w14:paraId="3420B793"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MPO</w:t>
            </w:r>
          </w:p>
        </w:tc>
        <w:tc>
          <w:tcPr>
            <w:tcW w:w="6830" w:type="dxa"/>
          </w:tcPr>
          <w:p w14:paraId="662F557F" w14:textId="77777777" w:rsidR="00013951" w:rsidRPr="008F37FC" w:rsidRDefault="00013951" w:rsidP="008F37FC">
            <w:pPr>
              <w:rPr>
                <w:rFonts w:asciiTheme="minorHAnsi" w:hAnsiTheme="minorHAnsi" w:cs="Calibri"/>
                <w:szCs w:val="22"/>
              </w:rPr>
            </w:pPr>
            <w:r w:rsidRPr="008F37FC">
              <w:rPr>
                <w:rFonts w:asciiTheme="minorHAnsi" w:eastAsia="TimesNewRoman" w:hAnsiTheme="minorHAnsi" w:cs="Calibri"/>
                <w:szCs w:val="22"/>
              </w:rPr>
              <w:t>myeloperoxidase</w:t>
            </w:r>
          </w:p>
        </w:tc>
      </w:tr>
      <w:tr w:rsidR="00013951" w:rsidRPr="008F37FC" w14:paraId="3D4FD81B" w14:textId="77777777" w:rsidTr="002F16A0">
        <w:tc>
          <w:tcPr>
            <w:tcW w:w="1890" w:type="dxa"/>
          </w:tcPr>
          <w:p w14:paraId="4B9E8565"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MS</w:t>
            </w:r>
          </w:p>
        </w:tc>
        <w:tc>
          <w:tcPr>
            <w:tcW w:w="6830" w:type="dxa"/>
          </w:tcPr>
          <w:p w14:paraId="1B704691"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multiple sclerosis</w:t>
            </w:r>
          </w:p>
        </w:tc>
      </w:tr>
      <w:tr w:rsidR="00013951" w:rsidRPr="008F37FC" w14:paraId="02C7156B" w14:textId="77777777" w:rsidTr="002F16A0">
        <w:tc>
          <w:tcPr>
            <w:tcW w:w="1890" w:type="dxa"/>
          </w:tcPr>
          <w:p w14:paraId="3B225CD3"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MSD</w:t>
            </w:r>
          </w:p>
        </w:tc>
        <w:tc>
          <w:tcPr>
            <w:tcW w:w="6830" w:type="dxa"/>
          </w:tcPr>
          <w:p w14:paraId="304FDC67"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Meso Scale Discovery</w:t>
            </w:r>
          </w:p>
        </w:tc>
      </w:tr>
      <w:tr w:rsidR="00013951" w:rsidRPr="008F37FC" w14:paraId="0961C6B8" w14:textId="77777777" w:rsidTr="002F16A0">
        <w:tc>
          <w:tcPr>
            <w:tcW w:w="1890" w:type="dxa"/>
          </w:tcPr>
          <w:p w14:paraId="2A8D4D9D" w14:textId="02D38EBC" w:rsidR="00013951" w:rsidRPr="008F37FC" w:rsidRDefault="00A46BF1" w:rsidP="008F37FC">
            <w:pPr>
              <w:rPr>
                <w:rFonts w:asciiTheme="minorHAnsi" w:eastAsia="TimesNewRoman" w:hAnsiTheme="minorHAnsi" w:cs="Calibri"/>
                <w:szCs w:val="22"/>
              </w:rPr>
            </w:pPr>
            <w:r>
              <w:rPr>
                <w:rFonts w:asciiTheme="minorHAnsi" w:eastAsia="TimesNewRoman" w:hAnsiTheme="minorHAnsi" w:cs="Calibri"/>
                <w:szCs w:val="22"/>
              </w:rPr>
              <w:t>MTX</w:t>
            </w:r>
          </w:p>
        </w:tc>
        <w:tc>
          <w:tcPr>
            <w:tcW w:w="6830" w:type="dxa"/>
          </w:tcPr>
          <w:p w14:paraId="09E74C2B"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methotrexate</w:t>
            </w:r>
          </w:p>
        </w:tc>
      </w:tr>
      <w:tr w:rsidR="00013951" w:rsidRPr="008F37FC" w14:paraId="2EE8084C" w14:textId="77777777" w:rsidTr="002F16A0">
        <w:tc>
          <w:tcPr>
            <w:tcW w:w="1890" w:type="dxa"/>
          </w:tcPr>
          <w:p w14:paraId="0711440F" w14:textId="556F8500" w:rsidR="00013951" w:rsidRPr="008F37FC" w:rsidRDefault="00A46BF1" w:rsidP="008F37FC">
            <w:pPr>
              <w:rPr>
                <w:rFonts w:asciiTheme="minorHAnsi" w:eastAsia="TimesNewRoman" w:hAnsiTheme="minorHAnsi" w:cs="Calibri"/>
                <w:szCs w:val="22"/>
              </w:rPr>
            </w:pPr>
            <w:r>
              <w:rPr>
                <w:rFonts w:asciiTheme="minorHAnsi" w:eastAsia="TimesNewRoman" w:hAnsiTheme="minorHAnsi" w:cs="Calibri"/>
                <w:szCs w:val="22"/>
              </w:rPr>
              <w:t>NMSC</w:t>
            </w:r>
          </w:p>
        </w:tc>
        <w:tc>
          <w:tcPr>
            <w:tcW w:w="6830" w:type="dxa"/>
          </w:tcPr>
          <w:p w14:paraId="3C6CA44E"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nonmelanoma skin cancer</w:t>
            </w:r>
          </w:p>
        </w:tc>
      </w:tr>
      <w:tr w:rsidR="00013951" w:rsidRPr="008F37FC" w14:paraId="50547F45" w14:textId="77777777" w:rsidTr="002F16A0">
        <w:tc>
          <w:tcPr>
            <w:tcW w:w="1890" w:type="dxa"/>
          </w:tcPr>
          <w:p w14:paraId="16931BC9"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NR</w:t>
            </w:r>
          </w:p>
        </w:tc>
        <w:tc>
          <w:tcPr>
            <w:tcW w:w="6830" w:type="dxa"/>
          </w:tcPr>
          <w:p w14:paraId="249DAF22" w14:textId="77777777" w:rsidR="00013951" w:rsidRPr="008F37FC" w:rsidRDefault="00013951" w:rsidP="008F37FC">
            <w:pPr>
              <w:rPr>
                <w:rFonts w:asciiTheme="minorHAnsi" w:hAnsiTheme="minorHAnsi" w:cs="Calibri"/>
                <w:bCs/>
                <w:szCs w:val="22"/>
              </w:rPr>
            </w:pPr>
            <w:r w:rsidRPr="008F37FC">
              <w:rPr>
                <w:rFonts w:asciiTheme="minorHAnsi" w:hAnsiTheme="minorHAnsi" w:cs="Calibri"/>
                <w:szCs w:val="22"/>
              </w:rPr>
              <w:t>non-responders</w:t>
            </w:r>
          </w:p>
        </w:tc>
      </w:tr>
      <w:tr w:rsidR="00013951" w:rsidRPr="008F37FC" w14:paraId="7EB85D89" w14:textId="77777777" w:rsidTr="002F16A0">
        <w:tc>
          <w:tcPr>
            <w:tcW w:w="1890" w:type="dxa"/>
          </w:tcPr>
          <w:p w14:paraId="54A364B0" w14:textId="77777777" w:rsidR="00013951" w:rsidRPr="008F37FC" w:rsidRDefault="008F37FC" w:rsidP="008F37FC">
            <w:pPr>
              <w:rPr>
                <w:rFonts w:asciiTheme="minorHAnsi" w:eastAsia="TimesNewRoman" w:hAnsiTheme="minorHAnsi" w:cs="Calibri"/>
                <w:szCs w:val="22"/>
              </w:rPr>
            </w:pPr>
            <w:r>
              <w:rPr>
                <w:rFonts w:asciiTheme="minorHAnsi" w:eastAsia="TimesNewRoman" w:hAnsiTheme="minorHAnsi" w:cs="Calibri"/>
                <w:szCs w:val="22"/>
              </w:rPr>
              <w:t>OR</w:t>
            </w:r>
          </w:p>
        </w:tc>
        <w:tc>
          <w:tcPr>
            <w:tcW w:w="6830" w:type="dxa"/>
          </w:tcPr>
          <w:p w14:paraId="1B5A9FFD"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odds ratio</w:t>
            </w:r>
          </w:p>
        </w:tc>
      </w:tr>
      <w:tr w:rsidR="00013951" w:rsidRPr="008F37FC" w14:paraId="73598DD4" w14:textId="77777777" w:rsidTr="002F16A0">
        <w:tc>
          <w:tcPr>
            <w:tcW w:w="1890" w:type="dxa"/>
          </w:tcPr>
          <w:p w14:paraId="01E94C8E"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PCS</w:t>
            </w:r>
          </w:p>
        </w:tc>
        <w:tc>
          <w:tcPr>
            <w:tcW w:w="6830" w:type="dxa"/>
          </w:tcPr>
          <w:p w14:paraId="6E2A99C2"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Physical Component Summary</w:t>
            </w:r>
          </w:p>
        </w:tc>
      </w:tr>
      <w:tr w:rsidR="00013951" w:rsidRPr="008F37FC" w14:paraId="3939A23D" w14:textId="77777777" w:rsidTr="002F16A0">
        <w:tc>
          <w:tcPr>
            <w:tcW w:w="1890" w:type="dxa"/>
          </w:tcPr>
          <w:p w14:paraId="4DA2F394" w14:textId="28EDEFFA" w:rsidR="00013951" w:rsidRPr="008F37FC" w:rsidRDefault="00A46BF1" w:rsidP="008F37FC">
            <w:pPr>
              <w:rPr>
                <w:rFonts w:asciiTheme="minorHAnsi" w:eastAsia="TimesNewRoman" w:hAnsiTheme="minorHAnsi" w:cs="Calibri"/>
                <w:szCs w:val="22"/>
              </w:rPr>
            </w:pPr>
            <w:r>
              <w:rPr>
                <w:rFonts w:asciiTheme="minorHAnsi" w:eastAsia="TimesNewRoman" w:hAnsiTheme="minorHAnsi" w:cs="Calibri"/>
                <w:szCs w:val="22"/>
              </w:rPr>
              <w:t>PD</w:t>
            </w:r>
          </w:p>
        </w:tc>
        <w:tc>
          <w:tcPr>
            <w:tcW w:w="6830" w:type="dxa"/>
          </w:tcPr>
          <w:p w14:paraId="7F674E74"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pharmacodynamic(s)</w:t>
            </w:r>
          </w:p>
        </w:tc>
      </w:tr>
      <w:tr w:rsidR="00013951" w:rsidRPr="008F37FC" w14:paraId="4FEA29A7" w14:textId="77777777" w:rsidTr="002F16A0">
        <w:tc>
          <w:tcPr>
            <w:tcW w:w="1890" w:type="dxa"/>
          </w:tcPr>
          <w:p w14:paraId="7311DFCA"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P-Eq</w:t>
            </w:r>
          </w:p>
        </w:tc>
        <w:tc>
          <w:tcPr>
            <w:tcW w:w="6830" w:type="dxa"/>
          </w:tcPr>
          <w:p w14:paraId="0FC33C3A"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Prednisolone Equivalent</w:t>
            </w:r>
          </w:p>
        </w:tc>
      </w:tr>
      <w:tr w:rsidR="00013951" w:rsidRPr="008F37FC" w14:paraId="3FA4BBAE" w14:textId="77777777" w:rsidTr="002F16A0">
        <w:tc>
          <w:tcPr>
            <w:tcW w:w="1890" w:type="dxa"/>
          </w:tcPr>
          <w:p w14:paraId="654CC86D" w14:textId="3844C273" w:rsidR="00013951" w:rsidRPr="008F37FC" w:rsidRDefault="00A46BF1" w:rsidP="008F37FC">
            <w:pPr>
              <w:rPr>
                <w:rFonts w:asciiTheme="minorHAnsi" w:eastAsia="TimesNewRoman" w:hAnsiTheme="minorHAnsi" w:cs="Calibri"/>
                <w:szCs w:val="22"/>
              </w:rPr>
            </w:pPr>
            <w:r>
              <w:rPr>
                <w:rFonts w:asciiTheme="minorHAnsi" w:eastAsia="TimesNewRoman" w:hAnsiTheme="minorHAnsi" w:cs="Calibri"/>
                <w:szCs w:val="22"/>
              </w:rPr>
              <w:t>PFS</w:t>
            </w:r>
          </w:p>
        </w:tc>
        <w:tc>
          <w:tcPr>
            <w:tcW w:w="6830" w:type="dxa"/>
          </w:tcPr>
          <w:p w14:paraId="4DB1F8DB"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prefilled syringe</w:t>
            </w:r>
          </w:p>
        </w:tc>
      </w:tr>
      <w:tr w:rsidR="00013951" w:rsidRPr="008F37FC" w14:paraId="4E6A77B5" w14:textId="77777777" w:rsidTr="002F16A0">
        <w:tc>
          <w:tcPr>
            <w:tcW w:w="1890" w:type="dxa"/>
          </w:tcPr>
          <w:p w14:paraId="2DC0DF0C" w14:textId="1A0643D7" w:rsidR="00013951" w:rsidRPr="008F37FC" w:rsidRDefault="00A46BF1" w:rsidP="008F37FC">
            <w:pPr>
              <w:rPr>
                <w:rFonts w:asciiTheme="minorHAnsi" w:eastAsia="TimesNewRoman" w:hAnsiTheme="minorHAnsi" w:cs="Calibri"/>
                <w:szCs w:val="22"/>
              </w:rPr>
            </w:pPr>
            <w:r>
              <w:rPr>
                <w:rFonts w:asciiTheme="minorHAnsi" w:eastAsia="TimesNewRoman" w:hAnsiTheme="minorHAnsi" w:cs="Calibri"/>
                <w:szCs w:val="22"/>
              </w:rPr>
              <w:t>PK</w:t>
            </w:r>
          </w:p>
        </w:tc>
        <w:tc>
          <w:tcPr>
            <w:tcW w:w="6830" w:type="dxa"/>
          </w:tcPr>
          <w:p w14:paraId="5B39AB38"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pharmacokinetic(s)</w:t>
            </w:r>
          </w:p>
        </w:tc>
      </w:tr>
      <w:tr w:rsidR="00013951" w:rsidRPr="008F37FC" w14:paraId="0851AD4D" w14:textId="77777777" w:rsidTr="002F16A0">
        <w:tc>
          <w:tcPr>
            <w:tcW w:w="1890" w:type="dxa"/>
          </w:tcPr>
          <w:p w14:paraId="657F37F6"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PPK</w:t>
            </w:r>
          </w:p>
        </w:tc>
        <w:tc>
          <w:tcPr>
            <w:tcW w:w="6830" w:type="dxa"/>
          </w:tcPr>
          <w:p w14:paraId="5C92D712"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population pharmacokinetic</w:t>
            </w:r>
          </w:p>
        </w:tc>
      </w:tr>
      <w:tr w:rsidR="00013951" w:rsidRPr="008F37FC" w14:paraId="50090883" w14:textId="77777777" w:rsidTr="002F16A0">
        <w:tc>
          <w:tcPr>
            <w:tcW w:w="1890" w:type="dxa"/>
          </w:tcPr>
          <w:p w14:paraId="40721BB2"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PsA</w:t>
            </w:r>
          </w:p>
        </w:tc>
        <w:tc>
          <w:tcPr>
            <w:tcW w:w="6830" w:type="dxa"/>
          </w:tcPr>
          <w:p w14:paraId="749D4265"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psoriatic arthritis</w:t>
            </w:r>
          </w:p>
        </w:tc>
      </w:tr>
      <w:tr w:rsidR="00013951" w:rsidRPr="008F37FC" w14:paraId="7EDDE6CF" w14:textId="77777777" w:rsidTr="002F16A0">
        <w:tc>
          <w:tcPr>
            <w:tcW w:w="1890" w:type="dxa"/>
          </w:tcPr>
          <w:p w14:paraId="0598721E"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PT</w:t>
            </w:r>
          </w:p>
        </w:tc>
        <w:tc>
          <w:tcPr>
            <w:tcW w:w="6830" w:type="dxa"/>
          </w:tcPr>
          <w:p w14:paraId="445EAB49"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Preferred term</w:t>
            </w:r>
          </w:p>
        </w:tc>
      </w:tr>
      <w:tr w:rsidR="00013951" w:rsidRPr="008F37FC" w14:paraId="65840380" w14:textId="77777777" w:rsidTr="002F16A0">
        <w:tc>
          <w:tcPr>
            <w:tcW w:w="1890" w:type="dxa"/>
          </w:tcPr>
          <w:p w14:paraId="21EC847E"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q12w</w:t>
            </w:r>
            <w:r w:rsidRPr="008F37FC">
              <w:rPr>
                <w:rFonts w:asciiTheme="minorHAnsi" w:eastAsia="TimesNewRoman" w:hAnsiTheme="minorHAnsi" w:cs="Calibri"/>
                <w:szCs w:val="22"/>
              </w:rPr>
              <w:tab/>
            </w:r>
          </w:p>
        </w:tc>
        <w:tc>
          <w:tcPr>
            <w:tcW w:w="6830" w:type="dxa"/>
          </w:tcPr>
          <w:p w14:paraId="09A3A1D4"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every 12 weeks</w:t>
            </w:r>
          </w:p>
        </w:tc>
      </w:tr>
      <w:tr w:rsidR="00013951" w:rsidRPr="008F37FC" w14:paraId="11240CFB" w14:textId="77777777" w:rsidTr="002F16A0">
        <w:tc>
          <w:tcPr>
            <w:tcW w:w="1890" w:type="dxa"/>
          </w:tcPr>
          <w:p w14:paraId="14873C44"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q8w</w:t>
            </w:r>
          </w:p>
        </w:tc>
        <w:tc>
          <w:tcPr>
            <w:tcW w:w="6830" w:type="dxa"/>
          </w:tcPr>
          <w:p w14:paraId="231FAC5C"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every 8 weeks</w:t>
            </w:r>
          </w:p>
        </w:tc>
      </w:tr>
      <w:tr w:rsidR="00013951" w:rsidRPr="008F37FC" w14:paraId="27CABE6F" w14:textId="77777777" w:rsidTr="002F16A0">
        <w:tc>
          <w:tcPr>
            <w:tcW w:w="1890" w:type="dxa"/>
          </w:tcPr>
          <w:p w14:paraId="2F12BE92"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R</w:t>
            </w:r>
          </w:p>
        </w:tc>
        <w:tc>
          <w:tcPr>
            <w:tcW w:w="6830" w:type="dxa"/>
          </w:tcPr>
          <w:p w14:paraId="7D25A227" w14:textId="77777777" w:rsidR="00013951" w:rsidRPr="008F37FC" w:rsidRDefault="00013951" w:rsidP="008F37FC">
            <w:pPr>
              <w:rPr>
                <w:rFonts w:asciiTheme="minorHAnsi" w:hAnsiTheme="minorHAnsi" w:cs="Calibri"/>
                <w:bCs/>
                <w:szCs w:val="22"/>
              </w:rPr>
            </w:pPr>
            <w:r w:rsidRPr="008F37FC">
              <w:rPr>
                <w:rFonts w:asciiTheme="minorHAnsi" w:hAnsiTheme="minorHAnsi" w:cs="Calibri"/>
                <w:szCs w:val="22"/>
              </w:rPr>
              <w:t>responders</w:t>
            </w:r>
          </w:p>
        </w:tc>
      </w:tr>
      <w:tr w:rsidR="00013951" w:rsidRPr="008F37FC" w14:paraId="03C8601B" w14:textId="77777777" w:rsidTr="002F16A0">
        <w:tc>
          <w:tcPr>
            <w:tcW w:w="1890" w:type="dxa"/>
          </w:tcPr>
          <w:p w14:paraId="27F8835D" w14:textId="77777777" w:rsidR="00013951" w:rsidRPr="008F37FC" w:rsidRDefault="00013951" w:rsidP="008F37FC">
            <w:pPr>
              <w:rPr>
                <w:rFonts w:asciiTheme="minorHAnsi" w:hAnsiTheme="minorHAnsi" w:cs="Calibri"/>
                <w:bCs/>
                <w:szCs w:val="22"/>
                <w:vertAlign w:val="superscript"/>
              </w:rPr>
            </w:pPr>
            <w:r w:rsidRPr="008F37FC">
              <w:rPr>
                <w:rFonts w:asciiTheme="minorHAnsi" w:hAnsiTheme="minorHAnsi" w:cs="Calibri"/>
                <w:bCs/>
                <w:szCs w:val="22"/>
              </w:rPr>
              <w:t>r</w:t>
            </w:r>
            <w:r w:rsidRPr="008F37FC">
              <w:rPr>
                <w:rFonts w:asciiTheme="minorHAnsi" w:hAnsiTheme="minorHAnsi" w:cs="Calibri"/>
                <w:bCs/>
                <w:szCs w:val="22"/>
                <w:vertAlign w:val="superscript"/>
              </w:rPr>
              <w:t>2</w:t>
            </w:r>
          </w:p>
        </w:tc>
        <w:tc>
          <w:tcPr>
            <w:tcW w:w="6830" w:type="dxa"/>
          </w:tcPr>
          <w:p w14:paraId="03D454DD"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coefficient of determination</w:t>
            </w:r>
          </w:p>
        </w:tc>
      </w:tr>
      <w:tr w:rsidR="00013951" w:rsidRPr="008F37FC" w14:paraId="06F37C65" w14:textId="77777777" w:rsidTr="002F16A0">
        <w:tc>
          <w:tcPr>
            <w:tcW w:w="1890" w:type="dxa"/>
          </w:tcPr>
          <w:p w14:paraId="391B99AA"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RA</w:t>
            </w:r>
          </w:p>
        </w:tc>
        <w:tc>
          <w:tcPr>
            <w:tcW w:w="6830" w:type="dxa"/>
          </w:tcPr>
          <w:p w14:paraId="72E2EEE3" w14:textId="77777777" w:rsidR="00013951" w:rsidRPr="008F37FC" w:rsidRDefault="00EC5363" w:rsidP="008F37FC">
            <w:pPr>
              <w:rPr>
                <w:rFonts w:asciiTheme="minorHAnsi" w:eastAsia="TimesNewRoman" w:hAnsiTheme="minorHAnsi" w:cs="Calibri"/>
                <w:szCs w:val="22"/>
              </w:rPr>
            </w:pPr>
            <w:r>
              <w:rPr>
                <w:rFonts w:asciiTheme="minorHAnsi" w:eastAsia="TimesNewRoman" w:hAnsiTheme="minorHAnsi" w:cs="Calibri"/>
                <w:szCs w:val="22"/>
              </w:rPr>
              <w:t>r</w:t>
            </w:r>
            <w:r w:rsidR="00013951" w:rsidRPr="008F37FC">
              <w:rPr>
                <w:rFonts w:asciiTheme="minorHAnsi" w:eastAsia="TimesNewRoman" w:hAnsiTheme="minorHAnsi" w:cs="Calibri"/>
                <w:szCs w:val="22"/>
              </w:rPr>
              <w:t>heumatoid arthritis</w:t>
            </w:r>
          </w:p>
        </w:tc>
      </w:tr>
      <w:tr w:rsidR="00013951" w:rsidRPr="008F37FC" w14:paraId="781D4162" w14:textId="77777777" w:rsidTr="002F16A0">
        <w:tc>
          <w:tcPr>
            <w:tcW w:w="1890" w:type="dxa"/>
          </w:tcPr>
          <w:p w14:paraId="45F7E0F8"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lastRenderedPageBreak/>
              <w:t>RANTES</w:t>
            </w:r>
          </w:p>
        </w:tc>
        <w:tc>
          <w:tcPr>
            <w:tcW w:w="6830" w:type="dxa"/>
          </w:tcPr>
          <w:p w14:paraId="517E5F5D" w14:textId="77777777" w:rsidR="00013951" w:rsidRPr="008F37FC" w:rsidRDefault="00013951" w:rsidP="00EC5363">
            <w:pPr>
              <w:rPr>
                <w:rFonts w:asciiTheme="minorHAnsi" w:eastAsia="TimesNewRoman" w:hAnsiTheme="minorHAnsi" w:cs="Calibri"/>
                <w:szCs w:val="22"/>
              </w:rPr>
            </w:pPr>
            <w:r w:rsidRPr="008F37FC">
              <w:rPr>
                <w:rFonts w:asciiTheme="minorHAnsi" w:eastAsia="TimesNewRoman" w:hAnsiTheme="minorHAnsi" w:cs="Calibri"/>
                <w:szCs w:val="22"/>
              </w:rPr>
              <w:t xml:space="preserve">Regulated on </w:t>
            </w:r>
            <w:r w:rsidR="00EC5363">
              <w:rPr>
                <w:rFonts w:asciiTheme="minorHAnsi" w:eastAsia="TimesNewRoman" w:hAnsiTheme="minorHAnsi" w:cs="Calibri"/>
                <w:szCs w:val="22"/>
              </w:rPr>
              <w:t>A</w:t>
            </w:r>
            <w:r w:rsidRPr="008F37FC">
              <w:rPr>
                <w:rFonts w:asciiTheme="minorHAnsi" w:eastAsia="TimesNewRoman" w:hAnsiTheme="minorHAnsi" w:cs="Calibri"/>
                <w:szCs w:val="22"/>
              </w:rPr>
              <w:t xml:space="preserve">ctivation, </w:t>
            </w:r>
            <w:r w:rsidR="00EC5363">
              <w:rPr>
                <w:rFonts w:asciiTheme="minorHAnsi" w:eastAsia="TimesNewRoman" w:hAnsiTheme="minorHAnsi" w:cs="Calibri"/>
                <w:szCs w:val="22"/>
              </w:rPr>
              <w:t>N</w:t>
            </w:r>
            <w:r w:rsidRPr="008F37FC">
              <w:rPr>
                <w:rFonts w:asciiTheme="minorHAnsi" w:eastAsia="TimesNewRoman" w:hAnsiTheme="minorHAnsi" w:cs="Calibri"/>
                <w:szCs w:val="22"/>
              </w:rPr>
              <w:t xml:space="preserve">ormal T cell </w:t>
            </w:r>
            <w:r w:rsidR="00EC5363">
              <w:rPr>
                <w:rFonts w:asciiTheme="minorHAnsi" w:eastAsia="TimesNewRoman" w:hAnsiTheme="minorHAnsi" w:cs="Calibri"/>
                <w:szCs w:val="22"/>
              </w:rPr>
              <w:t>E</w:t>
            </w:r>
            <w:r w:rsidRPr="008F37FC">
              <w:rPr>
                <w:rFonts w:asciiTheme="minorHAnsi" w:eastAsia="TimesNewRoman" w:hAnsiTheme="minorHAnsi" w:cs="Calibri"/>
                <w:szCs w:val="22"/>
              </w:rPr>
              <w:t xml:space="preserve">xpressed and </w:t>
            </w:r>
            <w:r w:rsidR="00EC5363">
              <w:rPr>
                <w:rFonts w:asciiTheme="minorHAnsi" w:eastAsia="TimesNewRoman" w:hAnsiTheme="minorHAnsi" w:cs="Calibri"/>
                <w:szCs w:val="22"/>
              </w:rPr>
              <w:t>S</w:t>
            </w:r>
            <w:r w:rsidRPr="008F37FC">
              <w:rPr>
                <w:rFonts w:asciiTheme="minorHAnsi" w:eastAsia="TimesNewRoman" w:hAnsiTheme="minorHAnsi" w:cs="Calibri"/>
                <w:szCs w:val="22"/>
              </w:rPr>
              <w:t>ecreted</w:t>
            </w:r>
          </w:p>
        </w:tc>
      </w:tr>
      <w:tr w:rsidR="00013951" w:rsidRPr="008F37FC" w14:paraId="4BC5BC4F" w14:textId="77777777" w:rsidTr="002F16A0">
        <w:tc>
          <w:tcPr>
            <w:tcW w:w="1890" w:type="dxa"/>
          </w:tcPr>
          <w:p w14:paraId="15623B33" w14:textId="06AB3948" w:rsidR="00013951" w:rsidRPr="008F37FC" w:rsidRDefault="00F315D8" w:rsidP="008F37FC">
            <w:pPr>
              <w:rPr>
                <w:rFonts w:asciiTheme="minorHAnsi" w:eastAsia="TimesNewRoman" w:hAnsiTheme="minorHAnsi" w:cs="Calibri"/>
                <w:szCs w:val="22"/>
              </w:rPr>
            </w:pPr>
            <w:r>
              <w:rPr>
                <w:rFonts w:asciiTheme="minorHAnsi" w:eastAsia="TimesNewRoman" w:hAnsiTheme="minorHAnsi" w:cs="Calibri"/>
                <w:szCs w:val="22"/>
              </w:rPr>
              <w:t>RMP</w:t>
            </w:r>
          </w:p>
        </w:tc>
        <w:tc>
          <w:tcPr>
            <w:tcW w:w="6830" w:type="dxa"/>
          </w:tcPr>
          <w:p w14:paraId="7485CAE5"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Risk Management Plan</w:t>
            </w:r>
          </w:p>
        </w:tc>
      </w:tr>
      <w:tr w:rsidR="00013951" w:rsidRPr="008F37FC" w14:paraId="4275C0A2" w14:textId="77777777" w:rsidTr="002F16A0">
        <w:tc>
          <w:tcPr>
            <w:tcW w:w="1890" w:type="dxa"/>
          </w:tcPr>
          <w:p w14:paraId="7BD60C1F"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RPLS</w:t>
            </w:r>
          </w:p>
        </w:tc>
        <w:tc>
          <w:tcPr>
            <w:tcW w:w="6830" w:type="dxa"/>
          </w:tcPr>
          <w:p w14:paraId="5D9BF0E7"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reversible posterior leukoencephalopathy</w:t>
            </w:r>
          </w:p>
        </w:tc>
      </w:tr>
      <w:tr w:rsidR="00013951" w:rsidRPr="008F37FC" w14:paraId="316715B5" w14:textId="77777777" w:rsidTr="002F16A0">
        <w:tc>
          <w:tcPr>
            <w:tcW w:w="1890" w:type="dxa"/>
          </w:tcPr>
          <w:p w14:paraId="3A6BE436"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SAA</w:t>
            </w:r>
          </w:p>
        </w:tc>
        <w:tc>
          <w:tcPr>
            <w:tcW w:w="6830" w:type="dxa"/>
          </w:tcPr>
          <w:p w14:paraId="581ED1E5" w14:textId="77777777" w:rsidR="00013951" w:rsidRPr="008F37FC" w:rsidRDefault="00013951" w:rsidP="008F37FC">
            <w:pPr>
              <w:rPr>
                <w:rFonts w:asciiTheme="minorHAnsi" w:hAnsiTheme="minorHAnsi" w:cs="Calibri"/>
                <w:bCs/>
                <w:szCs w:val="22"/>
              </w:rPr>
            </w:pPr>
            <w:r w:rsidRPr="008F37FC">
              <w:rPr>
                <w:rFonts w:asciiTheme="minorHAnsi" w:eastAsia="TimesNewRoman" w:hAnsiTheme="minorHAnsi" w:cs="Calibri"/>
                <w:szCs w:val="22"/>
              </w:rPr>
              <w:t>serum amyloid A</w:t>
            </w:r>
          </w:p>
        </w:tc>
      </w:tr>
      <w:tr w:rsidR="00013951" w:rsidRPr="008F37FC" w14:paraId="20513D79" w14:textId="77777777" w:rsidTr="002F16A0">
        <w:tc>
          <w:tcPr>
            <w:tcW w:w="1890" w:type="dxa"/>
          </w:tcPr>
          <w:p w14:paraId="5AB8A096"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SAE</w:t>
            </w:r>
          </w:p>
        </w:tc>
        <w:tc>
          <w:tcPr>
            <w:tcW w:w="6830" w:type="dxa"/>
          </w:tcPr>
          <w:p w14:paraId="77F5808B"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serious adverse event</w:t>
            </w:r>
          </w:p>
        </w:tc>
      </w:tr>
      <w:tr w:rsidR="00013951" w:rsidRPr="008F37FC" w14:paraId="25560622" w14:textId="77777777" w:rsidTr="002F16A0">
        <w:tc>
          <w:tcPr>
            <w:tcW w:w="1890" w:type="dxa"/>
          </w:tcPr>
          <w:p w14:paraId="67B010DD"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SAEM</w:t>
            </w:r>
          </w:p>
        </w:tc>
        <w:tc>
          <w:tcPr>
            <w:tcW w:w="6830" w:type="dxa"/>
          </w:tcPr>
          <w:p w14:paraId="6883DA2E"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stochastic approximation of expectation-maximisation</w:t>
            </w:r>
          </w:p>
        </w:tc>
      </w:tr>
      <w:tr w:rsidR="00013951" w:rsidRPr="008F37FC" w14:paraId="4ADA50D3" w14:textId="77777777" w:rsidTr="002F16A0">
        <w:tc>
          <w:tcPr>
            <w:tcW w:w="1890" w:type="dxa"/>
          </w:tcPr>
          <w:p w14:paraId="7035FDA5" w14:textId="1230E679" w:rsidR="00013951" w:rsidRPr="008F37FC" w:rsidRDefault="00F315D8" w:rsidP="008F37FC">
            <w:pPr>
              <w:rPr>
                <w:rFonts w:asciiTheme="minorHAnsi" w:eastAsia="TimesNewRoman" w:hAnsiTheme="minorHAnsi" w:cs="Calibri"/>
                <w:szCs w:val="22"/>
              </w:rPr>
            </w:pPr>
            <w:r>
              <w:rPr>
                <w:rFonts w:asciiTheme="minorHAnsi" w:eastAsia="TimesNewRoman" w:hAnsiTheme="minorHAnsi" w:cs="Calibri"/>
                <w:szCs w:val="22"/>
              </w:rPr>
              <w:t>SC</w:t>
            </w:r>
          </w:p>
        </w:tc>
        <w:tc>
          <w:tcPr>
            <w:tcW w:w="6830" w:type="dxa"/>
          </w:tcPr>
          <w:p w14:paraId="6250A517"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subcutaneous</w:t>
            </w:r>
          </w:p>
        </w:tc>
      </w:tr>
      <w:tr w:rsidR="00013951" w:rsidRPr="008F37FC" w14:paraId="748F92B3" w14:textId="77777777" w:rsidTr="002F16A0">
        <w:tc>
          <w:tcPr>
            <w:tcW w:w="1890" w:type="dxa"/>
          </w:tcPr>
          <w:p w14:paraId="345B96F4"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SCE</w:t>
            </w:r>
          </w:p>
        </w:tc>
        <w:tc>
          <w:tcPr>
            <w:tcW w:w="6830" w:type="dxa"/>
          </w:tcPr>
          <w:p w14:paraId="38BAE27C" w14:textId="77777777" w:rsidR="00013951" w:rsidRPr="008F37FC" w:rsidRDefault="00EC5363" w:rsidP="008F37FC">
            <w:pPr>
              <w:rPr>
                <w:rFonts w:asciiTheme="minorHAnsi" w:eastAsia="TimesNewRoman" w:hAnsiTheme="minorHAnsi" w:cs="Calibri"/>
                <w:szCs w:val="22"/>
              </w:rPr>
            </w:pPr>
            <w:r>
              <w:rPr>
                <w:rFonts w:asciiTheme="minorHAnsi" w:eastAsia="TimesNewRoman" w:hAnsiTheme="minorHAnsi" w:cs="Calibri"/>
                <w:szCs w:val="22"/>
              </w:rPr>
              <w:t>S</w:t>
            </w:r>
            <w:r w:rsidR="00013951" w:rsidRPr="008F37FC">
              <w:rPr>
                <w:rFonts w:asciiTheme="minorHAnsi" w:eastAsia="TimesNewRoman" w:hAnsiTheme="minorHAnsi" w:cs="Calibri"/>
                <w:szCs w:val="22"/>
              </w:rPr>
              <w:t>ummary of Clinical Efficacy</w:t>
            </w:r>
          </w:p>
        </w:tc>
      </w:tr>
      <w:tr w:rsidR="00013951" w:rsidRPr="008F37FC" w14:paraId="67152A77" w14:textId="77777777" w:rsidTr="002F16A0">
        <w:tc>
          <w:tcPr>
            <w:tcW w:w="1890" w:type="dxa"/>
          </w:tcPr>
          <w:p w14:paraId="42FBCD32"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SCP</w:t>
            </w:r>
          </w:p>
        </w:tc>
        <w:tc>
          <w:tcPr>
            <w:tcW w:w="6830" w:type="dxa"/>
          </w:tcPr>
          <w:p w14:paraId="50FBCDDB"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Summary of Clinical Pharmacology</w:t>
            </w:r>
          </w:p>
        </w:tc>
      </w:tr>
      <w:tr w:rsidR="00013951" w:rsidRPr="008F37FC" w14:paraId="313E0205" w14:textId="77777777" w:rsidTr="002F16A0">
        <w:tc>
          <w:tcPr>
            <w:tcW w:w="1890" w:type="dxa"/>
          </w:tcPr>
          <w:p w14:paraId="320B0441" w14:textId="3D3BD3B5" w:rsidR="00013951" w:rsidRPr="008F37FC" w:rsidRDefault="00F315D8" w:rsidP="008F37FC">
            <w:pPr>
              <w:rPr>
                <w:rFonts w:asciiTheme="minorHAnsi" w:eastAsia="TimesNewRoman" w:hAnsiTheme="minorHAnsi" w:cs="Calibri"/>
                <w:szCs w:val="22"/>
              </w:rPr>
            </w:pPr>
            <w:r>
              <w:rPr>
                <w:rFonts w:asciiTheme="minorHAnsi" w:eastAsia="TimesNewRoman" w:hAnsiTheme="minorHAnsi" w:cs="Calibri"/>
                <w:szCs w:val="22"/>
              </w:rPr>
              <w:t>SCS</w:t>
            </w:r>
          </w:p>
        </w:tc>
        <w:tc>
          <w:tcPr>
            <w:tcW w:w="6830" w:type="dxa"/>
          </w:tcPr>
          <w:p w14:paraId="6BAEF01A"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 xml:space="preserve">Summary of Clinical Safety </w:t>
            </w:r>
          </w:p>
        </w:tc>
      </w:tr>
      <w:tr w:rsidR="00013951" w:rsidRPr="008F37FC" w14:paraId="7B4BAC9B" w14:textId="77777777" w:rsidTr="002F16A0">
        <w:tc>
          <w:tcPr>
            <w:tcW w:w="1890" w:type="dxa"/>
          </w:tcPr>
          <w:p w14:paraId="32E034F0"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SD</w:t>
            </w:r>
          </w:p>
        </w:tc>
        <w:tc>
          <w:tcPr>
            <w:tcW w:w="6830" w:type="dxa"/>
          </w:tcPr>
          <w:p w14:paraId="5E5B9ABA"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standard deviation</w:t>
            </w:r>
          </w:p>
        </w:tc>
      </w:tr>
      <w:tr w:rsidR="00013951" w:rsidRPr="008F37FC" w14:paraId="44E75FA3" w14:textId="77777777" w:rsidTr="002F16A0">
        <w:tc>
          <w:tcPr>
            <w:tcW w:w="1890" w:type="dxa"/>
          </w:tcPr>
          <w:p w14:paraId="2129AAC0" w14:textId="42949C11" w:rsidR="00013951" w:rsidRPr="008F37FC" w:rsidRDefault="00F315D8" w:rsidP="008F37FC">
            <w:pPr>
              <w:rPr>
                <w:rFonts w:asciiTheme="minorHAnsi" w:eastAsia="TimesNewRoman" w:hAnsiTheme="minorHAnsi" w:cs="Calibri"/>
                <w:szCs w:val="22"/>
              </w:rPr>
            </w:pPr>
            <w:r>
              <w:rPr>
                <w:rFonts w:asciiTheme="minorHAnsi" w:eastAsia="TimesNewRoman" w:hAnsiTheme="minorHAnsi" w:cs="Calibri"/>
                <w:szCs w:val="22"/>
              </w:rPr>
              <w:t>SES-CD</w:t>
            </w:r>
          </w:p>
        </w:tc>
        <w:tc>
          <w:tcPr>
            <w:tcW w:w="6830" w:type="dxa"/>
          </w:tcPr>
          <w:p w14:paraId="568845B7"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Simplified Endoscopic Activity Score for Crohn’s Disease</w:t>
            </w:r>
          </w:p>
        </w:tc>
      </w:tr>
      <w:tr w:rsidR="00013951" w:rsidRPr="008F37FC" w14:paraId="2996C6B6" w14:textId="77777777" w:rsidTr="002F16A0">
        <w:tc>
          <w:tcPr>
            <w:tcW w:w="1890" w:type="dxa"/>
          </w:tcPr>
          <w:p w14:paraId="7B4CC81A"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SF-36</w:t>
            </w:r>
          </w:p>
        </w:tc>
        <w:tc>
          <w:tcPr>
            <w:tcW w:w="6830" w:type="dxa"/>
          </w:tcPr>
          <w:p w14:paraId="4BA5901F"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36-item Short Form Health Survey</w:t>
            </w:r>
          </w:p>
        </w:tc>
      </w:tr>
      <w:tr w:rsidR="00013951" w:rsidRPr="008F37FC" w14:paraId="70F68065" w14:textId="77777777" w:rsidTr="002F16A0">
        <w:tc>
          <w:tcPr>
            <w:tcW w:w="1890" w:type="dxa"/>
          </w:tcPr>
          <w:p w14:paraId="1851F89B" w14:textId="1D3077C5" w:rsidR="00013951" w:rsidRPr="008F37FC" w:rsidRDefault="00F315D8" w:rsidP="008F37FC">
            <w:pPr>
              <w:rPr>
                <w:rFonts w:asciiTheme="minorHAnsi" w:eastAsia="TimesNewRoman" w:hAnsiTheme="minorHAnsi" w:cs="Calibri"/>
                <w:szCs w:val="22"/>
              </w:rPr>
            </w:pPr>
            <w:r>
              <w:rPr>
                <w:rFonts w:asciiTheme="minorHAnsi" w:eastAsia="TimesNewRoman" w:hAnsiTheme="minorHAnsi" w:cs="Calibri"/>
                <w:szCs w:val="22"/>
              </w:rPr>
              <w:t>SIR</w:t>
            </w:r>
          </w:p>
        </w:tc>
        <w:tc>
          <w:tcPr>
            <w:tcW w:w="6830" w:type="dxa"/>
          </w:tcPr>
          <w:p w14:paraId="1BBB0689"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standardised incidence ratio</w:t>
            </w:r>
          </w:p>
        </w:tc>
      </w:tr>
      <w:tr w:rsidR="00013951" w:rsidRPr="008F37FC" w14:paraId="3B43305B" w14:textId="77777777" w:rsidTr="002F16A0">
        <w:tc>
          <w:tcPr>
            <w:tcW w:w="1890" w:type="dxa"/>
          </w:tcPr>
          <w:p w14:paraId="3BA89F99"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SMOH</w:t>
            </w:r>
          </w:p>
        </w:tc>
        <w:tc>
          <w:tcPr>
            <w:tcW w:w="6830" w:type="dxa"/>
          </w:tcPr>
          <w:p w14:paraId="4EFF82A1"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history of smoking</w:t>
            </w:r>
          </w:p>
        </w:tc>
      </w:tr>
      <w:tr w:rsidR="00013951" w:rsidRPr="008F37FC" w14:paraId="61CE467E" w14:textId="77777777" w:rsidTr="002F16A0">
        <w:tc>
          <w:tcPr>
            <w:tcW w:w="1890" w:type="dxa"/>
          </w:tcPr>
          <w:p w14:paraId="1BA2F30B"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SMOK</w:t>
            </w:r>
          </w:p>
        </w:tc>
        <w:tc>
          <w:tcPr>
            <w:tcW w:w="6830" w:type="dxa"/>
          </w:tcPr>
          <w:p w14:paraId="5552BA9F"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smoking currently</w:t>
            </w:r>
          </w:p>
        </w:tc>
      </w:tr>
      <w:tr w:rsidR="00013951" w:rsidRPr="008F37FC" w14:paraId="343F9C43" w14:textId="77777777" w:rsidTr="002F16A0">
        <w:tc>
          <w:tcPr>
            <w:tcW w:w="1890" w:type="dxa"/>
          </w:tcPr>
          <w:p w14:paraId="41733CB8" w14:textId="7B4F7096" w:rsidR="00013951" w:rsidRPr="008F37FC" w:rsidRDefault="00F315D8" w:rsidP="008F37FC">
            <w:pPr>
              <w:rPr>
                <w:rFonts w:asciiTheme="minorHAnsi" w:eastAsia="TimesNewRoman" w:hAnsiTheme="minorHAnsi" w:cs="Calibri"/>
                <w:szCs w:val="22"/>
              </w:rPr>
            </w:pPr>
            <w:r>
              <w:rPr>
                <w:rFonts w:asciiTheme="minorHAnsi" w:eastAsia="TimesNewRoman" w:hAnsiTheme="minorHAnsi" w:cs="Calibri"/>
                <w:szCs w:val="22"/>
              </w:rPr>
              <w:t>SmPC</w:t>
            </w:r>
          </w:p>
        </w:tc>
        <w:tc>
          <w:tcPr>
            <w:tcW w:w="6830" w:type="dxa"/>
          </w:tcPr>
          <w:p w14:paraId="7CED3CBA"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Summary of Product Characteristics</w:t>
            </w:r>
          </w:p>
        </w:tc>
      </w:tr>
      <w:tr w:rsidR="00013951" w:rsidRPr="008F37FC" w14:paraId="4B1B6C7F" w14:textId="77777777" w:rsidTr="002F16A0">
        <w:tc>
          <w:tcPr>
            <w:tcW w:w="1890" w:type="dxa"/>
          </w:tcPr>
          <w:p w14:paraId="075A9760"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SOC</w:t>
            </w:r>
          </w:p>
        </w:tc>
        <w:tc>
          <w:tcPr>
            <w:tcW w:w="6830" w:type="dxa"/>
          </w:tcPr>
          <w:p w14:paraId="396DF9F8"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system-organ class</w:t>
            </w:r>
          </w:p>
        </w:tc>
      </w:tr>
      <w:tr w:rsidR="00013951" w:rsidRPr="008F37FC" w14:paraId="01B24EB0" w14:textId="77777777" w:rsidTr="002F16A0">
        <w:tc>
          <w:tcPr>
            <w:tcW w:w="1890" w:type="dxa"/>
          </w:tcPr>
          <w:p w14:paraId="761E0FF6" w14:textId="77777777" w:rsidR="00013951" w:rsidRPr="008F37FC" w:rsidRDefault="00CC3432" w:rsidP="008F37FC">
            <w:pPr>
              <w:rPr>
                <w:rFonts w:asciiTheme="minorHAnsi" w:hAnsiTheme="minorHAnsi" w:cs="Calibri"/>
                <w:bCs/>
                <w:szCs w:val="22"/>
              </w:rPr>
            </w:pPr>
            <w:r>
              <w:rPr>
                <w:rFonts w:asciiTheme="minorHAnsi" w:hAnsiTheme="minorHAnsi" w:cs="Calibri"/>
                <w:bCs/>
                <w:szCs w:val="22"/>
              </w:rPr>
              <w:t>Stelara</w:t>
            </w:r>
          </w:p>
        </w:tc>
        <w:tc>
          <w:tcPr>
            <w:tcW w:w="6830" w:type="dxa"/>
          </w:tcPr>
          <w:p w14:paraId="7A5749AC" w14:textId="77777777" w:rsidR="00013951" w:rsidRPr="008F37FC" w:rsidRDefault="00013951" w:rsidP="008F37FC">
            <w:pPr>
              <w:rPr>
                <w:rFonts w:asciiTheme="minorHAnsi" w:hAnsiTheme="minorHAnsi" w:cs="Calibri"/>
                <w:bCs/>
                <w:szCs w:val="22"/>
              </w:rPr>
            </w:pPr>
            <w:r w:rsidRPr="008F37FC">
              <w:rPr>
                <w:rFonts w:asciiTheme="minorHAnsi" w:hAnsiTheme="minorHAnsi" w:cs="Calibri"/>
                <w:bCs/>
                <w:szCs w:val="22"/>
              </w:rPr>
              <w:t>ustekinumab</w:t>
            </w:r>
          </w:p>
        </w:tc>
      </w:tr>
      <w:tr w:rsidR="00013951" w:rsidRPr="008F37FC" w14:paraId="3E0D3F0B" w14:textId="77777777" w:rsidTr="002F16A0">
        <w:tc>
          <w:tcPr>
            <w:tcW w:w="1890" w:type="dxa"/>
          </w:tcPr>
          <w:p w14:paraId="30816B83" w14:textId="35691741" w:rsidR="00013951" w:rsidRPr="008F37FC" w:rsidRDefault="00A46BF1" w:rsidP="008F37FC">
            <w:pPr>
              <w:rPr>
                <w:rFonts w:asciiTheme="minorHAnsi" w:eastAsia="TimesNewRoman" w:hAnsiTheme="minorHAnsi" w:cs="Calibri"/>
                <w:szCs w:val="22"/>
              </w:rPr>
            </w:pPr>
            <w:r>
              <w:rPr>
                <w:rFonts w:asciiTheme="minorHAnsi" w:eastAsia="TimesNewRoman" w:hAnsiTheme="minorHAnsi" w:cs="Calibri"/>
                <w:szCs w:val="22"/>
              </w:rPr>
              <w:t>TB</w:t>
            </w:r>
          </w:p>
        </w:tc>
        <w:tc>
          <w:tcPr>
            <w:tcW w:w="6830" w:type="dxa"/>
          </w:tcPr>
          <w:p w14:paraId="7006558F"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tuberculosis</w:t>
            </w:r>
          </w:p>
        </w:tc>
      </w:tr>
      <w:tr w:rsidR="00013951" w:rsidRPr="008F37FC" w14:paraId="3E53E3C4" w14:textId="77777777" w:rsidTr="002F16A0">
        <w:tc>
          <w:tcPr>
            <w:tcW w:w="1890" w:type="dxa"/>
          </w:tcPr>
          <w:p w14:paraId="1D3858A6" w14:textId="4BB43853" w:rsidR="00013951" w:rsidRPr="008F37FC" w:rsidRDefault="00F315D8" w:rsidP="008F37FC">
            <w:pPr>
              <w:rPr>
                <w:rFonts w:asciiTheme="minorHAnsi" w:eastAsia="TimesNewRoman" w:hAnsiTheme="minorHAnsi" w:cs="Calibri"/>
                <w:szCs w:val="22"/>
              </w:rPr>
            </w:pPr>
            <w:r>
              <w:rPr>
                <w:rFonts w:asciiTheme="minorHAnsi" w:eastAsia="TimesNewRoman" w:hAnsiTheme="minorHAnsi" w:cs="Calibri"/>
                <w:szCs w:val="22"/>
              </w:rPr>
              <w:t>Th1</w:t>
            </w:r>
          </w:p>
        </w:tc>
        <w:tc>
          <w:tcPr>
            <w:tcW w:w="6830" w:type="dxa"/>
          </w:tcPr>
          <w:p w14:paraId="15AD8F01"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T-helper cell 1</w:t>
            </w:r>
          </w:p>
        </w:tc>
      </w:tr>
      <w:tr w:rsidR="00013951" w:rsidRPr="008F37FC" w14:paraId="604511D8" w14:textId="77777777" w:rsidTr="002F16A0">
        <w:tc>
          <w:tcPr>
            <w:tcW w:w="1890" w:type="dxa"/>
          </w:tcPr>
          <w:p w14:paraId="3355BE34"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 xml:space="preserve">Th17 </w:t>
            </w:r>
            <w:r w:rsidRPr="008F37FC">
              <w:rPr>
                <w:rFonts w:asciiTheme="minorHAnsi" w:eastAsia="TimesNewRoman" w:hAnsiTheme="minorHAnsi" w:cs="Calibri"/>
                <w:szCs w:val="22"/>
              </w:rPr>
              <w:tab/>
            </w:r>
          </w:p>
        </w:tc>
        <w:tc>
          <w:tcPr>
            <w:tcW w:w="6830" w:type="dxa"/>
          </w:tcPr>
          <w:p w14:paraId="7B6EAF39"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T-helper cell 17</w:t>
            </w:r>
          </w:p>
        </w:tc>
      </w:tr>
      <w:tr w:rsidR="00013951" w:rsidRPr="008F37FC" w14:paraId="137E3C4A" w14:textId="77777777" w:rsidTr="002F16A0">
        <w:tc>
          <w:tcPr>
            <w:tcW w:w="1890" w:type="dxa"/>
          </w:tcPr>
          <w:p w14:paraId="54CA7A49"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TIMP-1</w:t>
            </w:r>
          </w:p>
        </w:tc>
        <w:tc>
          <w:tcPr>
            <w:tcW w:w="6830" w:type="dxa"/>
          </w:tcPr>
          <w:p w14:paraId="76C23528" w14:textId="77777777" w:rsidR="00013951" w:rsidRPr="008F37FC" w:rsidRDefault="00013951" w:rsidP="008F37FC">
            <w:pPr>
              <w:rPr>
                <w:rFonts w:asciiTheme="minorHAnsi" w:hAnsiTheme="minorHAnsi" w:cs="Calibri"/>
                <w:szCs w:val="22"/>
              </w:rPr>
            </w:pPr>
            <w:r w:rsidRPr="008F37FC">
              <w:rPr>
                <w:rFonts w:asciiTheme="minorHAnsi" w:hAnsiTheme="minorHAnsi" w:cs="Calibri"/>
                <w:szCs w:val="22"/>
              </w:rPr>
              <w:t>tissue inhibitor of matrix metalloproteinase 1</w:t>
            </w:r>
          </w:p>
        </w:tc>
      </w:tr>
      <w:tr w:rsidR="00013951" w:rsidRPr="008F37FC" w14:paraId="07F35AD7" w14:textId="77777777" w:rsidTr="002F16A0">
        <w:tc>
          <w:tcPr>
            <w:tcW w:w="1890" w:type="dxa"/>
          </w:tcPr>
          <w:p w14:paraId="6CDBA6FD"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TNF</w:t>
            </w:r>
          </w:p>
        </w:tc>
        <w:tc>
          <w:tcPr>
            <w:tcW w:w="6830" w:type="dxa"/>
          </w:tcPr>
          <w:p w14:paraId="41A23C62"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tumor necrosis factor</w:t>
            </w:r>
          </w:p>
        </w:tc>
      </w:tr>
      <w:tr w:rsidR="00013951" w:rsidRPr="008F37FC" w14:paraId="3E47BD68" w14:textId="77777777" w:rsidTr="002F16A0">
        <w:tc>
          <w:tcPr>
            <w:tcW w:w="1890" w:type="dxa"/>
          </w:tcPr>
          <w:p w14:paraId="1DF0986A"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UC</w:t>
            </w:r>
          </w:p>
        </w:tc>
        <w:tc>
          <w:tcPr>
            <w:tcW w:w="6830" w:type="dxa"/>
          </w:tcPr>
          <w:p w14:paraId="3213D7BA"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ulcerative colitis</w:t>
            </w:r>
          </w:p>
        </w:tc>
      </w:tr>
      <w:tr w:rsidR="00013951" w:rsidRPr="008F37FC" w14:paraId="358D3B67" w14:textId="77777777" w:rsidTr="002F16A0">
        <w:tc>
          <w:tcPr>
            <w:tcW w:w="1890" w:type="dxa"/>
          </w:tcPr>
          <w:p w14:paraId="613A1985"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US</w:t>
            </w:r>
          </w:p>
        </w:tc>
        <w:tc>
          <w:tcPr>
            <w:tcW w:w="6830" w:type="dxa"/>
          </w:tcPr>
          <w:p w14:paraId="0CF1DBE3"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United States</w:t>
            </w:r>
          </w:p>
        </w:tc>
      </w:tr>
      <w:tr w:rsidR="00013951" w:rsidRPr="008F37FC" w14:paraId="0A16A716" w14:textId="77777777" w:rsidTr="002F16A0">
        <w:tc>
          <w:tcPr>
            <w:tcW w:w="1890" w:type="dxa"/>
          </w:tcPr>
          <w:p w14:paraId="062CB125"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lastRenderedPageBreak/>
              <w:t>UTI</w:t>
            </w:r>
          </w:p>
        </w:tc>
        <w:tc>
          <w:tcPr>
            <w:tcW w:w="6830" w:type="dxa"/>
          </w:tcPr>
          <w:p w14:paraId="7B9479EE"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urinary tract infection</w:t>
            </w:r>
          </w:p>
        </w:tc>
      </w:tr>
      <w:tr w:rsidR="00013951" w:rsidRPr="008F37FC" w14:paraId="698901C6" w14:textId="77777777" w:rsidTr="002F16A0">
        <w:tc>
          <w:tcPr>
            <w:tcW w:w="1890" w:type="dxa"/>
          </w:tcPr>
          <w:p w14:paraId="2214A1C7" w14:textId="0EE50A37" w:rsidR="00013951" w:rsidRPr="008F37FC" w:rsidRDefault="00013951" w:rsidP="008F37FC">
            <w:pPr>
              <w:rPr>
                <w:rFonts w:asciiTheme="minorHAnsi" w:hAnsiTheme="minorHAnsi" w:cs="Calibri"/>
                <w:szCs w:val="22"/>
              </w:rPr>
            </w:pPr>
            <w:r w:rsidRPr="008F37FC">
              <w:rPr>
                <w:rFonts w:asciiTheme="minorHAnsi" w:hAnsiTheme="minorHAnsi" w:cs="Calibri"/>
                <w:szCs w:val="22"/>
              </w:rPr>
              <w:t>V</w:t>
            </w:r>
            <w:r w:rsidRPr="008F37FC">
              <w:rPr>
                <w:rFonts w:asciiTheme="minorHAnsi" w:hAnsiTheme="minorHAnsi" w:cs="Calibri"/>
                <w:szCs w:val="22"/>
                <w:vertAlign w:val="subscript"/>
              </w:rPr>
              <w:t>2</w:t>
            </w:r>
          </w:p>
        </w:tc>
        <w:tc>
          <w:tcPr>
            <w:tcW w:w="6830" w:type="dxa"/>
          </w:tcPr>
          <w:p w14:paraId="0C8F1E45" w14:textId="77777777" w:rsidR="00013951" w:rsidRPr="008F37FC" w:rsidRDefault="00EC5363" w:rsidP="008F37FC">
            <w:pPr>
              <w:rPr>
                <w:rFonts w:asciiTheme="minorHAnsi" w:hAnsiTheme="minorHAnsi" w:cs="Calibri"/>
                <w:szCs w:val="22"/>
              </w:rPr>
            </w:pPr>
            <w:r>
              <w:rPr>
                <w:rFonts w:asciiTheme="minorHAnsi" w:hAnsiTheme="minorHAnsi" w:cs="Calibri"/>
                <w:szCs w:val="22"/>
              </w:rPr>
              <w:t>v</w:t>
            </w:r>
            <w:r w:rsidR="00013951" w:rsidRPr="008F37FC">
              <w:rPr>
                <w:rFonts w:asciiTheme="minorHAnsi" w:hAnsiTheme="minorHAnsi" w:cs="Calibri"/>
                <w:szCs w:val="22"/>
              </w:rPr>
              <w:t>olume of central compartment</w:t>
            </w:r>
          </w:p>
        </w:tc>
      </w:tr>
      <w:tr w:rsidR="00013951" w:rsidRPr="008F37FC" w14:paraId="1EE794F4" w14:textId="77777777" w:rsidTr="002F16A0">
        <w:tc>
          <w:tcPr>
            <w:tcW w:w="1890" w:type="dxa"/>
          </w:tcPr>
          <w:p w14:paraId="4815F86C" w14:textId="32AF6C93" w:rsidR="00013951" w:rsidRPr="008F37FC" w:rsidRDefault="00013951" w:rsidP="008F37FC">
            <w:pPr>
              <w:rPr>
                <w:rFonts w:asciiTheme="minorHAnsi" w:hAnsiTheme="minorHAnsi" w:cs="Calibri"/>
                <w:szCs w:val="22"/>
              </w:rPr>
            </w:pPr>
            <w:r w:rsidRPr="008F37FC">
              <w:rPr>
                <w:rFonts w:asciiTheme="minorHAnsi" w:hAnsiTheme="minorHAnsi" w:cs="Calibri"/>
                <w:szCs w:val="22"/>
              </w:rPr>
              <w:t>V</w:t>
            </w:r>
            <w:r w:rsidRPr="008F37FC">
              <w:rPr>
                <w:rFonts w:asciiTheme="minorHAnsi" w:hAnsiTheme="minorHAnsi" w:cs="Calibri"/>
                <w:szCs w:val="22"/>
                <w:vertAlign w:val="subscript"/>
              </w:rPr>
              <w:t>3</w:t>
            </w:r>
          </w:p>
        </w:tc>
        <w:tc>
          <w:tcPr>
            <w:tcW w:w="6830" w:type="dxa"/>
          </w:tcPr>
          <w:p w14:paraId="0DE82BDE" w14:textId="77777777" w:rsidR="00013951" w:rsidRPr="008F37FC" w:rsidRDefault="00EC5363" w:rsidP="008F37FC">
            <w:pPr>
              <w:rPr>
                <w:rFonts w:asciiTheme="minorHAnsi" w:hAnsiTheme="minorHAnsi" w:cs="Calibri"/>
                <w:szCs w:val="22"/>
              </w:rPr>
            </w:pPr>
            <w:r>
              <w:rPr>
                <w:rFonts w:asciiTheme="minorHAnsi" w:hAnsiTheme="minorHAnsi" w:cs="Calibri"/>
                <w:szCs w:val="22"/>
              </w:rPr>
              <w:t>v</w:t>
            </w:r>
            <w:r w:rsidR="00013951" w:rsidRPr="008F37FC">
              <w:rPr>
                <w:rFonts w:asciiTheme="minorHAnsi" w:hAnsiTheme="minorHAnsi" w:cs="Calibri"/>
                <w:szCs w:val="22"/>
              </w:rPr>
              <w:t>olume of peripheral compartment</w:t>
            </w:r>
          </w:p>
        </w:tc>
      </w:tr>
      <w:tr w:rsidR="00013951" w:rsidRPr="008F37FC" w14:paraId="0E7F1959" w14:textId="77777777" w:rsidTr="002F16A0">
        <w:tc>
          <w:tcPr>
            <w:tcW w:w="1890" w:type="dxa"/>
          </w:tcPr>
          <w:p w14:paraId="354A1C0C"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VAS</w:t>
            </w:r>
          </w:p>
        </w:tc>
        <w:tc>
          <w:tcPr>
            <w:tcW w:w="6830" w:type="dxa"/>
          </w:tcPr>
          <w:p w14:paraId="7722D62B"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Visual Analog Scale</w:t>
            </w:r>
          </w:p>
        </w:tc>
      </w:tr>
      <w:tr w:rsidR="00013951" w:rsidRPr="008F37FC" w14:paraId="5BC76FC8" w14:textId="77777777" w:rsidTr="002F16A0">
        <w:tc>
          <w:tcPr>
            <w:tcW w:w="1890" w:type="dxa"/>
          </w:tcPr>
          <w:p w14:paraId="3CFC2A33"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Vz</w:t>
            </w:r>
          </w:p>
        </w:tc>
        <w:tc>
          <w:tcPr>
            <w:tcW w:w="6830" w:type="dxa"/>
          </w:tcPr>
          <w:p w14:paraId="30EBA937" w14:textId="77777777" w:rsidR="00013951" w:rsidRPr="008F37FC" w:rsidRDefault="00013951" w:rsidP="008F37FC">
            <w:pPr>
              <w:rPr>
                <w:rFonts w:asciiTheme="minorHAnsi" w:hAnsiTheme="minorHAnsi" w:cs="Calibri"/>
                <w:szCs w:val="22"/>
                <w:u w:val="single"/>
              </w:rPr>
            </w:pPr>
            <w:r w:rsidRPr="008F37FC">
              <w:rPr>
                <w:rFonts w:asciiTheme="minorHAnsi" w:hAnsiTheme="minorHAnsi" w:cs="Calibri"/>
                <w:szCs w:val="22"/>
                <w:lang w:eastAsia="ja-JP"/>
              </w:rPr>
              <w:t xml:space="preserve">volume of distribution </w:t>
            </w:r>
            <w:r w:rsidRPr="008F37FC">
              <w:rPr>
                <w:rFonts w:asciiTheme="minorHAnsi" w:hAnsiTheme="minorHAnsi" w:cs="Calibri"/>
                <w:szCs w:val="22"/>
              </w:rPr>
              <w:t>based on terminal phase</w:t>
            </w:r>
          </w:p>
        </w:tc>
      </w:tr>
      <w:tr w:rsidR="00013951" w:rsidRPr="008F37FC" w14:paraId="75CE386B" w14:textId="77777777" w:rsidTr="002F16A0">
        <w:tc>
          <w:tcPr>
            <w:tcW w:w="1890" w:type="dxa"/>
          </w:tcPr>
          <w:p w14:paraId="0D182C78"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W</w:t>
            </w:r>
          </w:p>
        </w:tc>
        <w:tc>
          <w:tcPr>
            <w:tcW w:w="6830" w:type="dxa"/>
          </w:tcPr>
          <w:p w14:paraId="736E9EC7"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week</w:t>
            </w:r>
          </w:p>
        </w:tc>
      </w:tr>
      <w:tr w:rsidR="00013951" w:rsidRPr="008F37FC" w14:paraId="1D47F188" w14:textId="77777777" w:rsidTr="002F16A0">
        <w:tc>
          <w:tcPr>
            <w:tcW w:w="1890" w:type="dxa"/>
          </w:tcPr>
          <w:p w14:paraId="03575217"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WLQ</w:t>
            </w:r>
          </w:p>
        </w:tc>
        <w:tc>
          <w:tcPr>
            <w:tcW w:w="6830" w:type="dxa"/>
          </w:tcPr>
          <w:p w14:paraId="47F50184" w14:textId="77777777" w:rsidR="00013951" w:rsidRPr="008F37FC" w:rsidRDefault="00013951" w:rsidP="008F37FC">
            <w:pPr>
              <w:rPr>
                <w:rFonts w:asciiTheme="minorHAnsi" w:eastAsia="TimesNewRoman" w:hAnsiTheme="minorHAnsi" w:cs="Calibri"/>
                <w:szCs w:val="22"/>
              </w:rPr>
            </w:pPr>
            <w:r w:rsidRPr="008F37FC">
              <w:rPr>
                <w:rFonts w:asciiTheme="minorHAnsi" w:eastAsia="TimesNewRoman" w:hAnsiTheme="minorHAnsi" w:cs="Calibri"/>
                <w:szCs w:val="22"/>
              </w:rPr>
              <w:t>Work Limitations Questionnaire</w:t>
            </w:r>
          </w:p>
        </w:tc>
      </w:tr>
    </w:tbl>
    <w:p w14:paraId="653159AC" w14:textId="77777777" w:rsidR="008E7846" w:rsidRDefault="00F53C07" w:rsidP="00F315D8">
      <w:pPr>
        <w:pStyle w:val="Heading2"/>
        <w:pageBreakBefore/>
      </w:pPr>
      <w:bookmarkStart w:id="9" w:name="_Toc497744801"/>
      <w:r>
        <w:lastRenderedPageBreak/>
        <w:t>I.</w:t>
      </w:r>
      <w:r w:rsidR="008E7846">
        <w:t xml:space="preserve"> Introduction to product submission</w:t>
      </w:r>
      <w:bookmarkEnd w:id="3"/>
      <w:bookmarkEnd w:id="0"/>
      <w:bookmarkEnd w:id="9"/>
    </w:p>
    <w:p w14:paraId="314A171E" w14:textId="77777777" w:rsidR="008E7846" w:rsidRDefault="008E7846" w:rsidP="00A46BF1">
      <w:pPr>
        <w:pStyle w:val="Heading3"/>
        <w:spacing w:before="240"/>
        <w:rPr>
          <w:lang w:eastAsia="en-AU"/>
        </w:rPr>
      </w:pPr>
      <w:bookmarkStart w:id="10" w:name="_Toc247691502"/>
      <w:bookmarkStart w:id="11" w:name="_Toc314842483"/>
      <w:bookmarkStart w:id="12" w:name="_Toc497744802"/>
      <w:r>
        <w:rPr>
          <w:lang w:eastAsia="en-AU"/>
        </w:rPr>
        <w:t>Submission details</w:t>
      </w:r>
      <w:bookmarkEnd w:id="10"/>
      <w:bookmarkEnd w:id="11"/>
      <w:bookmarkEnd w:id="12"/>
    </w:p>
    <w:tbl>
      <w:tblPr>
        <w:tblW w:w="9620" w:type="dxa"/>
        <w:tblInd w:w="108" w:type="dxa"/>
        <w:tblLook w:val="01E0" w:firstRow="1" w:lastRow="1" w:firstColumn="1" w:lastColumn="1" w:noHBand="0" w:noVBand="0"/>
        <w:tblDescription w:val="Submission details"/>
      </w:tblPr>
      <w:tblGrid>
        <w:gridCol w:w="2907"/>
        <w:gridCol w:w="38"/>
        <w:gridCol w:w="6269"/>
        <w:gridCol w:w="406"/>
      </w:tblGrid>
      <w:tr w:rsidR="008E7846" w:rsidRPr="003D1E62" w14:paraId="7B2229AB" w14:textId="77777777" w:rsidTr="00A46BF1">
        <w:trPr>
          <w:trHeight w:val="20"/>
        </w:trPr>
        <w:tc>
          <w:tcPr>
            <w:tcW w:w="2945" w:type="dxa"/>
            <w:gridSpan w:val="2"/>
          </w:tcPr>
          <w:p w14:paraId="0265A881" w14:textId="77777777" w:rsidR="008E7846" w:rsidRPr="003D1E62" w:rsidRDefault="001B5C90" w:rsidP="00A46BF1">
            <w:pPr>
              <w:spacing w:after="80" w:line="240" w:lineRule="auto"/>
              <w:rPr>
                <w:i/>
              </w:rPr>
            </w:pPr>
            <w:r>
              <w:rPr>
                <w:i/>
              </w:rPr>
              <w:t>Type of s</w:t>
            </w:r>
            <w:r w:rsidR="008E7846" w:rsidRPr="003D1E62">
              <w:rPr>
                <w:i/>
              </w:rPr>
              <w:t>ubmission</w:t>
            </w:r>
            <w:r>
              <w:rPr>
                <w:i/>
              </w:rPr>
              <w:t>:</w:t>
            </w:r>
          </w:p>
        </w:tc>
        <w:tc>
          <w:tcPr>
            <w:tcW w:w="6675" w:type="dxa"/>
            <w:gridSpan w:val="2"/>
          </w:tcPr>
          <w:p w14:paraId="10FDFEBC" w14:textId="77777777" w:rsidR="008E7846" w:rsidRPr="003D1E62" w:rsidRDefault="0073296F" w:rsidP="00A46BF1">
            <w:pPr>
              <w:spacing w:after="80" w:line="240" w:lineRule="auto"/>
            </w:pPr>
            <w:r>
              <w:t>Extension of indications, New dose strength and Route of administration</w:t>
            </w:r>
          </w:p>
        </w:tc>
      </w:tr>
      <w:tr w:rsidR="008E7846" w:rsidRPr="003D1E62" w14:paraId="3F80CF51" w14:textId="77777777" w:rsidTr="00A46BF1">
        <w:trPr>
          <w:trHeight w:val="20"/>
        </w:trPr>
        <w:tc>
          <w:tcPr>
            <w:tcW w:w="2945" w:type="dxa"/>
            <w:gridSpan w:val="2"/>
          </w:tcPr>
          <w:p w14:paraId="68A57EE1" w14:textId="77777777" w:rsidR="008E7846" w:rsidRPr="003D1E62" w:rsidRDefault="008E7846" w:rsidP="00A46BF1">
            <w:pPr>
              <w:spacing w:after="80" w:line="240" w:lineRule="auto"/>
            </w:pPr>
            <w:r w:rsidRPr="003D1E62">
              <w:rPr>
                <w:i/>
              </w:rPr>
              <w:t>Decision</w:t>
            </w:r>
            <w:r w:rsidRPr="003D1E62">
              <w:t>:</w:t>
            </w:r>
          </w:p>
        </w:tc>
        <w:tc>
          <w:tcPr>
            <w:tcW w:w="6675" w:type="dxa"/>
            <w:gridSpan w:val="2"/>
          </w:tcPr>
          <w:p w14:paraId="30015E06" w14:textId="1B427335" w:rsidR="008E7846" w:rsidRPr="003D1E62" w:rsidRDefault="00A46BF1" w:rsidP="00A46BF1">
            <w:pPr>
              <w:spacing w:after="80" w:line="240" w:lineRule="auto"/>
            </w:pPr>
            <w:r>
              <w:t>Approved</w:t>
            </w:r>
          </w:p>
        </w:tc>
      </w:tr>
      <w:tr w:rsidR="008E7846" w:rsidRPr="003D1E62" w14:paraId="3231B443" w14:textId="77777777" w:rsidTr="00A46BF1">
        <w:trPr>
          <w:trHeight w:val="20"/>
        </w:trPr>
        <w:tc>
          <w:tcPr>
            <w:tcW w:w="2945" w:type="dxa"/>
            <w:gridSpan w:val="2"/>
          </w:tcPr>
          <w:p w14:paraId="4B9E26AC" w14:textId="77777777" w:rsidR="008E7846" w:rsidRPr="003D1E62" w:rsidRDefault="008E7846" w:rsidP="00A46BF1">
            <w:pPr>
              <w:spacing w:after="80" w:line="240" w:lineRule="auto"/>
              <w:rPr>
                <w:i/>
              </w:rPr>
            </w:pPr>
            <w:r w:rsidRPr="003D1E62">
              <w:rPr>
                <w:i/>
              </w:rPr>
              <w:t xml:space="preserve">Date of </w:t>
            </w:r>
            <w:r w:rsidR="001B5C90">
              <w:rPr>
                <w:i/>
              </w:rPr>
              <w:t>d</w:t>
            </w:r>
            <w:r w:rsidRPr="003D1E62">
              <w:rPr>
                <w:i/>
              </w:rPr>
              <w:t>ecision:</w:t>
            </w:r>
          </w:p>
        </w:tc>
        <w:tc>
          <w:tcPr>
            <w:tcW w:w="6675" w:type="dxa"/>
            <w:gridSpan w:val="2"/>
          </w:tcPr>
          <w:p w14:paraId="0D3E82EF" w14:textId="77777777" w:rsidR="008E7846" w:rsidRPr="003D1E62" w:rsidRDefault="00AB2DB1" w:rsidP="00A46BF1">
            <w:pPr>
              <w:spacing w:after="80" w:line="240" w:lineRule="auto"/>
            </w:pPr>
            <w:r>
              <w:t>27 February 2017</w:t>
            </w:r>
          </w:p>
        </w:tc>
      </w:tr>
      <w:tr w:rsidR="00ED2922" w:rsidRPr="003D1E62" w14:paraId="69571FEE" w14:textId="77777777" w:rsidTr="00A46BF1">
        <w:trPr>
          <w:trHeight w:val="20"/>
        </w:trPr>
        <w:tc>
          <w:tcPr>
            <w:tcW w:w="2945" w:type="dxa"/>
            <w:gridSpan w:val="2"/>
          </w:tcPr>
          <w:p w14:paraId="37DD32FA" w14:textId="77777777" w:rsidR="00ED2922" w:rsidRPr="00441C3F" w:rsidRDefault="00ED2922" w:rsidP="00A46BF1">
            <w:pPr>
              <w:spacing w:after="80" w:line="240" w:lineRule="auto"/>
              <w:rPr>
                <w:i/>
              </w:rPr>
            </w:pPr>
            <w:r w:rsidRPr="00441C3F">
              <w:rPr>
                <w:i/>
              </w:rPr>
              <w:t>Date of entry onto ARTG</w:t>
            </w:r>
          </w:p>
        </w:tc>
        <w:tc>
          <w:tcPr>
            <w:tcW w:w="6675" w:type="dxa"/>
            <w:gridSpan w:val="2"/>
          </w:tcPr>
          <w:p w14:paraId="3BF962FC" w14:textId="77777777" w:rsidR="00ED2922" w:rsidRPr="00441C3F" w:rsidRDefault="00AB2DB1" w:rsidP="00A46BF1">
            <w:pPr>
              <w:spacing w:after="80" w:line="240" w:lineRule="auto"/>
              <w:rPr>
                <w:i/>
              </w:rPr>
            </w:pPr>
            <w:r>
              <w:t>1 March 2017</w:t>
            </w:r>
          </w:p>
        </w:tc>
      </w:tr>
      <w:tr w:rsidR="008E7846" w:rsidRPr="00487162" w14:paraId="4A719911" w14:textId="77777777" w:rsidTr="00A46BF1">
        <w:trPr>
          <w:gridAfter w:val="1"/>
          <w:wAfter w:w="406" w:type="dxa"/>
          <w:trHeight w:val="20"/>
        </w:trPr>
        <w:tc>
          <w:tcPr>
            <w:tcW w:w="2907" w:type="dxa"/>
          </w:tcPr>
          <w:p w14:paraId="4E70EB1D" w14:textId="77777777" w:rsidR="008E7846" w:rsidRPr="00487162" w:rsidRDefault="001B5C90" w:rsidP="00A46BF1">
            <w:pPr>
              <w:spacing w:after="80" w:line="240" w:lineRule="auto"/>
              <w:rPr>
                <w:i/>
              </w:rPr>
            </w:pPr>
            <w:r>
              <w:rPr>
                <w:i/>
              </w:rPr>
              <w:t>Active ingredient(s):</w:t>
            </w:r>
          </w:p>
        </w:tc>
        <w:tc>
          <w:tcPr>
            <w:tcW w:w="6307" w:type="dxa"/>
            <w:gridSpan w:val="2"/>
          </w:tcPr>
          <w:p w14:paraId="5CF8A8D3" w14:textId="77777777" w:rsidR="008E7846" w:rsidRPr="00487162" w:rsidRDefault="0073296F" w:rsidP="00A46BF1">
            <w:pPr>
              <w:spacing w:after="80" w:line="240" w:lineRule="auto"/>
            </w:pPr>
            <w:r w:rsidRPr="0073296F">
              <w:t>Ustekinumab</w:t>
            </w:r>
          </w:p>
        </w:tc>
      </w:tr>
      <w:tr w:rsidR="008E7846" w:rsidRPr="00487162" w14:paraId="0067F093" w14:textId="77777777" w:rsidTr="00A46BF1">
        <w:trPr>
          <w:gridAfter w:val="1"/>
          <w:wAfter w:w="406" w:type="dxa"/>
          <w:trHeight w:val="20"/>
        </w:trPr>
        <w:tc>
          <w:tcPr>
            <w:tcW w:w="2907" w:type="dxa"/>
          </w:tcPr>
          <w:p w14:paraId="030A0908" w14:textId="77777777" w:rsidR="008E7846" w:rsidRPr="00487162" w:rsidRDefault="008E7846" w:rsidP="00A46BF1">
            <w:pPr>
              <w:spacing w:after="80" w:line="240" w:lineRule="auto"/>
              <w:rPr>
                <w:i/>
              </w:rPr>
            </w:pPr>
            <w:r w:rsidRPr="00487162">
              <w:rPr>
                <w:i/>
              </w:rPr>
              <w:t>Product</w:t>
            </w:r>
            <w:r w:rsidR="001B5C90">
              <w:rPr>
                <w:i/>
              </w:rPr>
              <w:t xml:space="preserve"> name(s):</w:t>
            </w:r>
          </w:p>
        </w:tc>
        <w:tc>
          <w:tcPr>
            <w:tcW w:w="6307" w:type="dxa"/>
            <w:gridSpan w:val="2"/>
          </w:tcPr>
          <w:p w14:paraId="330921F1" w14:textId="77777777" w:rsidR="008E7846" w:rsidRPr="00487162" w:rsidRDefault="00AB2DB1" w:rsidP="00A46BF1">
            <w:pPr>
              <w:spacing w:after="80" w:line="240" w:lineRule="auto"/>
            </w:pPr>
            <w:r>
              <w:t>Stelara</w:t>
            </w:r>
          </w:p>
        </w:tc>
      </w:tr>
      <w:tr w:rsidR="008E7846" w:rsidRPr="00487162" w14:paraId="0BA83DF1" w14:textId="77777777" w:rsidTr="00A46BF1">
        <w:trPr>
          <w:gridAfter w:val="1"/>
          <w:wAfter w:w="406" w:type="dxa"/>
          <w:trHeight w:val="20"/>
        </w:trPr>
        <w:tc>
          <w:tcPr>
            <w:tcW w:w="2907" w:type="dxa"/>
          </w:tcPr>
          <w:p w14:paraId="2E84EF9A" w14:textId="77777777" w:rsidR="008E7846" w:rsidRPr="00487162" w:rsidRDefault="008E7846" w:rsidP="00A46BF1">
            <w:pPr>
              <w:spacing w:after="80" w:line="240" w:lineRule="auto"/>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gridSpan w:val="2"/>
          </w:tcPr>
          <w:p w14:paraId="3CE8A344" w14:textId="77777777" w:rsidR="008E7846" w:rsidRDefault="0073296F" w:rsidP="00A46BF1">
            <w:pPr>
              <w:spacing w:after="80" w:line="240" w:lineRule="auto"/>
            </w:pPr>
            <w:r w:rsidRPr="0073296F">
              <w:t>Janssen-Cilag Pty. Ltd.</w:t>
            </w:r>
          </w:p>
          <w:p w14:paraId="43CC3208" w14:textId="77777777" w:rsidR="00AB2DB1" w:rsidRPr="00487162" w:rsidRDefault="00AB2DB1" w:rsidP="00A46BF1">
            <w:pPr>
              <w:spacing w:after="80" w:line="240" w:lineRule="auto"/>
            </w:pPr>
            <w:r>
              <w:t>1-5 Khartoum Road, Macquarie Park NSW 2113</w:t>
            </w:r>
          </w:p>
        </w:tc>
      </w:tr>
      <w:tr w:rsidR="008E7846" w:rsidRPr="00487162" w14:paraId="4B4698CC" w14:textId="77777777" w:rsidTr="00A46BF1">
        <w:trPr>
          <w:gridAfter w:val="1"/>
          <w:wAfter w:w="406" w:type="dxa"/>
          <w:trHeight w:val="20"/>
        </w:trPr>
        <w:tc>
          <w:tcPr>
            <w:tcW w:w="2907" w:type="dxa"/>
          </w:tcPr>
          <w:p w14:paraId="505D02A5" w14:textId="77777777" w:rsidR="008E7846" w:rsidRPr="00487162" w:rsidRDefault="001B5C90" w:rsidP="00A46BF1">
            <w:pPr>
              <w:spacing w:after="80" w:line="240" w:lineRule="auto"/>
              <w:rPr>
                <w:i/>
              </w:rPr>
            </w:pPr>
            <w:r>
              <w:rPr>
                <w:i/>
              </w:rPr>
              <w:t>Dose form(s):</w:t>
            </w:r>
          </w:p>
        </w:tc>
        <w:tc>
          <w:tcPr>
            <w:tcW w:w="6307" w:type="dxa"/>
            <w:gridSpan w:val="2"/>
          </w:tcPr>
          <w:p w14:paraId="1B3B4158" w14:textId="77777777" w:rsidR="008E7846" w:rsidRPr="00487162" w:rsidRDefault="0073296F" w:rsidP="00A46BF1">
            <w:pPr>
              <w:spacing w:after="80" w:line="240" w:lineRule="auto"/>
            </w:pPr>
            <w:r>
              <w:t>Solution for Injection</w:t>
            </w:r>
          </w:p>
        </w:tc>
      </w:tr>
      <w:tr w:rsidR="008E7846" w:rsidRPr="00487162" w14:paraId="48BE9FE0" w14:textId="77777777" w:rsidTr="00A46BF1">
        <w:trPr>
          <w:gridAfter w:val="1"/>
          <w:wAfter w:w="406" w:type="dxa"/>
          <w:trHeight w:val="20"/>
        </w:trPr>
        <w:tc>
          <w:tcPr>
            <w:tcW w:w="2907" w:type="dxa"/>
          </w:tcPr>
          <w:p w14:paraId="6E609D0D" w14:textId="77777777" w:rsidR="008E7846" w:rsidRPr="00487162" w:rsidRDefault="008E7846" w:rsidP="00A46BF1">
            <w:pPr>
              <w:spacing w:after="80" w:line="240" w:lineRule="auto"/>
              <w:rPr>
                <w:i/>
              </w:rPr>
            </w:pPr>
            <w:r w:rsidRPr="00487162">
              <w:rPr>
                <w:i/>
              </w:rPr>
              <w:t xml:space="preserve">Strength(s): </w:t>
            </w:r>
          </w:p>
        </w:tc>
        <w:tc>
          <w:tcPr>
            <w:tcW w:w="6307" w:type="dxa"/>
            <w:gridSpan w:val="2"/>
          </w:tcPr>
          <w:p w14:paraId="0B75FEDA" w14:textId="374795EC" w:rsidR="008E7846" w:rsidRPr="00487162" w:rsidRDefault="00B035A5" w:rsidP="00A46BF1">
            <w:pPr>
              <w:spacing w:after="80" w:line="240" w:lineRule="auto"/>
            </w:pPr>
            <w:r>
              <w:t>5 mg of ustekinumab (rmc) in 1 mL</w:t>
            </w:r>
            <w:r w:rsidR="0070719B">
              <w:t xml:space="preserve">; </w:t>
            </w:r>
            <w:r w:rsidR="00314E61">
              <w:t>45 mg of ustekinumab (rmc) in 0.5 mL</w:t>
            </w:r>
            <w:r w:rsidR="0070719B">
              <w:t>;</w:t>
            </w:r>
            <w:r w:rsidR="00314E61">
              <w:t xml:space="preserve"> or 90 mg of ustekinumab (rmc) in 1.0 mL (the 90 mg vial, 45 mg pre-filled syringe and 90 mg prefilled syringe are not currently marketed).</w:t>
            </w:r>
          </w:p>
        </w:tc>
      </w:tr>
      <w:tr w:rsidR="008E7846" w:rsidRPr="00487162" w14:paraId="1B841B82" w14:textId="77777777" w:rsidTr="00A46BF1">
        <w:trPr>
          <w:gridAfter w:val="1"/>
          <w:wAfter w:w="406" w:type="dxa"/>
          <w:trHeight w:val="20"/>
        </w:trPr>
        <w:tc>
          <w:tcPr>
            <w:tcW w:w="2907" w:type="dxa"/>
          </w:tcPr>
          <w:p w14:paraId="5408346F" w14:textId="77777777" w:rsidR="008E7846" w:rsidRPr="00487162" w:rsidRDefault="008E7846" w:rsidP="00A46BF1">
            <w:pPr>
              <w:spacing w:after="80" w:line="240" w:lineRule="auto"/>
              <w:rPr>
                <w:i/>
              </w:rPr>
            </w:pPr>
            <w:r w:rsidRPr="00487162">
              <w:rPr>
                <w:i/>
              </w:rPr>
              <w:t>Container(s):</w:t>
            </w:r>
          </w:p>
        </w:tc>
        <w:tc>
          <w:tcPr>
            <w:tcW w:w="6307" w:type="dxa"/>
            <w:gridSpan w:val="2"/>
          </w:tcPr>
          <w:p w14:paraId="59D05AEB" w14:textId="77777777" w:rsidR="00314E61" w:rsidRDefault="00314E61" w:rsidP="00A46BF1">
            <w:pPr>
              <w:spacing w:after="80" w:line="240" w:lineRule="auto"/>
            </w:pPr>
            <w:r>
              <w:t>S</w:t>
            </w:r>
            <w:r w:rsidRPr="00314E61">
              <w:t>ingle-use (Type 1) glass vial.</w:t>
            </w:r>
          </w:p>
          <w:p w14:paraId="293CC5FC" w14:textId="77777777" w:rsidR="00314E61" w:rsidRPr="00487162" w:rsidRDefault="00314E61" w:rsidP="00A46BF1">
            <w:pPr>
              <w:spacing w:after="80" w:line="240" w:lineRule="auto"/>
            </w:pPr>
            <w:r>
              <w:t>Single-use, sterile solution in a Type 1 glass syringe with a fixed 27G, half-inch needle and needle cover.</w:t>
            </w:r>
          </w:p>
        </w:tc>
      </w:tr>
      <w:tr w:rsidR="008E7846" w:rsidRPr="00487162" w14:paraId="44798870" w14:textId="77777777" w:rsidTr="00A46BF1">
        <w:trPr>
          <w:gridAfter w:val="1"/>
          <w:wAfter w:w="406" w:type="dxa"/>
          <w:trHeight w:val="20"/>
        </w:trPr>
        <w:tc>
          <w:tcPr>
            <w:tcW w:w="2907" w:type="dxa"/>
          </w:tcPr>
          <w:p w14:paraId="361FFE3A" w14:textId="77777777" w:rsidR="008E7846" w:rsidRPr="00487162" w:rsidRDefault="008E7846" w:rsidP="00A46BF1">
            <w:pPr>
              <w:spacing w:after="80" w:line="240" w:lineRule="auto"/>
              <w:rPr>
                <w:i/>
              </w:rPr>
            </w:pPr>
            <w:r w:rsidRPr="00487162">
              <w:rPr>
                <w:i/>
              </w:rPr>
              <w:t>Pack size(s):</w:t>
            </w:r>
          </w:p>
        </w:tc>
        <w:tc>
          <w:tcPr>
            <w:tcW w:w="6307" w:type="dxa"/>
            <w:gridSpan w:val="2"/>
          </w:tcPr>
          <w:p w14:paraId="0468D329" w14:textId="77777777" w:rsidR="008E7846" w:rsidRPr="00487162" w:rsidRDefault="00314E61" w:rsidP="00A46BF1">
            <w:pPr>
              <w:spacing w:after="80" w:line="240" w:lineRule="auto"/>
            </w:pPr>
            <w:r w:rsidRPr="00314E61">
              <w:t>1 single use vial (45 mg)</w:t>
            </w:r>
          </w:p>
        </w:tc>
      </w:tr>
      <w:tr w:rsidR="008E7846" w:rsidRPr="00487162" w14:paraId="0F2A4FE8" w14:textId="77777777" w:rsidTr="00A46BF1">
        <w:trPr>
          <w:gridAfter w:val="1"/>
          <w:wAfter w:w="406" w:type="dxa"/>
          <w:trHeight w:val="20"/>
        </w:trPr>
        <w:tc>
          <w:tcPr>
            <w:tcW w:w="2907" w:type="dxa"/>
          </w:tcPr>
          <w:p w14:paraId="0574018A" w14:textId="77777777" w:rsidR="008E7846" w:rsidRPr="00487162" w:rsidRDefault="008E7846" w:rsidP="00A46BF1">
            <w:pPr>
              <w:spacing w:after="80" w:line="240" w:lineRule="auto"/>
              <w:rPr>
                <w:i/>
              </w:rPr>
            </w:pPr>
            <w:r w:rsidRPr="00487162">
              <w:rPr>
                <w:i/>
              </w:rPr>
              <w:t xml:space="preserve">Approved </w:t>
            </w:r>
            <w:r w:rsidR="001B5C90">
              <w:rPr>
                <w:i/>
              </w:rPr>
              <w:t>t</w:t>
            </w:r>
            <w:r w:rsidRPr="00487162">
              <w:rPr>
                <w:i/>
              </w:rPr>
              <w:t>herapeutic use:</w:t>
            </w:r>
          </w:p>
        </w:tc>
        <w:tc>
          <w:tcPr>
            <w:tcW w:w="6307" w:type="dxa"/>
            <w:gridSpan w:val="2"/>
          </w:tcPr>
          <w:p w14:paraId="4E6BBE3C" w14:textId="77777777" w:rsidR="00314E61" w:rsidRPr="00314E61" w:rsidRDefault="00314E61" w:rsidP="00A46BF1">
            <w:pPr>
              <w:spacing w:after="80" w:line="240" w:lineRule="auto"/>
              <w:rPr>
                <w:i/>
              </w:rPr>
            </w:pPr>
            <w:r w:rsidRPr="00314E61">
              <w:rPr>
                <w:i/>
              </w:rPr>
              <w:t>Crohn’s Disease</w:t>
            </w:r>
          </w:p>
          <w:p w14:paraId="166DD8FE" w14:textId="77777777" w:rsidR="008E7846" w:rsidRPr="00487162" w:rsidRDefault="00314E61" w:rsidP="00A46BF1">
            <w:pPr>
              <w:spacing w:after="80" w:line="240" w:lineRule="auto"/>
              <w:rPr>
                <w:rFonts w:eastAsia="MS Mincho"/>
                <w:lang w:eastAsia="ja-JP"/>
              </w:rPr>
            </w:pPr>
            <w:r>
              <w:rPr>
                <w:i/>
              </w:rPr>
              <w:t>Stelara</w:t>
            </w:r>
            <w:r w:rsidRPr="00314E61">
              <w:rPr>
                <w:i/>
              </w:rPr>
              <w:t xml:space="preserve"> is indicated for the treatment of adult patients with moderately to severely active Crohn’s disease who have had an inadequate response, lost response, or were intolerant to either conventional therapy or a TNFα antagonist or have medical contraindications to such therapies</w:t>
            </w:r>
            <w:r>
              <w:t>.</w:t>
            </w:r>
          </w:p>
        </w:tc>
      </w:tr>
      <w:tr w:rsidR="008E7846" w:rsidRPr="00487162" w14:paraId="571EACE5" w14:textId="77777777" w:rsidTr="00A46BF1">
        <w:trPr>
          <w:gridAfter w:val="1"/>
          <w:wAfter w:w="406" w:type="dxa"/>
          <w:trHeight w:val="20"/>
        </w:trPr>
        <w:tc>
          <w:tcPr>
            <w:tcW w:w="2907" w:type="dxa"/>
          </w:tcPr>
          <w:p w14:paraId="654843A2" w14:textId="77777777" w:rsidR="008E7846" w:rsidRPr="00487162" w:rsidRDefault="008E7846" w:rsidP="00A46BF1">
            <w:pPr>
              <w:spacing w:after="80" w:line="240" w:lineRule="auto"/>
              <w:rPr>
                <w:i/>
              </w:rPr>
            </w:pPr>
            <w:r w:rsidRPr="00487162">
              <w:rPr>
                <w:i/>
              </w:rPr>
              <w:t>Route(s) of administration:</w:t>
            </w:r>
          </w:p>
        </w:tc>
        <w:tc>
          <w:tcPr>
            <w:tcW w:w="6307" w:type="dxa"/>
            <w:gridSpan w:val="2"/>
          </w:tcPr>
          <w:p w14:paraId="20577B37" w14:textId="77777777" w:rsidR="008E7846" w:rsidRPr="00487162" w:rsidRDefault="00314E61" w:rsidP="00A46BF1">
            <w:pPr>
              <w:spacing w:after="80" w:line="240" w:lineRule="auto"/>
            </w:pPr>
            <w:r>
              <w:t>Intravenous (IV) and subcutaneous (SC)</w:t>
            </w:r>
          </w:p>
        </w:tc>
      </w:tr>
      <w:tr w:rsidR="008E7846" w:rsidRPr="00487162" w14:paraId="570CC78B" w14:textId="77777777" w:rsidTr="00A46BF1">
        <w:trPr>
          <w:gridAfter w:val="1"/>
          <w:wAfter w:w="406" w:type="dxa"/>
          <w:trHeight w:val="20"/>
        </w:trPr>
        <w:tc>
          <w:tcPr>
            <w:tcW w:w="2907" w:type="dxa"/>
          </w:tcPr>
          <w:p w14:paraId="4EDBA4B5" w14:textId="77777777" w:rsidR="008E7846" w:rsidRPr="00487162" w:rsidRDefault="008E7846" w:rsidP="00A46BF1">
            <w:pPr>
              <w:spacing w:after="80" w:line="240" w:lineRule="auto"/>
              <w:rPr>
                <w:i/>
              </w:rPr>
            </w:pPr>
            <w:r w:rsidRPr="00487162">
              <w:rPr>
                <w:i/>
              </w:rPr>
              <w:t>Dosage:</w:t>
            </w:r>
          </w:p>
        </w:tc>
        <w:tc>
          <w:tcPr>
            <w:tcW w:w="6307" w:type="dxa"/>
            <w:gridSpan w:val="2"/>
          </w:tcPr>
          <w:p w14:paraId="5B4A9396" w14:textId="77777777" w:rsidR="008E7846" w:rsidRPr="00487162" w:rsidRDefault="00314E61" w:rsidP="00A46BF1">
            <w:pPr>
              <w:spacing w:after="80" w:line="240" w:lineRule="auto"/>
            </w:pPr>
            <w:r>
              <w:t>Abbreviated: For the treatment of Crohn’s disease, the recommended treatment regimen is to initiate Stelara with a single intravenous (IV) tiered dose based on body weight (Table 21 in PI). After the initial IV dose, S</w:t>
            </w:r>
            <w:r w:rsidR="00323909">
              <w:t>telara</w:t>
            </w:r>
            <w:r>
              <w:t xml:space="preserve"> should then be administered subcutaneously. The first subcutaneous dose of 90 mg </w:t>
            </w:r>
            <w:r w:rsidR="00CC3432">
              <w:t>Stelara</w:t>
            </w:r>
            <w:r>
              <w:t xml:space="preserve"> should be administered 8 weeks after the initial intravenous dose, then every 8 weeks thereafter. For more details see PI (Attachment 1)</w:t>
            </w:r>
          </w:p>
        </w:tc>
      </w:tr>
      <w:tr w:rsidR="008E7846" w:rsidRPr="00487162" w14:paraId="786D5D4F" w14:textId="77777777" w:rsidTr="00A46BF1">
        <w:trPr>
          <w:gridAfter w:val="1"/>
          <w:wAfter w:w="406" w:type="dxa"/>
          <w:trHeight w:val="20"/>
        </w:trPr>
        <w:tc>
          <w:tcPr>
            <w:tcW w:w="2907" w:type="dxa"/>
          </w:tcPr>
          <w:p w14:paraId="20500879" w14:textId="77777777" w:rsidR="008E7846" w:rsidRPr="00487162" w:rsidRDefault="008E7846" w:rsidP="00A46BF1">
            <w:pPr>
              <w:spacing w:after="80" w:line="240" w:lineRule="auto"/>
              <w:rPr>
                <w:i/>
              </w:rPr>
            </w:pPr>
            <w:r w:rsidRPr="00487162">
              <w:rPr>
                <w:i/>
              </w:rPr>
              <w:t xml:space="preserve">ARTG </w:t>
            </w:r>
            <w:r w:rsidR="001B5C90">
              <w:rPr>
                <w:i/>
              </w:rPr>
              <w:t>n</w:t>
            </w:r>
            <w:r w:rsidRPr="00487162">
              <w:rPr>
                <w:i/>
              </w:rPr>
              <w:t>umber (s)</w:t>
            </w:r>
            <w:r w:rsidR="001B5C90">
              <w:rPr>
                <w:i/>
              </w:rPr>
              <w:t>:</w:t>
            </w:r>
          </w:p>
        </w:tc>
        <w:tc>
          <w:tcPr>
            <w:tcW w:w="6307" w:type="dxa"/>
            <w:gridSpan w:val="2"/>
          </w:tcPr>
          <w:p w14:paraId="3961CFCA" w14:textId="450E7197" w:rsidR="008E7846" w:rsidRPr="00487162" w:rsidRDefault="00B035A5" w:rsidP="00A46BF1">
            <w:pPr>
              <w:spacing w:after="80" w:line="240" w:lineRule="auto"/>
            </w:pPr>
            <w:r w:rsidRPr="00B035A5">
              <w:t xml:space="preserve">282906 </w:t>
            </w:r>
            <w:r>
              <w:t xml:space="preserve">, </w:t>
            </w:r>
            <w:r w:rsidR="00992CFA">
              <w:t>149550, 149549, 165953 and 165954</w:t>
            </w:r>
          </w:p>
        </w:tc>
      </w:tr>
    </w:tbl>
    <w:p w14:paraId="16A1933E" w14:textId="77777777" w:rsidR="008E7846" w:rsidRDefault="008E7846" w:rsidP="008E7846">
      <w:pPr>
        <w:pStyle w:val="Heading3"/>
      </w:pPr>
      <w:bookmarkStart w:id="13" w:name="_Toc247691503"/>
      <w:bookmarkStart w:id="14" w:name="_Toc314842484"/>
      <w:bookmarkStart w:id="15" w:name="_Toc497744803"/>
      <w:r>
        <w:lastRenderedPageBreak/>
        <w:t>Product background</w:t>
      </w:r>
      <w:bookmarkEnd w:id="13"/>
      <w:bookmarkEnd w:id="14"/>
      <w:bookmarkEnd w:id="15"/>
    </w:p>
    <w:p w14:paraId="5CEAA547" w14:textId="77777777" w:rsidR="00815F43" w:rsidRDefault="00992CFA" w:rsidP="00D53DDC">
      <w:r>
        <w:t>T</w:t>
      </w:r>
      <w:r w:rsidR="00940A89" w:rsidRPr="00940A89">
        <w:t xml:space="preserve">his AusPAR describes the application by the sponsor </w:t>
      </w:r>
      <w:r w:rsidR="00C31E93">
        <w:t>Janssen-Cilag</w:t>
      </w:r>
      <w:r w:rsidR="00C31E93" w:rsidRPr="0021498E">
        <w:t xml:space="preserve"> Pty. Ltd</w:t>
      </w:r>
      <w:r w:rsidR="00C31E93">
        <w:t xml:space="preserve"> </w:t>
      </w:r>
      <w:r w:rsidR="00D53DDC">
        <w:t xml:space="preserve">to extend the Indications </w:t>
      </w:r>
      <w:r>
        <w:t xml:space="preserve">for Stelara (ustekinumab) </w:t>
      </w:r>
      <w:r w:rsidR="00D53DDC">
        <w:t>to include Crohn’s Disease and register a new streng</w:t>
      </w:r>
      <w:r>
        <w:t xml:space="preserve">th </w:t>
      </w:r>
      <w:r w:rsidR="00C31E93">
        <w:rPr>
          <w:rFonts w:asciiTheme="minorHAnsi" w:hAnsiTheme="minorHAnsi"/>
        </w:rPr>
        <w:t>(</w:t>
      </w:r>
      <w:r w:rsidR="00C93E28" w:rsidRPr="00EB2A66">
        <w:rPr>
          <w:color w:val="000000"/>
        </w:rPr>
        <w:t>5</w:t>
      </w:r>
      <w:r w:rsidR="00B035A5">
        <w:rPr>
          <w:color w:val="000000"/>
        </w:rPr>
        <w:t xml:space="preserve"> </w:t>
      </w:r>
      <w:r w:rsidR="00C93E28" w:rsidRPr="00EB2A66">
        <w:rPr>
          <w:color w:val="000000"/>
        </w:rPr>
        <w:t>mg/mL</w:t>
      </w:r>
      <w:r w:rsidR="00C31E93">
        <w:rPr>
          <w:rFonts w:asciiTheme="minorHAnsi" w:hAnsiTheme="minorHAnsi"/>
        </w:rPr>
        <w:t>)</w:t>
      </w:r>
      <w:r w:rsidR="00EF0460">
        <w:rPr>
          <w:rFonts w:asciiTheme="minorHAnsi" w:hAnsiTheme="minorHAnsi"/>
        </w:rPr>
        <w:t xml:space="preserve"> </w:t>
      </w:r>
      <w:r>
        <w:t xml:space="preserve">and route of administration </w:t>
      </w:r>
      <w:r w:rsidR="00C31E93">
        <w:t xml:space="preserve">(IV) </w:t>
      </w:r>
      <w:r w:rsidR="00D53DDC">
        <w:t>for:</w:t>
      </w:r>
    </w:p>
    <w:p w14:paraId="71AB7C76" w14:textId="68F55257" w:rsidR="008E7846" w:rsidRDefault="00D53DDC" w:rsidP="00F315D8">
      <w:r>
        <w:t xml:space="preserve">As the </w:t>
      </w:r>
      <w:r w:rsidR="00C31E93">
        <w:t xml:space="preserve">proposed </w:t>
      </w:r>
      <w:r>
        <w:t>treatment regimen requires IV administration during the induction phase, this submission includes data to support the new modified 5 mg/mL formulation with 130 mg ustekinumab in 26 mL (5 mg/mL) in each vial. It is also important to note that of the four SC preparations, only the 45</w:t>
      </w:r>
      <w:r w:rsidR="00C31E93">
        <w:t xml:space="preserve"> </w:t>
      </w:r>
      <w:r>
        <w:t>mg/0.5</w:t>
      </w:r>
      <w:r w:rsidR="00C31E93">
        <w:t xml:space="preserve"> mL</w:t>
      </w:r>
      <w:r>
        <w:t xml:space="preserve"> vial is marketed</w:t>
      </w:r>
      <w:r w:rsidR="00EC5363">
        <w:t xml:space="preserve"> here</w:t>
      </w:r>
      <w:r>
        <w:t>; the 90</w:t>
      </w:r>
      <w:r w:rsidR="00C31E93">
        <w:t xml:space="preserve"> </w:t>
      </w:r>
      <w:r>
        <w:t>mg/1.0</w:t>
      </w:r>
      <w:r w:rsidR="00C31E93">
        <w:t xml:space="preserve"> </w:t>
      </w:r>
      <w:r>
        <w:t>m</w:t>
      </w:r>
      <w:r w:rsidR="00C31E93">
        <w:t>L</w:t>
      </w:r>
      <w:r>
        <w:t xml:space="preserve"> vial, 45</w:t>
      </w:r>
      <w:r w:rsidR="00C31E93">
        <w:t xml:space="preserve"> </w:t>
      </w:r>
      <w:r>
        <w:t>mg/ 0.5m</w:t>
      </w:r>
      <w:r w:rsidR="00C31E93">
        <w:t>L</w:t>
      </w:r>
      <w:r>
        <w:t xml:space="preserve"> pre-filled syringe and 90</w:t>
      </w:r>
      <w:r w:rsidR="00C31E93">
        <w:t xml:space="preserve"> </w:t>
      </w:r>
      <w:r>
        <w:t>mg/ 1</w:t>
      </w:r>
      <w:r w:rsidR="00C31E93">
        <w:t xml:space="preserve"> </w:t>
      </w:r>
      <w:r>
        <w:t>m</w:t>
      </w:r>
      <w:r w:rsidR="00C31E93">
        <w:t>L</w:t>
      </w:r>
      <w:r>
        <w:t xml:space="preserve"> pre-filled syringe are not currently marketed in Australia.</w:t>
      </w:r>
    </w:p>
    <w:p w14:paraId="7A01121E" w14:textId="77777777" w:rsidR="00F315D8" w:rsidRDefault="00CE122F" w:rsidP="00F315D8">
      <w:r>
        <w:t>Ustekinumab</w:t>
      </w:r>
      <w:r w:rsidRPr="006B1E6A">
        <w:t xml:space="preserve"> is a human IgG1kappa monoclonal antibody that specifically binds to the shared p40 protein subunit of the human cytokines interleukin (IL)-12 and IL-23. </w:t>
      </w:r>
      <w:r w:rsidRPr="00FB5D19">
        <w:t>Ustekinumab</w:t>
      </w:r>
      <w:r w:rsidRPr="006B1E6A">
        <w:t xml:space="preserve"> inhibits the bioactivity of human IL-12 and IL-23 by preventing p40 from binding to the IL-12Rbeta1 receptor protein expressed on the surface of immune cells. </w:t>
      </w:r>
      <w:r w:rsidRPr="00FB5D19">
        <w:t>Ustekinumab</w:t>
      </w:r>
      <w:r w:rsidRPr="006B1E6A">
        <w:t xml:space="preserve"> cannot bind to IL-12 or IL-23 that is already bound to IL-12Rbeta1 cell surface receptors.</w:t>
      </w:r>
      <w:r>
        <w:t xml:space="preserve"> </w:t>
      </w:r>
      <w:r w:rsidRPr="00F82E8E">
        <w:t xml:space="preserve">IL-12 and IL-23 are heterodimeric cytokines secreted by activated antigen presenting cells, such as macrophages and dendritic cells. IL-12 stimulates natural killer (NK) cells and drives the differentiation of CD4+ T cells toward the T helper 1 (Th1) phenotype and stimulates interferon gamma (IFNγ) production. IL-23 induces the T helper 17 (Th17) </w:t>
      </w:r>
      <w:proofErr w:type="gramStart"/>
      <w:r w:rsidRPr="00F82E8E">
        <w:t>pathway</w:t>
      </w:r>
      <w:proofErr w:type="gramEnd"/>
      <w:r w:rsidRPr="00F82E8E">
        <w:t xml:space="preserve"> and promotes secretion of </w:t>
      </w:r>
      <w:r w:rsidR="002F16A0" w:rsidRPr="002F16A0">
        <w:t xml:space="preserve">interleukin-17A </w:t>
      </w:r>
      <w:r w:rsidR="002F16A0">
        <w:t>(</w:t>
      </w:r>
      <w:r w:rsidRPr="00F82E8E">
        <w:t>IL-17A</w:t>
      </w:r>
      <w:r w:rsidR="002F16A0">
        <w:t>)</w:t>
      </w:r>
      <w:r w:rsidRPr="00F82E8E">
        <w:t>, IL-21, and IL-22.</w:t>
      </w:r>
      <w:r>
        <w:t xml:space="preserve"> </w:t>
      </w:r>
      <w:r w:rsidRPr="00154540">
        <w:t xml:space="preserve">Collectively, the roles of IL-12 and IL-23 in Th1 and Th17 </w:t>
      </w:r>
      <w:r w:rsidR="00957FBB" w:rsidRPr="00154540">
        <w:t>signa</w:t>
      </w:r>
      <w:r w:rsidR="00957FBB">
        <w:t>l</w:t>
      </w:r>
      <w:r w:rsidR="00957FBB" w:rsidRPr="00154540">
        <w:t>ling</w:t>
      </w:r>
      <w:r w:rsidRPr="00154540">
        <w:t xml:space="preserve"> combined with data from murine models of </w:t>
      </w:r>
      <w:r w:rsidR="00EF0460">
        <w:t>inflammatory bowel disease (</w:t>
      </w:r>
      <w:r w:rsidRPr="00154540">
        <w:t>IBD</w:t>
      </w:r>
      <w:r w:rsidR="00EF0460">
        <w:t>)</w:t>
      </w:r>
      <w:r w:rsidRPr="00154540">
        <w:t>, elevations in IL-12 and IL-23 in human Crohn’s disease and genetic linkage data provide a strong rationale for inhibiting these cytokines in Crohn’s disease.</w:t>
      </w:r>
    </w:p>
    <w:p w14:paraId="60683E68" w14:textId="1620EF41" w:rsidR="00CE122F" w:rsidRDefault="00CE122F" w:rsidP="00CE122F">
      <w:pPr>
        <w:spacing w:before="0" w:after="0" w:line="240" w:lineRule="auto"/>
        <w:rPr>
          <w:rFonts w:asciiTheme="minorHAnsi" w:hAnsiTheme="minorHAnsi"/>
        </w:rPr>
      </w:pPr>
      <w:r w:rsidRPr="005F503B">
        <w:rPr>
          <w:rFonts w:asciiTheme="minorHAnsi" w:hAnsiTheme="minorHAnsi"/>
        </w:rPr>
        <w:t>Crohn’s disease (CD) is a chronic, relapsing, immune-mediated</w:t>
      </w:r>
      <w:r w:rsidR="00EF0460">
        <w:rPr>
          <w:rFonts w:asciiTheme="minorHAnsi" w:hAnsiTheme="minorHAnsi"/>
        </w:rPr>
        <w:t xml:space="preserve"> IBD</w:t>
      </w:r>
      <w:r w:rsidRPr="005F503B">
        <w:rPr>
          <w:rFonts w:asciiTheme="minorHAnsi" w:hAnsiTheme="minorHAnsi"/>
        </w:rPr>
        <w:t xml:space="preserve">. Current </w:t>
      </w:r>
      <w:r>
        <w:rPr>
          <w:rFonts w:asciiTheme="minorHAnsi" w:hAnsiTheme="minorHAnsi"/>
        </w:rPr>
        <w:t xml:space="preserve">available </w:t>
      </w:r>
      <w:r w:rsidRPr="005F503B">
        <w:rPr>
          <w:rFonts w:asciiTheme="minorHAnsi" w:hAnsiTheme="minorHAnsi"/>
        </w:rPr>
        <w:t>therapies include: 5-aminosalicylic acid, immunosuppressive agents such as azathioprine and mercaptopurine, corticosteroids, antibiotics and TNF-α antagonists.</w:t>
      </w:r>
      <w:r w:rsidR="00EF0460">
        <w:rPr>
          <w:rFonts w:asciiTheme="minorHAnsi" w:hAnsiTheme="minorHAnsi"/>
        </w:rPr>
        <w:t xml:space="preserve"> </w:t>
      </w:r>
      <w:r>
        <w:rPr>
          <w:rFonts w:asciiTheme="minorHAnsi" w:hAnsiTheme="minorHAnsi"/>
        </w:rPr>
        <w:t xml:space="preserve">Many patients with moderate to severe Crohn’s disease do not respond adequately to available treatment options. </w:t>
      </w:r>
      <w:r w:rsidRPr="00AB795A">
        <w:rPr>
          <w:rFonts w:asciiTheme="minorHAnsi" w:hAnsiTheme="minorHAnsi"/>
        </w:rPr>
        <w:t xml:space="preserve">Infliximab and adalimumab are TNFα antagonist monoclonal antibody therapies with indications that include Crohn’s disease. </w:t>
      </w:r>
      <w:r w:rsidR="00EF0460">
        <w:rPr>
          <w:rFonts w:asciiTheme="minorHAnsi" w:hAnsiTheme="minorHAnsi"/>
        </w:rPr>
        <w:t>A</w:t>
      </w:r>
      <w:r w:rsidRPr="00DB6921">
        <w:rPr>
          <w:rFonts w:asciiTheme="minorHAnsi" w:hAnsiTheme="minorHAnsi"/>
        </w:rPr>
        <w:t xml:space="preserve"> recent approval of a biological agent to treat Crohn’s disease was vedolizumab (Kynteles/ Entyvio) in June 2014.</w:t>
      </w:r>
      <w:r w:rsidR="00EF0460">
        <w:rPr>
          <w:rFonts w:asciiTheme="minorHAnsi" w:hAnsiTheme="minorHAnsi"/>
        </w:rPr>
        <w:t xml:space="preserve"> </w:t>
      </w:r>
      <w:r w:rsidRPr="00DB6921">
        <w:rPr>
          <w:rFonts w:asciiTheme="minorHAnsi" w:hAnsiTheme="minorHAnsi"/>
        </w:rPr>
        <w:t>Vedolizumab is a humanised monoclonal antibody that binds to the α4β7 integrin expressed on the surface of various leukocytes, including T lymphocytes. Vedolizumab is not marketed.</w:t>
      </w:r>
    </w:p>
    <w:p w14:paraId="1A2F0548" w14:textId="77777777" w:rsidR="0073296F" w:rsidRDefault="00EF0460" w:rsidP="0073296F">
      <w:r>
        <w:t xml:space="preserve">The sponsor has proposed the following dosage regimen for </w:t>
      </w:r>
      <w:r w:rsidR="0073296F">
        <w:t>Crohn’s Disease (CD)</w:t>
      </w:r>
      <w:r>
        <w:t>:</w:t>
      </w:r>
    </w:p>
    <w:p w14:paraId="18EA6B68" w14:textId="77777777" w:rsidR="0073296F" w:rsidRDefault="0073296F" w:rsidP="0073296F">
      <w:r>
        <w:t xml:space="preserve">A single intravenous (IV) tiered dose of </w:t>
      </w:r>
      <w:r w:rsidR="00EF0460" w:rsidRPr="00EF0460">
        <w:t>Stelara</w:t>
      </w:r>
      <w:r w:rsidR="00EF0460">
        <w:t xml:space="preserve"> </w:t>
      </w:r>
      <w:r>
        <w:t xml:space="preserve">based on body weight </w:t>
      </w:r>
      <w:r w:rsidR="00EC5363">
        <w:t xml:space="preserve">(Table 1) </w:t>
      </w:r>
      <w:r>
        <w:t>followed by 90 mg subcutaneous dosing 8 weeks later, then every 8 weeks thereafter. The intravenous dose is diluted to 250 mL and infused over at least one hour.</w:t>
      </w:r>
    </w:p>
    <w:p w14:paraId="74273CDC" w14:textId="77777777" w:rsidR="00EF0460" w:rsidRDefault="00EF0460" w:rsidP="00EF0460">
      <w:pPr>
        <w:pStyle w:val="TableTitle"/>
      </w:pPr>
      <w:r>
        <w:t xml:space="preserve">Table 1: </w:t>
      </w:r>
      <w:r w:rsidR="0073296F">
        <w:t xml:space="preserve">Initial IV dosing of </w:t>
      </w:r>
      <w:r w:rsidRPr="00EF0460">
        <w:t>Stelara</w:t>
      </w:r>
    </w:p>
    <w:tbl>
      <w:tblPr>
        <w:tblStyle w:val="TableTGAblue"/>
        <w:tblW w:w="0" w:type="auto"/>
        <w:tblLook w:val="04A0" w:firstRow="1" w:lastRow="0" w:firstColumn="1" w:lastColumn="0" w:noHBand="0" w:noVBand="1"/>
        <w:tblDescription w:val="Table 1 is a list of the initial IV dosing of Stelara"/>
      </w:tblPr>
      <w:tblGrid>
        <w:gridCol w:w="2906"/>
        <w:gridCol w:w="2907"/>
        <w:gridCol w:w="2907"/>
      </w:tblGrid>
      <w:tr w:rsidR="00EF0460" w14:paraId="1BCC7EF3" w14:textId="77777777" w:rsidTr="00EF0460">
        <w:trPr>
          <w:cnfStyle w:val="100000000000" w:firstRow="1" w:lastRow="0" w:firstColumn="0" w:lastColumn="0" w:oddVBand="0" w:evenVBand="0" w:oddHBand="0" w:evenHBand="0" w:firstRowFirstColumn="0" w:firstRowLastColumn="0" w:lastRowFirstColumn="0" w:lastRowLastColumn="0"/>
        </w:trPr>
        <w:tc>
          <w:tcPr>
            <w:tcW w:w="2906" w:type="dxa"/>
          </w:tcPr>
          <w:p w14:paraId="2056BA16" w14:textId="77777777" w:rsidR="00EF0460" w:rsidRPr="00436AF6" w:rsidRDefault="00EF0460" w:rsidP="00F315D8">
            <w:pPr>
              <w:pStyle w:val="TableTitle"/>
              <w:rPr>
                <w:b/>
              </w:rPr>
            </w:pPr>
            <w:r w:rsidRPr="00436AF6">
              <w:rPr>
                <w:b/>
              </w:rPr>
              <w:t>Body weight of Patient</w:t>
            </w:r>
          </w:p>
        </w:tc>
        <w:tc>
          <w:tcPr>
            <w:tcW w:w="2907" w:type="dxa"/>
          </w:tcPr>
          <w:p w14:paraId="3A2DA2B4" w14:textId="77777777" w:rsidR="00EF0460" w:rsidRPr="00436AF6" w:rsidRDefault="00EF0460" w:rsidP="00F315D8">
            <w:pPr>
              <w:pStyle w:val="TableTitle"/>
              <w:rPr>
                <w:b/>
              </w:rPr>
            </w:pPr>
            <w:r w:rsidRPr="00436AF6">
              <w:rPr>
                <w:b/>
              </w:rPr>
              <w:t>Dose</w:t>
            </w:r>
          </w:p>
        </w:tc>
        <w:tc>
          <w:tcPr>
            <w:tcW w:w="2907" w:type="dxa"/>
          </w:tcPr>
          <w:p w14:paraId="03C79C86" w14:textId="77777777" w:rsidR="00EF0460" w:rsidRPr="00436AF6" w:rsidRDefault="00EF0460" w:rsidP="00F315D8">
            <w:pPr>
              <w:pStyle w:val="TableTitle"/>
              <w:rPr>
                <w:b/>
              </w:rPr>
            </w:pPr>
            <w:r w:rsidRPr="00436AF6">
              <w:rPr>
                <w:b/>
              </w:rPr>
              <w:t>Number of 130 mg Stelara vials at the time of dosing</w:t>
            </w:r>
          </w:p>
        </w:tc>
      </w:tr>
      <w:tr w:rsidR="00EF0460" w14:paraId="2874607E" w14:textId="77777777" w:rsidTr="00EF0460">
        <w:tc>
          <w:tcPr>
            <w:tcW w:w="2906" w:type="dxa"/>
          </w:tcPr>
          <w:p w14:paraId="0F2EE195" w14:textId="77777777" w:rsidR="00EF0460" w:rsidRPr="00EF0460" w:rsidRDefault="00EF0460" w:rsidP="00F315D8">
            <w:pPr>
              <w:pStyle w:val="Tabletext"/>
            </w:pPr>
            <w:r w:rsidRPr="00EF0460">
              <w:t>≤ 55 kg</w:t>
            </w:r>
          </w:p>
        </w:tc>
        <w:tc>
          <w:tcPr>
            <w:tcW w:w="2907" w:type="dxa"/>
          </w:tcPr>
          <w:p w14:paraId="1490D88A" w14:textId="77777777" w:rsidR="00EF0460" w:rsidRPr="00EF0460" w:rsidRDefault="00EF0460" w:rsidP="00F315D8">
            <w:pPr>
              <w:pStyle w:val="Tabletext"/>
            </w:pPr>
            <w:r w:rsidRPr="00EF0460">
              <w:t>260 mg</w:t>
            </w:r>
          </w:p>
        </w:tc>
        <w:tc>
          <w:tcPr>
            <w:tcW w:w="2907" w:type="dxa"/>
          </w:tcPr>
          <w:p w14:paraId="13CFDD95" w14:textId="77777777" w:rsidR="00EF0460" w:rsidRPr="00EF0460" w:rsidRDefault="00EF0460" w:rsidP="00F315D8">
            <w:pPr>
              <w:pStyle w:val="Tabletext"/>
            </w:pPr>
            <w:r w:rsidRPr="00EF0460">
              <w:t>2</w:t>
            </w:r>
          </w:p>
        </w:tc>
      </w:tr>
      <w:tr w:rsidR="00EF0460" w14:paraId="59CAD477" w14:textId="77777777" w:rsidTr="00EF0460">
        <w:tc>
          <w:tcPr>
            <w:tcW w:w="2906" w:type="dxa"/>
          </w:tcPr>
          <w:p w14:paraId="13A68091" w14:textId="77777777" w:rsidR="00EF0460" w:rsidRPr="00EF0460" w:rsidRDefault="00EF0460" w:rsidP="00F315D8">
            <w:pPr>
              <w:pStyle w:val="Tabletext"/>
            </w:pPr>
            <w:r w:rsidRPr="00EF0460">
              <w:t>&gt;55 kg to ≤ 85 kg</w:t>
            </w:r>
          </w:p>
        </w:tc>
        <w:tc>
          <w:tcPr>
            <w:tcW w:w="2907" w:type="dxa"/>
          </w:tcPr>
          <w:p w14:paraId="759EF664" w14:textId="77777777" w:rsidR="00EF0460" w:rsidRPr="00EF0460" w:rsidRDefault="00EF0460" w:rsidP="00F315D8">
            <w:pPr>
              <w:pStyle w:val="Tabletext"/>
            </w:pPr>
            <w:r w:rsidRPr="00EF0460">
              <w:t>390 mg</w:t>
            </w:r>
          </w:p>
        </w:tc>
        <w:tc>
          <w:tcPr>
            <w:tcW w:w="2907" w:type="dxa"/>
          </w:tcPr>
          <w:p w14:paraId="6E5F519D" w14:textId="77777777" w:rsidR="00EF0460" w:rsidRPr="00EF0460" w:rsidRDefault="00EF0460" w:rsidP="00F315D8">
            <w:pPr>
              <w:pStyle w:val="Tabletext"/>
            </w:pPr>
            <w:r w:rsidRPr="00EF0460">
              <w:t>3</w:t>
            </w:r>
          </w:p>
        </w:tc>
      </w:tr>
      <w:tr w:rsidR="00EF0460" w14:paraId="7E51DB52" w14:textId="77777777" w:rsidTr="00EF0460">
        <w:tc>
          <w:tcPr>
            <w:tcW w:w="2906" w:type="dxa"/>
          </w:tcPr>
          <w:p w14:paraId="5545D0BD" w14:textId="77777777" w:rsidR="00EF0460" w:rsidRPr="00EF0460" w:rsidRDefault="00EF0460" w:rsidP="00F315D8">
            <w:pPr>
              <w:pStyle w:val="Tabletext"/>
            </w:pPr>
            <w:r w:rsidRPr="00EF0460">
              <w:t>&gt;85 kg</w:t>
            </w:r>
          </w:p>
        </w:tc>
        <w:tc>
          <w:tcPr>
            <w:tcW w:w="2907" w:type="dxa"/>
          </w:tcPr>
          <w:p w14:paraId="7265D7FF" w14:textId="77777777" w:rsidR="00EF0460" w:rsidRPr="00EF0460" w:rsidRDefault="00EF0460" w:rsidP="00F315D8">
            <w:pPr>
              <w:pStyle w:val="Tabletext"/>
            </w:pPr>
            <w:r w:rsidRPr="00EF0460">
              <w:t>520 mg</w:t>
            </w:r>
          </w:p>
        </w:tc>
        <w:tc>
          <w:tcPr>
            <w:tcW w:w="2907" w:type="dxa"/>
          </w:tcPr>
          <w:p w14:paraId="481C3CB6" w14:textId="77777777" w:rsidR="00EF0460" w:rsidRPr="00EF0460" w:rsidRDefault="00EF0460" w:rsidP="00F315D8">
            <w:pPr>
              <w:pStyle w:val="Tabletext"/>
            </w:pPr>
            <w:r w:rsidRPr="00EF0460">
              <w:t>4</w:t>
            </w:r>
          </w:p>
        </w:tc>
      </w:tr>
    </w:tbl>
    <w:p w14:paraId="2557C463" w14:textId="77777777" w:rsidR="0073296F" w:rsidRDefault="0073296F" w:rsidP="00EF0460">
      <w:pPr>
        <w:pStyle w:val="TableDescription"/>
      </w:pPr>
      <w:r>
        <w:t>* Recommended dose (approximately 6 mg/kg)</w:t>
      </w:r>
    </w:p>
    <w:p w14:paraId="3315DD83" w14:textId="77777777" w:rsidR="0073296F" w:rsidRDefault="0073296F" w:rsidP="0073296F">
      <w:r>
        <w:lastRenderedPageBreak/>
        <w:t xml:space="preserve">For some patients, a single IV dose based on body weight (see above table) followed by 90 mg </w:t>
      </w:r>
      <w:r w:rsidR="00EF0460">
        <w:t>SC</w:t>
      </w:r>
      <w:r>
        <w:t xml:space="preserve"> dosing 8 weeks later, then every 12 weeks thereafter may be acceptable. Patients who inadequately respond to 90 mg </w:t>
      </w:r>
      <w:r w:rsidR="00EF0460">
        <w:t>SC</w:t>
      </w:r>
      <w:r>
        <w:t xml:space="preserve"> dosing every 12 weeks may benefit from an increase in dosing frequency to every 8 weeks.</w:t>
      </w:r>
    </w:p>
    <w:p w14:paraId="68DFB25E" w14:textId="77777777" w:rsidR="008E7846" w:rsidRPr="003F31A2" w:rsidRDefault="00386150" w:rsidP="008E7846">
      <w:pPr>
        <w:pStyle w:val="Heading3"/>
      </w:pPr>
      <w:bookmarkStart w:id="16" w:name="_Toc314842485"/>
      <w:bookmarkStart w:id="17" w:name="_Toc247691504"/>
      <w:bookmarkStart w:id="18" w:name="_Toc497744804"/>
      <w:r>
        <w:t>Regulatory s</w:t>
      </w:r>
      <w:r w:rsidR="008E7846">
        <w:t>tatus</w:t>
      </w:r>
      <w:bookmarkEnd w:id="16"/>
      <w:bookmarkEnd w:id="17"/>
      <w:bookmarkEnd w:id="18"/>
    </w:p>
    <w:p w14:paraId="68CAC0CC" w14:textId="77777777" w:rsidR="00C31E93" w:rsidRDefault="00C31E93" w:rsidP="00C31E93">
      <w:pPr>
        <w:spacing w:before="0" w:after="0" w:line="240" w:lineRule="auto"/>
        <w:rPr>
          <w:rFonts w:asciiTheme="minorHAnsi" w:hAnsiTheme="minorHAnsi"/>
        </w:rPr>
      </w:pPr>
      <w:bookmarkStart w:id="19" w:name="_Toc247691505"/>
      <w:bookmarkStart w:id="20" w:name="_Toc314842486"/>
      <w:r w:rsidRPr="00AB795A">
        <w:rPr>
          <w:rFonts w:asciiTheme="minorHAnsi" w:hAnsiTheme="minorHAnsi"/>
        </w:rPr>
        <w:t xml:space="preserve">Ustekinumab was first approved for registration </w:t>
      </w:r>
      <w:r w:rsidR="00EC5363">
        <w:rPr>
          <w:rFonts w:asciiTheme="minorHAnsi" w:hAnsiTheme="minorHAnsi"/>
        </w:rPr>
        <w:t xml:space="preserve">in Australia </w:t>
      </w:r>
      <w:r w:rsidRPr="00AB795A">
        <w:rPr>
          <w:rFonts w:asciiTheme="minorHAnsi" w:hAnsiTheme="minorHAnsi"/>
        </w:rPr>
        <w:t>for the treatmen</w:t>
      </w:r>
      <w:r>
        <w:rPr>
          <w:rFonts w:asciiTheme="minorHAnsi" w:hAnsiTheme="minorHAnsi"/>
        </w:rPr>
        <w:t>t of plaque psoriasis in 2010</w:t>
      </w:r>
      <w:r w:rsidR="00EC5363">
        <w:rPr>
          <w:rFonts w:asciiTheme="minorHAnsi" w:hAnsiTheme="minorHAnsi"/>
        </w:rPr>
        <w:t>. The Australian Register of Therapeutic Goods (ARTG) start date was 19 August 2010</w:t>
      </w:r>
      <w:r>
        <w:rPr>
          <w:rFonts w:asciiTheme="minorHAnsi" w:hAnsiTheme="minorHAnsi"/>
        </w:rPr>
        <w:t xml:space="preserve">. </w:t>
      </w:r>
      <w:r w:rsidRPr="00AB795A">
        <w:rPr>
          <w:rFonts w:asciiTheme="minorHAnsi" w:hAnsiTheme="minorHAnsi"/>
        </w:rPr>
        <w:t xml:space="preserve">It </w:t>
      </w:r>
      <w:r w:rsidR="00EC5363">
        <w:rPr>
          <w:rFonts w:asciiTheme="minorHAnsi" w:hAnsiTheme="minorHAnsi"/>
        </w:rPr>
        <w:t>has</w:t>
      </w:r>
      <w:r w:rsidRPr="00AB795A">
        <w:rPr>
          <w:rFonts w:asciiTheme="minorHAnsi" w:hAnsiTheme="minorHAnsi"/>
        </w:rPr>
        <w:t xml:space="preserve"> subsequently </w:t>
      </w:r>
      <w:r w:rsidR="00EC5363">
        <w:rPr>
          <w:rFonts w:asciiTheme="minorHAnsi" w:hAnsiTheme="minorHAnsi"/>
        </w:rPr>
        <w:t xml:space="preserve">also been </w:t>
      </w:r>
      <w:r w:rsidRPr="00AB795A">
        <w:rPr>
          <w:rFonts w:asciiTheme="minorHAnsi" w:hAnsiTheme="minorHAnsi"/>
        </w:rPr>
        <w:t>approved for treatment of psoriatic arthritis</w:t>
      </w:r>
      <w:r>
        <w:rPr>
          <w:rFonts w:asciiTheme="minorHAnsi" w:hAnsiTheme="minorHAnsi"/>
        </w:rPr>
        <w:t>.</w:t>
      </w:r>
    </w:p>
    <w:p w14:paraId="45534D97" w14:textId="77777777" w:rsidR="00940A89" w:rsidRDefault="00940A89" w:rsidP="00940A89">
      <w:r w:rsidRPr="00940A89">
        <w:t xml:space="preserve">At the time the TGA considered this application, a similar application had been approved </w:t>
      </w:r>
      <w:r>
        <w:t>in</w:t>
      </w:r>
      <w:r w:rsidR="00C31E93">
        <w:t xml:space="preserve"> the USA, European Union and Canada (see Table </w:t>
      </w:r>
      <w:r w:rsidR="00EF0460">
        <w:t>2</w:t>
      </w:r>
      <w:r w:rsidR="00C31E93">
        <w:t>).</w:t>
      </w:r>
    </w:p>
    <w:p w14:paraId="27D480E2" w14:textId="77777777" w:rsidR="00EF0460" w:rsidRDefault="00EF0460" w:rsidP="00EF0460">
      <w:pPr>
        <w:pStyle w:val="TableTitle"/>
      </w:pPr>
      <w:r>
        <w:t>Table 2: International regulatory status</w:t>
      </w:r>
    </w:p>
    <w:p w14:paraId="1E612E94" w14:textId="77777777" w:rsidR="00AF3C3D" w:rsidRDefault="00AF3C3D" w:rsidP="00940A89">
      <w:r>
        <w:rPr>
          <w:noProof/>
          <w:lang w:eastAsia="en-AU"/>
        </w:rPr>
        <w:drawing>
          <wp:inline distT="0" distB="0" distL="0" distR="0" wp14:anchorId="7420FF1C" wp14:editId="4A59EE21">
            <wp:extent cx="4286250" cy="4965583"/>
            <wp:effectExtent l="19050" t="19050" r="19050" b="26035"/>
            <wp:docPr id="2" name="Picture 2" descr="Table 2 is an illustration of the International regulatory status.  The table contains 4 column headings: 1. Country, 2. Submission date, 3. Date of Approval and 4. Ind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4648" r="7225"/>
                    <a:stretch/>
                  </pic:blipFill>
                  <pic:spPr bwMode="auto">
                    <a:xfrm>
                      <a:off x="0" y="0"/>
                      <a:ext cx="4301656" cy="4983431"/>
                    </a:xfrm>
                    <a:prstGeom prst="rect">
                      <a:avLst/>
                    </a:prstGeom>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1449A64" w14:textId="463BC91C" w:rsidR="008E7846" w:rsidRDefault="00D44286" w:rsidP="00940A89">
      <w:pPr>
        <w:pStyle w:val="Heading3"/>
      </w:pPr>
      <w:bookmarkStart w:id="21" w:name="_Toc497744805"/>
      <w:r>
        <w:t>Product i</w:t>
      </w:r>
      <w:r w:rsidR="008E7846">
        <w:t>nformation</w:t>
      </w:r>
      <w:bookmarkEnd w:id="19"/>
      <w:bookmarkEnd w:id="20"/>
      <w:bookmarkEnd w:id="21"/>
    </w:p>
    <w:p w14:paraId="0FE3B1C4" w14:textId="77777777" w:rsidR="00940A89" w:rsidRDefault="006136D7" w:rsidP="00940A89">
      <w:pPr>
        <w:rPr>
          <w:b/>
          <w:bCs/>
        </w:rPr>
      </w:pPr>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5" w:history="1">
        <w:r w:rsidR="00441C3F" w:rsidRPr="00441C3F">
          <w:rPr>
            <w:rStyle w:val="Hyperlink"/>
          </w:rPr>
          <w:t>https://www.tga.gov.au/product-information-pi</w:t>
        </w:r>
      </w:hyperlink>
      <w:r w:rsidR="00441C3F">
        <w:t>&gt;</w:t>
      </w:r>
      <w:r w:rsidR="00940A89" w:rsidRPr="00940A89">
        <w:t>.</w:t>
      </w:r>
    </w:p>
    <w:p w14:paraId="2D2771F6" w14:textId="7FE566BC" w:rsidR="008E7846" w:rsidRPr="003602A9" w:rsidRDefault="00A46BF1" w:rsidP="008E7846">
      <w:pPr>
        <w:pStyle w:val="Heading2"/>
        <w:ind w:left="-11"/>
      </w:pPr>
      <w:bookmarkStart w:id="24" w:name="_Toc497744806"/>
      <w:r>
        <w:lastRenderedPageBreak/>
        <w:t xml:space="preserve">II. </w:t>
      </w:r>
      <w:r w:rsidR="008E7846">
        <w:t>Quality</w:t>
      </w:r>
      <w:bookmarkEnd w:id="1"/>
      <w:r w:rsidR="008E7846">
        <w:t xml:space="preserve"> findings</w:t>
      </w:r>
      <w:bookmarkEnd w:id="22"/>
      <w:bookmarkEnd w:id="23"/>
      <w:bookmarkEnd w:id="24"/>
    </w:p>
    <w:p w14:paraId="5D4BC853" w14:textId="77777777" w:rsidR="008E7846" w:rsidRDefault="008E7846" w:rsidP="00940A89">
      <w:pPr>
        <w:pStyle w:val="Heading3"/>
      </w:pPr>
      <w:bookmarkStart w:id="25" w:name="_Toc247691507"/>
      <w:bookmarkStart w:id="26" w:name="_Toc314842488"/>
      <w:bookmarkStart w:id="27" w:name="_Toc497744807"/>
      <w:r w:rsidRPr="008751DC">
        <w:t xml:space="preserve">Drug </w:t>
      </w:r>
      <w:r>
        <w:t>s</w:t>
      </w:r>
      <w:r w:rsidRPr="008751DC">
        <w:t>ubstance</w:t>
      </w:r>
      <w:r>
        <w:t xml:space="preserve"> (active ingredient)</w:t>
      </w:r>
      <w:bookmarkEnd w:id="25"/>
      <w:bookmarkEnd w:id="26"/>
      <w:bookmarkEnd w:id="27"/>
    </w:p>
    <w:p w14:paraId="1F120CDD" w14:textId="77777777" w:rsidR="00815F43" w:rsidRDefault="00457743" w:rsidP="00EF0460">
      <w:pPr>
        <w:pStyle w:val="Heading4"/>
      </w:pPr>
      <w:r w:rsidRPr="00DB331C">
        <w:t>Structure</w:t>
      </w:r>
    </w:p>
    <w:p w14:paraId="23D87B7A" w14:textId="69A42747" w:rsidR="00457743" w:rsidRPr="009878DD" w:rsidRDefault="00457743" w:rsidP="00957FBB">
      <w:r w:rsidRPr="009878DD">
        <w:t>Ustekinumab (CNTO 1275) is a fully human IgG</w:t>
      </w:r>
      <w:r w:rsidRPr="009878DD">
        <w:rPr>
          <w:vertAlign w:val="subscript"/>
        </w:rPr>
        <w:t>1</w:t>
      </w:r>
      <w:r w:rsidRPr="009878DD">
        <w:t xml:space="preserve"> antibody. Like all human antibodies, </w:t>
      </w:r>
      <w:r w:rsidR="00EF0460" w:rsidRPr="00EF0460">
        <w:t xml:space="preserve">Ustekinumab </w:t>
      </w:r>
      <w:r w:rsidRPr="009878DD">
        <w:t>5 is heterodimeric with two protein chains (heavy chain and light chain) (</w:t>
      </w:r>
      <w:r w:rsidR="00EF0460">
        <w:t>Figure 1</w:t>
      </w:r>
      <w:r w:rsidRPr="009878DD">
        <w:t xml:space="preserve">). The light chain is a κ type. The heavy and light chains </w:t>
      </w:r>
      <w:r w:rsidR="00EF0460">
        <w:t>are joined by a single disulph</w:t>
      </w:r>
      <w:r w:rsidRPr="009878DD">
        <w:t>ide bond, with two disulphide bonds joining the heavy chains. The folded structure is described by three regions, the Fab (Fragment, antigen binding), the hinge region (the flexible linker between the two main regions) and the Fc (Fragment, crystallisable). Human IgG</w:t>
      </w:r>
      <w:r w:rsidRPr="009878DD">
        <w:rPr>
          <w:vertAlign w:val="subscript"/>
        </w:rPr>
        <w:t>1</w:t>
      </w:r>
      <w:r w:rsidRPr="009878DD">
        <w:t xml:space="preserve"> are usually N-glycosylated on the Fc Region, with the heavy chain having </w:t>
      </w:r>
      <w:r w:rsidR="00957FBB" w:rsidRPr="009878DD">
        <w:t>an</w:t>
      </w:r>
      <w:r w:rsidRPr="009878DD">
        <w:t xml:space="preserve"> N-glycan consensus region.</w:t>
      </w:r>
    </w:p>
    <w:p w14:paraId="4305B3CA" w14:textId="77777777" w:rsidR="00457743" w:rsidRPr="009878DD" w:rsidRDefault="00EF0460" w:rsidP="00957FBB">
      <w:r w:rsidRPr="00EF0460">
        <w:t xml:space="preserve">Ustekinumab </w:t>
      </w:r>
      <w:r w:rsidR="00457743" w:rsidRPr="009878DD">
        <w:t>is only glycosylated on this region, with a single biantennary oligosaccharide found on the heavy chain in the consensus region. Each of these N-glycans (one on each heavy chain) is a core-fucosylated structure containing four N-acteylglucosamine residues and three mannose residues. Heterogeneity is introduced by the presence of zero to two galactose residues and zero to two N-glycolylneuramininc acid residues.</w:t>
      </w:r>
    </w:p>
    <w:p w14:paraId="4CCF1643" w14:textId="77777777" w:rsidR="00457743" w:rsidRPr="0057133E" w:rsidRDefault="00EF0460" w:rsidP="00EF0460">
      <w:pPr>
        <w:pStyle w:val="FigureTitle"/>
      </w:pPr>
      <w:r>
        <w:t xml:space="preserve">Figure 1: Structure of </w:t>
      </w:r>
      <w:r w:rsidRPr="009878DD">
        <w:rPr>
          <w:rFonts w:asciiTheme="minorHAnsi" w:hAnsiTheme="minorHAnsi"/>
        </w:rPr>
        <w:t>Ustekinumab</w:t>
      </w:r>
    </w:p>
    <w:p w14:paraId="3F95E5ED" w14:textId="77777777" w:rsidR="00457743" w:rsidRDefault="00457743" w:rsidP="00EF0460">
      <w:r>
        <w:rPr>
          <w:noProof/>
          <w:lang w:eastAsia="en-AU"/>
        </w:rPr>
        <w:drawing>
          <wp:inline distT="0" distB="0" distL="0" distR="0" wp14:anchorId="45232CED" wp14:editId="59A6BAFA">
            <wp:extent cx="3649344" cy="2271932"/>
            <wp:effectExtent l="0" t="0" r="8890" b="0"/>
            <wp:docPr id="17" name="Picture 17" descr="Figure 1 is an illustration of the structure of Ustekinu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10237" t="1" r="2826" b="26590"/>
                    <a:stretch/>
                  </pic:blipFill>
                  <pic:spPr bwMode="auto">
                    <a:xfrm>
                      <a:off x="0" y="0"/>
                      <a:ext cx="3660691" cy="2278996"/>
                    </a:xfrm>
                    <a:prstGeom prst="rect">
                      <a:avLst/>
                    </a:prstGeom>
                    <a:noFill/>
                    <a:ln>
                      <a:noFill/>
                    </a:ln>
                    <a:extLst>
                      <a:ext uri="{53640926-AAD7-44D8-BBD7-CCE9431645EC}">
                        <a14:shadowObscured xmlns:a14="http://schemas.microsoft.com/office/drawing/2010/main"/>
                      </a:ext>
                    </a:extLst>
                  </pic:spPr>
                </pic:pic>
              </a:graphicData>
            </a:graphic>
          </wp:inline>
        </w:drawing>
      </w:r>
    </w:p>
    <w:p w14:paraId="74A289EA" w14:textId="77777777" w:rsidR="000B3758" w:rsidRDefault="000B3758" w:rsidP="000B3758">
      <w:pPr>
        <w:pStyle w:val="TableDescription"/>
      </w:pPr>
      <w:r>
        <w:t>The heavy (black) and light (gr</w:t>
      </w:r>
      <w:r w:rsidR="00957FBB">
        <w:t>e</w:t>
      </w:r>
      <w:r>
        <w:t xml:space="preserve">y) chains are shown with intra and inter chain disulphides, which form the Fab, hinge and Fc regions. </w:t>
      </w:r>
      <w:proofErr w:type="gramStart"/>
      <w:r>
        <w:t>F(</w:t>
      </w:r>
      <w:proofErr w:type="gramEnd"/>
      <w:r>
        <w:t>ab)’2 is a fragment comprised of two Fab regions. Amino and carboxy terminal residues of each chain and the general location of heavy chain N-glycan sites in the Fc region are noted. Cysteine is the C terminal residue of the light chain.</w:t>
      </w:r>
    </w:p>
    <w:p w14:paraId="1A91C787" w14:textId="77777777" w:rsidR="00457743" w:rsidRPr="00EF04BF" w:rsidRDefault="00457743" w:rsidP="00957FBB">
      <w:r w:rsidRPr="00EF04BF">
        <w:t xml:space="preserve">Information on the ustekinumab drug substance (DS) has not changed from what was approved in the original application for </w:t>
      </w:r>
      <w:r w:rsidR="00EF0460" w:rsidRPr="00EF04BF">
        <w:t xml:space="preserve">Stelara </w:t>
      </w:r>
      <w:r w:rsidRPr="00EF04BF">
        <w:t>ustekinumab</w:t>
      </w:r>
      <w:r>
        <w:t>.</w:t>
      </w:r>
    </w:p>
    <w:p w14:paraId="65A040B6" w14:textId="77777777" w:rsidR="00457743" w:rsidRPr="00E00659" w:rsidRDefault="00457743" w:rsidP="00EF0460">
      <w:pPr>
        <w:pStyle w:val="Heading4"/>
      </w:pPr>
      <w:r w:rsidRPr="00E00659">
        <w:t>Physical and Chemical Properties</w:t>
      </w:r>
    </w:p>
    <w:p w14:paraId="4FDF6893" w14:textId="77777777" w:rsidR="00457743" w:rsidRPr="00A015F6" w:rsidRDefault="00457743" w:rsidP="00957FBB">
      <w:pPr>
        <w:rPr>
          <w:lang w:eastAsia="en-AU"/>
        </w:rPr>
      </w:pPr>
      <w:r w:rsidRPr="00A015F6">
        <w:rPr>
          <w:lang w:eastAsia="en-AU"/>
        </w:rPr>
        <w:t>Ustekinumab consists of two 449 amino acid heavy chains and two 214 amino acid light chains.</w:t>
      </w:r>
      <w:r w:rsidR="00EF0460">
        <w:rPr>
          <w:lang w:eastAsia="en-AU"/>
        </w:rPr>
        <w:t xml:space="preserve"> </w:t>
      </w:r>
      <w:r w:rsidRPr="00A015F6">
        <w:rPr>
          <w:lang w:eastAsia="en-AU"/>
        </w:rPr>
        <w:t>The expected molecular mass of the protein ranges from 148079-149690 Daltons based on averaged weights for the different glycoforms present.</w:t>
      </w:r>
    </w:p>
    <w:p w14:paraId="48BB9CCE" w14:textId="77777777" w:rsidR="00457743" w:rsidRPr="00A015F6" w:rsidRDefault="00457743" w:rsidP="00957FBB">
      <w:pPr>
        <w:rPr>
          <w:lang w:eastAsia="en-AU"/>
        </w:rPr>
      </w:pPr>
      <w:r w:rsidRPr="00A015F6">
        <w:rPr>
          <w:lang w:eastAsia="en-AU"/>
        </w:rPr>
        <w:t>Characterisation of N and C-terminal sequences showed typical post-translational modification of the heavy chain C-terminal with clipping of the heavy chain terminal lysine residues.</w:t>
      </w:r>
    </w:p>
    <w:p w14:paraId="607B56A9" w14:textId="77777777" w:rsidR="00457743" w:rsidRPr="00A015F6" w:rsidRDefault="00457743" w:rsidP="00957FBB">
      <w:pPr>
        <w:rPr>
          <w:snapToGrid w:val="0"/>
        </w:rPr>
      </w:pPr>
      <w:r w:rsidRPr="00A015F6">
        <w:rPr>
          <w:snapToGrid w:val="0"/>
        </w:rPr>
        <w:lastRenderedPageBreak/>
        <w:t>Ustekinumab is glycosylated at Asn299, with a single biantennary oligosaccharide found on the heavy chain in the consensus region. Each of these N-glycans (one on each heavy chain) is a core-fucosylated structure containing four N-acteylglucosamine residues and three mannose residues. Heterogeneity is introduced by the presence of zero to two galactose residues and zero to two N-glycolylneuramininc acid (Neu5Gc) residues. Neu5Gc is the main sialic acid associated with Ustekinumab.</w:t>
      </w:r>
    </w:p>
    <w:p w14:paraId="5E6714CE" w14:textId="77777777" w:rsidR="00815F43" w:rsidRDefault="00EF0460" w:rsidP="00957FBB">
      <w:pPr>
        <w:rPr>
          <w:snapToGrid w:val="0"/>
        </w:rPr>
      </w:pPr>
      <w:r>
        <w:rPr>
          <w:snapToGrid w:val="0"/>
        </w:rPr>
        <w:t>16 disulph</w:t>
      </w:r>
      <w:r w:rsidR="00457743" w:rsidRPr="00A015F6">
        <w:rPr>
          <w:snapToGrid w:val="0"/>
        </w:rPr>
        <w:t>ide bonds are expected in IgG</w:t>
      </w:r>
      <w:r w:rsidR="00457743" w:rsidRPr="00A015F6">
        <w:rPr>
          <w:snapToGrid w:val="0"/>
          <w:vertAlign w:val="subscript"/>
        </w:rPr>
        <w:t xml:space="preserve">1 </w:t>
      </w:r>
      <w:r w:rsidR="00457743" w:rsidRPr="00A015F6">
        <w:rPr>
          <w:snapToGrid w:val="0"/>
        </w:rPr>
        <w:t xml:space="preserve">and all of these were able to be accounted for in Ustekinumab. </w:t>
      </w:r>
      <w:r>
        <w:rPr>
          <w:snapToGrid w:val="0"/>
        </w:rPr>
        <w:t>Five</w:t>
      </w:r>
      <w:r w:rsidR="00457743" w:rsidRPr="00A015F6">
        <w:rPr>
          <w:snapToGrid w:val="0"/>
        </w:rPr>
        <w:t xml:space="preserve"> of these </w:t>
      </w:r>
      <w:r w:rsidR="00957FBB" w:rsidRPr="00A015F6">
        <w:rPr>
          <w:snapToGrid w:val="0"/>
        </w:rPr>
        <w:t>cysteine</w:t>
      </w:r>
      <w:r w:rsidR="00457743" w:rsidRPr="00A015F6">
        <w:rPr>
          <w:snapToGrid w:val="0"/>
        </w:rPr>
        <w:t xml:space="preserve"> residues are found in the light chain and the remaining 11 are located on the heavy chain.</w:t>
      </w:r>
    </w:p>
    <w:p w14:paraId="20ADF827" w14:textId="5983BB70" w:rsidR="00457743" w:rsidRPr="00A015F6" w:rsidRDefault="00457743" w:rsidP="00957FBB">
      <w:pPr>
        <w:rPr>
          <w:lang w:eastAsia="en-AU"/>
        </w:rPr>
      </w:pPr>
      <w:r w:rsidRPr="00A015F6">
        <w:rPr>
          <w:lang w:eastAsia="en-AU"/>
        </w:rPr>
        <w:t>Potential process</w:t>
      </w:r>
      <w:r w:rsidR="00EF0460">
        <w:rPr>
          <w:lang w:eastAsia="en-AU"/>
        </w:rPr>
        <w:t xml:space="preserve"> </w:t>
      </w:r>
      <w:r w:rsidRPr="00A015F6">
        <w:rPr>
          <w:lang w:eastAsia="en-AU"/>
        </w:rPr>
        <w:t xml:space="preserve">related impurities that may be introduced from the manufacturing process were divided into three categories, Cell-based Impurities, Media Components and Other Impurities. All of these classes of impurities were shown to be cleared below the </w:t>
      </w:r>
      <w:r w:rsidR="00EF0460">
        <w:rPr>
          <w:lang w:eastAsia="en-AU"/>
        </w:rPr>
        <w:t>limit of quantification (</w:t>
      </w:r>
      <w:r w:rsidRPr="00A015F6">
        <w:rPr>
          <w:lang w:eastAsia="en-AU"/>
        </w:rPr>
        <w:t>LOQ</w:t>
      </w:r>
      <w:r w:rsidR="00EF0460">
        <w:rPr>
          <w:lang w:eastAsia="en-AU"/>
        </w:rPr>
        <w:t>)</w:t>
      </w:r>
      <w:r w:rsidRPr="00A015F6">
        <w:rPr>
          <w:lang w:eastAsia="en-AU"/>
        </w:rPr>
        <w:t xml:space="preserve"> through the manufacturing process.</w:t>
      </w:r>
    </w:p>
    <w:p w14:paraId="4D15C536" w14:textId="77777777" w:rsidR="00457743" w:rsidRPr="00A015F6" w:rsidRDefault="00457743" w:rsidP="00957FBB">
      <w:pPr>
        <w:rPr>
          <w:lang w:eastAsia="en-AU"/>
        </w:rPr>
      </w:pPr>
      <w:r w:rsidRPr="00A015F6">
        <w:rPr>
          <w:lang w:eastAsia="en-AU"/>
        </w:rPr>
        <w:t>Potential product</w:t>
      </w:r>
      <w:r w:rsidR="00EF0460">
        <w:rPr>
          <w:lang w:eastAsia="en-AU"/>
        </w:rPr>
        <w:t xml:space="preserve"> </w:t>
      </w:r>
      <w:r w:rsidRPr="00A015F6">
        <w:rPr>
          <w:lang w:eastAsia="en-AU"/>
        </w:rPr>
        <w:t xml:space="preserve">related impurities, such as high or low molecular weight fragments and aggregates may be produced during the manufacture or storage of the drug substance. These are monitored by </w:t>
      </w:r>
      <w:r w:rsidRPr="00A015F6">
        <w:rPr>
          <w:snapToGrid w:val="0"/>
        </w:rPr>
        <w:t>Dual Wavelength – Size Exclusion – HPLC.</w:t>
      </w:r>
    </w:p>
    <w:p w14:paraId="573B88AD" w14:textId="77777777" w:rsidR="008E7846" w:rsidRDefault="00457743" w:rsidP="00957FBB">
      <w:r w:rsidRPr="00A015F6">
        <w:rPr>
          <w:lang w:eastAsia="en-AU"/>
        </w:rPr>
        <w:t>The most common degradation pathway was found to involve cyclic imide mediated reaction</w:t>
      </w:r>
      <w:r w:rsidR="00EF0460">
        <w:rPr>
          <w:lang w:eastAsia="en-AU"/>
        </w:rPr>
        <w:t>s such as isomerisation, deamidation and cyclis</w:t>
      </w:r>
      <w:r w:rsidRPr="00A015F6">
        <w:rPr>
          <w:lang w:eastAsia="en-AU"/>
        </w:rPr>
        <w:t xml:space="preserve">ation. These can be monitored through peptide mapping and </w:t>
      </w:r>
      <w:r w:rsidR="0002310E" w:rsidRPr="0002310E">
        <w:rPr>
          <w:lang w:eastAsia="en-AU"/>
        </w:rPr>
        <w:t>capillary isoelectric focusing (cIEF)</w:t>
      </w:r>
      <w:r w:rsidRPr="00A015F6">
        <w:rPr>
          <w:lang w:eastAsia="en-AU"/>
        </w:rPr>
        <w:t xml:space="preserve"> analysis.</w:t>
      </w:r>
    </w:p>
    <w:p w14:paraId="21F72972" w14:textId="77777777" w:rsidR="008E7846" w:rsidRDefault="008E7846" w:rsidP="008E7846">
      <w:pPr>
        <w:pStyle w:val="Heading3"/>
      </w:pPr>
      <w:bookmarkStart w:id="28" w:name="_Toc247691508"/>
      <w:bookmarkStart w:id="29" w:name="_Toc314842490"/>
      <w:bookmarkStart w:id="30" w:name="_Toc497744808"/>
      <w:r w:rsidRPr="008751DC">
        <w:t xml:space="preserve">Drug </w:t>
      </w:r>
      <w:r>
        <w:t>p</w:t>
      </w:r>
      <w:r w:rsidRPr="008751DC">
        <w:t>roduct</w:t>
      </w:r>
      <w:bookmarkEnd w:id="28"/>
      <w:bookmarkEnd w:id="29"/>
      <w:bookmarkEnd w:id="30"/>
    </w:p>
    <w:p w14:paraId="21FDB0AA" w14:textId="77777777" w:rsidR="00457743" w:rsidRPr="00D443C2" w:rsidRDefault="00457743" w:rsidP="00957FBB">
      <w:r w:rsidRPr="00D443C2">
        <w:t>The proposed new drug product is</w:t>
      </w:r>
      <w:r w:rsidR="0002310E">
        <w:t xml:space="preserve"> </w:t>
      </w:r>
      <w:r w:rsidRPr="00D443C2">
        <w:t>ustekinumab 5.0</w:t>
      </w:r>
      <w:r w:rsidR="0002310E">
        <w:t xml:space="preserve"> </w:t>
      </w:r>
      <w:r w:rsidRPr="00D443C2">
        <w:t xml:space="preserve">mg/1mL solution for </w:t>
      </w:r>
      <w:r w:rsidR="0002310E">
        <w:t>IV</w:t>
      </w:r>
      <w:r w:rsidRPr="00D443C2">
        <w:t xml:space="preserve"> infusion injection vial</w:t>
      </w:r>
      <w:r w:rsidR="0002310E">
        <w:t>.</w:t>
      </w:r>
    </w:p>
    <w:p w14:paraId="46F6CC9D" w14:textId="77777777" w:rsidR="00815F43" w:rsidRDefault="00457743" w:rsidP="00957FBB">
      <w:r w:rsidRPr="00D443C2">
        <w:t>Ustekinumab (</w:t>
      </w:r>
      <w:r w:rsidR="0002310E" w:rsidRPr="00D443C2">
        <w:t>Stelara</w:t>
      </w:r>
      <w:r w:rsidRPr="00D443C2">
        <w:t>) is classified as an interleukin inhibitor (ATC code: L04AC05).</w:t>
      </w:r>
      <w:r w:rsidR="00EF0460">
        <w:t xml:space="preserve"> </w:t>
      </w:r>
      <w:r w:rsidRPr="00D443C2">
        <w:t xml:space="preserve">Ustekinumab is a fully </w:t>
      </w:r>
      <w:r w:rsidR="0002310E">
        <w:t>human IgG1Ƙ monoclonal antibody.</w:t>
      </w:r>
    </w:p>
    <w:p w14:paraId="70ACB6D7" w14:textId="6C5FE6B4" w:rsidR="00457743" w:rsidRDefault="0002310E" w:rsidP="00957FBB">
      <w:r w:rsidRPr="00D443C2">
        <w:t xml:space="preserve">Stelara </w:t>
      </w:r>
      <w:r w:rsidR="00457743" w:rsidRPr="00D443C2">
        <w:t>has an approximate molecular weight of 148.6 k</w:t>
      </w:r>
      <w:r w:rsidR="00792182">
        <w:t>ilo Dalton</w:t>
      </w:r>
      <w:r w:rsidR="00457743" w:rsidRPr="00D443C2">
        <w:t xml:space="preserve"> and is produced by a mouse </w:t>
      </w:r>
      <w:r w:rsidR="00457743" w:rsidRPr="0002310E">
        <w:t>recombinant</w:t>
      </w:r>
      <w:r w:rsidR="00457743" w:rsidRPr="00D443C2">
        <w:t xml:space="preserve"> cell line cultured by continuous perfusion.</w:t>
      </w:r>
    </w:p>
    <w:p w14:paraId="2CEF588F" w14:textId="77777777" w:rsidR="00457743" w:rsidRDefault="00457743" w:rsidP="00957FBB">
      <w:r w:rsidRPr="00D443C2">
        <w:t xml:space="preserve">The ustekinumab final vialed drug product for </w:t>
      </w:r>
      <w:r w:rsidR="0002310E">
        <w:t>IV</w:t>
      </w:r>
      <w:r w:rsidRPr="00D443C2">
        <w:t xml:space="preserve"> administration [FVP (IV) DP] is supplied as a single-use, sterile solution designed to deliver 130 mg of ustekinumab in a 30</w:t>
      </w:r>
      <w:r w:rsidR="00792182">
        <w:t xml:space="preserve"> </w:t>
      </w:r>
      <w:r w:rsidRPr="00D443C2">
        <w:t>m</w:t>
      </w:r>
      <w:r w:rsidR="00792182">
        <w:t>L</w:t>
      </w:r>
      <w:r w:rsidRPr="00D443C2">
        <w:t>, Type-1 glass vial. The vials are stoppered with 20-mm Flurotec® coated Daikyo D77</w:t>
      </w:r>
      <w:r w:rsidR="0002310E">
        <w:t xml:space="preserve">7-1 stoppers and sealed with 20 </w:t>
      </w:r>
      <w:r w:rsidRPr="00D443C2">
        <w:t>mm aluminium flip-off seals.</w:t>
      </w:r>
    </w:p>
    <w:p w14:paraId="75252290" w14:textId="77777777" w:rsidR="00457743" w:rsidRPr="00347D01" w:rsidRDefault="00457743" w:rsidP="00957FBB">
      <w:pPr>
        <w:rPr>
          <w:rFonts w:asciiTheme="minorHAnsi" w:hAnsiTheme="minorHAnsi"/>
          <w:lang w:eastAsia="en-AU"/>
        </w:rPr>
      </w:pPr>
      <w:r w:rsidRPr="00347D01">
        <w:rPr>
          <w:rFonts w:asciiTheme="minorHAnsi" w:hAnsiTheme="minorHAnsi"/>
          <w:lang w:eastAsia="en-AU"/>
        </w:rPr>
        <w:t>The target composition of ustekinumab is, with nominal excipient concentrations of L-histidine, sucrose, polysorbate 80, methionine</w:t>
      </w:r>
      <w:r w:rsidR="0002310E">
        <w:rPr>
          <w:rFonts w:asciiTheme="minorHAnsi" w:hAnsiTheme="minorHAnsi"/>
          <w:lang w:eastAsia="en-AU"/>
        </w:rPr>
        <w:t xml:space="preserve"> </w:t>
      </w:r>
      <w:r w:rsidRPr="00347D01">
        <w:rPr>
          <w:rFonts w:asciiTheme="minorHAnsi" w:hAnsiTheme="minorHAnsi"/>
          <w:lang w:eastAsia="en-AU"/>
        </w:rPr>
        <w:t>and EDTA disodium salt dihydrate at pH 6.0. The vials are filled at a target volume</w:t>
      </w:r>
      <w:r w:rsidR="0002310E">
        <w:rPr>
          <w:rFonts w:asciiTheme="minorHAnsi" w:hAnsiTheme="minorHAnsi"/>
          <w:lang w:eastAsia="en-AU"/>
        </w:rPr>
        <w:t xml:space="preserve"> </w:t>
      </w:r>
      <w:r w:rsidRPr="00347D01">
        <w:rPr>
          <w:rFonts w:asciiTheme="minorHAnsi" w:hAnsiTheme="minorHAnsi"/>
          <w:lang w:eastAsia="en-AU"/>
        </w:rPr>
        <w:t>of 27.0 mL per vial to deliver no less than 26.0 mL, the nominal deliverable volume, for a 130 mg dose.</w:t>
      </w:r>
    </w:p>
    <w:p w14:paraId="435A8A3B" w14:textId="77777777" w:rsidR="00815F43" w:rsidRDefault="00457743" w:rsidP="00957FBB">
      <w:pPr>
        <w:rPr>
          <w:rFonts w:asciiTheme="minorHAnsi" w:hAnsiTheme="minorHAnsi"/>
        </w:rPr>
      </w:pPr>
      <w:r w:rsidRPr="00652A77">
        <w:rPr>
          <w:rFonts w:asciiTheme="minorHAnsi" w:hAnsiTheme="minorHAnsi"/>
        </w:rPr>
        <w:t xml:space="preserve">Relevant </w:t>
      </w:r>
      <w:r w:rsidR="0002310E">
        <w:rPr>
          <w:rFonts w:asciiTheme="minorHAnsi" w:hAnsiTheme="minorHAnsi"/>
        </w:rPr>
        <w:t>EU</w:t>
      </w:r>
      <w:r w:rsidRPr="00652A77">
        <w:rPr>
          <w:rFonts w:asciiTheme="minorHAnsi" w:hAnsiTheme="minorHAnsi"/>
        </w:rPr>
        <w:t xml:space="preserve"> and </w:t>
      </w:r>
      <w:r w:rsidR="00792182">
        <w:rPr>
          <w:rFonts w:asciiTheme="minorHAnsi" w:hAnsiTheme="minorHAnsi"/>
        </w:rPr>
        <w:t>t</w:t>
      </w:r>
      <w:r w:rsidR="0002310E" w:rsidRPr="0002310E">
        <w:rPr>
          <w:rFonts w:asciiTheme="minorHAnsi" w:hAnsiTheme="minorHAnsi"/>
        </w:rPr>
        <w:t>he International Conference on Harmonisation of Technical Requirements for Registration of Pharmaceuticals for Human Use (ICH)</w:t>
      </w:r>
      <w:r w:rsidRPr="00652A77">
        <w:rPr>
          <w:rFonts w:asciiTheme="minorHAnsi" w:hAnsiTheme="minorHAnsi"/>
        </w:rPr>
        <w:t xml:space="preserve"> guidelines adopted in Australia regarding quality, biological medicines and stability have also been used in the evaluation of this submission.</w:t>
      </w:r>
    </w:p>
    <w:p w14:paraId="5A9C731E" w14:textId="36227815" w:rsidR="00940A89" w:rsidRDefault="00457743" w:rsidP="00957FBB">
      <w:r w:rsidRPr="00457743">
        <w:t>D</w:t>
      </w:r>
      <w:r w:rsidR="0002310E">
        <w:t>rug substance</w:t>
      </w:r>
      <w:r w:rsidRPr="00457743">
        <w:t xml:space="preserve"> specifications are unchang</w:t>
      </w:r>
      <w:r w:rsidR="0002310E">
        <w:t>ed from approved p</w:t>
      </w:r>
      <w:r w:rsidRPr="00457743">
        <w:t>roduc</w:t>
      </w:r>
      <w:r>
        <w:t>t</w:t>
      </w:r>
      <w:r w:rsidR="0002310E">
        <w:t>.</w:t>
      </w:r>
    </w:p>
    <w:p w14:paraId="3EF91B78" w14:textId="77777777" w:rsidR="00457743" w:rsidRPr="00F315D8" w:rsidRDefault="00457743" w:rsidP="00F315D8">
      <w:pPr>
        <w:pStyle w:val="Heading4"/>
        <w:rPr>
          <w:i/>
        </w:rPr>
      </w:pPr>
      <w:r w:rsidRPr="00F315D8">
        <w:rPr>
          <w:i/>
        </w:rPr>
        <w:t>Stability</w:t>
      </w:r>
    </w:p>
    <w:p w14:paraId="759F8EB3" w14:textId="77777777" w:rsidR="00457743" w:rsidRPr="00CE0210" w:rsidRDefault="00457743" w:rsidP="00957FBB">
      <w:r w:rsidRPr="00CE0210">
        <w:t xml:space="preserve">The sponsor proposed a shelf life of </w:t>
      </w:r>
      <w:r>
        <w:t>24</w:t>
      </w:r>
      <w:r w:rsidRPr="00CE0210">
        <w:t xml:space="preserve"> months at </w:t>
      </w:r>
      <w:r>
        <w:t>2-8</w:t>
      </w:r>
      <w:r w:rsidRPr="00CE0210">
        <w:t>°C</w:t>
      </w:r>
      <w:r>
        <w:t>, refrigerate only</w:t>
      </w:r>
      <w:r w:rsidR="0002310E">
        <w:t>;</w:t>
      </w:r>
      <w:r>
        <w:t xml:space="preserve"> do not freeze</w:t>
      </w:r>
      <w:r w:rsidRPr="00CE0210">
        <w:t>.</w:t>
      </w:r>
    </w:p>
    <w:p w14:paraId="05326D81" w14:textId="77777777" w:rsidR="00457743" w:rsidRPr="00CE0210" w:rsidRDefault="00457743" w:rsidP="00957FBB">
      <w:r w:rsidRPr="00CE0210">
        <w:t>Stability data have been generated under real time and stressed conditions</w:t>
      </w:r>
      <w:r w:rsidR="00340903" w:rsidRPr="00340903">
        <w:t xml:space="preserve"> </w:t>
      </w:r>
      <w:r w:rsidR="00340903">
        <w:t>and were conducted in accordance with relevant ICH guidelines</w:t>
      </w:r>
      <w:r w:rsidRPr="00CE0210">
        <w:t>.</w:t>
      </w:r>
    </w:p>
    <w:p w14:paraId="7A9FA6BB" w14:textId="77777777" w:rsidR="00457743" w:rsidRDefault="00457743" w:rsidP="00957FBB">
      <w:r w:rsidRPr="00CE0210">
        <w:lastRenderedPageBreak/>
        <w:t xml:space="preserve">Stability data were generated under real time conditions to characterise the stability profile of the substance and to establish a shelf life. The real time data submitted support a shelf life of </w:t>
      </w:r>
      <w:r>
        <w:t>24</w:t>
      </w:r>
      <w:r w:rsidRPr="00CE0210">
        <w:t xml:space="preserve"> months when stored at </w:t>
      </w:r>
      <w:r>
        <w:t>2</w:t>
      </w:r>
      <w:r w:rsidR="00792182">
        <w:t xml:space="preserve"> to </w:t>
      </w:r>
      <w:r>
        <w:t>8</w:t>
      </w:r>
      <w:r w:rsidRPr="00CE0210">
        <w:rPr>
          <w:vertAlign w:val="superscript"/>
        </w:rPr>
        <w:t>o</w:t>
      </w:r>
      <w:r w:rsidRPr="00CE0210">
        <w:t>C.</w:t>
      </w:r>
    </w:p>
    <w:p w14:paraId="59CC4EF7" w14:textId="77777777" w:rsidR="00457743" w:rsidRPr="0097482E" w:rsidRDefault="00457743" w:rsidP="00957FBB">
      <w:r>
        <w:t>The</w:t>
      </w:r>
      <w:r w:rsidRPr="0097482E">
        <w:t xml:space="preserve"> product is </w:t>
      </w:r>
      <w:r>
        <w:t xml:space="preserve">not </w:t>
      </w:r>
      <w:r w:rsidRPr="0097482E">
        <w:t>photostable</w:t>
      </w:r>
      <w:r w:rsidR="0002310E">
        <w:t>. P</w:t>
      </w:r>
      <w:r>
        <w:t>hotostability studies demonstrate that the secondary package proposed for commercial use will provide adequate protection from the effects of light conditions specified in ICH Q1B</w:t>
      </w:r>
      <w:r w:rsidR="00340903">
        <w:rPr>
          <w:rStyle w:val="FootnoteReference"/>
          <w:rFonts w:asciiTheme="minorHAnsi" w:hAnsiTheme="minorHAnsi"/>
        </w:rPr>
        <w:footnoteReference w:id="1"/>
      </w:r>
      <w:r w:rsidRPr="0097482E">
        <w:t>.</w:t>
      </w:r>
    </w:p>
    <w:p w14:paraId="0DFE3D77" w14:textId="77777777" w:rsidR="00457743" w:rsidRPr="0097482E" w:rsidRDefault="00457743" w:rsidP="00957FBB">
      <w:r>
        <w:t>Temperature excursion studies have commenced but have not yet been completed up to the full product expiry period, therefore no temperature excursions are to be approved with this submission.</w:t>
      </w:r>
    </w:p>
    <w:p w14:paraId="6D88A8A3" w14:textId="77777777" w:rsidR="008E7846" w:rsidRDefault="008E7846" w:rsidP="00340903">
      <w:pPr>
        <w:pStyle w:val="Heading3"/>
      </w:pPr>
      <w:bookmarkStart w:id="31" w:name="_Toc314842491"/>
      <w:bookmarkStart w:id="32" w:name="_Toc497744809"/>
      <w:r>
        <w:t>Biopharmaceutics</w:t>
      </w:r>
      <w:bookmarkEnd w:id="31"/>
      <w:bookmarkEnd w:id="32"/>
    </w:p>
    <w:p w14:paraId="2EBA6E13" w14:textId="77777777" w:rsidR="00457743" w:rsidRDefault="00457743" w:rsidP="00957FBB">
      <w:bookmarkStart w:id="33" w:name="_Toc314842492"/>
      <w:r w:rsidRPr="00457743">
        <w:t xml:space="preserve">Biopharmaceutic data are not required for this product according to Section 3 of </w:t>
      </w:r>
      <w:r w:rsidR="00792182" w:rsidRPr="00792182">
        <w:t>Australian Regulatory Guidelines for Prescription Medicines (ARGPM)</w:t>
      </w:r>
      <w:r w:rsidRPr="00457743">
        <w:t xml:space="preserve"> Guidance 15: Pharmaceutic Studies</w:t>
      </w:r>
      <w:r w:rsidR="00957FBB">
        <w:t>.</w:t>
      </w:r>
    </w:p>
    <w:p w14:paraId="411DA84B" w14:textId="77777777" w:rsidR="008E7846" w:rsidRPr="008751DC" w:rsidRDefault="008E7846" w:rsidP="008E7846">
      <w:pPr>
        <w:pStyle w:val="Heading3"/>
      </w:pPr>
      <w:bookmarkStart w:id="34" w:name="_Toc247691509"/>
      <w:bookmarkStart w:id="35" w:name="_Toc314842493"/>
      <w:bookmarkStart w:id="36" w:name="_Toc497744810"/>
      <w:bookmarkEnd w:id="33"/>
      <w:r>
        <w:t>Quality s</w:t>
      </w:r>
      <w:r w:rsidRPr="008751DC">
        <w:t>ummary</w:t>
      </w:r>
      <w:r>
        <w:t xml:space="preserve"> and conclusions</w:t>
      </w:r>
      <w:bookmarkEnd w:id="34"/>
      <w:bookmarkEnd w:id="35"/>
      <w:bookmarkEnd w:id="36"/>
    </w:p>
    <w:p w14:paraId="29CE1379" w14:textId="77777777" w:rsidR="00457743" w:rsidRDefault="00457743" w:rsidP="00457743">
      <w:pPr>
        <w:rPr>
          <w:rFonts w:cs="Arial"/>
        </w:rPr>
      </w:pPr>
      <w:r>
        <w:rPr>
          <w:rFonts w:cs="Arial"/>
        </w:rPr>
        <w:t>There are no outstanding issues.</w:t>
      </w:r>
    </w:p>
    <w:p w14:paraId="61CDD4B5" w14:textId="77777777" w:rsidR="00457743" w:rsidRPr="008751DC" w:rsidRDefault="00457743" w:rsidP="00340903">
      <w:pPr>
        <w:pStyle w:val="Heading4"/>
      </w:pPr>
      <w:r>
        <w:t>Proposed Conditions of Registration</w:t>
      </w:r>
    </w:p>
    <w:p w14:paraId="30661619" w14:textId="77777777" w:rsidR="00457743" w:rsidRDefault="00457743" w:rsidP="00340903">
      <w:pPr>
        <w:pStyle w:val="Heading5"/>
      </w:pPr>
      <w:r>
        <w:t>Compliance with Certified Product Details (CPD)</w:t>
      </w:r>
    </w:p>
    <w:p w14:paraId="576A779A" w14:textId="77777777" w:rsidR="00457743" w:rsidRPr="00A9704C" w:rsidRDefault="00457743" w:rsidP="00457743">
      <w:pPr>
        <w:rPr>
          <w:b/>
        </w:rPr>
      </w:pPr>
      <w:r w:rsidRPr="008A1CCE">
        <w:rPr>
          <w:rFonts w:asciiTheme="minorHAnsi" w:hAnsiTheme="minorHAnsi"/>
        </w:rPr>
        <w:t>The Certified Product Details (CPD), as described in Guidance 7: Certified Product Details of the Australian Regulatory Guidelines for Prescription Medicines (ARGPM) [</w:t>
      </w:r>
      <w:hyperlink r:id="rId17" w:history="1">
        <w:r w:rsidRPr="008A1CCE">
          <w:rPr>
            <w:rStyle w:val="Hyperlink"/>
            <w:rFonts w:asciiTheme="minorHAnsi" w:hAnsiTheme="minorHAnsi"/>
          </w:rPr>
          <w:t>http://www.tga.gov.au/industry/pm-argpm-guidance-7.htm</w:t>
        </w:r>
      </w:hyperlink>
      <w:r w:rsidRPr="008A1CCE">
        <w:rPr>
          <w:rFonts w:asciiTheme="minorHAnsi" w:hAnsiTheme="minorHAnsi"/>
        </w:rPr>
        <w:t>],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2A7B2377" w14:textId="2BC66F8A" w:rsidR="008E7846" w:rsidRDefault="00A46BF1" w:rsidP="008E7846">
      <w:pPr>
        <w:pStyle w:val="Heading2"/>
      </w:pPr>
      <w:bookmarkStart w:id="37" w:name="_Toc196046439"/>
      <w:bookmarkStart w:id="38" w:name="_Toc247691510"/>
      <w:bookmarkStart w:id="39" w:name="_Toc314842494"/>
      <w:bookmarkStart w:id="40" w:name="_Toc497744811"/>
      <w:r>
        <w:t xml:space="preserve">III. </w:t>
      </w:r>
      <w:r w:rsidR="008E7846">
        <w:t>Nonclinical</w:t>
      </w:r>
      <w:bookmarkEnd w:id="37"/>
      <w:r w:rsidR="008E7846">
        <w:t xml:space="preserve"> findings</w:t>
      </w:r>
      <w:bookmarkEnd w:id="38"/>
      <w:bookmarkEnd w:id="39"/>
      <w:bookmarkEnd w:id="40"/>
    </w:p>
    <w:p w14:paraId="510C61DF" w14:textId="77777777" w:rsidR="008E7846" w:rsidRDefault="008E7846" w:rsidP="00940A89">
      <w:pPr>
        <w:pStyle w:val="Heading3"/>
      </w:pPr>
      <w:bookmarkStart w:id="41" w:name="_Toc247691511"/>
      <w:bookmarkStart w:id="42" w:name="_Toc314842495"/>
      <w:bookmarkStart w:id="43" w:name="_Toc497744812"/>
      <w:r>
        <w:t>Introduction</w:t>
      </w:r>
      <w:bookmarkEnd w:id="41"/>
      <w:bookmarkEnd w:id="42"/>
      <w:bookmarkEnd w:id="43"/>
    </w:p>
    <w:p w14:paraId="63139974" w14:textId="77777777" w:rsidR="00340903" w:rsidRDefault="00054E58" w:rsidP="00CC3432">
      <w:r>
        <w:t>The treatment for Crohn’s disease requires an initial IV infusion prior to ongoing SC treatment, using a new modified 5 mg/mL (as 130 mg/26 mL) formulation (solution for IV infusion).</w:t>
      </w:r>
    </w:p>
    <w:p w14:paraId="01F2D122" w14:textId="77777777" w:rsidR="00054E58" w:rsidRPr="00112221" w:rsidRDefault="00054E58" w:rsidP="00CC3432">
      <w:r>
        <w:t>The new IV formulation contains new excipients, L-methionine and EDTA disodium salt dehydrate (</w:t>
      </w:r>
      <w:r w:rsidR="00340903">
        <w:t>Australian Approved Name (</w:t>
      </w:r>
      <w:r>
        <w:t>AAN</w:t>
      </w:r>
      <w:r w:rsidR="00340903">
        <w:t>)</w:t>
      </w:r>
      <w:r>
        <w:t>: disodium edetate), which are not present in the SC formulation.</w:t>
      </w:r>
      <w:r w:rsidRPr="0069171F">
        <w:t xml:space="preserve"> </w:t>
      </w:r>
      <w:r>
        <w:t xml:space="preserve">According to the draft PI, the solution for IV infusion (2, 3 or 4 vials) is intended to be diluted to 250 mL with an IV infusion solution, resulting in respective final </w:t>
      </w:r>
      <w:r w:rsidRPr="00C857E8">
        <w:t>ustekinumab</w:t>
      </w:r>
      <w:r>
        <w:t xml:space="preserve"> concentrations of 1.04, 1.56 or 2.08 mg/mL in the 250 mL infusion solution, which is then administered over at least 1 h.</w:t>
      </w:r>
    </w:p>
    <w:p w14:paraId="5B4DBE98" w14:textId="77777777" w:rsidR="00054E58" w:rsidRDefault="00054E58" w:rsidP="00CC3432">
      <w:r>
        <w:t xml:space="preserve">For the current approved indications of plaque psoriasis and psoriatic arthritis, the recommended dose is 45 mg SC in weeks 0 and 4, then every 12 weeks thereafter (a 90 mg dose may be used in patients &gt; 100 kg). For the newly proposed indication of Crohn’s </w:t>
      </w:r>
      <w:r>
        <w:lastRenderedPageBreak/>
        <w:t xml:space="preserve">disease, the recommended dose is a single IV dose of </w:t>
      </w:r>
      <w:r w:rsidR="00340903">
        <w:t>approximately</w:t>
      </w:r>
      <w:r>
        <w:t xml:space="preserve"> 6 mg/kg, then 90 mg SC every 8 weeks thereafter.</w:t>
      </w:r>
    </w:p>
    <w:p w14:paraId="5095C4BB" w14:textId="77777777" w:rsidR="00054E58" w:rsidRDefault="00054E58" w:rsidP="00CC3432">
      <w:r>
        <w:t xml:space="preserve">No </w:t>
      </w:r>
      <w:r w:rsidR="00340903">
        <w:t>nonclinical</w:t>
      </w:r>
      <w:r>
        <w:t xml:space="preserve"> data were included in this application. However, a published nonclinical study was provided in </w:t>
      </w:r>
      <w:r w:rsidR="00340903">
        <w:t>the clinical dossier</w:t>
      </w:r>
      <w:r>
        <w:t xml:space="preserve"> in support of a mechanism of action statement in the PI </w:t>
      </w:r>
      <w:r w:rsidRPr="000B3758">
        <w:t>document</w:t>
      </w:r>
      <w:bookmarkStart w:id="44" w:name="_Ref490645571"/>
      <w:r w:rsidR="0071231E" w:rsidRPr="000B3758">
        <w:rPr>
          <w:rStyle w:val="FootnoteReference"/>
        </w:rPr>
        <w:footnoteReference w:id="2"/>
      </w:r>
      <w:bookmarkEnd w:id="44"/>
      <w:r w:rsidRPr="000B3758">
        <w:t xml:space="preserve"> In addition</w:t>
      </w:r>
      <w:r>
        <w:t xml:space="preserve">, the sponsor provided a risk assessment in </w:t>
      </w:r>
      <w:r w:rsidR="00340903">
        <w:t>the Quality dossier</w:t>
      </w:r>
      <w:r>
        <w:t xml:space="preserve"> examining the potential toxicity of the excipients disodium edetate and methionine in the new IV formulation.</w:t>
      </w:r>
      <w:r w:rsidR="00EF0460">
        <w:t xml:space="preserve"> </w:t>
      </w:r>
      <w:r>
        <w:t>Further, given the addition of the new IV route of administration for the treatment of Crohn’s disease, the local tolerance profile of ustekinumab required review.</w:t>
      </w:r>
    </w:p>
    <w:p w14:paraId="1CA91FEA" w14:textId="77777777" w:rsidR="00054E58" w:rsidRDefault="00054E58" w:rsidP="00CC3432">
      <w:r w:rsidRPr="00C857E8">
        <w:t xml:space="preserve">Upon </w:t>
      </w:r>
      <w:r w:rsidRPr="0071231E">
        <w:t>review of Ahern et al</w:t>
      </w:r>
      <w:r w:rsidRPr="0071231E">
        <w:rPr>
          <w:i/>
        </w:rPr>
        <w:t xml:space="preserve"> </w:t>
      </w:r>
      <w:r w:rsidRPr="0071231E">
        <w:t>2010</w:t>
      </w:r>
      <w:r w:rsidR="0071231E" w:rsidRPr="0071231E">
        <w:rPr>
          <w:vertAlign w:val="superscript"/>
        </w:rPr>
        <w:fldChar w:fldCharType="begin"/>
      </w:r>
      <w:r w:rsidR="0071231E" w:rsidRPr="0071231E">
        <w:rPr>
          <w:vertAlign w:val="superscript"/>
        </w:rPr>
        <w:instrText xml:space="preserve"> NOTEREF _Ref490645571 \h  \* MERGEFORMAT </w:instrText>
      </w:r>
      <w:r w:rsidR="0071231E" w:rsidRPr="0071231E">
        <w:rPr>
          <w:vertAlign w:val="superscript"/>
        </w:rPr>
      </w:r>
      <w:r w:rsidR="0071231E" w:rsidRPr="0071231E">
        <w:rPr>
          <w:vertAlign w:val="superscript"/>
        </w:rPr>
        <w:fldChar w:fldCharType="separate"/>
      </w:r>
      <w:r w:rsidR="00516729">
        <w:rPr>
          <w:vertAlign w:val="superscript"/>
        </w:rPr>
        <w:t>2</w:t>
      </w:r>
      <w:r w:rsidR="0071231E" w:rsidRPr="0071231E">
        <w:rPr>
          <w:vertAlign w:val="superscript"/>
        </w:rPr>
        <w:fldChar w:fldCharType="end"/>
      </w:r>
      <w:r w:rsidRPr="0071231E">
        <w:t xml:space="preserve">, the proposed revised PI document for </w:t>
      </w:r>
      <w:r w:rsidR="00CC3432" w:rsidRPr="0071231E">
        <w:t>Stelara</w:t>
      </w:r>
      <w:r w:rsidRPr="0071231E">
        <w:t>, the provided risk assessment of disodium edeta</w:t>
      </w:r>
      <w:r w:rsidRPr="00C857E8">
        <w:t xml:space="preserve">te and methionine, and </w:t>
      </w:r>
      <w:r>
        <w:t xml:space="preserve">the </w:t>
      </w:r>
      <w:r w:rsidRPr="00C857E8">
        <w:t>previous TGA nonclin</w:t>
      </w:r>
      <w:r w:rsidR="00CC3432">
        <w:t xml:space="preserve">ical evaluation of ustekinumab, </w:t>
      </w:r>
      <w:r w:rsidRPr="00C857E8">
        <w:t>the following conclusions are provided.</w:t>
      </w:r>
    </w:p>
    <w:p w14:paraId="1F3A0FA7" w14:textId="77777777" w:rsidR="008E7846" w:rsidRDefault="008E7846" w:rsidP="008E7846">
      <w:pPr>
        <w:pStyle w:val="Heading3"/>
      </w:pPr>
      <w:bookmarkStart w:id="45" w:name="_Toc247691512"/>
      <w:bookmarkStart w:id="46" w:name="_Toc314842496"/>
      <w:bookmarkStart w:id="47" w:name="_Toc497744813"/>
      <w:r w:rsidRPr="00020030">
        <w:t>Pharmacology</w:t>
      </w:r>
      <w:bookmarkEnd w:id="45"/>
      <w:bookmarkEnd w:id="46"/>
      <w:bookmarkEnd w:id="47"/>
    </w:p>
    <w:p w14:paraId="117743A0" w14:textId="77777777" w:rsidR="00054E58" w:rsidRDefault="00054E58" w:rsidP="00CC3432">
      <w:pPr>
        <w:pStyle w:val="Heading4"/>
      </w:pPr>
      <w:r w:rsidRPr="00D676EA">
        <w:t>Mechanism of action</w:t>
      </w:r>
    </w:p>
    <w:p w14:paraId="027FB237" w14:textId="77777777" w:rsidR="00815F43" w:rsidRDefault="00054E58" w:rsidP="00CC3432">
      <w:pPr>
        <w:rPr>
          <w:kern w:val="2"/>
        </w:rPr>
      </w:pPr>
      <w:r>
        <w:t>The nonclinical statement regarding the mechanism of action is discussed in the PI section below.</w:t>
      </w:r>
      <w:r w:rsidR="00CC3432">
        <w:t xml:space="preserve"> </w:t>
      </w:r>
      <w:r w:rsidRPr="00D676EA">
        <w:rPr>
          <w:kern w:val="2"/>
        </w:rPr>
        <w:t xml:space="preserve">The following comments refer to the proposed PI document for </w:t>
      </w:r>
      <w:r w:rsidR="00CC3432">
        <w:rPr>
          <w:kern w:val="2"/>
        </w:rPr>
        <w:t>Stelara</w:t>
      </w:r>
      <w:r w:rsidRPr="00D676EA">
        <w:rPr>
          <w:kern w:val="2"/>
        </w:rPr>
        <w:t>.</w:t>
      </w:r>
    </w:p>
    <w:p w14:paraId="2ADA6720" w14:textId="63659EA9" w:rsidR="00054E58" w:rsidRPr="00D676EA" w:rsidRDefault="00054E58" w:rsidP="00CC3432">
      <w:r w:rsidRPr="00D676EA">
        <w:t>The following text is proposed by the sponsor:</w:t>
      </w:r>
    </w:p>
    <w:p w14:paraId="17B30228" w14:textId="77777777" w:rsidR="00054E58" w:rsidRPr="00CC3432" w:rsidRDefault="00054E58" w:rsidP="00CC3432">
      <w:pPr>
        <w:ind w:left="720"/>
        <w:rPr>
          <w:i/>
        </w:rPr>
      </w:pPr>
      <w:r w:rsidRPr="00CC3432">
        <w:rPr>
          <w:i/>
        </w:rPr>
        <w:t>‘In patients with Crohn’s disease, IL-12 and IL-23 are elevated in the intestines and lymph nodes. This is accompanied by increases in serum IFNγ and IL-17A levels, suggesting that IL-12 and IL-23 promote Th1 and Th17 activation in Crohn’s disease. Both IL-12 and IL-23 can also stimulate TNFα production by T cells, resulting in chronic intestinal inflammation and epithelial cell injury. Significant associations have been found between Crohn’s disease and genetic polymorphisms in the IL23R and IL12B genes, suggesting a potential causal role for IL-12/23 signalling in the disease. This is supported by pre-clinical data demonstrating that IL-12/23 signalling is required for intestinal injury in mouse models of inflammatory bowel disease.’</w:t>
      </w:r>
    </w:p>
    <w:p w14:paraId="49666F9A" w14:textId="77777777" w:rsidR="00054E58" w:rsidRPr="00CC3432" w:rsidRDefault="00054E58" w:rsidP="00CC3432">
      <w:r>
        <w:t xml:space="preserve">It is the reference to ‘pre-clinical data’ that prompted nonclinical assessment of the Ahern </w:t>
      </w:r>
      <w:r w:rsidRPr="00CC3432">
        <w:t>et al</w:t>
      </w:r>
      <w:r>
        <w:t xml:space="preserve"> 2010 study </w:t>
      </w:r>
      <w:r w:rsidRPr="00CC3432">
        <w:t>series.</w:t>
      </w:r>
    </w:p>
    <w:p w14:paraId="79D45430" w14:textId="77777777" w:rsidR="00054E58" w:rsidRPr="002A75E8" w:rsidRDefault="00054E58" w:rsidP="00CC3432">
      <w:r w:rsidRPr="00CC3432">
        <w:t>The paper by Ahern et al 2010 presents a series of murine experiments investigating the role of IL-23 and cites other studies examining this mechanism of action as it relates to intestinal inflammatory conditions. The paper does not specifically discuss the role of IL-12 in murine models of inflammatory</w:t>
      </w:r>
      <w:r>
        <w:t xml:space="preserve"> bowel disease; however, there are other published studies/reviews which have addressed this</w:t>
      </w:r>
      <w:r w:rsidRPr="002A75E8">
        <w:t>.</w:t>
      </w:r>
      <w:r w:rsidR="0071231E">
        <w:rPr>
          <w:rStyle w:val="FootnoteReference"/>
        </w:rPr>
        <w:footnoteReference w:id="3"/>
      </w:r>
      <w:r w:rsidRPr="002A75E8">
        <w:t xml:space="preserve"> It is concluded that there are adequate nonclinical data to support the proposed statement and no changes to the proposed PI wording are required with regard to the nonclinical aspects.</w:t>
      </w:r>
    </w:p>
    <w:p w14:paraId="61AEAF32" w14:textId="7551CB88" w:rsidR="009C2C3D" w:rsidRDefault="009C2C3D" w:rsidP="009C2C3D">
      <w:pPr>
        <w:pStyle w:val="Heading3"/>
      </w:pPr>
      <w:bookmarkStart w:id="48" w:name="_Toc497744814"/>
      <w:r>
        <w:lastRenderedPageBreak/>
        <w:t xml:space="preserve">Second </w:t>
      </w:r>
      <w:r w:rsidR="00D44286">
        <w:t>r</w:t>
      </w:r>
      <w:r>
        <w:t xml:space="preserve">ound </w:t>
      </w:r>
      <w:r w:rsidR="00D44286">
        <w:t>e</w:t>
      </w:r>
      <w:r>
        <w:t>valuation</w:t>
      </w:r>
      <w:bookmarkEnd w:id="48"/>
    </w:p>
    <w:p w14:paraId="0583F173" w14:textId="77777777" w:rsidR="00054E58" w:rsidRDefault="00054E58" w:rsidP="009C2C3D">
      <w:r w:rsidRPr="002A75E8">
        <w:t xml:space="preserve">In the </w:t>
      </w:r>
      <w:r w:rsidR="009C2C3D">
        <w:t>sponsor’s response to the first round evaluation,</w:t>
      </w:r>
      <w:r w:rsidRPr="002A75E8">
        <w:t xml:space="preserve"> the sponsor </w:t>
      </w:r>
      <w:r>
        <w:t>did not provide any comment on the nonclinical question requesting any available nonclinical local tolerance inf</w:t>
      </w:r>
      <w:r w:rsidR="009C2C3D">
        <w:t>ormation. In a follow-up email</w:t>
      </w:r>
      <w:r>
        <w:t xml:space="preserve"> the sponsor indicated that no additional nonclinical data are available. Thus, assessment of the local tolerance of the new formulation, diluted in an IV infusion solution and administered by the IV route as proposed in this submission, will need to rely on clinical data.</w:t>
      </w:r>
    </w:p>
    <w:p w14:paraId="31D28BEA" w14:textId="77777777" w:rsidR="00054E58" w:rsidRPr="002A75E8" w:rsidRDefault="00054E58" w:rsidP="009C2C3D">
      <w:r>
        <w:t xml:space="preserve">There are no further nonclinical comments on the PI document at </w:t>
      </w:r>
      <w:r w:rsidR="009C2C3D">
        <w:t>the second round evaluation</w:t>
      </w:r>
      <w:r>
        <w:t>.</w:t>
      </w:r>
    </w:p>
    <w:p w14:paraId="754E6041" w14:textId="77777777" w:rsidR="001B5C90" w:rsidRDefault="008E7846" w:rsidP="001B5C90">
      <w:pPr>
        <w:pStyle w:val="Heading3"/>
      </w:pPr>
      <w:bookmarkStart w:id="49" w:name="_Toc247691514"/>
      <w:bookmarkStart w:id="50" w:name="_Toc314842498"/>
      <w:bookmarkStart w:id="51" w:name="_Toc497744815"/>
      <w:r>
        <w:t>Toxicology</w:t>
      </w:r>
      <w:bookmarkEnd w:id="49"/>
      <w:bookmarkEnd w:id="50"/>
      <w:bookmarkEnd w:id="51"/>
    </w:p>
    <w:p w14:paraId="5ACF8C0E" w14:textId="77777777" w:rsidR="00054E58" w:rsidRPr="00C857E8" w:rsidRDefault="00054E58" w:rsidP="009C2C3D">
      <w:pPr>
        <w:pStyle w:val="Heading4"/>
      </w:pPr>
      <w:r w:rsidRPr="00C857E8">
        <w:t>L</w:t>
      </w:r>
      <w:r>
        <w:t>ocal tolerance</w:t>
      </w:r>
    </w:p>
    <w:p w14:paraId="7A834819" w14:textId="77777777" w:rsidR="00815F43" w:rsidRDefault="00054E58" w:rsidP="009C2C3D">
      <w:r>
        <w:t xml:space="preserve">The present submission proposes a new IV formulation, dosage and route of administration for </w:t>
      </w:r>
      <w:r w:rsidRPr="00C857E8">
        <w:t>ustekinumab</w:t>
      </w:r>
      <w:r>
        <w:t xml:space="preserve">. The diluted IV infusion solution will contain </w:t>
      </w:r>
      <w:r w:rsidRPr="00C857E8">
        <w:t>ustekinumab</w:t>
      </w:r>
      <w:r>
        <w:t xml:space="preserve"> at concentrations of 1.04, 1.56 or 2.08 mg/mL, plus </w:t>
      </w:r>
      <w:r w:rsidRPr="00C449E4">
        <w:t xml:space="preserve">the excipients disodium </w:t>
      </w:r>
      <w:r>
        <w:t>edetate</w:t>
      </w:r>
      <w:r w:rsidRPr="00C449E4">
        <w:t xml:space="preserve"> </w:t>
      </w:r>
      <w:r>
        <w:t xml:space="preserve">(15-25 µg/mL </w:t>
      </w:r>
      <w:r w:rsidR="00CC3432">
        <w:t>Stelara</w:t>
      </w:r>
      <w:r>
        <w:t>, nominally 20 µg/mL)</w:t>
      </w:r>
      <w:r w:rsidRPr="00C449E4">
        <w:t xml:space="preserve"> and L-methionine</w:t>
      </w:r>
      <w:r>
        <w:t xml:space="preserve"> (0.30-0.50 mg/mL </w:t>
      </w:r>
      <w:r w:rsidR="00CC3432">
        <w:t>Stelara</w:t>
      </w:r>
      <w:r>
        <w:t>, nominally 0.40 mg/mL)</w:t>
      </w:r>
      <w:r w:rsidRPr="00C449E4">
        <w:t xml:space="preserve">; </w:t>
      </w:r>
      <w:r>
        <w:t>with the dilution of up to 4 vials in 250 mL IV infusion solution, the final infused concentrations of these excipients would be up to 10.4 µg/mL</w:t>
      </w:r>
      <w:r w:rsidRPr="00C449E4">
        <w:t xml:space="preserve"> </w:t>
      </w:r>
      <w:r>
        <w:t xml:space="preserve">and up to 208 µg/mL, respectively. Nonclinical assessment of </w:t>
      </w:r>
      <w:r w:rsidRPr="00A42989">
        <w:rPr>
          <w:i/>
        </w:rPr>
        <w:t>IV</w:t>
      </w:r>
      <w:r>
        <w:t xml:space="preserve"> </w:t>
      </w:r>
      <w:r w:rsidRPr="00C449E4">
        <w:t xml:space="preserve">local tolerance </w:t>
      </w:r>
      <w:r>
        <w:t>for</w:t>
      </w:r>
      <w:r w:rsidRPr="00C449E4">
        <w:t xml:space="preserve"> a</w:t>
      </w:r>
      <w:r>
        <w:t xml:space="preserve"> solution containing</w:t>
      </w:r>
      <w:r w:rsidRPr="00C449E4">
        <w:t xml:space="preserve"> ustekinumab </w:t>
      </w:r>
      <w:r>
        <w:t xml:space="preserve">(and </w:t>
      </w:r>
      <w:r w:rsidRPr="00C449E4">
        <w:t xml:space="preserve">these </w:t>
      </w:r>
      <w:r>
        <w:t>excipients) at these concentrations</w:t>
      </w:r>
      <w:r w:rsidRPr="00C449E4">
        <w:t xml:space="preserve"> </w:t>
      </w:r>
      <w:r>
        <w:t>(</w:t>
      </w:r>
      <w:r w:rsidR="00A42989">
        <w:t>for example, in vitro</w:t>
      </w:r>
      <w:r>
        <w:t xml:space="preserve"> haemolysis study) </w:t>
      </w:r>
      <w:r w:rsidRPr="00C449E4">
        <w:t xml:space="preserve">has not been </w:t>
      </w:r>
      <w:r>
        <w:t>conducted</w:t>
      </w:r>
      <w:r w:rsidRPr="00C449E4">
        <w:t>.</w:t>
      </w:r>
    </w:p>
    <w:p w14:paraId="271F7AA1" w14:textId="2B643F13" w:rsidR="00054E58" w:rsidRDefault="00054E58" w:rsidP="009C2C3D">
      <w:r>
        <w:t xml:space="preserve">In the nonclinical dossier submitted for the original </w:t>
      </w:r>
      <w:r w:rsidRPr="00C449E4">
        <w:t xml:space="preserve">ustekinumab </w:t>
      </w:r>
      <w:r>
        <w:t>registration application, 3 studies employed IV administration in Cynomolgus monkeys</w:t>
      </w:r>
      <w:r w:rsidR="00EF0460">
        <w:t xml:space="preserve"> </w:t>
      </w:r>
      <w:r>
        <w:t>at weekly d</w:t>
      </w:r>
      <w:r w:rsidR="00A42989">
        <w:t>oses up to 50 mg/kg for 4 weeks</w:t>
      </w:r>
      <w:r>
        <w:t xml:space="preserve">. In these studies, </w:t>
      </w:r>
      <w:r w:rsidRPr="00C449E4">
        <w:t>ustekinumab</w:t>
      </w:r>
      <w:r>
        <w:t xml:space="preserve"> was formulated as a 2 or 10 mg/mL solution in normal saline and infused at </w:t>
      </w:r>
      <w:r w:rsidR="00A42989">
        <w:t>approximately</w:t>
      </w:r>
      <w:r>
        <w:t xml:space="preserve"> 3 mL/min. These IV studies were not focussed on local tolerance assessment, although no untoward local tolerance effects were described in the study reports.</w:t>
      </w:r>
    </w:p>
    <w:p w14:paraId="7DB02C68" w14:textId="77777777" w:rsidR="00054E58" w:rsidRPr="00C857E8" w:rsidRDefault="00054E58" w:rsidP="00A42989">
      <w:r w:rsidRPr="00C857E8">
        <w:t xml:space="preserve">The </w:t>
      </w:r>
      <w:r>
        <w:t xml:space="preserve">nonclinical </w:t>
      </w:r>
      <w:r w:rsidRPr="00C857E8">
        <w:t xml:space="preserve">local tolerance of ustekinumab </w:t>
      </w:r>
      <w:r>
        <w:t xml:space="preserve">administered by the </w:t>
      </w:r>
      <w:r w:rsidRPr="005A4646">
        <w:t>SC</w:t>
      </w:r>
      <w:r>
        <w:t xml:space="preserve"> route </w:t>
      </w:r>
      <w:r w:rsidRPr="00C857E8">
        <w:t xml:space="preserve">was assessed by the TGA </w:t>
      </w:r>
      <w:r>
        <w:t>in the origina</w:t>
      </w:r>
      <w:r w:rsidR="00A42989">
        <w:t>l registration application</w:t>
      </w:r>
      <w:r w:rsidRPr="00C857E8">
        <w:t>. In Study T-2001-003 UHAW-148</w:t>
      </w:r>
      <w:r>
        <w:t xml:space="preserve"> dated 24 January 2002</w:t>
      </w:r>
      <w:r w:rsidRPr="00C857E8">
        <w:t>, Cynomolgus monkeys age</w:t>
      </w:r>
      <w:r>
        <w:t>d</w:t>
      </w:r>
      <w:r w:rsidRPr="00C857E8">
        <w:t xml:space="preserve"> 2 years </w:t>
      </w:r>
      <w:r>
        <w:t>received</w:t>
      </w:r>
      <w:r w:rsidRPr="00C857E8">
        <w:t xml:space="preserve"> ustekinumab 45 mg/kg </w:t>
      </w:r>
      <w:r>
        <w:t>SC</w:t>
      </w:r>
      <w:r w:rsidRPr="00C857E8">
        <w:t xml:space="preserve"> twice weekly for 3 weeks</w:t>
      </w:r>
      <w:r>
        <w:t xml:space="preserve"> (vehicle: 8.5% sucrose, 10 mM sodium phosphate, 0.001% polysorbate 80)</w:t>
      </w:r>
      <w:r w:rsidRPr="00C857E8">
        <w:t>. The following is the summary of the study outcomes</w:t>
      </w:r>
      <w:r>
        <w:t xml:space="preserve">, from the Nonclinical Evaluation Report </w:t>
      </w:r>
      <w:r w:rsidR="00A42989">
        <w:t>of that submission</w:t>
      </w:r>
      <w:r w:rsidRPr="00C857E8">
        <w:t>:</w:t>
      </w:r>
    </w:p>
    <w:p w14:paraId="6AA47B47" w14:textId="77777777" w:rsidR="00054E58" w:rsidRPr="00A42989" w:rsidRDefault="00054E58" w:rsidP="00A42989">
      <w:pPr>
        <w:ind w:left="720"/>
        <w:rPr>
          <w:i/>
        </w:rPr>
      </w:pPr>
      <w:r w:rsidRPr="00A42989">
        <w:rPr>
          <w:i/>
        </w:rPr>
        <w:t xml:space="preserve">There were no deaths. Bruising of the inguinal region and/or arms was commonly observed in all groups. Thinning fur was also noted in CNTO 1275 treated monkeys. Minimal to mild signs of irritation, primarily </w:t>
      </w:r>
      <w:proofErr w:type="gramStart"/>
      <w:r w:rsidRPr="00A42989">
        <w:rPr>
          <w:i/>
        </w:rPr>
        <w:t>oedema,</w:t>
      </w:r>
      <w:proofErr w:type="gramEnd"/>
      <w:r w:rsidRPr="00A42989">
        <w:rPr>
          <w:i/>
        </w:rPr>
        <w:t xml:space="preserve"> was commonly observed at the injection sites in all groups. CNTO 1275 treated monkeys did not exhibit any body weight gain (compared to the other groups which gained about 0.2 kg or around 8%) compared to pre-study values, however mean body weights were similar. Physical examination data and clinical pathology values were difficult to interpret given the low animal numbers, hence wide range of variability and their presentation as individual data only making group differences difficult to discern. Nonetheless, apart from a few individual anomalies, which were not replicated at further time points and/or in the opposing sex, or were observed in all groups, findings were unremarkable. Histopathological examination of the injection site biopsies did not reveal any changes associated with CNTO 1275 or control solution administration. However, minimal chronic subcutaneous inflammation and eosinophil infiltrates were observed in the injection sites of two of the monkeys given IGIV.</w:t>
      </w:r>
    </w:p>
    <w:p w14:paraId="431A4968" w14:textId="77777777" w:rsidR="00054E58" w:rsidRPr="00A42989" w:rsidRDefault="00054E58" w:rsidP="00A42989">
      <w:pPr>
        <w:ind w:left="720"/>
        <w:rPr>
          <w:i/>
        </w:rPr>
      </w:pPr>
      <w:r w:rsidRPr="00A42989">
        <w:rPr>
          <w:i/>
        </w:rPr>
        <w:lastRenderedPageBreak/>
        <w:t xml:space="preserve">In summary, CNTO 1275 was well tolerated in monkeys when administered at 45 mg/kg </w:t>
      </w:r>
      <w:r w:rsidR="00A42989" w:rsidRPr="00A42989">
        <w:rPr>
          <w:i/>
        </w:rPr>
        <w:t>twice weekly SC for 3 weeks.</w:t>
      </w:r>
    </w:p>
    <w:p w14:paraId="627EE2DC" w14:textId="77777777" w:rsidR="00054E58" w:rsidRPr="00C449E4" w:rsidRDefault="00054E58" w:rsidP="00054E58">
      <w:pPr>
        <w:pStyle w:val="Standard"/>
      </w:pPr>
      <w:r w:rsidRPr="00A42989">
        <w:t>In summary, no nonclinical local tolerance studies of the new formulation diluted in an IV infusion solution and administered by the IV route, as proposed in this submission, have been submitted with this application. The local tolerance of the new IV product will therefore require clinical assessment. (It is noted that anaphylaxis or other serious infusion reactions have not been reported in Crohn’s disease induction studies (draft PI: Adverse Effects, Hypersensitivity</w:t>
      </w:r>
      <w:r>
        <w:t xml:space="preserve"> and Infusion Reactions)).</w:t>
      </w:r>
    </w:p>
    <w:p w14:paraId="38D20816" w14:textId="77777777" w:rsidR="00054E58" w:rsidRPr="00A50B72" w:rsidRDefault="00054E58" w:rsidP="00A42989">
      <w:pPr>
        <w:pStyle w:val="Heading4"/>
      </w:pPr>
      <w:r w:rsidRPr="00A50B72">
        <w:t>Excipients</w:t>
      </w:r>
    </w:p>
    <w:p w14:paraId="6C8CF8A0" w14:textId="77777777" w:rsidR="00054E58" w:rsidRDefault="00054E58" w:rsidP="00A42989">
      <w:r>
        <w:t>With regard to the general toxicity of the excipients disodium edetate and methionine administered IV, the sponsor provided a risk assessment (‘</w:t>
      </w:r>
      <w:r w:rsidRPr="002870C1">
        <w:rPr>
          <w:i/>
        </w:rPr>
        <w:t>Risk Assessment of Disodium EDTA and Methionine in CNTO 1275 DLiV for Crohn’s Disease</w:t>
      </w:r>
      <w:r>
        <w:t>’), which included the following key points and conclusions:</w:t>
      </w:r>
    </w:p>
    <w:p w14:paraId="772AFAA6" w14:textId="77777777" w:rsidR="00054E58" w:rsidRPr="00A42989" w:rsidRDefault="00054E58" w:rsidP="00A42989">
      <w:pPr>
        <w:pStyle w:val="ListBullet2"/>
        <w:rPr>
          <w:i/>
        </w:rPr>
      </w:pPr>
      <w:r w:rsidRPr="00A42989">
        <w:rPr>
          <w:b/>
          <w:i/>
        </w:rPr>
        <w:t>EDTA</w:t>
      </w:r>
      <w:r w:rsidRPr="00A42989">
        <w:rPr>
          <w:i/>
        </w:rPr>
        <w:t xml:space="preserve">: A total of 1.04 mg (1 placebo bag) to 4.16 mg (4 placebo bags) of EDTA could potentially be administered to patients receiving Stelara DLiV for Crohn's disease (Table 1). These concentrations are calculated to be at least 143-times lower than the therapeutic EDTA dose of 810 mg given as chelation therapy (corrected for body weight). Additionally, there are a number of products on the market that contain EDTA or disodium EDTA for intravenous injection including those noted in Table 2. None of the products are formulated with calcium disodium EDT A. Notably, two of those products, Arzerra and </w:t>
      </w:r>
      <w:proofErr w:type="gramStart"/>
      <w:r w:rsidRPr="00A42989">
        <w:rPr>
          <w:i/>
        </w:rPr>
        <w:t>Emend,</w:t>
      </w:r>
      <w:proofErr w:type="gramEnd"/>
      <w:r w:rsidRPr="00A42989">
        <w:rPr>
          <w:i/>
        </w:rPr>
        <w:t xml:space="preserve"> contain disodium EDTA at levels up to 18-times higher than proposed for Stelara DLiV.</w:t>
      </w:r>
      <w:r w:rsidR="00EF0460" w:rsidRPr="00A42989">
        <w:rPr>
          <w:i/>
        </w:rPr>
        <w:t xml:space="preserve"> </w:t>
      </w:r>
      <w:r w:rsidRPr="00A42989">
        <w:rPr>
          <w:i/>
        </w:rPr>
        <w:t>Furthermore, when compared to the proposed concentration of EDT A in Stelara DLiV, 0.04 mg/mL, the lowest concentration of EDTA used for chelation therapy, 810 mg exceeds this concentration by at least 195-fold (810 mg/4.16 mg) which is a sufficient margin of safety. Thus, the specification of 0.04 mg/mL for EDTA in CNT01275 is justified and provides a considerable margin of safety.</w:t>
      </w:r>
    </w:p>
    <w:p w14:paraId="46DE9B21" w14:textId="77777777" w:rsidR="00054E58" w:rsidRPr="00A42989" w:rsidRDefault="00054E58" w:rsidP="00A42989">
      <w:pPr>
        <w:pStyle w:val="ListBullet2"/>
        <w:rPr>
          <w:i/>
        </w:rPr>
      </w:pPr>
      <w:r w:rsidRPr="00A42989">
        <w:rPr>
          <w:b/>
          <w:i/>
        </w:rPr>
        <w:t>Methionine</w:t>
      </w:r>
      <w:r w:rsidRPr="00A42989">
        <w:rPr>
          <w:i/>
        </w:rPr>
        <w:t>: Between 13 mg (1 placebo bag) to 52 mg (4 placebo bags) of methionine could potentially be administered to patients receiving Stelara DLiV for Crohn's disease (Table 1). The concentration of methionine in TPN is at least 40-times the level proposed for CNTO 1275 DLiV (corrected for body weight), and at least 20-times the recommended daily allowance for methionine. A 100 mg/kg body weight/day has been shown to be safe in humans, but this dose is about 7-times the daily requirement for sulfur-containing amino acids. If repeated on a daily basis for a week, increased serum homocysteine levels were observed. A daily dose of 250 mg (4 mg/kg/day) is approximately 25% of the daily requirement (16 mg/kg/day) and has been shown to be safe. A dose of 100 mg/kg/day in the methionine loading test does not cause any serious complications. Thus the specification of 0.5 mg/mL methionine in CNTO 1275 is also justified and provides a good margin of safety.</w:t>
      </w:r>
    </w:p>
    <w:p w14:paraId="64F21F52" w14:textId="77777777" w:rsidR="00054E58" w:rsidRPr="00A42989" w:rsidRDefault="00054E58" w:rsidP="00A42989">
      <w:pPr>
        <w:pStyle w:val="ListBullet2"/>
        <w:rPr>
          <w:i/>
        </w:rPr>
      </w:pPr>
      <w:r w:rsidRPr="00A42989">
        <w:rPr>
          <w:b/>
          <w:i/>
        </w:rPr>
        <w:t>Conclusions</w:t>
      </w:r>
      <w:r w:rsidRPr="00A42989">
        <w:rPr>
          <w:i/>
        </w:rPr>
        <w:t>: It is concluded that the risk for toxicity from a CNTO 1275 DLiV formulation for single administration to Crohn’s disease patients at volumes up to 104 mL containing both EDTA (0.04 mg/mL) and methionine (0.5 mg/mL) for the purpose of metal chelation and reduction of reactive oxygen species, respectively, is c</w:t>
      </w:r>
      <w:r w:rsidR="00A42989" w:rsidRPr="00A42989">
        <w:rPr>
          <w:i/>
        </w:rPr>
        <w:t>onsidered to be low to no-risk.</w:t>
      </w:r>
    </w:p>
    <w:p w14:paraId="4F31E62B" w14:textId="77777777" w:rsidR="00815F43" w:rsidRDefault="00054E58" w:rsidP="00A42989">
      <w:r w:rsidRPr="00BD0130">
        <w:t>To support these conclusions of the sp</w:t>
      </w:r>
      <w:r>
        <w:t>onsor’s risk assessment in the A</w:t>
      </w:r>
      <w:r w:rsidRPr="00BD0130">
        <w:t xml:space="preserve">ustralian context, a review of the </w:t>
      </w:r>
      <w:r w:rsidR="001C47F1">
        <w:t>Australian Register of Therapeutic Goods (</w:t>
      </w:r>
      <w:r w:rsidRPr="00BD0130">
        <w:t>ARTG</w:t>
      </w:r>
      <w:r w:rsidR="001C47F1">
        <w:t>)</w:t>
      </w:r>
      <w:r w:rsidRPr="00BD0130">
        <w:t xml:space="preserve"> has identified both methionine and disodium edetate in several registered injectable IV formulations (see </w:t>
      </w:r>
      <w:r>
        <w:t>T</w:t>
      </w:r>
      <w:r w:rsidRPr="00BD0130">
        <w:t xml:space="preserve">able </w:t>
      </w:r>
      <w:r w:rsidR="00A42989">
        <w:t xml:space="preserve">3 </w:t>
      </w:r>
      <w:r w:rsidRPr="00BD0130">
        <w:t>below).</w:t>
      </w:r>
    </w:p>
    <w:p w14:paraId="5666F2C4" w14:textId="2DBAA010" w:rsidR="00054E58" w:rsidRDefault="00054E58" w:rsidP="00A42989">
      <w:r>
        <w:lastRenderedPageBreak/>
        <w:t xml:space="preserve">In context, the release criteria for </w:t>
      </w:r>
      <w:r w:rsidR="00CC3432">
        <w:t>Stelara</w:t>
      </w:r>
      <w:r>
        <w:t xml:space="preserve"> indicate 15-25 µg/mL EDTA and 0.30-0.50 mg/mL methionine. From these upper ranges, and at the maximum single IV dose for Crohn’s disease (4 vials for higher bodyweight, or 4x 130 mg/26 mL vials for 520 mg/104 mL):</w:t>
      </w:r>
    </w:p>
    <w:p w14:paraId="467C2DE8" w14:textId="77777777" w:rsidR="00054E58" w:rsidRDefault="00054E58" w:rsidP="00A42989">
      <w:pPr>
        <w:pStyle w:val="ListBullet"/>
      </w:pPr>
      <w:r>
        <w:t>EDTA: (25 µg/mL</w:t>
      </w:r>
      <w:r>
        <w:rPr>
          <w:rStyle w:val="FootnoteReference"/>
        </w:rPr>
        <w:footnoteReference w:id="4"/>
      </w:r>
      <w:r>
        <w:t>) (104 mL) = 2600 µg or 2.6 mg total</w:t>
      </w:r>
      <w:r>
        <w:rPr>
          <w:rStyle w:val="FootnoteReference"/>
        </w:rPr>
        <w:footnoteReference w:id="5"/>
      </w:r>
    </w:p>
    <w:p w14:paraId="24F9FBEB" w14:textId="77777777" w:rsidR="00054E58" w:rsidRDefault="00054E58" w:rsidP="00A42989">
      <w:pPr>
        <w:pStyle w:val="ListBullet"/>
      </w:pPr>
      <w:r>
        <w:t>Methionine: (0.50 mg/mL</w:t>
      </w:r>
      <w:r>
        <w:rPr>
          <w:rStyle w:val="FootnoteReference"/>
        </w:rPr>
        <w:footnoteReference w:id="6"/>
      </w:r>
      <w:r>
        <w:t>) (104 mL) = 52 mg total</w:t>
      </w:r>
    </w:p>
    <w:p w14:paraId="254229A9" w14:textId="77777777" w:rsidR="001C47F1" w:rsidRDefault="00054E58" w:rsidP="00054E58">
      <w:pPr>
        <w:pStyle w:val="Standard"/>
      </w:pPr>
      <w:r>
        <w:t xml:space="preserve">Table </w:t>
      </w:r>
      <w:r w:rsidR="001C47F1">
        <w:t xml:space="preserve">3 </w:t>
      </w:r>
      <w:r>
        <w:t>below indicates the concentrations of disodium edetate or methionine in selected products approved for IV administration on the ARTG</w:t>
      </w:r>
      <w:r w:rsidR="001C47F1">
        <w:t>.</w:t>
      </w:r>
    </w:p>
    <w:p w14:paraId="7644F037" w14:textId="77777777" w:rsidR="00054E58" w:rsidRDefault="001C47F1" w:rsidP="0071231E">
      <w:pPr>
        <w:pStyle w:val="TableTitle"/>
      </w:pPr>
      <w:r>
        <w:t>Table 3: ARTG approved products containing disodium edetate or methionine</w:t>
      </w:r>
    </w:p>
    <w:tbl>
      <w:tblPr>
        <w:tblStyle w:val="TableTGAblue"/>
        <w:tblW w:w="0" w:type="auto"/>
        <w:tblLook w:val="04A0" w:firstRow="1" w:lastRow="0" w:firstColumn="1" w:lastColumn="0" w:noHBand="0" w:noVBand="1"/>
        <w:tblDescription w:val="Table 3 is a list of the ARTG approved products containing disodium edetate or methionine. This table contains 5 heading columns: 1. Formulation, 2. Amount of disofium edetate or methionine, 3. dosing schedule, 4. total exposure to disodium editate or methionine and 5. comparison to Stelara single IV exposure at MRHD."/>
      </w:tblPr>
      <w:tblGrid>
        <w:gridCol w:w="1825"/>
        <w:gridCol w:w="1802"/>
        <w:gridCol w:w="1583"/>
        <w:gridCol w:w="1727"/>
        <w:gridCol w:w="1783"/>
      </w:tblGrid>
      <w:tr w:rsidR="00054E58" w:rsidRPr="0071231E" w14:paraId="59C1C9FB" w14:textId="77777777" w:rsidTr="00436AF6">
        <w:trPr>
          <w:cnfStyle w:val="100000000000" w:firstRow="1" w:lastRow="0" w:firstColumn="0" w:lastColumn="0" w:oddVBand="0" w:evenVBand="0" w:oddHBand="0" w:evenHBand="0" w:firstRowFirstColumn="0" w:firstRowLastColumn="0" w:lastRowFirstColumn="0" w:lastRowLastColumn="0"/>
        </w:trPr>
        <w:tc>
          <w:tcPr>
            <w:tcW w:w="1790" w:type="dxa"/>
          </w:tcPr>
          <w:p w14:paraId="4DC0542F" w14:textId="77777777" w:rsidR="00054E58" w:rsidRPr="00436AF6" w:rsidRDefault="00054E58" w:rsidP="00F315D8">
            <w:pPr>
              <w:pStyle w:val="TableTitle"/>
              <w:spacing w:before="60" w:after="0" w:line="240" w:lineRule="auto"/>
              <w:rPr>
                <w:b/>
              </w:rPr>
            </w:pPr>
            <w:r w:rsidRPr="00436AF6">
              <w:rPr>
                <w:b/>
              </w:rPr>
              <w:t>Formulation</w:t>
            </w:r>
          </w:p>
        </w:tc>
        <w:tc>
          <w:tcPr>
            <w:tcW w:w="1751" w:type="dxa"/>
          </w:tcPr>
          <w:p w14:paraId="666A5F9F" w14:textId="77777777" w:rsidR="00054E58" w:rsidRPr="00436AF6" w:rsidRDefault="00054E58" w:rsidP="00F315D8">
            <w:pPr>
              <w:pStyle w:val="TableTitle"/>
              <w:spacing w:before="60" w:after="0" w:line="240" w:lineRule="auto"/>
              <w:rPr>
                <w:b/>
              </w:rPr>
            </w:pPr>
            <w:r w:rsidRPr="00436AF6">
              <w:rPr>
                <w:b/>
              </w:rPr>
              <w:t>Amount of disodium edetate or methionine</w:t>
            </w:r>
          </w:p>
        </w:tc>
        <w:tc>
          <w:tcPr>
            <w:tcW w:w="2093" w:type="dxa"/>
          </w:tcPr>
          <w:p w14:paraId="19E33AB8" w14:textId="77777777" w:rsidR="00054E58" w:rsidRPr="00436AF6" w:rsidRDefault="00054E58" w:rsidP="00F315D8">
            <w:pPr>
              <w:pStyle w:val="TableTitle"/>
              <w:spacing w:before="60" w:after="0" w:line="240" w:lineRule="auto"/>
              <w:rPr>
                <w:b/>
              </w:rPr>
            </w:pPr>
            <w:r w:rsidRPr="00436AF6">
              <w:rPr>
                <w:b/>
              </w:rPr>
              <w:t>Dosing schedule</w:t>
            </w:r>
          </w:p>
        </w:tc>
        <w:tc>
          <w:tcPr>
            <w:tcW w:w="1555" w:type="dxa"/>
          </w:tcPr>
          <w:p w14:paraId="3D506429" w14:textId="77777777" w:rsidR="00054E58" w:rsidRPr="00436AF6" w:rsidRDefault="00054E58" w:rsidP="00F315D8">
            <w:pPr>
              <w:pStyle w:val="TableTitle"/>
              <w:spacing w:before="60" w:after="0" w:line="240" w:lineRule="auto"/>
              <w:rPr>
                <w:b/>
              </w:rPr>
            </w:pPr>
            <w:r w:rsidRPr="00436AF6">
              <w:rPr>
                <w:b/>
              </w:rPr>
              <w:t>Total exposure to disodium edetate or methionine</w:t>
            </w:r>
          </w:p>
        </w:tc>
        <w:tc>
          <w:tcPr>
            <w:tcW w:w="1531" w:type="dxa"/>
          </w:tcPr>
          <w:p w14:paraId="501F3F07" w14:textId="77777777" w:rsidR="00054E58" w:rsidRPr="00436AF6" w:rsidRDefault="00054E58" w:rsidP="00F315D8">
            <w:pPr>
              <w:pStyle w:val="TableTitle"/>
              <w:spacing w:before="60" w:after="0" w:line="240" w:lineRule="auto"/>
              <w:rPr>
                <w:b/>
              </w:rPr>
            </w:pPr>
            <w:r w:rsidRPr="00436AF6">
              <w:rPr>
                <w:b/>
              </w:rPr>
              <w:t xml:space="preserve">Comparison to </w:t>
            </w:r>
            <w:r w:rsidR="00CC3432" w:rsidRPr="00436AF6">
              <w:rPr>
                <w:b/>
              </w:rPr>
              <w:t>Stelara</w:t>
            </w:r>
            <w:r w:rsidRPr="00436AF6">
              <w:rPr>
                <w:b/>
              </w:rPr>
              <w:t xml:space="preserve"> single IV exposure at MRHD*</w:t>
            </w:r>
          </w:p>
        </w:tc>
      </w:tr>
      <w:tr w:rsidR="00054E58" w:rsidRPr="0071231E" w14:paraId="49657F67" w14:textId="77777777" w:rsidTr="00436AF6">
        <w:tc>
          <w:tcPr>
            <w:tcW w:w="1790" w:type="dxa"/>
          </w:tcPr>
          <w:p w14:paraId="7A6E853C" w14:textId="77777777" w:rsidR="00054E58" w:rsidRPr="0071231E" w:rsidRDefault="00054E58" w:rsidP="00B53476">
            <w:pPr>
              <w:pStyle w:val="Tabletext"/>
              <w:spacing w:before="60" w:line="240" w:lineRule="auto"/>
            </w:pPr>
            <w:r w:rsidRPr="0071231E">
              <w:t>Disodium Edetate Solution (Biological Therapies) (ARTG 22279)</w:t>
            </w:r>
          </w:p>
        </w:tc>
        <w:tc>
          <w:tcPr>
            <w:tcW w:w="1751" w:type="dxa"/>
          </w:tcPr>
          <w:p w14:paraId="7CFA53F1" w14:textId="77777777" w:rsidR="00054E58" w:rsidRPr="0071231E" w:rsidRDefault="00054E58" w:rsidP="00B53476">
            <w:pPr>
              <w:pStyle w:val="Tabletext"/>
              <w:spacing w:before="60" w:line="240" w:lineRule="auto"/>
            </w:pPr>
            <w:r w:rsidRPr="0071231E">
              <w:t>3 g disodium edetate (in 100 mL vial)</w:t>
            </w:r>
          </w:p>
        </w:tc>
        <w:tc>
          <w:tcPr>
            <w:tcW w:w="2093" w:type="dxa"/>
          </w:tcPr>
          <w:p w14:paraId="2A733C37" w14:textId="77777777" w:rsidR="00054E58" w:rsidRPr="0071231E" w:rsidRDefault="00054E58" w:rsidP="00B53476">
            <w:pPr>
              <w:pStyle w:val="Tabletext"/>
              <w:spacing w:before="60" w:line="240" w:lineRule="auto"/>
            </w:pPr>
            <w:r w:rsidRPr="0071231E">
              <w:rPr>
                <w:i/>
              </w:rPr>
              <w:t>Pb poisoning</w:t>
            </w:r>
            <w:r w:rsidRPr="0071231E">
              <w:t>: initial test dose of 20 mg/kg; then usual dose of 50 mg/kg to a maximum of 3 g in 24 h.</w:t>
            </w:r>
          </w:p>
          <w:p w14:paraId="21D9C09B" w14:textId="77777777" w:rsidR="00054E58" w:rsidRPr="0071231E" w:rsidRDefault="00054E58" w:rsidP="00B53476">
            <w:pPr>
              <w:pStyle w:val="Tabletext"/>
              <w:spacing w:before="60" w:line="240" w:lineRule="auto"/>
            </w:pPr>
            <w:r w:rsidRPr="0071231E">
              <w:rPr>
                <w:i/>
              </w:rPr>
              <w:t>Digitalis arrhythmia</w:t>
            </w:r>
            <w:r w:rsidRPr="0071231E">
              <w:t>: 15 mg/kg/h up to 60 mg/kg/day.</w:t>
            </w:r>
          </w:p>
        </w:tc>
        <w:tc>
          <w:tcPr>
            <w:tcW w:w="1555" w:type="dxa"/>
          </w:tcPr>
          <w:p w14:paraId="39BEBDBF" w14:textId="77777777" w:rsidR="00054E58" w:rsidRPr="0071231E" w:rsidRDefault="00054E58" w:rsidP="00B53476">
            <w:pPr>
              <w:pStyle w:val="Tabletext"/>
              <w:spacing w:before="60" w:line="240" w:lineRule="auto"/>
            </w:pPr>
            <w:r w:rsidRPr="0071231E">
              <w:t>Up to 3 g total</w:t>
            </w:r>
          </w:p>
        </w:tc>
        <w:tc>
          <w:tcPr>
            <w:tcW w:w="1531" w:type="dxa"/>
          </w:tcPr>
          <w:p w14:paraId="65820E25" w14:textId="77777777" w:rsidR="00054E58" w:rsidRPr="0071231E" w:rsidRDefault="00054E58" w:rsidP="00B53476">
            <w:pPr>
              <w:pStyle w:val="Tabletext"/>
              <w:spacing w:before="60" w:line="240" w:lineRule="auto"/>
            </w:pPr>
            <w:r w:rsidRPr="0071231E">
              <w:t>1154 x</w:t>
            </w:r>
          </w:p>
        </w:tc>
      </w:tr>
      <w:tr w:rsidR="00054E58" w:rsidRPr="0071231E" w14:paraId="170A44AA" w14:textId="77777777" w:rsidTr="00436AF6">
        <w:tc>
          <w:tcPr>
            <w:tcW w:w="1790" w:type="dxa"/>
          </w:tcPr>
          <w:p w14:paraId="55D563B7" w14:textId="77777777" w:rsidR="00054E58" w:rsidRPr="0071231E" w:rsidRDefault="00054E58" w:rsidP="00B53476">
            <w:pPr>
              <w:pStyle w:val="Tabletext"/>
              <w:spacing w:before="60" w:line="240" w:lineRule="auto"/>
            </w:pPr>
            <w:r w:rsidRPr="0071231E">
              <w:t>SMOFKabiven infusion (ARTG 173890)</w:t>
            </w:r>
          </w:p>
        </w:tc>
        <w:tc>
          <w:tcPr>
            <w:tcW w:w="1751" w:type="dxa"/>
          </w:tcPr>
          <w:p w14:paraId="765F4063" w14:textId="77777777" w:rsidR="00054E58" w:rsidRPr="0071231E" w:rsidRDefault="004B6C8D" w:rsidP="00B53476">
            <w:pPr>
              <w:pStyle w:val="Tabletext"/>
              <w:spacing w:before="60" w:line="240" w:lineRule="auto"/>
            </w:pPr>
            <w:r>
              <w:t xml:space="preserve">approximately </w:t>
            </w:r>
            <w:r w:rsidR="00054E58" w:rsidRPr="0071231E">
              <w:t xml:space="preserve">2.2 g methionine/L </w:t>
            </w:r>
          </w:p>
        </w:tc>
        <w:tc>
          <w:tcPr>
            <w:tcW w:w="2093" w:type="dxa"/>
          </w:tcPr>
          <w:p w14:paraId="3F361F29" w14:textId="77777777" w:rsidR="00054E58" w:rsidRPr="0071231E" w:rsidRDefault="00054E58" w:rsidP="00B53476">
            <w:pPr>
              <w:pStyle w:val="Tabletext"/>
              <w:spacing w:before="60" w:line="240" w:lineRule="auto"/>
            </w:pPr>
            <w:r w:rsidRPr="0071231E">
              <w:t>MRHD 35 mL/kg/day</w:t>
            </w:r>
          </w:p>
        </w:tc>
        <w:tc>
          <w:tcPr>
            <w:tcW w:w="1555" w:type="dxa"/>
          </w:tcPr>
          <w:p w14:paraId="1A5631DA" w14:textId="77777777" w:rsidR="00054E58" w:rsidRPr="0071231E" w:rsidRDefault="00054E58" w:rsidP="00B53476">
            <w:pPr>
              <w:pStyle w:val="Tabletext"/>
              <w:spacing w:before="60" w:line="240" w:lineRule="auto"/>
            </w:pPr>
            <w:r w:rsidRPr="0071231E">
              <w:t>5.39 g/day (70 kg)</w:t>
            </w:r>
          </w:p>
        </w:tc>
        <w:tc>
          <w:tcPr>
            <w:tcW w:w="1531" w:type="dxa"/>
          </w:tcPr>
          <w:p w14:paraId="77C33662" w14:textId="77777777" w:rsidR="00054E58" w:rsidRPr="0071231E" w:rsidRDefault="00054E58" w:rsidP="00B53476">
            <w:pPr>
              <w:pStyle w:val="Tabletext"/>
              <w:spacing w:before="60" w:line="240" w:lineRule="auto"/>
            </w:pPr>
            <w:r w:rsidRPr="0071231E">
              <w:t>104 x</w:t>
            </w:r>
          </w:p>
        </w:tc>
      </w:tr>
    </w:tbl>
    <w:p w14:paraId="7FF8F95B" w14:textId="77777777" w:rsidR="00054E58" w:rsidRPr="00D10DDF" w:rsidRDefault="00054E58" w:rsidP="00054E58">
      <w:pPr>
        <w:pStyle w:val="Standard"/>
        <w:rPr>
          <w:sz w:val="20"/>
          <w:szCs w:val="20"/>
        </w:rPr>
      </w:pPr>
      <w:r w:rsidRPr="00091F2F">
        <w:rPr>
          <w:sz w:val="20"/>
          <w:szCs w:val="20"/>
        </w:rPr>
        <w:t>*2.6 mg disodium edetate or 52 mg methionine</w:t>
      </w:r>
    </w:p>
    <w:p w14:paraId="75FC2764" w14:textId="77777777" w:rsidR="00815F43" w:rsidRDefault="00054E58" w:rsidP="0071231E">
      <w:r>
        <w:t xml:space="preserve">From the </w:t>
      </w:r>
      <w:r w:rsidR="0071231E">
        <w:t>t</w:t>
      </w:r>
      <w:r>
        <w:t>able above</w:t>
      </w:r>
      <w:r w:rsidRPr="00663C60">
        <w:t>,</w:t>
      </w:r>
      <w:r>
        <w:t xml:space="preserve"> it is clear that the potential systemic exposure to disodium edetate and methionine at the proposed IV </w:t>
      </w:r>
      <w:r w:rsidR="0071231E">
        <w:t>maximum recommended human dose (</w:t>
      </w:r>
      <w:r>
        <w:t>MRHD</w:t>
      </w:r>
      <w:r w:rsidR="0071231E">
        <w:t>)</w:t>
      </w:r>
      <w:r>
        <w:t xml:space="preserve"> of </w:t>
      </w:r>
      <w:r w:rsidR="00CC3432">
        <w:t>Stelara</w:t>
      </w:r>
      <w:r>
        <w:t xml:space="preserve"> is similar to or considerably less than the potential exposures at the approved MRHDs of other registered IV products.</w:t>
      </w:r>
    </w:p>
    <w:p w14:paraId="7ADBE1C6" w14:textId="638AE382" w:rsidR="008E7846" w:rsidRPr="0071231E" w:rsidRDefault="008E7846" w:rsidP="0071231E">
      <w:pPr>
        <w:pStyle w:val="Heading3"/>
      </w:pPr>
      <w:bookmarkStart w:id="52" w:name="_Toc247691515"/>
      <w:bookmarkStart w:id="53" w:name="_Toc314842499"/>
      <w:bookmarkStart w:id="54" w:name="_Toc497744816"/>
      <w:r>
        <w:lastRenderedPageBreak/>
        <w:t>Nonclinical summary and conclusions</w:t>
      </w:r>
      <w:bookmarkEnd w:id="52"/>
      <w:bookmarkEnd w:id="53"/>
      <w:bookmarkEnd w:id="54"/>
    </w:p>
    <w:p w14:paraId="60716310" w14:textId="77777777" w:rsidR="0071231E" w:rsidRDefault="00054E58" w:rsidP="0071231E">
      <w:r>
        <w:t xml:space="preserve">As discussed above, the local tolerance of the IV formulation/IV route of </w:t>
      </w:r>
      <w:r w:rsidR="00CC3432">
        <w:t>Stelara</w:t>
      </w:r>
      <w:r>
        <w:t xml:space="preserve"> has not been specifically assessed in nonclinical studies and adequate assessment will</w:t>
      </w:r>
      <w:r w:rsidR="0071231E">
        <w:t xml:space="preserve"> need to rely on clinical data.</w:t>
      </w:r>
    </w:p>
    <w:p w14:paraId="78F239A5" w14:textId="77777777" w:rsidR="00054E58" w:rsidRDefault="00054E58" w:rsidP="0071231E">
      <w:r>
        <w:t>There are no systemic toxicological concerns regarding the presence of the excipients methionine and disodium edetate at the specified concentrations and the proposed clinical MRHD.</w:t>
      </w:r>
    </w:p>
    <w:p w14:paraId="7F9A712A" w14:textId="77777777" w:rsidR="008E7846" w:rsidRPr="00254787" w:rsidRDefault="008E7846" w:rsidP="008E7846">
      <w:pPr>
        <w:pStyle w:val="Heading2"/>
      </w:pPr>
      <w:bookmarkStart w:id="55" w:name="_Toc196046462"/>
      <w:bookmarkStart w:id="56" w:name="_Toc247691516"/>
      <w:bookmarkStart w:id="57" w:name="_Toc314842500"/>
      <w:bookmarkStart w:id="58" w:name="_Toc163441353"/>
      <w:bookmarkStart w:id="59" w:name="_Toc163441348"/>
      <w:bookmarkStart w:id="60" w:name="_Toc497744817"/>
      <w:r>
        <w:t xml:space="preserve">IV. </w:t>
      </w:r>
      <w:r w:rsidRPr="00254787">
        <w:t>Clinical</w:t>
      </w:r>
      <w:bookmarkEnd w:id="55"/>
      <w:r>
        <w:t xml:space="preserve"> </w:t>
      </w:r>
      <w:r w:rsidR="003A7F6C">
        <w:t>f</w:t>
      </w:r>
      <w:r>
        <w:t>indings</w:t>
      </w:r>
      <w:bookmarkEnd w:id="56"/>
      <w:bookmarkEnd w:id="57"/>
      <w:bookmarkEnd w:id="60"/>
    </w:p>
    <w:p w14:paraId="62F44CC5" w14:textId="77777777" w:rsidR="00C80137" w:rsidRDefault="00C80137" w:rsidP="00D425BB">
      <w:bookmarkStart w:id="61"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51320CCA" w14:textId="77777777" w:rsidR="008E7846" w:rsidRDefault="008E7846" w:rsidP="008E7846">
      <w:pPr>
        <w:pStyle w:val="Heading3"/>
      </w:pPr>
      <w:bookmarkStart w:id="62" w:name="_Toc247691517"/>
      <w:bookmarkStart w:id="63" w:name="_Toc314842501"/>
      <w:bookmarkStart w:id="64" w:name="_Toc497744818"/>
      <w:r w:rsidRPr="00254787">
        <w:t>Introduction</w:t>
      </w:r>
      <w:bookmarkEnd w:id="61"/>
      <w:bookmarkEnd w:id="62"/>
      <w:bookmarkEnd w:id="63"/>
      <w:bookmarkEnd w:id="64"/>
    </w:p>
    <w:p w14:paraId="08217874" w14:textId="77777777" w:rsidR="00D53DDC" w:rsidRDefault="00D53DDC" w:rsidP="00014C3D">
      <w:pPr>
        <w:pStyle w:val="Heading4"/>
      </w:pPr>
      <w:bookmarkStart w:id="65" w:name="_Toc466630521"/>
      <w:bookmarkStart w:id="66" w:name="_Toc196046464"/>
      <w:bookmarkStart w:id="67" w:name="_Toc247691518"/>
      <w:bookmarkStart w:id="68" w:name="_Toc314842502"/>
      <w:r w:rsidRPr="00E709B3">
        <w:t>Information on the condition being treated</w:t>
      </w:r>
      <w:bookmarkEnd w:id="65"/>
    </w:p>
    <w:p w14:paraId="0716B02B" w14:textId="77777777" w:rsidR="00D53DDC" w:rsidRDefault="00D53DDC" w:rsidP="00014C3D">
      <w:pPr>
        <w:rPr>
          <w:color w:val="000000"/>
        </w:rPr>
      </w:pPr>
      <w:r w:rsidRPr="00C00EF3">
        <w:rPr>
          <w:color w:val="000000"/>
        </w:rPr>
        <w:t xml:space="preserve">Crohn’s disease is a chronic immune-mediated </w:t>
      </w:r>
      <w:r w:rsidRPr="00CB459A">
        <w:t>IBD with annual incidence rates ranging from 6 to 8 per 100,000 in the US and from 0.3 to 12.7 per 100,000 in the E</w:t>
      </w:r>
      <w:r>
        <w:t>urope</w:t>
      </w:r>
      <w:r w:rsidRPr="00CB459A">
        <w:t xml:space="preserve">; prevalence </w:t>
      </w:r>
      <w:r>
        <w:t xml:space="preserve">ranges from 100-200 per 100,000 in the US and </w:t>
      </w:r>
      <w:r w:rsidR="004B6C8D">
        <w:t xml:space="preserve">approximately </w:t>
      </w:r>
      <w:r w:rsidRPr="00CB459A">
        <w:t>0.6 to 322 per 100,000 in Europe.</w:t>
      </w:r>
      <w:r w:rsidR="000B3758">
        <w:rPr>
          <w:rStyle w:val="FootnoteReference"/>
        </w:rPr>
        <w:footnoteReference w:id="7"/>
      </w:r>
      <w:r>
        <w:t xml:space="preserve"> Incidence and prevalence in Australia is similar or higher than that observed i</w:t>
      </w:r>
      <w:r w:rsidR="000B3758">
        <w:t>n other industrialised nations</w:t>
      </w:r>
      <w:r>
        <w:t>.</w:t>
      </w:r>
      <w:r w:rsidR="000B3758">
        <w:rPr>
          <w:rStyle w:val="FootnoteReference"/>
        </w:rPr>
        <w:footnoteReference w:id="8"/>
      </w:r>
      <w:r>
        <w:t xml:space="preserve"> </w:t>
      </w:r>
      <w:r w:rsidRPr="00C00EF3">
        <w:rPr>
          <w:color w:val="000000"/>
        </w:rPr>
        <w:t>Peak age-specific incidence occurs between</w:t>
      </w:r>
      <w:r>
        <w:rPr>
          <w:color w:val="000000"/>
        </w:rPr>
        <w:t xml:space="preserve"> </w:t>
      </w:r>
      <w:r w:rsidRPr="00C00EF3">
        <w:rPr>
          <w:color w:val="000000"/>
        </w:rPr>
        <w:t>ages 15 and 30 years, thereby disproportionally affecting young adults during their prime</w:t>
      </w:r>
      <w:r>
        <w:rPr>
          <w:color w:val="000000"/>
        </w:rPr>
        <w:t xml:space="preserve"> </w:t>
      </w:r>
      <w:r w:rsidRPr="00C00EF3">
        <w:rPr>
          <w:color w:val="000000"/>
        </w:rPr>
        <w:t>working years; a second, smaller peak occurs in the sixth and seventh decades of life</w:t>
      </w:r>
      <w:r>
        <w:rPr>
          <w:color w:val="000000"/>
        </w:rPr>
        <w:t>.</w:t>
      </w:r>
      <w:r w:rsidR="000B3758">
        <w:rPr>
          <w:rStyle w:val="FootnoteReference"/>
          <w:color w:val="000000"/>
        </w:rPr>
        <w:footnoteReference w:id="9"/>
      </w:r>
      <w:r>
        <w:rPr>
          <w:color w:val="000000"/>
        </w:rPr>
        <w:t xml:space="preserve"> </w:t>
      </w:r>
      <w:r w:rsidRPr="00C00EF3">
        <w:rPr>
          <w:color w:val="000000"/>
        </w:rPr>
        <w:t>Crohn’s</w:t>
      </w:r>
      <w:r>
        <w:rPr>
          <w:color w:val="000000"/>
        </w:rPr>
        <w:t xml:space="preserve"> </w:t>
      </w:r>
      <w:r w:rsidRPr="00C00EF3">
        <w:rPr>
          <w:color w:val="000000"/>
        </w:rPr>
        <w:t>disease is associated with substantial morbidity and mortality.</w:t>
      </w:r>
      <w:r>
        <w:rPr>
          <w:color w:val="000000"/>
        </w:rPr>
        <w:t xml:space="preserve"> </w:t>
      </w:r>
      <w:r w:rsidRPr="00C00EF3">
        <w:rPr>
          <w:color w:val="000000"/>
        </w:rPr>
        <w:t>Clinically, Crohn’s disease is character</w:t>
      </w:r>
      <w:r>
        <w:rPr>
          <w:color w:val="000000"/>
        </w:rPr>
        <w:t>is</w:t>
      </w:r>
      <w:r w:rsidRPr="00C00EF3">
        <w:rPr>
          <w:color w:val="000000"/>
        </w:rPr>
        <w:t>ed as a relapsing, remitting disease that occurs most</w:t>
      </w:r>
      <w:r>
        <w:rPr>
          <w:color w:val="000000"/>
        </w:rPr>
        <w:t xml:space="preserve"> </w:t>
      </w:r>
      <w:r w:rsidRPr="00C00EF3">
        <w:rPr>
          <w:color w:val="000000"/>
        </w:rPr>
        <w:t>commonly at the end of the small intestine (terminal ileum) and the beginning of the colon wi</w:t>
      </w:r>
      <w:r>
        <w:rPr>
          <w:color w:val="000000"/>
        </w:rPr>
        <w:t>t</w:t>
      </w:r>
      <w:r w:rsidRPr="00C00EF3">
        <w:rPr>
          <w:color w:val="000000"/>
        </w:rPr>
        <w:t>h</w:t>
      </w:r>
      <w:r>
        <w:rPr>
          <w:color w:val="000000"/>
        </w:rPr>
        <w:t xml:space="preserve"> </w:t>
      </w:r>
      <w:r w:rsidRPr="00C00EF3">
        <w:rPr>
          <w:color w:val="000000"/>
        </w:rPr>
        <w:t xml:space="preserve">clinical manifestations such as abdominal cramps </w:t>
      </w:r>
      <w:r>
        <w:rPr>
          <w:color w:val="000000"/>
        </w:rPr>
        <w:t>/</w:t>
      </w:r>
      <w:r w:rsidRPr="00C00EF3">
        <w:rPr>
          <w:color w:val="000000"/>
        </w:rPr>
        <w:t xml:space="preserve"> diarrhoea and systemic features such as</w:t>
      </w:r>
      <w:r>
        <w:rPr>
          <w:color w:val="000000"/>
        </w:rPr>
        <w:t xml:space="preserve"> </w:t>
      </w:r>
      <w:r w:rsidRPr="00C00EF3">
        <w:rPr>
          <w:color w:val="000000"/>
        </w:rPr>
        <w:t xml:space="preserve">cachexia, fever, anaemia, and weight loss; </w:t>
      </w:r>
      <w:r w:rsidR="00957FBB" w:rsidRPr="00C00EF3">
        <w:rPr>
          <w:color w:val="000000"/>
        </w:rPr>
        <w:t>extra intestinal</w:t>
      </w:r>
      <w:r w:rsidRPr="00C00EF3">
        <w:rPr>
          <w:color w:val="000000"/>
        </w:rPr>
        <w:t xml:space="preserve"> manifestations include pyoderma</w:t>
      </w:r>
      <w:r>
        <w:rPr>
          <w:color w:val="000000"/>
        </w:rPr>
        <w:t xml:space="preserve"> </w:t>
      </w:r>
      <w:r w:rsidRPr="00C00EF3">
        <w:rPr>
          <w:color w:val="000000"/>
        </w:rPr>
        <w:t>gang</w:t>
      </w:r>
      <w:r>
        <w:rPr>
          <w:color w:val="000000"/>
        </w:rPr>
        <w:t>renosum, uveitis, and arthritis.</w:t>
      </w:r>
      <w:r w:rsidR="000B3758">
        <w:rPr>
          <w:rStyle w:val="FootnoteReference"/>
          <w:color w:val="000000"/>
        </w:rPr>
        <w:footnoteReference w:id="10"/>
      </w:r>
      <w:r>
        <w:rPr>
          <w:color w:val="000000"/>
        </w:rPr>
        <w:t xml:space="preserve"> </w:t>
      </w:r>
      <w:r w:rsidRPr="00C00EF3">
        <w:rPr>
          <w:color w:val="000000"/>
        </w:rPr>
        <w:t>Complications include bowel fistulas, abscesses and luminal strictures, which often require multiple surgeries and can lead to short gut syndrome</w:t>
      </w:r>
      <w:r>
        <w:rPr>
          <w:color w:val="000000"/>
        </w:rPr>
        <w:t>.</w:t>
      </w:r>
      <w:r w:rsidR="000B3758">
        <w:rPr>
          <w:rStyle w:val="FootnoteReference"/>
          <w:color w:val="000000"/>
        </w:rPr>
        <w:footnoteReference w:id="11"/>
      </w:r>
      <w:r>
        <w:rPr>
          <w:color w:val="000000"/>
        </w:rPr>
        <w:t xml:space="preserve"> </w:t>
      </w:r>
      <w:r w:rsidRPr="00C00EF3">
        <w:rPr>
          <w:color w:val="000000"/>
        </w:rPr>
        <w:t>Studies suggest that 15 years after diagnosis, approximately 70% of patients with Crohn’s disease will have undergone at least 1 major intra-abdominal surgery; by the same time</w:t>
      </w:r>
      <w:r>
        <w:rPr>
          <w:color w:val="000000"/>
        </w:rPr>
        <w:t>-</w:t>
      </w:r>
      <w:r w:rsidRPr="00C00EF3">
        <w:rPr>
          <w:color w:val="000000"/>
        </w:rPr>
        <w:t>point, 35% of patients will have required two such operations and 20% will have require</w:t>
      </w:r>
      <w:r>
        <w:rPr>
          <w:color w:val="000000"/>
        </w:rPr>
        <w:t xml:space="preserve">d at least three. Patients </w:t>
      </w:r>
      <w:r w:rsidRPr="00C00EF3">
        <w:rPr>
          <w:color w:val="000000"/>
        </w:rPr>
        <w:t>also suffer from reduced quality of life</w:t>
      </w:r>
      <w:r w:rsidRPr="00C00EF3">
        <w:rPr>
          <w:color w:val="0000FF"/>
        </w:rPr>
        <w:t xml:space="preserve"> </w:t>
      </w:r>
      <w:r w:rsidRPr="00C00EF3">
        <w:rPr>
          <w:color w:val="000000"/>
        </w:rPr>
        <w:t xml:space="preserve">and increased risk </w:t>
      </w:r>
      <w:r w:rsidR="00792182">
        <w:rPr>
          <w:color w:val="000000"/>
        </w:rPr>
        <w:t>of</w:t>
      </w:r>
      <w:r>
        <w:rPr>
          <w:color w:val="000000"/>
        </w:rPr>
        <w:t xml:space="preserve"> </w:t>
      </w:r>
      <w:r w:rsidRPr="00C00EF3">
        <w:rPr>
          <w:color w:val="000000"/>
        </w:rPr>
        <w:t>clinical depression.</w:t>
      </w:r>
    </w:p>
    <w:p w14:paraId="0C7113AD" w14:textId="77777777" w:rsidR="00D53DDC" w:rsidRDefault="00D53DDC" w:rsidP="00014C3D">
      <w:pPr>
        <w:pStyle w:val="Heading4"/>
      </w:pPr>
      <w:bookmarkStart w:id="69" w:name="_Toc466630522"/>
      <w:r>
        <w:t>Current treatment options</w:t>
      </w:r>
      <w:bookmarkEnd w:id="69"/>
    </w:p>
    <w:p w14:paraId="690C9435" w14:textId="77777777" w:rsidR="00D53DDC" w:rsidRPr="001C54C2" w:rsidRDefault="00D53DDC" w:rsidP="00014C3D">
      <w:r w:rsidRPr="001C54C2">
        <w:t>The current standard of medical care for Crohn’s disease involves anti-inflammatory therapeutic</w:t>
      </w:r>
      <w:r>
        <w:t xml:space="preserve"> </w:t>
      </w:r>
      <w:r w:rsidRPr="001C54C2">
        <w:t>approaches, which include 5-aminosalicylic acid (5-ASA) compounds, corticosteroids,</w:t>
      </w:r>
      <w:r>
        <w:t xml:space="preserve"> </w:t>
      </w:r>
      <w:r w:rsidR="00957FBB">
        <w:t>immune-</w:t>
      </w:r>
      <w:r w:rsidRPr="001C54C2">
        <w:t xml:space="preserve">modulators including azathioprine (AZA) or its active metabolite </w:t>
      </w:r>
      <w:r w:rsidRPr="001C54C2">
        <w:lastRenderedPageBreak/>
        <w:t>6-mercaptopurine</w:t>
      </w:r>
      <w:r>
        <w:t xml:space="preserve"> </w:t>
      </w:r>
      <w:r w:rsidRPr="001C54C2">
        <w:t>(6-MP) and methotrexate (MTX), and biologic agents including tumo</w:t>
      </w:r>
      <w:r>
        <w:t>u</w:t>
      </w:r>
      <w:r w:rsidRPr="001C54C2">
        <w:t>r necrosis factor (TNF)</w:t>
      </w:r>
      <w:r>
        <w:t xml:space="preserve"> </w:t>
      </w:r>
      <w:r w:rsidRPr="001C54C2">
        <w:t>antagonist therapies and anti-integrin therapies. Among these commonly prescribed agents, only</w:t>
      </w:r>
      <w:r>
        <w:t xml:space="preserve"> </w:t>
      </w:r>
      <w:r w:rsidRPr="001C54C2">
        <w:t>the biologic agents and the corticosteroid budesonide are approved for the treatment of Crohn’s</w:t>
      </w:r>
      <w:r>
        <w:t xml:space="preserve"> </w:t>
      </w:r>
      <w:r w:rsidRPr="001C54C2">
        <w:t>disease, and even with combinations of the available therapeutic options, many patients do not</w:t>
      </w:r>
      <w:r>
        <w:t xml:space="preserve"> </w:t>
      </w:r>
      <w:r w:rsidRPr="001C54C2">
        <w:t>attain clinical benefit or cannot tolerate the therapy.</w:t>
      </w:r>
    </w:p>
    <w:p w14:paraId="229EB695" w14:textId="77777777" w:rsidR="00D53DDC" w:rsidRDefault="00D53DDC" w:rsidP="00014C3D">
      <w:r w:rsidRPr="001C54C2">
        <w:t>Frequently used as acute therapy for Crohn’s disease, corticosteroids are capable of inducing</w:t>
      </w:r>
      <w:r>
        <w:t xml:space="preserve"> </w:t>
      </w:r>
      <w:r w:rsidRPr="001C54C2">
        <w:t>remission but are ultimately ineffective in maintaining it and their therapeutic benefit is often</w:t>
      </w:r>
      <w:r>
        <w:t xml:space="preserve"> </w:t>
      </w:r>
      <w:r w:rsidRPr="001C54C2">
        <w:t>offset by the side effects of prolonged exposure.</w:t>
      </w:r>
      <w:r w:rsidRPr="001C54C2">
        <w:rPr>
          <w:color w:val="0000FF"/>
        </w:rPr>
        <w:t xml:space="preserve"> </w:t>
      </w:r>
      <w:r w:rsidRPr="001C54C2">
        <w:t>Immuno</w:t>
      </w:r>
      <w:r w:rsidR="00957FBB">
        <w:t>-</w:t>
      </w:r>
      <w:r w:rsidRPr="001C54C2">
        <w:t>modulators can take as long as</w:t>
      </w:r>
      <w:r>
        <w:t xml:space="preserve"> </w:t>
      </w:r>
      <w:r w:rsidRPr="001C54C2">
        <w:t>3</w:t>
      </w:r>
      <w:r w:rsidR="00EF0460">
        <w:t xml:space="preserve"> </w:t>
      </w:r>
      <w:r w:rsidRPr="001C54C2">
        <w:t>months to work, may only be partially effective and can result in neutropenia, pancytopenia,</w:t>
      </w:r>
      <w:r>
        <w:t xml:space="preserve"> </w:t>
      </w:r>
      <w:r w:rsidRPr="001C54C2">
        <w:t>pancreatitis, nephrotoxicity, or hepatotoxicity in some patients, requiring additional serologic</w:t>
      </w:r>
      <w:r>
        <w:t xml:space="preserve"> </w:t>
      </w:r>
      <w:r w:rsidRPr="001C54C2">
        <w:t>monitoring and frequent blood sample collections.</w:t>
      </w:r>
      <w:r>
        <w:t xml:space="preserve"> T</w:t>
      </w:r>
      <w:r w:rsidRPr="001C54C2">
        <w:t>he use of thiopurines</w:t>
      </w:r>
      <w:r>
        <w:t xml:space="preserve"> </w:t>
      </w:r>
      <w:r w:rsidRPr="001C54C2">
        <w:t>(AZA/6-MP) is associated with a possibly increased risk of lymphoma in adults</w:t>
      </w:r>
      <w:r w:rsidR="003B6354">
        <w:rPr>
          <w:rStyle w:val="FootnoteReference"/>
        </w:rPr>
        <w:footnoteReference w:id="12"/>
      </w:r>
      <w:r w:rsidRPr="001C54C2">
        <w:rPr>
          <w:color w:val="0000FF"/>
        </w:rPr>
        <w:t xml:space="preserve"> </w:t>
      </w:r>
      <w:r w:rsidRPr="001C54C2">
        <w:t>and a very</w:t>
      </w:r>
      <w:r>
        <w:t xml:space="preserve"> </w:t>
      </w:r>
      <w:r w:rsidRPr="001C54C2">
        <w:t>rare and rapidly fatal lymphoproliferative disorder, hepatosplenic T-cell lymphoma (HSTCL),</w:t>
      </w:r>
      <w:r>
        <w:t xml:space="preserve"> </w:t>
      </w:r>
      <w:r w:rsidRPr="001C54C2">
        <w:t>has been reported in mostly young adult male patients with IBD (predominantly Crohn’s disease)</w:t>
      </w:r>
      <w:r>
        <w:t xml:space="preserve"> </w:t>
      </w:r>
      <w:r w:rsidRPr="001C54C2">
        <w:t>who were treated with thiopurines with or without TNF antagonists.</w:t>
      </w:r>
      <w:r w:rsidR="000B3758">
        <w:rPr>
          <w:rStyle w:val="FootnoteReference"/>
        </w:rPr>
        <w:footnoteReference w:id="13"/>
      </w:r>
    </w:p>
    <w:p w14:paraId="3DCF393C" w14:textId="77777777" w:rsidR="00D53DDC" w:rsidRPr="00B228A9" w:rsidRDefault="00D53DDC" w:rsidP="00D53DDC">
      <w:pPr>
        <w:autoSpaceDE w:val="0"/>
        <w:autoSpaceDN w:val="0"/>
        <w:adjustRightInd w:val="0"/>
        <w:spacing w:before="0" w:line="240" w:lineRule="auto"/>
        <w:rPr>
          <w:rFonts w:asciiTheme="minorHAnsi" w:eastAsia="TimesNewRoman" w:hAnsiTheme="minorHAnsi" w:cs="TimesNewRoman"/>
          <w:color w:val="000000"/>
        </w:rPr>
      </w:pPr>
      <w:r w:rsidRPr="001C54C2">
        <w:rPr>
          <w:rFonts w:asciiTheme="minorHAnsi" w:eastAsia="TimesNewRoman" w:hAnsiTheme="minorHAnsi" w:cs="TimesNewRoman"/>
          <w:color w:val="000000"/>
        </w:rPr>
        <w:t>TNF antagonist therapies (infliximab, adalimumab and certolizumab pegol</w:t>
      </w:r>
      <w:r>
        <w:rPr>
          <w:rFonts w:asciiTheme="minorHAnsi" w:eastAsia="TimesNewRoman" w:hAnsiTheme="minorHAnsi" w:cs="TimesNewRoman"/>
          <w:color w:val="000000"/>
        </w:rPr>
        <w:t xml:space="preserve"> [not approved in Australia]</w:t>
      </w:r>
      <w:r w:rsidRPr="001C54C2">
        <w:rPr>
          <w:rFonts w:asciiTheme="minorHAnsi" w:eastAsia="TimesNewRoman" w:hAnsiTheme="minorHAnsi" w:cs="TimesNewRoman"/>
          <w:color w:val="000000"/>
        </w:rPr>
        <w:t>) have been the first</w:t>
      </w:r>
      <w:r>
        <w:rPr>
          <w:rFonts w:asciiTheme="minorHAnsi" w:eastAsia="TimesNewRoman" w:hAnsiTheme="minorHAnsi" w:cs="TimesNewRoman"/>
          <w:color w:val="000000"/>
        </w:rPr>
        <w:t>-</w:t>
      </w:r>
      <w:r w:rsidRPr="001C54C2">
        <w:rPr>
          <w:rFonts w:asciiTheme="minorHAnsi" w:eastAsia="TimesNewRoman" w:hAnsiTheme="minorHAnsi" w:cs="TimesNewRoman"/>
          <w:color w:val="000000"/>
        </w:rPr>
        <w:t>line</w:t>
      </w:r>
      <w:r>
        <w:rPr>
          <w:rFonts w:asciiTheme="minorHAnsi" w:eastAsia="TimesNewRoman" w:hAnsiTheme="minorHAnsi" w:cs="TimesNewRoman"/>
          <w:color w:val="000000"/>
        </w:rPr>
        <w:t xml:space="preserve"> </w:t>
      </w:r>
      <w:r w:rsidRPr="001C54C2">
        <w:rPr>
          <w:rFonts w:asciiTheme="minorHAnsi" w:eastAsia="TimesNewRoman" w:hAnsiTheme="minorHAnsi" w:cs="TimesNewRoman"/>
          <w:color w:val="000000"/>
        </w:rPr>
        <w:t>biologic agents in Crohn’s disease. Although many patients initially respond to TNF</w:t>
      </w:r>
      <w:r>
        <w:rPr>
          <w:rFonts w:asciiTheme="minorHAnsi" w:eastAsia="TimesNewRoman" w:hAnsiTheme="minorHAnsi" w:cs="TimesNewRoman"/>
          <w:color w:val="000000"/>
        </w:rPr>
        <w:t xml:space="preserve"> </w:t>
      </w:r>
      <w:r w:rsidRPr="001C54C2">
        <w:rPr>
          <w:rFonts w:asciiTheme="minorHAnsi" w:eastAsia="TimesNewRoman" w:hAnsiTheme="minorHAnsi" w:cs="TimesNewRoman"/>
          <w:color w:val="000000"/>
        </w:rPr>
        <w:t>antagonist therapy, many others do not, and secondary failures due to intolerance or loss of</w:t>
      </w:r>
      <w:r>
        <w:rPr>
          <w:rFonts w:asciiTheme="minorHAnsi" w:eastAsia="TimesNewRoman" w:hAnsiTheme="minorHAnsi" w:cs="TimesNewRoman"/>
          <w:color w:val="000000"/>
        </w:rPr>
        <w:t xml:space="preserve"> </w:t>
      </w:r>
      <w:r w:rsidRPr="001C54C2">
        <w:rPr>
          <w:rFonts w:asciiTheme="minorHAnsi" w:eastAsia="TimesNewRoman" w:hAnsiTheme="minorHAnsi" w:cs="TimesNewRoman"/>
          <w:color w:val="000000"/>
        </w:rPr>
        <w:t>initial response are common. Among patients who receive TNF antagonist therapies for Crohn’s</w:t>
      </w:r>
      <w:r>
        <w:rPr>
          <w:rFonts w:asciiTheme="minorHAnsi" w:eastAsia="TimesNewRoman" w:hAnsiTheme="minorHAnsi" w:cs="TimesNewRoman"/>
          <w:color w:val="000000"/>
        </w:rPr>
        <w:t xml:space="preserve"> </w:t>
      </w:r>
      <w:r w:rsidRPr="001C54C2">
        <w:rPr>
          <w:rFonts w:asciiTheme="minorHAnsi" w:eastAsia="TimesNewRoman" w:hAnsiTheme="minorHAnsi" w:cs="TimesNewRoman"/>
          <w:color w:val="000000"/>
        </w:rPr>
        <w:t>disease, 20% to 40% are primary non</w:t>
      </w:r>
      <w:r w:rsidR="00014C3D">
        <w:rPr>
          <w:rFonts w:asciiTheme="minorHAnsi" w:eastAsia="TimesNewRoman" w:hAnsiTheme="minorHAnsi" w:cs="TimesNewRoman"/>
          <w:color w:val="000000"/>
        </w:rPr>
        <w:t xml:space="preserve"> </w:t>
      </w:r>
      <w:r w:rsidRPr="001C54C2">
        <w:rPr>
          <w:rFonts w:asciiTheme="minorHAnsi" w:eastAsia="TimesNewRoman" w:hAnsiTheme="minorHAnsi" w:cs="TimesNewRoman"/>
          <w:color w:val="000000"/>
        </w:rPr>
        <w:t xml:space="preserve">responders, and among </w:t>
      </w:r>
      <w:r>
        <w:rPr>
          <w:rFonts w:asciiTheme="minorHAnsi" w:eastAsia="TimesNewRoman" w:hAnsiTheme="minorHAnsi" w:cs="TimesNewRoman"/>
          <w:color w:val="000000"/>
        </w:rPr>
        <w:t xml:space="preserve">those with an initial response, </w:t>
      </w:r>
      <w:r w:rsidR="00014C3D">
        <w:rPr>
          <w:rFonts w:asciiTheme="minorHAnsi" w:eastAsia="TimesNewRoman" w:hAnsiTheme="minorHAnsi" w:cs="TimesNewRoman"/>
          <w:color w:val="000000"/>
        </w:rPr>
        <w:t xml:space="preserve">approximately </w:t>
      </w:r>
      <w:r w:rsidRPr="001C54C2">
        <w:rPr>
          <w:rFonts w:asciiTheme="minorHAnsi" w:eastAsia="TimesNewRoman" w:hAnsiTheme="minorHAnsi" w:cs="TimesNewRoman"/>
          <w:color w:val="000000"/>
        </w:rPr>
        <w:t>40% lose their response over time</w:t>
      </w:r>
      <w:r>
        <w:rPr>
          <w:rFonts w:asciiTheme="minorHAnsi" w:eastAsia="TimesNewRoman" w:hAnsiTheme="minorHAnsi" w:cs="TimesNewRoman"/>
          <w:color w:val="000000"/>
        </w:rPr>
        <w:t>.</w:t>
      </w:r>
      <w:r w:rsidR="008317EC">
        <w:rPr>
          <w:rStyle w:val="FootnoteReference"/>
          <w:rFonts w:asciiTheme="minorHAnsi" w:eastAsia="TimesNewRoman" w:hAnsiTheme="minorHAnsi" w:cs="TimesNewRoman"/>
          <w:color w:val="000000"/>
        </w:rPr>
        <w:footnoteReference w:id="14"/>
      </w:r>
    </w:p>
    <w:p w14:paraId="168CADBC" w14:textId="77777777" w:rsidR="00815F43" w:rsidRDefault="00D53DDC" w:rsidP="00D53DDC">
      <w:pPr>
        <w:autoSpaceDE w:val="0"/>
        <w:autoSpaceDN w:val="0"/>
        <w:adjustRightInd w:val="0"/>
        <w:spacing w:before="0" w:line="240" w:lineRule="auto"/>
        <w:rPr>
          <w:rFonts w:asciiTheme="minorHAnsi" w:eastAsia="TimesNewRoman" w:hAnsiTheme="minorHAnsi" w:cs="TimesNewRoman"/>
        </w:rPr>
      </w:pPr>
      <w:r w:rsidRPr="001C54C2">
        <w:rPr>
          <w:rFonts w:asciiTheme="minorHAnsi" w:eastAsia="TimesNewRoman" w:hAnsiTheme="minorHAnsi" w:cs="TimesNewRoman"/>
          <w:color w:val="000000"/>
        </w:rPr>
        <w:t>For patients who have failed TNF antagonists, only one other class of biologic agent is available</w:t>
      </w:r>
      <w:r>
        <w:rPr>
          <w:rFonts w:asciiTheme="minorHAnsi" w:eastAsia="TimesNewRoman" w:hAnsiTheme="minorHAnsi" w:cs="TimesNewRoman"/>
          <w:color w:val="000000"/>
        </w:rPr>
        <w:t xml:space="preserve"> </w:t>
      </w:r>
      <w:r w:rsidRPr="001C54C2">
        <w:rPr>
          <w:rFonts w:asciiTheme="minorHAnsi" w:eastAsia="TimesNewRoman" w:hAnsiTheme="minorHAnsi" w:cs="TimesNewRoman"/>
          <w:color w:val="000000"/>
        </w:rPr>
        <w:t>for the treatment of moderate to severe Crohn’s disease, the integrin inhibitors, which interfere</w:t>
      </w:r>
      <w:r>
        <w:rPr>
          <w:rFonts w:asciiTheme="minorHAnsi" w:eastAsia="TimesNewRoman" w:hAnsiTheme="minorHAnsi" w:cs="TimesNewRoman"/>
          <w:color w:val="000000"/>
        </w:rPr>
        <w:t xml:space="preserve"> </w:t>
      </w:r>
      <w:r w:rsidRPr="001C54C2">
        <w:rPr>
          <w:rFonts w:asciiTheme="minorHAnsi" w:eastAsia="TimesNewRoman" w:hAnsiTheme="minorHAnsi" w:cs="TimesNewRoman"/>
          <w:color w:val="000000"/>
        </w:rPr>
        <w:t>with lymphocyte trafficking. This class includes natalizumab and, more recently, vedolizumab.</w:t>
      </w:r>
      <w:r>
        <w:rPr>
          <w:rFonts w:asciiTheme="minorHAnsi" w:eastAsia="TimesNewRoman" w:hAnsiTheme="minorHAnsi" w:cs="TimesNewRoman"/>
          <w:color w:val="000000"/>
        </w:rPr>
        <w:t xml:space="preserve"> </w:t>
      </w:r>
      <w:r w:rsidRPr="001C54C2">
        <w:rPr>
          <w:rFonts w:asciiTheme="minorHAnsi" w:eastAsia="TimesNewRoman" w:hAnsiTheme="minorHAnsi" w:cs="TimesNewRoman"/>
          <w:color w:val="000000"/>
        </w:rPr>
        <w:t>Natalizumab is available only via restricted distribution in some regions and is not approved in</w:t>
      </w:r>
      <w:r>
        <w:rPr>
          <w:rFonts w:asciiTheme="minorHAnsi" w:eastAsia="TimesNewRoman" w:hAnsiTheme="minorHAnsi" w:cs="TimesNewRoman"/>
          <w:color w:val="000000"/>
        </w:rPr>
        <w:t xml:space="preserve"> </w:t>
      </w:r>
      <w:r w:rsidRPr="001C54C2">
        <w:rPr>
          <w:rFonts w:asciiTheme="minorHAnsi" w:eastAsia="TimesNewRoman" w:hAnsiTheme="minorHAnsi" w:cs="TimesNewRoman"/>
          <w:color w:val="000000"/>
        </w:rPr>
        <w:t>others, largely due to safety concerns associated with progressive multifocal</w:t>
      </w:r>
      <w:r>
        <w:rPr>
          <w:rFonts w:asciiTheme="minorHAnsi" w:eastAsia="TimesNewRoman" w:hAnsiTheme="minorHAnsi" w:cs="TimesNewRoman"/>
          <w:color w:val="000000"/>
        </w:rPr>
        <w:t xml:space="preserve"> </w:t>
      </w:r>
      <w:r w:rsidRPr="001C54C2">
        <w:rPr>
          <w:rFonts w:asciiTheme="minorHAnsi" w:eastAsia="TimesNewRoman" w:hAnsiTheme="minorHAnsi" w:cs="TimesNewRoman"/>
          <w:color w:val="000000"/>
        </w:rPr>
        <w:t>leukoencephalopathy (PML). Vedolizumab is approved more broadly but is available only as an</w:t>
      </w:r>
      <w:r>
        <w:rPr>
          <w:rFonts w:asciiTheme="minorHAnsi" w:eastAsia="TimesNewRoman" w:hAnsiTheme="minorHAnsi" w:cs="TimesNewRoman"/>
          <w:color w:val="000000"/>
        </w:rPr>
        <w:t xml:space="preserve"> </w:t>
      </w:r>
      <w:r w:rsidRPr="001C54C2">
        <w:rPr>
          <w:rFonts w:asciiTheme="minorHAnsi" w:eastAsia="TimesNewRoman" w:hAnsiTheme="minorHAnsi" w:cs="TimesNewRoman"/>
          <w:color w:val="000000"/>
        </w:rPr>
        <w:t xml:space="preserve">IV therapy and has shown mixed </w:t>
      </w:r>
      <w:r w:rsidRPr="00014C3D">
        <w:rPr>
          <w:rFonts w:asciiTheme="minorHAnsi" w:eastAsia="TimesNewRoman" w:hAnsiTheme="minorHAnsi" w:cs="TimesNewRoman"/>
        </w:rPr>
        <w:t>results in induction studies in Crohn’s disease, especially in TNF-antagonist refractory populations.</w:t>
      </w:r>
    </w:p>
    <w:p w14:paraId="3DF1E1ED" w14:textId="5AE8ADE6" w:rsidR="00D53DDC" w:rsidRPr="001C54C2" w:rsidRDefault="00D53DDC" w:rsidP="00D53DDC">
      <w:pPr>
        <w:autoSpaceDE w:val="0"/>
        <w:autoSpaceDN w:val="0"/>
        <w:adjustRightInd w:val="0"/>
        <w:spacing w:before="0" w:line="240" w:lineRule="auto"/>
        <w:rPr>
          <w:rFonts w:asciiTheme="minorHAnsi" w:hAnsiTheme="minorHAnsi"/>
          <w:lang w:eastAsia="ja-JP"/>
        </w:rPr>
      </w:pPr>
      <w:r w:rsidRPr="001C54C2">
        <w:rPr>
          <w:rFonts w:asciiTheme="minorHAnsi" w:eastAsia="TimesNewRoman" w:hAnsiTheme="minorHAnsi" w:cs="TimesNewRoman"/>
          <w:color w:val="000000"/>
        </w:rPr>
        <w:t xml:space="preserve">With only </w:t>
      </w:r>
      <w:r>
        <w:rPr>
          <w:rFonts w:asciiTheme="minorHAnsi" w:eastAsia="TimesNewRoman" w:hAnsiTheme="minorHAnsi" w:cs="TimesNewRoman"/>
          <w:color w:val="000000"/>
        </w:rPr>
        <w:t>two</w:t>
      </w:r>
      <w:r w:rsidRPr="001C54C2">
        <w:rPr>
          <w:rFonts w:asciiTheme="minorHAnsi" w:eastAsia="TimesNewRoman" w:hAnsiTheme="minorHAnsi" w:cs="TimesNewRoman"/>
          <w:color w:val="000000"/>
        </w:rPr>
        <w:t xml:space="preserve"> classes of biologic agents available for patients who have failed or are intolerant to</w:t>
      </w:r>
      <w:r>
        <w:rPr>
          <w:rFonts w:asciiTheme="minorHAnsi" w:eastAsia="TimesNewRoman" w:hAnsiTheme="minorHAnsi" w:cs="TimesNewRoman"/>
          <w:color w:val="000000"/>
        </w:rPr>
        <w:t xml:space="preserve"> </w:t>
      </w:r>
      <w:r w:rsidRPr="001C54C2">
        <w:rPr>
          <w:rFonts w:asciiTheme="minorHAnsi" w:eastAsia="TimesNewRoman" w:hAnsiTheme="minorHAnsi" w:cs="TimesNewRoman"/>
          <w:color w:val="000000"/>
        </w:rPr>
        <w:t>conventional systemic therapies, there is an unmet need for additional treatment options for a</w:t>
      </w:r>
      <w:r>
        <w:rPr>
          <w:rFonts w:asciiTheme="minorHAnsi" w:eastAsia="TimesNewRoman" w:hAnsiTheme="minorHAnsi" w:cs="TimesNewRoman"/>
          <w:color w:val="000000"/>
        </w:rPr>
        <w:t xml:space="preserve"> </w:t>
      </w:r>
      <w:r w:rsidRPr="001C54C2">
        <w:rPr>
          <w:rFonts w:asciiTheme="minorHAnsi" w:eastAsia="TimesNewRoman" w:hAnsiTheme="minorHAnsi" w:cs="TimesNewRoman"/>
          <w:color w:val="000000"/>
        </w:rPr>
        <w:t>disease that largely affects younger patients during their most formative and productive years.</w:t>
      </w:r>
      <w:r>
        <w:rPr>
          <w:rFonts w:asciiTheme="minorHAnsi" w:eastAsia="TimesNewRoman" w:hAnsiTheme="minorHAnsi" w:cs="TimesNewRoman"/>
          <w:color w:val="000000"/>
        </w:rPr>
        <w:t xml:space="preserve"> </w:t>
      </w:r>
      <w:r w:rsidRPr="001C54C2">
        <w:rPr>
          <w:rFonts w:asciiTheme="minorHAnsi" w:eastAsia="TimesNewRoman" w:hAnsiTheme="minorHAnsi" w:cs="TimesNewRoman"/>
          <w:color w:val="000000"/>
        </w:rPr>
        <w:t>For those who have exhausted existing treatment options or are relatively new to treatment, the</w:t>
      </w:r>
      <w:r>
        <w:rPr>
          <w:rFonts w:asciiTheme="minorHAnsi" w:eastAsia="TimesNewRoman" w:hAnsiTheme="minorHAnsi" w:cs="TimesNewRoman"/>
          <w:color w:val="000000"/>
        </w:rPr>
        <w:t xml:space="preserve"> </w:t>
      </w:r>
      <w:r w:rsidRPr="001C54C2">
        <w:rPr>
          <w:rFonts w:asciiTheme="minorHAnsi" w:eastAsia="TimesNewRoman" w:hAnsiTheme="minorHAnsi" w:cs="TimesNewRoman"/>
        </w:rPr>
        <w:t>lifelong course of the disease and the lack of a single enduring treatment highlight the inevitable</w:t>
      </w:r>
      <w:r>
        <w:rPr>
          <w:rFonts w:asciiTheme="minorHAnsi" w:eastAsia="TimesNewRoman" w:hAnsiTheme="minorHAnsi" w:cs="TimesNewRoman"/>
        </w:rPr>
        <w:t xml:space="preserve"> </w:t>
      </w:r>
      <w:r w:rsidRPr="001C54C2">
        <w:rPr>
          <w:rFonts w:asciiTheme="minorHAnsi" w:eastAsia="TimesNewRoman" w:hAnsiTheme="minorHAnsi" w:cs="TimesNewRoman"/>
        </w:rPr>
        <w:t>need for additional treatment options with durable efficacy, a favo</w:t>
      </w:r>
      <w:r>
        <w:rPr>
          <w:rFonts w:asciiTheme="minorHAnsi" w:eastAsia="TimesNewRoman" w:hAnsiTheme="minorHAnsi" w:cs="TimesNewRoman"/>
        </w:rPr>
        <w:t>u</w:t>
      </w:r>
      <w:r w:rsidRPr="001C54C2">
        <w:rPr>
          <w:rFonts w:asciiTheme="minorHAnsi" w:eastAsia="TimesNewRoman" w:hAnsiTheme="minorHAnsi" w:cs="TimesNewRoman"/>
        </w:rPr>
        <w:t>rable benefit-risk profile and</w:t>
      </w:r>
      <w:r>
        <w:rPr>
          <w:rFonts w:asciiTheme="minorHAnsi" w:eastAsia="TimesNewRoman" w:hAnsiTheme="minorHAnsi" w:cs="TimesNewRoman"/>
        </w:rPr>
        <w:t xml:space="preserve"> </w:t>
      </w:r>
      <w:r w:rsidRPr="001C54C2">
        <w:rPr>
          <w:rFonts w:asciiTheme="minorHAnsi" w:eastAsia="TimesNewRoman" w:hAnsiTheme="minorHAnsi" w:cs="TimesNewRoman"/>
        </w:rPr>
        <w:t>minimally invasive dosing and frequency</w:t>
      </w:r>
      <w:r w:rsidR="00693CCC">
        <w:rPr>
          <w:rFonts w:asciiTheme="minorHAnsi" w:eastAsia="TimesNewRoman" w:hAnsiTheme="minorHAnsi" w:cs="TimesNewRoman"/>
        </w:rPr>
        <w:t>.</w:t>
      </w:r>
    </w:p>
    <w:p w14:paraId="037524C2" w14:textId="77777777" w:rsidR="00D53DDC" w:rsidRDefault="00D53DDC" w:rsidP="00014C3D">
      <w:pPr>
        <w:pStyle w:val="Heading3"/>
      </w:pPr>
      <w:bookmarkStart w:id="70" w:name="_Toc466630523"/>
      <w:bookmarkStart w:id="71" w:name="_Toc497744819"/>
      <w:r>
        <w:lastRenderedPageBreak/>
        <w:t>Clinical rationale</w:t>
      </w:r>
      <w:bookmarkEnd w:id="70"/>
      <w:bookmarkEnd w:id="71"/>
    </w:p>
    <w:p w14:paraId="4E791D68" w14:textId="77777777" w:rsidR="00815F43" w:rsidRDefault="00D53DDC" w:rsidP="00014C3D">
      <w:r>
        <w:t>C</w:t>
      </w:r>
      <w:r w:rsidRPr="001C54C2">
        <w:t xml:space="preserve">linical, genetic, and animal </w:t>
      </w:r>
      <w:r>
        <w:t xml:space="preserve">model data suggest that Crohn’s </w:t>
      </w:r>
      <w:r w:rsidRPr="001C54C2">
        <w:t>disease is mediated by IL-12/23-mediated induction of Th1 and Th17 cells</w:t>
      </w:r>
      <w:r>
        <w:t>.</w:t>
      </w:r>
      <w:r w:rsidR="003B6354">
        <w:rPr>
          <w:rStyle w:val="FootnoteReference"/>
        </w:rPr>
        <w:footnoteReference w:id="15"/>
      </w:r>
      <w:r>
        <w:t xml:space="preserve"> I</w:t>
      </w:r>
      <w:r w:rsidRPr="001C54C2">
        <w:t>n Crohn’s</w:t>
      </w:r>
      <w:r>
        <w:t xml:space="preserve"> </w:t>
      </w:r>
      <w:r w:rsidRPr="001C54C2">
        <w:t>disease, intestinal antigen-presenting cells secrete increased levels of IL-12 and IL-23</w:t>
      </w:r>
      <w:r>
        <w:t>.</w:t>
      </w:r>
      <w:r w:rsidR="003B6354">
        <w:rPr>
          <w:rStyle w:val="FootnoteReference"/>
        </w:rPr>
        <w:footnoteReference w:id="16"/>
      </w:r>
      <w:r w:rsidR="00EF0460">
        <w:t xml:space="preserve"> </w:t>
      </w:r>
      <w:r w:rsidRPr="001C54C2">
        <w:t>IL-12 induces immune cells toward a T helper 1 (Th1)</w:t>
      </w:r>
      <w:r>
        <w:t xml:space="preserve"> </w:t>
      </w:r>
      <w:r w:rsidRPr="001C54C2">
        <w:t>phenotype (stimulates IFNγ production) while IL-23 induces a T helper 17</w:t>
      </w:r>
      <w:r>
        <w:t xml:space="preserve"> </w:t>
      </w:r>
      <w:r w:rsidRPr="001C54C2">
        <w:t>(Th17) pathway (promotes secretion of IL-17A, IL-21, and IL-22). Both cytokines stimulate</w:t>
      </w:r>
      <w:r>
        <w:t xml:space="preserve"> </w:t>
      </w:r>
      <w:r w:rsidRPr="001C54C2">
        <w:t>TNF production, resulting in the intestinal inflammation and epithelial cell injury typical of</w:t>
      </w:r>
      <w:r>
        <w:t xml:space="preserve"> </w:t>
      </w:r>
      <w:r w:rsidRPr="001C54C2">
        <w:t>Crohn’s disease.</w:t>
      </w:r>
    </w:p>
    <w:p w14:paraId="38C212FD" w14:textId="03B53CC3" w:rsidR="00D53DDC" w:rsidRPr="00D53DDC" w:rsidRDefault="00D53DDC" w:rsidP="00014C3D">
      <w:r w:rsidRPr="001C54C2">
        <w:t>Anti-IL-12/23</w:t>
      </w:r>
      <w:r>
        <w:t xml:space="preserve"> </w:t>
      </w:r>
      <w:r w:rsidRPr="001C54C2">
        <w:t>p40 antibodies administered at early or late time</w:t>
      </w:r>
      <w:r>
        <w:t xml:space="preserve"> </w:t>
      </w:r>
      <w:r w:rsidRPr="001C54C2">
        <w:t>points in rodent models of colitis</w:t>
      </w:r>
      <w:r>
        <w:t xml:space="preserve"> </w:t>
      </w:r>
      <w:r w:rsidRPr="001C54C2">
        <w:t>improved clinical and histopathologic</w:t>
      </w:r>
      <w:r>
        <w:t>al</w:t>
      </w:r>
      <w:r w:rsidRPr="001C54C2">
        <w:t xml:space="preserve"> changes</w:t>
      </w:r>
      <w:r w:rsidR="003B6354">
        <w:rPr>
          <w:rStyle w:val="FootnoteReference"/>
        </w:rPr>
        <w:footnoteReference w:id="17"/>
      </w:r>
      <w:r>
        <w:t xml:space="preserve"> </w:t>
      </w:r>
      <w:r w:rsidRPr="001C54C2">
        <w:t>and mice with a genetic deletion of the p19</w:t>
      </w:r>
      <w:r>
        <w:t xml:space="preserve"> </w:t>
      </w:r>
      <w:r w:rsidRPr="001C54C2">
        <w:t>chain of IL-23 are protected in several models of intestinal inflammation.</w:t>
      </w:r>
      <w:r w:rsidR="00693CCC">
        <w:rPr>
          <w:rStyle w:val="FootnoteReference"/>
        </w:rPr>
        <w:footnoteReference w:id="18"/>
      </w:r>
      <w:r w:rsidRPr="001C54C2">
        <w:rPr>
          <w:color w:val="0000FF"/>
        </w:rPr>
        <w:t xml:space="preserve"> </w:t>
      </w:r>
      <w:r w:rsidRPr="001C54C2">
        <w:t>Significant</w:t>
      </w:r>
      <w:r>
        <w:t xml:space="preserve"> </w:t>
      </w:r>
      <w:r w:rsidRPr="001C54C2">
        <w:t>associations have been found between Crohn’s disease and genetic polymorphisms in the genes</w:t>
      </w:r>
      <w:r>
        <w:t xml:space="preserve"> </w:t>
      </w:r>
      <w:r w:rsidRPr="001C54C2">
        <w:t>encoding the IL-23 receptor (</w:t>
      </w:r>
      <w:r w:rsidRPr="001C54C2">
        <w:rPr>
          <w:rFonts w:cs="TimesNewRoman,Italic"/>
          <w:i/>
          <w:iCs/>
        </w:rPr>
        <w:t>IL23R</w:t>
      </w:r>
      <w:r w:rsidRPr="001C54C2">
        <w:t>) and the IL-12/23 p40 protein (</w:t>
      </w:r>
      <w:r w:rsidRPr="001C54C2">
        <w:rPr>
          <w:rFonts w:cs="TimesNewRoman,Italic"/>
          <w:i/>
          <w:iCs/>
        </w:rPr>
        <w:t>IL12B</w:t>
      </w:r>
      <w:r w:rsidRPr="001C54C2">
        <w:t>)</w:t>
      </w:r>
      <w:r>
        <w:t>.</w:t>
      </w:r>
      <w:r w:rsidR="00693CCC">
        <w:rPr>
          <w:rStyle w:val="FootnoteReference"/>
        </w:rPr>
        <w:footnoteReference w:id="19"/>
      </w:r>
      <w:r>
        <w:t xml:space="preserve"> </w:t>
      </w:r>
      <w:r w:rsidRPr="001C54C2">
        <w:t xml:space="preserve">Collectively, the roles of IL-12 and IL-23 in Th1 and Th17 </w:t>
      </w:r>
      <w:r w:rsidR="00957FBB" w:rsidRPr="001C54C2">
        <w:t>signa</w:t>
      </w:r>
      <w:r w:rsidR="00957FBB">
        <w:t>l</w:t>
      </w:r>
      <w:r w:rsidR="00957FBB" w:rsidRPr="001C54C2">
        <w:t>ling</w:t>
      </w:r>
      <w:r w:rsidRPr="001C54C2">
        <w:t xml:space="preserve"> combined with data from</w:t>
      </w:r>
      <w:r>
        <w:t xml:space="preserve"> </w:t>
      </w:r>
      <w:r w:rsidRPr="001C54C2">
        <w:t>murine models of IBD, elevations in IL-12 and IL-23 in human Crohn’s disease and genetic</w:t>
      </w:r>
      <w:r>
        <w:t xml:space="preserve"> </w:t>
      </w:r>
      <w:r w:rsidRPr="001C54C2">
        <w:t>linkage data provide a strong rationale for inhibiting these cytokines in Crohn’s disease.</w:t>
      </w:r>
      <w:r w:rsidR="00EF0460">
        <w:t xml:space="preserve"> </w:t>
      </w:r>
      <w:r w:rsidRPr="001C54C2">
        <w:t>Ustekinumab binds with high affinity and specificity to the p40 subunit common to both human</w:t>
      </w:r>
      <w:r>
        <w:t xml:space="preserve"> </w:t>
      </w:r>
      <w:r w:rsidRPr="001C54C2">
        <w:t>IL-12 and human IL-23 and inhibits their binding to the IL-12 receptor β1 chain and subsequent</w:t>
      </w:r>
      <w:r>
        <w:t xml:space="preserve"> </w:t>
      </w:r>
      <w:r w:rsidRPr="001C54C2">
        <w:t>intracellular signa</w:t>
      </w:r>
      <w:r>
        <w:t>l</w:t>
      </w:r>
      <w:r w:rsidRPr="001C54C2">
        <w:t>ling by both cytokines.</w:t>
      </w:r>
    </w:p>
    <w:p w14:paraId="085F4CDB" w14:textId="77777777" w:rsidR="00605AD4" w:rsidRDefault="00605AD4" w:rsidP="00605AD4">
      <w:pPr>
        <w:pStyle w:val="Heading4"/>
      </w:pPr>
      <w:r w:rsidRPr="00605AD4">
        <w:t>Guidance</w:t>
      </w:r>
    </w:p>
    <w:p w14:paraId="4B1411F9" w14:textId="77777777" w:rsidR="00D53DDC" w:rsidRDefault="00D53DDC" w:rsidP="00A52C58">
      <w:pPr>
        <w:rPr>
          <w:bCs/>
        </w:rPr>
      </w:pPr>
      <w:r w:rsidRPr="00285F2A">
        <w:t xml:space="preserve">The final submission for </w:t>
      </w:r>
      <w:r w:rsidR="00CC3432">
        <w:t>Stelara</w:t>
      </w:r>
      <w:r w:rsidRPr="00285F2A">
        <w:t xml:space="preserve"> ustekinumab is consistent with the pre-submission planning form lodged with TGA on 23 December 2015 apart from </w:t>
      </w:r>
      <w:r>
        <w:t xml:space="preserve">a minor difference which does not affect the </w:t>
      </w:r>
      <w:r>
        <w:rPr>
          <w:bCs/>
        </w:rPr>
        <w:t>scope of the submission.</w:t>
      </w:r>
    </w:p>
    <w:p w14:paraId="417D02FA" w14:textId="77777777" w:rsidR="00815F43" w:rsidRDefault="00D53DDC" w:rsidP="00A52C58">
      <w:pPr>
        <w:rPr>
          <w:rFonts w:eastAsia="TimesNewRoman" w:cs="TimesNewRoman"/>
        </w:rPr>
      </w:pPr>
      <w:r w:rsidRPr="001F0D19">
        <w:rPr>
          <w:rFonts w:eastAsia="TimesNewRoman" w:cs="TimesNewRoman"/>
        </w:rPr>
        <w:t>The overall clinical design and dose selection was based on guidance and advice with regulatory</w:t>
      </w:r>
      <w:r>
        <w:rPr>
          <w:rFonts w:eastAsia="TimesNewRoman" w:cs="TimesNewRoman"/>
        </w:rPr>
        <w:t xml:space="preserve"> </w:t>
      </w:r>
      <w:r w:rsidRPr="001F0D19">
        <w:rPr>
          <w:rFonts w:eastAsia="TimesNewRoman" w:cs="TimesNewRoman"/>
        </w:rPr>
        <w:t xml:space="preserve">authorities including those in the United States, the </w:t>
      </w:r>
      <w:r w:rsidR="00A52C58">
        <w:rPr>
          <w:rFonts w:eastAsia="TimesNewRoman" w:cs="TimesNewRoman"/>
        </w:rPr>
        <w:t>EU</w:t>
      </w:r>
      <w:r w:rsidRPr="001F0D19">
        <w:rPr>
          <w:rFonts w:eastAsia="TimesNewRoman" w:cs="TimesNewRoman"/>
        </w:rPr>
        <w:t xml:space="preserve"> and Japan</w:t>
      </w:r>
      <w:r>
        <w:rPr>
          <w:rFonts w:eastAsia="TimesNewRoman" w:cs="TimesNewRoman"/>
        </w:rPr>
        <w:t>.</w:t>
      </w:r>
    </w:p>
    <w:p w14:paraId="6273FDEA" w14:textId="6246EE75" w:rsidR="00605AD4" w:rsidRDefault="00605AD4" w:rsidP="00605AD4">
      <w:pPr>
        <w:pStyle w:val="Heading4"/>
      </w:pPr>
      <w:r w:rsidRPr="00605AD4">
        <w:lastRenderedPageBreak/>
        <w:t>Contents of the clinical dossier</w:t>
      </w:r>
    </w:p>
    <w:p w14:paraId="16E0F006" w14:textId="77777777" w:rsidR="00D53DDC" w:rsidRDefault="00D53DDC" w:rsidP="00A52C58">
      <w:pPr>
        <w:pStyle w:val="Heading5"/>
      </w:pPr>
      <w:bookmarkStart w:id="72" w:name="_Toc466630535"/>
      <w:r>
        <w:t>Scope of the clinical dossier</w:t>
      </w:r>
      <w:bookmarkEnd w:id="72"/>
    </w:p>
    <w:p w14:paraId="3089B2DB" w14:textId="77777777" w:rsidR="00815F43" w:rsidRDefault="00D53DDC" w:rsidP="00A52C58">
      <w:r>
        <w:t xml:space="preserve">The submitted dossier documented a </w:t>
      </w:r>
      <w:r w:rsidRPr="00FC5BD4">
        <w:t>clinical development program</w:t>
      </w:r>
      <w:r>
        <w:t xml:space="preserve"> of pharmacology, dose-finding, pivotal and other clinical trials relating to the proposed extension of indications.</w:t>
      </w:r>
    </w:p>
    <w:p w14:paraId="0C149E25" w14:textId="092C4DE7" w:rsidR="00D53DDC" w:rsidRDefault="00D53DDC" w:rsidP="00A52C58">
      <w:r>
        <w:t xml:space="preserve">The </w:t>
      </w:r>
      <w:r w:rsidRPr="00FC5BD4">
        <w:t>clinical development program in Crohn’s Disease consist</w:t>
      </w:r>
      <w:r>
        <w:t>ed</w:t>
      </w:r>
      <w:r w:rsidRPr="00FC5BD4">
        <w:t xml:space="preserve"> of two placebo-controlled Phase</w:t>
      </w:r>
      <w:r>
        <w:t xml:space="preserve"> </w:t>
      </w:r>
      <w:r w:rsidR="00A52C58">
        <w:t>II</w:t>
      </w:r>
      <w:r w:rsidRPr="00FC5BD4">
        <w:t xml:space="preserve"> studies,</w:t>
      </w:r>
      <w:r w:rsidR="00A52C58">
        <w:t xml:space="preserve"> three placebo-controlled Phase III studies, and a Phase I</w:t>
      </w:r>
      <w:r w:rsidRPr="00FC5BD4">
        <w:t xml:space="preserve"> study</w:t>
      </w:r>
      <w:r w:rsidR="00A52C58">
        <w:t xml:space="preserve"> as </w:t>
      </w:r>
      <w:r w:rsidR="00957FBB">
        <w:t>follows</w:t>
      </w:r>
      <w:r w:rsidRPr="00FC5BD4">
        <w:t>.</w:t>
      </w:r>
    </w:p>
    <w:p w14:paraId="0B96464F" w14:textId="77777777" w:rsidR="00815F43" w:rsidRDefault="00D53DDC" w:rsidP="00A52C58">
      <w:pPr>
        <w:pStyle w:val="ListBullet"/>
      </w:pPr>
      <w:r>
        <w:t xml:space="preserve">Clinical pharmacology: One </w:t>
      </w:r>
      <w:r w:rsidR="004B6C8D">
        <w:t>Phase I</w:t>
      </w:r>
      <w:r>
        <w:t xml:space="preserve"> PK comparability study in healthy subjects (CNT01275NAP1002).</w:t>
      </w:r>
    </w:p>
    <w:p w14:paraId="32827BF5" w14:textId="5636DE7C" w:rsidR="00815F43" w:rsidRDefault="00D53DDC" w:rsidP="00A52C58">
      <w:pPr>
        <w:pStyle w:val="ListBullet"/>
      </w:pPr>
      <w:r>
        <w:t>T</w:t>
      </w:r>
      <w:r w:rsidR="00A52C58">
        <w:t>wo Dose–finding studies: Phase II</w:t>
      </w:r>
      <w:r>
        <w:t xml:space="preserve">a </w:t>
      </w:r>
      <w:r w:rsidR="004B6C8D">
        <w:t>Study C0</w:t>
      </w:r>
      <w:r w:rsidRPr="00FC5BD4">
        <w:t>379T07</w:t>
      </w:r>
      <w:r w:rsidR="00A52C58">
        <w:t xml:space="preserve"> and the Phase II</w:t>
      </w:r>
      <w:r>
        <w:t xml:space="preserve">b </w:t>
      </w:r>
      <w:r w:rsidR="004B6C8D">
        <w:t>Study C0</w:t>
      </w:r>
      <w:r>
        <w:t>743T26.</w:t>
      </w:r>
    </w:p>
    <w:p w14:paraId="13C3B5B9" w14:textId="12022F0A" w:rsidR="00D53DDC" w:rsidRDefault="00D53DDC" w:rsidP="00A52C58">
      <w:pPr>
        <w:pStyle w:val="ListBullet"/>
      </w:pPr>
      <w:r>
        <w:t xml:space="preserve">Population PK studies: </w:t>
      </w:r>
      <w:r w:rsidRPr="00856842">
        <w:rPr>
          <w:rFonts w:cstheme="minorHAnsi"/>
        </w:rPr>
        <w:t xml:space="preserve">PopPK modelling </w:t>
      </w:r>
      <w:r w:rsidRPr="00856842">
        <w:rPr>
          <w:rFonts w:eastAsia="TimesNewRoman" w:cstheme="minorHAnsi"/>
        </w:rPr>
        <w:t xml:space="preserve">was undertaken using PK data obtained from one </w:t>
      </w:r>
      <w:r w:rsidR="004B6C8D">
        <w:rPr>
          <w:rFonts w:eastAsia="TimesNewRoman" w:cstheme="minorHAnsi"/>
        </w:rPr>
        <w:t>Phase II</w:t>
      </w:r>
      <w:r w:rsidRPr="00856842">
        <w:rPr>
          <w:rFonts w:eastAsia="TimesNewRoman" w:cstheme="minorHAnsi"/>
        </w:rPr>
        <w:t>b st</w:t>
      </w:r>
      <w:r w:rsidR="00A52C58">
        <w:rPr>
          <w:rFonts w:eastAsia="TimesNewRoman" w:cstheme="minorHAnsi"/>
        </w:rPr>
        <w:t>udy (C0743T26) and three Phase III</w:t>
      </w:r>
      <w:r w:rsidRPr="00856842">
        <w:rPr>
          <w:rFonts w:eastAsia="TimesNewRoman" w:cstheme="minorHAnsi"/>
        </w:rPr>
        <w:t xml:space="preserve"> studies</w:t>
      </w:r>
      <w:r w:rsidR="00A52C58">
        <w:rPr>
          <w:rFonts w:eastAsia="TimesNewRoman" w:cstheme="minorHAnsi"/>
        </w:rPr>
        <w:t>;</w:t>
      </w:r>
      <w:r w:rsidRPr="00856842">
        <w:rPr>
          <w:rFonts w:eastAsia="TimesNewRoman" w:cstheme="minorHAnsi"/>
        </w:rPr>
        <w:t xml:space="preserve"> CRD3001, CRD3002 and CRD3003.</w:t>
      </w:r>
    </w:p>
    <w:p w14:paraId="561F4283" w14:textId="77777777" w:rsidR="00D53DDC" w:rsidRDefault="00D53DDC" w:rsidP="00A52C58">
      <w:pPr>
        <w:pStyle w:val="ListBullet"/>
      </w:pPr>
      <w:r>
        <w:t>Pivotal effi</w:t>
      </w:r>
      <w:r w:rsidR="00A52C58">
        <w:t>cacy/ safety studies: Two Phase</w:t>
      </w:r>
      <w:r w:rsidR="001657EC">
        <w:t xml:space="preserve"> </w:t>
      </w:r>
      <w:r w:rsidR="00A52C58">
        <w:t>III</w:t>
      </w:r>
      <w:r>
        <w:t xml:space="preserve"> studies CRD3001 </w:t>
      </w:r>
      <w:r w:rsidR="001657EC">
        <w:t xml:space="preserve">(3001) </w:t>
      </w:r>
      <w:r>
        <w:t>and CRD3002</w:t>
      </w:r>
      <w:r w:rsidR="001657EC">
        <w:t xml:space="preserve"> (3002)</w:t>
      </w:r>
    </w:p>
    <w:p w14:paraId="0847804C" w14:textId="77777777" w:rsidR="00D53DDC" w:rsidRPr="00FC5BD4" w:rsidRDefault="00D53DDC" w:rsidP="00A52C58">
      <w:pPr>
        <w:pStyle w:val="ListBullet"/>
      </w:pPr>
      <w:r>
        <w:t xml:space="preserve">Other efficacy/ safety studies: </w:t>
      </w:r>
      <w:r w:rsidRPr="00FC5BD4">
        <w:t>Efficacy and safety data are also provided for the</w:t>
      </w:r>
      <w:r>
        <w:t xml:space="preserve"> </w:t>
      </w:r>
      <w:r w:rsidRPr="00FC5BD4">
        <w:t xml:space="preserve">Phase </w:t>
      </w:r>
      <w:r w:rsidR="00A52C58">
        <w:t>II</w:t>
      </w:r>
      <w:r w:rsidRPr="00FC5BD4">
        <w:t xml:space="preserve"> studies (C0379T07, 28 weeks; C0743T26, 36 weeks).</w:t>
      </w:r>
    </w:p>
    <w:p w14:paraId="3A119BE2" w14:textId="77777777" w:rsidR="00605AD4" w:rsidRDefault="00605AD4" w:rsidP="00A52C58">
      <w:pPr>
        <w:pStyle w:val="Heading4"/>
      </w:pPr>
      <w:r w:rsidRPr="00605AD4">
        <w:t>Paediatric data</w:t>
      </w:r>
    </w:p>
    <w:p w14:paraId="5095F063" w14:textId="77777777" w:rsidR="00D53DDC" w:rsidRDefault="00D53DDC" w:rsidP="00A52C58">
      <w:pPr>
        <w:rPr>
          <w:lang w:eastAsia="ja-JP"/>
        </w:rPr>
      </w:pPr>
      <w:r>
        <w:rPr>
          <w:lang w:eastAsia="ja-JP"/>
        </w:rPr>
        <w:t>No paediatric data were provided. No clinical studies of ustekinumab have been conducted in paediatric subjects (&lt;</w:t>
      </w:r>
      <w:r w:rsidR="00A52C58">
        <w:rPr>
          <w:lang w:eastAsia="ja-JP"/>
        </w:rPr>
        <w:t xml:space="preserve"> </w:t>
      </w:r>
      <w:r>
        <w:rPr>
          <w:lang w:eastAsia="ja-JP"/>
        </w:rPr>
        <w:t>18 years) with Crohn’s disease.</w:t>
      </w:r>
    </w:p>
    <w:p w14:paraId="2333E427" w14:textId="77777777" w:rsidR="00D53DDC" w:rsidRDefault="00D53DDC" w:rsidP="00A52C58">
      <w:pPr>
        <w:pStyle w:val="Heading4"/>
      </w:pPr>
      <w:bookmarkStart w:id="73" w:name="_Toc466630540"/>
      <w:r>
        <w:t>Good clinical practice</w:t>
      </w:r>
      <w:bookmarkEnd w:id="73"/>
    </w:p>
    <w:p w14:paraId="18C46C02" w14:textId="77777777" w:rsidR="00F745D9" w:rsidRPr="001F0D19" w:rsidRDefault="00F745D9" w:rsidP="00F745D9">
      <w:pPr>
        <w:autoSpaceDE w:val="0"/>
        <w:autoSpaceDN w:val="0"/>
        <w:adjustRightInd w:val="0"/>
        <w:spacing w:before="0" w:line="240" w:lineRule="auto"/>
        <w:rPr>
          <w:rFonts w:asciiTheme="minorHAnsi" w:hAnsiTheme="minorHAnsi"/>
          <w:lang w:eastAsia="ja-JP"/>
        </w:rPr>
      </w:pPr>
      <w:r w:rsidRPr="001F0D19">
        <w:rPr>
          <w:rFonts w:asciiTheme="minorHAnsi" w:eastAsia="TimesNewRoman" w:hAnsiTheme="minorHAnsi" w:cs="TimesNewRoman"/>
        </w:rPr>
        <w:t>All studies included in this submission were conducted and reported in accordance with the</w:t>
      </w:r>
      <w:r>
        <w:rPr>
          <w:rFonts w:asciiTheme="minorHAnsi" w:eastAsia="TimesNewRoman" w:hAnsiTheme="minorHAnsi" w:cs="TimesNewRoman"/>
        </w:rPr>
        <w:t xml:space="preserve"> </w:t>
      </w:r>
      <w:r w:rsidRPr="001F0D19">
        <w:rPr>
          <w:rFonts w:asciiTheme="minorHAnsi" w:eastAsia="TimesNewRoman" w:hAnsiTheme="minorHAnsi" w:cs="TimesNewRoman"/>
        </w:rPr>
        <w:t>ethical principles originating in the Declaration of Helsinki and in accordance with ICH Good</w:t>
      </w:r>
      <w:r>
        <w:rPr>
          <w:rFonts w:asciiTheme="minorHAnsi" w:eastAsia="TimesNewRoman" w:hAnsiTheme="minorHAnsi" w:cs="TimesNewRoman"/>
        </w:rPr>
        <w:t xml:space="preserve"> </w:t>
      </w:r>
      <w:r w:rsidRPr="001F0D19">
        <w:rPr>
          <w:rFonts w:asciiTheme="minorHAnsi" w:eastAsia="TimesNewRoman" w:hAnsiTheme="minorHAnsi" w:cs="TimesNewRoman"/>
        </w:rPr>
        <w:t>Clinical Practice (GCP) guidelines, applicable regulatory requirements, and in compliance with</w:t>
      </w:r>
      <w:r>
        <w:rPr>
          <w:rFonts w:asciiTheme="minorHAnsi" w:eastAsia="TimesNewRoman" w:hAnsiTheme="minorHAnsi" w:cs="TimesNewRoman"/>
        </w:rPr>
        <w:t xml:space="preserve"> </w:t>
      </w:r>
      <w:r w:rsidRPr="001F0D19">
        <w:rPr>
          <w:rFonts w:asciiTheme="minorHAnsi" w:eastAsia="TimesNewRoman" w:hAnsiTheme="minorHAnsi" w:cs="TimesNewRoman"/>
        </w:rPr>
        <w:t>the respective protocols.</w:t>
      </w:r>
    </w:p>
    <w:p w14:paraId="42705946" w14:textId="77777777" w:rsidR="008E7846" w:rsidRDefault="008E7846" w:rsidP="00605AD4">
      <w:pPr>
        <w:pStyle w:val="Heading3"/>
      </w:pPr>
      <w:bookmarkStart w:id="74" w:name="_Toc497744820"/>
      <w:r w:rsidRPr="00254787">
        <w:t>Pharmacokinetics</w:t>
      </w:r>
      <w:bookmarkEnd w:id="58"/>
      <w:bookmarkEnd w:id="66"/>
      <w:bookmarkEnd w:id="67"/>
      <w:bookmarkEnd w:id="68"/>
      <w:bookmarkEnd w:id="74"/>
    </w:p>
    <w:p w14:paraId="6B1DB662" w14:textId="77777777" w:rsidR="00605AD4" w:rsidRPr="00A52C58" w:rsidRDefault="00605AD4" w:rsidP="00A52C58">
      <w:pPr>
        <w:pStyle w:val="Heading4"/>
      </w:pPr>
      <w:r>
        <w:t>Studies</w:t>
      </w:r>
      <w:r w:rsidR="00A52C58">
        <w:t xml:space="preserve"> providing pharmacokinetic data</w:t>
      </w:r>
    </w:p>
    <w:p w14:paraId="6DEAB347" w14:textId="77777777" w:rsidR="00117231" w:rsidRDefault="00A52C58" w:rsidP="00A52C58">
      <w:r>
        <w:t>The following table summari</w:t>
      </w:r>
      <w:r w:rsidR="00AF52B0">
        <w:t>s</w:t>
      </w:r>
      <w:r>
        <w:t>es the studies providing pharmacokinetic data.</w:t>
      </w:r>
    </w:p>
    <w:p w14:paraId="5FEC975D" w14:textId="77777777" w:rsidR="00117231" w:rsidRPr="00D208FF" w:rsidRDefault="00117231" w:rsidP="00A52C58">
      <w:pPr>
        <w:pStyle w:val="TableTitle"/>
      </w:pPr>
      <w:bookmarkStart w:id="75" w:name="_Ref456867216"/>
      <w:r w:rsidRPr="00D208FF">
        <w:t xml:space="preserve">Table </w:t>
      </w:r>
      <w:r w:rsidR="00A52C58">
        <w:t>4:</w:t>
      </w:r>
      <w:r w:rsidRPr="00D208FF">
        <w:t xml:space="preserve"> Submitted pharmacokinetic studies</w:t>
      </w:r>
      <w:bookmarkEnd w:id="75"/>
    </w:p>
    <w:tbl>
      <w:tblPr>
        <w:tblStyle w:val="TableTGAblue"/>
        <w:tblW w:w="0" w:type="auto"/>
        <w:jc w:val="center"/>
        <w:tblLayout w:type="fixed"/>
        <w:tblLook w:val="04A0" w:firstRow="1" w:lastRow="0" w:firstColumn="1" w:lastColumn="0" w:noHBand="0" w:noVBand="1"/>
        <w:tblDescription w:val="Table 4 is a list of submitted pharmacokinetic studies.  This table contains 4 heading columns: 1. PK topic, 2. subtopic, 3. study ID and 4. *"/>
      </w:tblPr>
      <w:tblGrid>
        <w:gridCol w:w="1755"/>
        <w:gridCol w:w="1463"/>
        <w:gridCol w:w="1701"/>
        <w:gridCol w:w="3543"/>
      </w:tblGrid>
      <w:tr w:rsidR="00A52C58" w:rsidRPr="00A52C58" w14:paraId="5F53E4F5" w14:textId="77777777" w:rsidTr="00A52C58">
        <w:trPr>
          <w:cnfStyle w:val="100000000000" w:firstRow="1" w:lastRow="0" w:firstColumn="0" w:lastColumn="0" w:oddVBand="0" w:evenVBand="0" w:oddHBand="0" w:evenHBand="0" w:firstRowFirstColumn="0" w:firstRowLastColumn="0" w:lastRowFirstColumn="0" w:lastRowLastColumn="0"/>
          <w:cantSplit/>
          <w:jc w:val="center"/>
        </w:trPr>
        <w:tc>
          <w:tcPr>
            <w:tcW w:w="1755" w:type="dxa"/>
            <w:vAlign w:val="center"/>
          </w:tcPr>
          <w:p w14:paraId="1277AC45" w14:textId="77777777" w:rsidR="00A52C58" w:rsidRPr="00436AF6" w:rsidRDefault="00A52C58" w:rsidP="00B53476">
            <w:pPr>
              <w:pStyle w:val="TableTitle"/>
              <w:rPr>
                <w:b/>
              </w:rPr>
            </w:pPr>
            <w:r w:rsidRPr="00436AF6">
              <w:rPr>
                <w:b/>
              </w:rPr>
              <w:t>PK topic</w:t>
            </w:r>
          </w:p>
        </w:tc>
        <w:tc>
          <w:tcPr>
            <w:tcW w:w="1463" w:type="dxa"/>
            <w:vAlign w:val="center"/>
          </w:tcPr>
          <w:p w14:paraId="1418929C" w14:textId="77777777" w:rsidR="00A52C58" w:rsidRPr="00436AF6" w:rsidRDefault="00A52C58" w:rsidP="00B53476">
            <w:pPr>
              <w:pStyle w:val="TableTitle"/>
              <w:rPr>
                <w:b/>
              </w:rPr>
            </w:pPr>
            <w:r w:rsidRPr="00436AF6">
              <w:rPr>
                <w:b/>
              </w:rPr>
              <w:t>Subtopic</w:t>
            </w:r>
          </w:p>
        </w:tc>
        <w:tc>
          <w:tcPr>
            <w:tcW w:w="1701" w:type="dxa"/>
            <w:vAlign w:val="center"/>
          </w:tcPr>
          <w:p w14:paraId="0DBD1F5A" w14:textId="77777777" w:rsidR="00A52C58" w:rsidRPr="00436AF6" w:rsidRDefault="00A52C58" w:rsidP="00B53476">
            <w:pPr>
              <w:pStyle w:val="TableTitle"/>
              <w:rPr>
                <w:b/>
              </w:rPr>
            </w:pPr>
            <w:r w:rsidRPr="00436AF6">
              <w:rPr>
                <w:b/>
              </w:rPr>
              <w:t>Study ID</w:t>
            </w:r>
          </w:p>
        </w:tc>
        <w:tc>
          <w:tcPr>
            <w:tcW w:w="3543" w:type="dxa"/>
            <w:vAlign w:val="center"/>
          </w:tcPr>
          <w:p w14:paraId="2B686769" w14:textId="77777777" w:rsidR="00A52C58" w:rsidRPr="00436AF6" w:rsidRDefault="00A52C58" w:rsidP="00B53476">
            <w:pPr>
              <w:pStyle w:val="TableTitle"/>
              <w:rPr>
                <w:b/>
              </w:rPr>
            </w:pPr>
            <w:r w:rsidRPr="00436AF6">
              <w:rPr>
                <w:b/>
              </w:rPr>
              <w:t>*</w:t>
            </w:r>
          </w:p>
        </w:tc>
      </w:tr>
      <w:tr w:rsidR="00A52C58" w:rsidRPr="00A52C58" w14:paraId="30BC2F4B" w14:textId="77777777" w:rsidTr="00A52C58">
        <w:trPr>
          <w:cantSplit/>
          <w:jc w:val="center"/>
        </w:trPr>
        <w:tc>
          <w:tcPr>
            <w:tcW w:w="1755" w:type="dxa"/>
          </w:tcPr>
          <w:p w14:paraId="30838596" w14:textId="77777777" w:rsidR="00A52C58" w:rsidRPr="00A52C58" w:rsidRDefault="00A52C58" w:rsidP="00B53476">
            <w:pPr>
              <w:pStyle w:val="Tabletext"/>
            </w:pPr>
            <w:r w:rsidRPr="00A52C58">
              <w:t>PK in healthy adults</w:t>
            </w:r>
          </w:p>
        </w:tc>
        <w:tc>
          <w:tcPr>
            <w:tcW w:w="1463" w:type="dxa"/>
          </w:tcPr>
          <w:p w14:paraId="40A8ABA0" w14:textId="77777777" w:rsidR="00A52C58" w:rsidRPr="00A52C58" w:rsidRDefault="00A52C58" w:rsidP="00B53476">
            <w:pPr>
              <w:pStyle w:val="Tabletext"/>
            </w:pPr>
            <w:r w:rsidRPr="00A52C58">
              <w:t>General PK Single dose†</w:t>
            </w:r>
          </w:p>
        </w:tc>
        <w:tc>
          <w:tcPr>
            <w:tcW w:w="1701" w:type="dxa"/>
          </w:tcPr>
          <w:p w14:paraId="21CCF4B1" w14:textId="77777777" w:rsidR="00A52C58" w:rsidRPr="00A52C58" w:rsidRDefault="00A52C58" w:rsidP="00B53476">
            <w:pPr>
              <w:pStyle w:val="Tabletext"/>
            </w:pPr>
            <w:r w:rsidRPr="00A52C58">
              <w:rPr>
                <w:rFonts w:eastAsiaTheme="minorHAnsi"/>
              </w:rPr>
              <w:t>NAP1002</w:t>
            </w:r>
          </w:p>
        </w:tc>
        <w:tc>
          <w:tcPr>
            <w:tcW w:w="3543" w:type="dxa"/>
          </w:tcPr>
          <w:p w14:paraId="4ED3DC6D" w14:textId="77777777" w:rsidR="00A52C58" w:rsidRPr="00A52C58" w:rsidRDefault="00A52C58" w:rsidP="00B53476">
            <w:pPr>
              <w:pStyle w:val="Tabletext"/>
              <w:rPr>
                <w:rFonts w:eastAsia="TimesNewRoman"/>
                <w:lang w:eastAsia="en-US"/>
              </w:rPr>
            </w:pPr>
            <w:r w:rsidRPr="00A52C58">
              <w:t>PKs of 2 IV formulations, 90 mg/mL and 5 mg/mL, following a single dose of 6 mg/kg</w:t>
            </w:r>
            <w:r w:rsidRPr="00A52C58">
              <w:rPr>
                <w:rFonts w:eastAsia="TimesNewRoman"/>
                <w:lang w:eastAsia="en-US"/>
              </w:rPr>
              <w:t>.</w:t>
            </w:r>
          </w:p>
        </w:tc>
      </w:tr>
      <w:tr w:rsidR="00A52C58" w:rsidRPr="00A52C58" w14:paraId="27A2DDE7" w14:textId="77777777" w:rsidTr="00A52C58">
        <w:trPr>
          <w:cantSplit/>
          <w:jc w:val="center"/>
        </w:trPr>
        <w:tc>
          <w:tcPr>
            <w:tcW w:w="1755" w:type="dxa"/>
            <w:vMerge w:val="restart"/>
          </w:tcPr>
          <w:p w14:paraId="3E6F2717" w14:textId="77777777" w:rsidR="00A52C58" w:rsidRPr="00A52C58" w:rsidRDefault="00A52C58" w:rsidP="00B53476">
            <w:pPr>
              <w:pStyle w:val="Tabletext"/>
            </w:pPr>
            <w:r w:rsidRPr="00A52C58">
              <w:lastRenderedPageBreak/>
              <w:t>PK in special pop</w:t>
            </w:r>
            <w:r w:rsidRPr="00A52C58">
              <w:rPr>
                <w:vertAlign w:val="superscript"/>
              </w:rPr>
              <w:t>n</w:t>
            </w:r>
          </w:p>
        </w:tc>
        <w:tc>
          <w:tcPr>
            <w:tcW w:w="1463" w:type="dxa"/>
            <w:vMerge w:val="restart"/>
          </w:tcPr>
          <w:p w14:paraId="493B64D6" w14:textId="77777777" w:rsidR="00A52C58" w:rsidRPr="00A52C58" w:rsidRDefault="00A52C58" w:rsidP="00B53476">
            <w:pPr>
              <w:pStyle w:val="Tabletext"/>
            </w:pPr>
            <w:r w:rsidRPr="00A52C58">
              <w:t>Target pop</w:t>
            </w:r>
            <w:r w:rsidRPr="00A52C58">
              <w:rPr>
                <w:vertAlign w:val="superscript"/>
              </w:rPr>
              <w:t>n</w:t>
            </w:r>
            <w:r w:rsidRPr="00A52C58">
              <w:t xml:space="preserve"> - subjects with Crohn’s disease§</w:t>
            </w:r>
          </w:p>
        </w:tc>
        <w:tc>
          <w:tcPr>
            <w:tcW w:w="1701" w:type="dxa"/>
          </w:tcPr>
          <w:p w14:paraId="06984A86" w14:textId="77777777" w:rsidR="00A52C58" w:rsidRPr="00A52C58" w:rsidRDefault="00A52C58" w:rsidP="00B53476">
            <w:pPr>
              <w:pStyle w:val="Tabletext"/>
            </w:pPr>
            <w:r w:rsidRPr="00A52C58">
              <w:rPr>
                <w:rFonts w:eastAsia="TimesNewRoman"/>
              </w:rPr>
              <w:t>C0379T07</w:t>
            </w:r>
          </w:p>
        </w:tc>
        <w:tc>
          <w:tcPr>
            <w:tcW w:w="3543" w:type="dxa"/>
          </w:tcPr>
          <w:p w14:paraId="1B6FB5EC" w14:textId="77777777" w:rsidR="00A52C58" w:rsidRPr="00A52C58" w:rsidRDefault="00A52C58" w:rsidP="00B53476">
            <w:pPr>
              <w:pStyle w:val="Tabletext"/>
              <w:rPr>
                <w:rFonts w:eastAsia="TimesNewRoman"/>
                <w:lang w:eastAsia="en-US"/>
              </w:rPr>
            </w:pPr>
            <w:r w:rsidRPr="00A52C58">
              <w:rPr>
                <w:rFonts w:eastAsia="TimesNewRoman"/>
                <w:lang w:eastAsia="en-US"/>
              </w:rPr>
              <w:t xml:space="preserve">PK/PD following a single IV or multiple SC administrations in subjects with moderately to severely active disease despite treatment with 5-ASA compounds, antibiotics, corticosteroids, and/or </w:t>
            </w:r>
            <w:r w:rsidR="00957FBB">
              <w:rPr>
                <w:rFonts w:eastAsia="TimesNewRoman"/>
                <w:lang w:eastAsia="en-US"/>
              </w:rPr>
              <w:t>immune-</w:t>
            </w:r>
            <w:r w:rsidRPr="00A52C58">
              <w:rPr>
                <w:rFonts w:eastAsia="TimesNewRoman"/>
                <w:lang w:eastAsia="en-US"/>
              </w:rPr>
              <w:t>modulators</w:t>
            </w:r>
          </w:p>
        </w:tc>
      </w:tr>
      <w:tr w:rsidR="00A52C58" w:rsidRPr="00A52C58" w14:paraId="567CFE67" w14:textId="77777777" w:rsidTr="00A52C58">
        <w:trPr>
          <w:cantSplit/>
          <w:jc w:val="center"/>
        </w:trPr>
        <w:tc>
          <w:tcPr>
            <w:tcW w:w="1755" w:type="dxa"/>
            <w:vMerge/>
          </w:tcPr>
          <w:p w14:paraId="2E279F1E" w14:textId="77777777" w:rsidR="00A52C58" w:rsidRPr="00A52C58" w:rsidRDefault="00A52C58" w:rsidP="00B53476">
            <w:pPr>
              <w:pStyle w:val="Tabletext"/>
            </w:pPr>
          </w:p>
        </w:tc>
        <w:tc>
          <w:tcPr>
            <w:tcW w:w="1463" w:type="dxa"/>
            <w:vMerge/>
          </w:tcPr>
          <w:p w14:paraId="410FFE37" w14:textId="77777777" w:rsidR="00A52C58" w:rsidRPr="00A52C58" w:rsidRDefault="00A52C58" w:rsidP="00B53476">
            <w:pPr>
              <w:pStyle w:val="Tabletext"/>
            </w:pPr>
          </w:p>
        </w:tc>
        <w:tc>
          <w:tcPr>
            <w:tcW w:w="1701" w:type="dxa"/>
          </w:tcPr>
          <w:p w14:paraId="1D98664A" w14:textId="77777777" w:rsidR="00A52C58" w:rsidRPr="00A52C58" w:rsidRDefault="00A52C58" w:rsidP="00B53476">
            <w:pPr>
              <w:pStyle w:val="Tabletext"/>
            </w:pPr>
            <w:r w:rsidRPr="00A52C58">
              <w:rPr>
                <w:rFonts w:eastAsiaTheme="minorHAnsi"/>
              </w:rPr>
              <w:t>C0743T26</w:t>
            </w:r>
          </w:p>
        </w:tc>
        <w:tc>
          <w:tcPr>
            <w:tcW w:w="3543" w:type="dxa"/>
          </w:tcPr>
          <w:p w14:paraId="7A98E458" w14:textId="77777777" w:rsidR="00A52C58" w:rsidRPr="00A52C58" w:rsidRDefault="00A52C58" w:rsidP="00B53476">
            <w:pPr>
              <w:pStyle w:val="Tabletext"/>
            </w:pPr>
            <w:r w:rsidRPr="00A52C58">
              <w:rPr>
                <w:rFonts w:eastAsia="TimesNewRoman"/>
                <w:lang w:eastAsia="en-US"/>
              </w:rPr>
              <w:t>PK/PD following an IV induction dose and multiple SC maintenance doses in subjects with moderately to severely active disease who had received treatment with 1 or more TNF antagonists and had not responded initially, responded and then lost response, or were TNF-intolerant.</w:t>
            </w:r>
          </w:p>
        </w:tc>
      </w:tr>
      <w:tr w:rsidR="00A52C58" w:rsidRPr="00A52C58" w14:paraId="0690B0AF" w14:textId="77777777" w:rsidTr="00A52C58">
        <w:trPr>
          <w:cantSplit/>
          <w:jc w:val="center"/>
        </w:trPr>
        <w:tc>
          <w:tcPr>
            <w:tcW w:w="1755" w:type="dxa"/>
            <w:vMerge/>
          </w:tcPr>
          <w:p w14:paraId="143887C4" w14:textId="77777777" w:rsidR="00A52C58" w:rsidRPr="00A52C58" w:rsidRDefault="00A52C58" w:rsidP="00B53476">
            <w:pPr>
              <w:pStyle w:val="Tabletext"/>
            </w:pPr>
          </w:p>
        </w:tc>
        <w:tc>
          <w:tcPr>
            <w:tcW w:w="1463" w:type="dxa"/>
            <w:vMerge/>
          </w:tcPr>
          <w:p w14:paraId="57BD3594" w14:textId="77777777" w:rsidR="00A52C58" w:rsidRPr="00A52C58" w:rsidRDefault="00A52C58" w:rsidP="00B53476">
            <w:pPr>
              <w:pStyle w:val="Tabletext"/>
            </w:pPr>
          </w:p>
        </w:tc>
        <w:tc>
          <w:tcPr>
            <w:tcW w:w="1701" w:type="dxa"/>
          </w:tcPr>
          <w:p w14:paraId="10BD64A2" w14:textId="77777777" w:rsidR="00A52C58" w:rsidRPr="00A52C58" w:rsidRDefault="00A52C58" w:rsidP="00B53476">
            <w:pPr>
              <w:pStyle w:val="Tabletext"/>
            </w:pPr>
            <w:r w:rsidRPr="00A52C58">
              <w:rPr>
                <w:rFonts w:eastAsia="TimesNewRoman"/>
              </w:rPr>
              <w:t>CRD3001</w:t>
            </w:r>
          </w:p>
        </w:tc>
        <w:tc>
          <w:tcPr>
            <w:tcW w:w="3543" w:type="dxa"/>
          </w:tcPr>
          <w:p w14:paraId="4CCA439D" w14:textId="77777777" w:rsidR="00A52C58" w:rsidRPr="00A52C58" w:rsidRDefault="00A52C58" w:rsidP="00B53476">
            <w:pPr>
              <w:pStyle w:val="Tabletext"/>
            </w:pPr>
            <w:r w:rsidRPr="00A52C58">
              <w:rPr>
                <w:rFonts w:eastAsia="TimesNewRoman"/>
                <w:lang w:eastAsia="en-US"/>
              </w:rPr>
              <w:t>PK/PD following an IV induction dose in subjects with moderately to severely active disease had who previously failed or were intolerant to 1 or more TNF-antagonist therapies.</w:t>
            </w:r>
          </w:p>
        </w:tc>
      </w:tr>
      <w:tr w:rsidR="00A52C58" w:rsidRPr="00A52C58" w14:paraId="5A8C0240" w14:textId="77777777" w:rsidTr="00A52C58">
        <w:trPr>
          <w:cantSplit/>
          <w:jc w:val="center"/>
        </w:trPr>
        <w:tc>
          <w:tcPr>
            <w:tcW w:w="1755" w:type="dxa"/>
            <w:vMerge/>
          </w:tcPr>
          <w:p w14:paraId="77D6EA76" w14:textId="77777777" w:rsidR="00A52C58" w:rsidRPr="00A52C58" w:rsidRDefault="00A52C58" w:rsidP="00B53476">
            <w:pPr>
              <w:pStyle w:val="Tabletext"/>
            </w:pPr>
          </w:p>
        </w:tc>
        <w:tc>
          <w:tcPr>
            <w:tcW w:w="1463" w:type="dxa"/>
            <w:vMerge/>
          </w:tcPr>
          <w:p w14:paraId="0AED9640" w14:textId="77777777" w:rsidR="00A52C58" w:rsidRPr="00A52C58" w:rsidRDefault="00A52C58" w:rsidP="00B53476">
            <w:pPr>
              <w:pStyle w:val="Tabletext"/>
            </w:pPr>
          </w:p>
        </w:tc>
        <w:tc>
          <w:tcPr>
            <w:tcW w:w="1701" w:type="dxa"/>
          </w:tcPr>
          <w:p w14:paraId="57A9BF95" w14:textId="77777777" w:rsidR="00A52C58" w:rsidRPr="00A52C58" w:rsidRDefault="00A52C58" w:rsidP="00B53476">
            <w:pPr>
              <w:pStyle w:val="Tabletext"/>
            </w:pPr>
            <w:r w:rsidRPr="00A52C58">
              <w:rPr>
                <w:rFonts w:eastAsia="TimesNewRoman"/>
              </w:rPr>
              <w:t>CRD3002</w:t>
            </w:r>
          </w:p>
        </w:tc>
        <w:tc>
          <w:tcPr>
            <w:tcW w:w="3543" w:type="dxa"/>
          </w:tcPr>
          <w:p w14:paraId="2627A906" w14:textId="77777777" w:rsidR="00A52C58" w:rsidRPr="00A52C58" w:rsidRDefault="00A52C58" w:rsidP="00B53476">
            <w:pPr>
              <w:pStyle w:val="Tabletext"/>
            </w:pPr>
            <w:r w:rsidRPr="00A52C58">
              <w:rPr>
                <w:rFonts w:eastAsia="TimesNewRoman"/>
                <w:lang w:eastAsia="en-US"/>
              </w:rPr>
              <w:t>PK/PD following an IV induction dose in subjects with moderately to severely active disease with evidence of active inflammation who failed conventional therapy.</w:t>
            </w:r>
          </w:p>
        </w:tc>
      </w:tr>
      <w:tr w:rsidR="00A52C58" w:rsidRPr="00A52C58" w14:paraId="5156A20B" w14:textId="77777777" w:rsidTr="00A52C58">
        <w:trPr>
          <w:cantSplit/>
          <w:jc w:val="center"/>
        </w:trPr>
        <w:tc>
          <w:tcPr>
            <w:tcW w:w="1755" w:type="dxa"/>
            <w:vMerge/>
          </w:tcPr>
          <w:p w14:paraId="483F3E7F" w14:textId="77777777" w:rsidR="00A52C58" w:rsidRPr="00A52C58" w:rsidRDefault="00A52C58" w:rsidP="00B53476">
            <w:pPr>
              <w:pStyle w:val="Tabletext"/>
            </w:pPr>
          </w:p>
        </w:tc>
        <w:tc>
          <w:tcPr>
            <w:tcW w:w="1463" w:type="dxa"/>
            <w:vMerge/>
          </w:tcPr>
          <w:p w14:paraId="3D4D6188" w14:textId="77777777" w:rsidR="00A52C58" w:rsidRPr="00A52C58" w:rsidRDefault="00A52C58" w:rsidP="00B53476">
            <w:pPr>
              <w:pStyle w:val="Tabletext"/>
            </w:pPr>
          </w:p>
        </w:tc>
        <w:tc>
          <w:tcPr>
            <w:tcW w:w="1701" w:type="dxa"/>
          </w:tcPr>
          <w:p w14:paraId="5CA37E9D" w14:textId="77777777" w:rsidR="00A52C58" w:rsidRPr="00A52C58" w:rsidRDefault="00A52C58" w:rsidP="00B53476">
            <w:pPr>
              <w:pStyle w:val="Tabletext"/>
            </w:pPr>
            <w:r w:rsidRPr="00A52C58">
              <w:rPr>
                <w:rFonts w:eastAsia="TimesNewRoman"/>
              </w:rPr>
              <w:t>CRD3003</w:t>
            </w:r>
          </w:p>
        </w:tc>
        <w:tc>
          <w:tcPr>
            <w:tcW w:w="3543" w:type="dxa"/>
          </w:tcPr>
          <w:p w14:paraId="073D2F92" w14:textId="77777777" w:rsidR="00A52C58" w:rsidRPr="00A52C58" w:rsidRDefault="00A52C58" w:rsidP="00B53476">
            <w:pPr>
              <w:pStyle w:val="Tabletext"/>
            </w:pPr>
            <w:r w:rsidRPr="00A52C58">
              <w:rPr>
                <w:rFonts w:eastAsia="TimesNewRoman"/>
                <w:lang w:eastAsia="en-US"/>
              </w:rPr>
              <w:t xml:space="preserve">PK, immunogenicity and PDs following multiple SC doses in continuing subjects following IV induction in </w:t>
            </w:r>
            <w:r w:rsidRPr="00A52C58">
              <w:rPr>
                <w:rFonts w:eastAsia="TimesNewRoman"/>
              </w:rPr>
              <w:t>CRD3001 or CRD3002</w:t>
            </w:r>
          </w:p>
        </w:tc>
      </w:tr>
      <w:tr w:rsidR="00A52C58" w:rsidRPr="00A52C58" w14:paraId="0828E631" w14:textId="77777777" w:rsidTr="00A52C58">
        <w:trPr>
          <w:cantSplit/>
          <w:jc w:val="center"/>
        </w:trPr>
        <w:tc>
          <w:tcPr>
            <w:tcW w:w="1755" w:type="dxa"/>
          </w:tcPr>
          <w:p w14:paraId="03936E12" w14:textId="77777777" w:rsidR="00A52C58" w:rsidRPr="00A52C58" w:rsidRDefault="00A52C58" w:rsidP="00B53476">
            <w:pPr>
              <w:pStyle w:val="Tabletext"/>
            </w:pPr>
            <w:r w:rsidRPr="00A52C58">
              <w:t>PPK analyses</w:t>
            </w:r>
          </w:p>
        </w:tc>
        <w:tc>
          <w:tcPr>
            <w:tcW w:w="1463" w:type="dxa"/>
          </w:tcPr>
          <w:p w14:paraId="49F2557F" w14:textId="77777777" w:rsidR="00A52C58" w:rsidRPr="00A52C58" w:rsidRDefault="00A52C58" w:rsidP="00B53476">
            <w:pPr>
              <w:pStyle w:val="Tabletext"/>
            </w:pPr>
            <w:r w:rsidRPr="00A52C58">
              <w:t>Target pop</w:t>
            </w:r>
            <w:r w:rsidRPr="00A52C58">
              <w:rPr>
                <w:vertAlign w:val="superscript"/>
              </w:rPr>
              <w:t>n</w:t>
            </w:r>
          </w:p>
        </w:tc>
        <w:tc>
          <w:tcPr>
            <w:tcW w:w="1701" w:type="dxa"/>
          </w:tcPr>
          <w:p w14:paraId="70C6C260" w14:textId="77777777" w:rsidR="00A52C58" w:rsidRPr="00A52C58" w:rsidRDefault="00A52C58" w:rsidP="00B53476">
            <w:pPr>
              <w:pStyle w:val="Tabletext"/>
            </w:pPr>
            <w:r w:rsidRPr="00A52C58">
              <w:t>Population PK Study</w:t>
            </w:r>
          </w:p>
        </w:tc>
        <w:tc>
          <w:tcPr>
            <w:tcW w:w="3543" w:type="dxa"/>
          </w:tcPr>
          <w:p w14:paraId="141BC388" w14:textId="77777777" w:rsidR="00A52C58" w:rsidRPr="00A52C58" w:rsidRDefault="00A52C58" w:rsidP="00B53476">
            <w:pPr>
              <w:pStyle w:val="Tabletext"/>
            </w:pPr>
            <w:r w:rsidRPr="00A52C58">
              <w:rPr>
                <w:rFonts w:eastAsia="TimesNewRoman"/>
                <w:lang w:eastAsia="en-US"/>
              </w:rPr>
              <w:t>To develop a PPK model to characterise the PK of ustekinumab following IV and SC administrations</w:t>
            </w:r>
          </w:p>
        </w:tc>
      </w:tr>
    </w:tbl>
    <w:p w14:paraId="2413989B" w14:textId="77777777" w:rsidR="00117231" w:rsidRPr="00D208FF" w:rsidRDefault="00117231" w:rsidP="00A52C58">
      <w:pPr>
        <w:pStyle w:val="TableDescription"/>
      </w:pPr>
      <w:r w:rsidRPr="00D208FF">
        <w:t>* Indicates the primary PK aim of the study.</w:t>
      </w:r>
    </w:p>
    <w:p w14:paraId="1ED22BA2" w14:textId="77777777" w:rsidR="00117231" w:rsidRPr="00D208FF" w:rsidRDefault="00117231" w:rsidP="00A52C58">
      <w:pPr>
        <w:pStyle w:val="TableDescription"/>
      </w:pPr>
      <w:r w:rsidRPr="00D208FF">
        <w:t>† Bioequivalence of different formulations.</w:t>
      </w:r>
    </w:p>
    <w:p w14:paraId="7FE0979A" w14:textId="77777777" w:rsidR="00117231" w:rsidRPr="00D208FF" w:rsidRDefault="00117231" w:rsidP="00A52C58">
      <w:pPr>
        <w:pStyle w:val="TableDescription"/>
      </w:pPr>
      <w:r w:rsidRPr="00D208FF">
        <w:t>§ Subjects who would be eligible to receive the drug if approved for the proposed indication.</w:t>
      </w:r>
    </w:p>
    <w:p w14:paraId="6624E029" w14:textId="77777777" w:rsidR="00117231" w:rsidRPr="00D208FF" w:rsidRDefault="00117231" w:rsidP="00A52C58">
      <w:pPr>
        <w:pStyle w:val="TableDescription"/>
        <w:rPr>
          <w:vertAlign w:val="superscript"/>
        </w:rPr>
      </w:pPr>
      <w:proofErr w:type="gramStart"/>
      <w:r w:rsidRPr="00D208FF">
        <w:t>pop</w:t>
      </w:r>
      <w:r w:rsidRPr="00D208FF">
        <w:rPr>
          <w:vertAlign w:val="superscript"/>
        </w:rPr>
        <w:t>n</w:t>
      </w:r>
      <w:proofErr w:type="gramEnd"/>
      <w:r w:rsidRPr="00D208FF">
        <w:rPr>
          <w:vertAlign w:val="superscript"/>
        </w:rPr>
        <w:t xml:space="preserve"> </w:t>
      </w:r>
      <w:r w:rsidRPr="00D208FF">
        <w:t>population</w:t>
      </w:r>
    </w:p>
    <w:p w14:paraId="2FB8706B" w14:textId="77777777" w:rsidR="00605AD4" w:rsidRDefault="00605AD4" w:rsidP="00605AD4">
      <w:pPr>
        <w:pStyle w:val="Heading4"/>
      </w:pPr>
      <w:r>
        <w:t>Evaluator’s conclusions on pharmacokinetics</w:t>
      </w:r>
    </w:p>
    <w:p w14:paraId="51BD8572" w14:textId="77777777" w:rsidR="00117231" w:rsidRDefault="00CC3432" w:rsidP="00A52C58">
      <w:pPr>
        <w:pStyle w:val="ListBullet"/>
      </w:pPr>
      <w:r>
        <w:rPr>
          <w:rFonts w:asciiTheme="minorHAnsi" w:hAnsiTheme="minorHAnsi"/>
        </w:rPr>
        <w:t>Stelara</w:t>
      </w:r>
      <w:r w:rsidR="00117231" w:rsidRPr="00856842">
        <w:rPr>
          <w:rFonts w:asciiTheme="minorHAnsi" w:hAnsiTheme="minorHAnsi"/>
        </w:rPr>
        <w:t xml:space="preserve"> (ustekinumab) is a human IgG1kappa monoclonal antibody.</w:t>
      </w:r>
      <w:r w:rsidR="00117231">
        <w:rPr>
          <w:rFonts w:asciiTheme="minorHAnsi" w:hAnsiTheme="minorHAnsi"/>
        </w:rPr>
        <w:t xml:space="preserve"> </w:t>
      </w:r>
      <w:r w:rsidR="00117231" w:rsidRPr="000E2AE5">
        <w:t xml:space="preserve">In patients with Crohn’s disease, following the recommended IV induction dose, median peak serum ustekinumab concentration was </w:t>
      </w:r>
      <w:proofErr w:type="gramStart"/>
      <w:r w:rsidR="00117231" w:rsidRPr="000E2AE5">
        <w:t>126.1 μg/mL</w:t>
      </w:r>
      <w:proofErr w:type="gramEnd"/>
      <w:r w:rsidR="00117231" w:rsidRPr="000E2AE5">
        <w:t xml:space="preserve">. Starting at Week 8, subcutaneous maintenance dosing of 90 mg ustekinumab was administered every 8 or 12 weeks. Steady state ustekinumab concentration was achieved by the start of the second maintenance dose. Median steady-state trough concentrations ranged </w:t>
      </w:r>
      <w:proofErr w:type="gramStart"/>
      <w:r w:rsidR="00117231" w:rsidRPr="000E2AE5">
        <w:t>from 1.97 μg/mL</w:t>
      </w:r>
      <w:proofErr w:type="gramEnd"/>
      <w:r w:rsidR="00117231" w:rsidRPr="000E2AE5">
        <w:t xml:space="preserve"> to 2.24 μg/mL and from 0.61 μg/mL to 0.76 μg/mL for 90 mg ustekinumab </w:t>
      </w:r>
      <w:r w:rsidR="00117231" w:rsidRPr="000E2AE5">
        <w:lastRenderedPageBreak/>
        <w:t>every 8 weeks or every 12 weeks respectively. The steady-state trough ustekinumab levels resulting from 90 mg ustekinumab every 8 weeks were associated with higher clinical remission rates as compared to the steady-state trough levels following 90 mg every 12 weeks.</w:t>
      </w:r>
    </w:p>
    <w:p w14:paraId="6EB558AD" w14:textId="01BA5061" w:rsidR="00117231" w:rsidRPr="00856842" w:rsidRDefault="00117231" w:rsidP="00A52C58">
      <w:pPr>
        <w:pStyle w:val="ListBullet"/>
        <w:rPr>
          <w:rFonts w:asciiTheme="minorHAnsi" w:hAnsiTheme="minorHAnsi"/>
        </w:rPr>
      </w:pPr>
      <w:r w:rsidRPr="00856842">
        <w:rPr>
          <w:rFonts w:asciiTheme="minorHAnsi" w:hAnsiTheme="minorHAnsi"/>
        </w:rPr>
        <w:t xml:space="preserve">In healthy subjects, the mean </w:t>
      </w:r>
      <w:r w:rsidR="00A52C58">
        <w:rPr>
          <w:rFonts w:asciiTheme="minorHAnsi" w:hAnsiTheme="minorHAnsi"/>
        </w:rPr>
        <w:t>peak plasma concentration (</w:t>
      </w:r>
      <w:r w:rsidRPr="00A52C58">
        <w:rPr>
          <w:rFonts w:asciiTheme="minorHAnsi" w:hAnsiTheme="minorHAnsi"/>
        </w:rPr>
        <w:t>C</w:t>
      </w:r>
      <w:r w:rsidRPr="00A52C58">
        <w:rPr>
          <w:rFonts w:asciiTheme="minorHAnsi" w:hAnsiTheme="minorHAnsi"/>
          <w:vertAlign w:val="subscript"/>
        </w:rPr>
        <w:t>max</w:t>
      </w:r>
      <w:r w:rsidR="00A52C58">
        <w:rPr>
          <w:rFonts w:asciiTheme="minorHAnsi" w:hAnsiTheme="minorHAnsi"/>
        </w:rPr>
        <w:t>), area under the concentration versus time curve from time zero to infinity (</w:t>
      </w:r>
      <w:r w:rsidRPr="00A52C58">
        <w:rPr>
          <w:rFonts w:asciiTheme="minorHAnsi" w:hAnsiTheme="minorHAnsi"/>
        </w:rPr>
        <w:t>AUC</w:t>
      </w:r>
      <w:r w:rsidRPr="00A52C58">
        <w:rPr>
          <w:rFonts w:asciiTheme="minorHAnsi" w:hAnsiTheme="minorHAnsi"/>
          <w:vertAlign w:val="subscript"/>
        </w:rPr>
        <w:t>inf</w:t>
      </w:r>
      <w:r w:rsidR="00A52C58">
        <w:rPr>
          <w:rFonts w:asciiTheme="minorHAnsi" w:hAnsiTheme="minorHAnsi"/>
        </w:rPr>
        <w:t xml:space="preserve">) </w:t>
      </w:r>
      <w:r w:rsidRPr="00A52C58">
        <w:rPr>
          <w:rFonts w:asciiTheme="minorHAnsi" w:hAnsiTheme="minorHAnsi"/>
        </w:rPr>
        <w:t xml:space="preserve">and </w:t>
      </w:r>
      <w:r w:rsidR="00A52C58">
        <w:rPr>
          <w:rFonts w:asciiTheme="minorHAnsi" w:hAnsiTheme="minorHAnsi"/>
        </w:rPr>
        <w:t>half-life (</w:t>
      </w:r>
      <w:r w:rsidRPr="00A52C58">
        <w:rPr>
          <w:rFonts w:asciiTheme="minorHAnsi" w:hAnsiTheme="minorHAnsi"/>
        </w:rPr>
        <w:t>t</w:t>
      </w:r>
      <w:r w:rsidRPr="00A52C58">
        <w:rPr>
          <w:rFonts w:asciiTheme="minorHAnsi" w:hAnsiTheme="minorHAnsi"/>
          <w:vertAlign w:val="subscript"/>
        </w:rPr>
        <w:t>1/2</w:t>
      </w:r>
      <w:r w:rsidR="00A52C58">
        <w:rPr>
          <w:rFonts w:asciiTheme="minorHAnsi" w:hAnsiTheme="minorHAnsi"/>
        </w:rPr>
        <w:t xml:space="preserve">) </w:t>
      </w:r>
      <w:r w:rsidRPr="00A52C58">
        <w:rPr>
          <w:rFonts w:asciiTheme="minorHAnsi" w:hAnsiTheme="minorHAnsi"/>
        </w:rPr>
        <w:t>of ustekinumab following a 6 mg/kg IV dose of the proposed formulation strength of 90 mg/mL were 199.1 µg/mL, 3218.3 µg.</w:t>
      </w:r>
      <w:r w:rsidR="00BF0AB8" w:rsidRPr="00A52C58" w:rsidDel="00BF0AB8">
        <w:rPr>
          <w:rFonts w:asciiTheme="minorHAnsi" w:hAnsiTheme="minorHAnsi"/>
        </w:rPr>
        <w:t xml:space="preserve"> </w:t>
      </w:r>
      <w:r w:rsidR="00BF0AB8">
        <w:rPr>
          <w:rFonts w:asciiTheme="minorHAnsi" w:hAnsiTheme="minorHAnsi"/>
        </w:rPr>
        <w:t>day</w:t>
      </w:r>
      <w:r w:rsidRPr="00A52C58">
        <w:rPr>
          <w:rFonts w:asciiTheme="minorHAnsi" w:hAnsiTheme="minorHAnsi"/>
        </w:rPr>
        <w:t>/mL and 25.1</w:t>
      </w:r>
      <w:r w:rsidR="00BF0AB8">
        <w:rPr>
          <w:rFonts w:asciiTheme="minorHAnsi" w:hAnsiTheme="minorHAnsi"/>
        </w:rPr>
        <w:t>days</w:t>
      </w:r>
      <w:r w:rsidRPr="00A52C58">
        <w:rPr>
          <w:rFonts w:asciiTheme="minorHAnsi" w:hAnsiTheme="minorHAnsi"/>
        </w:rPr>
        <w:t>, respectively. Similarly, following the same IV dose of the formulation strength of 5 mg/mL ustekinumab, C</w:t>
      </w:r>
      <w:r w:rsidRPr="00A52C58">
        <w:rPr>
          <w:rFonts w:asciiTheme="minorHAnsi" w:hAnsiTheme="minorHAnsi"/>
          <w:vertAlign w:val="subscript"/>
        </w:rPr>
        <w:t>max</w:t>
      </w:r>
      <w:r w:rsidRPr="00A52C58">
        <w:rPr>
          <w:rFonts w:asciiTheme="minorHAnsi" w:hAnsiTheme="minorHAnsi"/>
        </w:rPr>
        <w:t>, AUC</w:t>
      </w:r>
      <w:r w:rsidRPr="00A52C58">
        <w:rPr>
          <w:rFonts w:asciiTheme="minorHAnsi" w:hAnsiTheme="minorHAnsi"/>
          <w:vertAlign w:val="subscript"/>
        </w:rPr>
        <w:t>inf</w:t>
      </w:r>
      <w:r w:rsidRPr="00A52C58">
        <w:rPr>
          <w:rFonts w:asciiTheme="minorHAnsi" w:hAnsiTheme="minorHAnsi"/>
        </w:rPr>
        <w:t xml:space="preserve"> and t</w:t>
      </w:r>
      <w:r w:rsidRPr="00A52C58">
        <w:rPr>
          <w:rFonts w:asciiTheme="minorHAnsi" w:hAnsiTheme="minorHAnsi"/>
          <w:vertAlign w:val="subscript"/>
        </w:rPr>
        <w:t>1/2</w:t>
      </w:r>
      <w:r w:rsidRPr="00A52C58">
        <w:rPr>
          <w:rFonts w:asciiTheme="minorHAnsi" w:hAnsiTheme="minorHAnsi"/>
        </w:rPr>
        <w:t xml:space="preserve"> were 196.7 µg/mL, 3132.4 µg.</w:t>
      </w:r>
      <w:r w:rsidR="00015535">
        <w:rPr>
          <w:rFonts w:asciiTheme="minorHAnsi" w:hAnsiTheme="minorHAnsi"/>
        </w:rPr>
        <w:t>day</w:t>
      </w:r>
      <w:r w:rsidRPr="00A52C58">
        <w:rPr>
          <w:rFonts w:asciiTheme="minorHAnsi" w:hAnsiTheme="minorHAnsi"/>
        </w:rPr>
        <w:t xml:space="preserve">/mL and 24.7 </w:t>
      </w:r>
      <w:r w:rsidR="00015535">
        <w:rPr>
          <w:rFonts w:asciiTheme="minorHAnsi" w:hAnsiTheme="minorHAnsi"/>
        </w:rPr>
        <w:t>days</w:t>
      </w:r>
      <w:r w:rsidRPr="00A52C58">
        <w:rPr>
          <w:rFonts w:asciiTheme="minorHAnsi" w:hAnsiTheme="minorHAnsi"/>
        </w:rPr>
        <w:t>, respectively</w:t>
      </w:r>
      <w:r w:rsidRPr="00856842">
        <w:rPr>
          <w:rFonts w:asciiTheme="minorHAnsi" w:hAnsiTheme="minorHAnsi"/>
        </w:rPr>
        <w:t>.</w:t>
      </w:r>
    </w:p>
    <w:p w14:paraId="3E17E520" w14:textId="77777777" w:rsidR="00117231" w:rsidRPr="00856842" w:rsidRDefault="00117231" w:rsidP="00A52C58">
      <w:pPr>
        <w:pStyle w:val="ListBullet"/>
        <w:rPr>
          <w:rFonts w:asciiTheme="minorHAnsi" w:eastAsia="TimesNewRoman" w:hAnsiTheme="minorHAnsi"/>
        </w:rPr>
      </w:pPr>
      <w:r w:rsidRPr="00856842">
        <w:rPr>
          <w:rFonts w:asciiTheme="minorHAnsi" w:eastAsia="TimesNewRoman" w:hAnsiTheme="minorHAnsi"/>
        </w:rPr>
        <w:t xml:space="preserve">Following a </w:t>
      </w:r>
      <w:r w:rsidRPr="00856842">
        <w:rPr>
          <w:rFonts w:asciiTheme="minorHAnsi" w:hAnsiTheme="minorHAnsi"/>
        </w:rPr>
        <w:t>6 mg/kg IV dose in healthy subjects, the two proposed formulations strengths of ustekinumab (</w:t>
      </w:r>
      <w:r w:rsidR="00A52C58">
        <w:rPr>
          <w:rFonts w:asciiTheme="minorHAnsi" w:hAnsiTheme="minorHAnsi"/>
        </w:rPr>
        <w:t>that is,</w:t>
      </w:r>
      <w:r w:rsidRPr="00856842">
        <w:rPr>
          <w:rFonts w:asciiTheme="minorHAnsi" w:hAnsiTheme="minorHAnsi"/>
        </w:rPr>
        <w:t xml:space="preserve"> 90 mg/mL and 5 mg/mL) were bioequivalent.</w:t>
      </w:r>
    </w:p>
    <w:p w14:paraId="35BDD544" w14:textId="77777777" w:rsidR="00117231" w:rsidRPr="00856842" w:rsidRDefault="00A52C58" w:rsidP="00A52C58">
      <w:pPr>
        <w:pStyle w:val="ListBullet"/>
        <w:rPr>
          <w:rFonts w:asciiTheme="minorHAnsi" w:hAnsiTheme="minorHAnsi"/>
        </w:rPr>
      </w:pPr>
      <w:r>
        <w:rPr>
          <w:rFonts w:asciiTheme="minorHAnsi" w:hAnsiTheme="minorHAnsi"/>
        </w:rPr>
        <w:t>Population pharmacokinetic (</w:t>
      </w:r>
      <w:r w:rsidR="00117231" w:rsidRPr="00856842">
        <w:rPr>
          <w:rFonts w:asciiTheme="minorHAnsi" w:hAnsiTheme="minorHAnsi"/>
        </w:rPr>
        <w:t>PopPK</w:t>
      </w:r>
      <w:r>
        <w:rPr>
          <w:rFonts w:asciiTheme="minorHAnsi" w:hAnsiTheme="minorHAnsi"/>
        </w:rPr>
        <w:t>)</w:t>
      </w:r>
      <w:r w:rsidR="00117231" w:rsidRPr="00856842">
        <w:rPr>
          <w:rFonts w:asciiTheme="minorHAnsi" w:hAnsiTheme="minorHAnsi"/>
        </w:rPr>
        <w:t xml:space="preserve"> analysis predicted that the bioavailability of </w:t>
      </w:r>
      <w:r w:rsidR="00CC3432">
        <w:rPr>
          <w:rFonts w:asciiTheme="minorHAnsi" w:hAnsiTheme="minorHAnsi"/>
        </w:rPr>
        <w:t>Stelara</w:t>
      </w:r>
      <w:r w:rsidR="00117231" w:rsidRPr="00856842">
        <w:rPr>
          <w:rFonts w:asciiTheme="minorHAnsi" w:hAnsiTheme="minorHAnsi"/>
        </w:rPr>
        <w:t xml:space="preserve"> following SC dosing relative to IV dosing was</w:t>
      </w:r>
      <w:r w:rsidR="00117231" w:rsidRPr="00856842">
        <w:rPr>
          <w:rFonts w:asciiTheme="minorHAnsi" w:eastAsia="TimesNewRoman" w:hAnsiTheme="minorHAnsi" w:cstheme="minorHAnsi"/>
        </w:rPr>
        <w:t xml:space="preserve"> 78.3% in subjects with moderately to severely active Crohn’s disease.</w:t>
      </w:r>
    </w:p>
    <w:p w14:paraId="4EAB66F9" w14:textId="77777777" w:rsidR="00117231" w:rsidRPr="00856842" w:rsidRDefault="00117231" w:rsidP="00A52C58">
      <w:pPr>
        <w:pStyle w:val="ListBullet"/>
        <w:rPr>
          <w:rFonts w:asciiTheme="minorHAnsi" w:hAnsiTheme="minorHAnsi"/>
        </w:rPr>
      </w:pPr>
      <w:r w:rsidRPr="00856842">
        <w:rPr>
          <w:rFonts w:asciiTheme="minorHAnsi" w:hAnsiTheme="minorHAnsi"/>
        </w:rPr>
        <w:t xml:space="preserve">In subjects with moderately to severely active Crohn’s disease or fistulising Crohn’s disease, patients who received a single 4.5 mg/kg IV dose of ustekinumab had higher serum ustekinumab concentrations in the first 3 weeks following initial administration than subjects who had received three weeks of weekly SC dosing with 90 mg. By contrast, following the </w:t>
      </w:r>
      <w:r w:rsidR="00A52C58">
        <w:rPr>
          <w:rFonts w:asciiTheme="minorHAnsi" w:hAnsiTheme="minorHAnsi"/>
        </w:rPr>
        <w:t>fourth</w:t>
      </w:r>
      <w:r w:rsidRPr="00856842">
        <w:rPr>
          <w:rFonts w:asciiTheme="minorHAnsi" w:hAnsiTheme="minorHAnsi"/>
        </w:rPr>
        <w:t xml:space="preserve"> SC dose the median serum concentrations of ustekinumab were slightly higher in subjects receiving multiple SC administrations than in subjects receiving the single IV administration</w:t>
      </w:r>
      <w:r>
        <w:rPr>
          <w:rFonts w:asciiTheme="minorHAnsi" w:hAnsiTheme="minorHAnsi"/>
        </w:rPr>
        <w:t>.</w:t>
      </w:r>
    </w:p>
    <w:p w14:paraId="209A2D0F" w14:textId="77777777" w:rsidR="00117231" w:rsidRPr="00856842" w:rsidRDefault="00117231" w:rsidP="00A52C58">
      <w:pPr>
        <w:pStyle w:val="ListBullet"/>
        <w:rPr>
          <w:rFonts w:asciiTheme="minorHAnsi" w:hAnsiTheme="minorHAnsi"/>
        </w:rPr>
      </w:pPr>
      <w:r w:rsidRPr="00856842">
        <w:rPr>
          <w:rFonts w:asciiTheme="minorHAnsi" w:hAnsiTheme="minorHAnsi"/>
        </w:rPr>
        <w:t>F</w:t>
      </w:r>
      <w:r w:rsidRPr="00856842">
        <w:rPr>
          <w:rFonts w:asciiTheme="minorHAnsi" w:eastAsiaTheme="minorHAnsi" w:hAnsiTheme="minorHAnsi"/>
        </w:rPr>
        <w:t>ollowing</w:t>
      </w:r>
      <w:r w:rsidRPr="00856842">
        <w:rPr>
          <w:rFonts w:asciiTheme="minorHAnsi" w:hAnsiTheme="minorHAnsi"/>
        </w:rPr>
        <w:t xml:space="preserve"> a single IV administration of 1, 3 or 6 mg/kg ustekinumab, serum ustekinumab concentrations were proportional to dose and were detectable in almost all subjects through Week 8. Similarly, in subjects with Crohn’s disease who received a single IV dose of 130 mg, 260 mg, 390 mg or 520 mg, median serum ustekinumab concentrations were approximately dose proportional and were detectable at all sampling time-points through Week 8.</w:t>
      </w:r>
      <w:r>
        <w:rPr>
          <w:rFonts w:asciiTheme="minorHAnsi" w:hAnsiTheme="minorHAnsi"/>
        </w:rPr>
        <w:t xml:space="preserve"> For example,</w:t>
      </w:r>
      <w:r>
        <w:rPr>
          <w:rFonts w:asciiTheme="minorHAnsi" w:hAnsiTheme="minorHAnsi" w:cstheme="minorHAnsi"/>
        </w:rPr>
        <w:t xml:space="preserve"> 8 weeks after a single IV dose of 130 mg, 260 mg, 390 mg or 520 mg ustekinumab the median serum concentration values were 2.1, 3.9, 6.6 and 8.8 µg/mL, respectively, and the r</w:t>
      </w:r>
      <w:r w:rsidRPr="007B0759">
        <w:rPr>
          <w:rFonts w:asciiTheme="minorHAnsi" w:hAnsiTheme="minorHAnsi" w:cstheme="minorHAnsi"/>
          <w:vertAlign w:val="superscript"/>
        </w:rPr>
        <w:t>2</w:t>
      </w:r>
      <w:r>
        <w:rPr>
          <w:rFonts w:asciiTheme="minorHAnsi" w:hAnsiTheme="minorHAnsi" w:cstheme="minorHAnsi"/>
        </w:rPr>
        <w:t xml:space="preserve"> was 0.994</w:t>
      </w:r>
      <w:r w:rsidRPr="00F41F18">
        <w:rPr>
          <w:color w:val="0000FF"/>
        </w:rPr>
        <w:t>.</w:t>
      </w:r>
    </w:p>
    <w:p w14:paraId="55BF60AE" w14:textId="77777777" w:rsidR="00117231" w:rsidRPr="00856842" w:rsidRDefault="00117231" w:rsidP="00A52C58">
      <w:pPr>
        <w:pStyle w:val="ListBullet"/>
        <w:rPr>
          <w:rFonts w:asciiTheme="minorHAnsi" w:hAnsiTheme="minorHAnsi"/>
        </w:rPr>
      </w:pPr>
      <w:r w:rsidRPr="00856842">
        <w:rPr>
          <w:rFonts w:asciiTheme="minorHAnsi" w:hAnsiTheme="minorHAnsi"/>
        </w:rPr>
        <w:t xml:space="preserve">Following maintenance dosing with ustekinumab 90 mg SC </w:t>
      </w:r>
      <w:r w:rsidR="00A52C58">
        <w:rPr>
          <w:rFonts w:asciiTheme="minorHAnsi" w:hAnsiTheme="minorHAnsi"/>
        </w:rPr>
        <w:t>every 8 weeks (</w:t>
      </w:r>
      <w:r w:rsidRPr="00856842">
        <w:rPr>
          <w:rFonts w:asciiTheme="minorHAnsi" w:hAnsiTheme="minorHAnsi"/>
        </w:rPr>
        <w:t>q8w</w:t>
      </w:r>
      <w:r w:rsidR="00A52C58">
        <w:rPr>
          <w:rFonts w:asciiTheme="minorHAnsi" w:hAnsiTheme="minorHAnsi"/>
        </w:rPr>
        <w:t>)</w:t>
      </w:r>
      <w:r w:rsidRPr="00856842">
        <w:rPr>
          <w:rFonts w:asciiTheme="minorHAnsi" w:hAnsiTheme="minorHAnsi"/>
        </w:rPr>
        <w:t xml:space="preserve"> or </w:t>
      </w:r>
      <w:r w:rsidR="00A52C58">
        <w:rPr>
          <w:rFonts w:asciiTheme="minorHAnsi" w:hAnsiTheme="minorHAnsi"/>
        </w:rPr>
        <w:t>every 12 weeks (</w:t>
      </w:r>
      <w:r w:rsidRPr="00856842">
        <w:rPr>
          <w:rFonts w:asciiTheme="minorHAnsi" w:hAnsiTheme="minorHAnsi"/>
        </w:rPr>
        <w:t>q12w</w:t>
      </w:r>
      <w:r w:rsidR="00A52C58">
        <w:rPr>
          <w:rFonts w:asciiTheme="minorHAnsi" w:hAnsiTheme="minorHAnsi"/>
        </w:rPr>
        <w:t>)</w:t>
      </w:r>
      <w:r w:rsidRPr="00856842">
        <w:rPr>
          <w:rFonts w:asciiTheme="minorHAnsi" w:hAnsiTheme="minorHAnsi"/>
        </w:rPr>
        <w:t>, steady-state was reached at approximately 8 or 12 weeks after subjects began receiving ustekinumab 90 mg SC q8w, or ustekinumab 90 mg SC q12w, respectively. Median steady-state trough serum ustekinumab concentrations over time were 3</w:t>
      </w:r>
      <w:r w:rsidR="00A52C58">
        <w:rPr>
          <w:rFonts w:asciiTheme="minorHAnsi" w:hAnsiTheme="minorHAnsi"/>
        </w:rPr>
        <w:t xml:space="preserve"> times</w:t>
      </w:r>
      <w:r w:rsidRPr="00856842">
        <w:rPr>
          <w:rFonts w:asciiTheme="minorHAnsi" w:hAnsiTheme="minorHAnsi"/>
        </w:rPr>
        <w:t xml:space="preserve"> greater in the ustekinumab q8w group (1.97 μg/mL </w:t>
      </w:r>
      <w:proofErr w:type="gramStart"/>
      <w:r w:rsidRPr="00856842">
        <w:rPr>
          <w:rFonts w:asciiTheme="minorHAnsi" w:hAnsiTheme="minorHAnsi"/>
        </w:rPr>
        <w:t>to 2.24 μg/mL</w:t>
      </w:r>
      <w:proofErr w:type="gramEnd"/>
      <w:r w:rsidRPr="00856842">
        <w:rPr>
          <w:rFonts w:asciiTheme="minorHAnsi" w:hAnsiTheme="minorHAnsi"/>
        </w:rPr>
        <w:t>) than in the q12w group (0.61 μg/mL to 0.76 μg/mL).</w:t>
      </w:r>
    </w:p>
    <w:p w14:paraId="29ECD0F3" w14:textId="77777777" w:rsidR="00117231" w:rsidRPr="00856842" w:rsidRDefault="00117231" w:rsidP="00A52C58">
      <w:pPr>
        <w:pStyle w:val="ListBullet"/>
        <w:rPr>
          <w:rFonts w:asciiTheme="minorHAnsi" w:eastAsia="TimesNewRoman" w:hAnsiTheme="minorHAnsi" w:cstheme="minorHAnsi"/>
        </w:rPr>
      </w:pPr>
      <w:r w:rsidRPr="00856842">
        <w:rPr>
          <w:rFonts w:asciiTheme="minorHAnsi" w:hAnsiTheme="minorHAnsi"/>
        </w:rPr>
        <w:t>In healthy subjects</w:t>
      </w:r>
      <w:r>
        <w:rPr>
          <w:rFonts w:asciiTheme="minorHAnsi" w:hAnsiTheme="minorHAnsi"/>
        </w:rPr>
        <w:t>,</w:t>
      </w:r>
      <w:r w:rsidRPr="00856842">
        <w:rPr>
          <w:rFonts w:asciiTheme="minorHAnsi" w:hAnsiTheme="minorHAnsi"/>
        </w:rPr>
        <w:t xml:space="preserve"> the volume of distribution corrected for body weight following a </w:t>
      </w:r>
      <w:r w:rsidRPr="00856842">
        <w:rPr>
          <w:rFonts w:asciiTheme="minorHAnsi" w:eastAsia="TimesNewRoman" w:hAnsiTheme="minorHAnsi" w:cstheme="minorHAnsi"/>
        </w:rPr>
        <w:t>6 mg/kg IV infusion of ustekinumab 90 mg/mL or 5 mg/mL were 4.7 L and 4.9 L</w:t>
      </w:r>
      <w:r w:rsidRPr="00856842">
        <w:rPr>
          <w:rFonts w:asciiTheme="minorHAnsi" w:hAnsiTheme="minorHAnsi"/>
        </w:rPr>
        <w:t>, respectively. In subjects with Crohn’s disease</w:t>
      </w:r>
      <w:r w:rsidRPr="00856842">
        <w:rPr>
          <w:rFonts w:asciiTheme="minorHAnsi" w:eastAsia="TimesNewRoman" w:hAnsiTheme="minorHAnsi" w:cstheme="minorHAnsi"/>
        </w:rPr>
        <w:t>, the predicted volume of the central compartment was 2.74 L. Based on these findings, it appears that</w:t>
      </w:r>
      <w:r w:rsidRPr="00856842">
        <w:rPr>
          <w:rFonts w:asciiTheme="minorHAnsi" w:hAnsiTheme="minorHAnsi"/>
        </w:rPr>
        <w:t xml:space="preserve"> plasma protein binding is high in both healthy subjects and patient’s with Crohn’s disease and little to no ustekinumab is distributed to the tissues.</w:t>
      </w:r>
    </w:p>
    <w:p w14:paraId="7D18B6AB" w14:textId="77777777" w:rsidR="00117231" w:rsidRPr="00856842" w:rsidRDefault="00117231" w:rsidP="00A52C58">
      <w:pPr>
        <w:pStyle w:val="ListBullet"/>
        <w:rPr>
          <w:rFonts w:asciiTheme="minorHAnsi" w:hAnsiTheme="minorHAnsi"/>
        </w:rPr>
      </w:pPr>
      <w:r w:rsidRPr="00856842">
        <w:rPr>
          <w:rFonts w:asciiTheme="minorHAnsi" w:hAnsiTheme="minorHAnsi"/>
        </w:rPr>
        <w:t>The exact metabolic pathway for ustekinumab is unknown.</w:t>
      </w:r>
    </w:p>
    <w:p w14:paraId="3824A765" w14:textId="77777777" w:rsidR="00117231" w:rsidRPr="00856842" w:rsidRDefault="00117231" w:rsidP="00A52C58">
      <w:pPr>
        <w:pStyle w:val="ListBullet"/>
        <w:rPr>
          <w:rFonts w:asciiTheme="minorHAnsi" w:hAnsiTheme="minorHAnsi"/>
        </w:rPr>
      </w:pPr>
      <w:r w:rsidRPr="00856842">
        <w:rPr>
          <w:rFonts w:asciiTheme="minorHAnsi" w:hAnsiTheme="minorHAnsi"/>
        </w:rPr>
        <w:t>Ustekinumab was eliminated following SC administration with a median t</w:t>
      </w:r>
      <w:r w:rsidRPr="00856842">
        <w:rPr>
          <w:rFonts w:asciiTheme="minorHAnsi" w:hAnsiTheme="minorHAnsi"/>
          <w:vertAlign w:val="subscript"/>
        </w:rPr>
        <w:t>1/2</w:t>
      </w:r>
      <w:r w:rsidRPr="00856842">
        <w:rPr>
          <w:rFonts w:asciiTheme="minorHAnsi" w:hAnsiTheme="minorHAnsi"/>
        </w:rPr>
        <w:t xml:space="preserve"> of approximately 23 to 25 days and following IV administration with a median t</w:t>
      </w:r>
      <w:r w:rsidRPr="00856842">
        <w:rPr>
          <w:rFonts w:asciiTheme="minorHAnsi" w:hAnsiTheme="minorHAnsi"/>
          <w:vertAlign w:val="subscript"/>
        </w:rPr>
        <w:t>1/2</w:t>
      </w:r>
      <w:r w:rsidRPr="00856842">
        <w:rPr>
          <w:rFonts w:asciiTheme="minorHAnsi" w:hAnsiTheme="minorHAnsi"/>
        </w:rPr>
        <w:t xml:space="preserve"> of approximately 17 to 23 days</w:t>
      </w:r>
      <w:r w:rsidRPr="00856842">
        <w:rPr>
          <w:rFonts w:asciiTheme="minorHAnsi" w:hAnsiTheme="minorHAnsi" w:cs="TimesNewRoman"/>
        </w:rPr>
        <w:t>.</w:t>
      </w:r>
    </w:p>
    <w:p w14:paraId="7136AF78" w14:textId="77777777" w:rsidR="00117231" w:rsidRPr="00856842" w:rsidRDefault="00117231" w:rsidP="00A52C58">
      <w:pPr>
        <w:pStyle w:val="ListBullet"/>
        <w:rPr>
          <w:rFonts w:asciiTheme="minorHAnsi" w:hAnsiTheme="minorHAnsi"/>
          <w:iCs/>
        </w:rPr>
      </w:pPr>
      <w:r w:rsidRPr="00856842">
        <w:rPr>
          <w:rFonts w:asciiTheme="minorHAnsi" w:hAnsiTheme="minorHAnsi"/>
        </w:rPr>
        <w:t>PopPK modelling provided predictions of between-subject variability in terms of %</w:t>
      </w:r>
      <w:r w:rsidR="00A52C58">
        <w:rPr>
          <w:rFonts w:asciiTheme="minorHAnsi" w:hAnsiTheme="minorHAnsi"/>
        </w:rPr>
        <w:t>co variance (</w:t>
      </w:r>
      <w:r w:rsidRPr="00856842">
        <w:rPr>
          <w:rFonts w:asciiTheme="minorHAnsi" w:hAnsiTheme="minorHAnsi"/>
        </w:rPr>
        <w:t>CV</w:t>
      </w:r>
      <w:r w:rsidR="00A52C58">
        <w:rPr>
          <w:rFonts w:asciiTheme="minorHAnsi" w:hAnsiTheme="minorHAnsi"/>
        </w:rPr>
        <w:t>)</w:t>
      </w:r>
      <w:r w:rsidRPr="00856842">
        <w:rPr>
          <w:rFonts w:asciiTheme="minorHAnsi" w:hAnsiTheme="minorHAnsi"/>
        </w:rPr>
        <w:t xml:space="preserve"> of 29.1% for </w:t>
      </w:r>
      <w:r w:rsidR="00A52C58">
        <w:rPr>
          <w:rFonts w:asciiTheme="minorHAnsi" w:hAnsiTheme="minorHAnsi"/>
        </w:rPr>
        <w:t>clearance (</w:t>
      </w:r>
      <w:r w:rsidRPr="00856842">
        <w:rPr>
          <w:rFonts w:asciiTheme="minorHAnsi" w:hAnsiTheme="minorHAnsi"/>
          <w:iCs/>
        </w:rPr>
        <w:t>CL</w:t>
      </w:r>
      <w:r w:rsidR="00A52C58">
        <w:rPr>
          <w:rFonts w:asciiTheme="minorHAnsi" w:hAnsiTheme="minorHAnsi"/>
          <w:iCs/>
        </w:rPr>
        <w:t>)</w:t>
      </w:r>
      <w:r w:rsidRPr="00856842">
        <w:rPr>
          <w:rFonts w:asciiTheme="minorHAnsi" w:hAnsiTheme="minorHAnsi"/>
          <w:iCs/>
        </w:rPr>
        <w:t xml:space="preserve"> </w:t>
      </w:r>
      <w:r w:rsidRPr="00856842">
        <w:rPr>
          <w:rFonts w:asciiTheme="minorHAnsi" w:hAnsiTheme="minorHAnsi"/>
        </w:rPr>
        <w:t xml:space="preserve">and 14.7% for </w:t>
      </w:r>
      <w:r w:rsidR="002D5ED1">
        <w:rPr>
          <w:rFonts w:asciiTheme="minorHAnsi" w:hAnsiTheme="minorHAnsi"/>
        </w:rPr>
        <w:t>volume of distribution (</w:t>
      </w:r>
      <w:r w:rsidRPr="00856842">
        <w:rPr>
          <w:rFonts w:asciiTheme="minorHAnsi" w:hAnsiTheme="minorHAnsi"/>
          <w:iCs/>
        </w:rPr>
        <w:t>V2</w:t>
      </w:r>
      <w:r w:rsidR="002D5ED1">
        <w:rPr>
          <w:rFonts w:asciiTheme="minorHAnsi" w:hAnsiTheme="minorHAnsi"/>
          <w:iCs/>
        </w:rPr>
        <w:t>)</w:t>
      </w:r>
      <w:r w:rsidRPr="00856842">
        <w:rPr>
          <w:rFonts w:asciiTheme="minorHAnsi" w:hAnsiTheme="minorHAnsi"/>
          <w:iCs/>
        </w:rPr>
        <w:t>. Inter-occasion variability was deemed low and was not reported.</w:t>
      </w:r>
    </w:p>
    <w:p w14:paraId="59F6905E" w14:textId="77777777" w:rsidR="00117231" w:rsidRPr="00856842" w:rsidRDefault="00117231" w:rsidP="00A52C58">
      <w:pPr>
        <w:pStyle w:val="ListBullet"/>
        <w:rPr>
          <w:rFonts w:asciiTheme="minorHAnsi" w:hAnsiTheme="minorHAnsi"/>
        </w:rPr>
      </w:pPr>
      <w:r w:rsidRPr="00856842">
        <w:rPr>
          <w:rFonts w:asciiTheme="minorHAnsi" w:hAnsiTheme="minorHAnsi"/>
        </w:rPr>
        <w:lastRenderedPageBreak/>
        <w:t>Modelling indicated that there was no meaningful impact of alkaline phosphatase</w:t>
      </w:r>
      <w:r>
        <w:rPr>
          <w:rFonts w:asciiTheme="minorHAnsi" w:hAnsiTheme="minorHAnsi"/>
        </w:rPr>
        <w:t xml:space="preserve">, </w:t>
      </w:r>
      <w:r w:rsidRPr="00856842">
        <w:rPr>
          <w:rFonts w:asciiTheme="minorHAnsi" w:hAnsiTheme="minorHAnsi"/>
        </w:rPr>
        <w:t xml:space="preserve">a </w:t>
      </w:r>
      <w:r>
        <w:rPr>
          <w:rFonts w:asciiTheme="minorHAnsi" w:hAnsiTheme="minorHAnsi"/>
        </w:rPr>
        <w:t xml:space="preserve">marker </w:t>
      </w:r>
      <w:r w:rsidRPr="00856842">
        <w:rPr>
          <w:rFonts w:asciiTheme="minorHAnsi" w:hAnsiTheme="minorHAnsi"/>
        </w:rPr>
        <w:t>f</w:t>
      </w:r>
      <w:r>
        <w:rPr>
          <w:rFonts w:asciiTheme="minorHAnsi" w:hAnsiTheme="minorHAnsi"/>
        </w:rPr>
        <w:t>or</w:t>
      </w:r>
      <w:r w:rsidRPr="00856842">
        <w:rPr>
          <w:rFonts w:asciiTheme="minorHAnsi" w:hAnsiTheme="minorHAnsi"/>
        </w:rPr>
        <w:t xml:space="preserve"> hepatic function</w:t>
      </w:r>
      <w:r>
        <w:rPr>
          <w:rFonts w:asciiTheme="minorHAnsi" w:hAnsiTheme="minorHAnsi"/>
        </w:rPr>
        <w:t>,</w:t>
      </w:r>
      <w:r w:rsidRPr="00856842">
        <w:rPr>
          <w:rFonts w:asciiTheme="minorHAnsi" w:hAnsiTheme="minorHAnsi"/>
        </w:rPr>
        <w:t xml:space="preserve"> on the PK of ustekinumab.</w:t>
      </w:r>
    </w:p>
    <w:p w14:paraId="630D5710" w14:textId="20AC1F83" w:rsidR="00117231" w:rsidRPr="00856842" w:rsidRDefault="00117231" w:rsidP="00A52C58">
      <w:pPr>
        <w:pStyle w:val="ListBullet"/>
        <w:rPr>
          <w:rFonts w:asciiTheme="minorHAnsi" w:hAnsiTheme="minorHAnsi"/>
          <w:lang w:eastAsia="ja-JP"/>
        </w:rPr>
      </w:pPr>
      <w:r>
        <w:rPr>
          <w:rFonts w:asciiTheme="minorHAnsi" w:hAnsiTheme="minorHAnsi"/>
        </w:rPr>
        <w:t xml:space="preserve">PopPK analysis indicates that </w:t>
      </w:r>
      <w:r w:rsidRPr="00856842">
        <w:rPr>
          <w:rFonts w:asciiTheme="minorHAnsi" w:hAnsiTheme="minorHAnsi" w:cs="Arial"/>
          <w:shd w:val="clear" w:color="auto" w:fill="FFFFFF"/>
        </w:rPr>
        <w:t xml:space="preserve">there is a possibility that </w:t>
      </w:r>
      <w:r w:rsidRPr="00856842">
        <w:rPr>
          <w:rFonts w:asciiTheme="minorHAnsi" w:hAnsiTheme="minorHAnsi"/>
        </w:rPr>
        <w:t>ustekinumab CL could be higher in subjects with impaired renal function.</w:t>
      </w:r>
    </w:p>
    <w:p w14:paraId="11D1F6C1" w14:textId="77777777" w:rsidR="00117231" w:rsidRPr="00856842" w:rsidRDefault="00117231" w:rsidP="00A52C58">
      <w:pPr>
        <w:pStyle w:val="ListBullet"/>
        <w:rPr>
          <w:rFonts w:asciiTheme="minorHAnsi" w:hAnsiTheme="minorHAnsi"/>
          <w:color w:val="404040"/>
        </w:rPr>
      </w:pPr>
      <w:r>
        <w:rPr>
          <w:rFonts w:asciiTheme="minorHAnsi" w:hAnsiTheme="minorHAnsi"/>
        </w:rPr>
        <w:t>A</w:t>
      </w:r>
      <w:r w:rsidRPr="00856842">
        <w:rPr>
          <w:rFonts w:asciiTheme="minorHAnsi" w:hAnsiTheme="minorHAnsi"/>
        </w:rPr>
        <w:t xml:space="preserve">ge, within the range of 18 to 76 years, </w:t>
      </w:r>
      <w:r w:rsidRPr="00856842">
        <w:rPr>
          <w:rFonts w:asciiTheme="minorHAnsi" w:hAnsiTheme="minorHAnsi"/>
          <w:color w:val="404040"/>
        </w:rPr>
        <w:t>had no meaningful impact on the PKs of ustekinumab.</w:t>
      </w:r>
    </w:p>
    <w:p w14:paraId="3EF3F9D8" w14:textId="77777777" w:rsidR="00117231" w:rsidRPr="00856842" w:rsidRDefault="00117231" w:rsidP="00A52C58">
      <w:pPr>
        <w:pStyle w:val="ListBullet"/>
        <w:rPr>
          <w:rFonts w:asciiTheme="minorHAnsi" w:hAnsiTheme="minorHAnsi"/>
        </w:rPr>
      </w:pPr>
      <w:r>
        <w:rPr>
          <w:rFonts w:asciiTheme="minorHAnsi" w:hAnsiTheme="minorHAnsi"/>
        </w:rPr>
        <w:t>U</w:t>
      </w:r>
      <w:r w:rsidRPr="00856842">
        <w:rPr>
          <w:rFonts w:asciiTheme="minorHAnsi" w:hAnsiTheme="minorHAnsi"/>
        </w:rPr>
        <w:t>stekinumab CL and V2 were 17% higher in male subjects than in females.</w:t>
      </w:r>
    </w:p>
    <w:p w14:paraId="30C4A1FF" w14:textId="7D37C29A" w:rsidR="00117231" w:rsidRPr="00856842" w:rsidRDefault="00957FBB" w:rsidP="00A52C58">
      <w:pPr>
        <w:pStyle w:val="ListBullet"/>
        <w:rPr>
          <w:rFonts w:asciiTheme="minorHAnsi" w:hAnsiTheme="minorHAnsi"/>
        </w:rPr>
      </w:pPr>
      <w:r w:rsidRPr="00856842">
        <w:rPr>
          <w:rFonts w:asciiTheme="minorHAnsi" w:hAnsiTheme="minorHAnsi"/>
        </w:rPr>
        <w:t>Model-predicted</w:t>
      </w:r>
      <w:r w:rsidR="00117231" w:rsidRPr="00856842">
        <w:rPr>
          <w:rFonts w:asciiTheme="minorHAnsi" w:hAnsiTheme="minorHAnsi"/>
        </w:rPr>
        <w:t xml:space="preserve"> CL and V2 values increas</w:t>
      </w:r>
      <w:r w:rsidR="00117231">
        <w:rPr>
          <w:rFonts w:asciiTheme="minorHAnsi" w:hAnsiTheme="minorHAnsi"/>
        </w:rPr>
        <w:t>ed</w:t>
      </w:r>
      <w:r w:rsidR="00117231" w:rsidRPr="00856842">
        <w:rPr>
          <w:rFonts w:asciiTheme="minorHAnsi" w:hAnsiTheme="minorHAnsi"/>
        </w:rPr>
        <w:t xml:space="preserve"> slightly as body weight increased.</w:t>
      </w:r>
    </w:p>
    <w:p w14:paraId="028774E7" w14:textId="77777777" w:rsidR="00117231" w:rsidRPr="00856842" w:rsidRDefault="00117231" w:rsidP="00A52C58">
      <w:pPr>
        <w:pStyle w:val="ListBullet"/>
        <w:rPr>
          <w:rFonts w:asciiTheme="minorHAnsi" w:hAnsiTheme="minorHAnsi"/>
        </w:rPr>
      </w:pPr>
      <w:r>
        <w:rPr>
          <w:rFonts w:asciiTheme="minorHAnsi" w:hAnsiTheme="minorHAnsi"/>
        </w:rPr>
        <w:t>U</w:t>
      </w:r>
      <w:r w:rsidRPr="00856842">
        <w:rPr>
          <w:rFonts w:asciiTheme="minorHAnsi" w:hAnsiTheme="minorHAnsi"/>
        </w:rPr>
        <w:t xml:space="preserve">stekinumab CL was 14% higher in Asian subjects </w:t>
      </w:r>
      <w:r>
        <w:rPr>
          <w:rFonts w:asciiTheme="minorHAnsi" w:hAnsiTheme="minorHAnsi"/>
        </w:rPr>
        <w:t>than</w:t>
      </w:r>
      <w:r w:rsidRPr="00856842">
        <w:rPr>
          <w:rFonts w:asciiTheme="minorHAnsi" w:hAnsiTheme="minorHAnsi"/>
        </w:rPr>
        <w:t xml:space="preserve"> </w:t>
      </w:r>
      <w:r>
        <w:rPr>
          <w:rFonts w:asciiTheme="minorHAnsi" w:hAnsiTheme="minorHAnsi"/>
        </w:rPr>
        <w:t>in</w:t>
      </w:r>
      <w:r w:rsidRPr="00856842">
        <w:rPr>
          <w:rFonts w:asciiTheme="minorHAnsi" w:hAnsiTheme="minorHAnsi"/>
        </w:rPr>
        <w:t xml:space="preserve"> the other race categories.</w:t>
      </w:r>
    </w:p>
    <w:p w14:paraId="219C7D6A" w14:textId="77777777" w:rsidR="00117231" w:rsidRPr="00856842" w:rsidRDefault="00117231" w:rsidP="00A52C58">
      <w:pPr>
        <w:pStyle w:val="ListBullet"/>
        <w:rPr>
          <w:rFonts w:asciiTheme="minorHAnsi" w:hAnsiTheme="minorHAnsi"/>
        </w:rPr>
      </w:pPr>
      <w:r w:rsidRPr="00856842">
        <w:rPr>
          <w:rFonts w:asciiTheme="minorHAnsi" w:hAnsiTheme="minorHAnsi"/>
        </w:rPr>
        <w:t>The model-predicted CL was 13.0% higher in subjects positive for antibodies to ustekinumab.</w:t>
      </w:r>
      <w:r>
        <w:rPr>
          <w:rFonts w:asciiTheme="minorHAnsi" w:hAnsiTheme="minorHAnsi"/>
          <w:color w:val="000000"/>
        </w:rPr>
        <w:t xml:space="preserve"> </w:t>
      </w:r>
      <w:r w:rsidRPr="00856842">
        <w:rPr>
          <w:rFonts w:asciiTheme="minorHAnsi" w:hAnsiTheme="minorHAnsi"/>
          <w:color w:val="000000"/>
        </w:rPr>
        <w:t xml:space="preserve">1.8% of subjects in the pooled popPK analysis set developed antibodies </w:t>
      </w:r>
      <w:r>
        <w:rPr>
          <w:rFonts w:asciiTheme="minorHAnsi" w:hAnsiTheme="minorHAnsi"/>
          <w:color w:val="000000"/>
        </w:rPr>
        <w:t>to</w:t>
      </w:r>
      <w:r w:rsidRPr="00856842">
        <w:rPr>
          <w:rFonts w:asciiTheme="minorHAnsi" w:hAnsiTheme="minorHAnsi"/>
          <w:color w:val="000000"/>
        </w:rPr>
        <w:t xml:space="preserve"> ustekinumab.</w:t>
      </w:r>
    </w:p>
    <w:p w14:paraId="7BDC4E2C" w14:textId="77777777" w:rsidR="00815F43" w:rsidRDefault="00117231" w:rsidP="00A52C58">
      <w:pPr>
        <w:pStyle w:val="ListBullet"/>
        <w:rPr>
          <w:rFonts w:asciiTheme="minorHAnsi" w:hAnsiTheme="minorHAnsi"/>
        </w:rPr>
      </w:pPr>
      <w:r w:rsidRPr="00856842">
        <w:rPr>
          <w:rFonts w:asciiTheme="minorHAnsi" w:hAnsiTheme="minorHAnsi"/>
        </w:rPr>
        <w:t>PopPK analysis identified that a 2-compartment disposition model with first-order absorption following SC administration adequately fitted the pooled data set.</w:t>
      </w:r>
    </w:p>
    <w:p w14:paraId="1F12C6E5" w14:textId="00CE163D" w:rsidR="00815F43" w:rsidRDefault="00117231" w:rsidP="00A52C58">
      <w:pPr>
        <w:pStyle w:val="ListBullet"/>
        <w:rPr>
          <w:rFonts w:asciiTheme="minorHAnsi" w:eastAsia="TimesNewRoman" w:hAnsiTheme="minorHAnsi" w:cstheme="minorHAnsi"/>
        </w:rPr>
      </w:pPr>
      <w:r w:rsidRPr="00856842">
        <w:rPr>
          <w:rFonts w:asciiTheme="minorHAnsi" w:hAnsiTheme="minorHAnsi"/>
        </w:rPr>
        <w:t xml:space="preserve">Covariates for CL were gender; race; TNF-antagonist failure; baseline </w:t>
      </w:r>
      <w:r w:rsidR="002F16A0" w:rsidRPr="008F37FC">
        <w:rPr>
          <w:rFonts w:asciiTheme="minorHAnsi" w:eastAsia="TimesNewRoman" w:hAnsiTheme="minorHAnsi" w:cs="Calibri"/>
        </w:rPr>
        <w:t>C-reactive protein</w:t>
      </w:r>
      <w:r w:rsidR="002F16A0" w:rsidRPr="00856842">
        <w:rPr>
          <w:rFonts w:asciiTheme="minorHAnsi" w:hAnsiTheme="minorHAnsi"/>
        </w:rPr>
        <w:t xml:space="preserve"> </w:t>
      </w:r>
      <w:r w:rsidR="002F16A0">
        <w:rPr>
          <w:rFonts w:asciiTheme="minorHAnsi" w:hAnsiTheme="minorHAnsi"/>
        </w:rPr>
        <w:t>(</w:t>
      </w:r>
      <w:r w:rsidRPr="00856842">
        <w:rPr>
          <w:rFonts w:asciiTheme="minorHAnsi" w:hAnsiTheme="minorHAnsi"/>
        </w:rPr>
        <w:t>CRP</w:t>
      </w:r>
      <w:r w:rsidR="002F16A0">
        <w:rPr>
          <w:rFonts w:asciiTheme="minorHAnsi" w:hAnsiTheme="minorHAnsi"/>
        </w:rPr>
        <w:t>)</w:t>
      </w:r>
      <w:r w:rsidRPr="00856842">
        <w:rPr>
          <w:rFonts w:asciiTheme="minorHAnsi" w:hAnsiTheme="minorHAnsi"/>
        </w:rPr>
        <w:t>; and for V2 were baseline albumin and gender. In addition, the following covariates were included in the base model: baseline body weight on all the disposition parameters (</w:t>
      </w:r>
      <w:r w:rsidRPr="002D5ED1">
        <w:rPr>
          <w:rFonts w:asciiTheme="minorHAnsi" w:hAnsiTheme="minorHAnsi"/>
          <w:iCs/>
        </w:rPr>
        <w:t>CL</w:t>
      </w:r>
      <w:r w:rsidRPr="002D5ED1">
        <w:rPr>
          <w:rFonts w:asciiTheme="minorHAnsi" w:hAnsiTheme="minorHAnsi"/>
        </w:rPr>
        <w:t xml:space="preserve">, </w:t>
      </w:r>
      <w:r w:rsidRPr="002D5ED1">
        <w:rPr>
          <w:rFonts w:asciiTheme="minorHAnsi" w:hAnsiTheme="minorHAnsi"/>
          <w:iCs/>
        </w:rPr>
        <w:t>V2</w:t>
      </w:r>
      <w:r w:rsidRPr="002D5ED1">
        <w:rPr>
          <w:rFonts w:asciiTheme="minorHAnsi" w:hAnsiTheme="minorHAnsi"/>
        </w:rPr>
        <w:t xml:space="preserve">, </w:t>
      </w:r>
      <w:r w:rsidR="002D5ED1">
        <w:rPr>
          <w:rFonts w:asciiTheme="minorHAnsi" w:hAnsiTheme="minorHAnsi"/>
        </w:rPr>
        <w:t>inter-compartmental clearance (</w:t>
      </w:r>
      <w:r w:rsidRPr="002D5ED1">
        <w:rPr>
          <w:rFonts w:asciiTheme="minorHAnsi" w:hAnsiTheme="minorHAnsi"/>
          <w:iCs/>
        </w:rPr>
        <w:t>Q</w:t>
      </w:r>
      <w:r w:rsidR="002D5ED1">
        <w:rPr>
          <w:rFonts w:asciiTheme="minorHAnsi" w:hAnsiTheme="minorHAnsi"/>
          <w:iCs/>
        </w:rPr>
        <w:t>)</w:t>
      </w:r>
      <w:r w:rsidRPr="002D5ED1">
        <w:rPr>
          <w:rFonts w:asciiTheme="minorHAnsi" w:hAnsiTheme="minorHAnsi"/>
          <w:iCs/>
        </w:rPr>
        <w:t xml:space="preserve"> </w:t>
      </w:r>
      <w:r w:rsidRPr="002D5ED1">
        <w:rPr>
          <w:rFonts w:asciiTheme="minorHAnsi" w:hAnsiTheme="minorHAnsi"/>
        </w:rPr>
        <w:t xml:space="preserve">and </w:t>
      </w:r>
      <w:r w:rsidR="002D5ED1">
        <w:rPr>
          <w:rFonts w:asciiTheme="minorHAnsi" w:hAnsiTheme="minorHAnsi"/>
        </w:rPr>
        <w:t>peripheral volume of distribution (</w:t>
      </w:r>
      <w:r w:rsidRPr="002D5ED1">
        <w:rPr>
          <w:rFonts w:asciiTheme="minorHAnsi" w:hAnsiTheme="minorHAnsi"/>
          <w:iCs/>
        </w:rPr>
        <w:t>V3</w:t>
      </w:r>
      <w:r w:rsidR="002D5ED1">
        <w:rPr>
          <w:rFonts w:asciiTheme="minorHAnsi" w:hAnsiTheme="minorHAnsi"/>
          <w:iCs/>
        </w:rPr>
        <w:t>)</w:t>
      </w:r>
      <w:r w:rsidRPr="002D5ED1">
        <w:rPr>
          <w:rFonts w:asciiTheme="minorHAnsi" w:hAnsiTheme="minorHAnsi"/>
        </w:rPr>
        <w:t xml:space="preserve">) and </w:t>
      </w:r>
      <w:r w:rsidRPr="002D5ED1">
        <w:rPr>
          <w:rFonts w:asciiTheme="minorHAnsi" w:hAnsiTheme="minorHAnsi"/>
          <w:iCs/>
        </w:rPr>
        <w:t xml:space="preserve">baseline albumin </w:t>
      </w:r>
      <w:r w:rsidRPr="002D5ED1">
        <w:rPr>
          <w:rFonts w:asciiTheme="minorHAnsi" w:hAnsiTheme="minorHAnsi"/>
        </w:rPr>
        <w:t xml:space="preserve">on </w:t>
      </w:r>
      <w:r w:rsidRPr="002D5ED1">
        <w:rPr>
          <w:rFonts w:asciiTheme="minorHAnsi" w:hAnsiTheme="minorHAnsi"/>
          <w:iCs/>
        </w:rPr>
        <w:t>CL</w:t>
      </w:r>
      <w:r w:rsidRPr="002D5ED1">
        <w:rPr>
          <w:rFonts w:asciiTheme="minorHAnsi" w:hAnsiTheme="minorHAnsi"/>
        </w:rPr>
        <w:t>.</w:t>
      </w:r>
    </w:p>
    <w:p w14:paraId="1C896C91" w14:textId="78EB955D" w:rsidR="00117231" w:rsidRPr="00117231" w:rsidRDefault="00117231" w:rsidP="00A52C58">
      <w:pPr>
        <w:pStyle w:val="ListBullet"/>
      </w:pPr>
      <w:r>
        <w:rPr>
          <w:rFonts w:asciiTheme="minorHAnsi" w:hAnsiTheme="minorHAnsi"/>
        </w:rPr>
        <w:t xml:space="preserve">The </w:t>
      </w:r>
      <w:r>
        <w:t>PK sections of the proposed PI are satisfactory.</w:t>
      </w:r>
    </w:p>
    <w:p w14:paraId="5F16CA12" w14:textId="77777777" w:rsidR="008E7846" w:rsidRDefault="008E7846" w:rsidP="008E7846">
      <w:pPr>
        <w:pStyle w:val="Heading3"/>
      </w:pPr>
      <w:bookmarkStart w:id="76" w:name="_Toc196046481"/>
      <w:bookmarkStart w:id="77" w:name="_Toc247691520"/>
      <w:bookmarkStart w:id="78" w:name="_Toc314842503"/>
      <w:bookmarkStart w:id="79" w:name="_Toc497744821"/>
      <w:r w:rsidRPr="00254787">
        <w:t>Pharmacodynamics</w:t>
      </w:r>
      <w:bookmarkEnd w:id="59"/>
      <w:bookmarkEnd w:id="76"/>
      <w:bookmarkEnd w:id="77"/>
      <w:bookmarkEnd w:id="78"/>
      <w:bookmarkEnd w:id="79"/>
    </w:p>
    <w:p w14:paraId="0852F4C0" w14:textId="77777777" w:rsidR="00605AD4" w:rsidRPr="002D5ED1" w:rsidRDefault="00605AD4" w:rsidP="002D5ED1">
      <w:pPr>
        <w:pStyle w:val="Heading4"/>
      </w:pPr>
      <w:r>
        <w:t>Studies providing pharmacodynamic data</w:t>
      </w:r>
    </w:p>
    <w:p w14:paraId="718425EA" w14:textId="77777777" w:rsidR="00117231" w:rsidRDefault="00117231" w:rsidP="002D5ED1">
      <w:pPr>
        <w:rPr>
          <w:rFonts w:asciiTheme="minorHAnsi" w:eastAsia="TimesNewRoman" w:hAnsiTheme="minorHAnsi" w:cs="TimesNewRoman"/>
          <w:color w:val="000000"/>
        </w:rPr>
      </w:pPr>
      <w:r w:rsidRPr="002D5ED1">
        <w:t xml:space="preserve">Analyses of antibodies to ustekinumab were performed in the Phase </w:t>
      </w:r>
      <w:r w:rsidR="002D5ED1">
        <w:t>III</w:t>
      </w:r>
      <w:r w:rsidRPr="002D5ED1">
        <w:t xml:space="preserve"> studies and NAP1002 using a validated, drug-tolerant ECLIA, in which ustekinumab was used to capture and detect induced immune responses to ustekinumab. Anti-drug antibody positive samples were further characterised for titre and neutralising capability in the Phase </w:t>
      </w:r>
      <w:r w:rsidR="002D5ED1">
        <w:t>III</w:t>
      </w:r>
      <w:r w:rsidRPr="002D5ED1">
        <w:t xml:space="preserve"> studies. In the Phase </w:t>
      </w:r>
      <w:r w:rsidR="002D5ED1">
        <w:t>II</w:t>
      </w:r>
      <w:r w:rsidRPr="002D5ED1">
        <w:t xml:space="preserve"> studies (C0397T07</w:t>
      </w:r>
      <w:r w:rsidRPr="000E3CD2">
        <w:rPr>
          <w:rFonts w:asciiTheme="minorHAnsi" w:eastAsia="TimesNewRoman" w:hAnsiTheme="minorHAnsi" w:cs="TimesNewRoman"/>
          <w:color w:val="000000"/>
        </w:rPr>
        <w:t xml:space="preserve"> and C0743T26), the presence of antibodies to</w:t>
      </w:r>
      <w:r>
        <w:rPr>
          <w:rFonts w:asciiTheme="minorHAnsi" w:eastAsia="TimesNewRoman" w:hAnsiTheme="minorHAnsi" w:cs="TimesNewRoman"/>
          <w:color w:val="000000"/>
        </w:rPr>
        <w:t xml:space="preserve"> </w:t>
      </w:r>
      <w:r w:rsidRPr="000E3CD2">
        <w:rPr>
          <w:rFonts w:asciiTheme="minorHAnsi" w:eastAsia="TimesNewRoman" w:hAnsiTheme="minorHAnsi" w:cs="TimesNewRoman"/>
          <w:color w:val="000000"/>
        </w:rPr>
        <w:t>ustekinumab was determined by a bridging enzyme immunoassay</w:t>
      </w:r>
      <w:r>
        <w:rPr>
          <w:rFonts w:asciiTheme="minorHAnsi" w:eastAsia="TimesNewRoman" w:hAnsiTheme="minorHAnsi" w:cs="TimesNewRoman"/>
          <w:color w:val="000000"/>
        </w:rPr>
        <w:t>.</w:t>
      </w:r>
    </w:p>
    <w:p w14:paraId="75AF7CBD" w14:textId="77777777" w:rsidR="00605AD4" w:rsidRDefault="00605AD4" w:rsidP="002D5ED1">
      <w:pPr>
        <w:pStyle w:val="Heading4"/>
      </w:pPr>
      <w:r>
        <w:t>Evaluator’s conclusions on pharmacodynamics</w:t>
      </w:r>
    </w:p>
    <w:p w14:paraId="26BC4F74" w14:textId="77777777" w:rsidR="00815F43" w:rsidRDefault="00CC3432" w:rsidP="002D5ED1">
      <w:pPr>
        <w:pStyle w:val="ListBullet"/>
      </w:pPr>
      <w:r>
        <w:t>Stelara</w:t>
      </w:r>
      <w:r w:rsidR="00117231" w:rsidRPr="00856842">
        <w:t xml:space="preserve"> is a human IgG1kappa monoclonal antibody that specifically binds to the shared p40 protein subunit of the human cytokines IL-12 and IL-23, which prevents p40 from binding to the IL-12Rbeta1 receptor protein expressed on the surface of immune cells.</w:t>
      </w:r>
    </w:p>
    <w:p w14:paraId="11FF3513" w14:textId="1002807A" w:rsidR="00117231" w:rsidRPr="00856842" w:rsidRDefault="00117231" w:rsidP="002D5ED1">
      <w:pPr>
        <w:pStyle w:val="ListBullet"/>
        <w:rPr>
          <w:rFonts w:eastAsia="TimesNewRoman" w:cstheme="minorHAnsi"/>
        </w:rPr>
      </w:pPr>
      <w:r w:rsidRPr="00856842">
        <w:rPr>
          <w:rFonts w:eastAsia="TimesNewRoman" w:cstheme="minorHAnsi"/>
        </w:rPr>
        <w:t xml:space="preserve">In general, compared to placebo, inflammation-related markers in serum, including cytokines, chemokines, mitogens and </w:t>
      </w:r>
      <w:r w:rsidRPr="00856842">
        <w:rPr>
          <w:rFonts w:eastAsia="TimesNewRoman" w:cs="TimesNewRoman"/>
        </w:rPr>
        <w:t>matrix metalloproteinase,</w:t>
      </w:r>
      <w:r w:rsidRPr="00856842">
        <w:rPr>
          <w:rFonts w:eastAsia="TimesNewRoman" w:cstheme="minorHAnsi"/>
        </w:rPr>
        <w:t xml:space="preserve"> were lower at Weeks 1, 4 and 8 following a single administration of IV ustekinumab, whereas, subjects receiving SC ustekinumab also showed changes in biomarker expression, though generally at later time-points.</w:t>
      </w:r>
    </w:p>
    <w:p w14:paraId="06A3CB82" w14:textId="77777777" w:rsidR="00117231" w:rsidRPr="00856842" w:rsidRDefault="00117231" w:rsidP="002D5ED1">
      <w:pPr>
        <w:pStyle w:val="ListBullet"/>
      </w:pPr>
      <w:r w:rsidRPr="00856842">
        <w:rPr>
          <w:rFonts w:eastAsia="TimesNewRoman" w:cstheme="minorHAnsi"/>
        </w:rPr>
        <w:t xml:space="preserve">In contrast, serum levels </w:t>
      </w:r>
      <w:r>
        <w:rPr>
          <w:rFonts w:eastAsia="TimesNewRoman" w:cstheme="minorHAnsi"/>
        </w:rPr>
        <w:t xml:space="preserve">of </w:t>
      </w:r>
      <w:r w:rsidRPr="00856842">
        <w:rPr>
          <w:rFonts w:eastAsia="TimesNewRoman" w:cstheme="minorHAnsi"/>
        </w:rPr>
        <w:t xml:space="preserve">the </w:t>
      </w:r>
      <w:r w:rsidRPr="00856842">
        <w:rPr>
          <w:rFonts w:eastAsiaTheme="minorHAnsi" w:cstheme="minorHAnsi"/>
          <w:bCs/>
          <w:iCs/>
        </w:rPr>
        <w:t>inflammatory cytokine IL-12p40</w:t>
      </w:r>
      <w:r w:rsidRPr="00856842">
        <w:t xml:space="preserve">, which is the target antigen for ustekinumab, increased up until week 4 of treatment and the elevated levels were maintained up until Week 8 following treatment with either SC or IV ustekinumab. This represented </w:t>
      </w:r>
      <w:r w:rsidRPr="00856842">
        <w:rPr>
          <w:rFonts w:eastAsiaTheme="minorHAnsi" w:cstheme="minorHAnsi"/>
          <w:bCs/>
          <w:iCs/>
        </w:rPr>
        <w:t xml:space="preserve">IL-12p40 complexed with </w:t>
      </w:r>
      <w:r w:rsidRPr="00856842">
        <w:t xml:space="preserve">ustekinumab and was therefore inactive. Serum levels of </w:t>
      </w:r>
      <w:r w:rsidRPr="005F5030">
        <w:rPr>
          <w:rFonts w:cs="Arial"/>
          <w:color w:val="252525"/>
          <w:shd w:val="clear" w:color="auto" w:fill="FFFFFF"/>
        </w:rPr>
        <w:t xml:space="preserve">regulated on activation, normal T cell expressed and </w:t>
      </w:r>
      <w:r w:rsidRPr="005F5030">
        <w:rPr>
          <w:rFonts w:cs="Arial"/>
          <w:color w:val="252525"/>
          <w:shd w:val="clear" w:color="auto" w:fill="FFFFFF"/>
        </w:rPr>
        <w:lastRenderedPageBreak/>
        <w:t>secreted</w:t>
      </w:r>
      <w:r>
        <w:rPr>
          <w:rFonts w:ascii="Arial" w:hAnsi="Arial" w:cs="Arial"/>
          <w:color w:val="252525"/>
          <w:sz w:val="21"/>
          <w:szCs w:val="21"/>
          <w:shd w:val="clear" w:color="auto" w:fill="FFFFFF"/>
        </w:rPr>
        <w:t xml:space="preserve"> (</w:t>
      </w:r>
      <w:r w:rsidR="00FF4301" w:rsidRPr="008F37FC">
        <w:rPr>
          <w:rFonts w:asciiTheme="minorHAnsi" w:eastAsia="TimesNewRoman" w:hAnsiTheme="minorHAnsi" w:cs="Calibri"/>
        </w:rPr>
        <w:t>Regulated on activation, normal T cell expressed and secreted</w:t>
      </w:r>
      <w:r w:rsidR="00FF4301" w:rsidRPr="00856842">
        <w:t xml:space="preserve"> </w:t>
      </w:r>
      <w:r w:rsidR="00FF4301">
        <w:t>(</w:t>
      </w:r>
      <w:r w:rsidRPr="00856842">
        <w:t>RANTES</w:t>
      </w:r>
      <w:r w:rsidR="00FF4301">
        <w:t>)</w:t>
      </w:r>
      <w:r>
        <w:t>)</w:t>
      </w:r>
      <w:r w:rsidRPr="00856842">
        <w:t xml:space="preserve">, which </w:t>
      </w:r>
      <w:r w:rsidRPr="00856842">
        <w:rPr>
          <w:rFonts w:eastAsia="TimesNewRoman" w:cstheme="minorHAnsi"/>
        </w:rPr>
        <w:t>plays a role in both promoting and controlling inflammation,</w:t>
      </w:r>
      <w:r w:rsidRPr="00856842">
        <w:t xml:space="preserve"> was also increased following IV administration of ustekinumab.</w:t>
      </w:r>
    </w:p>
    <w:p w14:paraId="0ADCEC5B" w14:textId="77777777" w:rsidR="00815F43" w:rsidRDefault="00117231" w:rsidP="002D5ED1">
      <w:pPr>
        <w:pStyle w:val="ListBullet"/>
        <w:rPr>
          <w:rFonts w:eastAsia="TimesNewRoman" w:cstheme="minorHAnsi"/>
        </w:rPr>
      </w:pPr>
      <w:r w:rsidRPr="00856842">
        <w:rPr>
          <w:rFonts w:eastAsia="TimesNewRoman" w:cstheme="minorHAnsi"/>
        </w:rPr>
        <w:t>IL</w:t>
      </w:r>
      <w:r w:rsidR="002F16A0">
        <w:rPr>
          <w:rFonts w:eastAsia="TimesNewRoman" w:cstheme="minorHAnsi"/>
        </w:rPr>
        <w:t>-</w:t>
      </w:r>
      <w:r w:rsidRPr="00856842">
        <w:rPr>
          <w:rFonts w:eastAsia="TimesNewRoman" w:cstheme="minorHAnsi"/>
        </w:rPr>
        <w:t>17A was significantly up-regulated in patients with Crohn’s disease compared to healthy controls (p&lt;0.0001); however, 22 weeks f</w:t>
      </w:r>
      <w:r w:rsidRPr="00856842">
        <w:rPr>
          <w:rFonts w:cstheme="minorHAnsi"/>
        </w:rPr>
        <w:t>ollowing an IV induction dose of ustekinumab and</w:t>
      </w:r>
      <w:r w:rsidRPr="00856842">
        <w:rPr>
          <w:rFonts w:eastAsia="TimesNewRoman" w:cstheme="minorHAnsi"/>
        </w:rPr>
        <w:t xml:space="preserve"> SC doses starting at Week 8, IL</w:t>
      </w:r>
      <w:r w:rsidR="002F16A0">
        <w:rPr>
          <w:rFonts w:eastAsia="TimesNewRoman" w:cstheme="minorHAnsi"/>
        </w:rPr>
        <w:t>-</w:t>
      </w:r>
      <w:r w:rsidRPr="00856842">
        <w:rPr>
          <w:rFonts w:eastAsia="TimesNewRoman" w:cstheme="minorHAnsi"/>
        </w:rPr>
        <w:t>17A was significantly down-regulated among patients who demonstrated consistent responses during both induction and maintenance, whereas, there were marginal effects on IL</w:t>
      </w:r>
      <w:r w:rsidR="002F16A0">
        <w:rPr>
          <w:rFonts w:eastAsia="TimesNewRoman" w:cstheme="minorHAnsi"/>
        </w:rPr>
        <w:t>-</w:t>
      </w:r>
      <w:r w:rsidRPr="00856842">
        <w:rPr>
          <w:rFonts w:eastAsia="TimesNewRoman" w:cstheme="minorHAnsi"/>
        </w:rPr>
        <w:t>17F expression. By contrast, no significant modulation was observed among placebo-treated subjects or ustekinumab non-responders.</w:t>
      </w:r>
    </w:p>
    <w:p w14:paraId="2D390D6C" w14:textId="2AAB52CD" w:rsidR="00815F43" w:rsidRDefault="00117231" w:rsidP="002D5ED1">
      <w:pPr>
        <w:pStyle w:val="ListBullet"/>
        <w:rPr>
          <w:rFonts w:eastAsia="TimesNewRoman" w:cstheme="minorHAnsi"/>
        </w:rPr>
      </w:pPr>
      <w:r w:rsidRPr="00247506">
        <w:rPr>
          <w:rFonts w:eastAsia="TimesNewRoman" w:cstheme="minorHAnsi"/>
        </w:rPr>
        <w:t>IL</w:t>
      </w:r>
      <w:r w:rsidR="002F16A0">
        <w:rPr>
          <w:rFonts w:eastAsia="TimesNewRoman" w:cstheme="minorHAnsi"/>
        </w:rPr>
        <w:t>-</w:t>
      </w:r>
      <w:r w:rsidRPr="00247506">
        <w:rPr>
          <w:rFonts w:eastAsia="TimesNewRoman" w:cstheme="minorHAnsi"/>
        </w:rPr>
        <w:t xml:space="preserve">17A levels were significantly correlated with the inflammation markers CRP, </w:t>
      </w:r>
      <w:r w:rsidR="002F16A0" w:rsidRPr="008F37FC">
        <w:rPr>
          <w:rFonts w:asciiTheme="minorHAnsi" w:hAnsiTheme="minorHAnsi" w:cs="Calibri"/>
        </w:rPr>
        <w:t>faecal calprotectin</w:t>
      </w:r>
      <w:r w:rsidR="002F16A0" w:rsidRPr="00247506">
        <w:rPr>
          <w:rFonts w:eastAsia="TimesNewRoman" w:cstheme="minorHAnsi"/>
        </w:rPr>
        <w:t xml:space="preserve"> </w:t>
      </w:r>
      <w:r w:rsidR="002F16A0">
        <w:rPr>
          <w:rFonts w:eastAsia="TimesNewRoman" w:cstheme="minorHAnsi"/>
        </w:rPr>
        <w:t>(</w:t>
      </w:r>
      <w:r w:rsidRPr="00247506">
        <w:rPr>
          <w:rFonts w:eastAsia="TimesNewRoman" w:cstheme="minorHAnsi"/>
        </w:rPr>
        <w:t>fCAL</w:t>
      </w:r>
      <w:r w:rsidR="002F16A0">
        <w:rPr>
          <w:rFonts w:eastAsia="TimesNewRoman" w:cstheme="minorHAnsi"/>
        </w:rPr>
        <w:t>)</w:t>
      </w:r>
      <w:r w:rsidRPr="00247506">
        <w:rPr>
          <w:rFonts w:eastAsia="TimesNewRoman" w:cstheme="minorHAnsi"/>
        </w:rPr>
        <w:t xml:space="preserve"> and </w:t>
      </w:r>
      <w:r w:rsidR="002F16A0" w:rsidRPr="008F37FC">
        <w:rPr>
          <w:rFonts w:asciiTheme="minorHAnsi" w:hAnsiTheme="minorHAnsi" w:cs="Calibri"/>
        </w:rPr>
        <w:t>faecal lactoferrin</w:t>
      </w:r>
      <w:r w:rsidR="002F16A0" w:rsidRPr="00247506">
        <w:rPr>
          <w:rFonts w:eastAsia="TimesNewRoman" w:cstheme="minorHAnsi"/>
        </w:rPr>
        <w:t xml:space="preserve"> </w:t>
      </w:r>
      <w:r w:rsidR="002F16A0">
        <w:rPr>
          <w:rFonts w:eastAsia="TimesNewRoman" w:cstheme="minorHAnsi"/>
        </w:rPr>
        <w:t>(</w:t>
      </w:r>
      <w:r w:rsidRPr="00247506">
        <w:rPr>
          <w:rFonts w:eastAsia="TimesNewRoman" w:cstheme="minorHAnsi"/>
        </w:rPr>
        <w:t>fLAC</w:t>
      </w:r>
      <w:r w:rsidR="002F16A0">
        <w:rPr>
          <w:rFonts w:eastAsia="TimesNewRoman" w:cstheme="minorHAnsi"/>
        </w:rPr>
        <w:t>)</w:t>
      </w:r>
      <w:r w:rsidRPr="00247506">
        <w:rPr>
          <w:rFonts w:eastAsia="TimesNewRoman" w:cstheme="minorHAnsi"/>
        </w:rPr>
        <w:t xml:space="preserve">, whereas, there was no significant correlation between </w:t>
      </w:r>
      <w:r w:rsidR="002F16A0">
        <w:rPr>
          <w:rFonts w:eastAsia="TimesNewRoman" w:cstheme="minorHAnsi"/>
        </w:rPr>
        <w:t>IL-17</w:t>
      </w:r>
      <w:r w:rsidRPr="00247506">
        <w:rPr>
          <w:rFonts w:eastAsia="TimesNewRoman" w:cstheme="minorHAnsi"/>
        </w:rPr>
        <w:t xml:space="preserve">A </w:t>
      </w:r>
      <w:proofErr w:type="gramStart"/>
      <w:r w:rsidRPr="00247506">
        <w:rPr>
          <w:rFonts w:eastAsia="TimesNewRoman" w:cstheme="minorHAnsi"/>
        </w:rPr>
        <w:t>or</w:t>
      </w:r>
      <w:proofErr w:type="gramEnd"/>
      <w:r w:rsidRPr="00247506">
        <w:rPr>
          <w:rFonts w:eastAsia="TimesNewRoman" w:cstheme="minorHAnsi"/>
        </w:rPr>
        <w:t xml:space="preserve"> </w:t>
      </w:r>
      <w:r w:rsidR="002F16A0">
        <w:rPr>
          <w:rFonts w:eastAsia="TimesNewRoman" w:cstheme="minorHAnsi"/>
        </w:rPr>
        <w:t>IL-17</w:t>
      </w:r>
      <w:r w:rsidRPr="00247506">
        <w:rPr>
          <w:rFonts w:eastAsia="TimesNewRoman" w:cstheme="minorHAnsi"/>
        </w:rPr>
        <w:t>F with</w:t>
      </w:r>
      <w:r w:rsidRPr="00247506">
        <w:t xml:space="preserve"> </w:t>
      </w:r>
      <w:r w:rsidR="00FF4301" w:rsidRPr="008F37FC">
        <w:rPr>
          <w:rFonts w:asciiTheme="minorHAnsi" w:eastAsia="TimesNewRoman" w:hAnsiTheme="minorHAnsi" w:cs="Calibri"/>
        </w:rPr>
        <w:t>Crohn’s Disease Activity Index</w:t>
      </w:r>
      <w:r w:rsidR="00FF4301" w:rsidRPr="00247506">
        <w:rPr>
          <w:rFonts w:eastAsia="TimesNewRoman" w:cstheme="minorHAnsi"/>
        </w:rPr>
        <w:t xml:space="preserve"> </w:t>
      </w:r>
      <w:r w:rsidR="00FF4301">
        <w:rPr>
          <w:rFonts w:eastAsia="TimesNewRoman" w:cstheme="minorHAnsi"/>
        </w:rPr>
        <w:t>(</w:t>
      </w:r>
      <w:r w:rsidRPr="00247506">
        <w:rPr>
          <w:rFonts w:eastAsia="TimesNewRoman" w:cstheme="minorHAnsi"/>
        </w:rPr>
        <w:t>CDAI</w:t>
      </w:r>
      <w:r w:rsidR="00FF4301">
        <w:rPr>
          <w:rFonts w:eastAsia="TimesNewRoman" w:cstheme="minorHAnsi"/>
        </w:rPr>
        <w:t>)</w:t>
      </w:r>
      <w:r w:rsidRPr="00247506">
        <w:rPr>
          <w:rFonts w:eastAsia="TimesNewRoman" w:cstheme="minorHAnsi"/>
        </w:rPr>
        <w:t>.</w:t>
      </w:r>
    </w:p>
    <w:p w14:paraId="7053316C" w14:textId="5D3DE5F2" w:rsidR="00117231" w:rsidRPr="00247506" w:rsidRDefault="00117231" w:rsidP="002D5ED1">
      <w:pPr>
        <w:pStyle w:val="ListBullet"/>
        <w:rPr>
          <w:rFonts w:eastAsia="TimesNewRoman" w:cstheme="minorHAnsi"/>
        </w:rPr>
      </w:pPr>
      <w:r w:rsidRPr="00247506">
        <w:rPr>
          <w:rFonts w:eastAsia="TimesNewRoman" w:cstheme="minorHAnsi"/>
        </w:rPr>
        <w:t>Significantly different levels of IL-17A were identified in Crohn’s disease subtypes, whereas IL-17F levels were significantly different for the Crohn’s disease phenotypes.</w:t>
      </w:r>
    </w:p>
    <w:p w14:paraId="429BF9AA" w14:textId="77777777" w:rsidR="00117231" w:rsidRPr="00247506" w:rsidRDefault="00117231" w:rsidP="002D5ED1">
      <w:pPr>
        <w:pStyle w:val="ListBullet"/>
      </w:pPr>
      <w:r w:rsidRPr="00247506">
        <w:t xml:space="preserve">The populations with Crohn’s disease in </w:t>
      </w:r>
      <w:r w:rsidR="002D5ED1" w:rsidRPr="00247506">
        <w:t xml:space="preserve">Studies </w:t>
      </w:r>
      <w:r w:rsidRPr="00247506">
        <w:t xml:space="preserve">CRD3001 and CRD3002 had similar serum marker profiles and the patterns of expression for </w:t>
      </w:r>
      <w:r w:rsidR="002F16A0" w:rsidRPr="008F37FC">
        <w:rPr>
          <w:rFonts w:asciiTheme="minorHAnsi" w:eastAsia="TimesNewRoman" w:hAnsiTheme="minorHAnsi" w:cs="Calibri"/>
        </w:rPr>
        <w:t>serum amyloid A</w:t>
      </w:r>
      <w:r w:rsidR="002F16A0" w:rsidRPr="00247506">
        <w:t xml:space="preserve"> </w:t>
      </w:r>
      <w:r w:rsidR="002F16A0">
        <w:t>(</w:t>
      </w:r>
      <w:r w:rsidRPr="00247506">
        <w:t>SAA</w:t>
      </w:r>
      <w:r w:rsidR="002F16A0">
        <w:t>)</w:t>
      </w:r>
      <w:r w:rsidRPr="00247506">
        <w:t>, IFN</w:t>
      </w:r>
      <w:r w:rsidRPr="00247506">
        <w:rPr>
          <w:rFonts w:cs="Symbol"/>
        </w:rPr>
        <w:t>γ</w:t>
      </w:r>
      <w:r w:rsidRPr="00247506">
        <w:t xml:space="preserve">, </w:t>
      </w:r>
      <w:r w:rsidR="002F16A0">
        <w:t>IL-17</w:t>
      </w:r>
      <w:r w:rsidRPr="00247506">
        <w:t xml:space="preserve">A, </w:t>
      </w:r>
      <w:r w:rsidR="002F16A0" w:rsidRPr="008F37FC">
        <w:rPr>
          <w:rFonts w:asciiTheme="minorHAnsi" w:eastAsia="TimesNewRoman" w:hAnsiTheme="minorHAnsi" w:cs="Calibri"/>
        </w:rPr>
        <w:t>myeloperoxidase</w:t>
      </w:r>
      <w:r w:rsidR="002F16A0" w:rsidRPr="00247506">
        <w:t xml:space="preserve"> </w:t>
      </w:r>
      <w:r w:rsidR="002F16A0">
        <w:t>(</w:t>
      </w:r>
      <w:r w:rsidRPr="00247506">
        <w:t>MPO</w:t>
      </w:r>
      <w:r w:rsidR="002F16A0">
        <w:t>)</w:t>
      </w:r>
      <w:r w:rsidRPr="00247506">
        <w:t xml:space="preserve">, </w:t>
      </w:r>
      <w:r w:rsidR="00FF4301" w:rsidRPr="008F37FC">
        <w:rPr>
          <w:rFonts w:asciiTheme="minorHAnsi" w:eastAsia="TimesNewRoman" w:hAnsiTheme="minorHAnsi" w:cs="Calibri"/>
        </w:rPr>
        <w:t>creatine kinase isoenzyme-MB</w:t>
      </w:r>
      <w:r w:rsidR="00FF4301" w:rsidRPr="00247506">
        <w:t xml:space="preserve"> </w:t>
      </w:r>
      <w:r w:rsidR="00FF4301">
        <w:t>(</w:t>
      </w:r>
      <w:r w:rsidRPr="00247506">
        <w:t>CKMB</w:t>
      </w:r>
      <w:r w:rsidR="00FF4301">
        <w:t>)</w:t>
      </w:r>
      <w:r w:rsidRPr="00247506">
        <w:t>, IL-8, and TNF</w:t>
      </w:r>
      <w:r w:rsidRPr="00247506">
        <w:rPr>
          <w:rFonts w:cs="Symbol"/>
        </w:rPr>
        <w:t>α were different to those seen in healthy subjects.</w:t>
      </w:r>
      <w:r w:rsidRPr="00247506">
        <w:t xml:space="preserve"> By contrast, levels of IL23, IL12p40, </w:t>
      </w:r>
      <w:r w:rsidR="002F16A0">
        <w:t>IL-17</w:t>
      </w:r>
      <w:r w:rsidRPr="00247506">
        <w:t>F, IL6, MMP3, and GMCSF were similar in both diseased patients and healthy subjects.</w:t>
      </w:r>
    </w:p>
    <w:p w14:paraId="74C5CB4B" w14:textId="77777777" w:rsidR="00117231" w:rsidRPr="00247506" w:rsidRDefault="00117231" w:rsidP="002D5ED1">
      <w:pPr>
        <w:pStyle w:val="ListBullet"/>
      </w:pPr>
      <w:r w:rsidRPr="00247506">
        <w:t>None of the markers measured consistently discriminated between R and NR at baseline across the CRD3001 and CRD3002 study populations with response defined as a decrease in CDAI of at least 100 points from baseline.</w:t>
      </w:r>
    </w:p>
    <w:p w14:paraId="6314E299" w14:textId="77777777" w:rsidR="00117231" w:rsidRPr="00974E39" w:rsidRDefault="00117231" w:rsidP="002D5ED1">
      <w:pPr>
        <w:pStyle w:val="ListBullet"/>
      </w:pPr>
      <w:r w:rsidRPr="00247506">
        <w:t xml:space="preserve">IFNγ was identified as a </w:t>
      </w:r>
      <w:r w:rsidR="002D5ED1" w:rsidRPr="00247506">
        <w:t>pharmacodynamic (</w:t>
      </w:r>
      <w:r w:rsidRPr="00247506">
        <w:t>PD</w:t>
      </w:r>
      <w:r w:rsidR="002D5ED1" w:rsidRPr="00247506">
        <w:t>)</w:t>
      </w:r>
      <w:r w:rsidRPr="00247506">
        <w:t xml:space="preserve"> marker and was significantly modulated by ustekinumab in both responders and non-responders</w:t>
      </w:r>
      <w:r w:rsidRPr="00974E39">
        <w:t xml:space="preserve"> following induction treatment.</w:t>
      </w:r>
    </w:p>
    <w:p w14:paraId="3345E638" w14:textId="77777777" w:rsidR="00117231" w:rsidRPr="00974E39" w:rsidRDefault="00117231" w:rsidP="002D5ED1">
      <w:pPr>
        <w:pStyle w:val="ListBullet"/>
      </w:pPr>
      <w:r w:rsidRPr="00974E39">
        <w:t>SAA, CRP and IL-6 were significantly modulated by ustekinumab in responders and less so or not at all in non-responders following both induction and maintenance therapy.</w:t>
      </w:r>
    </w:p>
    <w:p w14:paraId="1B9DB5A2" w14:textId="77777777" w:rsidR="00117231" w:rsidRPr="00974E39" w:rsidRDefault="00117231" w:rsidP="002D5ED1">
      <w:pPr>
        <w:pStyle w:val="ListBullet"/>
      </w:pPr>
      <w:r w:rsidRPr="00974E39">
        <w:t>IL-12p40 levels increased following treatment with ustekinumab due to the presence of the circulating antibody/ligand complex. A similar trend was observed for IL-23p19.</w:t>
      </w:r>
    </w:p>
    <w:p w14:paraId="0C4DBFAD" w14:textId="77777777" w:rsidR="00117231" w:rsidRPr="00974E39" w:rsidRDefault="00117231" w:rsidP="002D5ED1">
      <w:pPr>
        <w:pStyle w:val="ListBullet"/>
      </w:pPr>
      <w:r w:rsidRPr="00974E39">
        <w:rPr>
          <w:rFonts w:cs="Symbol"/>
        </w:rPr>
        <w:t xml:space="preserve">Induction therapy </w:t>
      </w:r>
      <w:r w:rsidRPr="00974E39">
        <w:t xml:space="preserve">had no effect on the baseline levels of </w:t>
      </w:r>
      <w:r w:rsidR="002F16A0">
        <w:t>IL-17</w:t>
      </w:r>
      <w:r w:rsidRPr="00974E39">
        <w:t>A, TNF</w:t>
      </w:r>
      <w:r w:rsidRPr="00974E39">
        <w:rPr>
          <w:rFonts w:cs="Symbol"/>
        </w:rPr>
        <w:t>α</w:t>
      </w:r>
      <w:r w:rsidRPr="00974E39">
        <w:t>, MPO, CKMB, IL-8</w:t>
      </w:r>
      <w:r w:rsidR="002D5ED1">
        <w:t xml:space="preserve"> or haptoglobin, whereas</w:t>
      </w:r>
      <w:r w:rsidRPr="00974E39">
        <w:t xml:space="preserve"> maintenance therapy resulted in a significant reduction in </w:t>
      </w:r>
      <w:r w:rsidR="002F16A0">
        <w:t>IL-17</w:t>
      </w:r>
      <w:r w:rsidRPr="00974E39">
        <w:t>A in R and increases in CKMB relative to decreased levels seen at baseline compared to healthy controls.</w:t>
      </w:r>
    </w:p>
    <w:p w14:paraId="1DBF0FB0" w14:textId="77777777" w:rsidR="00117231" w:rsidRPr="00856842" w:rsidRDefault="00117231" w:rsidP="002D5ED1">
      <w:pPr>
        <w:pStyle w:val="ListBullet"/>
        <w:rPr>
          <w:rFonts w:eastAsia="TimesNewRoman" w:cstheme="minorHAnsi"/>
          <w:color w:val="000000"/>
        </w:rPr>
      </w:pPr>
      <w:r w:rsidRPr="00856842">
        <w:rPr>
          <w:rFonts w:eastAsia="TimesNewRoman" w:cs="TimesNewRoman"/>
          <w:color w:val="000000"/>
        </w:rPr>
        <w:t>B</w:t>
      </w:r>
      <w:r w:rsidRPr="00856842">
        <w:rPr>
          <w:rFonts w:eastAsia="TimesNewRoman" w:cstheme="minorHAnsi"/>
        </w:rPr>
        <w:t>iopsies of colon and ileum from patients with Crohn’s disease displayed transcript dysregulation in both the inflamed and non-involved areas compared to tissues taken from healthy subjects.</w:t>
      </w:r>
    </w:p>
    <w:p w14:paraId="45C9A37C" w14:textId="77777777" w:rsidR="00117231" w:rsidRPr="00856842" w:rsidRDefault="00117231" w:rsidP="002D5ED1">
      <w:pPr>
        <w:pStyle w:val="ListBullet"/>
        <w:rPr>
          <w:rFonts w:eastAsia="TimesNewRoman" w:cs="TimesNewRoman"/>
          <w:color w:val="000000"/>
        </w:rPr>
      </w:pPr>
      <w:r w:rsidRPr="00247506">
        <w:rPr>
          <w:rFonts w:eastAsia="TimesNewRoman" w:cstheme="minorHAnsi"/>
          <w:color w:val="000000"/>
        </w:rPr>
        <w:t xml:space="preserve">In biopsies of colonic mucosa there was little change in expression of the apoptosis marker, FAS, following treatment with placebo (0.8%), whereas, in </w:t>
      </w:r>
      <w:r w:rsidRPr="00247506">
        <w:rPr>
          <w:rFonts w:cstheme="minorHAnsi"/>
        </w:rPr>
        <w:t xml:space="preserve">subjects who received either IV or SC ustekinumab at Week 0 the number of FAS expressing cells increased by 3.1% from baseline to </w:t>
      </w:r>
      <w:r w:rsidRPr="00247506">
        <w:rPr>
          <w:rFonts w:eastAsia="TimesNewRoman" w:cs="TimesNewRoman"/>
          <w:color w:val="000000"/>
        </w:rPr>
        <w:t xml:space="preserve">Week 8. A similar pattern was identified for caspase </w:t>
      </w:r>
      <w:r w:rsidR="00957FBB" w:rsidRPr="00247506">
        <w:rPr>
          <w:rFonts w:eastAsia="TimesNewRoman" w:cs="TimesNewRoman"/>
          <w:color w:val="000000"/>
        </w:rPr>
        <w:t>3;</w:t>
      </w:r>
      <w:r w:rsidRPr="00247506">
        <w:rPr>
          <w:rFonts w:eastAsia="TimesNewRoman" w:cs="TimesNewRoman"/>
          <w:color w:val="000000"/>
        </w:rPr>
        <w:t xml:space="preserve"> however, the magnitude</w:t>
      </w:r>
      <w:r w:rsidRPr="00856842">
        <w:rPr>
          <w:rFonts w:eastAsia="TimesNewRoman" w:cs="TimesNewRoman"/>
          <w:color w:val="000000"/>
        </w:rPr>
        <w:t xml:space="preserve"> of the difference between placebo and active drug treatment was much smaller (0.9%).</w:t>
      </w:r>
    </w:p>
    <w:p w14:paraId="6391B000" w14:textId="77777777" w:rsidR="00117231" w:rsidRPr="00856842" w:rsidRDefault="00117231" w:rsidP="002D5ED1">
      <w:pPr>
        <w:pStyle w:val="ListBullet"/>
        <w:rPr>
          <w:rFonts w:eastAsia="TimesNewRoman" w:cstheme="minorHAnsi"/>
        </w:rPr>
      </w:pPr>
      <w:r w:rsidRPr="00856842">
        <w:rPr>
          <w:rFonts w:eastAsia="TimesNewRoman" w:cstheme="minorHAnsi"/>
        </w:rPr>
        <w:t xml:space="preserve">Following ustekinumab treatment, the disease profile of colon and ileum including IL-12 receptor B1, IL-23, IL-6, and SAA showed significant resolution in responders (&gt;25% of genes dysregulated in the disease profile are normalised by Week 6 and </w:t>
      </w:r>
      <w:r w:rsidRPr="00856842">
        <w:rPr>
          <w:rFonts w:eastAsia="TimesNewRoman" w:cstheme="minorHAnsi"/>
        </w:rPr>
        <w:lastRenderedPageBreak/>
        <w:t>maintained or further normalised by Week 22) while no significant changes were observed in non-responders or placebo treated patients.</w:t>
      </w:r>
    </w:p>
    <w:p w14:paraId="6719D5AD" w14:textId="77777777" w:rsidR="00117231" w:rsidRPr="00856842" w:rsidRDefault="00117231" w:rsidP="002D5ED1">
      <w:pPr>
        <w:pStyle w:val="ListBullet"/>
      </w:pPr>
      <w:r w:rsidRPr="00856842">
        <w:rPr>
          <w:rFonts w:eastAsia="TimesNewRoman" w:cstheme="minorHAnsi"/>
        </w:rPr>
        <w:t>Following treatment with ustekinumab the number of subjects (either healthy or with Crohn’s disease) who were positive for antibodies to ustekinumab was low and ranged from 0.2% to 2.3% of the study population.</w:t>
      </w:r>
      <w:r w:rsidRPr="00BD07A5">
        <w:rPr>
          <w:rFonts w:eastAsia="TimesNewRoman" w:cstheme="minorHAnsi"/>
        </w:rPr>
        <w:t xml:space="preserve"> </w:t>
      </w:r>
      <w:r w:rsidRPr="00856842">
        <w:rPr>
          <w:rFonts w:eastAsia="TimesNewRoman" w:cstheme="minorHAnsi"/>
        </w:rPr>
        <w:t>During maintenance ustekinumab therapy, no apparent impact on clinical efficacy was observed following the development of antibodies to ustekinumab</w:t>
      </w:r>
      <w:r>
        <w:rPr>
          <w:rFonts w:eastAsia="TimesNewRoman" w:cstheme="minorHAnsi"/>
        </w:rPr>
        <w:t>, but interpretation was limited by low incidence of antibody development.</w:t>
      </w:r>
    </w:p>
    <w:p w14:paraId="65273A58" w14:textId="77777777" w:rsidR="00117231" w:rsidRPr="00856842" w:rsidRDefault="00117231" w:rsidP="002D5ED1">
      <w:pPr>
        <w:pStyle w:val="ListBullet"/>
        <w:rPr>
          <w:rFonts w:eastAsia="TimesNewRoman" w:cstheme="minorHAnsi"/>
        </w:rPr>
      </w:pPr>
      <w:r w:rsidRPr="00856842">
        <w:rPr>
          <w:rFonts w:eastAsia="TimesNewRoman" w:cstheme="minorHAnsi"/>
        </w:rPr>
        <w:t>A positive association was observed between serum ustekinumab concentration and clinical remission</w:t>
      </w:r>
      <w:r>
        <w:rPr>
          <w:rFonts w:eastAsia="TimesNewRoman" w:cstheme="minorHAnsi"/>
        </w:rPr>
        <w:t xml:space="preserve"> following both induction and maintenance dosing with ustekinumab</w:t>
      </w:r>
      <w:r w:rsidRPr="00856842">
        <w:rPr>
          <w:rFonts w:eastAsia="TimesNewRoman" w:cstheme="minorHAnsi"/>
        </w:rPr>
        <w:t>.</w:t>
      </w:r>
    </w:p>
    <w:p w14:paraId="2CF61C69" w14:textId="77777777" w:rsidR="00117231" w:rsidRPr="00117231" w:rsidRDefault="00117231" w:rsidP="002D5ED1">
      <w:pPr>
        <w:pStyle w:val="ListBullet"/>
      </w:pPr>
      <w:r w:rsidRPr="00856842">
        <w:rPr>
          <w:rFonts w:eastAsia="TimesNewRoman" w:cstheme="minorHAnsi"/>
        </w:rPr>
        <w:t>In the lowest serum ustekinumab concentration quartile where the lowest remission rates were observed, a substantial majority of subjects were receiving a q12w regimen and not a q8w regimen.</w:t>
      </w:r>
    </w:p>
    <w:p w14:paraId="78ACA4D5" w14:textId="77777777" w:rsidR="008E7846" w:rsidRDefault="00605AD4" w:rsidP="00A46BF1">
      <w:pPr>
        <w:pStyle w:val="Heading4"/>
      </w:pPr>
      <w:r>
        <w:t>Dosage selection for the pivotal studies</w:t>
      </w:r>
    </w:p>
    <w:p w14:paraId="123C8488" w14:textId="77777777" w:rsidR="00117231" w:rsidRPr="00117231" w:rsidRDefault="002D5ED1" w:rsidP="00117231">
      <w:r>
        <w:t>The Phase II</w:t>
      </w:r>
      <w:r w:rsidR="00117231" w:rsidRPr="00117231">
        <w:t xml:space="preserve">b </w:t>
      </w:r>
      <w:r w:rsidR="004B6C8D">
        <w:t>Study C0</w:t>
      </w:r>
      <w:r w:rsidR="00117231" w:rsidRPr="00117231">
        <w:t>743T26 in 526 patients with Crohn’s disease who had previously failed TNF antagonist therapy showed that ustekinumab administered at 1, 3 or 6 mg/kg IV at Week 0 and then at 90 mg SC at Week 8 and Week 16 was effective at inducing and maintaining clinical response.</w:t>
      </w:r>
      <w:r w:rsidR="00EF0460">
        <w:t xml:space="preserve"> </w:t>
      </w:r>
      <w:r w:rsidR="00117231" w:rsidRPr="00117231">
        <w:t xml:space="preserve">The 6 mg/kg dose appeared to be the most effective dose in </w:t>
      </w:r>
      <w:r w:rsidR="00117231" w:rsidRPr="00247506">
        <w:t xml:space="preserve">inducing clinical response through Week 8. This dose also showed the greatest reduction in CDAI, and the highest proportions of subjects with normalisation of CRP, improvement in </w:t>
      </w:r>
      <w:r w:rsidR="00FF4301" w:rsidRPr="008F37FC">
        <w:rPr>
          <w:rFonts w:asciiTheme="minorHAnsi" w:eastAsia="TimesNewRoman" w:hAnsiTheme="minorHAnsi" w:cs="Calibri"/>
        </w:rPr>
        <w:t>Inflammatory Bowel Disease Questionnaire</w:t>
      </w:r>
      <w:r w:rsidR="00FF4301" w:rsidRPr="00247506">
        <w:t xml:space="preserve"> </w:t>
      </w:r>
      <w:r w:rsidR="00FF4301">
        <w:t>(</w:t>
      </w:r>
      <w:r w:rsidR="00117231" w:rsidRPr="00247506">
        <w:t>IBDQ</w:t>
      </w:r>
      <w:r w:rsidR="00FF4301">
        <w:t>)</w:t>
      </w:r>
      <w:r w:rsidR="00117231" w:rsidRPr="00247506">
        <w:t>, and fistula response compared with the other induction doses. The 6 mg/kg dose was also well-tolerated, with a safety profile generally comparable with those of the other treatment groups</w:t>
      </w:r>
      <w:r w:rsidR="00117231" w:rsidRPr="00117231">
        <w:t>, including placebo.</w:t>
      </w:r>
      <w:r w:rsidR="00EF0460">
        <w:t xml:space="preserve"> </w:t>
      </w:r>
      <w:r w:rsidR="00117231" w:rsidRPr="00117231">
        <w:t xml:space="preserve">Hence, the decision was made to continue to evaluate doses approximating the 6 mg/kg induction dose in the Phase </w:t>
      </w:r>
      <w:r>
        <w:t>III</w:t>
      </w:r>
      <w:r w:rsidR="00117231" w:rsidRPr="00117231">
        <w:t xml:space="preserve"> studies, through a tiered dosing approach for the higher dose group that allowed administration of complete vials to subjects to simplify dosing: Ustekinumab 260 mg (weight ≤</w:t>
      </w:r>
      <w:r>
        <w:t xml:space="preserve"> </w:t>
      </w:r>
      <w:r w:rsidR="00117231" w:rsidRPr="00117231">
        <w:t>55 kg), Ustekinumab 390 mg (weight &gt;</w:t>
      </w:r>
      <w:r>
        <w:t xml:space="preserve"> </w:t>
      </w:r>
      <w:r w:rsidR="00117231" w:rsidRPr="00117231">
        <w:t>55 kg and ≤</w:t>
      </w:r>
      <w:r>
        <w:t xml:space="preserve"> </w:t>
      </w:r>
      <w:r w:rsidR="00117231" w:rsidRPr="00117231">
        <w:t>85 kg), Ustekinumab 520 mg (weight &gt;</w:t>
      </w:r>
      <w:r>
        <w:t xml:space="preserve"> </w:t>
      </w:r>
      <w:r w:rsidR="00117231" w:rsidRPr="00117231">
        <w:t xml:space="preserve">85 kg). This tiered dosing was targeted to achieve drug exposure comparable with that observed in the 6 mg/kg dose group in </w:t>
      </w:r>
      <w:r w:rsidR="004B6C8D">
        <w:t>Study C0</w:t>
      </w:r>
      <w:r w:rsidR="00117231" w:rsidRPr="00117231">
        <w:t>743T26.</w:t>
      </w:r>
    </w:p>
    <w:p w14:paraId="36B50057" w14:textId="77777777" w:rsidR="008E7846" w:rsidRPr="00254787" w:rsidRDefault="008E7846" w:rsidP="008E7846">
      <w:pPr>
        <w:pStyle w:val="Heading3"/>
      </w:pPr>
      <w:bookmarkStart w:id="80" w:name="_Toc163441372"/>
      <w:bookmarkStart w:id="81" w:name="_Toc196046485"/>
      <w:bookmarkStart w:id="82" w:name="_Toc247691521"/>
      <w:bookmarkStart w:id="83" w:name="_Toc314842504"/>
      <w:bookmarkStart w:id="84" w:name="_Toc497744822"/>
      <w:r w:rsidRPr="00254787">
        <w:t>Efficacy</w:t>
      </w:r>
      <w:bookmarkEnd w:id="80"/>
      <w:bookmarkEnd w:id="81"/>
      <w:bookmarkEnd w:id="82"/>
      <w:bookmarkEnd w:id="83"/>
      <w:bookmarkEnd w:id="84"/>
    </w:p>
    <w:p w14:paraId="58DAE684" w14:textId="77777777" w:rsidR="00605AD4" w:rsidRDefault="00605AD4" w:rsidP="00605AD4">
      <w:pPr>
        <w:pStyle w:val="Heading4"/>
      </w:pPr>
      <w:bookmarkStart w:id="85" w:name="_Toc184439992"/>
      <w:bookmarkStart w:id="86" w:name="_Toc184440279"/>
      <w:bookmarkStart w:id="87" w:name="_Toc184444657"/>
      <w:bookmarkStart w:id="88" w:name="_Toc196046487"/>
      <w:r>
        <w:t>Studies providing efficacy data</w:t>
      </w:r>
    </w:p>
    <w:p w14:paraId="6C92A5AA" w14:textId="77777777" w:rsidR="00815F43" w:rsidRDefault="00117231" w:rsidP="002D5ED1">
      <w:pPr>
        <w:rPr>
          <w:lang w:eastAsia="ja-JP"/>
        </w:rPr>
      </w:pPr>
      <w:r>
        <w:t xml:space="preserve">The proposed indication is for </w:t>
      </w:r>
      <w:r w:rsidRPr="000910AE">
        <w:t>treatment of adult patients with moderately to severely active Crohn’s disease who have had an inadequate response, lost response, were intolerant to conventional therapy or a TNFα antagonist or have medical contraindications to such therapies.</w:t>
      </w:r>
      <w:r w:rsidR="002D5ED1">
        <w:t xml:space="preserve"> </w:t>
      </w:r>
      <w:r>
        <w:rPr>
          <w:lang w:eastAsia="ja-JP"/>
        </w:rPr>
        <w:t xml:space="preserve">There were three pivotal Phase </w:t>
      </w:r>
      <w:r w:rsidR="002D5ED1">
        <w:rPr>
          <w:lang w:eastAsia="ja-JP"/>
        </w:rPr>
        <w:t>III</w:t>
      </w:r>
      <w:r>
        <w:rPr>
          <w:lang w:eastAsia="ja-JP"/>
        </w:rPr>
        <w:t xml:space="preserve"> studies:</w:t>
      </w:r>
    </w:p>
    <w:p w14:paraId="48F140E6" w14:textId="09944CCE" w:rsidR="00117231" w:rsidRPr="002D5ED1" w:rsidRDefault="00117231" w:rsidP="002D5ED1">
      <w:pPr>
        <w:rPr>
          <w:lang w:eastAsia="ja-JP"/>
        </w:rPr>
      </w:pPr>
      <w:r w:rsidRPr="008617E5">
        <w:rPr>
          <w:b/>
          <w:lang w:eastAsia="ja-JP"/>
        </w:rPr>
        <w:t>CRD3001</w:t>
      </w:r>
      <w:r>
        <w:rPr>
          <w:b/>
          <w:lang w:eastAsia="ja-JP"/>
        </w:rPr>
        <w:t>:</w:t>
      </w:r>
      <w:r w:rsidRPr="008617E5">
        <w:rPr>
          <w:rFonts w:eastAsiaTheme="minorHAnsi" w:cs="TimesNewRoman,Bold"/>
          <w:bCs/>
        </w:rPr>
        <w:t xml:space="preserve"> A Phase </w:t>
      </w:r>
      <w:r w:rsidR="002D5ED1">
        <w:rPr>
          <w:rFonts w:eastAsiaTheme="minorHAnsi" w:cs="TimesNewRoman,Bold"/>
          <w:bCs/>
        </w:rPr>
        <w:t>III</w:t>
      </w:r>
      <w:r w:rsidRPr="008617E5">
        <w:rPr>
          <w:rFonts w:eastAsiaTheme="minorHAnsi" w:cs="TimesNewRoman,Bold"/>
          <w:bCs/>
        </w:rPr>
        <w:t>, random</w:t>
      </w:r>
      <w:r>
        <w:rPr>
          <w:rFonts w:eastAsiaTheme="minorHAnsi" w:cs="TimesNewRoman,Bold"/>
          <w:bCs/>
        </w:rPr>
        <w:t>is</w:t>
      </w:r>
      <w:r w:rsidRPr="008617E5">
        <w:rPr>
          <w:rFonts w:eastAsiaTheme="minorHAnsi" w:cs="TimesNewRoman,Bold"/>
          <w:bCs/>
        </w:rPr>
        <w:t>ed, double-blind, placebo-controlled, parallel-group, multicentre study to evaluate the safety and efficacy of Ustekinumab Induction Therapy in subjects with Moderately to Severely Active Crohn’s Disease Who Have Failed or Are Intolerant to TNF Antagonist Therapy (UNITI-1)</w:t>
      </w:r>
    </w:p>
    <w:p w14:paraId="6A539523" w14:textId="77777777" w:rsidR="00117231" w:rsidRDefault="00117231" w:rsidP="00117231">
      <w:pPr>
        <w:autoSpaceDE w:val="0"/>
        <w:autoSpaceDN w:val="0"/>
        <w:adjustRightInd w:val="0"/>
        <w:spacing w:before="0" w:line="240" w:lineRule="auto"/>
        <w:rPr>
          <w:rFonts w:asciiTheme="minorHAnsi" w:eastAsiaTheme="minorHAnsi" w:hAnsiTheme="minorHAnsi" w:cs="TimesNewRoman,Bold"/>
          <w:bCs/>
        </w:rPr>
      </w:pPr>
      <w:r w:rsidRPr="008617E5">
        <w:rPr>
          <w:rFonts w:asciiTheme="minorHAnsi" w:hAnsiTheme="minorHAnsi"/>
          <w:b/>
          <w:lang w:eastAsia="ja-JP"/>
        </w:rPr>
        <w:t>CRD3002:</w:t>
      </w:r>
      <w:r w:rsidR="00EF0460">
        <w:rPr>
          <w:rFonts w:asciiTheme="minorHAnsi" w:hAnsiTheme="minorHAnsi"/>
          <w:lang w:eastAsia="ja-JP"/>
        </w:rPr>
        <w:t xml:space="preserve"> </w:t>
      </w:r>
      <w:r w:rsidR="002D5ED1">
        <w:rPr>
          <w:rFonts w:asciiTheme="minorHAnsi" w:eastAsiaTheme="minorHAnsi" w:hAnsiTheme="minorHAnsi" w:cs="TimesNewRoman,Bold"/>
          <w:bCs/>
        </w:rPr>
        <w:t>A Phase III</w:t>
      </w:r>
      <w:r w:rsidRPr="008617E5">
        <w:rPr>
          <w:rFonts w:asciiTheme="minorHAnsi" w:eastAsiaTheme="minorHAnsi" w:hAnsiTheme="minorHAnsi" w:cs="TimesNewRoman,Bold"/>
          <w:bCs/>
        </w:rPr>
        <w:t>, random</w:t>
      </w:r>
      <w:r>
        <w:rPr>
          <w:rFonts w:asciiTheme="minorHAnsi" w:eastAsiaTheme="minorHAnsi" w:hAnsiTheme="minorHAnsi" w:cs="TimesNewRoman,Bold"/>
          <w:bCs/>
        </w:rPr>
        <w:t>is</w:t>
      </w:r>
      <w:r w:rsidRPr="008617E5">
        <w:rPr>
          <w:rFonts w:asciiTheme="minorHAnsi" w:eastAsiaTheme="minorHAnsi" w:hAnsiTheme="minorHAnsi" w:cs="TimesNewRoman,Bold"/>
          <w:bCs/>
        </w:rPr>
        <w:t xml:space="preserve">ed, double-blind, placebo-controlled, parallel-group, multicentre study to evaluate the safety and efficacy of Ustekinumab Induction Therapy in subjects with </w:t>
      </w:r>
      <w:proofErr w:type="gramStart"/>
      <w:r w:rsidRPr="008617E5">
        <w:rPr>
          <w:rFonts w:asciiTheme="minorHAnsi" w:eastAsiaTheme="minorHAnsi" w:hAnsiTheme="minorHAnsi" w:cs="TimesNewRoman,Bold"/>
          <w:bCs/>
        </w:rPr>
        <w:t>Moderately</w:t>
      </w:r>
      <w:proofErr w:type="gramEnd"/>
      <w:r w:rsidRPr="008617E5">
        <w:rPr>
          <w:rFonts w:asciiTheme="minorHAnsi" w:eastAsiaTheme="minorHAnsi" w:hAnsiTheme="minorHAnsi" w:cs="TimesNewRoman,Bold"/>
          <w:bCs/>
        </w:rPr>
        <w:t xml:space="preserve"> to Severely Active Crohn’s Disease (UNITI-</w:t>
      </w:r>
      <w:r>
        <w:rPr>
          <w:rFonts w:asciiTheme="minorHAnsi" w:eastAsiaTheme="minorHAnsi" w:hAnsiTheme="minorHAnsi" w:cs="TimesNewRoman,Bold"/>
          <w:bCs/>
        </w:rPr>
        <w:t>2)</w:t>
      </w:r>
    </w:p>
    <w:p w14:paraId="238D5AE6" w14:textId="77777777" w:rsidR="00117231" w:rsidRPr="00117231" w:rsidRDefault="00117231" w:rsidP="00117231">
      <w:r w:rsidRPr="008617E5">
        <w:rPr>
          <w:rFonts w:asciiTheme="minorHAnsi" w:eastAsiaTheme="minorHAnsi" w:hAnsiTheme="minorHAnsi" w:cs="TimesNewRoman,Bold"/>
          <w:b/>
          <w:bCs/>
        </w:rPr>
        <w:t>CRD3003</w:t>
      </w:r>
      <w:r>
        <w:rPr>
          <w:rFonts w:asciiTheme="minorHAnsi" w:eastAsiaTheme="minorHAnsi" w:hAnsiTheme="minorHAnsi" w:cs="TimesNewRoman,Bold"/>
          <w:b/>
          <w:bCs/>
        </w:rPr>
        <w:t>:</w:t>
      </w:r>
      <w:r w:rsidRPr="008617E5">
        <w:rPr>
          <w:rFonts w:asciiTheme="minorHAnsi" w:hAnsiTheme="minorHAnsi"/>
          <w:lang w:eastAsia="ja-JP"/>
        </w:rPr>
        <w:t xml:space="preserve"> </w:t>
      </w:r>
      <w:r w:rsidR="002D5ED1">
        <w:rPr>
          <w:rFonts w:asciiTheme="minorHAnsi" w:eastAsiaTheme="minorHAnsi" w:hAnsiTheme="minorHAnsi" w:cs="TimesNewRoman,Bold"/>
          <w:bCs/>
        </w:rPr>
        <w:t>A Phase III</w:t>
      </w:r>
      <w:r w:rsidRPr="008617E5">
        <w:rPr>
          <w:rFonts w:asciiTheme="minorHAnsi" w:eastAsiaTheme="minorHAnsi" w:hAnsiTheme="minorHAnsi" w:cs="TimesNewRoman,Bold"/>
          <w:bCs/>
        </w:rPr>
        <w:t>, random</w:t>
      </w:r>
      <w:r>
        <w:rPr>
          <w:rFonts w:asciiTheme="minorHAnsi" w:eastAsiaTheme="minorHAnsi" w:hAnsiTheme="minorHAnsi" w:cs="TimesNewRoman,Bold"/>
          <w:bCs/>
        </w:rPr>
        <w:t>is</w:t>
      </w:r>
      <w:r w:rsidRPr="008617E5">
        <w:rPr>
          <w:rFonts w:asciiTheme="minorHAnsi" w:eastAsiaTheme="minorHAnsi" w:hAnsiTheme="minorHAnsi" w:cs="TimesNewRoman,Bold"/>
          <w:bCs/>
        </w:rPr>
        <w:t>ed, double-blind, placebo-controlled, parallel-group, multicentre study to evaluate the safety and efficacy of</w:t>
      </w:r>
      <w:r w:rsidRPr="008617E5">
        <w:rPr>
          <w:rFonts w:asciiTheme="minorHAnsi" w:hAnsiTheme="minorHAnsi"/>
          <w:lang w:eastAsia="ja-JP"/>
        </w:rPr>
        <w:t xml:space="preserve"> </w:t>
      </w:r>
      <w:r w:rsidRPr="008617E5">
        <w:rPr>
          <w:rFonts w:asciiTheme="minorHAnsi" w:eastAsiaTheme="minorHAnsi" w:hAnsiTheme="minorHAnsi" w:cs="TimesNewRoman,Bold"/>
          <w:bCs/>
        </w:rPr>
        <w:t>Ustekinumab Maintenance Therapy in</w:t>
      </w:r>
      <w:r>
        <w:rPr>
          <w:rFonts w:asciiTheme="minorHAnsi" w:eastAsiaTheme="minorHAnsi" w:hAnsiTheme="minorHAnsi" w:cs="TimesNewRoman,Bold"/>
          <w:bCs/>
        </w:rPr>
        <w:t xml:space="preserve"> </w:t>
      </w:r>
      <w:r w:rsidRPr="008617E5">
        <w:rPr>
          <w:rFonts w:asciiTheme="minorHAnsi" w:eastAsiaTheme="minorHAnsi" w:hAnsiTheme="minorHAnsi" w:cs="TimesNewRoman,Bold"/>
          <w:bCs/>
        </w:rPr>
        <w:t>Subjects with Moderately to Severely Active Crohn’s Disease</w:t>
      </w:r>
      <w:r>
        <w:rPr>
          <w:rFonts w:asciiTheme="minorHAnsi" w:eastAsiaTheme="minorHAnsi" w:hAnsiTheme="minorHAnsi" w:cs="TimesNewRoman,Bold"/>
          <w:bCs/>
        </w:rPr>
        <w:t xml:space="preserve"> (</w:t>
      </w:r>
      <w:r w:rsidRPr="008617E5">
        <w:rPr>
          <w:rFonts w:asciiTheme="minorHAnsi" w:eastAsiaTheme="minorHAnsi" w:hAnsiTheme="minorHAnsi" w:cs="TimesNewRoman,Bold"/>
          <w:bCs/>
        </w:rPr>
        <w:t>IM-UNITI</w:t>
      </w:r>
      <w:r>
        <w:rPr>
          <w:rFonts w:asciiTheme="minorHAnsi" w:eastAsiaTheme="minorHAnsi" w:hAnsiTheme="minorHAnsi" w:cs="TimesNewRoman,Bold"/>
          <w:bCs/>
        </w:rPr>
        <w:t>)</w:t>
      </w:r>
      <w:r w:rsidRPr="008617E5">
        <w:rPr>
          <w:rFonts w:asciiTheme="minorHAnsi" w:hAnsiTheme="minorHAnsi"/>
          <w:lang w:eastAsia="ja-JP"/>
        </w:rPr>
        <w:t>.</w:t>
      </w:r>
    </w:p>
    <w:p w14:paraId="00E4F4B6" w14:textId="77777777" w:rsidR="008E7846" w:rsidRDefault="00605AD4" w:rsidP="00605AD4">
      <w:pPr>
        <w:pStyle w:val="Heading4"/>
      </w:pPr>
      <w:r>
        <w:lastRenderedPageBreak/>
        <w:t>Evaluator’s conclusions on efficacy</w:t>
      </w:r>
    </w:p>
    <w:p w14:paraId="29FB6B7F" w14:textId="77777777" w:rsidR="00815F43" w:rsidRDefault="002D5ED1" w:rsidP="00117231">
      <w:pPr>
        <w:autoSpaceDE w:val="0"/>
        <w:autoSpaceDN w:val="0"/>
        <w:adjustRightInd w:val="0"/>
        <w:spacing w:before="0" w:line="240" w:lineRule="auto"/>
        <w:rPr>
          <w:rFonts w:asciiTheme="minorHAnsi" w:eastAsia="TimesNewRoman" w:hAnsiTheme="minorHAnsi" w:cs="TimesNewRoman"/>
        </w:rPr>
      </w:pPr>
      <w:r>
        <w:rPr>
          <w:rFonts w:asciiTheme="minorHAnsi" w:eastAsia="TimesNewRoman" w:hAnsiTheme="minorHAnsi" w:cs="TimesNewRoman"/>
        </w:rPr>
        <w:t>Two Phase III</w:t>
      </w:r>
      <w:r w:rsidR="00117231">
        <w:rPr>
          <w:rFonts w:asciiTheme="minorHAnsi" w:eastAsia="TimesNewRoman" w:hAnsiTheme="minorHAnsi" w:cs="TimesNewRoman"/>
        </w:rPr>
        <w:t xml:space="preserve"> pivotal, randomised, double-blind, placebo-controlled induction studies (CRD3001 and CRD3002) evaluated the efficacy and safety of ustekinumab</w:t>
      </w:r>
      <w:r w:rsidR="00EF0460">
        <w:rPr>
          <w:rFonts w:asciiTheme="minorHAnsi" w:eastAsia="TimesNewRoman" w:hAnsiTheme="minorHAnsi" w:cs="TimesNewRoman"/>
        </w:rPr>
        <w:t xml:space="preserve"> </w:t>
      </w:r>
      <w:r w:rsidR="00117231">
        <w:rPr>
          <w:rFonts w:asciiTheme="minorHAnsi" w:eastAsia="TimesNewRoman" w:hAnsiTheme="minorHAnsi" w:cs="TimesNewRoman"/>
        </w:rPr>
        <w:t xml:space="preserve">in 1409 patients with moderately to severely active Crohn’s disease. The Phase </w:t>
      </w:r>
      <w:r>
        <w:rPr>
          <w:rFonts w:asciiTheme="minorHAnsi" w:eastAsia="TimesNewRoman" w:hAnsiTheme="minorHAnsi" w:cs="TimesNewRoman"/>
        </w:rPr>
        <w:t>III</w:t>
      </w:r>
      <w:r w:rsidR="00117231">
        <w:rPr>
          <w:rFonts w:asciiTheme="minorHAnsi" w:eastAsia="TimesNewRoman" w:hAnsiTheme="minorHAnsi" w:cs="TimesNewRoman"/>
        </w:rPr>
        <w:t xml:space="preserve"> pivotal randomised, double-blind, placebo-controlled </w:t>
      </w:r>
      <w:r w:rsidR="00F221E4">
        <w:rPr>
          <w:rFonts w:asciiTheme="minorHAnsi" w:eastAsia="TimesNewRoman" w:hAnsiTheme="minorHAnsi" w:cs="TimesNewRoman"/>
        </w:rPr>
        <w:t>Study CR</w:t>
      </w:r>
      <w:r w:rsidR="00117231">
        <w:rPr>
          <w:rFonts w:asciiTheme="minorHAnsi" w:eastAsia="TimesNewRoman" w:hAnsiTheme="minorHAnsi" w:cs="TimesNewRoman"/>
        </w:rPr>
        <w:t>D3003 evaluated efficacy of maintenance treatment with SC ustekinumab in 397 patients enrolled from the induction studies (CRD3001 and CRD3002). Overall, t</w:t>
      </w:r>
      <w:r w:rsidR="00117231" w:rsidRPr="006C25DF">
        <w:rPr>
          <w:rFonts w:asciiTheme="minorHAnsi" w:eastAsiaTheme="minorHAnsi" w:hAnsiTheme="minorHAnsi" w:cs="ArialMT"/>
        </w:rPr>
        <w:t xml:space="preserve">his submission includes a total of 52 weeks of efficacy and safety data from the Phase </w:t>
      </w:r>
      <w:r>
        <w:rPr>
          <w:rFonts w:asciiTheme="minorHAnsi" w:eastAsiaTheme="minorHAnsi" w:hAnsiTheme="minorHAnsi" w:cs="ArialMT"/>
        </w:rPr>
        <w:t>III</w:t>
      </w:r>
      <w:r w:rsidR="00117231" w:rsidRPr="006C25DF">
        <w:rPr>
          <w:rFonts w:asciiTheme="minorHAnsi" w:eastAsiaTheme="minorHAnsi" w:hAnsiTheme="minorHAnsi" w:cs="ArialMT"/>
        </w:rPr>
        <w:t xml:space="preserve"> studies (8 weeks from the induction studies and 44 weeks from the maintenance study). </w:t>
      </w:r>
      <w:r w:rsidR="00117231">
        <w:rPr>
          <w:rFonts w:asciiTheme="minorHAnsi" w:eastAsiaTheme="minorHAnsi" w:hAnsiTheme="minorHAnsi" w:cs="ArialMT"/>
        </w:rPr>
        <w:t xml:space="preserve">The endoscopic substudy with endoscopy data from 334 of 1409 subjects in the induction studies and 95 of 397 subjects from the maintenance study evaluated endoscopic healing of mucosa by ustekinumab induction and maintenance therapy in the Phase </w:t>
      </w:r>
      <w:r>
        <w:rPr>
          <w:rFonts w:asciiTheme="minorHAnsi" w:eastAsiaTheme="minorHAnsi" w:hAnsiTheme="minorHAnsi" w:cs="ArialMT"/>
        </w:rPr>
        <w:t>III</w:t>
      </w:r>
      <w:r w:rsidR="00117231">
        <w:rPr>
          <w:rFonts w:asciiTheme="minorHAnsi" w:eastAsiaTheme="minorHAnsi" w:hAnsiTheme="minorHAnsi" w:cs="ArialMT"/>
        </w:rPr>
        <w:t xml:space="preserve"> pivotal studies (</w:t>
      </w:r>
      <w:r>
        <w:rPr>
          <w:rFonts w:asciiTheme="minorHAnsi" w:eastAsiaTheme="minorHAnsi" w:hAnsiTheme="minorHAnsi" w:cs="ArialMT"/>
        </w:rPr>
        <w:t>see Attachment 2 Efficacy</w:t>
      </w:r>
      <w:r w:rsidR="00117231">
        <w:rPr>
          <w:rFonts w:asciiTheme="minorHAnsi" w:eastAsiaTheme="minorHAnsi" w:hAnsiTheme="minorHAnsi" w:cs="ArialMT"/>
        </w:rPr>
        <w:t xml:space="preserve"> 7.4).</w:t>
      </w:r>
    </w:p>
    <w:p w14:paraId="3097B59B" w14:textId="6B9B60A0" w:rsidR="00117231" w:rsidRDefault="00117231" w:rsidP="00117231">
      <w:pPr>
        <w:autoSpaceDE w:val="0"/>
        <w:autoSpaceDN w:val="0"/>
        <w:adjustRightInd w:val="0"/>
        <w:spacing w:before="0" w:line="240" w:lineRule="auto"/>
        <w:rPr>
          <w:rFonts w:asciiTheme="minorHAnsi" w:eastAsia="TimesNewRoman" w:hAnsiTheme="minorHAnsi" w:cs="TimesNewRoman"/>
        </w:rPr>
      </w:pPr>
      <w:r>
        <w:rPr>
          <w:rFonts w:asciiTheme="minorHAnsi" w:eastAsiaTheme="minorHAnsi" w:hAnsiTheme="minorHAnsi" w:cs="ArialMT"/>
        </w:rPr>
        <w:t>T</w:t>
      </w:r>
      <w:r w:rsidRPr="006C25DF">
        <w:rPr>
          <w:rFonts w:asciiTheme="minorHAnsi" w:eastAsiaTheme="minorHAnsi" w:hAnsiTheme="minorHAnsi" w:cs="ArialMT"/>
        </w:rPr>
        <w:t xml:space="preserve">he Phase </w:t>
      </w:r>
      <w:r w:rsidR="002D5ED1">
        <w:rPr>
          <w:rFonts w:asciiTheme="minorHAnsi" w:eastAsiaTheme="minorHAnsi" w:hAnsiTheme="minorHAnsi" w:cs="ArialMT"/>
        </w:rPr>
        <w:t>III</w:t>
      </w:r>
      <w:r w:rsidRPr="006C25DF">
        <w:rPr>
          <w:rFonts w:asciiTheme="minorHAnsi" w:eastAsiaTheme="minorHAnsi" w:hAnsiTheme="minorHAnsi" w:cs="ArialMT"/>
        </w:rPr>
        <w:t xml:space="preserve"> </w:t>
      </w:r>
      <w:r w:rsidR="002D5ED1">
        <w:rPr>
          <w:rFonts w:asciiTheme="minorHAnsi" w:eastAsiaTheme="minorHAnsi" w:hAnsiTheme="minorHAnsi" w:cs="ArialMT"/>
        </w:rPr>
        <w:t>induction S</w:t>
      </w:r>
      <w:r>
        <w:rPr>
          <w:rFonts w:asciiTheme="minorHAnsi" w:eastAsiaTheme="minorHAnsi" w:hAnsiTheme="minorHAnsi" w:cs="ArialMT"/>
        </w:rPr>
        <w:t xml:space="preserve">tudies </w:t>
      </w:r>
      <w:r w:rsidRPr="006C25DF">
        <w:rPr>
          <w:rFonts w:asciiTheme="minorHAnsi" w:eastAsiaTheme="minorHAnsi" w:hAnsiTheme="minorHAnsi" w:cs="ArialMT"/>
        </w:rPr>
        <w:t>CRD3001 and CRD3002 used an IV route of administration for ustekinumab and were essentially identical in design but targeted different, mutually exclusive</w:t>
      </w:r>
      <w:r>
        <w:rPr>
          <w:rFonts w:asciiTheme="minorHAnsi" w:eastAsiaTheme="minorHAnsi" w:hAnsiTheme="minorHAnsi" w:cs="ArialMT"/>
        </w:rPr>
        <w:t xml:space="preserve"> </w:t>
      </w:r>
      <w:r w:rsidRPr="006C25DF">
        <w:rPr>
          <w:rFonts w:asciiTheme="minorHAnsi" w:eastAsiaTheme="minorHAnsi" w:hAnsiTheme="minorHAnsi" w:cs="ArialMT"/>
        </w:rPr>
        <w:t>patient populations, which together reflect the full spectrum of biologic-eligible patients with Crohn’s disease. CRD3001 enrolled subjects with a history of inadequate response to</w:t>
      </w:r>
      <w:r w:rsidRPr="008765E8">
        <w:rPr>
          <w:rFonts w:asciiTheme="minorHAnsi" w:eastAsiaTheme="minorHAnsi" w:hAnsiTheme="minorHAnsi" w:cs="ArialMT"/>
        </w:rPr>
        <w:t xml:space="preserve">, or intolerance to, TNF antagonists. CRD3002 enrolled subjects with a history of inadequate response to or intolerance of corticosteroids or </w:t>
      </w:r>
      <w:r w:rsidR="00957FBB">
        <w:rPr>
          <w:rFonts w:asciiTheme="minorHAnsi" w:eastAsiaTheme="minorHAnsi" w:hAnsiTheme="minorHAnsi" w:cs="ArialMT"/>
        </w:rPr>
        <w:t>immune-</w:t>
      </w:r>
      <w:r w:rsidRPr="008765E8">
        <w:rPr>
          <w:rFonts w:asciiTheme="minorHAnsi" w:eastAsiaTheme="minorHAnsi" w:hAnsiTheme="minorHAnsi" w:cs="ArialMT"/>
        </w:rPr>
        <w:t>modulators; these subjects could have</w:t>
      </w:r>
      <w:r>
        <w:rPr>
          <w:rFonts w:asciiTheme="minorHAnsi" w:eastAsiaTheme="minorHAnsi" w:hAnsiTheme="minorHAnsi" w:cs="ArialMT"/>
        </w:rPr>
        <w:t xml:space="preserve"> </w:t>
      </w:r>
      <w:r w:rsidRPr="008765E8">
        <w:rPr>
          <w:rFonts w:asciiTheme="minorHAnsi" w:eastAsiaTheme="minorHAnsi" w:hAnsiTheme="minorHAnsi" w:cs="ArialMT"/>
        </w:rPr>
        <w:t>received TNF antagonists but could not have a histo</w:t>
      </w:r>
      <w:r>
        <w:rPr>
          <w:rFonts w:asciiTheme="minorHAnsi" w:eastAsiaTheme="minorHAnsi" w:hAnsiTheme="minorHAnsi" w:cs="ArialMT"/>
        </w:rPr>
        <w:t xml:space="preserve">ry of an inadequate response or </w:t>
      </w:r>
      <w:r w:rsidRPr="008765E8">
        <w:rPr>
          <w:rFonts w:asciiTheme="minorHAnsi" w:eastAsiaTheme="minorHAnsi" w:hAnsiTheme="minorHAnsi" w:cs="ArialMT"/>
        </w:rPr>
        <w:t>intolerance to them. In each induction study, subjects were random</w:t>
      </w:r>
      <w:r>
        <w:rPr>
          <w:rFonts w:asciiTheme="minorHAnsi" w:eastAsiaTheme="minorHAnsi" w:hAnsiTheme="minorHAnsi" w:cs="ArialMT"/>
        </w:rPr>
        <w:t>is</w:t>
      </w:r>
      <w:r w:rsidRPr="008765E8">
        <w:rPr>
          <w:rFonts w:asciiTheme="minorHAnsi" w:eastAsiaTheme="minorHAnsi" w:hAnsiTheme="minorHAnsi" w:cs="ArialMT"/>
        </w:rPr>
        <w:t>ed to receive a single IV</w:t>
      </w:r>
      <w:r>
        <w:rPr>
          <w:rFonts w:asciiTheme="minorHAnsi" w:eastAsiaTheme="minorHAnsi" w:hAnsiTheme="minorHAnsi" w:cs="ArialMT"/>
        </w:rPr>
        <w:t xml:space="preserve"> </w:t>
      </w:r>
      <w:r w:rsidRPr="008765E8">
        <w:rPr>
          <w:rFonts w:asciiTheme="minorHAnsi" w:eastAsiaTheme="minorHAnsi" w:hAnsiTheme="minorHAnsi" w:cs="ArialMT"/>
        </w:rPr>
        <w:t>dose of placebo or one of two doses of ustekinumab (a fixed 130 mg dose or a tiered [weight</w:t>
      </w:r>
      <w:r>
        <w:rPr>
          <w:rFonts w:asciiTheme="minorHAnsi" w:eastAsiaTheme="minorHAnsi" w:hAnsiTheme="minorHAnsi" w:cs="ArialMT"/>
        </w:rPr>
        <w:t xml:space="preserve"> </w:t>
      </w:r>
      <w:r w:rsidRPr="008765E8">
        <w:rPr>
          <w:rFonts w:asciiTheme="minorHAnsi" w:eastAsiaTheme="minorHAnsi" w:hAnsiTheme="minorHAnsi" w:cs="ArialMT"/>
        </w:rPr>
        <w:t xml:space="preserve">based] dose approximating </w:t>
      </w:r>
      <w:r w:rsidR="002D5ED1">
        <w:rPr>
          <w:rFonts w:asciiTheme="minorHAnsi" w:eastAsiaTheme="minorHAnsi" w:hAnsiTheme="minorHAnsi" w:cs="ArialMT"/>
        </w:rPr>
        <w:t xml:space="preserve">approximately </w:t>
      </w:r>
      <w:r w:rsidRPr="008765E8">
        <w:rPr>
          <w:rFonts w:asciiTheme="minorHAnsi" w:eastAsiaTheme="minorHAnsi" w:hAnsiTheme="minorHAnsi" w:cs="ArialMT"/>
        </w:rPr>
        <w:t>6 mg/kg</w:t>
      </w:r>
      <w:r>
        <w:rPr>
          <w:rFonts w:asciiTheme="minorHAnsi" w:eastAsiaTheme="minorHAnsi" w:hAnsiTheme="minorHAnsi" w:cs="ArialMT"/>
        </w:rPr>
        <w:t>)</w:t>
      </w:r>
      <w:r w:rsidRPr="008765E8">
        <w:rPr>
          <w:rFonts w:asciiTheme="minorHAnsi" w:eastAsiaTheme="minorHAnsi" w:hAnsiTheme="minorHAnsi" w:cs="ArialMT"/>
        </w:rPr>
        <w:t xml:space="preserve"> at </w:t>
      </w:r>
      <w:r w:rsidRPr="00616D75">
        <w:rPr>
          <w:rFonts w:asciiTheme="minorHAnsi" w:eastAsiaTheme="minorHAnsi" w:hAnsiTheme="minorHAnsi" w:cs="ArialMT"/>
        </w:rPr>
        <w:t>Week 0.</w:t>
      </w:r>
      <w:r w:rsidRPr="00616D75">
        <w:rPr>
          <w:rFonts w:asciiTheme="minorHAnsi" w:eastAsia="TimesNewRoman" w:hAnsiTheme="minorHAnsi" w:cs="TimesNewRoman"/>
        </w:rPr>
        <w:t xml:space="preserve"> </w:t>
      </w:r>
      <w:r w:rsidRPr="00EB7E0C">
        <w:rPr>
          <w:rFonts w:asciiTheme="minorHAnsi" w:eastAsia="TimesNewRoman" w:hAnsiTheme="minorHAnsi" w:cs="TimesNewRoman"/>
        </w:rPr>
        <w:t xml:space="preserve">The CRD3003 Phase </w:t>
      </w:r>
      <w:r w:rsidR="002D5ED1">
        <w:rPr>
          <w:rFonts w:asciiTheme="minorHAnsi" w:eastAsia="TimesNewRoman" w:hAnsiTheme="minorHAnsi" w:cs="TimesNewRoman"/>
        </w:rPr>
        <w:t>III</w:t>
      </w:r>
      <w:r w:rsidRPr="00EB7E0C">
        <w:rPr>
          <w:rFonts w:asciiTheme="minorHAnsi" w:eastAsia="TimesNewRoman" w:hAnsiTheme="minorHAnsi" w:cs="TimesNewRoman"/>
        </w:rPr>
        <w:t xml:space="preserve"> study was designed to evaluate 2 SC maintenance regimens of</w:t>
      </w:r>
      <w:r>
        <w:rPr>
          <w:rFonts w:asciiTheme="minorHAnsi" w:eastAsia="TimesNewRoman" w:hAnsiTheme="minorHAnsi" w:cs="TimesNewRoman"/>
        </w:rPr>
        <w:t xml:space="preserve"> </w:t>
      </w:r>
      <w:r w:rsidRPr="00EB7E0C">
        <w:rPr>
          <w:rFonts w:asciiTheme="minorHAnsi" w:eastAsia="TimesNewRoman" w:hAnsiTheme="minorHAnsi" w:cs="TimesNewRoman"/>
        </w:rPr>
        <w:t>ustekinumab (90 mg q8w or 90 mg q12w) in subjects with moderately to severely active Crohn’s</w:t>
      </w:r>
      <w:r>
        <w:rPr>
          <w:rFonts w:asciiTheme="minorHAnsi" w:eastAsia="TimesNewRoman" w:hAnsiTheme="minorHAnsi" w:cs="TimesNewRoman"/>
        </w:rPr>
        <w:t xml:space="preserve"> </w:t>
      </w:r>
      <w:r w:rsidRPr="00EB7E0C">
        <w:rPr>
          <w:rFonts w:asciiTheme="minorHAnsi" w:eastAsia="TimesNewRoman" w:hAnsiTheme="minorHAnsi" w:cs="TimesNewRoman"/>
        </w:rPr>
        <w:t>disease who had received IV induction therapy in one of two induction studies (CRD3001 and</w:t>
      </w:r>
      <w:r>
        <w:rPr>
          <w:rFonts w:asciiTheme="minorHAnsi" w:eastAsia="TimesNewRoman" w:hAnsiTheme="minorHAnsi" w:cs="TimesNewRoman"/>
        </w:rPr>
        <w:t xml:space="preserve"> </w:t>
      </w:r>
      <w:r w:rsidRPr="00EB7E0C">
        <w:rPr>
          <w:rFonts w:asciiTheme="minorHAnsi" w:eastAsia="TimesNewRoman" w:hAnsiTheme="minorHAnsi" w:cs="TimesNewRoman"/>
        </w:rPr>
        <w:t>CRD3002).</w:t>
      </w:r>
    </w:p>
    <w:p w14:paraId="5CDE35D0" w14:textId="77777777" w:rsidR="00815F43" w:rsidRDefault="00117231" w:rsidP="00117231">
      <w:pPr>
        <w:autoSpaceDE w:val="0"/>
        <w:autoSpaceDN w:val="0"/>
        <w:adjustRightInd w:val="0"/>
        <w:spacing w:before="0" w:line="240" w:lineRule="auto"/>
        <w:rPr>
          <w:rFonts w:asciiTheme="minorHAnsi" w:eastAsia="TimesNewRoman" w:hAnsiTheme="minorHAnsi" w:cs="TimesNewRoman"/>
        </w:rPr>
      </w:pPr>
      <w:r>
        <w:rPr>
          <w:rFonts w:asciiTheme="minorHAnsi" w:eastAsia="TimesNewRoman" w:hAnsiTheme="minorHAnsi" w:cs="TimesNewRoman"/>
        </w:rPr>
        <w:t xml:space="preserve">All pivotal Phase </w:t>
      </w:r>
      <w:r w:rsidR="002D5ED1">
        <w:rPr>
          <w:rFonts w:asciiTheme="minorHAnsi" w:eastAsia="TimesNewRoman" w:hAnsiTheme="minorHAnsi" w:cs="TimesNewRoman"/>
        </w:rPr>
        <w:t>III</w:t>
      </w:r>
      <w:r>
        <w:rPr>
          <w:rFonts w:asciiTheme="minorHAnsi" w:eastAsia="TimesNewRoman" w:hAnsiTheme="minorHAnsi" w:cs="TimesNewRoman"/>
        </w:rPr>
        <w:t xml:space="preserve"> studies were well-conducted; the study design (randomised, double-blind, placebo-controlled) and efficacy endpoints (clinical, laboratory and </w:t>
      </w:r>
      <w:r w:rsidR="002D5ED1">
        <w:rPr>
          <w:rFonts w:asciiTheme="minorHAnsi" w:eastAsia="TimesNewRoman" w:hAnsiTheme="minorHAnsi" w:cs="TimesNewRoman"/>
        </w:rPr>
        <w:t>quality of life (</w:t>
      </w:r>
      <w:r>
        <w:rPr>
          <w:rFonts w:asciiTheme="minorHAnsi" w:eastAsia="TimesNewRoman" w:hAnsiTheme="minorHAnsi" w:cs="TimesNewRoman"/>
        </w:rPr>
        <w:t>QOL</w:t>
      </w:r>
      <w:r w:rsidR="002D5ED1">
        <w:rPr>
          <w:rFonts w:asciiTheme="minorHAnsi" w:eastAsia="TimesNewRoman" w:hAnsiTheme="minorHAnsi" w:cs="TimesNewRoman"/>
        </w:rPr>
        <w:t>)</w:t>
      </w:r>
      <w:r>
        <w:rPr>
          <w:rFonts w:asciiTheme="minorHAnsi" w:eastAsia="TimesNewRoman" w:hAnsiTheme="minorHAnsi" w:cs="TimesNewRoman"/>
        </w:rPr>
        <w:t xml:space="preserve">), complied with the TGA adopted </w:t>
      </w:r>
      <w:r w:rsidR="002D5ED1">
        <w:rPr>
          <w:rFonts w:asciiTheme="minorHAnsi" w:eastAsia="TimesNewRoman" w:hAnsiTheme="minorHAnsi" w:cs="TimesNewRoman"/>
        </w:rPr>
        <w:t>EU</w:t>
      </w:r>
      <w:r>
        <w:rPr>
          <w:rFonts w:asciiTheme="minorHAnsi" w:eastAsia="TimesNewRoman" w:hAnsiTheme="minorHAnsi" w:cs="TimesNewRoman"/>
        </w:rPr>
        <w:t xml:space="preserve"> guidelines on the development of new medicinal products for the treatment of Crohn’s disease. The patient population evaluated in these studies were representative of the target patient population.</w:t>
      </w:r>
    </w:p>
    <w:p w14:paraId="055C9F0C" w14:textId="42D6B9A9" w:rsidR="00117231" w:rsidRDefault="00117231" w:rsidP="00117231">
      <w:pPr>
        <w:autoSpaceDE w:val="0"/>
        <w:autoSpaceDN w:val="0"/>
        <w:adjustRightInd w:val="0"/>
        <w:spacing w:before="0" w:line="240" w:lineRule="auto"/>
        <w:rPr>
          <w:rFonts w:asciiTheme="minorHAnsi" w:eastAsia="TimesNewRoman" w:hAnsiTheme="minorHAnsi" w:cs="TimesNewRoman"/>
        </w:rPr>
      </w:pPr>
      <w:r w:rsidRPr="00616D75">
        <w:rPr>
          <w:rFonts w:asciiTheme="minorHAnsi" w:eastAsia="TimesNewRoman" w:hAnsiTheme="minorHAnsi" w:cs="TimesNewRoman"/>
        </w:rPr>
        <w:t xml:space="preserve">Both CRD3001 and CRD3002 achieved the primary </w:t>
      </w:r>
      <w:r>
        <w:rPr>
          <w:rFonts w:asciiTheme="minorHAnsi" w:eastAsia="TimesNewRoman" w:hAnsiTheme="minorHAnsi" w:cs="TimesNewRoman"/>
        </w:rPr>
        <w:t xml:space="preserve">(clinical response at week 6) </w:t>
      </w:r>
      <w:r w:rsidRPr="00616D75">
        <w:rPr>
          <w:rFonts w:asciiTheme="minorHAnsi" w:eastAsia="TimesNewRoman" w:hAnsiTheme="minorHAnsi" w:cs="TimesNewRoman"/>
        </w:rPr>
        <w:t>and all 4 major secondary endpoints for</w:t>
      </w:r>
      <w:r>
        <w:rPr>
          <w:rFonts w:asciiTheme="minorHAnsi" w:eastAsia="TimesNewRoman" w:hAnsiTheme="minorHAnsi" w:cs="TimesNewRoman"/>
        </w:rPr>
        <w:t xml:space="preserve"> </w:t>
      </w:r>
      <w:r w:rsidRPr="00616D75">
        <w:rPr>
          <w:rFonts w:asciiTheme="minorHAnsi" w:eastAsia="TimesNewRoman" w:hAnsiTheme="minorHAnsi" w:cs="TimesNewRoman"/>
        </w:rPr>
        <w:t>both IV induction doses. Both doses also showed consistent efficacy compared with placebo in</w:t>
      </w:r>
      <w:r>
        <w:rPr>
          <w:rFonts w:asciiTheme="minorHAnsi" w:eastAsia="TimesNewRoman" w:hAnsiTheme="minorHAnsi" w:cs="TimesNewRoman"/>
        </w:rPr>
        <w:t xml:space="preserve"> </w:t>
      </w:r>
      <w:r w:rsidRPr="00616D75">
        <w:rPr>
          <w:rFonts w:asciiTheme="minorHAnsi" w:eastAsia="TimesNewRoman" w:hAnsiTheme="minorHAnsi" w:cs="TimesNewRoman"/>
        </w:rPr>
        <w:t>additional efficacy measures, such as patient quality of life measures (such as IBDQ), significant</w:t>
      </w:r>
      <w:r>
        <w:rPr>
          <w:rFonts w:asciiTheme="minorHAnsi" w:eastAsia="TimesNewRoman" w:hAnsiTheme="minorHAnsi" w:cs="TimesNewRoman"/>
        </w:rPr>
        <w:t xml:space="preserve"> </w:t>
      </w:r>
      <w:r w:rsidRPr="00616D75">
        <w:rPr>
          <w:rFonts w:asciiTheme="minorHAnsi" w:eastAsia="TimesNewRoman" w:hAnsiTheme="minorHAnsi" w:cs="TimesNewRoman"/>
        </w:rPr>
        <w:t>reductions and normal</w:t>
      </w:r>
      <w:r>
        <w:rPr>
          <w:rFonts w:asciiTheme="minorHAnsi" w:eastAsia="TimesNewRoman" w:hAnsiTheme="minorHAnsi" w:cs="TimesNewRoman"/>
        </w:rPr>
        <w:t>is</w:t>
      </w:r>
      <w:r w:rsidRPr="00616D75">
        <w:rPr>
          <w:rFonts w:asciiTheme="minorHAnsi" w:eastAsia="TimesNewRoman" w:hAnsiTheme="minorHAnsi" w:cs="TimesNewRoman"/>
        </w:rPr>
        <w:t>ations in inflammatory markers and in a pooled analysis showed</w:t>
      </w:r>
      <w:r>
        <w:rPr>
          <w:rFonts w:asciiTheme="minorHAnsi" w:eastAsia="TimesNewRoman" w:hAnsiTheme="minorHAnsi" w:cs="TimesNewRoman"/>
        </w:rPr>
        <w:t xml:space="preserve"> </w:t>
      </w:r>
      <w:r w:rsidRPr="00616D75">
        <w:rPr>
          <w:rFonts w:asciiTheme="minorHAnsi" w:eastAsia="TimesNewRoman" w:hAnsiTheme="minorHAnsi" w:cs="TimesNewRoman"/>
        </w:rPr>
        <w:t>endoscopic improvement/healing. However, the magnitude of benefit seen with the lower</w:t>
      </w:r>
      <w:r>
        <w:rPr>
          <w:rFonts w:asciiTheme="minorHAnsi" w:eastAsia="TimesNewRoman" w:hAnsiTheme="minorHAnsi" w:cs="TimesNewRoman"/>
        </w:rPr>
        <w:t xml:space="preserve"> </w:t>
      </w:r>
      <w:r w:rsidRPr="00616D75">
        <w:rPr>
          <w:rFonts w:asciiTheme="minorHAnsi" w:eastAsia="TimesNewRoman" w:hAnsiTheme="minorHAnsi" w:cs="TimesNewRoman"/>
        </w:rPr>
        <w:t xml:space="preserve">130 mg dose was generally less than that seen with the weight-tiered </w:t>
      </w:r>
      <w:r w:rsidR="002D5ED1">
        <w:rPr>
          <w:rFonts w:asciiTheme="minorHAnsi" w:eastAsia="TimesNewRoman" w:hAnsiTheme="minorHAnsi" w:cs="TimesNewRoman"/>
        </w:rPr>
        <w:t xml:space="preserve">approximately </w:t>
      </w:r>
      <w:r w:rsidRPr="00616D75">
        <w:rPr>
          <w:rFonts w:asciiTheme="minorHAnsi" w:eastAsia="TimesNewRoman" w:hAnsiTheme="minorHAnsi" w:cs="TimesNewRoman"/>
        </w:rPr>
        <w:t>6 mg/kg dose</w:t>
      </w:r>
      <w:r>
        <w:rPr>
          <w:rFonts w:asciiTheme="minorHAnsi" w:eastAsia="TimesNewRoman" w:hAnsiTheme="minorHAnsi" w:cs="TimesNewRoman"/>
        </w:rPr>
        <w:t>. The following results provide evidence to support the proposed 6mg/kg IV induction dose for ustekinumab:-</w:t>
      </w:r>
    </w:p>
    <w:p w14:paraId="4D4E551E" w14:textId="77777777" w:rsidR="00117231" w:rsidRPr="00616D75" w:rsidRDefault="00117231" w:rsidP="00117231">
      <w:pPr>
        <w:autoSpaceDE w:val="0"/>
        <w:autoSpaceDN w:val="0"/>
        <w:adjustRightInd w:val="0"/>
        <w:spacing w:before="0" w:line="240" w:lineRule="auto"/>
        <w:rPr>
          <w:rFonts w:asciiTheme="minorHAnsi" w:eastAsiaTheme="minorHAnsi" w:hAnsiTheme="minorHAnsi" w:cs="ArialMT"/>
        </w:rPr>
      </w:pPr>
      <w:r w:rsidRPr="00616D75">
        <w:rPr>
          <w:rFonts w:asciiTheme="minorHAnsi" w:eastAsia="TimesNewRoman" w:hAnsiTheme="minorHAnsi" w:cs="TimesNewRoman"/>
        </w:rPr>
        <w:t xml:space="preserve">Better efficacy, as illustrated by greater separation from IV placebo for </w:t>
      </w:r>
      <w:r w:rsidR="002D5ED1">
        <w:rPr>
          <w:rFonts w:asciiTheme="minorHAnsi" w:eastAsia="TimesNewRoman" w:hAnsiTheme="minorHAnsi" w:cs="TimesNewRoman"/>
        </w:rPr>
        <w:t xml:space="preserve">approximately </w:t>
      </w:r>
      <w:r w:rsidRPr="00616D75">
        <w:rPr>
          <w:rFonts w:asciiTheme="minorHAnsi" w:eastAsia="TimesNewRoman" w:hAnsiTheme="minorHAnsi" w:cs="TimesNewRoman"/>
        </w:rPr>
        <w:t>6 mg/kg was most</w:t>
      </w:r>
      <w:r>
        <w:rPr>
          <w:rFonts w:asciiTheme="minorHAnsi" w:eastAsia="TimesNewRoman" w:hAnsiTheme="minorHAnsi" w:cs="TimesNewRoman"/>
        </w:rPr>
        <w:t xml:space="preserve"> </w:t>
      </w:r>
      <w:r w:rsidRPr="00616D75">
        <w:rPr>
          <w:rFonts w:asciiTheme="minorHAnsi" w:eastAsia="TimesNewRoman" w:hAnsiTheme="minorHAnsi" w:cs="TimesNewRoman"/>
        </w:rPr>
        <w:t>notable in th</w:t>
      </w:r>
      <w:r>
        <w:rPr>
          <w:rFonts w:asciiTheme="minorHAnsi" w:eastAsia="TimesNewRoman" w:hAnsiTheme="minorHAnsi" w:cs="TimesNewRoman"/>
        </w:rPr>
        <w:t xml:space="preserve">e CRD3002 study population with higher rates of clinical remission at </w:t>
      </w:r>
      <w:r w:rsidR="002D5ED1">
        <w:rPr>
          <w:rFonts w:asciiTheme="minorHAnsi" w:eastAsia="TimesNewRoman" w:hAnsiTheme="minorHAnsi" w:cs="TimesNewRoman"/>
        </w:rPr>
        <w:t>W</w:t>
      </w:r>
      <w:r>
        <w:rPr>
          <w:rFonts w:asciiTheme="minorHAnsi" w:eastAsia="TimesNewRoman" w:hAnsiTheme="minorHAnsi" w:cs="TimesNewRoman"/>
        </w:rPr>
        <w:t xml:space="preserve">eek 8 (40.2%, 30.6% and 19.6% in the 130mg, </w:t>
      </w:r>
      <w:r w:rsidR="002D5ED1">
        <w:rPr>
          <w:rFonts w:asciiTheme="minorHAnsi" w:eastAsia="TimesNewRoman" w:hAnsiTheme="minorHAnsi" w:cs="TimesNewRoman"/>
        </w:rPr>
        <w:t xml:space="preserve">approximately </w:t>
      </w:r>
      <w:r w:rsidRPr="00616D75">
        <w:rPr>
          <w:rFonts w:asciiTheme="minorHAnsi" w:eastAsia="TimesNewRoman" w:hAnsiTheme="minorHAnsi" w:cs="TimesNewRoman"/>
        </w:rPr>
        <w:t xml:space="preserve">6 mg/kg </w:t>
      </w:r>
      <w:r>
        <w:rPr>
          <w:rFonts w:asciiTheme="minorHAnsi" w:eastAsia="TimesNewRoman" w:hAnsiTheme="minorHAnsi" w:cs="TimesNewRoman"/>
        </w:rPr>
        <w:t xml:space="preserve">and placebo groups, respectively) </w:t>
      </w:r>
      <w:r w:rsidRPr="00616D75">
        <w:rPr>
          <w:rFonts w:asciiTheme="minorHAnsi" w:eastAsia="TimesNewRoman" w:hAnsiTheme="minorHAnsi" w:cs="TimesNewRoman"/>
        </w:rPr>
        <w:t>These numbers represent a clinically</w:t>
      </w:r>
      <w:r>
        <w:rPr>
          <w:rFonts w:asciiTheme="minorHAnsi" w:eastAsia="TimesNewRoman" w:hAnsiTheme="minorHAnsi" w:cs="TimesNewRoman"/>
        </w:rPr>
        <w:t xml:space="preserve"> meaningful </w:t>
      </w:r>
      <w:r w:rsidRPr="00616D75">
        <w:rPr>
          <w:rFonts w:asciiTheme="minorHAnsi" w:eastAsia="TimesNewRoman" w:hAnsiTheme="minorHAnsi" w:cs="TimesNewRoman"/>
        </w:rPr>
        <w:t>near-doubling of the treatment effect, from 11% with 130 mg to 20.6% with</w:t>
      </w:r>
      <w:r>
        <w:rPr>
          <w:rFonts w:asciiTheme="minorHAnsi" w:eastAsia="TimesNewRoman" w:hAnsiTheme="minorHAnsi" w:cs="TimesNewRoman"/>
        </w:rPr>
        <w:t xml:space="preserve"> </w:t>
      </w:r>
      <w:r w:rsidR="002D5ED1">
        <w:rPr>
          <w:rFonts w:asciiTheme="minorHAnsi" w:eastAsia="TimesNewRoman" w:hAnsiTheme="minorHAnsi" w:cs="TimesNewRoman"/>
        </w:rPr>
        <w:t xml:space="preserve">approximately </w:t>
      </w:r>
      <w:r w:rsidRPr="00616D75">
        <w:rPr>
          <w:rFonts w:asciiTheme="minorHAnsi" w:eastAsia="TimesNewRoman" w:hAnsiTheme="minorHAnsi" w:cs="TimesNewRoman"/>
        </w:rPr>
        <w:t xml:space="preserve">6 mg/kg. While remission differences in </w:t>
      </w:r>
      <w:r w:rsidR="00F221E4">
        <w:rPr>
          <w:rFonts w:asciiTheme="minorHAnsi" w:eastAsia="TimesNewRoman" w:hAnsiTheme="minorHAnsi" w:cs="TimesNewRoman"/>
        </w:rPr>
        <w:t>Study CR</w:t>
      </w:r>
      <w:r w:rsidRPr="00616D75">
        <w:rPr>
          <w:rFonts w:asciiTheme="minorHAnsi" w:eastAsia="TimesNewRoman" w:hAnsiTheme="minorHAnsi" w:cs="TimesNewRoman"/>
        </w:rPr>
        <w:t>D3001 were more modest (5% delta between</w:t>
      </w:r>
      <w:r>
        <w:rPr>
          <w:rFonts w:asciiTheme="minorHAnsi" w:eastAsia="TimesNewRoman" w:hAnsiTheme="minorHAnsi" w:cs="TimesNewRoman"/>
        </w:rPr>
        <w:t xml:space="preserve"> </w:t>
      </w:r>
      <w:r w:rsidRPr="00616D75">
        <w:rPr>
          <w:rFonts w:asciiTheme="minorHAnsi" w:eastAsia="TimesNewRoman" w:hAnsiTheme="minorHAnsi" w:cs="TimesNewRoman"/>
        </w:rPr>
        <w:t xml:space="preserve">doses), these differences are </w:t>
      </w:r>
      <w:r>
        <w:rPr>
          <w:rFonts w:asciiTheme="minorHAnsi" w:eastAsia="TimesNewRoman" w:hAnsiTheme="minorHAnsi" w:cs="TimesNewRoman"/>
        </w:rPr>
        <w:t xml:space="preserve">still </w:t>
      </w:r>
      <w:r w:rsidRPr="00616D75">
        <w:rPr>
          <w:rFonts w:asciiTheme="minorHAnsi" w:eastAsia="TimesNewRoman" w:hAnsiTheme="minorHAnsi" w:cs="TimesNewRoman"/>
        </w:rPr>
        <w:t>clinically meaningful in this very refractory population</w:t>
      </w:r>
      <w:r>
        <w:rPr>
          <w:rFonts w:asciiTheme="minorHAnsi" w:eastAsia="TimesNewRoman" w:hAnsiTheme="minorHAnsi" w:cs="TimesNewRoman"/>
        </w:rPr>
        <w:t xml:space="preserve"> of TNF-antagonists </w:t>
      </w:r>
      <w:r w:rsidRPr="00616D75">
        <w:rPr>
          <w:rFonts w:asciiTheme="minorHAnsi" w:eastAsia="TimesNewRoman" w:hAnsiTheme="minorHAnsi" w:cs="TimesNewRoman"/>
        </w:rPr>
        <w:t>(from an</w:t>
      </w:r>
      <w:r>
        <w:rPr>
          <w:rFonts w:asciiTheme="minorHAnsi" w:eastAsia="TimesNewRoman" w:hAnsiTheme="minorHAnsi" w:cs="TimesNewRoman"/>
        </w:rPr>
        <w:t xml:space="preserve"> </w:t>
      </w:r>
      <w:r w:rsidRPr="00616D75">
        <w:rPr>
          <w:rFonts w:asciiTheme="minorHAnsi" w:eastAsia="TimesNewRoman" w:hAnsiTheme="minorHAnsi" w:cs="TimesNewRoman"/>
        </w:rPr>
        <w:t xml:space="preserve">8.6% delta with 130 mg to 13.6% with </w:t>
      </w:r>
      <w:r w:rsidR="002D5ED1">
        <w:rPr>
          <w:rFonts w:asciiTheme="minorHAnsi" w:eastAsia="TimesNewRoman" w:hAnsiTheme="minorHAnsi" w:cs="TimesNewRoman"/>
        </w:rPr>
        <w:t xml:space="preserve">approximately </w:t>
      </w:r>
      <w:r w:rsidRPr="00616D75">
        <w:rPr>
          <w:rFonts w:asciiTheme="minorHAnsi" w:eastAsia="TimesNewRoman" w:hAnsiTheme="minorHAnsi" w:cs="TimesNewRoman"/>
        </w:rPr>
        <w:t>6 mg/kg). Clinical response differences at Week 8</w:t>
      </w:r>
      <w:r>
        <w:rPr>
          <w:rFonts w:asciiTheme="minorHAnsi" w:eastAsia="TimesNewRoman" w:hAnsiTheme="minorHAnsi" w:cs="TimesNewRoman"/>
        </w:rPr>
        <w:t xml:space="preserve"> </w:t>
      </w:r>
      <w:r w:rsidRPr="00616D75">
        <w:rPr>
          <w:rFonts w:asciiTheme="minorHAnsi" w:eastAsia="TimesNewRoman" w:hAnsiTheme="minorHAnsi" w:cs="TimesNewRoman"/>
        </w:rPr>
        <w:t>showed a similar pattern, though differences in response rates between the dose groups were less</w:t>
      </w:r>
      <w:r>
        <w:rPr>
          <w:rFonts w:asciiTheme="minorHAnsi" w:eastAsia="TimesNewRoman" w:hAnsiTheme="minorHAnsi" w:cs="TimesNewRoman"/>
        </w:rPr>
        <w:t xml:space="preserve"> </w:t>
      </w:r>
      <w:r w:rsidRPr="00616D75">
        <w:rPr>
          <w:rFonts w:asciiTheme="minorHAnsi" w:eastAsia="TimesNewRoman" w:hAnsiTheme="minorHAnsi" w:cs="TimesNewRoman"/>
        </w:rPr>
        <w:t xml:space="preserve">than 5% in </w:t>
      </w:r>
      <w:r w:rsidR="00F221E4">
        <w:rPr>
          <w:rFonts w:asciiTheme="minorHAnsi" w:eastAsia="TimesNewRoman" w:hAnsiTheme="minorHAnsi" w:cs="TimesNewRoman"/>
        </w:rPr>
        <w:t>Study CR</w:t>
      </w:r>
      <w:r w:rsidRPr="00616D75">
        <w:rPr>
          <w:rFonts w:asciiTheme="minorHAnsi" w:eastAsia="TimesNewRoman" w:hAnsiTheme="minorHAnsi" w:cs="TimesNewRoman"/>
        </w:rPr>
        <w:t>D3001</w:t>
      </w:r>
      <w:r>
        <w:rPr>
          <w:rFonts w:asciiTheme="minorHAnsi" w:eastAsia="TimesNewRoman" w:hAnsiTheme="minorHAnsi" w:cs="TimesNewRoman"/>
        </w:rPr>
        <w:t>.</w:t>
      </w:r>
    </w:p>
    <w:p w14:paraId="51243DDC" w14:textId="77777777" w:rsidR="00117231" w:rsidRDefault="00117231" w:rsidP="00117231">
      <w:pPr>
        <w:autoSpaceDE w:val="0"/>
        <w:autoSpaceDN w:val="0"/>
        <w:adjustRightInd w:val="0"/>
        <w:spacing w:before="0" w:line="240" w:lineRule="auto"/>
        <w:rPr>
          <w:rFonts w:asciiTheme="minorHAnsi" w:eastAsiaTheme="minorHAnsi" w:hAnsiTheme="minorHAnsi" w:cs="ArialMT"/>
        </w:rPr>
      </w:pPr>
      <w:r>
        <w:rPr>
          <w:rFonts w:asciiTheme="minorHAnsi" w:eastAsia="TimesNewRoman" w:hAnsiTheme="minorHAnsi" w:cs="TimesNewRoman"/>
        </w:rPr>
        <w:t>The 6</w:t>
      </w:r>
      <w:r w:rsidR="002D5ED1">
        <w:rPr>
          <w:rFonts w:asciiTheme="minorHAnsi" w:eastAsia="TimesNewRoman" w:hAnsiTheme="minorHAnsi" w:cs="TimesNewRoman"/>
        </w:rPr>
        <w:t xml:space="preserve"> </w:t>
      </w:r>
      <w:r>
        <w:rPr>
          <w:rFonts w:asciiTheme="minorHAnsi" w:eastAsia="TimesNewRoman" w:hAnsiTheme="minorHAnsi" w:cs="TimesNewRoman"/>
        </w:rPr>
        <w:t xml:space="preserve">mg/kg IV induction dose was also associated with early onset of efficacy </w:t>
      </w:r>
      <w:r w:rsidRPr="00616D75">
        <w:rPr>
          <w:rFonts w:asciiTheme="minorHAnsi" w:eastAsia="TimesNewRoman" w:hAnsiTheme="minorHAnsi" w:cs="TimesNewRoman"/>
        </w:rPr>
        <w:t>with differences</w:t>
      </w:r>
      <w:r>
        <w:rPr>
          <w:rFonts w:asciiTheme="minorHAnsi" w:eastAsia="TimesNewRoman" w:hAnsiTheme="minorHAnsi" w:cs="TimesNewRoman"/>
        </w:rPr>
        <w:t xml:space="preserve"> </w:t>
      </w:r>
      <w:r w:rsidRPr="00616D75">
        <w:rPr>
          <w:rFonts w:asciiTheme="minorHAnsi" w:eastAsia="TimesNewRoman" w:hAnsiTheme="minorHAnsi" w:cs="TimesNewRoman"/>
        </w:rPr>
        <w:t xml:space="preserve">in treatment effects apparent </w:t>
      </w:r>
      <w:r>
        <w:rPr>
          <w:rFonts w:asciiTheme="minorHAnsi" w:eastAsia="TimesNewRoman" w:hAnsiTheme="minorHAnsi" w:cs="TimesNewRoman"/>
        </w:rPr>
        <w:t>a</w:t>
      </w:r>
      <w:r w:rsidRPr="00616D75">
        <w:rPr>
          <w:rFonts w:asciiTheme="minorHAnsi" w:eastAsia="TimesNewRoman" w:hAnsiTheme="minorHAnsi" w:cs="TimesNewRoman"/>
        </w:rPr>
        <w:t xml:space="preserve">s early as Week 3, for clinical remission and </w:t>
      </w:r>
      <w:r w:rsidRPr="00616D75">
        <w:rPr>
          <w:rFonts w:asciiTheme="minorHAnsi" w:eastAsia="TimesNewRoman" w:hAnsiTheme="minorHAnsi" w:cs="TimesNewRoman"/>
        </w:rPr>
        <w:lastRenderedPageBreak/>
        <w:t>clinical response between the</w:t>
      </w:r>
      <w:r>
        <w:rPr>
          <w:rFonts w:asciiTheme="minorHAnsi" w:eastAsia="TimesNewRoman" w:hAnsiTheme="minorHAnsi" w:cs="TimesNewRoman"/>
        </w:rPr>
        <w:t xml:space="preserve"> </w:t>
      </w:r>
      <w:r w:rsidR="002D5ED1" w:rsidRPr="002D5ED1">
        <w:rPr>
          <w:rFonts w:asciiTheme="minorHAnsi" w:eastAsia="TimesNewRoman" w:hAnsiTheme="minorHAnsi" w:cs="TimesNewRoman"/>
        </w:rPr>
        <w:t xml:space="preserve">approximately </w:t>
      </w:r>
      <w:r w:rsidRPr="00616D75">
        <w:rPr>
          <w:rFonts w:asciiTheme="minorHAnsi" w:eastAsia="TimesNewRoman" w:hAnsiTheme="minorHAnsi" w:cs="TimesNewRoman"/>
        </w:rPr>
        <w:t xml:space="preserve">6 mg/kg and 130 mg groups. Only the </w:t>
      </w:r>
      <w:r w:rsidR="002D5ED1" w:rsidRPr="002D5ED1">
        <w:rPr>
          <w:rFonts w:asciiTheme="minorHAnsi" w:eastAsia="TimesNewRoman" w:hAnsiTheme="minorHAnsi" w:cs="TimesNewRoman"/>
        </w:rPr>
        <w:t xml:space="preserve">approximately </w:t>
      </w:r>
      <w:r w:rsidRPr="00616D75">
        <w:rPr>
          <w:rFonts w:asciiTheme="minorHAnsi" w:eastAsia="TimesNewRoman" w:hAnsiTheme="minorHAnsi" w:cs="TimesNewRoman"/>
        </w:rPr>
        <w:t>6 mg/kg group demonstrated significant (p&lt;0.05)</w:t>
      </w:r>
      <w:r>
        <w:rPr>
          <w:rFonts w:asciiTheme="minorHAnsi" w:eastAsia="TimesNewRoman" w:hAnsiTheme="minorHAnsi" w:cs="TimesNewRoman"/>
        </w:rPr>
        <w:t xml:space="preserve"> </w:t>
      </w:r>
      <w:r w:rsidRPr="00616D75">
        <w:rPr>
          <w:rFonts w:asciiTheme="minorHAnsi" w:eastAsia="TimesNewRoman" w:hAnsiTheme="minorHAnsi" w:cs="TimesNewRoman"/>
        </w:rPr>
        <w:t>benefit in remission at Week 3 (in both the CRD3001 and CRD3002 studies). Proportions of</w:t>
      </w:r>
      <w:r>
        <w:rPr>
          <w:rFonts w:asciiTheme="minorHAnsi" w:eastAsia="TimesNewRoman" w:hAnsiTheme="minorHAnsi" w:cs="TimesNewRoman"/>
        </w:rPr>
        <w:t xml:space="preserve"> </w:t>
      </w:r>
      <w:r w:rsidRPr="00616D75">
        <w:rPr>
          <w:rFonts w:asciiTheme="minorHAnsi" w:eastAsia="TimesNewRoman" w:hAnsiTheme="minorHAnsi" w:cs="TimesNewRoman"/>
        </w:rPr>
        <w:t xml:space="preserve">subjects in clinical response at Week 3 were also numerically higher in both studies for </w:t>
      </w:r>
      <w:r w:rsidR="002D5ED1" w:rsidRPr="002D5ED1">
        <w:rPr>
          <w:rFonts w:asciiTheme="minorHAnsi" w:eastAsia="TimesNewRoman" w:hAnsiTheme="minorHAnsi" w:cs="TimesNewRoman"/>
        </w:rPr>
        <w:t xml:space="preserve">approximately </w:t>
      </w:r>
      <w:r w:rsidRPr="00616D75">
        <w:rPr>
          <w:rFonts w:asciiTheme="minorHAnsi" w:eastAsia="TimesNewRoman" w:hAnsiTheme="minorHAnsi" w:cs="TimesNewRoman"/>
        </w:rPr>
        <w:t>6 mg/kg</w:t>
      </w:r>
      <w:r>
        <w:rPr>
          <w:rFonts w:asciiTheme="minorHAnsi" w:eastAsia="TimesNewRoman" w:hAnsiTheme="minorHAnsi" w:cs="TimesNewRoman"/>
        </w:rPr>
        <w:t xml:space="preserve"> </w:t>
      </w:r>
      <w:r w:rsidRPr="00616D75">
        <w:rPr>
          <w:rFonts w:asciiTheme="minorHAnsi" w:eastAsia="TimesNewRoman" w:hAnsiTheme="minorHAnsi" w:cs="TimesNewRoman"/>
        </w:rPr>
        <w:t>than those seen with the 130 mg dose.</w:t>
      </w:r>
    </w:p>
    <w:p w14:paraId="7665F237" w14:textId="77777777" w:rsidR="00117231" w:rsidRPr="00E81149" w:rsidRDefault="00117231" w:rsidP="00117231">
      <w:pPr>
        <w:autoSpaceDE w:val="0"/>
        <w:autoSpaceDN w:val="0"/>
        <w:adjustRightInd w:val="0"/>
        <w:spacing w:before="0" w:line="240" w:lineRule="auto"/>
        <w:rPr>
          <w:rFonts w:asciiTheme="minorHAnsi" w:eastAsia="TimesNewRoman" w:hAnsiTheme="minorHAnsi" w:cs="TimesNewRoman"/>
        </w:rPr>
      </w:pPr>
      <w:r>
        <w:rPr>
          <w:rFonts w:asciiTheme="minorHAnsi" w:eastAsiaTheme="minorHAnsi" w:hAnsiTheme="minorHAnsi" w:cs="ArialMT"/>
        </w:rPr>
        <w:t>The greater improvements in the key study endpoints with 6mg/kg (compared with the 130mg</w:t>
      </w:r>
      <w:r w:rsidRPr="00E81149">
        <w:rPr>
          <w:rFonts w:asciiTheme="minorHAnsi" w:eastAsiaTheme="minorHAnsi" w:hAnsiTheme="minorHAnsi" w:cs="ArialMT"/>
        </w:rPr>
        <w:t xml:space="preserve">) IV induction dose were translated into meaningful improvements in QOL measures: </w:t>
      </w:r>
      <w:r w:rsidRPr="00E81149">
        <w:rPr>
          <w:rFonts w:asciiTheme="minorHAnsi" w:eastAsia="TimesNewRoman" w:hAnsiTheme="minorHAnsi" w:cs="TimesNewRoman"/>
        </w:rPr>
        <w:t>Greater proportions of subjects achieved a ≥</w:t>
      </w:r>
      <w:r w:rsidR="002D5ED1">
        <w:rPr>
          <w:rFonts w:asciiTheme="minorHAnsi" w:eastAsia="TimesNewRoman" w:hAnsiTheme="minorHAnsi" w:cs="TimesNewRoman"/>
        </w:rPr>
        <w:t xml:space="preserve"> </w:t>
      </w:r>
      <w:r w:rsidRPr="00E81149">
        <w:rPr>
          <w:rFonts w:asciiTheme="minorHAnsi" w:eastAsia="TimesNewRoman" w:hAnsiTheme="minorHAnsi" w:cs="TimesNewRoman"/>
        </w:rPr>
        <w:t>16-point (clinically meaningful)</w:t>
      </w:r>
      <w:r>
        <w:rPr>
          <w:rFonts w:asciiTheme="minorHAnsi" w:eastAsia="TimesNewRoman" w:hAnsiTheme="minorHAnsi" w:cs="TimesNewRoman"/>
        </w:rPr>
        <w:t xml:space="preserve"> </w:t>
      </w:r>
      <w:r w:rsidRPr="00E81149">
        <w:rPr>
          <w:rFonts w:asciiTheme="minorHAnsi" w:eastAsia="TimesNewRoman" w:hAnsiTheme="minorHAnsi" w:cs="TimesNewRoman"/>
        </w:rPr>
        <w:t>improvement in the disease-specific IBDQ instrument at Week 8, with approximately 9% higher larger</w:t>
      </w:r>
      <w:r>
        <w:rPr>
          <w:rFonts w:asciiTheme="minorHAnsi" w:eastAsia="TimesNewRoman" w:hAnsiTheme="minorHAnsi" w:cs="TimesNewRoman"/>
        </w:rPr>
        <w:t xml:space="preserve"> </w:t>
      </w:r>
      <w:r w:rsidRPr="00E81149">
        <w:rPr>
          <w:rFonts w:asciiTheme="minorHAnsi" w:eastAsia="TimesNewRoman" w:hAnsiTheme="minorHAnsi" w:cs="TimesNewRoman"/>
        </w:rPr>
        <w:t xml:space="preserve">treatment </w:t>
      </w:r>
      <w:r>
        <w:rPr>
          <w:rFonts w:asciiTheme="minorHAnsi" w:eastAsia="TimesNewRoman" w:hAnsiTheme="minorHAnsi" w:cs="TimesNewRoman"/>
        </w:rPr>
        <w:t xml:space="preserve">effects seen </w:t>
      </w:r>
      <w:r w:rsidRPr="00E81149">
        <w:rPr>
          <w:rFonts w:asciiTheme="minorHAnsi" w:eastAsia="TimesNewRoman" w:hAnsiTheme="minorHAnsi" w:cs="TimesNewRoman"/>
        </w:rPr>
        <w:t xml:space="preserve">for the </w:t>
      </w:r>
      <w:r w:rsidR="002D5ED1" w:rsidRPr="002D5ED1">
        <w:rPr>
          <w:rFonts w:asciiTheme="minorHAnsi" w:eastAsia="TimesNewRoman" w:hAnsiTheme="minorHAnsi" w:cs="TimesNewRoman"/>
        </w:rPr>
        <w:t xml:space="preserve">approximately </w:t>
      </w:r>
      <w:r w:rsidRPr="00E81149">
        <w:rPr>
          <w:rFonts w:asciiTheme="minorHAnsi" w:eastAsia="TimesNewRoman" w:hAnsiTheme="minorHAnsi" w:cs="TimesNewRoman"/>
        </w:rPr>
        <w:t>6 mg/kg group in</w:t>
      </w:r>
      <w:r>
        <w:rPr>
          <w:rFonts w:asciiTheme="minorHAnsi" w:eastAsia="TimesNewRoman" w:hAnsiTheme="minorHAnsi" w:cs="TimesNewRoman"/>
        </w:rPr>
        <w:t xml:space="preserve"> </w:t>
      </w:r>
      <w:r w:rsidRPr="00E81149">
        <w:rPr>
          <w:rFonts w:asciiTheme="minorHAnsi" w:eastAsia="TimesNewRoman" w:hAnsiTheme="minorHAnsi" w:cs="TimesNewRoman"/>
        </w:rPr>
        <w:t xml:space="preserve">both CRD3001 and CRD3002. </w:t>
      </w:r>
      <w:r>
        <w:rPr>
          <w:rFonts w:asciiTheme="minorHAnsi" w:eastAsia="TimesNewRoman" w:hAnsiTheme="minorHAnsi" w:cs="TimesNewRoman"/>
        </w:rPr>
        <w:t xml:space="preserve">Reduction in inflammatory markers also showed slightly better efficacy for the 6mg/kg IV induction dose </w:t>
      </w:r>
      <w:r w:rsidRPr="00E81149">
        <w:rPr>
          <w:rFonts w:asciiTheme="minorHAnsi" w:eastAsia="TimesNewRoman" w:hAnsiTheme="minorHAnsi" w:cs="TimesNewRoman"/>
        </w:rPr>
        <w:t>(the proportion of subjects attaining a</w:t>
      </w:r>
      <w:r>
        <w:rPr>
          <w:rFonts w:asciiTheme="minorHAnsi" w:eastAsia="TimesNewRoman" w:hAnsiTheme="minorHAnsi" w:cs="TimesNewRoman"/>
        </w:rPr>
        <w:t xml:space="preserve"> </w:t>
      </w:r>
      <w:r w:rsidRPr="00E81149">
        <w:rPr>
          <w:rFonts w:asciiTheme="minorHAnsi" w:eastAsia="TimesNewRoman" w:hAnsiTheme="minorHAnsi" w:cs="TimesNewRoman"/>
        </w:rPr>
        <w:t>normal</w:t>
      </w:r>
      <w:r>
        <w:rPr>
          <w:rFonts w:asciiTheme="minorHAnsi" w:eastAsia="TimesNewRoman" w:hAnsiTheme="minorHAnsi" w:cs="TimesNewRoman"/>
        </w:rPr>
        <w:t>is</w:t>
      </w:r>
      <w:r w:rsidRPr="00E81149">
        <w:rPr>
          <w:rFonts w:asciiTheme="minorHAnsi" w:eastAsia="TimesNewRoman" w:hAnsiTheme="minorHAnsi" w:cs="TimesNewRoman"/>
        </w:rPr>
        <w:t>ation of CRP at Week 8 (≤</w:t>
      </w:r>
      <w:r w:rsidR="002D5ED1">
        <w:rPr>
          <w:rFonts w:asciiTheme="minorHAnsi" w:eastAsia="TimesNewRoman" w:hAnsiTheme="minorHAnsi" w:cs="TimesNewRoman"/>
        </w:rPr>
        <w:t xml:space="preserve"> </w:t>
      </w:r>
      <w:r w:rsidRPr="00E81149">
        <w:rPr>
          <w:rFonts w:asciiTheme="minorHAnsi" w:eastAsia="TimesNewRoman" w:hAnsiTheme="minorHAnsi" w:cs="TimesNewRoman"/>
        </w:rPr>
        <w:t>3 mg/L among those &gt;3 mg/L at baseline) was greater for the</w:t>
      </w:r>
      <w:r>
        <w:rPr>
          <w:rFonts w:asciiTheme="minorHAnsi" w:eastAsia="TimesNewRoman" w:hAnsiTheme="minorHAnsi" w:cs="TimesNewRoman"/>
        </w:rPr>
        <w:t xml:space="preserve"> </w:t>
      </w:r>
      <w:r w:rsidR="002D5ED1" w:rsidRPr="002D5ED1">
        <w:rPr>
          <w:rFonts w:asciiTheme="minorHAnsi" w:eastAsia="TimesNewRoman" w:hAnsiTheme="minorHAnsi" w:cs="TimesNewRoman"/>
        </w:rPr>
        <w:t xml:space="preserve">approximately </w:t>
      </w:r>
      <w:r w:rsidRPr="00E81149">
        <w:rPr>
          <w:rFonts w:asciiTheme="minorHAnsi" w:eastAsia="TimesNewRoman" w:hAnsiTheme="minorHAnsi" w:cs="TimesNewRoman"/>
        </w:rPr>
        <w:t>6 mg/kg group in CRD3001 and CRD3002 compared with the 130 mg group (both</w:t>
      </w:r>
      <w:r>
        <w:rPr>
          <w:rFonts w:asciiTheme="minorHAnsi" w:eastAsia="TimesNewRoman" w:hAnsiTheme="minorHAnsi" w:cs="TimesNewRoman"/>
        </w:rPr>
        <w:t xml:space="preserve"> </w:t>
      </w:r>
      <w:r w:rsidRPr="00E81149">
        <w:rPr>
          <w:rFonts w:asciiTheme="minorHAnsi" w:eastAsia="TimesNewRoman" w:hAnsiTheme="minorHAnsi" w:cs="TimesNewRoman"/>
        </w:rPr>
        <w:t>approximately 5% higher proportions of subjects)</w:t>
      </w:r>
    </w:p>
    <w:p w14:paraId="400A2B41" w14:textId="77777777" w:rsidR="00117231" w:rsidRPr="00E81149" w:rsidRDefault="00117231" w:rsidP="00117231">
      <w:pPr>
        <w:autoSpaceDE w:val="0"/>
        <w:autoSpaceDN w:val="0"/>
        <w:adjustRightInd w:val="0"/>
        <w:spacing w:before="0" w:line="240" w:lineRule="auto"/>
        <w:rPr>
          <w:rFonts w:asciiTheme="minorHAnsi" w:eastAsia="TimesNewRoman" w:hAnsiTheme="minorHAnsi" w:cs="TimesNewRoman"/>
        </w:rPr>
      </w:pPr>
      <w:r w:rsidRPr="00E81149">
        <w:rPr>
          <w:rFonts w:asciiTheme="minorHAnsi" w:eastAsia="TimesNewRoman" w:hAnsiTheme="minorHAnsi" w:cs="TimesNewRoman"/>
        </w:rPr>
        <w:t>While proportions of subjects in clinical response at Week 6 (the primary endpoint) were nearly</w:t>
      </w:r>
      <w:r>
        <w:rPr>
          <w:rFonts w:asciiTheme="minorHAnsi" w:eastAsia="TimesNewRoman" w:hAnsiTheme="minorHAnsi" w:cs="TimesNewRoman"/>
        </w:rPr>
        <w:t xml:space="preserve"> </w:t>
      </w:r>
      <w:r w:rsidRPr="00E81149">
        <w:rPr>
          <w:rFonts w:asciiTheme="minorHAnsi" w:eastAsia="TimesNewRoman" w:hAnsiTheme="minorHAnsi" w:cs="TimesNewRoman"/>
        </w:rPr>
        <w:t xml:space="preserve">the same for the 2 doses in CRD3001 and only slightly higher for </w:t>
      </w:r>
      <w:r w:rsidR="002D5ED1" w:rsidRPr="002D5ED1">
        <w:rPr>
          <w:rFonts w:asciiTheme="minorHAnsi" w:eastAsia="TimesNewRoman" w:hAnsiTheme="minorHAnsi" w:cs="TimesNewRoman"/>
        </w:rPr>
        <w:t xml:space="preserve">approximately </w:t>
      </w:r>
      <w:r w:rsidRPr="00E81149">
        <w:rPr>
          <w:rFonts w:asciiTheme="minorHAnsi" w:eastAsia="TimesNewRoman" w:hAnsiTheme="minorHAnsi" w:cs="TimesNewRoman"/>
        </w:rPr>
        <w:t>6 mg/kg group in CRD3002,</w:t>
      </w:r>
      <w:r>
        <w:rPr>
          <w:rFonts w:asciiTheme="minorHAnsi" w:eastAsia="TimesNewRoman" w:hAnsiTheme="minorHAnsi" w:cs="TimesNewRoman"/>
        </w:rPr>
        <w:t xml:space="preserve"> </w:t>
      </w:r>
      <w:r w:rsidRPr="00E81149">
        <w:rPr>
          <w:rFonts w:asciiTheme="minorHAnsi" w:eastAsia="TimesNewRoman" w:hAnsiTheme="minorHAnsi" w:cs="TimesNewRoman"/>
        </w:rPr>
        <w:t xml:space="preserve">the rates of clinical response increased for the </w:t>
      </w:r>
      <w:r w:rsidR="002D5ED1" w:rsidRPr="002D5ED1">
        <w:rPr>
          <w:rFonts w:asciiTheme="minorHAnsi" w:eastAsia="TimesNewRoman" w:hAnsiTheme="minorHAnsi" w:cs="TimesNewRoman"/>
        </w:rPr>
        <w:t xml:space="preserve">approximately </w:t>
      </w:r>
      <w:r w:rsidR="002D5ED1">
        <w:rPr>
          <w:rFonts w:asciiTheme="minorHAnsi" w:eastAsia="TimesNewRoman" w:hAnsiTheme="minorHAnsi" w:cs="TimesNewRoman"/>
        </w:rPr>
        <w:t>6 mg/kg groups between W</w:t>
      </w:r>
      <w:r w:rsidRPr="00E81149">
        <w:rPr>
          <w:rFonts w:asciiTheme="minorHAnsi" w:eastAsia="TimesNewRoman" w:hAnsiTheme="minorHAnsi" w:cs="TimesNewRoman"/>
        </w:rPr>
        <w:t>eeks 6 and 8 in both</w:t>
      </w:r>
      <w:r>
        <w:rPr>
          <w:rFonts w:asciiTheme="minorHAnsi" w:eastAsia="TimesNewRoman" w:hAnsiTheme="minorHAnsi" w:cs="TimesNewRoman"/>
        </w:rPr>
        <w:t xml:space="preserve"> </w:t>
      </w:r>
      <w:r w:rsidRPr="00E81149">
        <w:rPr>
          <w:rFonts w:asciiTheme="minorHAnsi" w:eastAsia="TimesNewRoman" w:hAnsiTheme="minorHAnsi" w:cs="TimesNewRoman"/>
        </w:rPr>
        <w:t xml:space="preserve">studies, while the proportion in response decreased </w:t>
      </w:r>
      <w:r>
        <w:rPr>
          <w:rFonts w:asciiTheme="minorHAnsi" w:eastAsia="TimesNewRoman" w:hAnsiTheme="minorHAnsi" w:cs="TimesNewRoman"/>
        </w:rPr>
        <w:t xml:space="preserve">slightly </w:t>
      </w:r>
      <w:r w:rsidRPr="00E81149">
        <w:rPr>
          <w:rFonts w:asciiTheme="minorHAnsi" w:eastAsia="TimesNewRoman" w:hAnsiTheme="minorHAnsi" w:cs="TimesNewRoman"/>
        </w:rPr>
        <w:t>from 51.7% to 47.4% in the 130 mg group in</w:t>
      </w:r>
      <w:r>
        <w:rPr>
          <w:rFonts w:asciiTheme="minorHAnsi" w:eastAsia="TimesNewRoman" w:hAnsiTheme="minorHAnsi" w:cs="TimesNewRoman"/>
        </w:rPr>
        <w:t xml:space="preserve"> </w:t>
      </w:r>
      <w:r w:rsidRPr="00E81149">
        <w:rPr>
          <w:rFonts w:asciiTheme="minorHAnsi" w:eastAsia="TimesNewRoman" w:hAnsiTheme="minorHAnsi" w:cs="TimesNewRoman"/>
        </w:rPr>
        <w:t>CRD3002. This phenomenon was also seen in other</w:t>
      </w:r>
      <w:r>
        <w:rPr>
          <w:rFonts w:asciiTheme="minorHAnsi" w:eastAsia="TimesNewRoman" w:hAnsiTheme="minorHAnsi" w:cs="TimesNewRoman"/>
        </w:rPr>
        <w:t xml:space="preserve"> </w:t>
      </w:r>
      <w:r w:rsidRPr="00E81149">
        <w:rPr>
          <w:rFonts w:asciiTheme="minorHAnsi" w:eastAsia="TimesNewRoman" w:hAnsiTheme="minorHAnsi" w:cs="TimesNewRoman"/>
        </w:rPr>
        <w:t>endpoints, including change in CDAI, 70 point response and change in CRP. These trends are</w:t>
      </w:r>
      <w:r>
        <w:rPr>
          <w:rFonts w:asciiTheme="minorHAnsi" w:eastAsia="TimesNewRoman" w:hAnsiTheme="minorHAnsi" w:cs="TimesNewRoman"/>
        </w:rPr>
        <w:t xml:space="preserve"> </w:t>
      </w:r>
      <w:r w:rsidRPr="00E81149">
        <w:rPr>
          <w:rFonts w:asciiTheme="minorHAnsi" w:eastAsia="TimesNewRoman" w:hAnsiTheme="minorHAnsi" w:cs="TimesNewRoman"/>
        </w:rPr>
        <w:t>notable because differences with a suboptimal dose would be expected to become more apparent</w:t>
      </w:r>
      <w:r>
        <w:rPr>
          <w:rFonts w:asciiTheme="minorHAnsi" w:eastAsia="TimesNewRoman" w:hAnsiTheme="minorHAnsi" w:cs="TimesNewRoman"/>
        </w:rPr>
        <w:t xml:space="preserve"> </w:t>
      </w:r>
      <w:r w:rsidRPr="00E81149">
        <w:rPr>
          <w:rFonts w:asciiTheme="minorHAnsi" w:eastAsia="TimesNewRoman" w:hAnsiTheme="minorHAnsi" w:cs="TimesNewRoman"/>
        </w:rPr>
        <w:t>over time, as continually decreasing serum ustekinumab concentration would result in many</w:t>
      </w:r>
      <w:r>
        <w:rPr>
          <w:rFonts w:asciiTheme="minorHAnsi" w:eastAsia="TimesNewRoman" w:hAnsiTheme="minorHAnsi" w:cs="TimesNewRoman"/>
        </w:rPr>
        <w:t xml:space="preserve"> </w:t>
      </w:r>
      <w:r w:rsidRPr="00E81149">
        <w:rPr>
          <w:rFonts w:asciiTheme="minorHAnsi" w:eastAsia="TimesNewRoman" w:hAnsiTheme="minorHAnsi" w:cs="TimesNewRoman"/>
        </w:rPr>
        <w:t>subjects dropping to sub-therapeutic serum ustekinumab levels in the 130 mg dose group.</w:t>
      </w:r>
      <w:r>
        <w:rPr>
          <w:rFonts w:asciiTheme="minorHAnsi" w:eastAsia="TimesNewRoman" w:hAnsiTheme="minorHAnsi" w:cs="TimesNewRoman"/>
        </w:rPr>
        <w:t xml:space="preserve"> The </w:t>
      </w:r>
      <w:r w:rsidR="002D5ED1">
        <w:rPr>
          <w:rFonts w:asciiTheme="minorHAnsi" w:eastAsia="TimesNewRoman" w:hAnsiTheme="minorHAnsi" w:cs="TimesNewRoman"/>
        </w:rPr>
        <w:t>exposure-response (</w:t>
      </w:r>
      <w:r w:rsidRPr="00E81149">
        <w:rPr>
          <w:rFonts w:asciiTheme="minorHAnsi" w:eastAsia="TimesNewRoman" w:hAnsiTheme="minorHAnsi" w:cs="TimesNewRoman"/>
        </w:rPr>
        <w:t>E-R</w:t>
      </w:r>
      <w:r w:rsidR="002D5ED1">
        <w:rPr>
          <w:rFonts w:asciiTheme="minorHAnsi" w:eastAsia="TimesNewRoman" w:hAnsiTheme="minorHAnsi" w:cs="TimesNewRoman"/>
        </w:rPr>
        <w:t>)</w:t>
      </w:r>
      <w:r w:rsidRPr="00E81149">
        <w:rPr>
          <w:rFonts w:asciiTheme="minorHAnsi" w:eastAsia="TimesNewRoman" w:hAnsiTheme="minorHAnsi" w:cs="TimesNewRoman"/>
        </w:rPr>
        <w:t xml:space="preserve"> analyses are supportive that the </w:t>
      </w:r>
      <w:r w:rsidR="002D5ED1" w:rsidRPr="002D5ED1">
        <w:rPr>
          <w:rFonts w:asciiTheme="minorHAnsi" w:eastAsia="TimesNewRoman" w:hAnsiTheme="minorHAnsi" w:cs="TimesNewRoman"/>
        </w:rPr>
        <w:t xml:space="preserve">approximately </w:t>
      </w:r>
      <w:r w:rsidRPr="00E81149">
        <w:rPr>
          <w:rFonts w:asciiTheme="minorHAnsi" w:eastAsia="TimesNewRoman" w:hAnsiTheme="minorHAnsi" w:cs="TimesNewRoman"/>
        </w:rPr>
        <w:t>6 mg/kg induction dose would be expected to provide</w:t>
      </w:r>
      <w:r>
        <w:rPr>
          <w:rFonts w:asciiTheme="minorHAnsi" w:eastAsia="TimesNewRoman" w:hAnsiTheme="minorHAnsi" w:cs="TimesNewRoman"/>
        </w:rPr>
        <w:t xml:space="preserve"> </w:t>
      </w:r>
      <w:r w:rsidRPr="00E81149">
        <w:rPr>
          <w:rFonts w:asciiTheme="minorHAnsi" w:eastAsia="TimesNewRoman" w:hAnsiTheme="minorHAnsi" w:cs="TimesNewRoman"/>
        </w:rPr>
        <w:t>more optimal efficacy for the entire 8 weeks post-induction dose</w:t>
      </w:r>
      <w:r>
        <w:rPr>
          <w:rFonts w:asciiTheme="minorHAnsi" w:eastAsia="TimesNewRoman" w:hAnsiTheme="minorHAnsi" w:cs="TimesNewRoman"/>
        </w:rPr>
        <w:t>.</w:t>
      </w:r>
    </w:p>
    <w:p w14:paraId="612A3F71" w14:textId="77777777" w:rsidR="00117231" w:rsidRDefault="00117231" w:rsidP="00117231">
      <w:pPr>
        <w:autoSpaceDE w:val="0"/>
        <w:autoSpaceDN w:val="0"/>
        <w:adjustRightInd w:val="0"/>
        <w:spacing w:before="0" w:line="240" w:lineRule="auto"/>
        <w:rPr>
          <w:rFonts w:asciiTheme="minorHAnsi" w:eastAsia="TimesNewRoman" w:hAnsiTheme="minorHAnsi" w:cs="TimesNewRoman"/>
        </w:rPr>
      </w:pPr>
      <w:r>
        <w:rPr>
          <w:rFonts w:asciiTheme="minorHAnsi" w:eastAsia="TimesNewRoman" w:hAnsiTheme="minorHAnsi" w:cs="TimesNewRoman"/>
        </w:rPr>
        <w:t>Furthermore, t</w:t>
      </w:r>
      <w:r w:rsidRPr="00E81149">
        <w:rPr>
          <w:rFonts w:asciiTheme="minorHAnsi" w:eastAsia="TimesNewRoman" w:hAnsiTheme="minorHAnsi" w:cs="TimesNewRoman"/>
        </w:rPr>
        <w:t xml:space="preserve">he Phase </w:t>
      </w:r>
      <w:r w:rsidR="002D5ED1">
        <w:rPr>
          <w:rFonts w:asciiTheme="minorHAnsi" w:eastAsia="TimesNewRoman" w:hAnsiTheme="minorHAnsi" w:cs="TimesNewRoman"/>
        </w:rPr>
        <w:t>III</w:t>
      </w:r>
      <w:r w:rsidRPr="00E81149">
        <w:rPr>
          <w:rFonts w:asciiTheme="minorHAnsi" w:eastAsia="TimesNewRoman" w:hAnsiTheme="minorHAnsi" w:cs="TimesNewRoman"/>
        </w:rPr>
        <w:t xml:space="preserve"> induction studies also did not show any consistent difference in safety profile between the 130 mg and </w:t>
      </w:r>
      <w:r w:rsidR="002D5ED1" w:rsidRPr="002D5ED1">
        <w:rPr>
          <w:rFonts w:asciiTheme="minorHAnsi" w:eastAsia="TimesNewRoman" w:hAnsiTheme="minorHAnsi" w:cs="TimesNewRoman"/>
        </w:rPr>
        <w:t xml:space="preserve">approximately </w:t>
      </w:r>
      <w:r w:rsidRPr="00E81149">
        <w:rPr>
          <w:rFonts w:asciiTheme="minorHAnsi" w:eastAsia="TimesNewRoman" w:hAnsiTheme="minorHAnsi" w:cs="TimesNewRoman"/>
        </w:rPr>
        <w:t>6 mg/kg IV induction doses, supporting a dosing</w:t>
      </w:r>
      <w:r>
        <w:rPr>
          <w:rFonts w:asciiTheme="minorHAnsi" w:eastAsia="TimesNewRoman" w:hAnsiTheme="minorHAnsi" w:cs="TimesNewRoman"/>
        </w:rPr>
        <w:t xml:space="preserve"> </w:t>
      </w:r>
      <w:r w:rsidRPr="00E81149">
        <w:rPr>
          <w:rFonts w:asciiTheme="minorHAnsi" w:eastAsia="TimesNewRoman" w:hAnsiTheme="minorHAnsi" w:cs="TimesNewRoman"/>
        </w:rPr>
        <w:t xml:space="preserve">recommendation driven by the greater efficacy seen with the </w:t>
      </w:r>
      <w:r w:rsidR="002D5ED1" w:rsidRPr="002D5ED1">
        <w:rPr>
          <w:rFonts w:asciiTheme="minorHAnsi" w:eastAsia="TimesNewRoman" w:hAnsiTheme="minorHAnsi" w:cs="TimesNewRoman"/>
        </w:rPr>
        <w:t xml:space="preserve">approximately </w:t>
      </w:r>
      <w:r w:rsidRPr="00E81149">
        <w:rPr>
          <w:rFonts w:asciiTheme="minorHAnsi" w:eastAsia="TimesNewRoman" w:hAnsiTheme="minorHAnsi" w:cs="TimesNewRoman"/>
        </w:rPr>
        <w:t>6 mg/kg dose for both the</w:t>
      </w:r>
      <w:r>
        <w:rPr>
          <w:rFonts w:asciiTheme="minorHAnsi" w:eastAsia="TimesNewRoman" w:hAnsiTheme="minorHAnsi" w:cs="TimesNewRoman"/>
        </w:rPr>
        <w:t xml:space="preserve"> </w:t>
      </w:r>
      <w:r w:rsidRPr="00E81149">
        <w:rPr>
          <w:rFonts w:asciiTheme="minorHAnsi" w:eastAsia="TimesNewRoman" w:hAnsiTheme="minorHAnsi" w:cs="TimesNewRoman"/>
        </w:rPr>
        <w:t>conventional therapy and TNF-antagonist failure populations</w:t>
      </w:r>
      <w:r>
        <w:rPr>
          <w:rFonts w:asciiTheme="minorHAnsi" w:eastAsia="TimesNewRoman" w:hAnsiTheme="minorHAnsi" w:cs="TimesNewRoman"/>
        </w:rPr>
        <w:t>.</w:t>
      </w:r>
    </w:p>
    <w:p w14:paraId="2CD0C24B" w14:textId="77777777" w:rsidR="00117231" w:rsidRPr="00EB7E0C" w:rsidRDefault="00117231" w:rsidP="00117231">
      <w:pPr>
        <w:autoSpaceDE w:val="0"/>
        <w:autoSpaceDN w:val="0"/>
        <w:adjustRightInd w:val="0"/>
        <w:spacing w:before="0" w:line="240" w:lineRule="auto"/>
        <w:rPr>
          <w:rFonts w:asciiTheme="minorHAnsi" w:eastAsiaTheme="minorHAnsi" w:hAnsiTheme="minorHAnsi" w:cs="ArialMT"/>
        </w:rPr>
      </w:pPr>
      <w:r w:rsidRPr="00EB7E0C">
        <w:rPr>
          <w:rFonts w:asciiTheme="minorHAnsi" w:eastAsia="TimesNewRoman" w:hAnsiTheme="minorHAnsi" w:cs="TimesNewRoman"/>
        </w:rPr>
        <w:t>Ustekinumab maintenance therapy was shown to be of significant benefit to</w:t>
      </w:r>
      <w:r>
        <w:rPr>
          <w:rFonts w:asciiTheme="minorHAnsi" w:eastAsia="TimesNewRoman" w:hAnsiTheme="minorHAnsi" w:cs="TimesNewRoman"/>
        </w:rPr>
        <w:t xml:space="preserve"> </w:t>
      </w:r>
      <w:r w:rsidRPr="00EB7E0C">
        <w:rPr>
          <w:rFonts w:asciiTheme="minorHAnsi" w:eastAsia="TimesNewRoman" w:hAnsiTheme="minorHAnsi" w:cs="TimesNewRoman"/>
        </w:rPr>
        <w:t>ustekinumab induction responders over 44 weeks. Maintenance with 90 mg SC given q8w</w:t>
      </w:r>
      <w:r>
        <w:rPr>
          <w:rFonts w:asciiTheme="minorHAnsi" w:eastAsia="TimesNewRoman" w:hAnsiTheme="minorHAnsi" w:cs="TimesNewRoman"/>
        </w:rPr>
        <w:t xml:space="preserve"> and q12w </w:t>
      </w:r>
      <w:r w:rsidRPr="00EB7E0C">
        <w:rPr>
          <w:rFonts w:asciiTheme="minorHAnsi" w:eastAsia="TimesNewRoman" w:hAnsiTheme="minorHAnsi" w:cs="TimesNewRoman"/>
        </w:rPr>
        <w:t>demonstrated statistically significant benefit for clinical remission (the</w:t>
      </w:r>
      <w:r>
        <w:rPr>
          <w:rFonts w:asciiTheme="minorHAnsi" w:eastAsia="TimesNewRoman" w:hAnsiTheme="minorHAnsi" w:cs="TimesNewRoman"/>
        </w:rPr>
        <w:t xml:space="preserve"> </w:t>
      </w:r>
      <w:r w:rsidRPr="00EB7E0C">
        <w:rPr>
          <w:rFonts w:asciiTheme="minorHAnsi" w:eastAsia="TimesNewRoman" w:hAnsiTheme="minorHAnsi" w:cs="TimesNewRoman"/>
        </w:rPr>
        <w:t>primary endpoint) as well as clinical response at Week 44. The study demonstrated that among</w:t>
      </w:r>
      <w:r>
        <w:rPr>
          <w:rFonts w:asciiTheme="minorHAnsi" w:eastAsia="TimesNewRoman" w:hAnsiTheme="minorHAnsi" w:cs="TimesNewRoman"/>
        </w:rPr>
        <w:t xml:space="preserve"> </w:t>
      </w:r>
      <w:r w:rsidRPr="00EB7E0C">
        <w:rPr>
          <w:rFonts w:asciiTheme="minorHAnsi" w:eastAsia="TimesNewRoman" w:hAnsiTheme="minorHAnsi" w:cs="TimesNewRoman"/>
        </w:rPr>
        <w:t>subjects who respond to ustekinumab induction therapy, continuous maintenance therapy is</w:t>
      </w:r>
      <w:r>
        <w:rPr>
          <w:rFonts w:asciiTheme="minorHAnsi" w:eastAsia="TimesNewRoman" w:hAnsiTheme="minorHAnsi" w:cs="TimesNewRoman"/>
        </w:rPr>
        <w:t xml:space="preserve"> </w:t>
      </w:r>
      <w:r w:rsidRPr="00EB7E0C">
        <w:rPr>
          <w:rFonts w:asciiTheme="minorHAnsi" w:eastAsia="TimesNewRoman" w:hAnsiTheme="minorHAnsi" w:cs="TimesNewRoman"/>
        </w:rPr>
        <w:t>needed to maintain clinically meaningful improvements in signs and symptoms as well as patient</w:t>
      </w:r>
      <w:r>
        <w:rPr>
          <w:rFonts w:asciiTheme="minorHAnsi" w:eastAsia="TimesNewRoman" w:hAnsiTheme="minorHAnsi" w:cs="TimesNewRoman"/>
        </w:rPr>
        <w:t xml:space="preserve"> </w:t>
      </w:r>
      <w:r w:rsidRPr="00EB7E0C">
        <w:rPr>
          <w:rFonts w:asciiTheme="minorHAnsi" w:eastAsia="TimesNewRoman" w:hAnsiTheme="minorHAnsi" w:cs="TimesNewRoman"/>
        </w:rPr>
        <w:t>reported outcomes and objective measures of inflammation. Among subjects withdrawn from</w:t>
      </w:r>
      <w:r>
        <w:rPr>
          <w:rFonts w:asciiTheme="minorHAnsi" w:eastAsia="TimesNewRoman" w:hAnsiTheme="minorHAnsi" w:cs="TimesNewRoman"/>
        </w:rPr>
        <w:t xml:space="preserve"> </w:t>
      </w:r>
      <w:r w:rsidRPr="00EB7E0C">
        <w:rPr>
          <w:rFonts w:asciiTheme="minorHAnsi" w:eastAsia="TimesNewRoman" w:hAnsiTheme="minorHAnsi" w:cs="TimesNewRoman"/>
        </w:rPr>
        <w:t>ustekinumab after induction (</w:t>
      </w:r>
      <w:r w:rsidR="002D5ED1">
        <w:rPr>
          <w:rFonts w:asciiTheme="minorHAnsi" w:eastAsia="TimesNewRoman" w:hAnsiTheme="minorHAnsi" w:cs="TimesNewRoman"/>
        </w:rPr>
        <w:t>that is,</w:t>
      </w:r>
      <w:r w:rsidRPr="00EB7E0C">
        <w:rPr>
          <w:rFonts w:asciiTheme="minorHAnsi" w:eastAsia="TimesNewRoman" w:hAnsiTheme="minorHAnsi" w:cs="TimesNewRoman"/>
        </w:rPr>
        <w:t xml:space="preserve"> the SC placebo group), a gradual recurrence of disease was</w:t>
      </w:r>
      <w:r>
        <w:rPr>
          <w:rFonts w:asciiTheme="minorHAnsi" w:eastAsia="TimesNewRoman" w:hAnsiTheme="minorHAnsi" w:cs="TimesNewRoman"/>
        </w:rPr>
        <w:t xml:space="preserve"> </w:t>
      </w:r>
      <w:r w:rsidRPr="00EB7E0C">
        <w:rPr>
          <w:rFonts w:asciiTheme="minorHAnsi" w:eastAsia="TimesNewRoman" w:hAnsiTheme="minorHAnsi" w:cs="TimesNewRoman"/>
        </w:rPr>
        <w:t>observed by every clinical measure as well as by laboratory measures of inflammation (</w:t>
      </w:r>
      <w:r w:rsidR="002D5ED1">
        <w:rPr>
          <w:rFonts w:asciiTheme="minorHAnsi" w:eastAsia="TimesNewRoman" w:hAnsiTheme="minorHAnsi" w:cs="TimesNewRoman"/>
        </w:rPr>
        <w:t>that is,</w:t>
      </w:r>
      <w:r w:rsidRPr="00EB7E0C">
        <w:rPr>
          <w:rFonts w:asciiTheme="minorHAnsi" w:eastAsia="TimesNewRoman" w:hAnsiTheme="minorHAnsi" w:cs="TimesNewRoman"/>
        </w:rPr>
        <w:t xml:space="preserve"> CRP</w:t>
      </w:r>
      <w:r>
        <w:rPr>
          <w:rFonts w:asciiTheme="minorHAnsi" w:eastAsia="TimesNewRoman" w:hAnsiTheme="minorHAnsi" w:cs="TimesNewRoman"/>
        </w:rPr>
        <w:t xml:space="preserve"> </w:t>
      </w:r>
      <w:r w:rsidRPr="00EB7E0C">
        <w:rPr>
          <w:rFonts w:asciiTheme="minorHAnsi" w:eastAsia="TimesNewRoman" w:hAnsiTheme="minorHAnsi" w:cs="TimesNewRoman"/>
        </w:rPr>
        <w:t xml:space="preserve">and </w:t>
      </w:r>
      <w:r>
        <w:rPr>
          <w:rFonts w:asciiTheme="minorHAnsi" w:eastAsia="TimesNewRoman" w:hAnsiTheme="minorHAnsi" w:cs="TimesNewRoman"/>
        </w:rPr>
        <w:t>faecal</w:t>
      </w:r>
      <w:r w:rsidRPr="00EB7E0C">
        <w:rPr>
          <w:rFonts w:asciiTheme="minorHAnsi" w:eastAsia="TimesNewRoman" w:hAnsiTheme="minorHAnsi" w:cs="TimesNewRoman"/>
        </w:rPr>
        <w:t xml:space="preserve"> calprotectin). By contrast, minimal recurrence of disease was observed among subjects</w:t>
      </w:r>
      <w:r>
        <w:rPr>
          <w:rFonts w:asciiTheme="minorHAnsi" w:eastAsia="TimesNewRoman" w:hAnsiTheme="minorHAnsi" w:cs="TimesNewRoman"/>
        </w:rPr>
        <w:t xml:space="preserve"> </w:t>
      </w:r>
      <w:r w:rsidRPr="00EB7E0C">
        <w:rPr>
          <w:rFonts w:asciiTheme="minorHAnsi" w:eastAsia="TimesNewRoman" w:hAnsiTheme="minorHAnsi" w:cs="TimesNewRoman"/>
        </w:rPr>
        <w:t>who continued receiving maintenance doses of ustekinumab, such that by Week 44, a treatment</w:t>
      </w:r>
      <w:r>
        <w:rPr>
          <w:rFonts w:asciiTheme="minorHAnsi" w:eastAsia="TimesNewRoman" w:hAnsiTheme="minorHAnsi" w:cs="TimesNewRoman"/>
        </w:rPr>
        <w:t xml:space="preserve"> </w:t>
      </w:r>
      <w:r w:rsidRPr="00EB7E0C">
        <w:rPr>
          <w:rFonts w:asciiTheme="minorHAnsi" w:eastAsia="TimesNewRoman" w:hAnsiTheme="minorHAnsi" w:cs="TimesNewRoman"/>
        </w:rPr>
        <w:t>effect of approximately 15% was seen for subjects who received ustekinumab maintenance for</w:t>
      </w:r>
      <w:r>
        <w:rPr>
          <w:rFonts w:asciiTheme="minorHAnsi" w:eastAsia="TimesNewRoman" w:hAnsiTheme="minorHAnsi" w:cs="TimesNewRoman"/>
        </w:rPr>
        <w:t xml:space="preserve"> </w:t>
      </w:r>
      <w:r w:rsidRPr="00EB7E0C">
        <w:rPr>
          <w:rFonts w:asciiTheme="minorHAnsi" w:eastAsia="TimesNewRoman" w:hAnsiTheme="minorHAnsi" w:cs="TimesNewRoman"/>
        </w:rPr>
        <w:t>the endpoints of remission, response, corticosteroid-free remission, and sustained response and</w:t>
      </w:r>
      <w:r>
        <w:rPr>
          <w:rFonts w:asciiTheme="minorHAnsi" w:eastAsia="TimesNewRoman" w:hAnsiTheme="minorHAnsi" w:cs="TimesNewRoman"/>
        </w:rPr>
        <w:t xml:space="preserve"> </w:t>
      </w:r>
      <w:r w:rsidRPr="00EB7E0C">
        <w:rPr>
          <w:rFonts w:asciiTheme="minorHAnsi" w:eastAsia="TimesNewRoman" w:hAnsiTheme="minorHAnsi" w:cs="TimesNewRoman"/>
        </w:rPr>
        <w:t>remission as compared with subjects withdrawn from ustekinumab after the induction dose</w:t>
      </w:r>
      <w:r>
        <w:rPr>
          <w:rFonts w:asciiTheme="minorHAnsi" w:eastAsia="TimesNewRoman" w:hAnsiTheme="minorHAnsi" w:cs="TimesNewRoman"/>
        </w:rPr>
        <w:t xml:space="preserve"> </w:t>
      </w:r>
      <w:r w:rsidRPr="00EB7E0C">
        <w:rPr>
          <w:rFonts w:asciiTheme="minorHAnsi" w:eastAsia="TimesNewRoman" w:hAnsiTheme="minorHAnsi" w:cs="TimesNewRoman"/>
        </w:rPr>
        <w:t>(</w:t>
      </w:r>
      <w:r w:rsidR="002D5ED1">
        <w:rPr>
          <w:rFonts w:asciiTheme="minorHAnsi" w:eastAsia="TimesNewRoman" w:hAnsiTheme="minorHAnsi" w:cs="TimesNewRoman"/>
        </w:rPr>
        <w:t>that is,</w:t>
      </w:r>
      <w:r w:rsidRPr="00EB7E0C">
        <w:rPr>
          <w:rFonts w:asciiTheme="minorHAnsi" w:eastAsia="TimesNewRoman" w:hAnsiTheme="minorHAnsi" w:cs="TimesNewRoman"/>
        </w:rPr>
        <w:t xml:space="preserve"> the placebo group). Likewise, laboratory measures of inflammation (CRP and </w:t>
      </w:r>
      <w:r>
        <w:rPr>
          <w:rFonts w:asciiTheme="minorHAnsi" w:eastAsia="TimesNewRoman" w:hAnsiTheme="minorHAnsi" w:cs="TimesNewRoman"/>
        </w:rPr>
        <w:t xml:space="preserve">faecal </w:t>
      </w:r>
      <w:r w:rsidRPr="00EB7E0C">
        <w:rPr>
          <w:rFonts w:asciiTheme="minorHAnsi" w:eastAsia="TimesNewRoman" w:hAnsiTheme="minorHAnsi" w:cs="TimesNewRoman"/>
        </w:rPr>
        <w:t>calprotectin) demonstrated a significantly lower inflammatory burden among subjects who</w:t>
      </w:r>
      <w:r>
        <w:rPr>
          <w:rFonts w:asciiTheme="minorHAnsi" w:eastAsia="TimesNewRoman" w:hAnsiTheme="minorHAnsi" w:cs="TimesNewRoman"/>
        </w:rPr>
        <w:t xml:space="preserve"> </w:t>
      </w:r>
      <w:r w:rsidRPr="00EB7E0C">
        <w:rPr>
          <w:rFonts w:asciiTheme="minorHAnsi" w:eastAsia="TimesNewRoman" w:hAnsiTheme="minorHAnsi" w:cs="TimesNewRoman"/>
        </w:rPr>
        <w:t>continued maintenance ustekinumab.</w:t>
      </w:r>
    </w:p>
    <w:p w14:paraId="5FBA94D4" w14:textId="77777777" w:rsidR="00117231" w:rsidRPr="006843AA" w:rsidRDefault="00117231" w:rsidP="00117231">
      <w:pPr>
        <w:autoSpaceDE w:val="0"/>
        <w:autoSpaceDN w:val="0"/>
        <w:adjustRightInd w:val="0"/>
        <w:spacing w:before="0" w:line="240" w:lineRule="auto"/>
        <w:rPr>
          <w:rFonts w:asciiTheme="minorHAnsi" w:eastAsiaTheme="minorHAnsi" w:hAnsiTheme="minorHAnsi" w:cs="TimesNewRoman,Bold"/>
          <w:bCs/>
        </w:rPr>
      </w:pPr>
      <w:r>
        <w:rPr>
          <w:rFonts w:asciiTheme="minorHAnsi" w:eastAsia="TimesNewRoman" w:hAnsiTheme="minorHAnsi" w:cs="TimesNewRoman"/>
        </w:rPr>
        <w:lastRenderedPageBreak/>
        <w:t xml:space="preserve">The </w:t>
      </w:r>
      <w:r w:rsidRPr="006843AA">
        <w:rPr>
          <w:rFonts w:asciiTheme="minorHAnsi" w:eastAsia="TimesNewRoman" w:hAnsiTheme="minorHAnsi" w:cs="TimesNewRoman"/>
        </w:rPr>
        <w:t xml:space="preserve">following results provide evidence to support the </w:t>
      </w:r>
      <w:r w:rsidRPr="006843AA">
        <w:rPr>
          <w:rFonts w:asciiTheme="minorHAnsi" w:eastAsiaTheme="minorHAnsi" w:hAnsiTheme="minorHAnsi" w:cs="TimesNewRoman,Bold"/>
          <w:bCs/>
        </w:rPr>
        <w:t>90 mg q8w as the primary maintenance ustekinumab dose</w:t>
      </w:r>
      <w:r>
        <w:rPr>
          <w:rFonts w:asciiTheme="minorHAnsi" w:eastAsiaTheme="minorHAnsi" w:hAnsiTheme="minorHAnsi" w:cs="TimesNewRoman,Bold"/>
          <w:bCs/>
        </w:rPr>
        <w:t>:</w:t>
      </w:r>
    </w:p>
    <w:p w14:paraId="13EC8433" w14:textId="2E91B935" w:rsidR="00117231" w:rsidRDefault="00117231" w:rsidP="002D5ED1">
      <w:pPr>
        <w:pStyle w:val="ListBullet"/>
      </w:pPr>
      <w:r w:rsidRPr="00EB7E0C">
        <w:t>While efficacy was observed with both the q12w and q8w regimens compared with placebo, the</w:t>
      </w:r>
      <w:r>
        <w:t xml:space="preserve"> </w:t>
      </w:r>
      <w:r w:rsidRPr="00EB7E0C">
        <w:t>magnitude of benefit was greater for the q8w dosing regimen for many endpoints including</w:t>
      </w:r>
      <w:r>
        <w:t xml:space="preserve"> </w:t>
      </w:r>
      <w:r w:rsidRPr="00EB7E0C">
        <w:t>improvements in signs and symptoms and patient reported outcomes. The distinction between</w:t>
      </w:r>
      <w:r>
        <w:t xml:space="preserve"> </w:t>
      </w:r>
      <w:r w:rsidRPr="00EB7E0C">
        <w:t>q8w and q12w dosing was more apparent in parameters evaluating the more clinically relevant</w:t>
      </w:r>
      <w:r>
        <w:t xml:space="preserve"> </w:t>
      </w:r>
      <w:r w:rsidRPr="00EB7E0C">
        <w:t>stringent endpoints of remission (</w:t>
      </w:r>
      <w:r w:rsidR="002D5ED1">
        <w:t>such as</w:t>
      </w:r>
      <w:r w:rsidRPr="00EB7E0C">
        <w:t xml:space="preserve"> remission, especially in TNF antagonist naïve subjects,</w:t>
      </w:r>
      <w:r>
        <w:t xml:space="preserve"> </w:t>
      </w:r>
      <w:r w:rsidRPr="00EB7E0C">
        <w:t>remission in remitters, steroid-free remission, and sustained remission) with differences ranging</w:t>
      </w:r>
      <w:r>
        <w:t xml:space="preserve"> </w:t>
      </w:r>
      <w:r w:rsidRPr="00EB7E0C">
        <w:t>from approximately 4% to 10%. For example, higher proportions of subjects achieved clinical</w:t>
      </w:r>
      <w:r>
        <w:t xml:space="preserve"> </w:t>
      </w:r>
      <w:r w:rsidRPr="00EB7E0C">
        <w:t>remission (53.1%) or were in sustained clinical remission (46.1%) with q8w than with q12w</w:t>
      </w:r>
      <w:r>
        <w:t xml:space="preserve"> </w:t>
      </w:r>
      <w:r w:rsidRPr="00EB7E0C">
        <w:t>(48.8%, 40.3% respectively) administration. Additionally, all sensitivity analyses except the worst case remained significant for the</w:t>
      </w:r>
      <w:r>
        <w:t xml:space="preserve"> </w:t>
      </w:r>
      <w:r w:rsidRPr="00EB7E0C">
        <w:t>q8w dosing regimen, indicating robustness for the primary endpoint of clinical remission for q8w</w:t>
      </w:r>
      <w:r>
        <w:t xml:space="preserve"> </w:t>
      </w:r>
      <w:r w:rsidRPr="00EB7E0C">
        <w:t>v</w:t>
      </w:r>
      <w:r w:rsidR="00516729">
        <w:t>ersu</w:t>
      </w:r>
      <w:r w:rsidRPr="00EB7E0C">
        <w:t>s placebo. These sensitivity analyses were not consistently robust for the q12w regimen, though</w:t>
      </w:r>
      <w:r>
        <w:t xml:space="preserve"> </w:t>
      </w:r>
      <w:r w:rsidRPr="00EB7E0C">
        <w:t>the results trended in the same direction, with generally similar treatment effects.</w:t>
      </w:r>
    </w:p>
    <w:p w14:paraId="739863AD" w14:textId="77777777" w:rsidR="00117231" w:rsidRPr="004E1FCD" w:rsidRDefault="00117231" w:rsidP="002D5ED1">
      <w:pPr>
        <w:pStyle w:val="ListBullet"/>
        <w:rPr>
          <w:rFonts w:eastAsiaTheme="minorHAnsi" w:cs="ArialMT"/>
        </w:rPr>
      </w:pPr>
      <w:r w:rsidRPr="004E1FCD">
        <w:t>QOL effects greater with q8w dosing: proportions of subjects with at least a 16-point</w:t>
      </w:r>
      <w:r>
        <w:t xml:space="preserve"> </w:t>
      </w:r>
      <w:r w:rsidRPr="004E1FCD">
        <w:t>improvement in IBDQ score, a threshold widely considered clinically meaningful, was</w:t>
      </w:r>
      <w:r>
        <w:t xml:space="preserve"> </w:t>
      </w:r>
      <w:r w:rsidRPr="004E1FCD">
        <w:t>significantly better than placebo for q8w administration (67.9% v</w:t>
      </w:r>
      <w:r w:rsidR="005A36B3">
        <w:t>ersu</w:t>
      </w:r>
      <w:r w:rsidRPr="004E1FCD">
        <w:t>s 50.4%, p=0.014), but only</w:t>
      </w:r>
      <w:r>
        <w:t xml:space="preserve"> </w:t>
      </w:r>
      <w:r w:rsidRPr="004E1FCD">
        <w:t>numerically better than placebo at q12w maintenance intervals (61.3% v</w:t>
      </w:r>
      <w:r w:rsidR="005A36B3">
        <w:t>ersu</w:t>
      </w:r>
      <w:r w:rsidRPr="004E1FCD">
        <w:t>s 50.4%; p=0.140).</w:t>
      </w:r>
      <w:r>
        <w:t xml:space="preserve"> </w:t>
      </w:r>
      <w:r w:rsidRPr="004E1FCD">
        <w:t>Similarly, a significantly greater proportion of subjects in the ustekinumab q8w group compared</w:t>
      </w:r>
      <w:r>
        <w:t xml:space="preserve"> </w:t>
      </w:r>
      <w:r w:rsidRPr="004E1FCD">
        <w:t>with placebo achieved clinically meaningful (≥5-point) improvement from baseline of this study</w:t>
      </w:r>
      <w:r>
        <w:t xml:space="preserve"> </w:t>
      </w:r>
      <w:r w:rsidRPr="00247506">
        <w:t xml:space="preserve">in </w:t>
      </w:r>
      <w:r w:rsidR="00FF4301" w:rsidRPr="008F37FC">
        <w:rPr>
          <w:rFonts w:asciiTheme="minorHAnsi" w:eastAsia="TimesNewRoman" w:hAnsiTheme="minorHAnsi" w:cs="Calibri"/>
        </w:rPr>
        <w:t>36-item Short Form Health Survey</w:t>
      </w:r>
      <w:r w:rsidR="00FF4301" w:rsidRPr="00247506">
        <w:t xml:space="preserve"> </w:t>
      </w:r>
      <w:r w:rsidR="00FF4301">
        <w:t>(</w:t>
      </w:r>
      <w:r w:rsidRPr="00247506">
        <w:t>SF-36</w:t>
      </w:r>
      <w:r w:rsidR="00FF4301">
        <w:t>)</w:t>
      </w:r>
      <w:r w:rsidRPr="00247506">
        <w:t xml:space="preserve"> </w:t>
      </w:r>
      <w:r w:rsidR="00FF4301" w:rsidRPr="008F37FC">
        <w:rPr>
          <w:rFonts w:asciiTheme="minorHAnsi" w:eastAsia="TimesNewRoman" w:hAnsiTheme="minorHAnsi" w:cs="Calibri"/>
        </w:rPr>
        <w:t>Physical Component Summary</w:t>
      </w:r>
      <w:r w:rsidR="00FF4301" w:rsidRPr="00247506">
        <w:t xml:space="preserve"> </w:t>
      </w:r>
      <w:r w:rsidR="00FF4301">
        <w:t>(</w:t>
      </w:r>
      <w:r w:rsidRPr="00247506">
        <w:t>PCS</w:t>
      </w:r>
      <w:r w:rsidR="00FF4301">
        <w:t>)</w:t>
      </w:r>
      <w:r w:rsidRPr="00247506">
        <w:t xml:space="preserve"> at Week</w:t>
      </w:r>
      <w:r w:rsidRPr="004E1FCD">
        <w:t xml:space="preserve"> 44 (52.1% v</w:t>
      </w:r>
      <w:r w:rsidR="005A36B3">
        <w:t>ersu</w:t>
      </w:r>
      <w:r w:rsidRPr="004E1FCD">
        <w:t>s 34.7%, p=0.008) while the q12w regimen was only</w:t>
      </w:r>
      <w:r>
        <w:t xml:space="preserve"> </w:t>
      </w:r>
      <w:r w:rsidRPr="004E1FCD">
        <w:t>numerically better than placebo (41.7% v</w:t>
      </w:r>
      <w:r w:rsidR="005A36B3">
        <w:t>ersu</w:t>
      </w:r>
      <w:r w:rsidRPr="004E1FCD">
        <w:t>s 34.7%, p=0.269).</w:t>
      </w:r>
    </w:p>
    <w:p w14:paraId="07B62EFE" w14:textId="77777777" w:rsidR="00815F43" w:rsidRDefault="00117231" w:rsidP="00117231">
      <w:pPr>
        <w:spacing w:line="240" w:lineRule="auto"/>
        <w:rPr>
          <w:rFonts w:asciiTheme="minorHAnsi" w:eastAsia="TimesNewRoman" w:hAnsiTheme="minorHAnsi" w:cs="TimesNewRoman"/>
        </w:rPr>
      </w:pPr>
      <w:r>
        <w:rPr>
          <w:rFonts w:asciiTheme="minorHAnsi" w:hAnsiTheme="minorHAnsi"/>
          <w:lang w:eastAsia="ja-JP"/>
        </w:rPr>
        <w:t>O</w:t>
      </w:r>
      <w:r w:rsidRPr="006843AA">
        <w:rPr>
          <w:rFonts w:asciiTheme="minorHAnsi" w:hAnsiTheme="minorHAnsi"/>
          <w:lang w:eastAsia="ja-JP"/>
        </w:rPr>
        <w:t>ther dosing strategies</w:t>
      </w:r>
      <w:r>
        <w:rPr>
          <w:rFonts w:asciiTheme="minorHAnsi" w:hAnsiTheme="minorHAnsi"/>
          <w:lang w:eastAsia="ja-JP"/>
        </w:rPr>
        <w:t xml:space="preserve"> were also evaluated in the Phase </w:t>
      </w:r>
      <w:r w:rsidR="005A36B3">
        <w:rPr>
          <w:rFonts w:asciiTheme="minorHAnsi" w:hAnsiTheme="minorHAnsi"/>
          <w:lang w:eastAsia="ja-JP"/>
        </w:rPr>
        <w:t>III</w:t>
      </w:r>
      <w:r>
        <w:rPr>
          <w:rFonts w:asciiTheme="minorHAnsi" w:hAnsiTheme="minorHAnsi"/>
          <w:lang w:eastAsia="ja-JP"/>
        </w:rPr>
        <w:t xml:space="preserve"> </w:t>
      </w:r>
      <w:r w:rsidR="00F221E4">
        <w:rPr>
          <w:rFonts w:asciiTheme="minorHAnsi" w:hAnsiTheme="minorHAnsi"/>
          <w:lang w:eastAsia="ja-JP"/>
        </w:rPr>
        <w:t>Study CR</w:t>
      </w:r>
      <w:r>
        <w:rPr>
          <w:rFonts w:asciiTheme="minorHAnsi" w:hAnsiTheme="minorHAnsi"/>
          <w:lang w:eastAsia="ja-JP"/>
        </w:rPr>
        <w:t>D3003. A</w:t>
      </w:r>
      <w:r w:rsidRPr="004E1FCD">
        <w:rPr>
          <w:rFonts w:asciiTheme="minorHAnsi" w:eastAsia="TimesNewRoman" w:hAnsiTheme="minorHAnsi" w:cs="TimesNewRoman"/>
        </w:rPr>
        <w:t>djustment from 90 mg q12w to 90 mg q8w specifically in subjects who dose</w:t>
      </w:r>
      <w:r>
        <w:rPr>
          <w:rFonts w:asciiTheme="minorHAnsi" w:eastAsia="TimesNewRoman" w:hAnsiTheme="minorHAnsi" w:cs="TimesNewRoman"/>
        </w:rPr>
        <w:t xml:space="preserve"> </w:t>
      </w:r>
      <w:r w:rsidRPr="004E1FCD">
        <w:rPr>
          <w:rFonts w:asciiTheme="minorHAnsi" w:eastAsia="TimesNewRoman" w:hAnsiTheme="minorHAnsi" w:cs="TimesNewRoman"/>
        </w:rPr>
        <w:t>adjusted (after meeting study loss of response criteria)</w:t>
      </w:r>
      <w:r>
        <w:rPr>
          <w:rFonts w:asciiTheme="minorHAnsi" w:eastAsia="TimesNewRoman" w:hAnsiTheme="minorHAnsi" w:cs="TimesNewRoman"/>
        </w:rPr>
        <w:t xml:space="preserve"> p</w:t>
      </w:r>
      <w:r w:rsidRPr="004E1FCD">
        <w:rPr>
          <w:rFonts w:asciiTheme="minorHAnsi" w:eastAsia="TimesNewRoman" w:hAnsiTheme="minorHAnsi" w:cs="TimesNewRoman"/>
        </w:rPr>
        <w:t>rovide</w:t>
      </w:r>
      <w:r>
        <w:rPr>
          <w:rFonts w:asciiTheme="minorHAnsi" w:eastAsia="TimesNewRoman" w:hAnsiTheme="minorHAnsi" w:cs="TimesNewRoman"/>
        </w:rPr>
        <w:t>d</w:t>
      </w:r>
      <w:r w:rsidRPr="004E1FCD">
        <w:rPr>
          <w:rFonts w:asciiTheme="minorHAnsi" w:eastAsia="TimesNewRoman" w:hAnsiTheme="minorHAnsi" w:cs="TimesNewRoman"/>
        </w:rPr>
        <w:t xml:space="preserve"> additional clinical</w:t>
      </w:r>
      <w:r>
        <w:rPr>
          <w:rFonts w:asciiTheme="minorHAnsi" w:eastAsia="TimesNewRoman" w:hAnsiTheme="minorHAnsi" w:cs="TimesNewRoman"/>
        </w:rPr>
        <w:t xml:space="preserve"> </w:t>
      </w:r>
      <w:r w:rsidRPr="004E1FCD">
        <w:rPr>
          <w:rFonts w:asciiTheme="minorHAnsi" w:eastAsia="TimesNewRoman" w:hAnsiTheme="minorHAnsi" w:cs="TimesNewRoman"/>
        </w:rPr>
        <w:t>benefit: clinical response was recaptured in 55.2% of these subjects, clinical remission in 41.4%</w:t>
      </w:r>
      <w:r>
        <w:rPr>
          <w:rFonts w:asciiTheme="minorHAnsi" w:eastAsia="TimesNewRoman" w:hAnsiTheme="minorHAnsi" w:cs="TimesNewRoman"/>
        </w:rPr>
        <w:t xml:space="preserve"> </w:t>
      </w:r>
      <w:r w:rsidRPr="004E1FCD">
        <w:rPr>
          <w:rFonts w:asciiTheme="minorHAnsi" w:eastAsia="TimesNewRoman" w:hAnsiTheme="minorHAnsi" w:cs="TimesNewRoman"/>
        </w:rPr>
        <w:t>and median change in CDAI improved by 141.0 points when assessed 16 weeks later.</w:t>
      </w:r>
      <w:r>
        <w:rPr>
          <w:rFonts w:asciiTheme="minorHAnsi" w:eastAsia="TimesNewRoman" w:hAnsiTheme="minorHAnsi" w:cs="TimesNewRoman"/>
        </w:rPr>
        <w:t xml:space="preserve"> </w:t>
      </w:r>
      <w:r w:rsidRPr="004E1FCD">
        <w:rPr>
          <w:rFonts w:asciiTheme="minorHAnsi" w:eastAsia="TimesNewRoman" w:hAnsiTheme="minorHAnsi" w:cs="TimesNewRoman"/>
        </w:rPr>
        <w:t>Improvement upon q12w to q8w dose adjustment was numerically better than that observed for</w:t>
      </w:r>
      <w:r>
        <w:rPr>
          <w:rFonts w:asciiTheme="minorHAnsi" w:eastAsia="TimesNewRoman" w:hAnsiTheme="minorHAnsi" w:cs="TimesNewRoman"/>
        </w:rPr>
        <w:t xml:space="preserve"> </w:t>
      </w:r>
      <w:r w:rsidRPr="004E1FCD">
        <w:rPr>
          <w:rFonts w:asciiTheme="minorHAnsi" w:eastAsia="TimesNewRoman" w:hAnsiTheme="minorHAnsi" w:cs="TimesNewRoman"/>
        </w:rPr>
        <w:t>subjects remaining on q8w after meeting loss of response criteria for dose adjustment (q8w to</w:t>
      </w:r>
      <w:r>
        <w:rPr>
          <w:rFonts w:asciiTheme="minorHAnsi" w:eastAsia="TimesNewRoman" w:hAnsiTheme="minorHAnsi" w:cs="TimesNewRoman"/>
        </w:rPr>
        <w:t xml:space="preserve"> </w:t>
      </w:r>
      <w:r w:rsidRPr="004E1FCD">
        <w:rPr>
          <w:rFonts w:asciiTheme="minorHAnsi" w:eastAsia="TimesNewRoman" w:hAnsiTheme="minorHAnsi" w:cs="TimesNewRoman"/>
        </w:rPr>
        <w:t>q8w).</w:t>
      </w:r>
      <w:r>
        <w:rPr>
          <w:rFonts w:asciiTheme="minorHAnsi" w:eastAsia="TimesNewRoman" w:hAnsiTheme="minorHAnsi" w:cs="TimesNewRoman"/>
        </w:rPr>
        <w:t xml:space="preserve"> However, interpretation of these results was limited by small number of patients (n=29) who adjusted from q12w to q8w dosing. In am a</w:t>
      </w:r>
      <w:r w:rsidRPr="004E1FCD">
        <w:rPr>
          <w:rFonts w:asciiTheme="minorHAnsi" w:eastAsia="TimesNewRoman" w:hAnsiTheme="minorHAnsi" w:cs="TimesNewRoman"/>
        </w:rPr>
        <w:t>nalyses of actual observed data over</w:t>
      </w:r>
      <w:r>
        <w:rPr>
          <w:rFonts w:asciiTheme="minorHAnsi" w:eastAsia="TimesNewRoman" w:hAnsiTheme="minorHAnsi" w:cs="TimesNewRoman"/>
        </w:rPr>
        <w:t xml:space="preserve"> </w:t>
      </w:r>
      <w:r w:rsidRPr="004E1FCD">
        <w:rPr>
          <w:rFonts w:asciiTheme="minorHAnsi" w:eastAsia="TimesNewRoman" w:hAnsiTheme="minorHAnsi" w:cs="TimesNewRoman"/>
        </w:rPr>
        <w:t>time (</w:t>
      </w:r>
      <w:r w:rsidR="005A36B3">
        <w:rPr>
          <w:rFonts w:asciiTheme="minorHAnsi" w:eastAsia="TimesNewRoman" w:hAnsiTheme="minorHAnsi" w:cs="TimesNewRoman"/>
        </w:rPr>
        <w:t>that is,</w:t>
      </w:r>
      <w:r w:rsidRPr="004E1FCD">
        <w:rPr>
          <w:rFonts w:asciiTheme="minorHAnsi" w:eastAsia="TimesNewRoman" w:hAnsiTheme="minorHAnsi" w:cs="TimesNewRoman"/>
        </w:rPr>
        <w:t xml:space="preserve"> not considering subjects who dose adjust as treatment failures) </w:t>
      </w:r>
      <w:r>
        <w:rPr>
          <w:rFonts w:asciiTheme="minorHAnsi" w:eastAsia="TimesNewRoman" w:hAnsiTheme="minorHAnsi" w:cs="TimesNewRoman"/>
        </w:rPr>
        <w:t xml:space="preserve">which </w:t>
      </w:r>
      <w:r w:rsidRPr="004E1FCD">
        <w:rPr>
          <w:rFonts w:asciiTheme="minorHAnsi" w:eastAsia="TimesNewRoman" w:hAnsiTheme="minorHAnsi" w:cs="TimesNewRoman"/>
        </w:rPr>
        <w:t>allowed for an as</w:t>
      </w:r>
      <w:r>
        <w:rPr>
          <w:rFonts w:asciiTheme="minorHAnsi" w:eastAsia="TimesNewRoman" w:hAnsiTheme="minorHAnsi" w:cs="TimesNewRoman"/>
        </w:rPr>
        <w:t>-</w:t>
      </w:r>
      <w:r w:rsidRPr="004E1FCD">
        <w:rPr>
          <w:rFonts w:asciiTheme="minorHAnsi" w:eastAsia="TimesNewRoman" w:hAnsiTheme="minorHAnsi" w:cs="TimesNewRoman"/>
        </w:rPr>
        <w:t>random</w:t>
      </w:r>
      <w:r>
        <w:rPr>
          <w:rFonts w:asciiTheme="minorHAnsi" w:eastAsia="TimesNewRoman" w:hAnsiTheme="minorHAnsi" w:cs="TimesNewRoman"/>
        </w:rPr>
        <w:t>is</w:t>
      </w:r>
      <w:r w:rsidRPr="004E1FCD">
        <w:rPr>
          <w:rFonts w:asciiTheme="minorHAnsi" w:eastAsia="TimesNewRoman" w:hAnsiTheme="minorHAnsi" w:cs="TimesNewRoman"/>
        </w:rPr>
        <w:t>ed</w:t>
      </w:r>
      <w:r>
        <w:rPr>
          <w:rFonts w:asciiTheme="minorHAnsi" w:eastAsia="TimesNewRoman" w:hAnsiTheme="minorHAnsi" w:cs="TimesNewRoman"/>
        </w:rPr>
        <w:t xml:space="preserve"> </w:t>
      </w:r>
      <w:r w:rsidRPr="004E1FCD">
        <w:rPr>
          <w:rFonts w:asciiTheme="minorHAnsi" w:eastAsia="TimesNewRoman" w:hAnsiTheme="minorHAnsi" w:cs="TimesNewRoman"/>
        </w:rPr>
        <w:t>comparison of a q8w only strate</w:t>
      </w:r>
      <w:r>
        <w:rPr>
          <w:rFonts w:asciiTheme="minorHAnsi" w:eastAsia="TimesNewRoman" w:hAnsiTheme="minorHAnsi" w:cs="TimesNewRoman"/>
        </w:rPr>
        <w:t xml:space="preserve">gy versus q12w to q8w strategy, the </w:t>
      </w:r>
      <w:r w:rsidRPr="004E1FCD">
        <w:rPr>
          <w:rFonts w:asciiTheme="minorHAnsi" w:eastAsia="TimesNewRoman" w:hAnsiTheme="minorHAnsi" w:cs="TimesNewRoman"/>
        </w:rPr>
        <w:t>key efficacy</w:t>
      </w:r>
      <w:r>
        <w:rPr>
          <w:rFonts w:asciiTheme="minorHAnsi" w:eastAsia="TimesNewRoman" w:hAnsiTheme="minorHAnsi" w:cs="TimesNewRoman"/>
        </w:rPr>
        <w:t xml:space="preserve"> </w:t>
      </w:r>
      <w:r w:rsidRPr="004E1FCD">
        <w:rPr>
          <w:rFonts w:asciiTheme="minorHAnsi" w:eastAsia="TimesNewRoman" w:hAnsiTheme="minorHAnsi" w:cs="TimesNewRoman"/>
        </w:rPr>
        <w:t>measures of clinical remission and clinical response</w:t>
      </w:r>
      <w:r>
        <w:rPr>
          <w:rFonts w:asciiTheme="minorHAnsi" w:eastAsia="TimesNewRoman" w:hAnsiTheme="minorHAnsi" w:cs="TimesNewRoman"/>
        </w:rPr>
        <w:t xml:space="preserve"> were similar for the </w:t>
      </w:r>
      <w:r w:rsidRPr="004E1FCD">
        <w:rPr>
          <w:rFonts w:asciiTheme="minorHAnsi" w:eastAsia="TimesNewRoman" w:hAnsiTheme="minorHAnsi" w:cs="TimesNewRoman"/>
        </w:rPr>
        <w:t xml:space="preserve">q12w to q8w </w:t>
      </w:r>
      <w:r>
        <w:rPr>
          <w:rFonts w:asciiTheme="minorHAnsi" w:eastAsia="TimesNewRoman" w:hAnsiTheme="minorHAnsi" w:cs="TimesNewRoman"/>
        </w:rPr>
        <w:t>dosing regimens.</w:t>
      </w:r>
    </w:p>
    <w:p w14:paraId="612EAC42" w14:textId="19533582" w:rsidR="00117231" w:rsidRDefault="00117231" w:rsidP="00117231">
      <w:pPr>
        <w:autoSpaceDE w:val="0"/>
        <w:autoSpaceDN w:val="0"/>
        <w:adjustRightInd w:val="0"/>
        <w:spacing w:before="0" w:line="240" w:lineRule="auto"/>
        <w:rPr>
          <w:rFonts w:asciiTheme="minorHAnsi" w:eastAsia="TimesNewRoman" w:hAnsiTheme="minorHAnsi" w:cs="TimesNewRoman"/>
        </w:rPr>
      </w:pPr>
      <w:r w:rsidRPr="00E274D7">
        <w:rPr>
          <w:rFonts w:asciiTheme="minorHAnsi" w:eastAsia="TimesNewRoman" w:hAnsiTheme="minorHAnsi" w:cs="TimesNewRoman"/>
        </w:rPr>
        <w:t xml:space="preserve">Subgroup Analyses to Identify Subjects Appropriate for Initiation of Maintenance at q12w: </w:t>
      </w:r>
      <w:r>
        <w:rPr>
          <w:rFonts w:asciiTheme="minorHAnsi" w:eastAsia="TimesNewRoman" w:hAnsiTheme="minorHAnsi" w:cs="TimesNewRoman"/>
        </w:rPr>
        <w:t>S</w:t>
      </w:r>
      <w:r w:rsidRPr="004E1FCD">
        <w:rPr>
          <w:rFonts w:asciiTheme="minorHAnsi" w:eastAsia="TimesNewRoman" w:hAnsiTheme="minorHAnsi" w:cs="TimesNewRoman"/>
        </w:rPr>
        <w:t>ubjects above the median weight and with elevated inflammatory</w:t>
      </w:r>
      <w:r>
        <w:rPr>
          <w:rFonts w:asciiTheme="minorHAnsi" w:eastAsia="TimesNewRoman" w:hAnsiTheme="minorHAnsi" w:cs="TimesNewRoman"/>
        </w:rPr>
        <w:t xml:space="preserve"> </w:t>
      </w:r>
      <w:r w:rsidRPr="004E1FCD">
        <w:rPr>
          <w:rFonts w:asciiTheme="minorHAnsi" w:eastAsia="TimesNewRoman" w:hAnsiTheme="minorHAnsi" w:cs="TimesNewRoman"/>
        </w:rPr>
        <w:t>markers (at either induction or maintenance baseline) attained greater benefit compared with SC</w:t>
      </w:r>
      <w:r>
        <w:rPr>
          <w:rFonts w:asciiTheme="minorHAnsi" w:eastAsia="TimesNewRoman" w:hAnsiTheme="minorHAnsi" w:cs="TimesNewRoman"/>
        </w:rPr>
        <w:t xml:space="preserve"> </w:t>
      </w:r>
      <w:r w:rsidRPr="004E1FCD">
        <w:rPr>
          <w:rFonts w:asciiTheme="minorHAnsi" w:eastAsia="TimesNewRoman" w:hAnsiTheme="minorHAnsi" w:cs="TimesNewRoman"/>
        </w:rPr>
        <w:t>placebo for q8w dosing, compared to q12w, while the subgroups with low weight, and</w:t>
      </w:r>
      <w:r>
        <w:rPr>
          <w:rFonts w:asciiTheme="minorHAnsi" w:eastAsia="TimesNewRoman" w:hAnsiTheme="minorHAnsi" w:cs="TimesNewRoman"/>
        </w:rPr>
        <w:t xml:space="preserve"> </w:t>
      </w:r>
      <w:r w:rsidRPr="004E1FCD">
        <w:rPr>
          <w:rFonts w:asciiTheme="minorHAnsi" w:eastAsia="TimesNewRoman" w:hAnsiTheme="minorHAnsi" w:cs="TimesNewRoman"/>
        </w:rPr>
        <w:t>particularly those with low markers of inflammation did equally well on q12w. Further post-hoc</w:t>
      </w:r>
      <w:r>
        <w:rPr>
          <w:rFonts w:asciiTheme="minorHAnsi" w:eastAsia="TimesNewRoman" w:hAnsiTheme="minorHAnsi" w:cs="TimesNewRoman"/>
        </w:rPr>
        <w:t xml:space="preserve"> </w:t>
      </w:r>
      <w:r w:rsidRPr="004E1FCD">
        <w:rPr>
          <w:rFonts w:asciiTheme="minorHAnsi" w:eastAsia="TimesNewRoman" w:hAnsiTheme="minorHAnsi" w:cs="TimesNewRoman"/>
        </w:rPr>
        <w:t>analyses combining these factors suggested that higher inflammatory burden rather than weight</w:t>
      </w:r>
      <w:r>
        <w:rPr>
          <w:rFonts w:asciiTheme="minorHAnsi" w:eastAsia="TimesNewRoman" w:hAnsiTheme="minorHAnsi" w:cs="TimesNewRoman"/>
        </w:rPr>
        <w:t xml:space="preserve"> </w:t>
      </w:r>
      <w:r w:rsidRPr="004E1FCD">
        <w:rPr>
          <w:rFonts w:asciiTheme="minorHAnsi" w:eastAsia="TimesNewRoman" w:hAnsiTheme="minorHAnsi" w:cs="TimesNewRoman"/>
        </w:rPr>
        <w:t>was the more important factor and that subjects with low weight and particularly those with low</w:t>
      </w:r>
      <w:r>
        <w:rPr>
          <w:rFonts w:asciiTheme="minorHAnsi" w:eastAsia="TimesNewRoman" w:hAnsiTheme="minorHAnsi" w:cs="TimesNewRoman"/>
        </w:rPr>
        <w:t xml:space="preserve"> </w:t>
      </w:r>
      <w:r w:rsidRPr="004E1FCD">
        <w:rPr>
          <w:rFonts w:asciiTheme="minorHAnsi" w:eastAsia="TimesNewRoman" w:hAnsiTheme="minorHAnsi" w:cs="TimesNewRoman"/>
        </w:rPr>
        <w:t>markers of inflammation did equally well and showed no difference between q12w and q8w for</w:t>
      </w:r>
      <w:r>
        <w:rPr>
          <w:rFonts w:asciiTheme="minorHAnsi" w:eastAsia="TimesNewRoman" w:hAnsiTheme="minorHAnsi" w:cs="TimesNewRoman"/>
        </w:rPr>
        <w:t xml:space="preserve"> </w:t>
      </w:r>
      <w:r w:rsidRPr="004E1FCD">
        <w:rPr>
          <w:rFonts w:asciiTheme="minorHAnsi" w:eastAsia="TimesNewRoman" w:hAnsiTheme="minorHAnsi" w:cs="TimesNewRoman"/>
        </w:rPr>
        <w:t>all the key endpoints, whereas subjects with elevated inflammatory markers attained greater</w:t>
      </w:r>
      <w:r>
        <w:rPr>
          <w:rFonts w:asciiTheme="minorHAnsi" w:eastAsia="TimesNewRoman" w:hAnsiTheme="minorHAnsi" w:cs="TimesNewRoman"/>
        </w:rPr>
        <w:t xml:space="preserve"> </w:t>
      </w:r>
      <w:r w:rsidRPr="004E1FCD">
        <w:rPr>
          <w:rFonts w:asciiTheme="minorHAnsi" w:eastAsia="TimesNewRoman" w:hAnsiTheme="minorHAnsi" w:cs="TimesNewRoman"/>
        </w:rPr>
        <w:t>benefit for q8w dosing compared to q12w. These analyses suggest that subjects with low</w:t>
      </w:r>
      <w:r>
        <w:rPr>
          <w:rFonts w:asciiTheme="minorHAnsi" w:eastAsia="TimesNewRoman" w:hAnsiTheme="minorHAnsi" w:cs="TimesNewRoman"/>
        </w:rPr>
        <w:t xml:space="preserve"> </w:t>
      </w:r>
      <w:r w:rsidRPr="004E1FCD">
        <w:rPr>
          <w:rFonts w:asciiTheme="minorHAnsi" w:eastAsia="TimesNewRoman" w:hAnsiTheme="minorHAnsi" w:cs="TimesNewRoman"/>
        </w:rPr>
        <w:t>inflammatory burden could start on q12w regimen, with the caveat that they be able to dose</w:t>
      </w:r>
      <w:r>
        <w:rPr>
          <w:rFonts w:asciiTheme="minorHAnsi" w:eastAsia="TimesNewRoman" w:hAnsiTheme="minorHAnsi" w:cs="TimesNewRoman"/>
        </w:rPr>
        <w:t xml:space="preserve"> </w:t>
      </w:r>
      <w:r w:rsidRPr="004E1FCD">
        <w:rPr>
          <w:rFonts w:asciiTheme="minorHAnsi" w:eastAsia="TimesNewRoman" w:hAnsiTheme="minorHAnsi" w:cs="TimesNewRoman"/>
        </w:rPr>
        <w:t xml:space="preserve">adjust based on inadequate response to </w:t>
      </w:r>
      <w:r w:rsidRPr="004E1FCD">
        <w:rPr>
          <w:rFonts w:asciiTheme="minorHAnsi" w:eastAsia="TimesNewRoman" w:hAnsiTheme="minorHAnsi" w:cs="TimesNewRoman"/>
        </w:rPr>
        <w:lastRenderedPageBreak/>
        <w:t>q8w, as this is the best overall regimen. Meanwhile,</w:t>
      </w:r>
      <w:r>
        <w:rPr>
          <w:rFonts w:asciiTheme="minorHAnsi" w:eastAsia="TimesNewRoman" w:hAnsiTheme="minorHAnsi" w:cs="TimesNewRoman"/>
        </w:rPr>
        <w:t xml:space="preserve"> </w:t>
      </w:r>
      <w:r w:rsidRPr="004E1FCD">
        <w:rPr>
          <w:rFonts w:asciiTheme="minorHAnsi" w:eastAsia="TimesNewRoman" w:hAnsiTheme="minorHAnsi" w:cs="TimesNewRoman"/>
        </w:rPr>
        <w:t>subjects with a higher inflammatory burden (based upon pre- or post-treatment CRP or</w:t>
      </w:r>
      <w:r>
        <w:rPr>
          <w:rFonts w:asciiTheme="minorHAnsi" w:eastAsia="TimesNewRoman" w:hAnsiTheme="minorHAnsi" w:cs="TimesNewRoman"/>
        </w:rPr>
        <w:t xml:space="preserve"> </w:t>
      </w:r>
      <w:r w:rsidRPr="004E1FCD">
        <w:rPr>
          <w:rFonts w:asciiTheme="minorHAnsi" w:eastAsia="TimesNewRoman" w:hAnsiTheme="minorHAnsi" w:cs="TimesNewRoman"/>
        </w:rPr>
        <w:t xml:space="preserve">potentially </w:t>
      </w:r>
      <w:r>
        <w:rPr>
          <w:rFonts w:asciiTheme="minorHAnsi" w:eastAsia="TimesNewRoman" w:hAnsiTheme="minorHAnsi" w:cs="TimesNewRoman"/>
        </w:rPr>
        <w:t>faecal</w:t>
      </w:r>
      <w:r w:rsidRPr="004E1FCD">
        <w:rPr>
          <w:rFonts w:asciiTheme="minorHAnsi" w:eastAsia="TimesNewRoman" w:hAnsiTheme="minorHAnsi" w:cs="TimesNewRoman"/>
        </w:rPr>
        <w:t xml:space="preserve"> calprotectin), should be always started on q8w given the substantially better</w:t>
      </w:r>
      <w:r>
        <w:rPr>
          <w:rFonts w:asciiTheme="minorHAnsi" w:eastAsia="TimesNewRoman" w:hAnsiTheme="minorHAnsi" w:cs="TimesNewRoman"/>
        </w:rPr>
        <w:t xml:space="preserve"> </w:t>
      </w:r>
      <w:r w:rsidRPr="004E1FCD">
        <w:rPr>
          <w:rFonts w:asciiTheme="minorHAnsi" w:eastAsia="TimesNewRoman" w:hAnsiTheme="minorHAnsi" w:cs="TimesNewRoman"/>
        </w:rPr>
        <w:t>efficacy seen for these subjects on q8w.</w:t>
      </w:r>
      <w:r>
        <w:rPr>
          <w:rFonts w:asciiTheme="minorHAnsi" w:eastAsia="TimesNewRoman" w:hAnsiTheme="minorHAnsi" w:cs="TimesNewRoman"/>
        </w:rPr>
        <w:t xml:space="preserve"> </w:t>
      </w:r>
      <w:r w:rsidRPr="004E1FCD">
        <w:rPr>
          <w:rFonts w:asciiTheme="minorHAnsi" w:eastAsia="TimesNewRoman" w:hAnsiTheme="minorHAnsi" w:cs="TimesNewRoman"/>
        </w:rPr>
        <w:t xml:space="preserve">Given that not all patients with low inflammatory burden will achieve high levels of </w:t>
      </w:r>
      <w:r>
        <w:rPr>
          <w:rFonts w:asciiTheme="minorHAnsi" w:eastAsia="TimesNewRoman" w:hAnsiTheme="minorHAnsi" w:cs="TimesNewRoman"/>
        </w:rPr>
        <w:t>e</w:t>
      </w:r>
      <w:r w:rsidRPr="004E1FCD">
        <w:rPr>
          <w:rFonts w:asciiTheme="minorHAnsi" w:eastAsia="TimesNewRoman" w:hAnsiTheme="minorHAnsi" w:cs="TimesNewRoman"/>
        </w:rPr>
        <w:t>fficacy with q12w dosing,</w:t>
      </w:r>
      <w:r>
        <w:rPr>
          <w:rFonts w:asciiTheme="minorHAnsi" w:eastAsia="TimesNewRoman" w:hAnsiTheme="minorHAnsi" w:cs="TimesNewRoman"/>
        </w:rPr>
        <w:t xml:space="preserve"> </w:t>
      </w:r>
      <w:r w:rsidRPr="004E1FCD">
        <w:rPr>
          <w:rFonts w:asciiTheme="minorHAnsi" w:eastAsia="TimesNewRoman" w:hAnsiTheme="minorHAnsi" w:cs="TimesNewRoman"/>
        </w:rPr>
        <w:t>the ability to dose adjust as described above, would provide additional assurance that patients</w:t>
      </w:r>
      <w:r>
        <w:rPr>
          <w:rFonts w:asciiTheme="minorHAnsi" w:eastAsia="TimesNewRoman" w:hAnsiTheme="minorHAnsi" w:cs="TimesNewRoman"/>
        </w:rPr>
        <w:t xml:space="preserve"> </w:t>
      </w:r>
      <w:r w:rsidRPr="004E1FCD">
        <w:rPr>
          <w:rFonts w:asciiTheme="minorHAnsi" w:eastAsia="TimesNewRoman" w:hAnsiTheme="minorHAnsi" w:cs="TimesNewRoman"/>
        </w:rPr>
        <w:t>have every opportunity to achieve maximal response with ustekinumab therapy.</w:t>
      </w:r>
    </w:p>
    <w:p w14:paraId="56933F6F" w14:textId="77777777" w:rsidR="00117231" w:rsidRDefault="00117231" w:rsidP="00117231">
      <w:pPr>
        <w:autoSpaceDE w:val="0"/>
        <w:autoSpaceDN w:val="0"/>
        <w:adjustRightInd w:val="0"/>
        <w:spacing w:before="0" w:line="240" w:lineRule="auto"/>
        <w:rPr>
          <w:rFonts w:asciiTheme="minorHAnsi" w:eastAsia="TimesNewRoman" w:hAnsiTheme="minorHAnsi" w:cs="TimesNewRoman"/>
        </w:rPr>
      </w:pPr>
      <w:r w:rsidRPr="00AF60E8">
        <w:rPr>
          <w:rFonts w:asciiTheme="minorHAnsi" w:eastAsia="TimesNewRoman" w:hAnsiTheme="minorHAnsi" w:cs="TimesNewRoman"/>
        </w:rPr>
        <w:t xml:space="preserve">For the </w:t>
      </w:r>
      <w:r>
        <w:rPr>
          <w:rFonts w:asciiTheme="minorHAnsi" w:eastAsia="TimesNewRoman" w:hAnsiTheme="minorHAnsi" w:cs="TimesNewRoman"/>
        </w:rPr>
        <w:t xml:space="preserve">467 </w:t>
      </w:r>
      <w:r w:rsidRPr="00AF60E8">
        <w:rPr>
          <w:rFonts w:asciiTheme="minorHAnsi" w:eastAsia="TimesNewRoman" w:hAnsiTheme="minorHAnsi" w:cs="TimesNewRoman"/>
        </w:rPr>
        <w:t xml:space="preserve">subjects not in clinical response at </w:t>
      </w:r>
      <w:r w:rsidR="005A36B3">
        <w:rPr>
          <w:rFonts w:asciiTheme="minorHAnsi" w:eastAsia="TimesNewRoman" w:hAnsiTheme="minorHAnsi" w:cs="TimesNewRoman"/>
        </w:rPr>
        <w:t>W</w:t>
      </w:r>
      <w:r w:rsidRPr="00AF60E8">
        <w:rPr>
          <w:rFonts w:asciiTheme="minorHAnsi" w:eastAsia="TimesNewRoman" w:hAnsiTheme="minorHAnsi" w:cs="TimesNewRoman"/>
        </w:rPr>
        <w:t xml:space="preserve">eek 8 following ustekinumab IV induction dosing, more than half achieved clinical response 8 weeks later (16 weeks after IV induction) after receiving an additional ustekinumab 90 mg SC dose at </w:t>
      </w:r>
      <w:r w:rsidR="005A36B3">
        <w:rPr>
          <w:rFonts w:asciiTheme="minorHAnsi" w:eastAsia="TimesNewRoman" w:hAnsiTheme="minorHAnsi" w:cs="TimesNewRoman"/>
        </w:rPr>
        <w:t>W</w:t>
      </w:r>
      <w:r w:rsidRPr="00AF60E8">
        <w:rPr>
          <w:rFonts w:asciiTheme="minorHAnsi" w:eastAsia="TimesNewRoman" w:hAnsiTheme="minorHAnsi" w:cs="TimesNewRoman"/>
        </w:rPr>
        <w:t>eek 8. Of those subjects who subsequently continued on ustekinumab maintenance (receiving 90 mg q8w), 68.1% maintained clinical response and 50.2% were in clinical remission at Week 44</w:t>
      </w:r>
      <w:r>
        <w:rPr>
          <w:rFonts w:asciiTheme="minorHAnsi" w:eastAsia="TimesNewRoman" w:hAnsiTheme="minorHAnsi" w:cs="TimesNewRoman"/>
        </w:rPr>
        <w:t>. T</w:t>
      </w:r>
      <w:r w:rsidRPr="00AF60E8">
        <w:rPr>
          <w:rFonts w:asciiTheme="minorHAnsi" w:eastAsia="TimesNewRoman" w:hAnsiTheme="minorHAnsi" w:cs="TimesNewRoman"/>
        </w:rPr>
        <w:t>he</w:t>
      </w:r>
      <w:r>
        <w:rPr>
          <w:rFonts w:asciiTheme="minorHAnsi" w:eastAsia="TimesNewRoman" w:hAnsiTheme="minorHAnsi" w:cs="TimesNewRoman"/>
        </w:rPr>
        <w:t>se</w:t>
      </w:r>
      <w:r w:rsidRPr="00AF60E8">
        <w:rPr>
          <w:rFonts w:asciiTheme="minorHAnsi" w:eastAsia="TimesNewRoman" w:hAnsiTheme="minorHAnsi" w:cs="TimesNewRoman"/>
        </w:rPr>
        <w:t xml:space="preserve"> results </w:t>
      </w:r>
      <w:r>
        <w:rPr>
          <w:rFonts w:asciiTheme="minorHAnsi" w:eastAsia="TimesNewRoman" w:hAnsiTheme="minorHAnsi" w:cs="TimesNewRoman"/>
        </w:rPr>
        <w:t xml:space="preserve">suggest that it may be </w:t>
      </w:r>
      <w:r w:rsidRPr="00E274D7">
        <w:rPr>
          <w:rFonts w:asciiTheme="minorHAnsi" w:eastAsia="TimesNewRoman" w:hAnsiTheme="minorHAnsi" w:cs="TimesNewRoman"/>
        </w:rPr>
        <w:t xml:space="preserve">appropriate to wait until 16 weeks after initiation of IV induction (with an additional SC 90 mg dose at Week 8) to make the ultimate assessment of efficacy and a decision on continuation of treatment. However, </w:t>
      </w:r>
      <w:r>
        <w:rPr>
          <w:rFonts w:asciiTheme="minorHAnsi" w:eastAsia="TimesNewRoman" w:hAnsiTheme="minorHAnsi" w:cs="TimesNewRoman"/>
        </w:rPr>
        <w:t>interpretation was again limited due to uncontrolled analysis in non-randomised subjects</w:t>
      </w:r>
      <w:r w:rsidRPr="00AF60E8">
        <w:rPr>
          <w:rFonts w:asciiTheme="minorHAnsi" w:eastAsia="TimesNewRoman" w:hAnsiTheme="minorHAnsi" w:cs="TimesNewRoman"/>
        </w:rPr>
        <w:t>.</w:t>
      </w:r>
    </w:p>
    <w:p w14:paraId="69F56EE5" w14:textId="77777777" w:rsidR="00117231" w:rsidRDefault="00117231" w:rsidP="00117231">
      <w:pPr>
        <w:autoSpaceDE w:val="0"/>
        <w:autoSpaceDN w:val="0"/>
        <w:adjustRightInd w:val="0"/>
        <w:spacing w:before="0" w:line="240" w:lineRule="auto"/>
        <w:rPr>
          <w:rFonts w:asciiTheme="minorHAnsi" w:eastAsia="TimesNewRoman" w:hAnsiTheme="minorHAnsi" w:cs="TimesNewRoman"/>
        </w:rPr>
      </w:pPr>
      <w:r w:rsidRPr="00AF60E8">
        <w:rPr>
          <w:rFonts w:asciiTheme="minorHAnsi" w:eastAsia="TimesNewRoman" w:hAnsiTheme="minorHAnsi" w:cs="TimesNewRoman"/>
        </w:rPr>
        <w:t>Among ustekinumab IV induction responder-primary population subjects random</w:t>
      </w:r>
      <w:r>
        <w:rPr>
          <w:rFonts w:asciiTheme="minorHAnsi" w:eastAsia="TimesNewRoman" w:hAnsiTheme="minorHAnsi" w:cs="TimesNewRoman"/>
        </w:rPr>
        <w:t>is</w:t>
      </w:r>
      <w:r w:rsidRPr="00AF60E8">
        <w:rPr>
          <w:rFonts w:asciiTheme="minorHAnsi" w:eastAsia="TimesNewRoman" w:hAnsiTheme="minorHAnsi" w:cs="TimesNewRoman"/>
        </w:rPr>
        <w:t>ed to SC</w:t>
      </w:r>
      <w:r>
        <w:rPr>
          <w:rFonts w:asciiTheme="minorHAnsi" w:eastAsia="TimesNewRoman" w:hAnsiTheme="minorHAnsi" w:cs="TimesNewRoman"/>
        </w:rPr>
        <w:t xml:space="preserve"> </w:t>
      </w:r>
      <w:r w:rsidRPr="00AF60E8">
        <w:rPr>
          <w:rFonts w:asciiTheme="minorHAnsi" w:eastAsia="TimesNewRoman" w:hAnsiTheme="minorHAnsi" w:cs="TimesNewRoman"/>
        </w:rPr>
        <w:t>placebo, initiation of maintenance with ustekinumab treatment at 90 mg SC q8w re-captured</w:t>
      </w:r>
      <w:r>
        <w:rPr>
          <w:rFonts w:asciiTheme="minorHAnsi" w:eastAsia="TimesNewRoman" w:hAnsiTheme="minorHAnsi" w:cs="TimesNewRoman"/>
        </w:rPr>
        <w:t xml:space="preserve"> </w:t>
      </w:r>
      <w:r w:rsidRPr="00AF60E8">
        <w:rPr>
          <w:rFonts w:asciiTheme="minorHAnsi" w:eastAsia="TimesNewRoman" w:hAnsiTheme="minorHAnsi" w:cs="TimesNewRoman"/>
        </w:rPr>
        <w:t>more than 70% of subjects who lost response, achieved clinical remission in 39.2% of subjects</w:t>
      </w:r>
      <w:r>
        <w:rPr>
          <w:rFonts w:asciiTheme="minorHAnsi" w:eastAsia="TimesNewRoman" w:hAnsiTheme="minorHAnsi" w:cs="TimesNewRoman"/>
        </w:rPr>
        <w:t xml:space="preserve"> </w:t>
      </w:r>
      <w:r w:rsidRPr="00AF60E8">
        <w:rPr>
          <w:rFonts w:asciiTheme="minorHAnsi" w:eastAsia="TimesNewRoman" w:hAnsiTheme="minorHAnsi" w:cs="TimesNewRoman"/>
        </w:rPr>
        <w:t>and achieved a median improvement in CDAI of 121.0 points when assessed 16 weeks after dose</w:t>
      </w:r>
      <w:r>
        <w:rPr>
          <w:rFonts w:asciiTheme="minorHAnsi" w:eastAsia="TimesNewRoman" w:hAnsiTheme="minorHAnsi" w:cs="TimesNewRoman"/>
        </w:rPr>
        <w:t xml:space="preserve"> </w:t>
      </w:r>
      <w:r w:rsidRPr="00AF60E8">
        <w:rPr>
          <w:rFonts w:asciiTheme="minorHAnsi" w:eastAsia="TimesNewRoman" w:hAnsiTheme="minorHAnsi" w:cs="TimesNewRoman"/>
        </w:rPr>
        <w:t>adjustment.</w:t>
      </w:r>
      <w:r>
        <w:rPr>
          <w:rFonts w:asciiTheme="minorHAnsi" w:eastAsia="TimesNewRoman" w:hAnsiTheme="minorHAnsi" w:cs="TimesNewRoman"/>
        </w:rPr>
        <w:t xml:space="preserve"> </w:t>
      </w:r>
      <w:r w:rsidRPr="00AF60E8">
        <w:rPr>
          <w:rFonts w:asciiTheme="minorHAnsi" w:eastAsia="TimesNewRoman" w:hAnsiTheme="minorHAnsi" w:cs="TimesNewRoman"/>
        </w:rPr>
        <w:t xml:space="preserve">This </w:t>
      </w:r>
      <w:r>
        <w:rPr>
          <w:rFonts w:asciiTheme="minorHAnsi" w:eastAsia="TimesNewRoman" w:hAnsiTheme="minorHAnsi" w:cs="TimesNewRoman"/>
        </w:rPr>
        <w:t xml:space="preserve">suggests that some </w:t>
      </w:r>
      <w:r w:rsidRPr="00AF60E8">
        <w:rPr>
          <w:rFonts w:asciiTheme="minorHAnsi" w:eastAsia="TimesNewRoman" w:hAnsiTheme="minorHAnsi" w:cs="TimesNewRoman"/>
        </w:rPr>
        <w:t>benefit can be regained in many patients after interruption of ustekinumab</w:t>
      </w:r>
      <w:r>
        <w:rPr>
          <w:rFonts w:asciiTheme="minorHAnsi" w:eastAsia="TimesNewRoman" w:hAnsiTheme="minorHAnsi" w:cs="TimesNewRoman"/>
        </w:rPr>
        <w:t xml:space="preserve"> </w:t>
      </w:r>
      <w:r w:rsidRPr="00AF60E8">
        <w:rPr>
          <w:rFonts w:asciiTheme="minorHAnsi" w:eastAsia="TimesNewRoman" w:hAnsiTheme="minorHAnsi" w:cs="TimesNewRoman"/>
        </w:rPr>
        <w:t>treatment</w:t>
      </w:r>
      <w:r>
        <w:rPr>
          <w:rFonts w:asciiTheme="minorHAnsi" w:eastAsia="TimesNewRoman" w:hAnsiTheme="minorHAnsi" w:cs="TimesNewRoman"/>
        </w:rPr>
        <w:t>. However, interpretation was again limited due to uncontrolled analysis in non-randomised subjects</w:t>
      </w:r>
      <w:r w:rsidRPr="00AF60E8">
        <w:rPr>
          <w:rFonts w:asciiTheme="minorHAnsi" w:eastAsia="TimesNewRoman" w:hAnsiTheme="minorHAnsi" w:cs="TimesNewRoman"/>
        </w:rPr>
        <w:t>.</w:t>
      </w:r>
    </w:p>
    <w:p w14:paraId="07AC44C6" w14:textId="77777777" w:rsidR="005A36B3" w:rsidRPr="005A36B3" w:rsidRDefault="00117231" w:rsidP="005A36B3">
      <w:pPr>
        <w:pStyle w:val="Heading4"/>
      </w:pPr>
      <w:r w:rsidRPr="005A36B3">
        <w:t>Comparison with other biologics approved for Crohn’s disease</w:t>
      </w:r>
    </w:p>
    <w:p w14:paraId="1957C8BF" w14:textId="77777777" w:rsidR="00815F43" w:rsidRDefault="00117231" w:rsidP="005A36B3">
      <w:pPr>
        <w:rPr>
          <w:color w:val="000000"/>
        </w:rPr>
      </w:pPr>
      <w:r w:rsidRPr="00DB61EF">
        <w:t xml:space="preserve">No direct comparator studies have been performed. </w:t>
      </w:r>
      <w:r>
        <w:t>R</w:t>
      </w:r>
      <w:r w:rsidRPr="00DB61EF">
        <w:t xml:space="preserve">eview of published literature from Phase </w:t>
      </w:r>
      <w:r w:rsidR="005A36B3">
        <w:t>III</w:t>
      </w:r>
      <w:r w:rsidRPr="00DB61EF">
        <w:t xml:space="preserve"> programs for</w:t>
      </w:r>
      <w:r>
        <w:t xml:space="preserve"> </w:t>
      </w:r>
      <w:r w:rsidRPr="00DB61EF">
        <w:t>biologics approved within the last 15 years including, where comparable data are available,</w:t>
      </w:r>
      <w:r>
        <w:t xml:space="preserve"> </w:t>
      </w:r>
      <w:r w:rsidR="005A36B3">
        <w:t xml:space="preserve">vedolizumab, adalimumab </w:t>
      </w:r>
      <w:r w:rsidRPr="00DB61EF">
        <w:t>and certolizumab pegol, suggest that the efficacy and safety of</w:t>
      </w:r>
      <w:r>
        <w:t xml:space="preserve"> </w:t>
      </w:r>
      <w:r w:rsidRPr="00DB61EF">
        <w:t>ustekinumab therapy compares favourably with these approved agents. Infliximab was the first</w:t>
      </w:r>
      <w:r>
        <w:t xml:space="preserve"> </w:t>
      </w:r>
      <w:r w:rsidRPr="00DB61EF">
        <w:t>biologic approved in Crohn’s disease and while it is widely used in Crohn’s disease, comparative</w:t>
      </w:r>
      <w:r>
        <w:t xml:space="preserve"> </w:t>
      </w:r>
      <w:r w:rsidRPr="00DB61EF">
        <w:t>data is limited to only anti-TNF-naïve populations.</w:t>
      </w:r>
      <w:r w:rsidRPr="00DB61EF">
        <w:rPr>
          <w:color w:val="000000"/>
        </w:rPr>
        <w:t xml:space="preserve"> Given the limitations of c</w:t>
      </w:r>
      <w:r>
        <w:rPr>
          <w:color w:val="000000"/>
        </w:rPr>
        <w:t xml:space="preserve">omparisons with infliximab, efficacy of ustekinumab induction and maintenance therapy is mainly compared with </w:t>
      </w:r>
      <w:r w:rsidRPr="00DB61EF">
        <w:rPr>
          <w:color w:val="000000"/>
        </w:rPr>
        <w:t>adalimumab, vedo</w:t>
      </w:r>
      <w:r>
        <w:rPr>
          <w:color w:val="000000"/>
        </w:rPr>
        <w:t xml:space="preserve">lizumab and certolizumab pegol. </w:t>
      </w:r>
      <w:r w:rsidRPr="00DB61EF">
        <w:rPr>
          <w:color w:val="000000"/>
        </w:rPr>
        <w:t xml:space="preserve">Data were </w:t>
      </w:r>
      <w:r w:rsidR="005A36B3">
        <w:rPr>
          <w:color w:val="000000"/>
        </w:rPr>
        <w:t>extracted from published Phase III</w:t>
      </w:r>
      <w:r w:rsidRPr="00DB61EF">
        <w:rPr>
          <w:color w:val="000000"/>
        </w:rPr>
        <w:t xml:space="preserve"> studies in the relevant</w:t>
      </w:r>
      <w:r>
        <w:rPr>
          <w:color w:val="000000"/>
        </w:rPr>
        <w:t xml:space="preserve"> </w:t>
      </w:r>
      <w:r w:rsidRPr="00DB61EF">
        <w:rPr>
          <w:color w:val="000000"/>
        </w:rPr>
        <w:t>patient populations comparing clinical response (100-point) and remission at time of primary</w:t>
      </w:r>
      <w:r>
        <w:rPr>
          <w:color w:val="000000"/>
        </w:rPr>
        <w:t xml:space="preserve"> </w:t>
      </w:r>
      <w:r w:rsidRPr="00DB61EF">
        <w:rPr>
          <w:color w:val="000000"/>
        </w:rPr>
        <w:t>endpoint</w:t>
      </w:r>
      <w:r>
        <w:rPr>
          <w:color w:val="000000"/>
        </w:rPr>
        <w:t>.</w:t>
      </w:r>
    </w:p>
    <w:p w14:paraId="3688B201" w14:textId="429D52A6" w:rsidR="00117231" w:rsidRDefault="00117231" w:rsidP="005A36B3">
      <w:pPr>
        <w:rPr>
          <w:rFonts w:asciiTheme="minorHAnsi" w:eastAsia="TimesNewRoman" w:hAnsiTheme="minorHAnsi" w:cs="TimesNewRoman"/>
          <w:b/>
        </w:rPr>
      </w:pPr>
      <w:r w:rsidRPr="000559DE">
        <w:rPr>
          <w:rFonts w:asciiTheme="minorHAnsi" w:eastAsia="TimesNewRoman" w:hAnsiTheme="minorHAnsi" w:cs="TimesNewRoman"/>
          <w:color w:val="000000"/>
        </w:rPr>
        <w:t>In TNF-antagonist refractory population: results for ustekinumab were similar to adalimumab for the induction endpoints of clinical</w:t>
      </w:r>
      <w:r>
        <w:rPr>
          <w:rFonts w:asciiTheme="minorHAnsi" w:eastAsia="TimesNewRoman" w:hAnsiTheme="minorHAnsi" w:cs="TimesNewRoman"/>
          <w:color w:val="000000"/>
        </w:rPr>
        <w:t xml:space="preserve"> </w:t>
      </w:r>
      <w:r w:rsidRPr="000559DE">
        <w:rPr>
          <w:rFonts w:asciiTheme="minorHAnsi" w:eastAsia="TimesNewRoman" w:hAnsiTheme="minorHAnsi" w:cs="TimesNewRoman"/>
          <w:color w:val="000000"/>
        </w:rPr>
        <w:t>response and remission, it is noteworthy that adalimumab was studied only at the higher</w:t>
      </w:r>
      <w:r>
        <w:rPr>
          <w:rFonts w:asciiTheme="minorHAnsi" w:eastAsia="TimesNewRoman" w:hAnsiTheme="minorHAnsi" w:cs="TimesNewRoman"/>
          <w:color w:val="000000"/>
        </w:rPr>
        <w:t xml:space="preserve"> </w:t>
      </w:r>
      <w:r w:rsidRPr="000559DE">
        <w:rPr>
          <w:rFonts w:asciiTheme="minorHAnsi" w:eastAsia="TimesNewRoman" w:hAnsiTheme="minorHAnsi" w:cs="TimesNewRoman"/>
          <w:color w:val="000000"/>
        </w:rPr>
        <w:t>induction dose of 160/80 mg and in a narrower treatment-refractory population (</w:t>
      </w:r>
      <w:r w:rsidR="005A36B3">
        <w:rPr>
          <w:rFonts w:asciiTheme="minorHAnsi" w:eastAsia="TimesNewRoman" w:hAnsiTheme="minorHAnsi" w:cs="TimesNewRoman"/>
          <w:color w:val="000000"/>
        </w:rPr>
        <w:t>that is,</w:t>
      </w:r>
      <w:r w:rsidRPr="000559DE">
        <w:rPr>
          <w:rFonts w:asciiTheme="minorHAnsi" w:eastAsia="TimesNewRoman" w:hAnsiTheme="minorHAnsi" w:cs="TimesNewRoman"/>
          <w:color w:val="000000"/>
        </w:rPr>
        <w:t xml:space="preserve"> primary</w:t>
      </w:r>
      <w:r>
        <w:rPr>
          <w:rFonts w:asciiTheme="minorHAnsi" w:eastAsia="TimesNewRoman" w:hAnsiTheme="minorHAnsi" w:cs="TimesNewRoman"/>
          <w:color w:val="000000"/>
        </w:rPr>
        <w:t xml:space="preserve"> </w:t>
      </w:r>
      <w:r w:rsidRPr="000559DE">
        <w:rPr>
          <w:rFonts w:asciiTheme="minorHAnsi" w:eastAsia="TimesNewRoman" w:hAnsiTheme="minorHAnsi" w:cs="TimesNewRoman"/>
          <w:color w:val="000000"/>
        </w:rPr>
        <w:t>non</w:t>
      </w:r>
      <w:r w:rsidR="005A36B3">
        <w:rPr>
          <w:rFonts w:asciiTheme="minorHAnsi" w:eastAsia="TimesNewRoman" w:hAnsiTheme="minorHAnsi" w:cs="TimesNewRoman"/>
          <w:color w:val="000000"/>
        </w:rPr>
        <w:t xml:space="preserve"> </w:t>
      </w:r>
      <w:r w:rsidRPr="000559DE">
        <w:rPr>
          <w:rFonts w:asciiTheme="minorHAnsi" w:eastAsia="TimesNewRoman" w:hAnsiTheme="minorHAnsi" w:cs="TimesNewRoman"/>
          <w:color w:val="000000"/>
        </w:rPr>
        <w:t>responders were excluded and only infliximab failures were included, as infliximab was the</w:t>
      </w:r>
      <w:r>
        <w:rPr>
          <w:rFonts w:asciiTheme="minorHAnsi" w:eastAsia="TimesNewRoman" w:hAnsiTheme="minorHAnsi" w:cs="TimesNewRoman"/>
          <w:color w:val="000000"/>
        </w:rPr>
        <w:t xml:space="preserve"> </w:t>
      </w:r>
      <w:r w:rsidRPr="000559DE">
        <w:rPr>
          <w:rFonts w:asciiTheme="minorHAnsi" w:eastAsia="TimesNewRoman" w:hAnsiTheme="minorHAnsi" w:cs="TimesNewRoman"/>
          <w:color w:val="000000"/>
        </w:rPr>
        <w:t>only TNF antagonist approved at the time). In contrast, CRD3001 evaluated subjects who had</w:t>
      </w:r>
      <w:r>
        <w:rPr>
          <w:rFonts w:asciiTheme="minorHAnsi" w:eastAsia="TimesNewRoman" w:hAnsiTheme="minorHAnsi" w:cs="TimesNewRoman"/>
          <w:color w:val="000000"/>
        </w:rPr>
        <w:t xml:space="preserve"> </w:t>
      </w:r>
      <w:r w:rsidRPr="000559DE">
        <w:rPr>
          <w:rFonts w:asciiTheme="minorHAnsi" w:eastAsia="TimesNewRoman" w:hAnsiTheme="minorHAnsi" w:cs="TimesNewRoman"/>
          <w:color w:val="000000"/>
        </w:rPr>
        <w:t>failed one or more TNF antagonists (infliximab, adalimumab, or certolizumab pegol) and</w:t>
      </w:r>
      <w:r>
        <w:rPr>
          <w:rFonts w:asciiTheme="minorHAnsi" w:eastAsia="TimesNewRoman" w:hAnsiTheme="minorHAnsi" w:cs="TimesNewRoman"/>
          <w:color w:val="000000"/>
        </w:rPr>
        <w:t xml:space="preserve"> </w:t>
      </w:r>
      <w:r w:rsidRPr="000559DE">
        <w:rPr>
          <w:rFonts w:asciiTheme="minorHAnsi" w:eastAsia="TimesNewRoman" w:hAnsiTheme="minorHAnsi" w:cs="TimesNewRoman"/>
          <w:color w:val="000000"/>
        </w:rPr>
        <w:t>included both primary and secondary non</w:t>
      </w:r>
      <w:r w:rsidR="00957FBB">
        <w:rPr>
          <w:rFonts w:asciiTheme="minorHAnsi" w:eastAsia="TimesNewRoman" w:hAnsiTheme="minorHAnsi" w:cs="TimesNewRoman"/>
          <w:color w:val="000000"/>
        </w:rPr>
        <w:t>-</w:t>
      </w:r>
      <w:r w:rsidRPr="000559DE">
        <w:rPr>
          <w:rFonts w:asciiTheme="minorHAnsi" w:eastAsia="TimesNewRoman" w:hAnsiTheme="minorHAnsi" w:cs="TimesNewRoman"/>
          <w:color w:val="000000"/>
        </w:rPr>
        <w:t>responders. Vedolizumab showed significance for</w:t>
      </w:r>
      <w:r>
        <w:rPr>
          <w:rFonts w:asciiTheme="minorHAnsi" w:eastAsia="TimesNewRoman" w:hAnsiTheme="minorHAnsi" w:cs="TimesNewRoman"/>
          <w:color w:val="000000"/>
        </w:rPr>
        <w:t xml:space="preserve"> </w:t>
      </w:r>
      <w:r w:rsidRPr="000559DE">
        <w:rPr>
          <w:rFonts w:asciiTheme="minorHAnsi" w:eastAsia="TimesNewRoman" w:hAnsiTheme="minorHAnsi" w:cs="TimesNewRoman"/>
          <w:color w:val="000000"/>
        </w:rPr>
        <w:t>remission at Week 10, but did not reach significance at the earlier time</w:t>
      </w:r>
      <w:r w:rsidR="00957FBB">
        <w:rPr>
          <w:rFonts w:asciiTheme="minorHAnsi" w:eastAsia="TimesNewRoman" w:hAnsiTheme="minorHAnsi" w:cs="TimesNewRoman"/>
          <w:color w:val="000000"/>
        </w:rPr>
        <w:t xml:space="preserve"> </w:t>
      </w:r>
      <w:r w:rsidRPr="000559DE">
        <w:rPr>
          <w:rFonts w:asciiTheme="minorHAnsi" w:eastAsia="TimesNewRoman" w:hAnsiTheme="minorHAnsi" w:cs="TimesNewRoman"/>
          <w:color w:val="000000"/>
        </w:rPr>
        <w:t>point of Week 6</w:t>
      </w:r>
      <w:r>
        <w:rPr>
          <w:rFonts w:asciiTheme="minorHAnsi" w:eastAsia="TimesNewRoman" w:hAnsiTheme="minorHAnsi" w:cs="TimesNewRoman"/>
          <w:color w:val="000000"/>
        </w:rPr>
        <w:t xml:space="preserve"> (</w:t>
      </w:r>
      <w:r w:rsidRPr="000559DE">
        <w:rPr>
          <w:rFonts w:asciiTheme="minorHAnsi" w:eastAsia="TimesNewRoman" w:hAnsiTheme="minorHAnsi" w:cs="TimesNewRoman"/>
          <w:color w:val="000000"/>
        </w:rPr>
        <w:t>the primary endpoint of GEMINI III</w:t>
      </w:r>
      <w:r>
        <w:rPr>
          <w:rFonts w:asciiTheme="minorHAnsi" w:eastAsia="TimesNewRoman" w:hAnsiTheme="minorHAnsi" w:cs="TimesNewRoman"/>
          <w:color w:val="000000"/>
        </w:rPr>
        <w:t xml:space="preserve"> study)</w:t>
      </w:r>
      <w:r w:rsidRPr="000559DE">
        <w:rPr>
          <w:rFonts w:asciiTheme="minorHAnsi" w:eastAsia="TimesNewRoman" w:hAnsiTheme="minorHAnsi" w:cs="TimesNewRoman"/>
          <w:color w:val="000000"/>
        </w:rPr>
        <w:t>.</w:t>
      </w:r>
      <w:r w:rsidRPr="000559DE">
        <w:rPr>
          <w:rFonts w:asciiTheme="minorHAnsi" w:eastAsia="TimesNewRoman" w:hAnsiTheme="minorHAnsi" w:cs="TimesNewRoman"/>
          <w:color w:val="0000FF"/>
        </w:rPr>
        <w:t xml:space="preserve"> </w:t>
      </w:r>
      <w:r w:rsidRPr="000559DE">
        <w:rPr>
          <w:rFonts w:asciiTheme="minorHAnsi" w:eastAsia="TimesNewRoman" w:hAnsiTheme="minorHAnsi" w:cs="TimesNewRoman"/>
          <w:color w:val="000000"/>
        </w:rPr>
        <w:t>This suggests that vedolizumab may have</w:t>
      </w:r>
      <w:r>
        <w:rPr>
          <w:rFonts w:asciiTheme="minorHAnsi" w:eastAsia="TimesNewRoman" w:hAnsiTheme="minorHAnsi" w:cs="TimesNewRoman"/>
          <w:color w:val="000000"/>
        </w:rPr>
        <w:t xml:space="preserve"> </w:t>
      </w:r>
      <w:r w:rsidRPr="000559DE">
        <w:rPr>
          <w:rFonts w:asciiTheme="minorHAnsi" w:eastAsia="TimesNewRoman" w:hAnsiTheme="minorHAnsi" w:cs="TimesNewRoman"/>
          <w:color w:val="000000"/>
        </w:rPr>
        <w:t>more modest induction efficacy compared to ustekinumab at early time</w:t>
      </w:r>
      <w:r w:rsidR="005A36B3">
        <w:rPr>
          <w:rFonts w:asciiTheme="minorHAnsi" w:eastAsia="TimesNewRoman" w:hAnsiTheme="minorHAnsi" w:cs="TimesNewRoman"/>
          <w:color w:val="000000"/>
        </w:rPr>
        <w:t>-</w:t>
      </w:r>
      <w:r w:rsidRPr="000559DE">
        <w:rPr>
          <w:rFonts w:asciiTheme="minorHAnsi" w:eastAsia="TimesNewRoman" w:hAnsiTheme="minorHAnsi" w:cs="TimesNewRoman"/>
          <w:color w:val="000000"/>
        </w:rPr>
        <w:t>points and appears to</w:t>
      </w:r>
      <w:r>
        <w:rPr>
          <w:rFonts w:asciiTheme="minorHAnsi" w:eastAsia="TimesNewRoman" w:hAnsiTheme="minorHAnsi" w:cs="TimesNewRoman"/>
          <w:color w:val="000000"/>
        </w:rPr>
        <w:t xml:space="preserve"> </w:t>
      </w:r>
      <w:r w:rsidRPr="000559DE">
        <w:rPr>
          <w:rFonts w:asciiTheme="minorHAnsi" w:eastAsia="TimesNewRoman" w:hAnsiTheme="minorHAnsi" w:cs="TimesNewRoman"/>
          <w:color w:val="000000"/>
        </w:rPr>
        <w:t>have a slower onset of efficacy. The data for certolizumab pegol are more diffi</w:t>
      </w:r>
      <w:r w:rsidR="005A36B3">
        <w:rPr>
          <w:rFonts w:asciiTheme="minorHAnsi" w:eastAsia="TimesNewRoman" w:hAnsiTheme="minorHAnsi" w:cs="TimesNewRoman"/>
          <w:color w:val="000000"/>
        </w:rPr>
        <w:t xml:space="preserve">cult to interpret, as a placebo </w:t>
      </w:r>
      <w:r w:rsidRPr="000559DE">
        <w:rPr>
          <w:rFonts w:asciiTheme="minorHAnsi" w:eastAsia="TimesNewRoman" w:hAnsiTheme="minorHAnsi" w:cs="TimesNewRoman"/>
          <w:color w:val="000000"/>
        </w:rPr>
        <w:t>controlled induction trial in a defined population of TNF-antagonist failures was not conducted and the data shown are from a trial where the infliximab-exposed subjects were not required to demonstrate failure.</w:t>
      </w:r>
      <w:r>
        <w:rPr>
          <w:rFonts w:asciiTheme="minorHAnsi" w:eastAsia="TimesNewRoman" w:hAnsiTheme="minorHAnsi" w:cs="TimesNewRoman"/>
          <w:color w:val="000000"/>
        </w:rPr>
        <w:t xml:space="preserve"> Furthermore, certolizumab is not approved for Crohn’s disease in Australia.</w:t>
      </w:r>
      <w:r>
        <w:rPr>
          <w:rFonts w:asciiTheme="minorHAnsi" w:eastAsia="TimesNewRoman" w:hAnsiTheme="minorHAnsi" w:cs="TimesNewRoman"/>
          <w:color w:val="0000FF"/>
        </w:rPr>
        <w:t xml:space="preserve"> </w:t>
      </w:r>
      <w:r w:rsidRPr="000559DE">
        <w:rPr>
          <w:rFonts w:asciiTheme="minorHAnsi" w:eastAsia="TimesNewRoman" w:hAnsiTheme="minorHAnsi" w:cs="TimesNewRoman"/>
        </w:rPr>
        <w:t xml:space="preserve">Ustekinumab also compared </w:t>
      </w:r>
      <w:r w:rsidRPr="000559DE">
        <w:rPr>
          <w:rFonts w:asciiTheme="minorHAnsi" w:eastAsia="TimesNewRoman" w:hAnsiTheme="minorHAnsi" w:cs="TimesNewRoman"/>
        </w:rPr>
        <w:lastRenderedPageBreak/>
        <w:t>favourably to adalimumab, vedolizumab, and certolizumab pegol in</w:t>
      </w:r>
      <w:r>
        <w:rPr>
          <w:rFonts w:asciiTheme="minorHAnsi" w:eastAsia="TimesNewRoman" w:hAnsiTheme="minorHAnsi" w:cs="TimesNewRoman"/>
        </w:rPr>
        <w:t xml:space="preserve"> </w:t>
      </w:r>
      <w:r w:rsidRPr="000559DE">
        <w:rPr>
          <w:rFonts w:asciiTheme="minorHAnsi" w:eastAsia="TimesNewRoman" w:hAnsiTheme="minorHAnsi" w:cs="TimesNewRoman"/>
        </w:rPr>
        <w:t>the population of subjects who had not failed previous biologic therapy including subjects who</w:t>
      </w:r>
      <w:r>
        <w:rPr>
          <w:rFonts w:asciiTheme="minorHAnsi" w:eastAsia="TimesNewRoman" w:hAnsiTheme="minorHAnsi" w:cs="TimesNewRoman"/>
        </w:rPr>
        <w:t xml:space="preserve"> </w:t>
      </w:r>
      <w:r w:rsidRPr="000559DE">
        <w:rPr>
          <w:rFonts w:asciiTheme="minorHAnsi" w:eastAsia="TimesNewRoman" w:hAnsiTheme="minorHAnsi" w:cs="TimesNewRoman"/>
        </w:rPr>
        <w:t>were TNF-antagonist naïve, suggesting its potential role as a first-line biologic agent</w:t>
      </w:r>
      <w:r w:rsidR="005A36B3">
        <w:rPr>
          <w:rFonts w:asciiTheme="minorHAnsi" w:eastAsia="TimesNewRoman" w:hAnsiTheme="minorHAnsi" w:cs="TimesNewRoman"/>
        </w:rPr>
        <w:t>.</w:t>
      </w:r>
    </w:p>
    <w:p w14:paraId="424694F8" w14:textId="77777777" w:rsidR="00815F43" w:rsidRDefault="00117231" w:rsidP="00117231">
      <w:pPr>
        <w:autoSpaceDE w:val="0"/>
        <w:autoSpaceDN w:val="0"/>
        <w:adjustRightInd w:val="0"/>
        <w:spacing w:before="0" w:line="240" w:lineRule="auto"/>
        <w:rPr>
          <w:rFonts w:asciiTheme="minorHAnsi" w:eastAsia="TimesNewRoman" w:hAnsiTheme="minorHAnsi" w:cs="TimesNewRoman"/>
        </w:rPr>
      </w:pPr>
      <w:r w:rsidRPr="000559DE">
        <w:rPr>
          <w:rFonts w:asciiTheme="minorHAnsi" w:eastAsia="TimesNewRoman" w:hAnsiTheme="minorHAnsi" w:cs="TimesNewRoman"/>
        </w:rPr>
        <w:t xml:space="preserve">Evaluation of maintenance data shows similar patterns, although </w:t>
      </w:r>
      <w:r>
        <w:rPr>
          <w:rFonts w:asciiTheme="minorHAnsi" w:eastAsia="TimesNewRoman" w:hAnsiTheme="minorHAnsi" w:cs="TimesNewRoman"/>
        </w:rPr>
        <w:t xml:space="preserve">interpretation was limited due to </w:t>
      </w:r>
      <w:r w:rsidRPr="000559DE">
        <w:rPr>
          <w:rFonts w:asciiTheme="minorHAnsi" w:eastAsia="TimesNewRoman" w:hAnsiTheme="minorHAnsi" w:cs="TimesNewRoman"/>
        </w:rPr>
        <w:t>differences in the populations studied for the maintenance trials regarding inclusion of previous</w:t>
      </w:r>
      <w:r>
        <w:rPr>
          <w:rFonts w:asciiTheme="minorHAnsi" w:eastAsia="TimesNewRoman" w:hAnsiTheme="minorHAnsi" w:cs="TimesNewRoman"/>
        </w:rPr>
        <w:t xml:space="preserve"> </w:t>
      </w:r>
      <w:r w:rsidRPr="000559DE">
        <w:rPr>
          <w:rFonts w:asciiTheme="minorHAnsi" w:eastAsia="TimesNewRoman" w:hAnsiTheme="minorHAnsi" w:cs="TimesNewRoman"/>
        </w:rPr>
        <w:t>biologic response</w:t>
      </w:r>
      <w:r w:rsidR="005A36B3">
        <w:rPr>
          <w:rFonts w:asciiTheme="minorHAnsi" w:eastAsia="TimesNewRoman" w:hAnsiTheme="minorHAnsi" w:cs="TimesNewRoman"/>
        </w:rPr>
        <w:t>.</w:t>
      </w:r>
      <w:r w:rsidRPr="000559DE">
        <w:rPr>
          <w:rFonts w:asciiTheme="minorHAnsi" w:eastAsia="TimesNewRoman" w:hAnsiTheme="minorHAnsi" w:cs="TimesNewRoman"/>
        </w:rPr>
        <w:t xml:space="preserve"> With regard to maintenance therapy in the broad Crohn’s disease population, the absolute</w:t>
      </w:r>
      <w:r>
        <w:rPr>
          <w:rFonts w:asciiTheme="minorHAnsi" w:eastAsia="TimesNewRoman" w:hAnsiTheme="minorHAnsi" w:cs="TimesNewRoman"/>
        </w:rPr>
        <w:t xml:space="preserve"> </w:t>
      </w:r>
      <w:r w:rsidRPr="000559DE">
        <w:rPr>
          <w:rFonts w:asciiTheme="minorHAnsi" w:eastAsia="TimesNewRoman" w:hAnsiTheme="minorHAnsi" w:cs="TimesNewRoman"/>
        </w:rPr>
        <w:t xml:space="preserve">remission rates at 1 year of ustekinumab therapy </w:t>
      </w:r>
      <w:r>
        <w:rPr>
          <w:rFonts w:asciiTheme="minorHAnsi" w:eastAsia="TimesNewRoman" w:hAnsiTheme="minorHAnsi" w:cs="TimesNewRoman"/>
        </w:rPr>
        <w:t>we</w:t>
      </w:r>
      <w:r w:rsidRPr="000559DE">
        <w:rPr>
          <w:rFonts w:asciiTheme="minorHAnsi" w:eastAsia="TimesNewRoman" w:hAnsiTheme="minorHAnsi" w:cs="TimesNewRoman"/>
        </w:rPr>
        <w:t>re higher than those reported previously for</w:t>
      </w:r>
      <w:r>
        <w:rPr>
          <w:rFonts w:asciiTheme="minorHAnsi" w:eastAsia="TimesNewRoman" w:hAnsiTheme="minorHAnsi" w:cs="TimesNewRoman"/>
        </w:rPr>
        <w:t xml:space="preserve"> </w:t>
      </w:r>
      <w:r w:rsidRPr="000559DE">
        <w:rPr>
          <w:rFonts w:asciiTheme="minorHAnsi" w:eastAsia="TimesNewRoman" w:hAnsiTheme="minorHAnsi" w:cs="TimesNewRoman"/>
        </w:rPr>
        <w:t xml:space="preserve">any biologic though the treatment effects are comparable. </w:t>
      </w:r>
      <w:r>
        <w:rPr>
          <w:rFonts w:asciiTheme="minorHAnsi" w:eastAsia="TimesNewRoman" w:hAnsiTheme="minorHAnsi" w:cs="TimesNewRoman"/>
        </w:rPr>
        <w:t>However, this ma</w:t>
      </w:r>
      <w:r w:rsidR="005A36B3">
        <w:rPr>
          <w:rFonts w:asciiTheme="minorHAnsi" w:eastAsia="TimesNewRoman" w:hAnsiTheme="minorHAnsi" w:cs="TimesNewRoman"/>
        </w:rPr>
        <w:t xml:space="preserve">ybe confounded by fact that in </w:t>
      </w:r>
      <w:r w:rsidR="00F221E4">
        <w:rPr>
          <w:rFonts w:asciiTheme="minorHAnsi" w:eastAsia="TimesNewRoman" w:hAnsiTheme="minorHAnsi" w:cs="TimesNewRoman"/>
        </w:rPr>
        <w:t>Study CR</w:t>
      </w:r>
      <w:r w:rsidRPr="000559DE">
        <w:rPr>
          <w:rFonts w:asciiTheme="minorHAnsi" w:eastAsia="TimesNewRoman" w:hAnsiTheme="minorHAnsi" w:cs="TimesNewRoman"/>
        </w:rPr>
        <w:t>D3003, 100-point response was used as the criteria for selecting the population random</w:t>
      </w:r>
      <w:r>
        <w:rPr>
          <w:rFonts w:asciiTheme="minorHAnsi" w:eastAsia="TimesNewRoman" w:hAnsiTheme="minorHAnsi" w:cs="TimesNewRoman"/>
        </w:rPr>
        <w:t>is</w:t>
      </w:r>
      <w:r w:rsidRPr="000559DE">
        <w:rPr>
          <w:rFonts w:asciiTheme="minorHAnsi" w:eastAsia="TimesNewRoman" w:hAnsiTheme="minorHAnsi" w:cs="TimesNewRoman"/>
        </w:rPr>
        <w:t>ed to assess long-term maintenance</w:t>
      </w:r>
      <w:r>
        <w:rPr>
          <w:rFonts w:asciiTheme="minorHAnsi" w:eastAsia="TimesNewRoman" w:hAnsiTheme="minorHAnsi" w:cs="TimesNewRoman"/>
        </w:rPr>
        <w:t xml:space="preserve">, while the </w:t>
      </w:r>
      <w:r w:rsidRPr="000559DE">
        <w:rPr>
          <w:rFonts w:asciiTheme="minorHAnsi" w:eastAsia="TimesNewRoman" w:hAnsiTheme="minorHAnsi" w:cs="TimesNewRoman"/>
        </w:rPr>
        <w:t xml:space="preserve">registration trials for </w:t>
      </w:r>
      <w:r>
        <w:rPr>
          <w:rFonts w:asciiTheme="minorHAnsi" w:eastAsia="TimesNewRoman" w:hAnsiTheme="minorHAnsi" w:cs="TimesNewRoman"/>
        </w:rPr>
        <w:t>a</w:t>
      </w:r>
      <w:r w:rsidRPr="000559DE">
        <w:rPr>
          <w:rFonts w:asciiTheme="minorHAnsi" w:eastAsia="TimesNewRoman" w:hAnsiTheme="minorHAnsi" w:cs="TimesNewRoman"/>
        </w:rPr>
        <w:t>dalimumab and vedolizumab used 70-point response. This difference was reflected in the rates of remission for patients entering the maintenance phase, with 60% of subjects entering the primary population in CRD3003 in remission compared with approximately 30% to 40% with vedolizumab and adalimumab, respectively.</w:t>
      </w:r>
    </w:p>
    <w:p w14:paraId="63DC88FB" w14:textId="2878845F" w:rsidR="00117231" w:rsidRDefault="00117231" w:rsidP="00117231">
      <w:pPr>
        <w:autoSpaceDE w:val="0"/>
        <w:autoSpaceDN w:val="0"/>
        <w:adjustRightInd w:val="0"/>
        <w:spacing w:before="0" w:line="240" w:lineRule="auto"/>
        <w:rPr>
          <w:rFonts w:asciiTheme="minorHAnsi" w:eastAsia="TimesNewRoman" w:hAnsiTheme="minorHAnsi" w:cs="Calibri"/>
          <w:color w:val="000000"/>
        </w:rPr>
      </w:pPr>
      <w:r w:rsidRPr="00E274D7">
        <w:rPr>
          <w:rFonts w:asciiTheme="minorHAnsi" w:eastAsia="TimesNewRoman" w:hAnsiTheme="minorHAnsi" w:cs="Calibri"/>
        </w:rPr>
        <w:t xml:space="preserve">Results from the Ustekinumab Endoscopy Substudy provided evidence to support efficacy of ustekinumab for induction of endoscopic healing of the mucosa, based on significant improvements in endoscopic disease activity in the ustekinumab group that were corroborated by improvements in histologic disease activity. However, this endoscopic substudy failed to provide definitive evidence to support efficacy of ustekinumab maintenance treatment on endoscopic activity. </w:t>
      </w:r>
      <w:r w:rsidRPr="00E274D7">
        <w:rPr>
          <w:rFonts w:asciiTheme="minorHAnsi" w:eastAsia="TimesNewRoman" w:hAnsiTheme="minorHAnsi" w:cs="Calibri"/>
          <w:color w:val="000000"/>
        </w:rPr>
        <w:t>Among currently approved therapies for Crohn’s disease, evidence of endoscopic improvement and healing of the mucosa has been reported for TNF antagonists</w:t>
      </w:r>
      <w:bookmarkStart w:id="89" w:name="_Ref491074424"/>
      <w:r w:rsidR="00247506">
        <w:rPr>
          <w:rStyle w:val="FootnoteReference"/>
          <w:rFonts w:asciiTheme="minorHAnsi" w:eastAsia="TimesNewRoman" w:hAnsiTheme="minorHAnsi" w:cs="Calibri"/>
          <w:color w:val="000000"/>
        </w:rPr>
        <w:footnoteReference w:id="20"/>
      </w:r>
      <w:bookmarkEnd w:id="89"/>
      <w:r w:rsidRPr="00E274D7">
        <w:rPr>
          <w:rFonts w:asciiTheme="minorHAnsi" w:eastAsia="TimesNewRoman" w:hAnsiTheme="minorHAnsi" w:cs="Calibri"/>
          <w:color w:val="000000"/>
        </w:rPr>
        <w:t xml:space="preserve"> but not for biologics with other mechanisms of action.</w:t>
      </w:r>
    </w:p>
    <w:p w14:paraId="1E7FE791" w14:textId="77777777" w:rsidR="00117231" w:rsidRPr="00E274D7" w:rsidRDefault="00117231" w:rsidP="00117231">
      <w:pPr>
        <w:autoSpaceDE w:val="0"/>
        <w:autoSpaceDN w:val="0"/>
        <w:adjustRightInd w:val="0"/>
        <w:spacing w:before="0" w:line="240" w:lineRule="auto"/>
        <w:rPr>
          <w:rFonts w:asciiTheme="minorHAnsi" w:eastAsia="TimesNewRoman" w:hAnsiTheme="minorHAnsi" w:cs="Calibri"/>
          <w:color w:val="000000"/>
        </w:rPr>
      </w:pPr>
      <w:r w:rsidRPr="00DB61EF">
        <w:rPr>
          <w:rFonts w:asciiTheme="minorHAnsi" w:eastAsia="TimesNewRoman" w:hAnsiTheme="minorHAnsi" w:cs="TimesNewRoman"/>
        </w:rPr>
        <w:t>Overall, indirect comparisons to biologic therapies approved for moderate to severe Crohn’s</w:t>
      </w:r>
      <w:r>
        <w:rPr>
          <w:rFonts w:asciiTheme="minorHAnsi" w:eastAsia="TimesNewRoman" w:hAnsiTheme="minorHAnsi" w:cs="TimesNewRoman"/>
        </w:rPr>
        <w:t xml:space="preserve"> </w:t>
      </w:r>
      <w:r w:rsidRPr="00DB61EF">
        <w:rPr>
          <w:rFonts w:asciiTheme="minorHAnsi" w:eastAsia="TimesNewRoman" w:hAnsiTheme="minorHAnsi" w:cs="TimesNewRoman"/>
        </w:rPr>
        <w:t>disease suggest that ustekinumab has efficacy that is at least comparable and in some instances</w:t>
      </w:r>
      <w:r>
        <w:rPr>
          <w:rFonts w:asciiTheme="minorHAnsi" w:eastAsia="TimesNewRoman" w:hAnsiTheme="minorHAnsi" w:cs="TimesNewRoman"/>
        </w:rPr>
        <w:t xml:space="preserve"> </w:t>
      </w:r>
      <w:r w:rsidRPr="00DB61EF">
        <w:rPr>
          <w:rFonts w:asciiTheme="minorHAnsi" w:eastAsia="TimesNewRoman" w:hAnsiTheme="minorHAnsi" w:cs="TimesNewRoman"/>
        </w:rPr>
        <w:t>appears better or has a more rapid onset than currently approved biologics with a favo</w:t>
      </w:r>
      <w:r>
        <w:rPr>
          <w:rFonts w:asciiTheme="minorHAnsi" w:eastAsia="TimesNewRoman" w:hAnsiTheme="minorHAnsi" w:cs="TimesNewRoman"/>
        </w:rPr>
        <w:t>u</w:t>
      </w:r>
      <w:r w:rsidRPr="00DB61EF">
        <w:rPr>
          <w:rFonts w:asciiTheme="minorHAnsi" w:eastAsia="TimesNewRoman" w:hAnsiTheme="minorHAnsi" w:cs="TimesNewRoman"/>
        </w:rPr>
        <w:t>rable</w:t>
      </w:r>
      <w:r>
        <w:rPr>
          <w:rFonts w:asciiTheme="minorHAnsi" w:eastAsia="TimesNewRoman" w:hAnsiTheme="minorHAnsi" w:cs="TimesNewRoman"/>
        </w:rPr>
        <w:t xml:space="preserve"> </w:t>
      </w:r>
      <w:r w:rsidRPr="00DB61EF">
        <w:rPr>
          <w:rFonts w:asciiTheme="minorHAnsi" w:eastAsia="TimesNewRoman" w:hAnsiTheme="minorHAnsi" w:cs="TimesNewRoman"/>
        </w:rPr>
        <w:t>safety profile.</w:t>
      </w:r>
      <w:r>
        <w:rPr>
          <w:rFonts w:asciiTheme="minorHAnsi" w:eastAsia="TimesNewRoman" w:hAnsiTheme="minorHAnsi" w:cs="TimesNewRoman"/>
        </w:rPr>
        <w:t xml:space="preserve"> Although c</w:t>
      </w:r>
      <w:r w:rsidRPr="00DB61EF">
        <w:rPr>
          <w:rFonts w:asciiTheme="minorHAnsi" w:eastAsia="TimesNewRoman" w:hAnsiTheme="minorHAnsi" w:cs="TimesNewRoman"/>
        </w:rPr>
        <w:t>ross-study comparisons with other</w:t>
      </w:r>
      <w:r>
        <w:rPr>
          <w:rFonts w:asciiTheme="minorHAnsi" w:eastAsia="TimesNewRoman" w:hAnsiTheme="minorHAnsi" w:cs="TimesNewRoman"/>
        </w:rPr>
        <w:t xml:space="preserve"> </w:t>
      </w:r>
      <w:r w:rsidRPr="00DB61EF">
        <w:rPr>
          <w:rFonts w:asciiTheme="minorHAnsi" w:eastAsia="TimesNewRoman" w:hAnsiTheme="minorHAnsi" w:cs="TimesNewRoman"/>
        </w:rPr>
        <w:t>approved biologic agents can provide insight into the r</w:t>
      </w:r>
      <w:r>
        <w:rPr>
          <w:rFonts w:asciiTheme="minorHAnsi" w:eastAsia="TimesNewRoman" w:hAnsiTheme="minorHAnsi" w:cs="TimesNewRoman"/>
        </w:rPr>
        <w:t xml:space="preserve">elative efficacy and safety of </w:t>
      </w:r>
      <w:r w:rsidRPr="00DB61EF">
        <w:rPr>
          <w:rFonts w:asciiTheme="minorHAnsi" w:eastAsia="TimesNewRoman" w:hAnsiTheme="minorHAnsi" w:cs="TimesNewRoman"/>
        </w:rPr>
        <w:t>ustekinumab and its potential place in the treatment of patients with moderate to severe Crohn’s disease</w:t>
      </w:r>
      <w:r>
        <w:rPr>
          <w:rFonts w:asciiTheme="minorHAnsi" w:eastAsia="TimesNewRoman" w:hAnsiTheme="minorHAnsi" w:cs="TimesNewRoman"/>
        </w:rPr>
        <w:t xml:space="preserve"> although such i</w:t>
      </w:r>
      <w:r w:rsidRPr="00DB61EF">
        <w:rPr>
          <w:rFonts w:asciiTheme="minorHAnsi" w:eastAsia="TimesNewRoman" w:hAnsiTheme="minorHAnsi" w:cs="TimesNewRoman"/>
        </w:rPr>
        <w:t>ndirect comparisons are limited by differences in populations, timing and study designs.</w:t>
      </w:r>
    </w:p>
    <w:p w14:paraId="2BE36C1C" w14:textId="77777777" w:rsidR="00117231" w:rsidRDefault="005A36B3" w:rsidP="00117231">
      <w:pPr>
        <w:autoSpaceDE w:val="0"/>
        <w:autoSpaceDN w:val="0"/>
        <w:adjustRightInd w:val="0"/>
        <w:spacing w:before="0" w:line="240" w:lineRule="auto"/>
        <w:rPr>
          <w:rFonts w:asciiTheme="minorHAnsi" w:eastAsia="TimesNewRoman" w:hAnsiTheme="minorHAnsi" w:cs="TimesNewRoman"/>
        </w:rPr>
      </w:pPr>
      <w:r>
        <w:rPr>
          <w:rFonts w:asciiTheme="minorHAnsi" w:eastAsia="TimesNewRoman" w:hAnsiTheme="minorHAnsi" w:cs="TimesNewRoman"/>
        </w:rPr>
        <w:t>Limitations:</w:t>
      </w:r>
    </w:p>
    <w:p w14:paraId="12612B60" w14:textId="77777777" w:rsidR="00815F43" w:rsidRDefault="00117231" w:rsidP="005A36B3">
      <w:pPr>
        <w:pStyle w:val="ListBullet"/>
      </w:pPr>
      <w:r w:rsidRPr="008B06BA">
        <w:t>95% CI for the primary and main secondary endpoints were not provided (only p-values for comparison v</w:t>
      </w:r>
      <w:r w:rsidR="005A36B3">
        <w:t>ersu</w:t>
      </w:r>
      <w:r w:rsidRPr="008B06BA">
        <w:t xml:space="preserve">s placebo were provided in the </w:t>
      </w:r>
      <w:r w:rsidR="005A36B3">
        <w:t>study report</w:t>
      </w:r>
      <w:r w:rsidRPr="008B06BA">
        <w:t>). Only the sensitivity analysis 3 (excluding those enrolled prior to study restart) showed the odds ratios and 95% CI values. The sponsors have been requested to provide the 95% CI for the primary</w:t>
      </w:r>
      <w:r w:rsidR="005A36B3">
        <w:t xml:space="preserve"> and major secondary endpoints</w:t>
      </w:r>
      <w:r w:rsidRPr="008B06BA">
        <w:t>.</w:t>
      </w:r>
    </w:p>
    <w:p w14:paraId="66D6FDD5" w14:textId="7989B6A0" w:rsidR="00117231" w:rsidRPr="00117231" w:rsidRDefault="00BF0AB8" w:rsidP="00117231">
      <w:r>
        <w:t xml:space="preserve">Efficacy data beyond 1 year of treatment are currently not available in Crohn’s disease </w:t>
      </w:r>
      <w:r w:rsidRPr="002F1699">
        <w:t>although the long</w:t>
      </w:r>
      <w:r>
        <w:t>-</w:t>
      </w:r>
      <w:r w:rsidRPr="002F1699">
        <w:t>term extension of Study CRD3003</w:t>
      </w:r>
      <w:r>
        <w:t xml:space="preserve"> through </w:t>
      </w:r>
      <w:r w:rsidR="00015535">
        <w:t>W</w:t>
      </w:r>
      <w:r>
        <w:t>eek 272 should provide efficacy data of an additional 4 years.</w:t>
      </w:r>
    </w:p>
    <w:p w14:paraId="60D4B4A9" w14:textId="77777777" w:rsidR="008E7846" w:rsidRPr="002E238E" w:rsidRDefault="008E7846" w:rsidP="008E7846">
      <w:pPr>
        <w:pStyle w:val="Heading3"/>
      </w:pPr>
      <w:bookmarkStart w:id="90" w:name="_Toc163441378"/>
      <w:bookmarkStart w:id="91" w:name="_Toc196046495"/>
      <w:bookmarkStart w:id="92" w:name="_Toc247691522"/>
      <w:bookmarkStart w:id="93" w:name="_Toc314842505"/>
      <w:bookmarkStart w:id="94" w:name="_Toc497744823"/>
      <w:bookmarkEnd w:id="85"/>
      <w:bookmarkEnd w:id="86"/>
      <w:bookmarkEnd w:id="87"/>
      <w:bookmarkEnd w:id="88"/>
      <w:r w:rsidRPr="002E238E">
        <w:lastRenderedPageBreak/>
        <w:t>Safety</w:t>
      </w:r>
      <w:bookmarkEnd w:id="90"/>
      <w:bookmarkEnd w:id="91"/>
      <w:bookmarkEnd w:id="92"/>
      <w:bookmarkEnd w:id="93"/>
      <w:bookmarkEnd w:id="94"/>
    </w:p>
    <w:p w14:paraId="5B23A0E4" w14:textId="77777777" w:rsidR="00605AD4" w:rsidRPr="004B6C8D" w:rsidRDefault="00605AD4" w:rsidP="004B6C8D">
      <w:pPr>
        <w:pStyle w:val="Heading4"/>
      </w:pPr>
      <w:bookmarkStart w:id="95" w:name="_Toc247691524"/>
      <w:bookmarkStart w:id="96" w:name="_Toc314842508"/>
      <w:bookmarkStart w:id="97" w:name="_Toc196046504"/>
      <w:bookmarkStart w:id="98" w:name="_Toc163441390"/>
      <w:r w:rsidRPr="00605AD4">
        <w:t>Studies providing safety data</w:t>
      </w:r>
    </w:p>
    <w:p w14:paraId="00E04172" w14:textId="77777777" w:rsidR="00117231" w:rsidRPr="001672B8" w:rsidRDefault="00117231" w:rsidP="004B6C8D">
      <w:r w:rsidRPr="001672B8">
        <w:t xml:space="preserve">Safety data for the 5 Crohn’s disease studies, focused on the pooled Phase </w:t>
      </w:r>
      <w:r w:rsidR="00202BB0">
        <w:t>III</w:t>
      </w:r>
      <w:r w:rsidRPr="001672B8">
        <w:t xml:space="preserve"> data, analysed separately for: the induction phase of treatment (Week 0 through Week 8), the maintenance phase of treatmen</w:t>
      </w:r>
      <w:r w:rsidR="004B6C8D">
        <w:t>t (Week 0 of maintenance up to W</w:t>
      </w:r>
      <w:r w:rsidRPr="001672B8">
        <w:t>eek 44) and the combined induction and maintenance phases of treatment (up to 1 year of</w:t>
      </w:r>
      <w:r>
        <w:t xml:space="preserve"> </w:t>
      </w:r>
      <w:r w:rsidRPr="001672B8">
        <w:t>treatment; 8 weeks exposure in induction studies and 44 weeks exposure in the</w:t>
      </w:r>
      <w:r>
        <w:t xml:space="preserve"> </w:t>
      </w:r>
      <w:r w:rsidRPr="001672B8">
        <w:t>maintenance study).</w:t>
      </w:r>
    </w:p>
    <w:p w14:paraId="363B5422" w14:textId="77777777" w:rsidR="00605AD4" w:rsidRPr="004B6C8D" w:rsidRDefault="00605AD4" w:rsidP="004B6C8D">
      <w:pPr>
        <w:pStyle w:val="Heading4"/>
      </w:pPr>
      <w:r w:rsidRPr="00605AD4">
        <w:t>Patient exposure</w:t>
      </w:r>
    </w:p>
    <w:p w14:paraId="1D28A39E" w14:textId="77777777" w:rsidR="00815F43" w:rsidRDefault="00117231" w:rsidP="004B6C8D">
      <w:pPr>
        <w:rPr>
          <w:color w:val="000000"/>
        </w:rPr>
      </w:pPr>
      <w:r w:rsidRPr="002D7A51">
        <w:t>The safety database from the 5 Crohn’s disease clinical studies comprises</w:t>
      </w:r>
      <w:r>
        <w:t xml:space="preserve"> </w:t>
      </w:r>
      <w:r w:rsidRPr="002D7A51">
        <w:t>1749 ustekinumab-treated subjects (</w:t>
      </w:r>
      <w:r w:rsidRPr="00AD02E6">
        <w:t>a total of 1106 subject-years of follow-up) and includes 849 subjects exposed for at least 6 months, and 464 subjects exposed for at least 1 year</w:t>
      </w:r>
      <w:r w:rsidR="004B6C8D">
        <w:t>.</w:t>
      </w:r>
      <w:r>
        <w:t xml:space="preserve"> </w:t>
      </w:r>
      <w:r w:rsidRPr="00AD02E6">
        <w:t>Of these 1749 subjects</w:t>
      </w:r>
      <w:r>
        <w:t xml:space="preserve">, </w:t>
      </w:r>
      <w:r w:rsidRPr="00AD02E6">
        <w:t xml:space="preserve">1664 subjects received a single IV induction dose of ustekinumab in the Phase </w:t>
      </w:r>
      <w:r w:rsidR="004B6C8D">
        <w:t>II</w:t>
      </w:r>
      <w:r w:rsidRPr="00AD02E6">
        <w:t xml:space="preserve"> studies (C0379T07 and C0743T26), Phase </w:t>
      </w:r>
      <w:r w:rsidR="004B6C8D">
        <w:t>III</w:t>
      </w:r>
      <w:r w:rsidRPr="00AD02E6">
        <w:t xml:space="preserve"> induction studies (CRD3001 and</w:t>
      </w:r>
      <w:r>
        <w:t xml:space="preserve"> </w:t>
      </w:r>
      <w:r w:rsidRPr="00AD02E6">
        <w:t xml:space="preserve">CRD3002) and </w:t>
      </w:r>
      <w:r w:rsidR="004B6C8D">
        <w:t>Phase III</w:t>
      </w:r>
      <w:r w:rsidRPr="00AD02E6">
        <w:t xml:space="preserve"> maintenance study (CRD3003): 601 received </w:t>
      </w:r>
      <w:r w:rsidR="004B6C8D">
        <w:t xml:space="preserve">approximately </w:t>
      </w:r>
      <w:r w:rsidRPr="00AD02E6">
        <w:t>6 mg/kg; 754 received 130 mg; and 309 received other doses</w:t>
      </w:r>
      <w:r w:rsidR="004B6C8D">
        <w:t>.</w:t>
      </w:r>
      <w:r>
        <w:t xml:space="preserve"> </w:t>
      </w:r>
      <w:r w:rsidRPr="00AD02E6">
        <w:rPr>
          <w:color w:val="000000"/>
        </w:rPr>
        <w:t>Of the</w:t>
      </w:r>
      <w:r>
        <w:rPr>
          <w:color w:val="000000"/>
        </w:rPr>
        <w:t xml:space="preserve"> 314 randomised subjects in the </w:t>
      </w:r>
      <w:r w:rsidR="004B6C8D">
        <w:rPr>
          <w:color w:val="000000"/>
        </w:rPr>
        <w:t>Phase III</w:t>
      </w:r>
      <w:r>
        <w:rPr>
          <w:color w:val="000000"/>
        </w:rPr>
        <w:t xml:space="preserve"> maintenance </w:t>
      </w:r>
      <w:r w:rsidR="00F221E4">
        <w:rPr>
          <w:color w:val="000000"/>
        </w:rPr>
        <w:t>Study CR</w:t>
      </w:r>
      <w:r>
        <w:rPr>
          <w:color w:val="000000"/>
        </w:rPr>
        <w:t xml:space="preserve">D3003, </w:t>
      </w:r>
      <w:r w:rsidRPr="00AD02E6">
        <w:rPr>
          <w:color w:val="000000"/>
        </w:rPr>
        <w:t>132 subjects received ustekinumab</w:t>
      </w:r>
      <w:r>
        <w:rPr>
          <w:color w:val="000000"/>
        </w:rPr>
        <w:t xml:space="preserve"> </w:t>
      </w:r>
      <w:r w:rsidRPr="00AD02E6">
        <w:rPr>
          <w:color w:val="000000"/>
        </w:rPr>
        <w:t>90 mg SC q12w and 131 received ustekinumab 90 mg SC q8w prior to meeting loss of response</w:t>
      </w:r>
      <w:r>
        <w:rPr>
          <w:color w:val="000000"/>
        </w:rPr>
        <w:t xml:space="preserve"> </w:t>
      </w:r>
      <w:r w:rsidRPr="00AD02E6">
        <w:rPr>
          <w:color w:val="000000"/>
        </w:rPr>
        <w:t>criteria. An additional 51 subjects received ustekinumab 90 mg SC q8w following loss of</w:t>
      </w:r>
      <w:r>
        <w:rPr>
          <w:color w:val="000000"/>
        </w:rPr>
        <w:t xml:space="preserve"> </w:t>
      </w:r>
      <w:r w:rsidRPr="00AD02E6">
        <w:rPr>
          <w:color w:val="000000"/>
        </w:rPr>
        <w:t xml:space="preserve">response to placebo </w:t>
      </w:r>
      <w:r>
        <w:rPr>
          <w:color w:val="000000"/>
        </w:rPr>
        <w:t xml:space="preserve">SC. </w:t>
      </w:r>
      <w:r w:rsidRPr="008A3ADC">
        <w:rPr>
          <w:color w:val="000000"/>
        </w:rPr>
        <w:t>Therefore, 263 random</w:t>
      </w:r>
      <w:r>
        <w:rPr>
          <w:color w:val="000000"/>
        </w:rPr>
        <w:t>is</w:t>
      </w:r>
      <w:r w:rsidRPr="008A3ADC">
        <w:rPr>
          <w:color w:val="000000"/>
        </w:rPr>
        <w:t>ed subjects received ustekinumab maintenance treatment (90 mg q8w or q12w) in the CRD3003 study. An additional 72 subjects received ustekinumab 90 mg SC q8w as maintenance treatment in the</w:t>
      </w:r>
      <w:r>
        <w:rPr>
          <w:color w:val="000000"/>
        </w:rPr>
        <w:t xml:space="preserve"> </w:t>
      </w:r>
      <w:r w:rsidR="004B6C8D">
        <w:rPr>
          <w:color w:val="000000"/>
        </w:rPr>
        <w:t>Phase II</w:t>
      </w:r>
      <w:r w:rsidRPr="008A3ADC">
        <w:rPr>
          <w:color w:val="000000"/>
        </w:rPr>
        <w:t xml:space="preserve">b </w:t>
      </w:r>
      <w:r w:rsidR="004B6C8D">
        <w:rPr>
          <w:color w:val="000000"/>
        </w:rPr>
        <w:t>Study C0</w:t>
      </w:r>
      <w:r w:rsidRPr="008A3ADC">
        <w:rPr>
          <w:color w:val="000000"/>
        </w:rPr>
        <w:t>743T26 following response to ustekinumab IV induction</w:t>
      </w:r>
      <w:r>
        <w:rPr>
          <w:color w:val="000000"/>
        </w:rPr>
        <w:t>.</w:t>
      </w:r>
    </w:p>
    <w:p w14:paraId="269CE445" w14:textId="327AF0BA" w:rsidR="00117231" w:rsidRPr="008A3ADC" w:rsidRDefault="00117231" w:rsidP="004B6C8D">
      <w:r w:rsidRPr="008A3ADC">
        <w:rPr>
          <w:color w:val="000000"/>
        </w:rPr>
        <w:t xml:space="preserve">Overall for </w:t>
      </w:r>
      <w:r w:rsidR="004B6C8D">
        <w:rPr>
          <w:color w:val="000000"/>
        </w:rPr>
        <w:t>S</w:t>
      </w:r>
      <w:r w:rsidRPr="008A3ADC">
        <w:rPr>
          <w:color w:val="000000"/>
        </w:rPr>
        <w:t>tudies CRD3003 and C0743T26 combined, of the subjects random</w:t>
      </w:r>
      <w:r>
        <w:rPr>
          <w:color w:val="000000"/>
        </w:rPr>
        <w:t>is</w:t>
      </w:r>
      <w:r w:rsidRPr="008A3ADC">
        <w:rPr>
          <w:color w:val="000000"/>
        </w:rPr>
        <w:t>ed as responders,</w:t>
      </w:r>
      <w:r>
        <w:rPr>
          <w:color w:val="000000"/>
        </w:rPr>
        <w:t xml:space="preserve"> </w:t>
      </w:r>
      <w:r w:rsidRPr="008A3ADC">
        <w:rPr>
          <w:color w:val="000000"/>
        </w:rPr>
        <w:t>335 received ustekinumab SC (90 mg q8w or q12w) as maintenance treatment. Of these 335</w:t>
      </w:r>
      <w:r>
        <w:rPr>
          <w:color w:val="000000"/>
        </w:rPr>
        <w:t xml:space="preserve"> </w:t>
      </w:r>
      <w:r w:rsidRPr="008A3ADC">
        <w:rPr>
          <w:color w:val="000000"/>
        </w:rPr>
        <w:t>subjects, 69.0% of subjects random</w:t>
      </w:r>
      <w:r>
        <w:rPr>
          <w:color w:val="000000"/>
        </w:rPr>
        <w:t>is</w:t>
      </w:r>
      <w:r w:rsidRPr="008A3ADC">
        <w:rPr>
          <w:color w:val="000000"/>
        </w:rPr>
        <w:t>ed as responders were exposed to ustekinumab SC for at</w:t>
      </w:r>
      <w:r>
        <w:rPr>
          <w:color w:val="000000"/>
        </w:rPr>
        <w:t xml:space="preserve"> </w:t>
      </w:r>
      <w:r w:rsidRPr="008A3ADC">
        <w:rPr>
          <w:color w:val="000000"/>
        </w:rPr>
        <w:t>least 6 months.</w:t>
      </w:r>
      <w:r w:rsidR="00EF0460">
        <w:rPr>
          <w:color w:val="000000"/>
        </w:rPr>
        <w:t xml:space="preserve"> </w:t>
      </w:r>
      <w:r w:rsidRPr="008A3ADC">
        <w:rPr>
          <w:color w:val="000000"/>
        </w:rPr>
        <w:t xml:space="preserve">For all treated subjects in maintenance </w:t>
      </w:r>
      <w:r w:rsidR="00F221E4">
        <w:rPr>
          <w:color w:val="000000"/>
        </w:rPr>
        <w:t>Study CR</w:t>
      </w:r>
      <w:r w:rsidRPr="008A3ADC">
        <w:rPr>
          <w:color w:val="000000"/>
        </w:rPr>
        <w:t>D3003, in addition to the 263 subjects</w:t>
      </w:r>
      <w:r>
        <w:rPr>
          <w:color w:val="000000"/>
        </w:rPr>
        <w:t xml:space="preserve"> </w:t>
      </w:r>
      <w:r w:rsidRPr="008A3ADC">
        <w:rPr>
          <w:color w:val="000000"/>
        </w:rPr>
        <w:t>random</w:t>
      </w:r>
      <w:r>
        <w:rPr>
          <w:color w:val="000000"/>
        </w:rPr>
        <w:t>is</w:t>
      </w:r>
      <w:r w:rsidRPr="008A3ADC">
        <w:rPr>
          <w:color w:val="000000"/>
        </w:rPr>
        <w:t>ed to ustekinumab maintenance treatment following response to ustekinumab IV</w:t>
      </w:r>
      <w:r>
        <w:rPr>
          <w:color w:val="000000"/>
        </w:rPr>
        <w:t xml:space="preserve"> </w:t>
      </w:r>
      <w:r w:rsidRPr="008A3ADC">
        <w:rPr>
          <w:color w:val="000000"/>
        </w:rPr>
        <w:t>, 419 non</w:t>
      </w:r>
      <w:r w:rsidR="004B6C8D">
        <w:rPr>
          <w:color w:val="000000"/>
        </w:rPr>
        <w:t>-</w:t>
      </w:r>
      <w:r w:rsidRPr="008A3ADC">
        <w:rPr>
          <w:color w:val="000000"/>
        </w:rPr>
        <w:t>responders to induction treatment (either placebo or ustekinumab) received</w:t>
      </w:r>
      <w:r>
        <w:rPr>
          <w:color w:val="000000"/>
        </w:rPr>
        <w:t xml:space="preserve"> </w:t>
      </w:r>
      <w:r w:rsidRPr="008A3ADC">
        <w:rPr>
          <w:color w:val="000000"/>
        </w:rPr>
        <w:t>ustekinumab maintenance treatment (90 mg q8w or q12w) (</w:t>
      </w:r>
      <w:r w:rsidR="004B6C8D">
        <w:rPr>
          <w:color w:val="000000"/>
        </w:rPr>
        <w:t>that is,</w:t>
      </w:r>
      <w:r w:rsidRPr="008A3ADC">
        <w:rPr>
          <w:color w:val="000000"/>
        </w:rPr>
        <w:t xml:space="preserve"> did not discontinue at Week 8)</w:t>
      </w:r>
      <w:r w:rsidR="004B6C8D">
        <w:rPr>
          <w:color w:val="000000"/>
        </w:rPr>
        <w:t xml:space="preserve">. </w:t>
      </w:r>
      <w:r w:rsidRPr="00C67641">
        <w:rPr>
          <w:color w:val="000000"/>
        </w:rPr>
        <w:t>Overall,</w:t>
      </w:r>
      <w:r>
        <w:rPr>
          <w:b/>
          <w:color w:val="000000"/>
        </w:rPr>
        <w:t xml:space="preserve"> </w:t>
      </w:r>
      <w:r w:rsidRPr="00AD02E6">
        <w:t xml:space="preserve">1205 subjects received ustekinumab 90 mg SC maintenance dosing (every 8 or </w:t>
      </w:r>
      <w:r>
        <w:t>12 weeks).</w:t>
      </w:r>
    </w:p>
    <w:p w14:paraId="6BEDE535" w14:textId="77777777" w:rsidR="00117231" w:rsidRPr="00E94A9B" w:rsidRDefault="00117231" w:rsidP="004B6C8D">
      <w:r>
        <w:t>Furthermore, o</w:t>
      </w:r>
      <w:r w:rsidRPr="00E94A9B">
        <w:t>ne PK comparability study in healthy normal subjects (CNTO1275NAP1002) was conducted</w:t>
      </w:r>
      <w:r>
        <w:t xml:space="preserve"> </w:t>
      </w:r>
      <w:r w:rsidRPr="00E94A9B">
        <w:t>to support the registration of a 5mg/ml formulation intended for IV induction use in Crohn’s</w:t>
      </w:r>
      <w:r>
        <w:t xml:space="preserve"> </w:t>
      </w:r>
      <w:r w:rsidRPr="00E94A9B">
        <w:t>disease. Results from this study were not included in any of the pooled analyses of safety data</w:t>
      </w:r>
      <w:r w:rsidR="004B6C8D">
        <w:t>.</w:t>
      </w:r>
    </w:p>
    <w:p w14:paraId="207F20A9" w14:textId="77777777" w:rsidR="00117231" w:rsidRDefault="00117231" w:rsidP="004B6C8D">
      <w:r w:rsidRPr="002D7A51">
        <w:t>The safety database for clinical studies in the approved psoriatic disease indications</w:t>
      </w:r>
      <w:r>
        <w:t xml:space="preserve"> </w:t>
      </w:r>
      <w:r w:rsidRPr="002D7A51">
        <w:t>(psoriasis and PsA) comprised of 4135 ustekinumab-treated subjects and includes 3255</w:t>
      </w:r>
      <w:r>
        <w:t xml:space="preserve"> </w:t>
      </w:r>
      <w:r w:rsidRPr="002D7A51">
        <w:t>subjects exposed for at least 6 months and 1669 subjects exposed for at least 1 year. Of</w:t>
      </w:r>
      <w:r>
        <w:t xml:space="preserve"> these 4135 subjects, </w:t>
      </w:r>
      <w:r w:rsidRPr="002D7A51">
        <w:t xml:space="preserve">2298 were treated with ustekinumab 90 mg SC either q8w or </w:t>
      </w:r>
      <w:r w:rsidRPr="00851F41">
        <w:t>q12w</w:t>
      </w:r>
      <w:r>
        <w:t>.</w:t>
      </w:r>
    </w:p>
    <w:p w14:paraId="4814B75B" w14:textId="77777777" w:rsidR="00117231" w:rsidRPr="00117231" w:rsidRDefault="00117231" w:rsidP="004B6C8D">
      <w:r w:rsidRPr="002D7A51">
        <w:t>Through 1 year of follow-up across all pooled indications, a total 5884 subjects were treated with</w:t>
      </w:r>
      <w:r>
        <w:t xml:space="preserve"> </w:t>
      </w:r>
      <w:r w:rsidRPr="002D7A51">
        <w:t>ustekinumab (1749 subjects in the combined Crohn’s disease studies, 3117 in the combined</w:t>
      </w:r>
      <w:r>
        <w:t xml:space="preserve"> </w:t>
      </w:r>
      <w:r w:rsidRPr="002D7A51">
        <w:t>psoriasis studies, and 1018 in the combined PsA studies) with a total of 4521 subject-years of</w:t>
      </w:r>
      <w:r>
        <w:t xml:space="preserve"> </w:t>
      </w:r>
      <w:r w:rsidRPr="002D7A51">
        <w:t>follow-up.</w:t>
      </w:r>
    </w:p>
    <w:p w14:paraId="5DCAEE3B" w14:textId="77777777" w:rsidR="00605AD4" w:rsidRPr="004B6C8D" w:rsidRDefault="00605AD4" w:rsidP="004B6C8D">
      <w:pPr>
        <w:pStyle w:val="Heading4"/>
      </w:pPr>
      <w:r w:rsidRPr="00605AD4">
        <w:t>Safety issues with the potential for major regulatory impact</w:t>
      </w:r>
    </w:p>
    <w:p w14:paraId="4D2234E9" w14:textId="77777777" w:rsidR="00117231" w:rsidRPr="00117231" w:rsidRDefault="00117231" w:rsidP="004B6C8D">
      <w:r w:rsidRPr="00117231">
        <w:t xml:space="preserve">Tests of clinical chemistry consisted of laboratory measurements of alkaline phosphatase, </w:t>
      </w:r>
      <w:r w:rsidR="004B6C8D">
        <w:t>alanine aminotransferase (</w:t>
      </w:r>
      <w:r w:rsidRPr="00117231">
        <w:t>ALT</w:t>
      </w:r>
      <w:r w:rsidR="004B6C8D">
        <w:t>)</w:t>
      </w:r>
      <w:r w:rsidRPr="00117231">
        <w:t xml:space="preserve">, </w:t>
      </w:r>
      <w:r w:rsidR="004B6C8D">
        <w:t>aspartate aminotransferase (</w:t>
      </w:r>
      <w:r w:rsidRPr="00117231">
        <w:t>AST</w:t>
      </w:r>
      <w:r w:rsidR="004B6C8D">
        <w:t>)</w:t>
      </w:r>
      <w:r w:rsidRPr="00117231">
        <w:t xml:space="preserve">, total and direct bilirubin, sodium, potassium, chloride, </w:t>
      </w:r>
      <w:r w:rsidR="004B6C8D">
        <w:t>blood urea nitrogen (</w:t>
      </w:r>
      <w:r w:rsidRPr="00117231">
        <w:t>BUN</w:t>
      </w:r>
      <w:r w:rsidR="004B6C8D">
        <w:t>)</w:t>
      </w:r>
      <w:r w:rsidRPr="00117231">
        <w:t xml:space="preserve">/urea, serum creatinine, </w:t>
      </w:r>
      <w:r w:rsidRPr="00117231">
        <w:lastRenderedPageBreak/>
        <w:t>albumin, total protein, calcium and inorganic phosphate at scheduled study visits in all 5 Crohn’s disease studies.</w:t>
      </w:r>
    </w:p>
    <w:p w14:paraId="3454A291" w14:textId="77777777" w:rsidR="00605AD4" w:rsidRPr="004B6C8D" w:rsidRDefault="00605AD4" w:rsidP="004B6C8D">
      <w:pPr>
        <w:pStyle w:val="Heading4"/>
      </w:pPr>
      <w:r w:rsidRPr="00605AD4">
        <w:t>Postmarketing data</w:t>
      </w:r>
    </w:p>
    <w:p w14:paraId="28A7FC05" w14:textId="77777777" w:rsidR="00815F43" w:rsidRDefault="00013951" w:rsidP="004B6C8D">
      <w:r>
        <w:t>Ustekinumab has not received marketing approval in any country for proposed indication in treatment of Crohn’s disease.</w:t>
      </w:r>
    </w:p>
    <w:p w14:paraId="0579B4E0" w14:textId="3330116F" w:rsidR="00013951" w:rsidRPr="00013951" w:rsidRDefault="00013951" w:rsidP="004B6C8D">
      <w:r>
        <w:t xml:space="preserve">However, ustekinumab has been approved for psoriasis and psoriatic arthritis. </w:t>
      </w:r>
      <w:r w:rsidRPr="00D23B4F">
        <w:t>Post marketing information has been accruing since the first approval of ustekinumab on</w:t>
      </w:r>
      <w:r>
        <w:t xml:space="preserve"> </w:t>
      </w:r>
      <w:r w:rsidRPr="00D23B4F">
        <w:t>12 Dec</w:t>
      </w:r>
      <w:r w:rsidR="004B6C8D">
        <w:t>ember</w:t>
      </w:r>
      <w:r w:rsidRPr="00D23B4F">
        <w:t xml:space="preserve"> 2008. As of 31 December 2014, ustekinumab was approved in 84 countries. Global</w:t>
      </w:r>
      <w:r>
        <w:t xml:space="preserve"> </w:t>
      </w:r>
      <w:r w:rsidRPr="00D23B4F">
        <w:t>post marketing exposure through 31 December 2014 has been estimated as 379,596 person-years.</w:t>
      </w:r>
      <w:r>
        <w:t xml:space="preserve"> </w:t>
      </w:r>
      <w:r w:rsidRPr="00D23B4F">
        <w:t>Annual Periodic Safety Update reports (PSURs) have been generated for this product reflecting</w:t>
      </w:r>
      <w:r>
        <w:t xml:space="preserve"> </w:t>
      </w:r>
      <w:r w:rsidRPr="00D23B4F">
        <w:t>the assessment of active ongoing post marketing surveillance of targeted safety events as</w:t>
      </w:r>
      <w:r>
        <w:t xml:space="preserve"> </w:t>
      </w:r>
      <w:r w:rsidRPr="00D23B4F">
        <w:t>described in clinical study safety analyses, as well as broad overall safety surveillance.</w:t>
      </w:r>
      <w:r>
        <w:t xml:space="preserve"> A</w:t>
      </w:r>
      <w:r>
        <w:rPr>
          <w:color w:val="000000"/>
        </w:rPr>
        <w:t xml:space="preserve"> </w:t>
      </w:r>
      <w:r w:rsidRPr="00871FA6">
        <w:rPr>
          <w:color w:val="000000"/>
        </w:rPr>
        <w:t>large safety database is already available from previous studies of ust</w:t>
      </w:r>
      <w:r>
        <w:rPr>
          <w:color w:val="000000"/>
        </w:rPr>
        <w:t xml:space="preserve">ekinumab which includes </w:t>
      </w:r>
      <w:r w:rsidRPr="00871FA6">
        <w:rPr>
          <w:color w:val="000000"/>
        </w:rPr>
        <w:t>5 years of long-term safety data in</w:t>
      </w:r>
      <w:r>
        <w:rPr>
          <w:color w:val="000000"/>
        </w:rPr>
        <w:t xml:space="preserve"> </w:t>
      </w:r>
      <w:r w:rsidRPr="00871FA6">
        <w:rPr>
          <w:color w:val="000000"/>
        </w:rPr>
        <w:t>psoriasis subjects; no dose differentiation based on safety data was identified between the 45 mg</w:t>
      </w:r>
      <w:r>
        <w:rPr>
          <w:color w:val="000000"/>
        </w:rPr>
        <w:t xml:space="preserve"> </w:t>
      </w:r>
      <w:r w:rsidRPr="00871FA6">
        <w:rPr>
          <w:color w:val="000000"/>
        </w:rPr>
        <w:t>and 90 mg doses q12w in these studies, and no increase in the risk of death, serious infection,</w:t>
      </w:r>
      <w:r>
        <w:rPr>
          <w:color w:val="000000"/>
        </w:rPr>
        <w:t xml:space="preserve"> </w:t>
      </w:r>
      <w:r w:rsidR="004B6C8D" w:rsidRPr="004B6C8D">
        <w:rPr>
          <w:color w:val="000000"/>
        </w:rPr>
        <w:t xml:space="preserve">major adverse cardiac events </w:t>
      </w:r>
      <w:r w:rsidR="004B6C8D">
        <w:rPr>
          <w:color w:val="000000"/>
        </w:rPr>
        <w:t>(</w:t>
      </w:r>
      <w:r w:rsidRPr="00871FA6">
        <w:rPr>
          <w:color w:val="000000"/>
        </w:rPr>
        <w:t>MACE</w:t>
      </w:r>
      <w:r w:rsidR="004B6C8D">
        <w:rPr>
          <w:color w:val="000000"/>
        </w:rPr>
        <w:t>)</w:t>
      </w:r>
      <w:r w:rsidRPr="00871FA6">
        <w:rPr>
          <w:color w:val="000000"/>
        </w:rPr>
        <w:t xml:space="preserve"> or malignancies over time was observed in either dose group.</w:t>
      </w:r>
    </w:p>
    <w:p w14:paraId="291CA601" w14:textId="77777777" w:rsidR="00605AD4" w:rsidRDefault="00605AD4" w:rsidP="004B6C8D">
      <w:pPr>
        <w:pStyle w:val="Heading4"/>
      </w:pPr>
      <w:r w:rsidRPr="00605AD4">
        <w:t xml:space="preserve">Evaluator’s </w:t>
      </w:r>
      <w:r w:rsidRPr="004B6C8D">
        <w:t>conclusions</w:t>
      </w:r>
      <w:r w:rsidRPr="00605AD4">
        <w:t xml:space="preserve"> on safety</w:t>
      </w:r>
    </w:p>
    <w:p w14:paraId="4B1949C8" w14:textId="77777777" w:rsidR="00013951" w:rsidRDefault="00013951" w:rsidP="004B6C8D">
      <w:r w:rsidRPr="00984F57">
        <w:t>Overall, IV</w:t>
      </w:r>
      <w:r>
        <w:t xml:space="preserve"> </w:t>
      </w:r>
      <w:r w:rsidRPr="00984F57">
        <w:t xml:space="preserve">ustekinumab at doses of 130 mg and </w:t>
      </w:r>
      <w:r w:rsidR="004B6C8D">
        <w:t xml:space="preserve">approximately </w:t>
      </w:r>
      <w:r w:rsidRPr="00984F57">
        <w:t xml:space="preserve">6 mg/kg was well tolerated in the pooled </w:t>
      </w:r>
      <w:r w:rsidR="004B6C8D">
        <w:t>Phase III</w:t>
      </w:r>
      <w:r>
        <w:t xml:space="preserve"> </w:t>
      </w:r>
      <w:r w:rsidRPr="00984F57">
        <w:t>induction studies (CRD3001 and CRD3002) with a safety profile generally comparable with</w:t>
      </w:r>
      <w:r>
        <w:t xml:space="preserve"> </w:t>
      </w:r>
      <w:r w:rsidRPr="00984F57">
        <w:t>placebo through Week 8. In addition, SC ustekinumab at doses of 90 mg q12w and 90 mg q8w</w:t>
      </w:r>
      <w:r>
        <w:t xml:space="preserve"> </w:t>
      </w:r>
      <w:r w:rsidRPr="00984F57">
        <w:t>was also well tolerated in random</w:t>
      </w:r>
      <w:r>
        <w:t>is</w:t>
      </w:r>
      <w:r w:rsidRPr="00984F57">
        <w:t xml:space="preserve">ed subjects in the </w:t>
      </w:r>
      <w:r w:rsidR="004B6C8D">
        <w:t>Phase III</w:t>
      </w:r>
      <w:r w:rsidRPr="00984F57">
        <w:t xml:space="preserve"> maintenance </w:t>
      </w:r>
      <w:r w:rsidR="00F221E4">
        <w:t>Study CR</w:t>
      </w:r>
      <w:r w:rsidRPr="00984F57">
        <w:t>D3003, with</w:t>
      </w:r>
      <w:r>
        <w:t xml:space="preserve"> </w:t>
      </w:r>
      <w:r w:rsidRPr="00984F57">
        <w:t>a safety profile generally comparable with placebo through Week 44. When safety data from the</w:t>
      </w:r>
      <w:r>
        <w:t xml:space="preserve"> </w:t>
      </w:r>
      <w:r w:rsidR="004B6C8D">
        <w:t>Phase II</w:t>
      </w:r>
      <w:r w:rsidRPr="00984F57">
        <w:t xml:space="preserve"> studies (C0379T07 and C0743T26) were pooled with data from the </w:t>
      </w:r>
      <w:r w:rsidR="004B6C8D">
        <w:t>Phase III</w:t>
      </w:r>
      <w:r w:rsidRPr="00984F57">
        <w:t xml:space="preserve"> studies,</w:t>
      </w:r>
      <w:r>
        <w:t xml:space="preserve"> </w:t>
      </w:r>
      <w:r w:rsidRPr="00984F57">
        <w:t>results were generally consistent with observations from the</w:t>
      </w:r>
      <w:r>
        <w:t xml:space="preserve"> pivotal</w:t>
      </w:r>
      <w:r w:rsidRPr="00984F57">
        <w:t xml:space="preserve"> </w:t>
      </w:r>
      <w:r w:rsidR="004B6C8D">
        <w:t>Phase III</w:t>
      </w:r>
      <w:r w:rsidRPr="00984F57">
        <w:t xml:space="preserve"> studies alone.</w:t>
      </w:r>
    </w:p>
    <w:p w14:paraId="2563520E" w14:textId="77777777" w:rsidR="00815F43" w:rsidRDefault="00013951" w:rsidP="004B6C8D">
      <w:r w:rsidRPr="00984F57">
        <w:t>The proportions of subjects with AEs</w:t>
      </w:r>
      <w:r>
        <w:t xml:space="preserve">, SAEs and discontinuations due to AEs </w:t>
      </w:r>
      <w:r w:rsidRPr="00984F57">
        <w:t>during the induction phase of the</w:t>
      </w:r>
      <w:r>
        <w:t xml:space="preserve"> </w:t>
      </w:r>
      <w:r w:rsidRPr="00984F57">
        <w:t xml:space="preserve">pooled </w:t>
      </w:r>
      <w:r w:rsidR="004B6C8D">
        <w:t>Phase III</w:t>
      </w:r>
      <w:r w:rsidRPr="00984F57">
        <w:t xml:space="preserve"> studies (CRD3001 and CRD3002) and in random</w:t>
      </w:r>
      <w:r>
        <w:t>is</w:t>
      </w:r>
      <w:r w:rsidRPr="00984F57">
        <w:t>ed subjects in the</w:t>
      </w:r>
      <w:r>
        <w:t xml:space="preserve"> </w:t>
      </w:r>
      <w:r w:rsidR="004B6C8D">
        <w:t>Phase III</w:t>
      </w:r>
      <w:r w:rsidRPr="00984F57">
        <w:t xml:space="preserve"> maintenance study (CRD3003) were comparable across treatment groups with no</w:t>
      </w:r>
      <w:r>
        <w:t xml:space="preserve"> </w:t>
      </w:r>
      <w:r w:rsidRPr="00984F57">
        <w:t xml:space="preserve">evidence of a dose effect. There </w:t>
      </w:r>
      <w:r w:rsidRPr="00D83943">
        <w:t>were no new type</w:t>
      </w:r>
      <w:r w:rsidR="0047259F">
        <w:t>s or patterns of AEs identified</w:t>
      </w:r>
      <w:r w:rsidRPr="00D83943">
        <w:t xml:space="preserve"> with the exception of the new adverse drug reactions (ADRs) of acne, asthenia, vomiting and v</w:t>
      </w:r>
      <w:r>
        <w:t>ulvovaginal mycotic infections.</w:t>
      </w:r>
    </w:p>
    <w:p w14:paraId="16742C62" w14:textId="5619AC29" w:rsidR="00815F43" w:rsidRDefault="00013951" w:rsidP="004B6C8D">
      <w:r w:rsidRPr="00D83943">
        <w:t>The proportion of subjects with serious infections was low and generally comparable across</w:t>
      </w:r>
      <w:r>
        <w:t xml:space="preserve"> </w:t>
      </w:r>
      <w:r w:rsidRPr="00D83943">
        <w:t xml:space="preserve">treatment groups with no evidence of a dose effect during the induction phase of the pooled </w:t>
      </w:r>
      <w:r w:rsidR="004B6C8D">
        <w:t>Phase III</w:t>
      </w:r>
      <w:r w:rsidRPr="00D83943">
        <w:t xml:space="preserve"> studies (CRD3001 and CRD3002) and in random</w:t>
      </w:r>
      <w:r>
        <w:t>is</w:t>
      </w:r>
      <w:r w:rsidRPr="00D83943">
        <w:t xml:space="preserve">ed subjects in the </w:t>
      </w:r>
      <w:r w:rsidR="004B6C8D">
        <w:t>Phase III</w:t>
      </w:r>
      <w:r w:rsidRPr="00D83943">
        <w:t xml:space="preserve"> maintenance study (CRD3003). Overall, </w:t>
      </w:r>
      <w:r>
        <w:t xml:space="preserve">in the 5 Crohn’s disease studies, no </w:t>
      </w:r>
      <w:r w:rsidRPr="00D83943">
        <w:t>single opportunistic infection occurred in more than 1 subject with the exception of cases of</w:t>
      </w:r>
      <w:r>
        <w:t xml:space="preserve"> </w:t>
      </w:r>
      <w:r w:rsidRPr="00D83943">
        <w:t>nonserious oesophageal candidiasis which occurred in 2 placebo-treated subjects and</w:t>
      </w:r>
      <w:r>
        <w:t xml:space="preserve"> </w:t>
      </w:r>
      <w:r w:rsidRPr="00D83943">
        <w:t>3 ustekinumab-treated subjects.</w:t>
      </w:r>
      <w:r w:rsidR="00EF0460">
        <w:t xml:space="preserve"> </w:t>
      </w:r>
      <w:r w:rsidRPr="00D83943">
        <w:t>Through Week 44 of the combined Crohn’s disease studies, there was 1 event of presumed</w:t>
      </w:r>
      <w:r>
        <w:t xml:space="preserve"> </w:t>
      </w:r>
      <w:r w:rsidRPr="00D83943">
        <w:t xml:space="preserve">active primary </w:t>
      </w:r>
      <w:r w:rsidR="0047259F">
        <w:t>tuberculosis (</w:t>
      </w:r>
      <w:r w:rsidRPr="00D83943">
        <w:t>TB</w:t>
      </w:r>
      <w:r w:rsidR="0047259F">
        <w:t>)</w:t>
      </w:r>
      <w:r w:rsidRPr="00D83943">
        <w:t xml:space="preserve"> reported in a subject (10 months after their last ustekinumab dose) who</w:t>
      </w:r>
      <w:r>
        <w:t xml:space="preserve"> </w:t>
      </w:r>
      <w:r w:rsidRPr="00D83943">
        <w:t>was random</w:t>
      </w:r>
      <w:r>
        <w:t>is</w:t>
      </w:r>
      <w:r w:rsidRPr="00D83943">
        <w:t>ed to ustekinumab 130 mg IV as induction treatment and then received</w:t>
      </w:r>
      <w:r>
        <w:t xml:space="preserve"> </w:t>
      </w:r>
      <w:r w:rsidRPr="00D83943">
        <w:t>pl</w:t>
      </w:r>
      <w:r w:rsidR="0047259F">
        <w:t xml:space="preserve">acebo maintenance treatment in </w:t>
      </w:r>
      <w:r w:rsidR="00F221E4">
        <w:t>Study CR</w:t>
      </w:r>
      <w:r w:rsidRPr="00D83943">
        <w:t>D3003.</w:t>
      </w:r>
    </w:p>
    <w:p w14:paraId="3509E6A7" w14:textId="31EE7CC2" w:rsidR="00013951" w:rsidRPr="00984F57" w:rsidRDefault="00013951" w:rsidP="004B6C8D">
      <w:r w:rsidRPr="00D83943">
        <w:t>The proportion of subjects with AEs temporally associated with infusions (defined as AEs</w:t>
      </w:r>
      <w:r>
        <w:t xml:space="preserve"> </w:t>
      </w:r>
      <w:r w:rsidRPr="00D83943">
        <w:t>reported during or within 1 hour following the IV infusion) was low and generally</w:t>
      </w:r>
      <w:r>
        <w:t xml:space="preserve"> comparable a</w:t>
      </w:r>
      <w:r w:rsidRPr="00D83943">
        <w:t>cross treatment groups (2.9% in the placebo-treated subjects and 3.4% in</w:t>
      </w:r>
      <w:r>
        <w:t xml:space="preserve"> </w:t>
      </w:r>
      <w:r w:rsidRPr="00D83943">
        <w:t>ustekinumab-treated subjects) across the 5 Crohn’s disease studies. None of these events</w:t>
      </w:r>
      <w:r>
        <w:t xml:space="preserve"> </w:t>
      </w:r>
      <w:r w:rsidRPr="00D83943">
        <w:t>were considered to be serious or severe in subjects treated with ustekinumab</w:t>
      </w:r>
      <w:r>
        <w:t>.</w:t>
      </w:r>
    </w:p>
    <w:p w14:paraId="7EC27850" w14:textId="77777777" w:rsidR="00815F43" w:rsidRDefault="00013951" w:rsidP="004B6C8D">
      <w:r w:rsidRPr="00D83943">
        <w:lastRenderedPageBreak/>
        <w:t xml:space="preserve">During the placebo-controlled period no malignancies, serious MACE, deaths, anaphylactic reactions, reversible posterior leukoencephalopathy syndrome (RPLS) or definitive cases of progressive multifocal leukoencephalopathy (PML) were </w:t>
      </w:r>
      <w:r>
        <w:t>re</w:t>
      </w:r>
      <w:r w:rsidRPr="00D83943">
        <w:t>ported in the</w:t>
      </w:r>
      <w:r>
        <w:t xml:space="preserve"> </w:t>
      </w:r>
      <w:r w:rsidRPr="00D83943">
        <w:t>5 Crohn’s disease studies through 1 year</w:t>
      </w:r>
      <w:r>
        <w:t>.</w:t>
      </w:r>
    </w:p>
    <w:p w14:paraId="2500FF8A" w14:textId="2534EC7B" w:rsidR="00013951" w:rsidRPr="00D83943" w:rsidRDefault="00013951" w:rsidP="004B6C8D">
      <w:r>
        <w:t>T</w:t>
      </w:r>
      <w:r w:rsidRPr="00D83943">
        <w:t>he proportions of subjects</w:t>
      </w:r>
      <w:r>
        <w:t xml:space="preserve"> </w:t>
      </w:r>
      <w:r w:rsidRPr="00D83943">
        <w:t>experiencing markedly abnormal values in haematology and chemistry laboratory test results</w:t>
      </w:r>
      <w:r>
        <w:t xml:space="preserve"> </w:t>
      </w:r>
      <w:r w:rsidRPr="00D83943">
        <w:t>were low and were generally comparable among the treatment groups (placebo and all</w:t>
      </w:r>
      <w:r>
        <w:t xml:space="preserve"> </w:t>
      </w:r>
      <w:r w:rsidRPr="00D83943">
        <w:t>ustekinumab dose groups). The incidence of antibodies to ustekinumab in the Crohn’s disease studies was low and no subject who was positive for antibodies had a</w:t>
      </w:r>
      <w:r>
        <w:t xml:space="preserve"> </w:t>
      </w:r>
      <w:r w:rsidRPr="00D83943">
        <w:t>reaction related to study agent administration.</w:t>
      </w:r>
    </w:p>
    <w:p w14:paraId="32580C1A" w14:textId="77777777" w:rsidR="00013951" w:rsidRDefault="00013951" w:rsidP="004B6C8D">
      <w:r w:rsidRPr="00956C75">
        <w:t>Overall, no trends were apparent with regard to differences in the proportions of subjects</w:t>
      </w:r>
      <w:r>
        <w:t xml:space="preserve"> </w:t>
      </w:r>
      <w:r w:rsidRPr="00956C75">
        <w:t>with AEs, SAEs, infections, or who discontinued due to AEs, when evaluated by</w:t>
      </w:r>
      <w:r>
        <w:t xml:space="preserve"> </w:t>
      </w:r>
      <w:r w:rsidRPr="00956C75">
        <w:t>demographics, baseline disease characteristics, concomitant Crohn's disease medications</w:t>
      </w:r>
      <w:r>
        <w:t xml:space="preserve"> </w:t>
      </w:r>
      <w:r w:rsidRPr="00956C75">
        <w:t>(</w:t>
      </w:r>
      <w:r w:rsidR="00957FBB">
        <w:t>immune-</w:t>
      </w:r>
      <w:r w:rsidRPr="00956C75">
        <w:t>modulators and/or corticosteroids) or tumor necrosis factor (TNF) antagonist</w:t>
      </w:r>
      <w:r>
        <w:t xml:space="preserve"> </w:t>
      </w:r>
      <w:r w:rsidRPr="00956C75">
        <w:t>failure history</w:t>
      </w:r>
      <w:r>
        <w:t>.</w:t>
      </w:r>
    </w:p>
    <w:p w14:paraId="035FC2DB" w14:textId="77777777" w:rsidR="00815F43" w:rsidRDefault="00013951" w:rsidP="004B6C8D">
      <w:r w:rsidRPr="00984F57">
        <w:t>There were no meaningful differences between ustekinumab treatment groups and placebo treatment groups in the overall safety profile for both induction treatment (ustekinumab 130 mg IV and 6 mg/kg IV) and maintenance treatment (ustekinumab 90 mg SC q8w and q12w) through 1 year. In addition, no apparent dose effect between ustekinumab treatment groups was seen. Safety data from the Crohn’s disease studies were consistent with those from the approved indications of psoriasis and PsA</w:t>
      </w:r>
      <w:r w:rsidRPr="008F435A">
        <w:t>. With the</w:t>
      </w:r>
      <w:r>
        <w:t xml:space="preserve"> </w:t>
      </w:r>
      <w:r w:rsidRPr="008F435A">
        <w:t xml:space="preserve">exception of the new nonserious </w:t>
      </w:r>
      <w:r w:rsidR="0047259F">
        <w:t>adverse drug reactions (</w:t>
      </w:r>
      <w:r w:rsidRPr="008F435A">
        <w:t>ADRs</w:t>
      </w:r>
      <w:r w:rsidR="0047259F">
        <w:t>)</w:t>
      </w:r>
      <w:r w:rsidRPr="008F435A">
        <w:t xml:space="preserve"> of acne, asthenia, vomiting and vulvovaginal mycotic</w:t>
      </w:r>
      <w:r>
        <w:t xml:space="preserve"> </w:t>
      </w:r>
      <w:r w:rsidRPr="008F435A">
        <w:t>infections there were no new types or patterns of AEs identified. There is no clear impact of</w:t>
      </w:r>
      <w:r>
        <w:t xml:space="preserve"> </w:t>
      </w:r>
      <w:r w:rsidRPr="008F435A">
        <w:t>ustekinu</w:t>
      </w:r>
      <w:r>
        <w:t>ma</w:t>
      </w:r>
      <w:r w:rsidRPr="008F435A">
        <w:t>b on the safety events of serious infection, malignancy, infusion reactions, and</w:t>
      </w:r>
      <w:r>
        <w:t xml:space="preserve"> </w:t>
      </w:r>
      <w:r w:rsidRPr="008F435A">
        <w:t>serious MACE.</w:t>
      </w:r>
    </w:p>
    <w:p w14:paraId="593E0982" w14:textId="7A60E187" w:rsidR="00815F43" w:rsidRDefault="00013951" w:rsidP="004B6C8D">
      <w:r w:rsidRPr="00314D19">
        <w:t>Through 1 year of follow-up across all pooled indications, a total 5884 subjects were treated with</w:t>
      </w:r>
      <w:r>
        <w:t xml:space="preserve"> </w:t>
      </w:r>
      <w:r w:rsidRPr="00314D19">
        <w:t>ustekinumab, with a total of 4521 subject-years of follow-up:</w:t>
      </w:r>
      <w:r>
        <w:t xml:space="preserve"> </w:t>
      </w:r>
      <w:r w:rsidRPr="00314D19">
        <w:t>1749 subjects in the combined Crohn’s disease studies</w:t>
      </w:r>
      <w:r>
        <w:t xml:space="preserve">, </w:t>
      </w:r>
      <w:r w:rsidRPr="00314D19">
        <w:t>3117 in the combined psoriasis studies</w:t>
      </w:r>
      <w:r>
        <w:t xml:space="preserve">, </w:t>
      </w:r>
      <w:r w:rsidRPr="00314D19">
        <w:t>1018 in the combined PsA studies</w:t>
      </w:r>
      <w:r>
        <w:t xml:space="preserve">. </w:t>
      </w:r>
      <w:r w:rsidRPr="00314D19">
        <w:t>Overall, the safety data from the Crohn’s disease studies does not appear to have altered the well-character</w:t>
      </w:r>
      <w:r>
        <w:t>is</w:t>
      </w:r>
      <w:r w:rsidRPr="00314D19">
        <w:t>ed ustekinumab safety profile established in the approved indications of psoriasis and PsA</w:t>
      </w:r>
      <w:r>
        <w:t>.</w:t>
      </w:r>
    </w:p>
    <w:p w14:paraId="7BE286FF" w14:textId="3171DC99" w:rsidR="00013951" w:rsidRPr="00013951" w:rsidRDefault="00013951" w:rsidP="004B6C8D">
      <w:r w:rsidRPr="00984F57">
        <w:t>Ustekinumab was well tolerated in Crohn’s disease, including subjects who received the proposed induction and maintenance dosages (</w:t>
      </w:r>
      <w:r w:rsidR="0047259F">
        <w:t>that is,</w:t>
      </w:r>
      <w:r w:rsidRPr="00984F57">
        <w:t xml:space="preserve"> 6 mg/kg IV followed by 90 mg SC q8w).</w:t>
      </w:r>
      <w:r w:rsidRPr="008F435A">
        <w:t>The comprehensive safety analyses presented in the Crohn’s disease population, in 5 studies with 1,749 ustekinumab-treated subjects with up to 1 year of follow-up, combined with data from</w:t>
      </w:r>
      <w:r w:rsidRPr="002B18B5">
        <w:t xml:space="preserve"> the psoriatic indications, support the safety of ustekinumab in the treatment of patients with moderately to severely active Crohn’s disease</w:t>
      </w:r>
      <w:r>
        <w:t>.</w:t>
      </w:r>
    </w:p>
    <w:p w14:paraId="3C61D6D4" w14:textId="05CC9BC3" w:rsidR="00605AD4" w:rsidRPr="00605AD4" w:rsidRDefault="00D44286" w:rsidP="00605AD4">
      <w:pPr>
        <w:pStyle w:val="Heading3"/>
        <w:rPr>
          <w:rFonts w:eastAsia="Cambria"/>
        </w:rPr>
      </w:pPr>
      <w:bookmarkStart w:id="99" w:name="_Toc497744824"/>
      <w:r>
        <w:rPr>
          <w:rFonts w:eastAsia="Cambria"/>
        </w:rPr>
        <w:t>First round benefit r</w:t>
      </w:r>
      <w:r w:rsidR="00605AD4" w:rsidRPr="00605AD4">
        <w:rPr>
          <w:rFonts w:eastAsia="Cambria"/>
        </w:rPr>
        <w:t xml:space="preserve">isk </w:t>
      </w:r>
      <w:r>
        <w:rPr>
          <w:rFonts w:eastAsia="Cambria"/>
        </w:rPr>
        <w:t>a</w:t>
      </w:r>
      <w:r w:rsidR="00605AD4" w:rsidRPr="00605AD4">
        <w:rPr>
          <w:rFonts w:eastAsia="Cambria"/>
        </w:rPr>
        <w:t>ssessment</w:t>
      </w:r>
      <w:bookmarkEnd w:id="99"/>
    </w:p>
    <w:p w14:paraId="107B55F7" w14:textId="77777777" w:rsidR="00605AD4" w:rsidRDefault="00605AD4" w:rsidP="00605AD4">
      <w:pPr>
        <w:pStyle w:val="Heading4"/>
      </w:pPr>
      <w:r w:rsidRPr="00605AD4">
        <w:t>First round assessment of benefits</w:t>
      </w:r>
    </w:p>
    <w:tbl>
      <w:tblPr>
        <w:tblStyle w:val="TableTGAblue"/>
        <w:tblW w:w="0" w:type="auto"/>
        <w:tblLook w:val="04A0" w:firstRow="1" w:lastRow="0" w:firstColumn="1" w:lastColumn="0" w:noHBand="0" w:noVBand="1"/>
        <w:tblDescription w:val="First round assessment of benefits tables contains 2 heading columns: 1. benefits and 2. strengths and uncertainties"/>
      </w:tblPr>
      <w:tblGrid>
        <w:gridCol w:w="3800"/>
        <w:gridCol w:w="4920"/>
      </w:tblGrid>
      <w:tr w:rsidR="00013951" w:rsidRPr="0047259F" w14:paraId="475515E2" w14:textId="77777777" w:rsidTr="00B53476">
        <w:trPr>
          <w:cnfStyle w:val="100000000000" w:firstRow="1" w:lastRow="0" w:firstColumn="0" w:lastColumn="0" w:oddVBand="0" w:evenVBand="0" w:oddHBand="0" w:evenHBand="0" w:firstRowFirstColumn="0" w:firstRowLastColumn="0" w:lastRowFirstColumn="0" w:lastRowLastColumn="0"/>
          <w:cantSplit/>
        </w:trPr>
        <w:tc>
          <w:tcPr>
            <w:tcW w:w="8789" w:type="dxa"/>
            <w:gridSpan w:val="2"/>
          </w:tcPr>
          <w:p w14:paraId="669D9B20" w14:textId="71B8F6BE" w:rsidR="00013951" w:rsidRPr="00B53476" w:rsidRDefault="00013951" w:rsidP="00B53476">
            <w:pPr>
              <w:pStyle w:val="TableTitle"/>
              <w:rPr>
                <w:b/>
              </w:rPr>
            </w:pPr>
            <w:r w:rsidRPr="00B53476">
              <w:rPr>
                <w:b/>
              </w:rPr>
              <w:t>Indication</w:t>
            </w:r>
          </w:p>
        </w:tc>
      </w:tr>
      <w:tr w:rsidR="00013951" w:rsidRPr="0047259F" w14:paraId="6ADBB45B" w14:textId="77777777" w:rsidTr="00B53476">
        <w:trPr>
          <w:cantSplit/>
        </w:trPr>
        <w:tc>
          <w:tcPr>
            <w:tcW w:w="3828" w:type="dxa"/>
          </w:tcPr>
          <w:p w14:paraId="2635513A" w14:textId="77777777" w:rsidR="00013951" w:rsidRPr="00B53476" w:rsidRDefault="00013951" w:rsidP="00B53476">
            <w:pPr>
              <w:pStyle w:val="TableTitle"/>
              <w:rPr>
                <w:b w:val="0"/>
                <w:color w:val="auto"/>
              </w:rPr>
            </w:pPr>
            <w:r w:rsidRPr="00B53476">
              <w:rPr>
                <w:color w:val="auto"/>
              </w:rPr>
              <w:t>Benefits</w:t>
            </w:r>
          </w:p>
        </w:tc>
        <w:tc>
          <w:tcPr>
            <w:tcW w:w="4961" w:type="dxa"/>
          </w:tcPr>
          <w:p w14:paraId="6679D48B" w14:textId="77777777" w:rsidR="00013951" w:rsidRPr="00B53476" w:rsidRDefault="00013951" w:rsidP="00B53476">
            <w:pPr>
              <w:pStyle w:val="TableTitle"/>
              <w:rPr>
                <w:b w:val="0"/>
                <w:color w:val="auto"/>
              </w:rPr>
            </w:pPr>
            <w:r w:rsidRPr="00B53476">
              <w:rPr>
                <w:color w:val="auto"/>
              </w:rPr>
              <w:t>Strengths and Uncertainties</w:t>
            </w:r>
          </w:p>
        </w:tc>
      </w:tr>
      <w:tr w:rsidR="00013951" w:rsidRPr="00461314" w14:paraId="4CAF4E0E" w14:textId="77777777" w:rsidTr="0047259F">
        <w:tc>
          <w:tcPr>
            <w:tcW w:w="3828" w:type="dxa"/>
          </w:tcPr>
          <w:p w14:paraId="09A2FB6D" w14:textId="77777777" w:rsidR="00013951" w:rsidRPr="00461314" w:rsidRDefault="00013951" w:rsidP="00B53476">
            <w:pPr>
              <w:pStyle w:val="Tabletext"/>
            </w:pPr>
            <w:r w:rsidRPr="00461314">
              <w:t>IV induction therapy with proposed dose of 6mg/kg showed statistically and clinically significant benefits over placebo in both pivotal induction studies (CRD3001 and CRD3002).</w:t>
            </w:r>
          </w:p>
        </w:tc>
        <w:tc>
          <w:tcPr>
            <w:tcW w:w="4961" w:type="dxa"/>
          </w:tcPr>
          <w:p w14:paraId="6A052BFC" w14:textId="77777777" w:rsidR="00815F43" w:rsidRDefault="0047259F" w:rsidP="00B53476">
            <w:pPr>
              <w:pStyle w:val="Tabletext"/>
              <w:rPr>
                <w:u w:val="single"/>
              </w:rPr>
            </w:pPr>
            <w:r>
              <w:rPr>
                <w:u w:val="single"/>
              </w:rPr>
              <w:t>Clinical response at W</w:t>
            </w:r>
            <w:r w:rsidR="00013951" w:rsidRPr="00461314">
              <w:rPr>
                <w:u w:val="single"/>
              </w:rPr>
              <w:t>eek 6:</w:t>
            </w:r>
          </w:p>
          <w:p w14:paraId="2BE43E66" w14:textId="000A8CA8" w:rsidR="00815F43" w:rsidRDefault="00F221E4" w:rsidP="00B53476">
            <w:pPr>
              <w:pStyle w:val="Tabletext"/>
            </w:pPr>
            <w:r>
              <w:t>Study CR</w:t>
            </w:r>
            <w:r w:rsidR="00013951" w:rsidRPr="00461314">
              <w:t xml:space="preserve">D3001: 33.7%, 34.3% and 21.5% in ustekinumab IV 6mg/kg, 130mg and placebo groups, respectively. </w:t>
            </w:r>
            <w:r>
              <w:t>Study CR</w:t>
            </w:r>
            <w:r w:rsidR="00013951" w:rsidRPr="00461314">
              <w:t>D3002: 55.5%, 51.7% and 28.7%, respectively.</w:t>
            </w:r>
          </w:p>
          <w:p w14:paraId="4827B89B" w14:textId="2FC2A7D4" w:rsidR="00815F43" w:rsidRDefault="0047259F" w:rsidP="00B53476">
            <w:pPr>
              <w:pStyle w:val="Tabletext"/>
            </w:pPr>
            <w:r>
              <w:rPr>
                <w:u w:val="single"/>
              </w:rPr>
              <w:lastRenderedPageBreak/>
              <w:t>Clinical remission at W</w:t>
            </w:r>
            <w:r w:rsidR="00013951" w:rsidRPr="00461314">
              <w:rPr>
                <w:u w:val="single"/>
              </w:rPr>
              <w:t xml:space="preserve">eek 8: </w:t>
            </w:r>
            <w:r w:rsidR="00F221E4">
              <w:t>Study CR</w:t>
            </w:r>
            <w:r w:rsidR="00013951" w:rsidRPr="00461314">
              <w:t xml:space="preserve">D3001: 20.9%, 15.9% and 7.3% in ustekinumab IV 6mg/kg, 130mg and placebo groups, respectively. </w:t>
            </w:r>
            <w:r w:rsidR="00F221E4">
              <w:t>Study CR</w:t>
            </w:r>
            <w:r w:rsidR="00013951" w:rsidRPr="00461314">
              <w:t>D3002: 40.2%, 30.6% and 19.6%, respectively.</w:t>
            </w:r>
          </w:p>
          <w:p w14:paraId="5440955F" w14:textId="730C5AB6" w:rsidR="00013951" w:rsidRPr="00461314" w:rsidRDefault="00013951" w:rsidP="00B53476">
            <w:pPr>
              <w:pStyle w:val="Tabletext"/>
              <w:rPr>
                <w:i/>
              </w:rPr>
            </w:pPr>
            <w:r w:rsidRPr="00461314">
              <w:t xml:space="preserve">95% CI </w:t>
            </w:r>
            <w:r>
              <w:t xml:space="preserve">were </w:t>
            </w:r>
            <w:r w:rsidRPr="00461314">
              <w:t>not provided in the CSR</w:t>
            </w:r>
            <w:r>
              <w:t>s of studies CRD3001 and CRD3002</w:t>
            </w:r>
            <w:r w:rsidRPr="00461314">
              <w:t>; only p-values were provided.</w:t>
            </w:r>
          </w:p>
        </w:tc>
      </w:tr>
      <w:tr w:rsidR="00013951" w:rsidRPr="00461314" w14:paraId="77588DCB" w14:textId="77777777" w:rsidTr="0047259F">
        <w:tc>
          <w:tcPr>
            <w:tcW w:w="3828" w:type="dxa"/>
          </w:tcPr>
          <w:p w14:paraId="7C52422E" w14:textId="77777777" w:rsidR="00013951" w:rsidRPr="00461314" w:rsidRDefault="00013951" w:rsidP="00B53476">
            <w:pPr>
              <w:pStyle w:val="Tabletext"/>
            </w:pPr>
            <w:r w:rsidRPr="00461314">
              <w:lastRenderedPageBreak/>
              <w:t>Rapid improvement in signs and symptoms of moderate to severely active Crohn’s disease following IV induction treatment with ustekinumab.</w:t>
            </w:r>
          </w:p>
        </w:tc>
        <w:tc>
          <w:tcPr>
            <w:tcW w:w="4961" w:type="dxa"/>
          </w:tcPr>
          <w:p w14:paraId="7AC1C968" w14:textId="47F73DD8" w:rsidR="00013951" w:rsidRPr="00461314" w:rsidRDefault="00013951" w:rsidP="00B53476">
            <w:pPr>
              <w:pStyle w:val="Tabletext"/>
            </w:pPr>
            <w:r w:rsidRPr="00461314">
              <w:t xml:space="preserve">Statistically significant benefits compared to placebo observed after </w:t>
            </w:r>
            <w:r w:rsidR="00516729">
              <w:t>W</w:t>
            </w:r>
            <w:r w:rsidRPr="00461314">
              <w:t>eek 3 following uste</w:t>
            </w:r>
            <w:r w:rsidR="00B471B6">
              <w:t>kinumab IV induction treatment.</w:t>
            </w:r>
          </w:p>
        </w:tc>
      </w:tr>
      <w:tr w:rsidR="00013951" w:rsidRPr="00461314" w14:paraId="031BA858" w14:textId="77777777" w:rsidTr="0047259F">
        <w:tc>
          <w:tcPr>
            <w:tcW w:w="3828" w:type="dxa"/>
          </w:tcPr>
          <w:p w14:paraId="1B449E0F" w14:textId="10C84B2A" w:rsidR="00013951" w:rsidRPr="00461314" w:rsidRDefault="00013951" w:rsidP="00B53476">
            <w:pPr>
              <w:pStyle w:val="Tabletext"/>
            </w:pPr>
            <w:r w:rsidRPr="00461314">
              <w:t>In patients who responded to IV induction therapy, maintenance of efficacy</w:t>
            </w:r>
            <w:r w:rsidR="00EF0460">
              <w:t xml:space="preserve"> </w:t>
            </w:r>
            <w:r w:rsidRPr="00461314">
              <w:t>shown up to 44 weeks following</w:t>
            </w:r>
            <w:r w:rsidR="00EF0460">
              <w:t xml:space="preserve"> </w:t>
            </w:r>
            <w:r w:rsidRPr="00461314">
              <w:t>SC ustekinumab 90mg given every 8 weeks or 12 weeks.</w:t>
            </w:r>
          </w:p>
        </w:tc>
        <w:tc>
          <w:tcPr>
            <w:tcW w:w="4961" w:type="dxa"/>
          </w:tcPr>
          <w:p w14:paraId="32705BEC" w14:textId="77777777" w:rsidR="00013951" w:rsidRDefault="0047259F" w:rsidP="00B53476">
            <w:pPr>
              <w:pStyle w:val="Tabletext"/>
            </w:pPr>
            <w:r>
              <w:t>Clinical remission at W</w:t>
            </w:r>
            <w:r w:rsidR="00013951">
              <w:t>eek 44 was 35.9%, 48.8% and 53.1% in the placebo, ustekinumab q12w and q8w groups, respectively.</w:t>
            </w:r>
          </w:p>
          <w:p w14:paraId="1B834899" w14:textId="77777777" w:rsidR="00013951" w:rsidRDefault="0047259F" w:rsidP="00B53476">
            <w:pPr>
              <w:pStyle w:val="Tabletext"/>
            </w:pPr>
            <w:r>
              <w:t>Clinical response at W</w:t>
            </w:r>
            <w:r w:rsidR="00013951">
              <w:t>eek 44 was 44.3%, 58.1% and 59.4%, respectively.</w:t>
            </w:r>
          </w:p>
          <w:p w14:paraId="1684E396" w14:textId="77777777" w:rsidR="00013951" w:rsidRPr="00461314" w:rsidRDefault="00013951" w:rsidP="00B53476">
            <w:pPr>
              <w:pStyle w:val="Tabletext"/>
            </w:pPr>
            <w:r>
              <w:t>Corticosteroid free r</w:t>
            </w:r>
            <w:r w:rsidR="0047259F">
              <w:t>emission at W</w:t>
            </w:r>
            <w:r>
              <w:t>eek 44 was 29.8%, 42.6% and 46.9%, respectively.</w:t>
            </w:r>
          </w:p>
        </w:tc>
      </w:tr>
      <w:tr w:rsidR="00013951" w:rsidRPr="00461314" w14:paraId="51FE1911" w14:textId="77777777" w:rsidTr="0047259F">
        <w:tc>
          <w:tcPr>
            <w:tcW w:w="3828" w:type="dxa"/>
          </w:tcPr>
          <w:p w14:paraId="5715E9F2" w14:textId="3C00F0C1" w:rsidR="00013951" w:rsidRPr="00461314" w:rsidRDefault="00013951" w:rsidP="00B53476">
            <w:pPr>
              <w:pStyle w:val="Tabletext"/>
              <w:rPr>
                <w:i/>
              </w:rPr>
            </w:pPr>
            <w:r w:rsidRPr="00461314">
              <w:rPr>
                <w:rFonts w:eastAsia="TimesNewRoman" w:cs="TimesNewRoman"/>
              </w:rPr>
              <w:t>Demonstrated consistent efficacy across the full spectrum of patients with moderately to severely active Crohn’s disease, from those who had failed conventional therapies and were TNF-naïve to those who had failed TNF</w:t>
            </w:r>
          </w:p>
        </w:tc>
        <w:tc>
          <w:tcPr>
            <w:tcW w:w="4961" w:type="dxa"/>
          </w:tcPr>
          <w:p w14:paraId="0949A1CB" w14:textId="77777777" w:rsidR="00815F43" w:rsidRDefault="00013951" w:rsidP="00B53476">
            <w:pPr>
              <w:pStyle w:val="Tabletext"/>
            </w:pPr>
            <w:r w:rsidRPr="00461314">
              <w:t xml:space="preserve">Statistically and clinically significant benefits with ustekinumab IV induction and SC maintenance treatment in all 3 pivotal </w:t>
            </w:r>
            <w:r w:rsidR="004B6C8D">
              <w:t>Phase III</w:t>
            </w:r>
            <w:r w:rsidRPr="00461314">
              <w:t xml:space="preserve"> studies (CRD3001, CRD3002 and CRD3003). Although response and remission rates were slightly l</w:t>
            </w:r>
            <w:r w:rsidR="0047259F">
              <w:t xml:space="preserve">ower in </w:t>
            </w:r>
            <w:r w:rsidR="00F221E4">
              <w:t>Study CR</w:t>
            </w:r>
            <w:r w:rsidRPr="00461314">
              <w:t xml:space="preserve">D3001 (patients failed TNF-antagonist treatment) compared to </w:t>
            </w:r>
            <w:r w:rsidR="00F221E4">
              <w:t>Study CR</w:t>
            </w:r>
            <w:r w:rsidRPr="00461314">
              <w:t>D3002 (failed conventional therapy), the difference compared with placebo were statistically and clinically significant in both studies.</w:t>
            </w:r>
          </w:p>
          <w:p w14:paraId="2B6B6493" w14:textId="0752484E" w:rsidR="00013951" w:rsidRPr="00461314" w:rsidRDefault="00013951" w:rsidP="00B53476">
            <w:pPr>
              <w:pStyle w:val="Tabletext"/>
            </w:pPr>
            <w:r>
              <w:t>B</w:t>
            </w:r>
            <w:r w:rsidRPr="00461314">
              <w:t>enefit of maintenance therapy in patients unresponsive to TNF-antagonist therapy not statistically significant although still n</w:t>
            </w:r>
            <w:r w:rsidR="00B471B6">
              <w:t>umerically better than placebo.</w:t>
            </w:r>
          </w:p>
        </w:tc>
      </w:tr>
      <w:tr w:rsidR="00013951" w:rsidRPr="00461314" w14:paraId="7BC0E991" w14:textId="77777777" w:rsidTr="0047259F">
        <w:tc>
          <w:tcPr>
            <w:tcW w:w="3828" w:type="dxa"/>
          </w:tcPr>
          <w:p w14:paraId="1C148DD3" w14:textId="7AAC80B8" w:rsidR="00013951" w:rsidRPr="00461314" w:rsidRDefault="00013951" w:rsidP="00B53476">
            <w:pPr>
              <w:pStyle w:val="Tabletext"/>
              <w:rPr>
                <w:rFonts w:eastAsia="TimesNewRoman" w:cs="TimesNewRoman"/>
              </w:rPr>
            </w:pPr>
            <w:r w:rsidRPr="00461314">
              <w:rPr>
                <w:rFonts w:eastAsia="TimesNewRoman" w:cs="TimesNewRoman"/>
              </w:rPr>
              <w:t>Sustained clinical remission and clinical response observed in ustekinumab treatment groups.</w:t>
            </w:r>
          </w:p>
        </w:tc>
        <w:tc>
          <w:tcPr>
            <w:tcW w:w="4961" w:type="dxa"/>
          </w:tcPr>
          <w:p w14:paraId="5B9199AA" w14:textId="2A01AB5F" w:rsidR="00013951" w:rsidRPr="00461314" w:rsidRDefault="00013951" w:rsidP="00B53476">
            <w:pPr>
              <w:pStyle w:val="Tabletext"/>
            </w:pPr>
            <w:r w:rsidRPr="00461314">
              <w:t xml:space="preserve">Compared with placebo, patients treated with ustekinumab induction and maintenance treatment showed higher rates of sustained clinical remission (40.3%, 46.1% and 26% in 90mg q12w, 90mg q8w and placebo groups, respectively) and clinical response (53.5%, </w:t>
            </w:r>
            <w:r w:rsidR="00B471B6">
              <w:t>53.1% and 38.2%, respectively).</w:t>
            </w:r>
          </w:p>
        </w:tc>
      </w:tr>
      <w:tr w:rsidR="00013951" w:rsidRPr="00461314" w14:paraId="03A74119" w14:textId="77777777" w:rsidTr="0047259F">
        <w:tc>
          <w:tcPr>
            <w:tcW w:w="3828" w:type="dxa"/>
          </w:tcPr>
          <w:p w14:paraId="32CD6593" w14:textId="532B2AA3" w:rsidR="00013951" w:rsidRPr="00461314" w:rsidRDefault="00013951" w:rsidP="00B53476">
            <w:pPr>
              <w:pStyle w:val="Tabletext"/>
              <w:rPr>
                <w:rFonts w:eastAsia="TimesNewRoman" w:cs="TimesNewRoman"/>
              </w:rPr>
            </w:pPr>
            <w:r w:rsidRPr="00461314">
              <w:rPr>
                <w:rFonts w:eastAsia="TimesNewRoman" w:cs="TimesNewRoman"/>
              </w:rPr>
              <w:t>Induction and maintenance treatment with ustekinumab reduces the need for concom</w:t>
            </w:r>
            <w:r w:rsidR="00B53476">
              <w:rPr>
                <w:rFonts w:eastAsia="TimesNewRoman" w:cs="TimesNewRoman"/>
              </w:rPr>
              <w:t>itant corticosteroid treatment.</w:t>
            </w:r>
          </w:p>
        </w:tc>
        <w:tc>
          <w:tcPr>
            <w:tcW w:w="4961" w:type="dxa"/>
          </w:tcPr>
          <w:p w14:paraId="0CBE82A9" w14:textId="77777777" w:rsidR="00013951" w:rsidRPr="00461314" w:rsidRDefault="00013951" w:rsidP="00B53476">
            <w:pPr>
              <w:pStyle w:val="Tabletext"/>
            </w:pPr>
            <w:r w:rsidRPr="00461314">
              <w:rPr>
                <w:rFonts w:eastAsia="TimesNewRoman" w:cs="TimesNewRoman"/>
              </w:rPr>
              <w:t xml:space="preserve">The proportion of patients in clinical remission and not receiving concomitant corticosteroids for at least </w:t>
            </w:r>
            <w:r w:rsidR="00F221E4">
              <w:rPr>
                <w:rFonts w:eastAsia="TimesNewRoman" w:cs="TimesNewRoman"/>
              </w:rPr>
              <w:t>90 days (and 30 days) prior to W</w:t>
            </w:r>
            <w:r w:rsidRPr="00461314">
              <w:rPr>
                <w:rFonts w:eastAsia="TimesNewRoman" w:cs="TimesNewRoman"/>
              </w:rPr>
              <w:t>eek 44 was significantly greater in ustekinumab groups compared with placebo.</w:t>
            </w:r>
          </w:p>
        </w:tc>
      </w:tr>
      <w:tr w:rsidR="00013951" w:rsidRPr="00461314" w14:paraId="08D1A891" w14:textId="77777777" w:rsidTr="0047259F">
        <w:tc>
          <w:tcPr>
            <w:tcW w:w="3828" w:type="dxa"/>
          </w:tcPr>
          <w:p w14:paraId="42791C4C" w14:textId="77777777" w:rsidR="00013951" w:rsidRPr="00461314" w:rsidRDefault="00013951" w:rsidP="00B53476">
            <w:pPr>
              <w:pStyle w:val="Tabletext"/>
              <w:rPr>
                <w:rFonts w:cstheme="minorHAnsi"/>
              </w:rPr>
            </w:pPr>
            <w:r w:rsidRPr="00461314">
              <w:t xml:space="preserve">Improved objective markers of </w:t>
            </w:r>
            <w:r w:rsidRPr="00461314">
              <w:lastRenderedPageBreak/>
              <w:t>inflammation including both laboratory and tissue-based biomarkers of inflammation</w:t>
            </w:r>
          </w:p>
        </w:tc>
        <w:tc>
          <w:tcPr>
            <w:tcW w:w="4961" w:type="dxa"/>
          </w:tcPr>
          <w:p w14:paraId="3B3F5CA3" w14:textId="4076A0E6" w:rsidR="00013951" w:rsidRPr="00461314" w:rsidRDefault="00013951" w:rsidP="00B53476">
            <w:pPr>
              <w:pStyle w:val="Tabletext"/>
              <w:rPr>
                <w:rFonts w:cstheme="minorHAnsi"/>
              </w:rPr>
            </w:pPr>
            <w:r w:rsidRPr="00461314">
              <w:rPr>
                <w:rFonts w:cstheme="minorHAnsi"/>
              </w:rPr>
              <w:lastRenderedPageBreak/>
              <w:t xml:space="preserve">Biomarker analysis in the </w:t>
            </w:r>
            <w:r w:rsidR="004B6C8D">
              <w:rPr>
                <w:rFonts w:cstheme="minorHAnsi"/>
              </w:rPr>
              <w:t>Phase II</w:t>
            </w:r>
            <w:r w:rsidRPr="00461314">
              <w:rPr>
                <w:rFonts w:cstheme="minorHAnsi"/>
              </w:rPr>
              <w:t xml:space="preserve"> and </w:t>
            </w:r>
            <w:r w:rsidR="004B6C8D">
              <w:rPr>
                <w:rFonts w:cstheme="minorHAnsi"/>
              </w:rPr>
              <w:t>Phase III</w:t>
            </w:r>
            <w:r w:rsidRPr="00461314">
              <w:rPr>
                <w:rFonts w:cstheme="minorHAnsi"/>
              </w:rPr>
              <w:t xml:space="preserve"> </w:t>
            </w:r>
            <w:r w:rsidRPr="00461314">
              <w:rPr>
                <w:rFonts w:cstheme="minorHAnsi"/>
              </w:rPr>
              <w:lastRenderedPageBreak/>
              <w:t>studies showed significant improveme</w:t>
            </w:r>
            <w:r w:rsidR="00B471B6">
              <w:rPr>
                <w:rFonts w:cstheme="minorHAnsi"/>
              </w:rPr>
              <w:t>nts with ustekinumab treatment.</w:t>
            </w:r>
          </w:p>
        </w:tc>
      </w:tr>
      <w:tr w:rsidR="00013951" w:rsidRPr="00461314" w14:paraId="44F6CE90" w14:textId="77777777" w:rsidTr="0047259F">
        <w:tc>
          <w:tcPr>
            <w:tcW w:w="3828" w:type="dxa"/>
          </w:tcPr>
          <w:p w14:paraId="6E3C83DC" w14:textId="77777777" w:rsidR="00013951" w:rsidRPr="00461314" w:rsidRDefault="00013951" w:rsidP="00B53476">
            <w:pPr>
              <w:pStyle w:val="Tabletext"/>
              <w:rPr>
                <w:rFonts w:cstheme="minorHAnsi"/>
              </w:rPr>
            </w:pPr>
            <w:r w:rsidRPr="00461314">
              <w:lastRenderedPageBreak/>
              <w:t>Provided clinically meaningfully improvement in both disease-specific and general health related quality of life measures such as IBDQ and SF-36</w:t>
            </w:r>
            <w:r w:rsidR="00F221E4">
              <w:t>.</w:t>
            </w:r>
          </w:p>
        </w:tc>
        <w:tc>
          <w:tcPr>
            <w:tcW w:w="4961" w:type="dxa"/>
          </w:tcPr>
          <w:p w14:paraId="229B902D" w14:textId="135698B4" w:rsidR="00013951" w:rsidRPr="00461314" w:rsidRDefault="00013951" w:rsidP="00B53476">
            <w:pPr>
              <w:pStyle w:val="Tabletext"/>
              <w:rPr>
                <w:rFonts w:cstheme="minorHAnsi"/>
              </w:rPr>
            </w:pPr>
            <w:r w:rsidRPr="00461314">
              <w:rPr>
                <w:rFonts w:cstheme="minorHAnsi"/>
              </w:rPr>
              <w:t xml:space="preserve">Improvements in clinical response </w:t>
            </w:r>
            <w:r>
              <w:rPr>
                <w:rFonts w:cstheme="minorHAnsi"/>
              </w:rPr>
              <w:t xml:space="preserve">/ </w:t>
            </w:r>
            <w:r w:rsidRPr="00461314">
              <w:rPr>
                <w:rFonts w:cstheme="minorHAnsi"/>
              </w:rPr>
              <w:t xml:space="preserve">remission, laboratory markers associated with relevant </w:t>
            </w:r>
            <w:r w:rsidR="00B471B6">
              <w:rPr>
                <w:rFonts w:cstheme="minorHAnsi"/>
              </w:rPr>
              <w:t>improvement in quality of life.</w:t>
            </w:r>
          </w:p>
        </w:tc>
      </w:tr>
      <w:tr w:rsidR="00013951" w:rsidRPr="00461314" w14:paraId="087375B1" w14:textId="77777777" w:rsidTr="0047259F">
        <w:tc>
          <w:tcPr>
            <w:tcW w:w="3828" w:type="dxa"/>
          </w:tcPr>
          <w:p w14:paraId="4B5F3757" w14:textId="36544B8A" w:rsidR="00013951" w:rsidRPr="00461314" w:rsidRDefault="00013951" w:rsidP="00B53476">
            <w:pPr>
              <w:pStyle w:val="Tabletext"/>
              <w:rPr>
                <w:rFonts w:cstheme="minorHAnsi"/>
                <w:i/>
              </w:rPr>
            </w:pPr>
            <w:r w:rsidRPr="00461314">
              <w:t xml:space="preserve">Evidence for endoscopic healing of the mucosa after </w:t>
            </w:r>
            <w:r>
              <w:t xml:space="preserve">ustekinumab </w:t>
            </w:r>
            <w:r w:rsidRPr="00461314">
              <w:t>induction therapy.</w:t>
            </w:r>
          </w:p>
        </w:tc>
        <w:tc>
          <w:tcPr>
            <w:tcW w:w="4961" w:type="dxa"/>
          </w:tcPr>
          <w:p w14:paraId="77BD3EF9" w14:textId="77777777" w:rsidR="00815F43" w:rsidRDefault="00013951" w:rsidP="00B53476">
            <w:pPr>
              <w:pStyle w:val="Tabletext"/>
              <w:rPr>
                <w:rFonts w:cstheme="minorHAnsi"/>
              </w:rPr>
            </w:pPr>
            <w:r w:rsidRPr="00461314">
              <w:rPr>
                <w:rFonts w:cstheme="minorHAnsi"/>
              </w:rPr>
              <w:t>Among currently approved treatments for Crohn’s disease, evidence of endoscopic improvement and mucosal healing has only been shown for TNF antagonists, but not for biologics with other mechanisms of action.</w:t>
            </w:r>
          </w:p>
          <w:p w14:paraId="4C021F31" w14:textId="5AE2B4FD" w:rsidR="00013951" w:rsidRPr="00461314" w:rsidRDefault="00013951" w:rsidP="00B53476">
            <w:pPr>
              <w:pStyle w:val="Tabletext"/>
              <w:rPr>
                <w:rFonts w:cstheme="minorHAnsi"/>
              </w:rPr>
            </w:pPr>
            <w:r>
              <w:rPr>
                <w:rFonts w:cstheme="minorHAnsi"/>
              </w:rPr>
              <w:t>However, there was insufficient evidence for endoscopic healing with ustekinumab maintenance therapy.</w:t>
            </w:r>
          </w:p>
        </w:tc>
      </w:tr>
      <w:tr w:rsidR="00013951" w:rsidRPr="00812C33" w14:paraId="34E705A5" w14:textId="77777777" w:rsidTr="0047259F">
        <w:tc>
          <w:tcPr>
            <w:tcW w:w="3828" w:type="dxa"/>
          </w:tcPr>
          <w:p w14:paraId="5076C770" w14:textId="77777777" w:rsidR="00013951" w:rsidRPr="008B41C4" w:rsidRDefault="00013951" w:rsidP="00B53476">
            <w:pPr>
              <w:pStyle w:val="Tabletext"/>
              <w:rPr>
                <w:rFonts w:cstheme="minorHAnsi"/>
                <w:i/>
              </w:rPr>
            </w:pPr>
            <w:r>
              <w:t>E</w:t>
            </w:r>
            <w:r w:rsidRPr="008B41C4">
              <w:t>vidence of fistula response over a year of therapy</w:t>
            </w:r>
            <w:r w:rsidR="00F221E4">
              <w:t>.</w:t>
            </w:r>
          </w:p>
        </w:tc>
        <w:tc>
          <w:tcPr>
            <w:tcW w:w="4961" w:type="dxa"/>
          </w:tcPr>
          <w:p w14:paraId="77CE001B" w14:textId="77777777" w:rsidR="00013951" w:rsidRPr="00812C33" w:rsidRDefault="00013951" w:rsidP="00B53476">
            <w:pPr>
              <w:pStyle w:val="Tabletext"/>
              <w:rPr>
                <w:rFonts w:cs="Calibri"/>
                <w:i/>
              </w:rPr>
            </w:pPr>
            <w:r w:rsidRPr="00812C33">
              <w:rPr>
                <w:rFonts w:cs="Calibri"/>
              </w:rPr>
              <w:t xml:space="preserve">Draining fistulas are clinically important manifestations of Crohn’s disease for which there remains a large unmet medical need for new therapies. At Week 44, 80.0% (n=12/15) of subjects in the combined ustekinumab groups had a fistula response compared with 45.5% (n=5/11) in the placebo group. </w:t>
            </w:r>
            <w:r>
              <w:rPr>
                <w:rFonts w:cs="Calibri"/>
              </w:rPr>
              <w:t>However interpretation was limited by sample size.</w:t>
            </w:r>
          </w:p>
        </w:tc>
      </w:tr>
    </w:tbl>
    <w:p w14:paraId="1DD04BE8" w14:textId="77777777" w:rsidR="00605AD4" w:rsidRDefault="00605AD4" w:rsidP="00605AD4">
      <w:pPr>
        <w:pStyle w:val="Heading4"/>
      </w:pPr>
      <w:r w:rsidRPr="00605AD4">
        <w:t>First round assessment of risks</w:t>
      </w:r>
    </w:p>
    <w:tbl>
      <w:tblPr>
        <w:tblStyle w:val="TableGrid"/>
        <w:tblW w:w="0" w:type="auto"/>
        <w:tblInd w:w="108" w:type="dxa"/>
        <w:tblLook w:val="04A0" w:firstRow="1" w:lastRow="0" w:firstColumn="1" w:lastColumn="0" w:noHBand="0" w:noVBand="1"/>
        <w:tblDescription w:val="First round assessment of risks tables contains 2 heading columns: 1. Risks and 2. Strengths and Uncertainties."/>
      </w:tblPr>
      <w:tblGrid>
        <w:gridCol w:w="4306"/>
        <w:gridCol w:w="4306"/>
      </w:tblGrid>
      <w:tr w:rsidR="00013951" w:rsidRPr="003E2455" w14:paraId="63DB7030" w14:textId="77777777" w:rsidTr="00F745D9">
        <w:trPr>
          <w:tblHeader/>
        </w:trPr>
        <w:tc>
          <w:tcPr>
            <w:tcW w:w="4395" w:type="dxa"/>
            <w:shd w:val="clear" w:color="auto" w:fill="006DA7" w:themeFill="accent3"/>
          </w:tcPr>
          <w:p w14:paraId="5AFCC943" w14:textId="77777777" w:rsidR="00013951" w:rsidRPr="00B471B6" w:rsidRDefault="00013951" w:rsidP="00B471B6">
            <w:pPr>
              <w:pStyle w:val="TableTitle"/>
              <w:rPr>
                <w:color w:val="FFFFFF" w:themeColor="background1"/>
              </w:rPr>
            </w:pPr>
            <w:r w:rsidRPr="00B471B6">
              <w:rPr>
                <w:color w:val="FFFFFF" w:themeColor="background1"/>
              </w:rPr>
              <w:t>Risks</w:t>
            </w:r>
          </w:p>
        </w:tc>
        <w:tc>
          <w:tcPr>
            <w:tcW w:w="4394" w:type="dxa"/>
            <w:shd w:val="clear" w:color="auto" w:fill="006DA7" w:themeFill="accent3"/>
          </w:tcPr>
          <w:p w14:paraId="2EC20235" w14:textId="77777777" w:rsidR="00013951" w:rsidRPr="00B471B6" w:rsidRDefault="00013951" w:rsidP="00B471B6">
            <w:pPr>
              <w:pStyle w:val="TableTitle"/>
              <w:rPr>
                <w:color w:val="FFFFFF" w:themeColor="background1"/>
              </w:rPr>
            </w:pPr>
            <w:r w:rsidRPr="00B471B6">
              <w:rPr>
                <w:color w:val="FFFFFF" w:themeColor="background1"/>
              </w:rPr>
              <w:t>Strengths and Uncertainties</w:t>
            </w:r>
          </w:p>
        </w:tc>
      </w:tr>
      <w:tr w:rsidR="00013951" w:rsidRPr="008B41C4" w14:paraId="040E2CA7" w14:textId="77777777" w:rsidTr="00F745D9">
        <w:tc>
          <w:tcPr>
            <w:tcW w:w="4395" w:type="dxa"/>
          </w:tcPr>
          <w:p w14:paraId="746BBF78" w14:textId="77777777" w:rsidR="00013951" w:rsidRPr="00F33CA0" w:rsidRDefault="00013951" w:rsidP="00B53476">
            <w:pPr>
              <w:pStyle w:val="Tabletext"/>
            </w:pPr>
            <w:r w:rsidRPr="00F33CA0">
              <w:t xml:space="preserve">IV induction therapy associated with risks of anaphylaxis and/or serious infusion reactions. </w:t>
            </w:r>
          </w:p>
        </w:tc>
        <w:tc>
          <w:tcPr>
            <w:tcW w:w="4394" w:type="dxa"/>
          </w:tcPr>
          <w:p w14:paraId="649D5D38" w14:textId="77777777" w:rsidR="00013951" w:rsidRPr="00F33CA0" w:rsidRDefault="00013951" w:rsidP="00B53476">
            <w:pPr>
              <w:pStyle w:val="Tabletext"/>
            </w:pPr>
            <w:r w:rsidRPr="00F33CA0">
              <w:t>However, there were no reports of anaphylaxis or serious infusion reactions</w:t>
            </w:r>
            <w:r>
              <w:t xml:space="preserve"> in the 5 Crohn’s disease studies</w:t>
            </w:r>
            <w:r w:rsidRPr="00F33CA0">
              <w:t>.</w:t>
            </w:r>
          </w:p>
        </w:tc>
      </w:tr>
      <w:tr w:rsidR="00013951" w:rsidRPr="008B41C4" w14:paraId="70D9BCE6" w14:textId="77777777" w:rsidTr="00F745D9">
        <w:tc>
          <w:tcPr>
            <w:tcW w:w="4395" w:type="dxa"/>
          </w:tcPr>
          <w:p w14:paraId="2ED3A716" w14:textId="77777777" w:rsidR="00013951" w:rsidRPr="00F33CA0" w:rsidRDefault="00013951" w:rsidP="00B53476">
            <w:pPr>
              <w:pStyle w:val="Tabletext"/>
            </w:pPr>
            <w:r w:rsidRPr="00F33CA0">
              <w:t>Risks of malignancies and MACE</w:t>
            </w:r>
            <w:r w:rsidR="00F221E4">
              <w:t>.</w:t>
            </w:r>
          </w:p>
        </w:tc>
        <w:tc>
          <w:tcPr>
            <w:tcW w:w="4394" w:type="dxa"/>
          </w:tcPr>
          <w:p w14:paraId="08BDB51D" w14:textId="77777777" w:rsidR="00013951" w:rsidRPr="00F33CA0" w:rsidRDefault="00013951" w:rsidP="00B53476">
            <w:pPr>
              <w:pStyle w:val="Tabletext"/>
            </w:pPr>
            <w:r w:rsidRPr="00F33CA0">
              <w:t>There were no reports of MACE</w:t>
            </w:r>
            <w:r>
              <w:t xml:space="preserve"> or malignancies in the placebo-controlled periods of the</w:t>
            </w:r>
            <w:r w:rsidR="00EF0460">
              <w:t xml:space="preserve"> </w:t>
            </w:r>
            <w:r>
              <w:t>5 Crohn’s disease studies</w:t>
            </w:r>
            <w:r w:rsidRPr="00F33CA0">
              <w:t xml:space="preserve">. </w:t>
            </w:r>
          </w:p>
        </w:tc>
      </w:tr>
      <w:tr w:rsidR="00013951" w:rsidRPr="008B41C4" w14:paraId="0AFD1903" w14:textId="77777777" w:rsidTr="00F745D9">
        <w:tc>
          <w:tcPr>
            <w:tcW w:w="4395" w:type="dxa"/>
          </w:tcPr>
          <w:p w14:paraId="6C30B990" w14:textId="77777777" w:rsidR="00013951" w:rsidRPr="00F33CA0" w:rsidRDefault="00013951" w:rsidP="00B53476">
            <w:pPr>
              <w:pStyle w:val="Tabletext"/>
            </w:pPr>
            <w:r w:rsidRPr="00F33CA0">
              <w:t>Risks of serious infections including opportunistic infections</w:t>
            </w:r>
            <w:r w:rsidR="00F221E4">
              <w:t>.</w:t>
            </w:r>
          </w:p>
        </w:tc>
        <w:tc>
          <w:tcPr>
            <w:tcW w:w="4394" w:type="dxa"/>
          </w:tcPr>
          <w:p w14:paraId="244BCCD0" w14:textId="77777777" w:rsidR="00013951" w:rsidRPr="00F33CA0" w:rsidRDefault="00013951" w:rsidP="00B53476">
            <w:pPr>
              <w:pStyle w:val="Tabletext"/>
            </w:pPr>
            <w:r>
              <w:rPr>
                <w:rFonts w:eastAsia="TimesNewRoman"/>
              </w:rPr>
              <w:t>P</w:t>
            </w:r>
            <w:r w:rsidRPr="00F33CA0">
              <w:rPr>
                <w:rFonts w:eastAsia="TimesNewRoman"/>
              </w:rPr>
              <w:t xml:space="preserve">roportion of subjects with serious infections was low and generally comparable across treatment groups with no evidence of a dose effect during the induction phase of the pooled </w:t>
            </w:r>
            <w:r w:rsidR="004B6C8D">
              <w:rPr>
                <w:rFonts w:eastAsia="TimesNewRoman"/>
              </w:rPr>
              <w:t>Phase III</w:t>
            </w:r>
            <w:r w:rsidRPr="00F33CA0">
              <w:rPr>
                <w:rFonts w:eastAsia="TimesNewRoman"/>
              </w:rPr>
              <w:t xml:space="preserve"> studies (CRD3001 and CRD3002) and in randomised subjects in the </w:t>
            </w:r>
            <w:r w:rsidR="004B6C8D">
              <w:rPr>
                <w:rFonts w:eastAsia="TimesNewRoman"/>
              </w:rPr>
              <w:t>Phase III</w:t>
            </w:r>
            <w:r w:rsidRPr="00F33CA0">
              <w:rPr>
                <w:rFonts w:eastAsia="TimesNewRoman"/>
              </w:rPr>
              <w:t xml:space="preserve"> maintenance study (CRD3003</w:t>
            </w:r>
            <w:r>
              <w:rPr>
                <w:rFonts w:eastAsia="TimesNewRoman"/>
              </w:rPr>
              <w:t>).</w:t>
            </w:r>
            <w:r w:rsidRPr="00F33CA0">
              <w:rPr>
                <w:rFonts w:eastAsia="TimesNewRoman"/>
              </w:rPr>
              <w:t xml:space="preserve"> In the 5 Crohn’s disease studies, no single opportunistic infection occurred in more than 1 subject with the exception of cases of nonserious oesophageal candidiasis which occurred in 2 placebo-treated subjects and 3 ustekinumab-treated subjects</w:t>
            </w:r>
          </w:p>
        </w:tc>
      </w:tr>
      <w:tr w:rsidR="00013951" w:rsidRPr="008B41C4" w14:paraId="136ECB77" w14:textId="77777777" w:rsidTr="00F745D9">
        <w:tc>
          <w:tcPr>
            <w:tcW w:w="4395" w:type="dxa"/>
          </w:tcPr>
          <w:p w14:paraId="08477DFF" w14:textId="77777777" w:rsidR="00013951" w:rsidRPr="00F33CA0" w:rsidRDefault="00013951" w:rsidP="00B53476">
            <w:pPr>
              <w:pStyle w:val="Tabletext"/>
              <w:rPr>
                <w:i/>
                <w:szCs w:val="20"/>
              </w:rPr>
            </w:pPr>
            <w:r w:rsidRPr="00F33CA0">
              <w:rPr>
                <w:szCs w:val="20"/>
              </w:rPr>
              <w:t xml:space="preserve">Review of Crohn’s safety data identified four </w:t>
            </w:r>
            <w:r w:rsidRPr="00F33CA0">
              <w:rPr>
                <w:szCs w:val="20"/>
              </w:rPr>
              <w:lastRenderedPageBreak/>
              <w:t>new ADRs of acne, asthenia, vulvovaginal mycotic infections and vomiting</w:t>
            </w:r>
            <w:r w:rsidR="00F221E4">
              <w:rPr>
                <w:szCs w:val="20"/>
              </w:rPr>
              <w:t>.</w:t>
            </w:r>
          </w:p>
        </w:tc>
        <w:tc>
          <w:tcPr>
            <w:tcW w:w="4394" w:type="dxa"/>
          </w:tcPr>
          <w:p w14:paraId="39B943E7" w14:textId="77777777" w:rsidR="00013951" w:rsidRPr="00F33CA0" w:rsidRDefault="00013951" w:rsidP="00B53476">
            <w:pPr>
              <w:pStyle w:val="Tabletext"/>
              <w:rPr>
                <w:i/>
                <w:szCs w:val="20"/>
                <w:u w:val="single"/>
              </w:rPr>
            </w:pPr>
            <w:r>
              <w:rPr>
                <w:szCs w:val="20"/>
              </w:rPr>
              <w:lastRenderedPageBreak/>
              <w:t xml:space="preserve">These have been included in the proposed PI. </w:t>
            </w:r>
          </w:p>
        </w:tc>
      </w:tr>
      <w:tr w:rsidR="00013951" w:rsidRPr="008B41C4" w14:paraId="39A70C78" w14:textId="77777777" w:rsidTr="00F745D9">
        <w:tc>
          <w:tcPr>
            <w:tcW w:w="4395" w:type="dxa"/>
          </w:tcPr>
          <w:p w14:paraId="1C803FD7" w14:textId="77777777" w:rsidR="00013951" w:rsidRPr="00F33CA0" w:rsidRDefault="00013951" w:rsidP="00B53476">
            <w:pPr>
              <w:pStyle w:val="Tabletext"/>
              <w:rPr>
                <w:szCs w:val="20"/>
              </w:rPr>
            </w:pPr>
            <w:r w:rsidRPr="00F33CA0">
              <w:rPr>
                <w:szCs w:val="20"/>
              </w:rPr>
              <w:lastRenderedPageBreak/>
              <w:t>Long-term safety in Crohn’s disease only evaluated up</w:t>
            </w:r>
            <w:r>
              <w:rPr>
                <w:szCs w:val="20"/>
              </w:rPr>
              <w:t xml:space="preserve"> </w:t>
            </w:r>
            <w:r w:rsidRPr="00F33CA0">
              <w:rPr>
                <w:szCs w:val="20"/>
              </w:rPr>
              <w:t>to 1 year</w:t>
            </w:r>
          </w:p>
        </w:tc>
        <w:tc>
          <w:tcPr>
            <w:tcW w:w="4394" w:type="dxa"/>
          </w:tcPr>
          <w:p w14:paraId="7F1DEA00" w14:textId="1D4038E8" w:rsidR="00013951" w:rsidRPr="00516729" w:rsidRDefault="00BF0AB8" w:rsidP="00B53476">
            <w:pPr>
              <w:pStyle w:val="Tabletext"/>
              <w:rPr>
                <w:szCs w:val="20"/>
              </w:rPr>
            </w:pPr>
            <w:r w:rsidRPr="00516729">
              <w:rPr>
                <w:szCs w:val="20"/>
              </w:rPr>
              <w:t>The extension of the pivotal Phase III maintenance Study CRD3003 through to 272 weeks</w:t>
            </w:r>
            <w:r w:rsidR="00013951" w:rsidRPr="00516729">
              <w:rPr>
                <w:szCs w:val="20"/>
              </w:rPr>
              <w:t xml:space="preserve"> should provide data on long term efficacy and safety of ustekinumab in Crohn’s disease. </w:t>
            </w:r>
          </w:p>
        </w:tc>
      </w:tr>
      <w:tr w:rsidR="00013951" w:rsidRPr="001D3237" w14:paraId="74DBD264" w14:textId="77777777" w:rsidTr="00F745D9">
        <w:tc>
          <w:tcPr>
            <w:tcW w:w="4395" w:type="dxa"/>
          </w:tcPr>
          <w:p w14:paraId="589624D8" w14:textId="77777777" w:rsidR="00013951" w:rsidRPr="001D3237" w:rsidRDefault="00013951" w:rsidP="00B53476">
            <w:pPr>
              <w:pStyle w:val="Tabletext"/>
              <w:rPr>
                <w:szCs w:val="20"/>
              </w:rPr>
            </w:pPr>
            <w:r w:rsidRPr="001D3237">
              <w:rPr>
                <w:szCs w:val="20"/>
              </w:rPr>
              <w:t xml:space="preserve">No direct comparisons with other biologics approved for treatment of Crohn’s such as infliximab, adalimumab, vedolimumab and certolimumab. </w:t>
            </w:r>
          </w:p>
        </w:tc>
        <w:tc>
          <w:tcPr>
            <w:tcW w:w="4394" w:type="dxa"/>
          </w:tcPr>
          <w:p w14:paraId="131056BA" w14:textId="77777777" w:rsidR="00013951" w:rsidRPr="001D3237" w:rsidRDefault="00013951" w:rsidP="00B53476">
            <w:pPr>
              <w:pStyle w:val="Tabletext"/>
              <w:rPr>
                <w:szCs w:val="20"/>
              </w:rPr>
            </w:pPr>
            <w:r w:rsidRPr="001D3237">
              <w:rPr>
                <w:rFonts w:cs="TimesNewRoman"/>
                <w:szCs w:val="20"/>
              </w:rPr>
              <w:t>Overall, indirect comparisons to biologic therapies approved for moderate to severe Crohn’s disease suggest that ustekinumab has efficacy that is at least comparable and in some instances appears better or has a more rapid onset than currently approved biologics with a favourable safety profile. Although cross-study comparisons with other approved biologic agents can provide insight into the relative efficacy and safety of ustekinumab and its potential place in the treatment of patients with moderate to severe Crohn’s disease although such indirect comparisons are limited by differences in populations, timing and study designs.</w:t>
            </w:r>
          </w:p>
        </w:tc>
      </w:tr>
      <w:tr w:rsidR="00013951" w:rsidRPr="00F33CA0" w14:paraId="37B4F223" w14:textId="77777777" w:rsidTr="00F745D9">
        <w:tc>
          <w:tcPr>
            <w:tcW w:w="4395" w:type="dxa"/>
          </w:tcPr>
          <w:p w14:paraId="302348B4" w14:textId="77777777" w:rsidR="00013951" w:rsidRPr="00F33CA0" w:rsidRDefault="00013951" w:rsidP="00B53476">
            <w:pPr>
              <w:pStyle w:val="Tabletext"/>
            </w:pPr>
            <w:r w:rsidRPr="00F33CA0">
              <w:t xml:space="preserve">Evidence to support efficacy of ustekinumab maintenance therapy in patients </w:t>
            </w:r>
            <w:r w:rsidR="00F221E4">
              <w:t xml:space="preserve">that are </w:t>
            </w:r>
            <w:r w:rsidRPr="00F33CA0">
              <w:t>refractory to TNF-antagonist treatment was not unequivocal.</w:t>
            </w:r>
          </w:p>
        </w:tc>
        <w:tc>
          <w:tcPr>
            <w:tcW w:w="4394" w:type="dxa"/>
          </w:tcPr>
          <w:p w14:paraId="720B547B" w14:textId="46462F2B" w:rsidR="00013951" w:rsidRPr="00F33CA0" w:rsidRDefault="00013951" w:rsidP="00B53476">
            <w:pPr>
              <w:pStyle w:val="Tabletext"/>
            </w:pPr>
            <w:r w:rsidRPr="00F33CA0">
              <w:t xml:space="preserve">There was no significant difference </w:t>
            </w:r>
            <w:r w:rsidR="00F221E4">
              <w:t>in clinical remission rates at W</w:t>
            </w:r>
            <w:r w:rsidRPr="00F33CA0">
              <w:t>eek 44 in th</w:t>
            </w:r>
            <w:r>
              <w:t>e</w:t>
            </w:r>
            <w:r w:rsidRPr="00F33CA0">
              <w:t xml:space="preserve"> subgroup of patients refractory to TNF-antagonist</w:t>
            </w:r>
            <w:r>
              <w:t xml:space="preserve">s </w:t>
            </w:r>
            <w:r w:rsidRPr="00F33CA0">
              <w:t xml:space="preserve">although the results were similar to those observed in the overall population. Interpretation may have been limited to lack of power to detect significant differences in this subgroup of TNF refractory patients. Furthermore, analysis of efficacy by induction study showed significant benefit of ustekinumab maintenance therapy only for subjects enrolled from </w:t>
            </w:r>
            <w:r w:rsidR="00F221E4">
              <w:t>Study CR</w:t>
            </w:r>
            <w:r w:rsidRPr="00F33CA0">
              <w:t>D3002 (which did not include TNF-antagonist refractory patients).</w:t>
            </w:r>
          </w:p>
        </w:tc>
      </w:tr>
      <w:tr w:rsidR="00013951" w:rsidRPr="00F33CA0" w14:paraId="6CDB99E5" w14:textId="77777777" w:rsidTr="00F745D9">
        <w:tc>
          <w:tcPr>
            <w:tcW w:w="4395" w:type="dxa"/>
          </w:tcPr>
          <w:p w14:paraId="33BA0182" w14:textId="77777777" w:rsidR="00013951" w:rsidRPr="00F33CA0" w:rsidRDefault="00013951" w:rsidP="00B53476">
            <w:pPr>
              <w:pStyle w:val="Tabletext"/>
            </w:pPr>
            <w:r>
              <w:t>The proposed CMI was not available for evaluation in the submitted dossier.</w:t>
            </w:r>
          </w:p>
        </w:tc>
        <w:tc>
          <w:tcPr>
            <w:tcW w:w="4394" w:type="dxa"/>
          </w:tcPr>
          <w:p w14:paraId="01D89513" w14:textId="77777777" w:rsidR="00013951" w:rsidRPr="00F33CA0" w:rsidRDefault="00013951" w:rsidP="00B53476">
            <w:pPr>
              <w:pStyle w:val="Tabletext"/>
            </w:pPr>
          </w:p>
        </w:tc>
      </w:tr>
    </w:tbl>
    <w:p w14:paraId="3FABD58A" w14:textId="77777777" w:rsidR="00605AD4" w:rsidRPr="00605AD4" w:rsidRDefault="00605AD4" w:rsidP="00605AD4">
      <w:pPr>
        <w:pStyle w:val="Heading4"/>
      </w:pPr>
      <w:r w:rsidRPr="00605AD4">
        <w:t>First round assessment of benefit-risk balance</w:t>
      </w:r>
    </w:p>
    <w:p w14:paraId="0CEABD3A" w14:textId="77777777" w:rsidR="00815F43" w:rsidRDefault="00013951" w:rsidP="00013951">
      <w:pPr>
        <w:autoSpaceDE w:val="0"/>
        <w:autoSpaceDN w:val="0"/>
        <w:adjustRightInd w:val="0"/>
        <w:spacing w:line="240" w:lineRule="auto"/>
        <w:rPr>
          <w:rFonts w:eastAsia="TimesNewRoman" w:cs="TimesNewRoman"/>
        </w:rPr>
      </w:pPr>
      <w:r w:rsidRPr="00211BE0">
        <w:rPr>
          <w:rFonts w:eastAsia="TimesNewRoman" w:cs="TimesNewRoman"/>
        </w:rPr>
        <w:t>Ustekinumab is a fully human monoclonal antibody (mAb) with high specificity for the p40 subunit shared by the human IL-12 and IL-23 cytokines. It has a different mechanism of action to the currently approved biologics for treatment of Crohn’s disease in Australia.</w:t>
      </w:r>
    </w:p>
    <w:p w14:paraId="32D249F2" w14:textId="7828A8EE" w:rsidR="00013951" w:rsidRPr="00211BE0" w:rsidRDefault="00013951" w:rsidP="00013951">
      <w:pPr>
        <w:autoSpaceDE w:val="0"/>
        <w:autoSpaceDN w:val="0"/>
        <w:adjustRightInd w:val="0"/>
        <w:spacing w:line="240" w:lineRule="auto"/>
        <w:rPr>
          <w:rFonts w:eastAsia="TimesNewRoman" w:cs="TimesNewRoman"/>
        </w:rPr>
      </w:pPr>
      <w:r w:rsidRPr="00211BE0">
        <w:rPr>
          <w:rFonts w:eastAsia="TimesNewRoman" w:cs="TimesNewRoman"/>
        </w:rPr>
        <w:t xml:space="preserve">The 3 pivotal studies CRD3001/CRD3002/CRD3003 were part of a </w:t>
      </w:r>
      <w:r w:rsidR="004B6C8D">
        <w:rPr>
          <w:rFonts w:eastAsia="TimesNewRoman" w:cs="TimesNewRoman"/>
        </w:rPr>
        <w:t>Phase III</w:t>
      </w:r>
      <w:r w:rsidRPr="00211BE0">
        <w:rPr>
          <w:rFonts w:eastAsia="TimesNewRoman" w:cs="TimesNewRoman"/>
        </w:rPr>
        <w:t xml:space="preserve"> program to study the safety and efficacy of ustekinumab induction (CRD3001/CRD3002) and maintenance therapy (CRD3003) in subjects with moderately to severely active Crohn’s Disease who have inadequate response to or have failed conventional therapies (CRD3002) and those who have failed or are intolerant to TNF antagonist therapy (CRD3001).</w:t>
      </w:r>
    </w:p>
    <w:p w14:paraId="3D44F21F" w14:textId="77777777" w:rsidR="00815F43" w:rsidRDefault="00013951" w:rsidP="00013951">
      <w:pPr>
        <w:autoSpaceDE w:val="0"/>
        <w:autoSpaceDN w:val="0"/>
        <w:adjustRightInd w:val="0"/>
        <w:spacing w:line="240" w:lineRule="auto"/>
        <w:rPr>
          <w:rFonts w:eastAsia="TimesNewRoman" w:cs="TimesNewRoman"/>
        </w:rPr>
      </w:pPr>
      <w:r w:rsidRPr="00211BE0">
        <w:rPr>
          <w:rFonts w:eastAsia="TimesNewRoman" w:cs="TimesNewRoman"/>
        </w:rPr>
        <w:lastRenderedPageBreak/>
        <w:t xml:space="preserve">Both </w:t>
      </w:r>
      <w:r w:rsidR="004B6C8D">
        <w:rPr>
          <w:rFonts w:eastAsia="TimesNewRoman" w:cs="TimesNewRoman"/>
        </w:rPr>
        <w:t>Phase III</w:t>
      </w:r>
      <w:r w:rsidRPr="00211BE0">
        <w:rPr>
          <w:rFonts w:eastAsia="TimesNewRoman" w:cs="TimesNewRoman"/>
        </w:rPr>
        <w:t xml:space="preserve"> induction </w:t>
      </w:r>
      <w:r w:rsidR="00F221E4">
        <w:rPr>
          <w:rFonts w:eastAsia="TimesNewRoman" w:cs="TimesNewRoman"/>
        </w:rPr>
        <w:t>S</w:t>
      </w:r>
      <w:r w:rsidRPr="00211BE0">
        <w:rPr>
          <w:rFonts w:eastAsia="TimesNewRoman" w:cs="TimesNewRoman"/>
        </w:rPr>
        <w:t xml:space="preserve">tudies CRD3001 and CRD3002 achieved the primary and all 4 major secondary endpoints for both IV induction doses (130mg and weight-based 6mg/kg). Both doses also showed consistent efficacy compared with placebo in additional efficacy measures, such as patient quality of life measures (such as IBDQ), significant reductions and normalisations in inflammatory markers. However, the magnitude of benefit seen with the lower 130 mg dose was generally less than that seen with the proposed weight-tiered </w:t>
      </w:r>
      <w:r w:rsidR="004B6C8D">
        <w:rPr>
          <w:rFonts w:eastAsia="TimesNewRoman" w:cs="TimesNewRoman"/>
        </w:rPr>
        <w:t xml:space="preserve">approximately </w:t>
      </w:r>
      <w:r w:rsidRPr="00211BE0">
        <w:rPr>
          <w:rFonts w:eastAsia="TimesNewRoman" w:cs="TimesNewRoman"/>
        </w:rPr>
        <w:t xml:space="preserve">6 mg/kg dose. Better efficacy, as illustrated by greater separation from IV placebo for </w:t>
      </w:r>
      <w:r w:rsidR="004B6C8D">
        <w:rPr>
          <w:rFonts w:eastAsia="TimesNewRoman" w:cs="TimesNewRoman"/>
        </w:rPr>
        <w:t xml:space="preserve">approximately </w:t>
      </w:r>
      <w:r w:rsidRPr="00211BE0">
        <w:rPr>
          <w:rFonts w:eastAsia="TimesNewRoman" w:cs="TimesNewRoman"/>
        </w:rPr>
        <w:t xml:space="preserve">6 mg/kg, was most notable in the CRD3002 study population where, for example, </w:t>
      </w:r>
      <w:r w:rsidR="004B6C8D">
        <w:rPr>
          <w:rFonts w:eastAsia="TimesNewRoman" w:cs="TimesNewRoman"/>
        </w:rPr>
        <w:t xml:space="preserve">approximately </w:t>
      </w:r>
      <w:r w:rsidRPr="00211BE0">
        <w:rPr>
          <w:rFonts w:eastAsia="TimesNewRoman" w:cs="TimesNewRoman"/>
        </w:rPr>
        <w:t>6 mg/kg induced 40.2% of subjects into the clinically important remission at Week 8, compared with 30.6% in the 130 mg group (v</w:t>
      </w:r>
      <w:r w:rsidR="00F221E4">
        <w:rPr>
          <w:rFonts w:eastAsia="TimesNewRoman" w:cs="TimesNewRoman"/>
        </w:rPr>
        <w:t>ersu</w:t>
      </w:r>
      <w:r w:rsidRPr="00211BE0">
        <w:rPr>
          <w:rFonts w:eastAsia="TimesNewRoman" w:cs="TimesNewRoman"/>
        </w:rPr>
        <w:t>s 19.6% on IV placebo). This represent</w:t>
      </w:r>
      <w:r w:rsidR="00F221E4">
        <w:rPr>
          <w:rFonts w:eastAsia="TimesNewRoman" w:cs="TimesNewRoman"/>
        </w:rPr>
        <w:t>s</w:t>
      </w:r>
      <w:r w:rsidRPr="00211BE0">
        <w:rPr>
          <w:rFonts w:eastAsia="TimesNewRoman" w:cs="TimesNewRoman"/>
        </w:rPr>
        <w:t xml:space="preserve"> a clinically meaningful near-doubling of the treatment effect, from 11% with 130 mg to 20.6% with </w:t>
      </w:r>
      <w:r w:rsidR="004B6C8D">
        <w:rPr>
          <w:rFonts w:eastAsia="TimesNewRoman" w:cs="TimesNewRoman"/>
        </w:rPr>
        <w:t xml:space="preserve">approximately </w:t>
      </w:r>
      <w:r w:rsidRPr="00211BE0">
        <w:rPr>
          <w:rFonts w:eastAsia="TimesNewRoman" w:cs="TimesNewRoman"/>
        </w:rPr>
        <w:t>6 mg/kg. While remission differences in CRD3001 were more modest (5% difference between doses), they were still clinically meaningful in this difficult to treat population (refractory to TNF-antagonists) as they represent a &gt;50% increase in the treatment effect in comparison to placebo. Clinical response differences at Week 8 showed a similar pattern, though differences in response rates between the dose groups were less than 5% in CRD3001.</w:t>
      </w:r>
    </w:p>
    <w:p w14:paraId="51ADCECC" w14:textId="0D8C559F" w:rsidR="00815F43" w:rsidRDefault="00013951" w:rsidP="00013951">
      <w:pPr>
        <w:autoSpaceDE w:val="0"/>
        <w:autoSpaceDN w:val="0"/>
        <w:adjustRightInd w:val="0"/>
        <w:spacing w:line="240" w:lineRule="auto"/>
        <w:rPr>
          <w:rFonts w:eastAsia="TimesNewRoman" w:cs="TimesNewRoman"/>
        </w:rPr>
      </w:pPr>
      <w:r w:rsidRPr="00211BE0">
        <w:rPr>
          <w:rFonts w:eastAsia="TimesNewRoman" w:cs="TimesNewRoman"/>
        </w:rPr>
        <w:t xml:space="preserve">The CRD3003 maintenance study and its randomised withdrawal study design represent the most appropriate dataset to examine persistence of efficacy as well as to consider any possible tolerance or tachyphylaxis that might be observed. Good overall persistence of efficacy with high rate of remission among responders was observed at the Week 44 primary endpoint. Among the responders to IV induction ustekinumab therapy at baseline of the maintenance study, 59.4% were in clinical response and </w:t>
      </w:r>
      <w:r w:rsidR="00F221E4">
        <w:rPr>
          <w:rFonts w:eastAsia="TimesNewRoman" w:cs="TimesNewRoman"/>
        </w:rPr>
        <w:t>53.1% in clinical remission at W</w:t>
      </w:r>
      <w:r w:rsidRPr="00211BE0">
        <w:rPr>
          <w:rFonts w:eastAsia="TimesNewRoman" w:cs="TimesNewRoman"/>
        </w:rPr>
        <w:t>eek 44. When considering remission rates over time in the overall populations, including both those subjects in remission and those only in response at study entry, the rate is consistent over time, having started only slightly higher at baseline (60%). When considering remission over time exclusively in the subset of responding subjects that were in remissi</w:t>
      </w:r>
      <w:r w:rsidR="00F221E4">
        <w:rPr>
          <w:rFonts w:eastAsia="TimesNewRoman" w:cs="TimesNewRoman"/>
        </w:rPr>
        <w:t xml:space="preserve">on upon entry to CRD3003 (that is, </w:t>
      </w:r>
      <w:r w:rsidRPr="00211BE0">
        <w:rPr>
          <w:rFonts w:eastAsia="TimesNewRoman" w:cs="TimesNewRoman"/>
        </w:rPr>
        <w:t xml:space="preserve">remission in remitters), there was a decline over time to 66.7% at Week 44 in the q8w group (with a lower proportion of 56.4% on q12w). This decline was gradual and even slowed over time. The early loss of remission may have been affected by mandatory steroid tapering and the study requirements for corticosteroid withdrawal in the primary population may have been a confounding factor when considering the ability of ustekinumab to maintain persistence of efficacy in the maintenance phase. Despite this, it is also important to note that there were subjects who were successfully tapered from steroids and had good clinical response to ustekinumab. Efficacy data beyond 1 year of treatment are currently not available in Crohn’s disease although the 272 week long-term extension of </w:t>
      </w:r>
      <w:r w:rsidR="00F221E4">
        <w:rPr>
          <w:rFonts w:eastAsia="TimesNewRoman" w:cs="TimesNewRoman"/>
        </w:rPr>
        <w:t>Study CR</w:t>
      </w:r>
      <w:r w:rsidRPr="00211BE0">
        <w:rPr>
          <w:rFonts w:eastAsia="TimesNewRoman" w:cs="TimesNewRoman"/>
        </w:rPr>
        <w:t>D3003 should provide efficacy data of an additional 4 years.</w:t>
      </w:r>
    </w:p>
    <w:p w14:paraId="21FABC36" w14:textId="5BBD75CC" w:rsidR="00013951" w:rsidRPr="00211BE0" w:rsidRDefault="00013951" w:rsidP="00013951">
      <w:pPr>
        <w:autoSpaceDE w:val="0"/>
        <w:autoSpaceDN w:val="0"/>
        <w:adjustRightInd w:val="0"/>
        <w:spacing w:line="240" w:lineRule="auto"/>
        <w:rPr>
          <w:rFonts w:eastAsia="TimesNewRoman" w:cs="Calibri"/>
        </w:rPr>
      </w:pPr>
      <w:r w:rsidRPr="00211BE0">
        <w:rPr>
          <w:rFonts w:eastAsia="TimesNewRoman" w:cs="Calibri"/>
        </w:rPr>
        <w:t xml:space="preserve">Results from the Ustekinumab Endoscopy Substudy provided evidence to support efficacy of ustekinumab for induction of endoscopic healing of the mucosa, based on significant improvements in endoscopic disease activity in the ustekinumab group that were corroborated by improvements in histologic disease activity. However, this endoscopic substudy failed to provide definitive evidence to support efficacy of ustekinumab maintenance treatment on endoscopic activity. </w:t>
      </w:r>
      <w:r w:rsidRPr="00211BE0">
        <w:rPr>
          <w:rFonts w:eastAsia="TimesNewRoman" w:cs="Calibri"/>
          <w:color w:val="000000"/>
        </w:rPr>
        <w:t>Among currently approved therapies for Crohn’s disease, evidence of endoscopic improvement and healing of the mucosa has been reported for TNF antagonists</w:t>
      </w:r>
      <w:r w:rsidR="00247506" w:rsidRPr="00247506">
        <w:rPr>
          <w:rFonts w:eastAsia="TimesNewRoman" w:cs="Calibri"/>
          <w:color w:val="000000"/>
          <w:vertAlign w:val="superscript"/>
        </w:rPr>
        <w:fldChar w:fldCharType="begin"/>
      </w:r>
      <w:r w:rsidR="00247506" w:rsidRPr="00247506">
        <w:rPr>
          <w:rFonts w:eastAsia="TimesNewRoman" w:cs="Calibri"/>
          <w:color w:val="000000"/>
          <w:vertAlign w:val="superscript"/>
        </w:rPr>
        <w:instrText xml:space="preserve"> NOTEREF _Ref491074424 \h </w:instrText>
      </w:r>
      <w:r w:rsidR="00247506">
        <w:rPr>
          <w:rFonts w:eastAsia="TimesNewRoman" w:cs="Calibri"/>
          <w:color w:val="000000"/>
          <w:vertAlign w:val="superscript"/>
        </w:rPr>
        <w:instrText xml:space="preserve"> \* MERGEFORMAT </w:instrText>
      </w:r>
      <w:r w:rsidR="00247506" w:rsidRPr="00247506">
        <w:rPr>
          <w:rFonts w:eastAsia="TimesNewRoman" w:cs="Calibri"/>
          <w:color w:val="000000"/>
          <w:vertAlign w:val="superscript"/>
        </w:rPr>
      </w:r>
      <w:r w:rsidR="00247506" w:rsidRPr="00247506">
        <w:rPr>
          <w:rFonts w:eastAsia="TimesNewRoman" w:cs="Calibri"/>
          <w:color w:val="000000"/>
          <w:vertAlign w:val="superscript"/>
        </w:rPr>
        <w:fldChar w:fldCharType="separate"/>
      </w:r>
      <w:r w:rsidR="00516729">
        <w:rPr>
          <w:rFonts w:eastAsia="TimesNewRoman" w:cs="Calibri"/>
          <w:color w:val="000000"/>
          <w:vertAlign w:val="superscript"/>
        </w:rPr>
        <w:t>20</w:t>
      </w:r>
      <w:r w:rsidR="00247506" w:rsidRPr="00247506">
        <w:rPr>
          <w:rFonts w:eastAsia="TimesNewRoman" w:cs="Calibri"/>
          <w:color w:val="000000"/>
          <w:vertAlign w:val="superscript"/>
        </w:rPr>
        <w:fldChar w:fldCharType="end"/>
      </w:r>
      <w:r w:rsidRPr="00211BE0">
        <w:rPr>
          <w:rFonts w:eastAsia="TimesNewRoman" w:cs="Calibri"/>
          <w:color w:val="000000"/>
        </w:rPr>
        <w:t xml:space="preserve"> but not for biologics with other mechanisms of action.</w:t>
      </w:r>
    </w:p>
    <w:p w14:paraId="2B13348B" w14:textId="77777777" w:rsidR="00013951" w:rsidRPr="00211BE0" w:rsidRDefault="00013951" w:rsidP="00F221E4">
      <w:r w:rsidRPr="00211BE0">
        <w:t xml:space="preserve">The proportion of subjects developing antibodies to ustekinumab, utilising a drug tolerant assay, was low (2.3% and 3.0% in the q8w and q12w groups, respectively). Furthermore, presence of these antibodies did not preclude clinical response, with similar rates of clinical remission in those with antibodies (4/7, 57.1%) compared to those negative for antibodies (59.0%). However, interpretation was limited due to very small number of patients with positive antibodies. Antibody rates were slightly higher in the group of </w:t>
      </w:r>
      <w:r w:rsidRPr="00211BE0">
        <w:lastRenderedPageBreak/>
        <w:t>subjects randomised to placebo who were later re-treated after ustekinumab induction (5.3%).</w:t>
      </w:r>
    </w:p>
    <w:p w14:paraId="1AD37291" w14:textId="77777777" w:rsidR="00013951" w:rsidRPr="00211BE0" w:rsidRDefault="00013951" w:rsidP="00F221E4">
      <w:pPr>
        <w:rPr>
          <w:rFonts w:cs="Calibri"/>
          <w:color w:val="000000"/>
        </w:rPr>
      </w:pPr>
      <w:r w:rsidRPr="00211BE0">
        <w:t>No direct comparator studies have been performed. Indirect comparisons to biologic therapies approved for moderate to severe Crohn’s disease suggest that ustekinumab has efficacy that is at least comparable and in some instances appears better or has a more rapid onset than currently approved biologics with a favourable safety profile. Although, cross-study comparisons with other approved biologic agents can provide insight into the relative efficacy and safety of</w:t>
      </w:r>
      <w:r w:rsidR="00EF0460">
        <w:t xml:space="preserve"> </w:t>
      </w:r>
      <w:r w:rsidRPr="00211BE0">
        <w:t>ustekinumab and its potential place in the treatment of patients with moderate to severe Crohn’s disease, it is important to note that such indirect comparisons are limited by differences in populations, timing and study designs.</w:t>
      </w:r>
    </w:p>
    <w:p w14:paraId="3CDEF5C0" w14:textId="77777777" w:rsidR="00013951" w:rsidRPr="00211BE0" w:rsidRDefault="00013951" w:rsidP="00F221E4">
      <w:r w:rsidRPr="00211BE0">
        <w:t>Ustekinumab was well tolerated in Crohn’s disease, including subjects who received the proposed induction and maintenance dosages (</w:t>
      </w:r>
      <w:r w:rsidR="00F221E4">
        <w:t>that is,</w:t>
      </w:r>
      <w:r w:rsidRPr="00211BE0">
        <w:t xml:space="preserve"> 6 mg/kg IV followed by 90 mg SC q8w). There were no meaningful differences between ustekinumab treatment groups and placebo treatment groups in the overall safety profile for both induction treatment (ustekinumab 130 mg IV and 6 mg/kg IV) and maintenance treatment (ustekinumab 90 mg SC q8w and q12w) through 1 year. No apparent dose effect between ustekinumab treatment groups was seen. Safety data from the Crohn’s disease studies were consistent with those from the approved indications of psoriasis and PsA. With the exception of the new nonserious ADRs of acne, asthenia, vomiting, and vulvovaginal mycotic infections, there were no new types or patterns of AEs identified. There is no clear impact of ustekinumab on the safety events of serious infection, malignancy, infusion reactions and serious MACE. The comprehensive safety analyses presented in the Crohn’s disease population, in 5 studies with 1,749 ustekinumab-treated subjects with up to 1 year of follow-up, combined with data from the psoriatic indications, support the safety of ustekinumab in the treatment of patients with moderately to severely active Crohn’s disease.</w:t>
      </w:r>
    </w:p>
    <w:p w14:paraId="50868EC1" w14:textId="77777777" w:rsidR="00013951" w:rsidRPr="00211BE0" w:rsidRDefault="00013951" w:rsidP="00013951">
      <w:pPr>
        <w:autoSpaceDE w:val="0"/>
        <w:autoSpaceDN w:val="0"/>
        <w:adjustRightInd w:val="0"/>
        <w:spacing w:line="240" w:lineRule="auto"/>
        <w:rPr>
          <w:rFonts w:eastAsia="TimesNewRoman" w:cs="TimesNewRoman"/>
        </w:rPr>
      </w:pPr>
      <w:r w:rsidRPr="00211BE0">
        <w:rPr>
          <w:rFonts w:eastAsia="TimesNewRoman" w:cs="TimesNewRoman"/>
        </w:rPr>
        <w:t>The ustekinumab development program in Crohn’s disease through 1 year demonstrated that ustekinumab therapy, administered as a single IV induction dose to rapidly gain control of inflammation and symptoms followed by a convenient SC maintenance regimen administered every 8 or 12 weeks, provides a new treatment option with a new mechanism of action for patients living with moderately to severely active Crohn’s disease who have either failed conventional therapies or have failed or are intolerant to TNF antagonists.</w:t>
      </w:r>
    </w:p>
    <w:p w14:paraId="551F714E" w14:textId="77777777" w:rsidR="00605AD4" w:rsidRPr="00605AD4" w:rsidRDefault="00013951" w:rsidP="00013951">
      <w:r w:rsidRPr="00211BE0">
        <w:rPr>
          <w:rFonts w:eastAsia="TimesNewRoman" w:cs="TimesNewRoman"/>
        </w:rPr>
        <w:t>Overall, the benefit-risk profile of ustekinumab for the proposed usage in Crohn’s disease is favourable.</w:t>
      </w:r>
    </w:p>
    <w:p w14:paraId="324AAC75" w14:textId="130C6A9E" w:rsidR="00605AD4" w:rsidRPr="00605AD4" w:rsidRDefault="0020497E" w:rsidP="0020497E">
      <w:pPr>
        <w:pStyle w:val="Heading3"/>
      </w:pPr>
      <w:bookmarkStart w:id="100" w:name="_Toc497744825"/>
      <w:r>
        <w:t xml:space="preserve">First </w:t>
      </w:r>
      <w:r w:rsidR="00D44286">
        <w:t>r</w:t>
      </w:r>
      <w:r>
        <w:t xml:space="preserve">ound </w:t>
      </w:r>
      <w:r w:rsidR="00D44286">
        <w:t>r</w:t>
      </w:r>
      <w:r w:rsidR="00BC06D7" w:rsidRPr="00605AD4">
        <w:t>ecommendati</w:t>
      </w:r>
      <w:r>
        <w:t>on regarding a</w:t>
      </w:r>
      <w:r w:rsidR="00BC06D7" w:rsidRPr="00605AD4">
        <w:t>uthorisation</w:t>
      </w:r>
      <w:bookmarkEnd w:id="100"/>
    </w:p>
    <w:p w14:paraId="75C6C64A" w14:textId="77777777" w:rsidR="00F221E4" w:rsidRDefault="00013951" w:rsidP="00013951">
      <w:pPr>
        <w:spacing w:line="240" w:lineRule="auto"/>
        <w:rPr>
          <w:rFonts w:asciiTheme="minorHAnsi" w:eastAsiaTheme="minorHAnsi" w:hAnsiTheme="minorHAnsi" w:cs="Arial-ItalicMT"/>
          <w:iCs/>
        </w:rPr>
      </w:pPr>
      <w:r>
        <w:rPr>
          <w:lang w:eastAsia="ja-JP"/>
        </w:rPr>
        <w:t>Approval is recommended for ustekinumab</w:t>
      </w:r>
      <w:r w:rsidR="00F221E4">
        <w:rPr>
          <w:lang w:eastAsia="ja-JP"/>
        </w:rPr>
        <w:t xml:space="preserve"> for the proposed indication of</w:t>
      </w:r>
    </w:p>
    <w:p w14:paraId="65B1F127" w14:textId="77777777" w:rsidR="00013951" w:rsidRPr="00F221E4" w:rsidRDefault="00013951" w:rsidP="00F221E4">
      <w:pPr>
        <w:spacing w:line="240" w:lineRule="auto"/>
        <w:ind w:left="720"/>
        <w:rPr>
          <w:i/>
          <w:lang w:eastAsia="ja-JP"/>
        </w:rPr>
      </w:pPr>
      <w:r w:rsidRPr="00F221E4">
        <w:rPr>
          <w:rFonts w:asciiTheme="minorHAnsi" w:eastAsiaTheme="minorHAnsi" w:hAnsiTheme="minorHAnsi" w:cs="Arial-ItalicMT"/>
          <w:i/>
          <w:iCs/>
        </w:rPr>
        <w:t xml:space="preserve">Crohn’s Disease: </w:t>
      </w:r>
      <w:r w:rsidR="00CC3432" w:rsidRPr="00F221E4">
        <w:rPr>
          <w:rFonts w:asciiTheme="minorHAnsi" w:eastAsiaTheme="minorHAnsi" w:hAnsiTheme="minorHAnsi" w:cs="Arial-ItalicMT"/>
          <w:i/>
          <w:iCs/>
        </w:rPr>
        <w:t>Stelara</w:t>
      </w:r>
      <w:r w:rsidRPr="00F221E4">
        <w:rPr>
          <w:rFonts w:asciiTheme="minorHAnsi" w:eastAsiaTheme="minorHAnsi" w:hAnsiTheme="minorHAnsi" w:cs="Arial-ItalicMT"/>
          <w:i/>
          <w:iCs/>
        </w:rPr>
        <w:t xml:space="preserve"> is indicated for the treatment of adult patients with moderately to severely active Crohn’s disease who have had an inadequate response, lost response, were intolerant to conventional therapy or a TNFα antagonist or have medical contraindications to such therapies</w:t>
      </w:r>
      <w:r w:rsidR="00F221E4">
        <w:rPr>
          <w:rFonts w:asciiTheme="minorHAnsi" w:eastAsiaTheme="minorHAnsi" w:hAnsiTheme="minorHAnsi" w:cs="Cambria-Italic"/>
          <w:i/>
          <w:iCs/>
        </w:rPr>
        <w:t>.</w:t>
      </w:r>
    </w:p>
    <w:p w14:paraId="767D5123" w14:textId="77777777" w:rsidR="00605AD4" w:rsidRPr="00605AD4" w:rsidRDefault="00013951" w:rsidP="00013951">
      <w:r>
        <w:rPr>
          <w:lang w:eastAsia="ja-JP"/>
        </w:rPr>
        <w:t>However, approval is subject to incorporation of suggested changes to the proposed PI and satisfactory response to</w:t>
      </w:r>
      <w:r w:rsidR="00F221E4">
        <w:rPr>
          <w:lang w:eastAsia="ja-JP"/>
        </w:rPr>
        <w:t xml:space="preserve"> C</w:t>
      </w:r>
      <w:r>
        <w:rPr>
          <w:lang w:eastAsia="ja-JP"/>
        </w:rPr>
        <w:t xml:space="preserve">linical questions </w:t>
      </w:r>
      <w:r w:rsidR="00F221E4">
        <w:rPr>
          <w:lang w:eastAsia="ja-JP"/>
        </w:rPr>
        <w:t>raised in</w:t>
      </w:r>
      <w:r>
        <w:rPr>
          <w:lang w:eastAsia="ja-JP"/>
        </w:rPr>
        <w:t xml:space="preserve"> this evaluation report.</w:t>
      </w:r>
    </w:p>
    <w:p w14:paraId="409EA21A" w14:textId="76CF2C0A" w:rsidR="00605AD4" w:rsidRPr="00605AD4" w:rsidRDefault="00D44286" w:rsidP="00605AD4">
      <w:pPr>
        <w:pStyle w:val="Heading3"/>
        <w:rPr>
          <w:rFonts w:eastAsia="Cambria"/>
        </w:rPr>
      </w:pPr>
      <w:bookmarkStart w:id="101" w:name="_Toc497744826"/>
      <w:r>
        <w:rPr>
          <w:rFonts w:eastAsia="Cambria"/>
        </w:rPr>
        <w:lastRenderedPageBreak/>
        <w:t>Second round e</w:t>
      </w:r>
      <w:r w:rsidR="00605AD4" w:rsidRPr="00605AD4">
        <w:rPr>
          <w:rFonts w:eastAsia="Cambria"/>
        </w:rPr>
        <w:t>valuation of clinical data submitted in response to questions</w:t>
      </w:r>
      <w:bookmarkEnd w:id="101"/>
    </w:p>
    <w:p w14:paraId="20BD98FD" w14:textId="77777777" w:rsidR="006136D7" w:rsidRPr="00605AD4" w:rsidRDefault="006136D7" w:rsidP="006136D7">
      <w:r>
        <w:t xml:space="preserve">For details of the </w:t>
      </w:r>
      <w:r w:rsidR="00013951">
        <w:t xml:space="preserve">Clinical questions and </w:t>
      </w:r>
      <w:r>
        <w:t>sponsor’s responses and the evaluation of these responses please see Attachment 2.</w:t>
      </w:r>
    </w:p>
    <w:p w14:paraId="24A2D7B6" w14:textId="03B3AD6A" w:rsidR="00605AD4" w:rsidRPr="00605AD4" w:rsidRDefault="00605AD4" w:rsidP="00546154">
      <w:pPr>
        <w:pStyle w:val="Heading3"/>
        <w:rPr>
          <w:rFonts w:eastAsia="Cambria"/>
        </w:rPr>
      </w:pPr>
      <w:bookmarkStart w:id="102" w:name="_Toc497744827"/>
      <w:r w:rsidRPr="00605AD4">
        <w:rPr>
          <w:rFonts w:eastAsia="Cambria"/>
        </w:rPr>
        <w:t xml:space="preserve">Second </w:t>
      </w:r>
      <w:r w:rsidR="00D44286">
        <w:rPr>
          <w:rFonts w:eastAsia="Cambria"/>
        </w:rPr>
        <w:t>round b</w:t>
      </w:r>
      <w:r w:rsidRPr="00605AD4">
        <w:rPr>
          <w:rFonts w:eastAsia="Cambria"/>
        </w:rPr>
        <w:t>enefit-</w:t>
      </w:r>
      <w:r w:rsidR="00D44286">
        <w:rPr>
          <w:rFonts w:eastAsia="Cambria"/>
        </w:rPr>
        <w:t>r</w:t>
      </w:r>
      <w:r w:rsidRPr="00605AD4">
        <w:rPr>
          <w:rFonts w:eastAsia="Cambria"/>
        </w:rPr>
        <w:t xml:space="preserve">isk </w:t>
      </w:r>
      <w:r w:rsidR="00D44286">
        <w:rPr>
          <w:rFonts w:eastAsia="Cambria"/>
        </w:rPr>
        <w:t>a</w:t>
      </w:r>
      <w:r w:rsidRPr="00605AD4">
        <w:rPr>
          <w:rFonts w:eastAsia="Cambria"/>
        </w:rPr>
        <w:t>ssessment</w:t>
      </w:r>
      <w:bookmarkEnd w:id="102"/>
    </w:p>
    <w:p w14:paraId="163A24A1" w14:textId="77777777" w:rsidR="00013951" w:rsidRPr="00500C5C" w:rsidRDefault="00013951" w:rsidP="00F221E4">
      <w:pPr>
        <w:pStyle w:val="Heading4"/>
      </w:pPr>
      <w:bookmarkStart w:id="103" w:name="_Toc272414709"/>
      <w:bookmarkStart w:id="104" w:name="_Toc290888575"/>
      <w:bookmarkStart w:id="105" w:name="_Toc416353792"/>
      <w:bookmarkStart w:id="106" w:name="_Toc421005334"/>
      <w:bookmarkStart w:id="107" w:name="_Toc432079207"/>
      <w:bookmarkStart w:id="108" w:name="_Toc432080780"/>
      <w:bookmarkStart w:id="109" w:name="_Toc466630637"/>
      <w:r w:rsidRPr="00500C5C">
        <w:t>Second round assessment of benefits</w:t>
      </w:r>
      <w:bookmarkEnd w:id="103"/>
      <w:bookmarkEnd w:id="104"/>
      <w:bookmarkEnd w:id="105"/>
      <w:bookmarkEnd w:id="106"/>
      <w:bookmarkEnd w:id="107"/>
      <w:bookmarkEnd w:id="108"/>
      <w:bookmarkEnd w:id="109"/>
    </w:p>
    <w:p w14:paraId="4F9C0137" w14:textId="77777777" w:rsidR="00013951" w:rsidRDefault="00013951" w:rsidP="00013951">
      <w:pPr>
        <w:spacing w:line="240" w:lineRule="auto"/>
        <w:rPr>
          <w:lang w:eastAsia="ja-JP"/>
        </w:rPr>
      </w:pPr>
      <w:bookmarkStart w:id="110" w:name="_Toc272414710"/>
      <w:bookmarkStart w:id="111" w:name="_Toc290888576"/>
      <w:bookmarkStart w:id="112" w:name="_Toc416353793"/>
      <w:bookmarkStart w:id="113" w:name="_Toc421005335"/>
      <w:bookmarkStart w:id="114" w:name="_Toc432079208"/>
      <w:bookmarkStart w:id="115" w:name="_Toc432080781"/>
      <w:r>
        <w:rPr>
          <w:lang w:eastAsia="ja-JP"/>
        </w:rPr>
        <w:t xml:space="preserve">After consideration of responses to the clinical questions, the benefits of Stelara (ustekinumab) in the proposed usage are unchanged from those identified in </w:t>
      </w:r>
      <w:r w:rsidR="00F221E4">
        <w:rPr>
          <w:lang w:eastAsia="ja-JP"/>
        </w:rPr>
        <w:t>the first round</w:t>
      </w:r>
      <w:r>
        <w:rPr>
          <w:lang w:eastAsia="ja-JP"/>
        </w:rPr>
        <w:t>.</w:t>
      </w:r>
    </w:p>
    <w:p w14:paraId="2EE774D2" w14:textId="77777777" w:rsidR="00013951" w:rsidRPr="00500C5C" w:rsidRDefault="00013951" w:rsidP="00F221E4">
      <w:pPr>
        <w:pStyle w:val="Heading4"/>
      </w:pPr>
      <w:bookmarkStart w:id="116" w:name="_Toc466630638"/>
      <w:r w:rsidRPr="00500C5C">
        <w:t>Second round assessment of risks</w:t>
      </w:r>
      <w:bookmarkEnd w:id="110"/>
      <w:bookmarkEnd w:id="111"/>
      <w:bookmarkEnd w:id="112"/>
      <w:bookmarkEnd w:id="113"/>
      <w:bookmarkEnd w:id="114"/>
      <w:bookmarkEnd w:id="115"/>
      <w:bookmarkEnd w:id="116"/>
    </w:p>
    <w:p w14:paraId="499BE334" w14:textId="77777777" w:rsidR="00815F43" w:rsidRDefault="00013951" w:rsidP="00013951">
      <w:pPr>
        <w:spacing w:line="240" w:lineRule="auto"/>
        <w:rPr>
          <w:lang w:eastAsia="ja-JP"/>
        </w:rPr>
      </w:pPr>
      <w:bookmarkStart w:id="117" w:name="_Toc272414711"/>
      <w:bookmarkStart w:id="118" w:name="_Toc290888577"/>
      <w:bookmarkStart w:id="119" w:name="_Toc416353794"/>
      <w:bookmarkStart w:id="120" w:name="_Toc421005336"/>
      <w:bookmarkStart w:id="121" w:name="_Toc432079209"/>
      <w:bookmarkStart w:id="122" w:name="_Toc432080782"/>
      <w:r>
        <w:rPr>
          <w:lang w:eastAsia="ja-JP"/>
        </w:rPr>
        <w:t xml:space="preserve">After consideration of responses to the clinical questions, the risks of Stelara (ustekinumab) in the proposed usage are unchanged from those identified in </w:t>
      </w:r>
      <w:r w:rsidR="00F221E4">
        <w:rPr>
          <w:lang w:eastAsia="ja-JP"/>
        </w:rPr>
        <w:t>the first round</w:t>
      </w:r>
      <w:r>
        <w:rPr>
          <w:lang w:eastAsia="ja-JP"/>
        </w:rPr>
        <w:t>.</w:t>
      </w:r>
    </w:p>
    <w:p w14:paraId="4D7C4FC2" w14:textId="3B5CB0AE" w:rsidR="00013951" w:rsidRPr="00545B14" w:rsidRDefault="0020497E" w:rsidP="0020497E">
      <w:pPr>
        <w:pStyle w:val="Heading3"/>
      </w:pPr>
      <w:bookmarkStart w:id="123" w:name="_Toc466630639"/>
      <w:bookmarkStart w:id="124" w:name="_Toc497744828"/>
      <w:r>
        <w:t xml:space="preserve">Second </w:t>
      </w:r>
      <w:r w:rsidR="00D44286">
        <w:t>r</w:t>
      </w:r>
      <w:r>
        <w:t xml:space="preserve">ound </w:t>
      </w:r>
      <w:r w:rsidR="00D44286">
        <w:t>a</w:t>
      </w:r>
      <w:r w:rsidR="00013951" w:rsidRPr="00545B14">
        <w:t xml:space="preserve">ssessment of benefit-risk </w:t>
      </w:r>
      <w:bookmarkEnd w:id="117"/>
      <w:bookmarkEnd w:id="118"/>
      <w:bookmarkEnd w:id="119"/>
      <w:bookmarkEnd w:id="120"/>
      <w:r w:rsidR="00013951">
        <w:t>balance</w:t>
      </w:r>
      <w:bookmarkEnd w:id="121"/>
      <w:bookmarkEnd w:id="122"/>
      <w:bookmarkEnd w:id="123"/>
      <w:bookmarkEnd w:id="124"/>
    </w:p>
    <w:p w14:paraId="6EE24260" w14:textId="77777777" w:rsidR="00815F43" w:rsidRDefault="00013951" w:rsidP="00013951">
      <w:pPr>
        <w:spacing w:line="240" w:lineRule="auto"/>
        <w:rPr>
          <w:lang w:eastAsia="ja-JP"/>
        </w:rPr>
      </w:pPr>
      <w:r>
        <w:rPr>
          <w:lang w:eastAsia="ja-JP"/>
        </w:rPr>
        <w:t>The benefit-risk balance of Stelara (ustekinumab), given the proposed usage is favourable.</w:t>
      </w:r>
    </w:p>
    <w:p w14:paraId="3E8B379C" w14:textId="25720F08" w:rsidR="00013951" w:rsidRPr="00277440" w:rsidRDefault="00013951" w:rsidP="00D44286">
      <w:pPr>
        <w:pStyle w:val="Heading3"/>
      </w:pPr>
      <w:bookmarkStart w:id="125" w:name="_Toc466630640"/>
      <w:bookmarkStart w:id="126" w:name="_Toc497744829"/>
      <w:r w:rsidRPr="00277440">
        <w:t xml:space="preserve">Second </w:t>
      </w:r>
      <w:r w:rsidR="00D44286">
        <w:t>round r</w:t>
      </w:r>
      <w:r w:rsidRPr="00277440">
        <w:t>ecommendation regarding authorisation</w:t>
      </w:r>
      <w:bookmarkEnd w:id="125"/>
      <w:bookmarkEnd w:id="126"/>
    </w:p>
    <w:p w14:paraId="66C1EB7A" w14:textId="77777777" w:rsidR="00815F43" w:rsidRDefault="00013951" w:rsidP="00013951">
      <w:pPr>
        <w:spacing w:line="240" w:lineRule="auto"/>
        <w:rPr>
          <w:lang w:eastAsia="ja-JP"/>
        </w:rPr>
      </w:pPr>
      <w:r>
        <w:rPr>
          <w:lang w:eastAsia="ja-JP"/>
        </w:rPr>
        <w:t>Approval is recommended for ustekinumab for the proposed indication of</w:t>
      </w:r>
    </w:p>
    <w:p w14:paraId="40875A06" w14:textId="0E5D066D" w:rsidR="00013951" w:rsidRPr="00F221E4" w:rsidRDefault="00013951" w:rsidP="00F221E4">
      <w:pPr>
        <w:spacing w:line="240" w:lineRule="auto"/>
        <w:ind w:left="720"/>
        <w:rPr>
          <w:i/>
          <w:lang w:eastAsia="ja-JP"/>
        </w:rPr>
      </w:pPr>
      <w:r w:rsidRPr="00F221E4">
        <w:rPr>
          <w:rFonts w:asciiTheme="minorHAnsi" w:eastAsiaTheme="minorHAnsi" w:hAnsiTheme="minorHAnsi" w:cs="Arial-ItalicMT"/>
          <w:i/>
          <w:iCs/>
        </w:rPr>
        <w:t xml:space="preserve">Crohn’s Disease: </w:t>
      </w:r>
      <w:r w:rsidR="00CC3432" w:rsidRPr="00F221E4">
        <w:rPr>
          <w:rFonts w:asciiTheme="minorHAnsi" w:eastAsiaTheme="minorHAnsi" w:hAnsiTheme="minorHAnsi" w:cs="Arial-ItalicMT"/>
          <w:i/>
          <w:iCs/>
        </w:rPr>
        <w:t>Stelara</w:t>
      </w:r>
      <w:r w:rsidRPr="00F221E4">
        <w:rPr>
          <w:rFonts w:asciiTheme="minorHAnsi" w:eastAsiaTheme="minorHAnsi" w:hAnsiTheme="minorHAnsi" w:cs="Arial-ItalicMT"/>
          <w:i/>
          <w:iCs/>
        </w:rPr>
        <w:t xml:space="preserve"> is indicated for the treatment of adult patients with moderately to severely active Crohn’s disease who have had an inadequate response, lost response, were intolerant to conventional therapy or a TNFα antagonist or have medical contraindications to such therapies</w:t>
      </w:r>
      <w:r w:rsidR="00F221E4" w:rsidRPr="00F221E4">
        <w:rPr>
          <w:rFonts w:asciiTheme="minorHAnsi" w:eastAsiaTheme="minorHAnsi" w:hAnsiTheme="minorHAnsi" w:cs="Cambria-Italic"/>
          <w:i/>
          <w:iCs/>
        </w:rPr>
        <w:t>.</w:t>
      </w:r>
    </w:p>
    <w:p w14:paraId="23957FCF" w14:textId="1EA34178" w:rsidR="008E7846" w:rsidRPr="00E41208" w:rsidRDefault="00A46BF1" w:rsidP="00546154">
      <w:pPr>
        <w:pStyle w:val="Heading2"/>
      </w:pPr>
      <w:bookmarkStart w:id="127" w:name="_Toc497744830"/>
      <w:r>
        <w:t xml:space="preserve">V. </w:t>
      </w:r>
      <w:r w:rsidR="008E7846" w:rsidRPr="00E41208">
        <w:t xml:space="preserve">Pharmacovigilance </w:t>
      </w:r>
      <w:r w:rsidR="008E7846">
        <w:t>f</w:t>
      </w:r>
      <w:r w:rsidR="008E7846" w:rsidRPr="00E41208">
        <w:t>indings</w:t>
      </w:r>
      <w:bookmarkEnd w:id="95"/>
      <w:bookmarkEnd w:id="96"/>
      <w:bookmarkEnd w:id="127"/>
    </w:p>
    <w:p w14:paraId="3954E3B1" w14:textId="77777777" w:rsidR="008E7846" w:rsidRDefault="00386150" w:rsidP="008E7846">
      <w:pPr>
        <w:pStyle w:val="Heading3"/>
        <w:rPr>
          <w:lang w:eastAsia="en-AU"/>
        </w:rPr>
      </w:pPr>
      <w:bookmarkStart w:id="128" w:name="_Toc247691526"/>
      <w:bookmarkStart w:id="129" w:name="_Toc314842509"/>
      <w:bookmarkStart w:id="130" w:name="_Toc497744831"/>
      <w:r>
        <w:rPr>
          <w:lang w:eastAsia="en-AU"/>
        </w:rPr>
        <w:t>Risk m</w:t>
      </w:r>
      <w:r w:rsidR="008E7846">
        <w:rPr>
          <w:lang w:eastAsia="en-AU"/>
        </w:rPr>
        <w:t xml:space="preserve">anagement </w:t>
      </w:r>
      <w:r>
        <w:rPr>
          <w:lang w:eastAsia="en-AU"/>
        </w:rPr>
        <w:t>p</w:t>
      </w:r>
      <w:r w:rsidR="008E7846">
        <w:rPr>
          <w:lang w:eastAsia="en-AU"/>
        </w:rPr>
        <w:t>lan</w:t>
      </w:r>
      <w:bookmarkEnd w:id="128"/>
      <w:bookmarkEnd w:id="129"/>
      <w:bookmarkEnd w:id="130"/>
    </w:p>
    <w:p w14:paraId="0F1AFB00" w14:textId="77777777" w:rsidR="00815F43" w:rsidRDefault="00881EA3" w:rsidP="00F221E4">
      <w:pPr>
        <w:pStyle w:val="Heading4"/>
      </w:pPr>
      <w:bookmarkStart w:id="131" w:name="_Toc468349340"/>
      <w:bookmarkStart w:id="132" w:name="_Toc247691527"/>
      <w:bookmarkStart w:id="133" w:name="_Toc314842510"/>
      <w:r>
        <w:t>Summary</w:t>
      </w:r>
      <w:bookmarkEnd w:id="131"/>
    </w:p>
    <w:p w14:paraId="5E250301" w14:textId="21CC4BFB" w:rsidR="00881EA3" w:rsidRPr="005B0019" w:rsidRDefault="00881EA3" w:rsidP="00881EA3">
      <w:pPr>
        <w:pStyle w:val="Bulletlist"/>
        <w:rPr>
          <w:kern w:val="16"/>
        </w:rPr>
      </w:pPr>
      <w:r>
        <w:t>T</w:t>
      </w:r>
      <w:r w:rsidRPr="005B0019">
        <w:t xml:space="preserve">he </w:t>
      </w:r>
      <w:r w:rsidR="00F221E4">
        <w:t>s</w:t>
      </w:r>
      <w:r w:rsidRPr="005B0019">
        <w:t>ponsor has submitted EU-RMP version 13.</w:t>
      </w:r>
      <w:r>
        <w:t>2 (dated 7</w:t>
      </w:r>
      <w:r w:rsidRPr="005B0019">
        <w:t xml:space="preserve"> </w:t>
      </w:r>
      <w:r>
        <w:t>September</w:t>
      </w:r>
      <w:r w:rsidRPr="005B0019">
        <w:t xml:space="preserve"> 201</w:t>
      </w:r>
      <w:r>
        <w:t>6</w:t>
      </w:r>
      <w:r w:rsidRPr="005B0019">
        <w:t>; DLP 8 July 2015) and ASA version 3.</w:t>
      </w:r>
      <w:r>
        <w:t xml:space="preserve">2 (dated 19 October </w:t>
      </w:r>
      <w:r w:rsidRPr="005B0019">
        <w:t>2016)</w:t>
      </w:r>
      <w:r>
        <w:t xml:space="preserve"> in support of this application, incorporating recommendations made in the </w:t>
      </w:r>
      <w:r w:rsidR="00F221E4">
        <w:t>first r</w:t>
      </w:r>
      <w:r>
        <w:t>ound evaluation.</w:t>
      </w:r>
    </w:p>
    <w:p w14:paraId="4CF133AD" w14:textId="77777777" w:rsidR="00881EA3" w:rsidRDefault="00881EA3" w:rsidP="00881EA3">
      <w:pPr>
        <w:pStyle w:val="Bulletlist"/>
      </w:pPr>
      <w:r w:rsidRPr="005B0019">
        <w:t>The proposed Summary of Safety Concerns and their associated risk monitoring and mitigation strategies are summarised below</w:t>
      </w:r>
      <w:r w:rsidR="00BC06D7">
        <w:t xml:space="preserve"> in Table 5.</w:t>
      </w:r>
    </w:p>
    <w:p w14:paraId="5C58466B" w14:textId="77777777" w:rsidR="00F221E4" w:rsidRDefault="00F221E4" w:rsidP="006C3A61">
      <w:pPr>
        <w:pStyle w:val="TableTitle"/>
      </w:pPr>
      <w:r>
        <w:lastRenderedPageBreak/>
        <w:t xml:space="preserve">Table </w:t>
      </w:r>
      <w:r w:rsidR="006C3A61">
        <w:t xml:space="preserve">5: </w:t>
      </w:r>
      <w:r w:rsidR="006C3A61" w:rsidRPr="006C3A61">
        <w:t>Summary</w:t>
      </w:r>
      <w:r w:rsidR="006C3A61">
        <w:t xml:space="preserve"> of safety concerns</w:t>
      </w:r>
    </w:p>
    <w:p w14:paraId="41925727" w14:textId="77777777" w:rsidR="006C3A61" w:rsidRPr="005B0019" w:rsidRDefault="006C3A61" w:rsidP="006C3A61">
      <w:pPr>
        <w:pStyle w:val="TableDescription"/>
        <w:keepNext/>
      </w:pPr>
      <w:r>
        <w:t>R=routine and A=Ad</w:t>
      </w:r>
      <w:r w:rsidR="00247506">
        <w:t>d</w:t>
      </w:r>
      <w:r>
        <w:t>itional</w:t>
      </w:r>
    </w:p>
    <w:tbl>
      <w:tblPr>
        <w:tblStyle w:val="TableTGAblue"/>
        <w:tblW w:w="8860" w:type="dxa"/>
        <w:tblLayout w:type="fixed"/>
        <w:tblLook w:val="04A0" w:firstRow="1" w:lastRow="0" w:firstColumn="1" w:lastColumn="0" w:noHBand="0" w:noVBand="1"/>
        <w:tblDescription w:val="Table 5 is a summary of safety concerns.  This table containd 3 heading columns: 1. summary of safety concerns, 2. Pharmacovigilance and 3. risk minimisation (divided by 2 columns R and A)"/>
      </w:tblPr>
      <w:tblGrid>
        <w:gridCol w:w="1668"/>
        <w:gridCol w:w="3118"/>
        <w:gridCol w:w="1418"/>
        <w:gridCol w:w="927"/>
        <w:gridCol w:w="928"/>
        <w:gridCol w:w="801"/>
      </w:tblGrid>
      <w:tr w:rsidR="00881EA3" w:rsidRPr="005B0019" w14:paraId="6924CF73" w14:textId="77777777" w:rsidTr="0076385E">
        <w:trPr>
          <w:cnfStyle w:val="100000000000" w:firstRow="1" w:lastRow="0" w:firstColumn="0" w:lastColumn="0" w:oddVBand="0" w:evenVBand="0" w:oddHBand="0" w:evenHBand="0" w:firstRowFirstColumn="0" w:firstRowLastColumn="0" w:lastRowFirstColumn="0" w:lastRowLastColumn="0"/>
          <w:cantSplit/>
          <w:trHeight w:val="130"/>
        </w:trPr>
        <w:tc>
          <w:tcPr>
            <w:tcW w:w="4786" w:type="dxa"/>
            <w:gridSpan w:val="2"/>
            <w:vMerge w:val="restart"/>
          </w:tcPr>
          <w:p w14:paraId="6BDC833B" w14:textId="77777777" w:rsidR="00815F43" w:rsidRPr="00B53476" w:rsidRDefault="00881EA3" w:rsidP="00B53476">
            <w:pPr>
              <w:pStyle w:val="TableTitle"/>
              <w:rPr>
                <w:b/>
              </w:rPr>
            </w:pPr>
            <w:r w:rsidRPr="00B53476">
              <w:rPr>
                <w:b/>
              </w:rPr>
              <w:t>Summary of safety concerns</w:t>
            </w:r>
          </w:p>
          <w:p w14:paraId="28BDDC5F" w14:textId="36040DBB" w:rsidR="00881EA3" w:rsidRPr="00B53476" w:rsidRDefault="00881EA3" w:rsidP="00B53476">
            <w:pPr>
              <w:pStyle w:val="TableTitle"/>
              <w:rPr>
                <w:b/>
              </w:rPr>
            </w:pPr>
            <w:r w:rsidRPr="00B53476">
              <w:rPr>
                <w:b/>
              </w:rPr>
              <w:t>(EU-RMP v13.2 + ASA v3.2)</w:t>
            </w:r>
          </w:p>
        </w:tc>
        <w:tc>
          <w:tcPr>
            <w:tcW w:w="2345" w:type="dxa"/>
            <w:gridSpan w:val="2"/>
          </w:tcPr>
          <w:p w14:paraId="16BBF098" w14:textId="77777777" w:rsidR="00881EA3" w:rsidRPr="00B53476" w:rsidRDefault="00881EA3" w:rsidP="00B53476">
            <w:pPr>
              <w:pStyle w:val="TableTitle"/>
              <w:rPr>
                <w:b/>
                <w:sz w:val="18"/>
              </w:rPr>
            </w:pPr>
            <w:r w:rsidRPr="00B53476">
              <w:rPr>
                <w:b/>
                <w:sz w:val="18"/>
              </w:rPr>
              <w:t>Pharmacovigilance</w:t>
            </w:r>
          </w:p>
        </w:tc>
        <w:tc>
          <w:tcPr>
            <w:tcW w:w="1729" w:type="dxa"/>
            <w:gridSpan w:val="2"/>
          </w:tcPr>
          <w:p w14:paraId="4309C704" w14:textId="77777777" w:rsidR="00881EA3" w:rsidRPr="00B53476" w:rsidRDefault="00881EA3" w:rsidP="00B53476">
            <w:pPr>
              <w:pStyle w:val="TableTitle"/>
              <w:rPr>
                <w:b/>
                <w:sz w:val="18"/>
              </w:rPr>
            </w:pPr>
            <w:r w:rsidRPr="00B53476">
              <w:rPr>
                <w:b/>
                <w:sz w:val="18"/>
              </w:rPr>
              <w:t>Risk Minimisation</w:t>
            </w:r>
          </w:p>
        </w:tc>
      </w:tr>
      <w:tr w:rsidR="00881EA3" w:rsidRPr="005B0019" w14:paraId="058D70F2" w14:textId="77777777" w:rsidTr="0076385E">
        <w:trPr>
          <w:cantSplit/>
          <w:trHeight w:val="148"/>
        </w:trPr>
        <w:tc>
          <w:tcPr>
            <w:tcW w:w="4786" w:type="dxa"/>
            <w:gridSpan w:val="2"/>
            <w:vMerge/>
          </w:tcPr>
          <w:p w14:paraId="4437574D" w14:textId="77777777" w:rsidR="00881EA3" w:rsidRPr="006C3A61" w:rsidRDefault="00881EA3" w:rsidP="006C3A61">
            <w:pPr>
              <w:pStyle w:val="Tabletext"/>
            </w:pPr>
          </w:p>
        </w:tc>
        <w:tc>
          <w:tcPr>
            <w:tcW w:w="1418" w:type="dxa"/>
          </w:tcPr>
          <w:p w14:paraId="1A1D0DBA" w14:textId="77777777" w:rsidR="00881EA3" w:rsidRPr="0076385E" w:rsidRDefault="006C3A61" w:rsidP="00B53476">
            <w:pPr>
              <w:pStyle w:val="Tabletext"/>
              <w:rPr>
                <w:b/>
                <w:color w:val="auto"/>
              </w:rPr>
            </w:pPr>
            <w:r w:rsidRPr="0076385E">
              <w:rPr>
                <w:color w:val="auto"/>
              </w:rPr>
              <w:t>R</w:t>
            </w:r>
          </w:p>
        </w:tc>
        <w:tc>
          <w:tcPr>
            <w:tcW w:w="927" w:type="dxa"/>
          </w:tcPr>
          <w:p w14:paraId="67A4497F" w14:textId="77777777" w:rsidR="00881EA3" w:rsidRPr="0076385E" w:rsidRDefault="006C3A61" w:rsidP="00B53476">
            <w:pPr>
              <w:pStyle w:val="Tabletext"/>
              <w:rPr>
                <w:b/>
                <w:color w:val="auto"/>
              </w:rPr>
            </w:pPr>
            <w:r w:rsidRPr="0076385E">
              <w:rPr>
                <w:color w:val="auto"/>
              </w:rPr>
              <w:t>A</w:t>
            </w:r>
          </w:p>
        </w:tc>
        <w:tc>
          <w:tcPr>
            <w:tcW w:w="928" w:type="dxa"/>
          </w:tcPr>
          <w:p w14:paraId="24A47E6E" w14:textId="77777777" w:rsidR="00881EA3" w:rsidRPr="0076385E" w:rsidRDefault="006C3A61" w:rsidP="00B53476">
            <w:pPr>
              <w:pStyle w:val="Tabletext"/>
              <w:rPr>
                <w:b/>
                <w:color w:val="auto"/>
              </w:rPr>
            </w:pPr>
            <w:r w:rsidRPr="0076385E">
              <w:rPr>
                <w:color w:val="auto"/>
              </w:rPr>
              <w:t>R</w:t>
            </w:r>
          </w:p>
        </w:tc>
        <w:tc>
          <w:tcPr>
            <w:tcW w:w="801" w:type="dxa"/>
          </w:tcPr>
          <w:p w14:paraId="55930E03" w14:textId="77777777" w:rsidR="00881EA3" w:rsidRPr="0076385E" w:rsidRDefault="006C3A61" w:rsidP="00B53476">
            <w:pPr>
              <w:pStyle w:val="Tabletext"/>
              <w:rPr>
                <w:b/>
                <w:color w:val="auto"/>
              </w:rPr>
            </w:pPr>
            <w:r w:rsidRPr="0076385E">
              <w:rPr>
                <w:color w:val="auto"/>
              </w:rPr>
              <w:t>A</w:t>
            </w:r>
          </w:p>
        </w:tc>
      </w:tr>
      <w:tr w:rsidR="00881EA3" w:rsidRPr="005B0019" w14:paraId="5CF629D5" w14:textId="77777777" w:rsidTr="00516729">
        <w:trPr>
          <w:trHeight w:val="135"/>
        </w:trPr>
        <w:tc>
          <w:tcPr>
            <w:tcW w:w="1668" w:type="dxa"/>
            <w:vMerge w:val="restart"/>
          </w:tcPr>
          <w:p w14:paraId="1E329DF4" w14:textId="77777777" w:rsidR="00881EA3" w:rsidRPr="005B0019" w:rsidRDefault="00881EA3" w:rsidP="006C3A61">
            <w:pPr>
              <w:pStyle w:val="Tabletext"/>
              <w:keepNext/>
              <w:rPr>
                <w:b/>
              </w:rPr>
            </w:pPr>
            <w:r w:rsidRPr="005B0019">
              <w:rPr>
                <w:b/>
              </w:rPr>
              <w:t>Important identified risks</w:t>
            </w:r>
          </w:p>
        </w:tc>
        <w:tc>
          <w:tcPr>
            <w:tcW w:w="3118" w:type="dxa"/>
          </w:tcPr>
          <w:p w14:paraId="16E2494C" w14:textId="77777777" w:rsidR="00881EA3" w:rsidRPr="00B53476" w:rsidRDefault="00881EA3" w:rsidP="00B53476">
            <w:pPr>
              <w:pStyle w:val="Tabletext"/>
            </w:pPr>
            <w:r w:rsidRPr="00B53476">
              <w:t>Serious systemic hypersensitivity reactions</w:t>
            </w:r>
          </w:p>
        </w:tc>
        <w:tc>
          <w:tcPr>
            <w:tcW w:w="1418" w:type="dxa"/>
          </w:tcPr>
          <w:p w14:paraId="0222B02C" w14:textId="77777777" w:rsidR="00881EA3" w:rsidRPr="005B0019" w:rsidRDefault="00881EA3" w:rsidP="006C3A61">
            <w:pPr>
              <w:pStyle w:val="Tabletext"/>
              <w:keepNext/>
              <w:jc w:val="center"/>
            </w:pPr>
            <w:r w:rsidRPr="005B0019">
              <w:sym w:font="Wingdings" w:char="F0FC"/>
            </w:r>
            <w:r>
              <w:t>*</w:t>
            </w:r>
          </w:p>
        </w:tc>
        <w:tc>
          <w:tcPr>
            <w:tcW w:w="927" w:type="dxa"/>
          </w:tcPr>
          <w:p w14:paraId="07CD2702" w14:textId="77777777" w:rsidR="00881EA3" w:rsidRPr="005B0019" w:rsidRDefault="00881EA3" w:rsidP="006C3A61">
            <w:pPr>
              <w:pStyle w:val="Tabletext"/>
              <w:keepNext/>
              <w:jc w:val="center"/>
            </w:pPr>
            <w:r w:rsidRPr="005B0019">
              <w:sym w:font="Wingdings" w:char="F0FC"/>
            </w:r>
          </w:p>
        </w:tc>
        <w:tc>
          <w:tcPr>
            <w:tcW w:w="928" w:type="dxa"/>
          </w:tcPr>
          <w:p w14:paraId="645E32D8" w14:textId="77777777" w:rsidR="00881EA3" w:rsidRPr="005B0019" w:rsidRDefault="00881EA3" w:rsidP="006C3A61">
            <w:pPr>
              <w:pStyle w:val="Tabletext"/>
              <w:keepNext/>
              <w:jc w:val="center"/>
            </w:pPr>
            <w:r w:rsidRPr="005B0019">
              <w:sym w:font="Wingdings" w:char="F0FC"/>
            </w:r>
          </w:p>
        </w:tc>
        <w:tc>
          <w:tcPr>
            <w:tcW w:w="801" w:type="dxa"/>
          </w:tcPr>
          <w:p w14:paraId="0CD1855E" w14:textId="77777777" w:rsidR="00881EA3" w:rsidRPr="005B0019" w:rsidRDefault="00881EA3" w:rsidP="006C3A61">
            <w:pPr>
              <w:pStyle w:val="Tabletext"/>
              <w:keepNext/>
              <w:jc w:val="center"/>
            </w:pPr>
            <w:r w:rsidRPr="005B0019">
              <w:sym w:font="Wingdings" w:char="F0FC"/>
            </w:r>
          </w:p>
        </w:tc>
      </w:tr>
      <w:tr w:rsidR="00881EA3" w:rsidRPr="005B0019" w14:paraId="535B75E2" w14:textId="77777777" w:rsidTr="00516729">
        <w:trPr>
          <w:trHeight w:val="93"/>
        </w:trPr>
        <w:tc>
          <w:tcPr>
            <w:tcW w:w="1668" w:type="dxa"/>
            <w:vMerge/>
          </w:tcPr>
          <w:p w14:paraId="6AAFC38B" w14:textId="77777777" w:rsidR="00881EA3" w:rsidRPr="005B0019" w:rsidRDefault="00881EA3" w:rsidP="00881EA3">
            <w:pPr>
              <w:pStyle w:val="Tabletext"/>
              <w:rPr>
                <w:b/>
              </w:rPr>
            </w:pPr>
          </w:p>
        </w:tc>
        <w:tc>
          <w:tcPr>
            <w:tcW w:w="3118" w:type="dxa"/>
          </w:tcPr>
          <w:p w14:paraId="73ED8C4D" w14:textId="77777777" w:rsidR="00881EA3" w:rsidRPr="00B53476" w:rsidRDefault="00881EA3" w:rsidP="00B53476">
            <w:pPr>
              <w:pStyle w:val="Tabletext"/>
            </w:pPr>
            <w:r w:rsidRPr="00B53476">
              <w:t>Facial palsy</w:t>
            </w:r>
          </w:p>
        </w:tc>
        <w:tc>
          <w:tcPr>
            <w:tcW w:w="1418" w:type="dxa"/>
          </w:tcPr>
          <w:p w14:paraId="7B2C59E2" w14:textId="77777777" w:rsidR="00881EA3" w:rsidRPr="005B0019" w:rsidRDefault="00881EA3" w:rsidP="00881EA3">
            <w:pPr>
              <w:pStyle w:val="Tabletext"/>
              <w:jc w:val="center"/>
            </w:pPr>
            <w:r w:rsidRPr="005B0019">
              <w:sym w:font="Wingdings" w:char="F0FC"/>
            </w:r>
            <w:r w:rsidRPr="005B0019">
              <w:t>*</w:t>
            </w:r>
          </w:p>
        </w:tc>
        <w:tc>
          <w:tcPr>
            <w:tcW w:w="927" w:type="dxa"/>
          </w:tcPr>
          <w:p w14:paraId="6F81334D" w14:textId="77777777" w:rsidR="00881EA3" w:rsidRPr="005B0019" w:rsidRDefault="00881EA3" w:rsidP="00881EA3">
            <w:pPr>
              <w:pStyle w:val="Tabletext"/>
              <w:jc w:val="center"/>
            </w:pPr>
            <w:r w:rsidRPr="005B0019">
              <w:sym w:font="Wingdings" w:char="F0FC"/>
            </w:r>
          </w:p>
        </w:tc>
        <w:tc>
          <w:tcPr>
            <w:tcW w:w="928" w:type="dxa"/>
          </w:tcPr>
          <w:p w14:paraId="4A9A0915" w14:textId="77777777" w:rsidR="00881EA3" w:rsidRPr="005B0019" w:rsidRDefault="00881EA3" w:rsidP="00881EA3">
            <w:pPr>
              <w:pStyle w:val="Tabletext"/>
              <w:jc w:val="center"/>
            </w:pPr>
            <w:r w:rsidRPr="005B0019">
              <w:t>-</w:t>
            </w:r>
          </w:p>
        </w:tc>
        <w:tc>
          <w:tcPr>
            <w:tcW w:w="801" w:type="dxa"/>
          </w:tcPr>
          <w:p w14:paraId="125B4B11" w14:textId="77777777" w:rsidR="00881EA3" w:rsidRPr="005B0019" w:rsidRDefault="00881EA3" w:rsidP="00881EA3">
            <w:pPr>
              <w:pStyle w:val="Tabletext"/>
              <w:jc w:val="center"/>
            </w:pPr>
            <w:r w:rsidRPr="005B0019">
              <w:t>–</w:t>
            </w:r>
          </w:p>
        </w:tc>
      </w:tr>
      <w:tr w:rsidR="00881EA3" w:rsidRPr="005B0019" w14:paraId="30DD121A" w14:textId="77777777" w:rsidTr="00516729">
        <w:trPr>
          <w:trHeight w:val="185"/>
        </w:trPr>
        <w:tc>
          <w:tcPr>
            <w:tcW w:w="1668" w:type="dxa"/>
            <w:vMerge/>
          </w:tcPr>
          <w:p w14:paraId="76C64D78" w14:textId="77777777" w:rsidR="00881EA3" w:rsidRPr="005B0019" w:rsidRDefault="00881EA3" w:rsidP="00881EA3">
            <w:pPr>
              <w:pStyle w:val="Tabletext"/>
              <w:rPr>
                <w:b/>
              </w:rPr>
            </w:pPr>
          </w:p>
        </w:tc>
        <w:tc>
          <w:tcPr>
            <w:tcW w:w="3118" w:type="dxa"/>
          </w:tcPr>
          <w:p w14:paraId="3096E3CA" w14:textId="77777777" w:rsidR="00881EA3" w:rsidRPr="00B53476" w:rsidRDefault="00881EA3" w:rsidP="00B53476">
            <w:pPr>
              <w:pStyle w:val="Tabletext"/>
            </w:pPr>
            <w:r w:rsidRPr="00B53476">
              <w:t>Pustular psoriasis</w:t>
            </w:r>
          </w:p>
        </w:tc>
        <w:tc>
          <w:tcPr>
            <w:tcW w:w="1418" w:type="dxa"/>
          </w:tcPr>
          <w:p w14:paraId="27AD8524" w14:textId="77777777" w:rsidR="00881EA3" w:rsidRPr="005B0019" w:rsidRDefault="00881EA3" w:rsidP="00881EA3">
            <w:pPr>
              <w:pStyle w:val="Tabletext"/>
              <w:jc w:val="center"/>
            </w:pPr>
            <w:r w:rsidRPr="005B0019">
              <w:sym w:font="Wingdings" w:char="F0FC"/>
            </w:r>
            <w:r w:rsidRPr="005B0019">
              <w:t>*</w:t>
            </w:r>
          </w:p>
        </w:tc>
        <w:tc>
          <w:tcPr>
            <w:tcW w:w="927" w:type="dxa"/>
          </w:tcPr>
          <w:p w14:paraId="46D977DD" w14:textId="77777777" w:rsidR="00881EA3" w:rsidRPr="005B0019" w:rsidRDefault="00881EA3" w:rsidP="00881EA3">
            <w:pPr>
              <w:pStyle w:val="Tabletext"/>
              <w:jc w:val="center"/>
            </w:pPr>
            <w:r w:rsidRPr="005B0019">
              <w:sym w:font="Wingdings" w:char="F0FC"/>
            </w:r>
          </w:p>
        </w:tc>
        <w:tc>
          <w:tcPr>
            <w:tcW w:w="928" w:type="dxa"/>
          </w:tcPr>
          <w:p w14:paraId="1FD8458F" w14:textId="77777777" w:rsidR="00881EA3" w:rsidRPr="005B0019" w:rsidRDefault="00881EA3" w:rsidP="00881EA3">
            <w:pPr>
              <w:pStyle w:val="Tabletext"/>
              <w:jc w:val="center"/>
            </w:pPr>
            <w:r w:rsidRPr="005B0019">
              <w:sym w:font="Wingdings" w:char="F0FC"/>
            </w:r>
          </w:p>
        </w:tc>
        <w:tc>
          <w:tcPr>
            <w:tcW w:w="801" w:type="dxa"/>
          </w:tcPr>
          <w:p w14:paraId="46F1447C" w14:textId="77777777" w:rsidR="00881EA3" w:rsidRPr="005B0019" w:rsidRDefault="00881EA3" w:rsidP="00881EA3">
            <w:pPr>
              <w:pStyle w:val="Tabletext"/>
              <w:jc w:val="center"/>
            </w:pPr>
            <w:r w:rsidRPr="005B0019">
              <w:t>-</w:t>
            </w:r>
          </w:p>
        </w:tc>
      </w:tr>
      <w:tr w:rsidR="00881EA3" w:rsidRPr="005B0019" w14:paraId="38A0C854" w14:textId="77777777" w:rsidTr="00516729">
        <w:trPr>
          <w:trHeight w:val="185"/>
        </w:trPr>
        <w:tc>
          <w:tcPr>
            <w:tcW w:w="1668" w:type="dxa"/>
            <w:vMerge/>
          </w:tcPr>
          <w:p w14:paraId="2C0C4D1B" w14:textId="77777777" w:rsidR="00881EA3" w:rsidRPr="005B0019" w:rsidRDefault="00881EA3" w:rsidP="00881EA3">
            <w:pPr>
              <w:pStyle w:val="Tabletext"/>
              <w:rPr>
                <w:b/>
              </w:rPr>
            </w:pPr>
          </w:p>
        </w:tc>
        <w:tc>
          <w:tcPr>
            <w:tcW w:w="3118" w:type="dxa"/>
          </w:tcPr>
          <w:p w14:paraId="6EF6E098" w14:textId="77777777" w:rsidR="00881EA3" w:rsidRPr="00B53476" w:rsidRDefault="00881EA3" w:rsidP="00B53476">
            <w:pPr>
              <w:pStyle w:val="Tabletext"/>
            </w:pPr>
            <w:r w:rsidRPr="00B53476">
              <w:t xml:space="preserve">Erythrodermic psoriasis </w:t>
            </w:r>
          </w:p>
        </w:tc>
        <w:tc>
          <w:tcPr>
            <w:tcW w:w="1418" w:type="dxa"/>
          </w:tcPr>
          <w:p w14:paraId="1013149E" w14:textId="77777777" w:rsidR="00881EA3" w:rsidRPr="005B0019" w:rsidRDefault="00881EA3" w:rsidP="00881EA3">
            <w:pPr>
              <w:pStyle w:val="Tabletext"/>
              <w:jc w:val="center"/>
            </w:pPr>
            <w:r w:rsidRPr="005B0019">
              <w:sym w:font="Wingdings" w:char="F0FC"/>
            </w:r>
            <w:r w:rsidRPr="005B0019">
              <w:t>*</w:t>
            </w:r>
          </w:p>
        </w:tc>
        <w:tc>
          <w:tcPr>
            <w:tcW w:w="927" w:type="dxa"/>
          </w:tcPr>
          <w:p w14:paraId="470AAC5E" w14:textId="77777777" w:rsidR="00881EA3" w:rsidRPr="005B0019" w:rsidRDefault="00881EA3" w:rsidP="00881EA3">
            <w:pPr>
              <w:pStyle w:val="Tabletext"/>
              <w:jc w:val="center"/>
            </w:pPr>
            <w:r w:rsidRPr="005B0019">
              <w:sym w:font="Wingdings" w:char="F0FC"/>
            </w:r>
          </w:p>
        </w:tc>
        <w:tc>
          <w:tcPr>
            <w:tcW w:w="928" w:type="dxa"/>
          </w:tcPr>
          <w:p w14:paraId="7F836A1C" w14:textId="77777777" w:rsidR="00881EA3" w:rsidRPr="005B0019" w:rsidRDefault="00881EA3" w:rsidP="00881EA3">
            <w:pPr>
              <w:pStyle w:val="Tabletext"/>
              <w:jc w:val="center"/>
            </w:pPr>
            <w:r w:rsidRPr="005B0019">
              <w:sym w:font="Wingdings" w:char="F0FC"/>
            </w:r>
          </w:p>
        </w:tc>
        <w:tc>
          <w:tcPr>
            <w:tcW w:w="801" w:type="dxa"/>
          </w:tcPr>
          <w:p w14:paraId="6F8ABDD0" w14:textId="77777777" w:rsidR="00881EA3" w:rsidRPr="005B0019" w:rsidRDefault="00881EA3" w:rsidP="00881EA3">
            <w:pPr>
              <w:pStyle w:val="Tabletext"/>
              <w:jc w:val="center"/>
            </w:pPr>
            <w:r w:rsidRPr="005B0019">
              <w:t>-</w:t>
            </w:r>
          </w:p>
        </w:tc>
      </w:tr>
      <w:tr w:rsidR="00881EA3" w:rsidRPr="005B0019" w14:paraId="12419030" w14:textId="77777777" w:rsidTr="00516729">
        <w:trPr>
          <w:trHeight w:val="121"/>
        </w:trPr>
        <w:tc>
          <w:tcPr>
            <w:tcW w:w="1668" w:type="dxa"/>
            <w:vMerge w:val="restart"/>
          </w:tcPr>
          <w:p w14:paraId="0B320A6C" w14:textId="77777777" w:rsidR="00881EA3" w:rsidRPr="005B0019" w:rsidRDefault="00881EA3" w:rsidP="00881EA3">
            <w:pPr>
              <w:pStyle w:val="Tabletext"/>
              <w:rPr>
                <w:b/>
              </w:rPr>
            </w:pPr>
            <w:r w:rsidRPr="005B0019">
              <w:rPr>
                <w:b/>
              </w:rPr>
              <w:t>Important potential risks</w:t>
            </w:r>
          </w:p>
        </w:tc>
        <w:tc>
          <w:tcPr>
            <w:tcW w:w="3118" w:type="dxa"/>
          </w:tcPr>
          <w:p w14:paraId="19C684CA" w14:textId="77777777" w:rsidR="00881EA3" w:rsidRPr="00B53476" w:rsidRDefault="00881EA3" w:rsidP="00B53476">
            <w:pPr>
              <w:pStyle w:val="Tabletext"/>
            </w:pPr>
            <w:r w:rsidRPr="00B53476">
              <w:t>Serious infections including mycobacterial and salmonella infections</w:t>
            </w:r>
          </w:p>
        </w:tc>
        <w:tc>
          <w:tcPr>
            <w:tcW w:w="1418" w:type="dxa"/>
          </w:tcPr>
          <w:p w14:paraId="6FE0EBA8" w14:textId="77777777" w:rsidR="00881EA3" w:rsidRPr="005B0019" w:rsidRDefault="00881EA3" w:rsidP="00881EA3">
            <w:pPr>
              <w:pStyle w:val="Tabletext"/>
              <w:jc w:val="center"/>
            </w:pPr>
            <w:r w:rsidRPr="005B0019">
              <w:sym w:font="Wingdings" w:char="F0FC"/>
            </w:r>
            <w:r w:rsidRPr="005B0019">
              <w:t>*</w:t>
            </w:r>
          </w:p>
        </w:tc>
        <w:tc>
          <w:tcPr>
            <w:tcW w:w="927" w:type="dxa"/>
          </w:tcPr>
          <w:p w14:paraId="22BD87AA" w14:textId="77777777" w:rsidR="00881EA3" w:rsidRPr="005B0019" w:rsidRDefault="00881EA3" w:rsidP="00881EA3">
            <w:pPr>
              <w:pStyle w:val="Tabletext"/>
              <w:jc w:val="center"/>
            </w:pPr>
            <w:r w:rsidRPr="005B0019">
              <w:sym w:font="Wingdings" w:char="F0FC"/>
            </w:r>
          </w:p>
        </w:tc>
        <w:tc>
          <w:tcPr>
            <w:tcW w:w="928" w:type="dxa"/>
          </w:tcPr>
          <w:p w14:paraId="5C0A5382" w14:textId="77777777" w:rsidR="00881EA3" w:rsidRPr="005B0019" w:rsidRDefault="00881EA3" w:rsidP="00881EA3">
            <w:pPr>
              <w:pStyle w:val="Tabletext"/>
              <w:jc w:val="center"/>
            </w:pPr>
            <w:r w:rsidRPr="005B0019">
              <w:sym w:font="Wingdings" w:char="F0FC"/>
            </w:r>
          </w:p>
        </w:tc>
        <w:tc>
          <w:tcPr>
            <w:tcW w:w="801" w:type="dxa"/>
          </w:tcPr>
          <w:p w14:paraId="13327866" w14:textId="77777777" w:rsidR="00881EA3" w:rsidRPr="005B0019" w:rsidRDefault="00881EA3" w:rsidP="00881EA3">
            <w:pPr>
              <w:pStyle w:val="Tabletext"/>
              <w:jc w:val="center"/>
            </w:pPr>
            <w:r w:rsidRPr="005B0019">
              <w:sym w:font="Wingdings" w:char="F0FC"/>
            </w:r>
          </w:p>
        </w:tc>
      </w:tr>
      <w:tr w:rsidR="00881EA3" w:rsidRPr="005B0019" w14:paraId="03CAB21F" w14:textId="77777777" w:rsidTr="00516729">
        <w:trPr>
          <w:trHeight w:val="111"/>
        </w:trPr>
        <w:tc>
          <w:tcPr>
            <w:tcW w:w="1668" w:type="dxa"/>
            <w:vMerge/>
          </w:tcPr>
          <w:p w14:paraId="78453E93" w14:textId="77777777" w:rsidR="00881EA3" w:rsidRPr="005B0019" w:rsidRDefault="00881EA3" w:rsidP="00881EA3">
            <w:pPr>
              <w:pStyle w:val="Tabletext"/>
              <w:rPr>
                <w:b/>
              </w:rPr>
            </w:pPr>
          </w:p>
        </w:tc>
        <w:tc>
          <w:tcPr>
            <w:tcW w:w="3118" w:type="dxa"/>
          </w:tcPr>
          <w:p w14:paraId="137E9600" w14:textId="77777777" w:rsidR="00881EA3" w:rsidRPr="00B53476" w:rsidRDefault="00881EA3" w:rsidP="00B53476">
            <w:pPr>
              <w:pStyle w:val="Tabletext"/>
            </w:pPr>
            <w:r w:rsidRPr="00B53476">
              <w:t>Malignancy</w:t>
            </w:r>
          </w:p>
        </w:tc>
        <w:tc>
          <w:tcPr>
            <w:tcW w:w="1418" w:type="dxa"/>
          </w:tcPr>
          <w:p w14:paraId="7A4D3691" w14:textId="77777777" w:rsidR="00881EA3" w:rsidRPr="005B0019" w:rsidRDefault="00881EA3" w:rsidP="00881EA3">
            <w:pPr>
              <w:pStyle w:val="Tabletext"/>
              <w:jc w:val="center"/>
            </w:pPr>
            <w:r w:rsidRPr="005B0019">
              <w:sym w:font="Wingdings" w:char="F0FC"/>
            </w:r>
            <w:r w:rsidRPr="005B0019">
              <w:t>*</w:t>
            </w:r>
          </w:p>
        </w:tc>
        <w:tc>
          <w:tcPr>
            <w:tcW w:w="927" w:type="dxa"/>
          </w:tcPr>
          <w:p w14:paraId="7F335E32" w14:textId="77777777" w:rsidR="00881EA3" w:rsidRPr="005B0019" w:rsidRDefault="00881EA3" w:rsidP="00881EA3">
            <w:pPr>
              <w:pStyle w:val="Tabletext"/>
              <w:jc w:val="center"/>
            </w:pPr>
            <w:r w:rsidRPr="005B0019">
              <w:sym w:font="Wingdings" w:char="F0FC"/>
            </w:r>
          </w:p>
        </w:tc>
        <w:tc>
          <w:tcPr>
            <w:tcW w:w="928" w:type="dxa"/>
          </w:tcPr>
          <w:p w14:paraId="70B19860" w14:textId="77777777" w:rsidR="00881EA3" w:rsidRPr="005B0019" w:rsidRDefault="00881EA3" w:rsidP="00881EA3">
            <w:pPr>
              <w:pStyle w:val="Tabletext"/>
              <w:jc w:val="center"/>
            </w:pPr>
            <w:r w:rsidRPr="005B0019">
              <w:sym w:font="Wingdings" w:char="F0FC"/>
            </w:r>
          </w:p>
        </w:tc>
        <w:tc>
          <w:tcPr>
            <w:tcW w:w="801" w:type="dxa"/>
          </w:tcPr>
          <w:p w14:paraId="682F9096" w14:textId="77777777" w:rsidR="00881EA3" w:rsidRPr="005B0019" w:rsidRDefault="00881EA3" w:rsidP="00881EA3">
            <w:pPr>
              <w:pStyle w:val="Tabletext"/>
              <w:jc w:val="center"/>
            </w:pPr>
            <w:r w:rsidRPr="005B0019">
              <w:sym w:font="Wingdings" w:char="F0FC"/>
            </w:r>
          </w:p>
        </w:tc>
      </w:tr>
      <w:tr w:rsidR="00881EA3" w:rsidRPr="005B0019" w14:paraId="6D0A2D3A" w14:textId="77777777" w:rsidTr="00516729">
        <w:trPr>
          <w:trHeight w:val="176"/>
        </w:trPr>
        <w:tc>
          <w:tcPr>
            <w:tcW w:w="1668" w:type="dxa"/>
            <w:vMerge/>
          </w:tcPr>
          <w:p w14:paraId="12200AC2" w14:textId="77777777" w:rsidR="00881EA3" w:rsidRPr="005B0019" w:rsidRDefault="00881EA3" w:rsidP="00881EA3">
            <w:pPr>
              <w:pStyle w:val="Tabletext"/>
              <w:rPr>
                <w:b/>
              </w:rPr>
            </w:pPr>
          </w:p>
        </w:tc>
        <w:tc>
          <w:tcPr>
            <w:tcW w:w="3118" w:type="dxa"/>
          </w:tcPr>
          <w:p w14:paraId="7249707E" w14:textId="77777777" w:rsidR="00881EA3" w:rsidRPr="00B53476" w:rsidRDefault="00881EA3" w:rsidP="00B53476">
            <w:pPr>
              <w:pStyle w:val="Tabletext"/>
            </w:pPr>
            <w:r w:rsidRPr="00B53476">
              <w:t>Cardiovascular events</w:t>
            </w:r>
          </w:p>
        </w:tc>
        <w:tc>
          <w:tcPr>
            <w:tcW w:w="1418" w:type="dxa"/>
          </w:tcPr>
          <w:p w14:paraId="066D7E93" w14:textId="77777777" w:rsidR="00881EA3" w:rsidRPr="005B0019" w:rsidRDefault="00881EA3" w:rsidP="00881EA3">
            <w:pPr>
              <w:pStyle w:val="Tabletext"/>
              <w:jc w:val="center"/>
            </w:pPr>
            <w:r w:rsidRPr="005B0019">
              <w:sym w:font="Wingdings" w:char="F0FC"/>
            </w:r>
            <w:r w:rsidRPr="005B0019">
              <w:t>*</w:t>
            </w:r>
          </w:p>
        </w:tc>
        <w:tc>
          <w:tcPr>
            <w:tcW w:w="927" w:type="dxa"/>
          </w:tcPr>
          <w:p w14:paraId="319D76FD" w14:textId="77777777" w:rsidR="00881EA3" w:rsidRPr="005B0019" w:rsidRDefault="00881EA3" w:rsidP="00881EA3">
            <w:pPr>
              <w:pStyle w:val="Tabletext"/>
              <w:jc w:val="center"/>
            </w:pPr>
            <w:r w:rsidRPr="005B0019">
              <w:sym w:font="Wingdings" w:char="F0FC"/>
            </w:r>
          </w:p>
        </w:tc>
        <w:tc>
          <w:tcPr>
            <w:tcW w:w="928" w:type="dxa"/>
          </w:tcPr>
          <w:p w14:paraId="00EA9A7C" w14:textId="77777777" w:rsidR="00881EA3" w:rsidRPr="005B0019" w:rsidRDefault="00881EA3" w:rsidP="00881EA3">
            <w:pPr>
              <w:pStyle w:val="Tabletext"/>
              <w:jc w:val="center"/>
            </w:pPr>
            <w:r w:rsidRPr="005B0019">
              <w:sym w:font="Wingdings" w:char="F0FC"/>
            </w:r>
          </w:p>
        </w:tc>
        <w:tc>
          <w:tcPr>
            <w:tcW w:w="801" w:type="dxa"/>
          </w:tcPr>
          <w:p w14:paraId="433540F7" w14:textId="77777777" w:rsidR="00881EA3" w:rsidRPr="005B0019" w:rsidRDefault="00881EA3" w:rsidP="00881EA3">
            <w:pPr>
              <w:pStyle w:val="Tabletext"/>
              <w:jc w:val="center"/>
            </w:pPr>
            <w:r w:rsidRPr="005B0019">
              <w:t>–</w:t>
            </w:r>
          </w:p>
        </w:tc>
      </w:tr>
      <w:tr w:rsidR="00881EA3" w:rsidRPr="005B0019" w14:paraId="6D17AD04" w14:textId="77777777" w:rsidTr="00516729">
        <w:trPr>
          <w:trHeight w:val="102"/>
        </w:trPr>
        <w:tc>
          <w:tcPr>
            <w:tcW w:w="1668" w:type="dxa"/>
            <w:vMerge/>
          </w:tcPr>
          <w:p w14:paraId="3A760C26" w14:textId="77777777" w:rsidR="00881EA3" w:rsidRPr="005B0019" w:rsidRDefault="00881EA3" w:rsidP="00881EA3">
            <w:pPr>
              <w:pStyle w:val="Tabletext"/>
            </w:pPr>
          </w:p>
        </w:tc>
        <w:tc>
          <w:tcPr>
            <w:tcW w:w="3118" w:type="dxa"/>
          </w:tcPr>
          <w:p w14:paraId="5DBCCDDE" w14:textId="77777777" w:rsidR="00881EA3" w:rsidRPr="00B53476" w:rsidRDefault="00881EA3" w:rsidP="00B53476">
            <w:pPr>
              <w:pStyle w:val="Tabletext"/>
            </w:pPr>
            <w:r w:rsidRPr="00B53476">
              <w:t>Serious depression including suicidality</w:t>
            </w:r>
          </w:p>
        </w:tc>
        <w:tc>
          <w:tcPr>
            <w:tcW w:w="1418" w:type="dxa"/>
          </w:tcPr>
          <w:p w14:paraId="2F32A31A" w14:textId="77777777" w:rsidR="00881EA3" w:rsidRPr="005B0019" w:rsidRDefault="00881EA3" w:rsidP="00881EA3">
            <w:pPr>
              <w:pStyle w:val="Tabletext"/>
              <w:jc w:val="center"/>
            </w:pPr>
            <w:r w:rsidRPr="005B0019">
              <w:sym w:font="Wingdings" w:char="F0FC"/>
            </w:r>
          </w:p>
        </w:tc>
        <w:tc>
          <w:tcPr>
            <w:tcW w:w="927" w:type="dxa"/>
          </w:tcPr>
          <w:p w14:paraId="44A7F409" w14:textId="77777777" w:rsidR="00881EA3" w:rsidRPr="005B0019" w:rsidRDefault="00881EA3" w:rsidP="00881EA3">
            <w:pPr>
              <w:pStyle w:val="Tabletext"/>
              <w:jc w:val="center"/>
            </w:pPr>
            <w:r w:rsidRPr="005B0019">
              <w:sym w:font="Wingdings" w:char="F0FC"/>
            </w:r>
          </w:p>
        </w:tc>
        <w:tc>
          <w:tcPr>
            <w:tcW w:w="928" w:type="dxa"/>
          </w:tcPr>
          <w:p w14:paraId="7A49E411" w14:textId="77777777" w:rsidR="00881EA3" w:rsidRPr="005B0019" w:rsidRDefault="00881EA3" w:rsidP="00881EA3">
            <w:pPr>
              <w:pStyle w:val="Tabletext"/>
              <w:jc w:val="center"/>
            </w:pPr>
            <w:r w:rsidRPr="005B0019">
              <w:sym w:font="Wingdings" w:char="F0FC"/>
            </w:r>
          </w:p>
        </w:tc>
        <w:tc>
          <w:tcPr>
            <w:tcW w:w="801" w:type="dxa"/>
          </w:tcPr>
          <w:p w14:paraId="7FBF6877" w14:textId="77777777" w:rsidR="00881EA3" w:rsidRPr="005B0019" w:rsidRDefault="00881EA3" w:rsidP="00881EA3">
            <w:pPr>
              <w:pStyle w:val="Tabletext"/>
              <w:jc w:val="center"/>
            </w:pPr>
            <w:r w:rsidRPr="005B0019">
              <w:t>–</w:t>
            </w:r>
          </w:p>
        </w:tc>
      </w:tr>
      <w:tr w:rsidR="00881EA3" w:rsidRPr="005B0019" w14:paraId="43734578" w14:textId="77777777" w:rsidTr="00516729">
        <w:trPr>
          <w:trHeight w:val="138"/>
        </w:trPr>
        <w:tc>
          <w:tcPr>
            <w:tcW w:w="1668" w:type="dxa"/>
            <w:vMerge/>
          </w:tcPr>
          <w:p w14:paraId="4055622C" w14:textId="77777777" w:rsidR="00881EA3" w:rsidRPr="005B0019" w:rsidRDefault="00881EA3" w:rsidP="00881EA3">
            <w:pPr>
              <w:pStyle w:val="Tabletext"/>
            </w:pPr>
          </w:p>
        </w:tc>
        <w:tc>
          <w:tcPr>
            <w:tcW w:w="3118" w:type="dxa"/>
          </w:tcPr>
          <w:p w14:paraId="26A4053B" w14:textId="77777777" w:rsidR="00881EA3" w:rsidRPr="005B0019" w:rsidRDefault="00881EA3" w:rsidP="00B53476">
            <w:pPr>
              <w:pStyle w:val="Tabletext"/>
            </w:pPr>
            <w:r w:rsidRPr="005B0019">
              <w:t xml:space="preserve">Reversible Posterior </w:t>
            </w:r>
            <w:r w:rsidRPr="00B53476">
              <w:t>Leukoencephalopathy</w:t>
            </w:r>
            <w:r w:rsidRPr="005B0019">
              <w:t xml:space="preserve"> Syndrome</w:t>
            </w:r>
          </w:p>
        </w:tc>
        <w:tc>
          <w:tcPr>
            <w:tcW w:w="1418" w:type="dxa"/>
          </w:tcPr>
          <w:p w14:paraId="7D697AB4" w14:textId="77777777" w:rsidR="00881EA3" w:rsidRPr="005B0019" w:rsidRDefault="00881EA3" w:rsidP="00881EA3">
            <w:pPr>
              <w:pStyle w:val="Tabletext"/>
              <w:jc w:val="center"/>
            </w:pPr>
            <w:r w:rsidRPr="005B0019">
              <w:sym w:font="Wingdings" w:char="F0FC"/>
            </w:r>
            <w:r w:rsidRPr="005B0019">
              <w:t>*</w:t>
            </w:r>
          </w:p>
        </w:tc>
        <w:tc>
          <w:tcPr>
            <w:tcW w:w="927" w:type="dxa"/>
          </w:tcPr>
          <w:p w14:paraId="5295362A" w14:textId="77777777" w:rsidR="00881EA3" w:rsidRPr="005B0019" w:rsidRDefault="00881EA3" w:rsidP="00881EA3">
            <w:pPr>
              <w:pStyle w:val="Tabletext"/>
              <w:jc w:val="center"/>
            </w:pPr>
            <w:r w:rsidRPr="005B0019">
              <w:sym w:font="Wingdings" w:char="F0FC"/>
            </w:r>
          </w:p>
        </w:tc>
        <w:tc>
          <w:tcPr>
            <w:tcW w:w="928" w:type="dxa"/>
          </w:tcPr>
          <w:p w14:paraId="414BBCF4" w14:textId="77777777" w:rsidR="00881EA3" w:rsidRPr="005B0019" w:rsidRDefault="00881EA3" w:rsidP="00881EA3">
            <w:pPr>
              <w:pStyle w:val="Tabletext"/>
              <w:jc w:val="center"/>
            </w:pPr>
            <w:r w:rsidRPr="005B0019">
              <w:sym w:font="Wingdings" w:char="F0FC"/>
            </w:r>
          </w:p>
        </w:tc>
        <w:tc>
          <w:tcPr>
            <w:tcW w:w="801" w:type="dxa"/>
          </w:tcPr>
          <w:p w14:paraId="119CB25D" w14:textId="77777777" w:rsidR="00881EA3" w:rsidRPr="005B0019" w:rsidRDefault="00881EA3" w:rsidP="00881EA3">
            <w:pPr>
              <w:pStyle w:val="Tabletext"/>
              <w:jc w:val="center"/>
            </w:pPr>
            <w:r w:rsidRPr="005B0019">
              <w:t>–</w:t>
            </w:r>
          </w:p>
        </w:tc>
      </w:tr>
      <w:tr w:rsidR="00881EA3" w:rsidRPr="005B0019" w14:paraId="5564B0A4" w14:textId="77777777" w:rsidTr="00516729">
        <w:trPr>
          <w:trHeight w:val="138"/>
        </w:trPr>
        <w:tc>
          <w:tcPr>
            <w:tcW w:w="1668" w:type="dxa"/>
            <w:vMerge/>
          </w:tcPr>
          <w:p w14:paraId="383CE276" w14:textId="77777777" w:rsidR="00881EA3" w:rsidRPr="005B0019" w:rsidRDefault="00881EA3" w:rsidP="00881EA3">
            <w:pPr>
              <w:pStyle w:val="Tabletext"/>
            </w:pPr>
          </w:p>
        </w:tc>
        <w:tc>
          <w:tcPr>
            <w:tcW w:w="3118" w:type="dxa"/>
          </w:tcPr>
          <w:p w14:paraId="12C8A8DA" w14:textId="77777777" w:rsidR="00881EA3" w:rsidRPr="00EC4487" w:rsidRDefault="00881EA3" w:rsidP="00881EA3">
            <w:pPr>
              <w:pStyle w:val="Tabletext"/>
              <w:rPr>
                <w:highlight w:val="lightGray"/>
              </w:rPr>
            </w:pPr>
            <w:r w:rsidRPr="00EC4487">
              <w:rPr>
                <w:highlight w:val="lightGray"/>
                <w:u w:val="single"/>
              </w:rPr>
              <w:t>Venous thromboembolism</w:t>
            </w:r>
            <w:r w:rsidRPr="00EC4487">
              <w:rPr>
                <w:highlight w:val="lightGray"/>
                <w:vertAlign w:val="superscript"/>
              </w:rPr>
              <w:t xml:space="preserve"> </w:t>
            </w:r>
            <w:r w:rsidRPr="00EC4487">
              <w:rPr>
                <w:highlight w:val="lightGray"/>
              </w:rPr>
              <w:t>(</w:t>
            </w:r>
            <w:r w:rsidRPr="00EC4487">
              <w:rPr>
                <w:i/>
                <w:highlight w:val="lightGray"/>
              </w:rPr>
              <w:t>EU-RMP only</w:t>
            </w:r>
            <w:r w:rsidRPr="00EC4487">
              <w:rPr>
                <w:highlight w:val="lightGray"/>
              </w:rPr>
              <w:t>)</w:t>
            </w:r>
          </w:p>
        </w:tc>
        <w:tc>
          <w:tcPr>
            <w:tcW w:w="1418" w:type="dxa"/>
          </w:tcPr>
          <w:p w14:paraId="370280D2" w14:textId="77777777" w:rsidR="00881EA3" w:rsidRPr="00EC4487" w:rsidRDefault="00881EA3" w:rsidP="00881EA3">
            <w:pPr>
              <w:pStyle w:val="Tabletext"/>
              <w:jc w:val="center"/>
              <w:rPr>
                <w:highlight w:val="lightGray"/>
              </w:rPr>
            </w:pPr>
            <w:r w:rsidRPr="00EC4487">
              <w:rPr>
                <w:highlight w:val="lightGray"/>
              </w:rPr>
              <w:t>€</w:t>
            </w:r>
          </w:p>
        </w:tc>
        <w:tc>
          <w:tcPr>
            <w:tcW w:w="927" w:type="dxa"/>
          </w:tcPr>
          <w:p w14:paraId="7614D905" w14:textId="77777777" w:rsidR="00881EA3" w:rsidRPr="00EC4487" w:rsidRDefault="00881EA3" w:rsidP="00881EA3">
            <w:pPr>
              <w:pStyle w:val="Tabletext"/>
              <w:jc w:val="center"/>
              <w:rPr>
                <w:highlight w:val="lightGray"/>
              </w:rPr>
            </w:pPr>
            <w:r w:rsidRPr="00EC4487">
              <w:rPr>
                <w:highlight w:val="lightGray"/>
              </w:rPr>
              <w:t>€</w:t>
            </w:r>
          </w:p>
        </w:tc>
        <w:tc>
          <w:tcPr>
            <w:tcW w:w="928" w:type="dxa"/>
          </w:tcPr>
          <w:p w14:paraId="18D681C4" w14:textId="77777777" w:rsidR="00881EA3" w:rsidRPr="00EC4487" w:rsidRDefault="00881EA3" w:rsidP="00881EA3">
            <w:pPr>
              <w:pStyle w:val="Tabletext"/>
              <w:jc w:val="center"/>
              <w:rPr>
                <w:highlight w:val="lightGray"/>
              </w:rPr>
            </w:pPr>
            <w:r w:rsidRPr="00EC4487">
              <w:rPr>
                <w:highlight w:val="lightGray"/>
              </w:rPr>
              <w:t>–</w:t>
            </w:r>
          </w:p>
        </w:tc>
        <w:tc>
          <w:tcPr>
            <w:tcW w:w="801" w:type="dxa"/>
          </w:tcPr>
          <w:p w14:paraId="783CF3DF" w14:textId="77777777" w:rsidR="00881EA3" w:rsidRPr="00EC4487" w:rsidRDefault="00881EA3" w:rsidP="00881EA3">
            <w:pPr>
              <w:pStyle w:val="Tabletext"/>
              <w:jc w:val="center"/>
              <w:rPr>
                <w:highlight w:val="lightGray"/>
              </w:rPr>
            </w:pPr>
            <w:r w:rsidRPr="00EC4487">
              <w:rPr>
                <w:highlight w:val="lightGray"/>
              </w:rPr>
              <w:t>–</w:t>
            </w:r>
          </w:p>
        </w:tc>
      </w:tr>
      <w:tr w:rsidR="00881EA3" w:rsidRPr="005B0019" w14:paraId="269215D8" w14:textId="77777777" w:rsidTr="00516729">
        <w:trPr>
          <w:trHeight w:val="138"/>
        </w:trPr>
        <w:tc>
          <w:tcPr>
            <w:tcW w:w="1668" w:type="dxa"/>
            <w:vMerge/>
          </w:tcPr>
          <w:p w14:paraId="12D95C85" w14:textId="77777777" w:rsidR="00881EA3" w:rsidRPr="005B0019" w:rsidRDefault="00881EA3" w:rsidP="00881EA3">
            <w:pPr>
              <w:pStyle w:val="Tabletext"/>
            </w:pPr>
          </w:p>
        </w:tc>
        <w:tc>
          <w:tcPr>
            <w:tcW w:w="3118" w:type="dxa"/>
          </w:tcPr>
          <w:p w14:paraId="37BF2518" w14:textId="77777777" w:rsidR="00881EA3" w:rsidRPr="005B0019" w:rsidRDefault="00881EA3" w:rsidP="00881EA3">
            <w:pPr>
              <w:pStyle w:val="Tabletext"/>
            </w:pPr>
            <w:r w:rsidRPr="005B0019">
              <w:t xml:space="preserve">Exposure during pregnancy </w:t>
            </w:r>
          </w:p>
        </w:tc>
        <w:tc>
          <w:tcPr>
            <w:tcW w:w="1418" w:type="dxa"/>
          </w:tcPr>
          <w:p w14:paraId="3AFEEE33" w14:textId="77777777" w:rsidR="00881EA3" w:rsidRPr="005B0019" w:rsidRDefault="00881EA3" w:rsidP="00881EA3">
            <w:pPr>
              <w:pStyle w:val="Tabletext"/>
              <w:jc w:val="center"/>
            </w:pPr>
            <w:r w:rsidRPr="005B0019">
              <w:sym w:font="Wingdings" w:char="F0FC"/>
            </w:r>
            <w:r w:rsidRPr="005B0019">
              <w:t>*</w:t>
            </w:r>
          </w:p>
        </w:tc>
        <w:tc>
          <w:tcPr>
            <w:tcW w:w="927" w:type="dxa"/>
          </w:tcPr>
          <w:p w14:paraId="6104E441" w14:textId="77777777" w:rsidR="00881EA3" w:rsidRPr="005B0019" w:rsidRDefault="00881EA3" w:rsidP="00881EA3">
            <w:pPr>
              <w:pStyle w:val="Tabletext"/>
              <w:jc w:val="center"/>
            </w:pPr>
            <w:r w:rsidRPr="005B0019">
              <w:sym w:font="Wingdings" w:char="F0FC"/>
            </w:r>
          </w:p>
        </w:tc>
        <w:tc>
          <w:tcPr>
            <w:tcW w:w="928" w:type="dxa"/>
          </w:tcPr>
          <w:p w14:paraId="13B587A1" w14:textId="77777777" w:rsidR="00881EA3" w:rsidRPr="005B0019" w:rsidRDefault="00881EA3" w:rsidP="00881EA3">
            <w:pPr>
              <w:pStyle w:val="Tabletext"/>
              <w:jc w:val="center"/>
            </w:pPr>
            <w:r w:rsidRPr="005B0019">
              <w:sym w:font="Wingdings" w:char="F0FC"/>
            </w:r>
          </w:p>
        </w:tc>
        <w:tc>
          <w:tcPr>
            <w:tcW w:w="801" w:type="dxa"/>
          </w:tcPr>
          <w:p w14:paraId="3620E230" w14:textId="77777777" w:rsidR="00881EA3" w:rsidRPr="005B0019" w:rsidRDefault="00881EA3" w:rsidP="00881EA3">
            <w:pPr>
              <w:pStyle w:val="Tabletext"/>
              <w:jc w:val="center"/>
            </w:pPr>
            <w:r w:rsidRPr="005B0019">
              <w:t>-</w:t>
            </w:r>
          </w:p>
        </w:tc>
      </w:tr>
      <w:tr w:rsidR="00881EA3" w:rsidRPr="005B0019" w14:paraId="3FE99F7A" w14:textId="77777777" w:rsidTr="00516729">
        <w:trPr>
          <w:trHeight w:val="138"/>
        </w:trPr>
        <w:tc>
          <w:tcPr>
            <w:tcW w:w="1668" w:type="dxa"/>
            <w:vMerge w:val="restart"/>
          </w:tcPr>
          <w:p w14:paraId="4D5CC11B" w14:textId="77777777" w:rsidR="00881EA3" w:rsidRPr="005B0019" w:rsidRDefault="00881EA3" w:rsidP="00881EA3">
            <w:pPr>
              <w:pStyle w:val="Tabletext"/>
            </w:pPr>
            <w:r w:rsidRPr="00516729">
              <w:rPr>
                <w:b/>
              </w:rPr>
              <w:t>Missing information</w:t>
            </w:r>
          </w:p>
        </w:tc>
        <w:tc>
          <w:tcPr>
            <w:tcW w:w="3118" w:type="dxa"/>
          </w:tcPr>
          <w:p w14:paraId="7A690724" w14:textId="77777777" w:rsidR="00881EA3" w:rsidRPr="00EC4487" w:rsidRDefault="00881EA3" w:rsidP="00881EA3">
            <w:pPr>
              <w:pStyle w:val="Tabletext"/>
              <w:keepNext/>
              <w:keepLines/>
              <w:rPr>
                <w:strike/>
                <w:highlight w:val="lightGray"/>
              </w:rPr>
            </w:pPr>
            <w:r w:rsidRPr="00EC4487">
              <w:rPr>
                <w:highlight w:val="lightGray"/>
              </w:rPr>
              <w:t>Use in paediatric patients</w:t>
            </w:r>
            <w:r w:rsidRPr="00EC4487">
              <w:rPr>
                <w:kern w:val="2"/>
                <w:szCs w:val="20"/>
                <w:highlight w:val="lightGray"/>
                <w:vertAlign w:val="superscript"/>
              </w:rPr>
              <w:t>†</w:t>
            </w:r>
          </w:p>
        </w:tc>
        <w:tc>
          <w:tcPr>
            <w:tcW w:w="1418" w:type="dxa"/>
          </w:tcPr>
          <w:p w14:paraId="2A43E438" w14:textId="77777777" w:rsidR="00881EA3" w:rsidRPr="00EC4487" w:rsidRDefault="00881EA3" w:rsidP="00881EA3">
            <w:pPr>
              <w:pStyle w:val="Tabletext"/>
              <w:jc w:val="center"/>
              <w:rPr>
                <w:highlight w:val="lightGray"/>
              </w:rPr>
            </w:pPr>
            <w:r w:rsidRPr="00EC4487">
              <w:rPr>
                <w:highlight w:val="lightGray"/>
              </w:rPr>
              <w:sym w:font="Wingdings" w:char="F0FC"/>
            </w:r>
          </w:p>
        </w:tc>
        <w:tc>
          <w:tcPr>
            <w:tcW w:w="927" w:type="dxa"/>
          </w:tcPr>
          <w:p w14:paraId="099700CE" w14:textId="77777777" w:rsidR="00881EA3" w:rsidRPr="00EC4487" w:rsidRDefault="00881EA3" w:rsidP="00881EA3">
            <w:pPr>
              <w:pStyle w:val="Tabletext"/>
              <w:jc w:val="center"/>
              <w:rPr>
                <w:highlight w:val="lightGray"/>
              </w:rPr>
            </w:pPr>
            <w:r w:rsidRPr="00EC4487">
              <w:rPr>
                <w:highlight w:val="lightGray"/>
              </w:rPr>
              <w:sym w:font="Wingdings" w:char="F0FC"/>
            </w:r>
          </w:p>
        </w:tc>
        <w:tc>
          <w:tcPr>
            <w:tcW w:w="928" w:type="dxa"/>
          </w:tcPr>
          <w:p w14:paraId="010684C1" w14:textId="77777777" w:rsidR="00881EA3" w:rsidRPr="00EC4487" w:rsidRDefault="00881EA3" w:rsidP="00881EA3">
            <w:pPr>
              <w:pStyle w:val="Tabletext"/>
              <w:jc w:val="center"/>
              <w:rPr>
                <w:highlight w:val="lightGray"/>
              </w:rPr>
            </w:pPr>
            <w:r w:rsidRPr="00EC4487">
              <w:rPr>
                <w:highlight w:val="lightGray"/>
              </w:rPr>
              <w:sym w:font="Wingdings" w:char="F0FC"/>
            </w:r>
          </w:p>
        </w:tc>
        <w:tc>
          <w:tcPr>
            <w:tcW w:w="801" w:type="dxa"/>
          </w:tcPr>
          <w:p w14:paraId="721F9024" w14:textId="77777777" w:rsidR="00881EA3" w:rsidRPr="00EC4487" w:rsidRDefault="00881EA3" w:rsidP="00881EA3">
            <w:pPr>
              <w:pStyle w:val="Tabletext"/>
              <w:jc w:val="center"/>
              <w:rPr>
                <w:highlight w:val="lightGray"/>
              </w:rPr>
            </w:pPr>
            <w:r w:rsidRPr="00EC4487">
              <w:rPr>
                <w:highlight w:val="lightGray"/>
              </w:rPr>
              <w:t>-</w:t>
            </w:r>
          </w:p>
        </w:tc>
      </w:tr>
      <w:tr w:rsidR="00881EA3" w:rsidRPr="005B0019" w14:paraId="13533A80" w14:textId="77777777" w:rsidTr="00516729">
        <w:trPr>
          <w:trHeight w:val="138"/>
        </w:trPr>
        <w:tc>
          <w:tcPr>
            <w:tcW w:w="1668" w:type="dxa"/>
            <w:vMerge/>
          </w:tcPr>
          <w:p w14:paraId="0097EE01" w14:textId="77777777" w:rsidR="00881EA3" w:rsidRPr="005B0019" w:rsidRDefault="00881EA3" w:rsidP="00881EA3">
            <w:pPr>
              <w:pStyle w:val="Tabletext"/>
            </w:pPr>
          </w:p>
        </w:tc>
        <w:tc>
          <w:tcPr>
            <w:tcW w:w="3118" w:type="dxa"/>
          </w:tcPr>
          <w:p w14:paraId="5F92584E" w14:textId="77777777" w:rsidR="00881EA3" w:rsidRPr="005B0019" w:rsidRDefault="00881EA3" w:rsidP="00881EA3">
            <w:pPr>
              <w:pStyle w:val="Tabletext"/>
              <w:keepNext/>
              <w:keepLines/>
            </w:pPr>
            <w:r w:rsidRPr="005B0019">
              <w:t>Use in patients with renal impairment</w:t>
            </w:r>
          </w:p>
        </w:tc>
        <w:tc>
          <w:tcPr>
            <w:tcW w:w="1418" w:type="dxa"/>
          </w:tcPr>
          <w:p w14:paraId="0C528E2B" w14:textId="77777777" w:rsidR="00881EA3" w:rsidRPr="005B0019" w:rsidRDefault="00881EA3" w:rsidP="00881EA3">
            <w:pPr>
              <w:pStyle w:val="Tabletext"/>
              <w:jc w:val="center"/>
            </w:pPr>
            <w:r w:rsidRPr="005B0019">
              <w:sym w:font="Wingdings" w:char="F0FC"/>
            </w:r>
          </w:p>
        </w:tc>
        <w:tc>
          <w:tcPr>
            <w:tcW w:w="927" w:type="dxa"/>
          </w:tcPr>
          <w:p w14:paraId="5624C0CA" w14:textId="77777777" w:rsidR="00881EA3" w:rsidRPr="005B0019" w:rsidRDefault="00881EA3" w:rsidP="00881EA3">
            <w:pPr>
              <w:pStyle w:val="Tabletext"/>
              <w:jc w:val="center"/>
            </w:pPr>
            <w:r w:rsidRPr="005B0019">
              <w:sym w:font="Wingdings" w:char="F0FC"/>
            </w:r>
          </w:p>
        </w:tc>
        <w:tc>
          <w:tcPr>
            <w:tcW w:w="928" w:type="dxa"/>
          </w:tcPr>
          <w:p w14:paraId="5B04F5EC" w14:textId="77777777" w:rsidR="00881EA3" w:rsidRPr="005B0019" w:rsidRDefault="00881EA3" w:rsidP="00881EA3">
            <w:pPr>
              <w:pStyle w:val="Tabletext"/>
              <w:jc w:val="center"/>
            </w:pPr>
            <w:r w:rsidRPr="005B0019">
              <w:sym w:font="Wingdings" w:char="F0FC"/>
            </w:r>
          </w:p>
        </w:tc>
        <w:tc>
          <w:tcPr>
            <w:tcW w:w="801" w:type="dxa"/>
          </w:tcPr>
          <w:p w14:paraId="685B5831" w14:textId="77777777" w:rsidR="00881EA3" w:rsidRPr="005B0019" w:rsidRDefault="00881EA3" w:rsidP="00881EA3">
            <w:pPr>
              <w:pStyle w:val="Tabletext"/>
              <w:jc w:val="center"/>
            </w:pPr>
            <w:r w:rsidRPr="005B0019">
              <w:t>-</w:t>
            </w:r>
          </w:p>
        </w:tc>
      </w:tr>
      <w:tr w:rsidR="00881EA3" w:rsidRPr="005B0019" w14:paraId="35A4DE4C" w14:textId="77777777" w:rsidTr="00516729">
        <w:trPr>
          <w:trHeight w:val="138"/>
        </w:trPr>
        <w:tc>
          <w:tcPr>
            <w:tcW w:w="1668" w:type="dxa"/>
            <w:vMerge/>
          </w:tcPr>
          <w:p w14:paraId="7AF80D26" w14:textId="77777777" w:rsidR="00881EA3" w:rsidRPr="005B0019" w:rsidRDefault="00881EA3" w:rsidP="00881EA3">
            <w:pPr>
              <w:pStyle w:val="Tabletext"/>
            </w:pPr>
          </w:p>
        </w:tc>
        <w:tc>
          <w:tcPr>
            <w:tcW w:w="3118" w:type="dxa"/>
          </w:tcPr>
          <w:p w14:paraId="191D640B" w14:textId="77777777" w:rsidR="00881EA3" w:rsidRPr="005B0019" w:rsidRDefault="00881EA3" w:rsidP="00881EA3">
            <w:pPr>
              <w:pStyle w:val="Tabletext"/>
              <w:keepNext/>
              <w:keepLines/>
            </w:pPr>
            <w:r w:rsidRPr="005B0019">
              <w:t>Use in patients with hepatic impairment</w:t>
            </w:r>
          </w:p>
        </w:tc>
        <w:tc>
          <w:tcPr>
            <w:tcW w:w="1418" w:type="dxa"/>
          </w:tcPr>
          <w:p w14:paraId="1793A994" w14:textId="77777777" w:rsidR="00881EA3" w:rsidRPr="005B0019" w:rsidRDefault="00881EA3" w:rsidP="00881EA3">
            <w:pPr>
              <w:pStyle w:val="Tabletext"/>
              <w:jc w:val="center"/>
            </w:pPr>
            <w:r w:rsidRPr="005B0019">
              <w:sym w:font="Wingdings" w:char="F0FC"/>
            </w:r>
          </w:p>
        </w:tc>
        <w:tc>
          <w:tcPr>
            <w:tcW w:w="927" w:type="dxa"/>
          </w:tcPr>
          <w:p w14:paraId="16DD535B" w14:textId="77777777" w:rsidR="00881EA3" w:rsidRPr="005B0019" w:rsidRDefault="00881EA3" w:rsidP="00881EA3">
            <w:pPr>
              <w:pStyle w:val="Tabletext"/>
              <w:jc w:val="center"/>
            </w:pPr>
            <w:r w:rsidRPr="005B0019">
              <w:sym w:font="Wingdings" w:char="F0FC"/>
            </w:r>
          </w:p>
        </w:tc>
        <w:tc>
          <w:tcPr>
            <w:tcW w:w="928" w:type="dxa"/>
          </w:tcPr>
          <w:p w14:paraId="43D39390" w14:textId="77777777" w:rsidR="00881EA3" w:rsidRPr="005B0019" w:rsidRDefault="00881EA3" w:rsidP="00881EA3">
            <w:pPr>
              <w:pStyle w:val="Tabletext"/>
              <w:jc w:val="center"/>
            </w:pPr>
            <w:r w:rsidRPr="005B0019">
              <w:sym w:font="Wingdings" w:char="F0FC"/>
            </w:r>
          </w:p>
        </w:tc>
        <w:tc>
          <w:tcPr>
            <w:tcW w:w="801" w:type="dxa"/>
          </w:tcPr>
          <w:p w14:paraId="26D0DC6C" w14:textId="77777777" w:rsidR="00881EA3" w:rsidRPr="005B0019" w:rsidRDefault="00881EA3" w:rsidP="00881EA3">
            <w:pPr>
              <w:pStyle w:val="Tabletext"/>
              <w:jc w:val="center"/>
            </w:pPr>
            <w:r w:rsidRPr="005B0019">
              <w:t>-</w:t>
            </w:r>
          </w:p>
        </w:tc>
      </w:tr>
      <w:tr w:rsidR="00881EA3" w:rsidRPr="005B0019" w14:paraId="586CC8C6" w14:textId="77777777" w:rsidTr="00516729">
        <w:trPr>
          <w:trHeight w:val="138"/>
        </w:trPr>
        <w:tc>
          <w:tcPr>
            <w:tcW w:w="1668" w:type="dxa"/>
            <w:vMerge/>
          </w:tcPr>
          <w:p w14:paraId="10F0D2E4" w14:textId="77777777" w:rsidR="00881EA3" w:rsidRPr="005B0019" w:rsidRDefault="00881EA3" w:rsidP="00881EA3">
            <w:pPr>
              <w:pStyle w:val="Tabletext"/>
            </w:pPr>
          </w:p>
        </w:tc>
        <w:tc>
          <w:tcPr>
            <w:tcW w:w="3118" w:type="dxa"/>
          </w:tcPr>
          <w:p w14:paraId="01D74109" w14:textId="77777777" w:rsidR="00881EA3" w:rsidRPr="005B0019" w:rsidRDefault="00881EA3" w:rsidP="00881EA3">
            <w:pPr>
              <w:pStyle w:val="Tabletext"/>
              <w:keepNext/>
              <w:keepLines/>
            </w:pPr>
            <w:r w:rsidRPr="005B0019">
              <w:t>Use in patients with a history of latent TB or TB</w:t>
            </w:r>
          </w:p>
        </w:tc>
        <w:tc>
          <w:tcPr>
            <w:tcW w:w="1418" w:type="dxa"/>
          </w:tcPr>
          <w:p w14:paraId="39E69F55" w14:textId="77777777" w:rsidR="00881EA3" w:rsidRPr="005B0019" w:rsidRDefault="00881EA3" w:rsidP="00881EA3">
            <w:pPr>
              <w:pStyle w:val="Tabletext"/>
              <w:jc w:val="center"/>
            </w:pPr>
            <w:r w:rsidRPr="005B0019">
              <w:sym w:font="Wingdings" w:char="F0FC"/>
            </w:r>
          </w:p>
        </w:tc>
        <w:tc>
          <w:tcPr>
            <w:tcW w:w="927" w:type="dxa"/>
          </w:tcPr>
          <w:p w14:paraId="5F7B4809" w14:textId="77777777" w:rsidR="00881EA3" w:rsidRPr="005B0019" w:rsidRDefault="00881EA3" w:rsidP="00881EA3">
            <w:pPr>
              <w:pStyle w:val="Tabletext"/>
              <w:jc w:val="center"/>
            </w:pPr>
            <w:r w:rsidRPr="005B0019">
              <w:sym w:font="Wingdings" w:char="F0FC"/>
            </w:r>
          </w:p>
        </w:tc>
        <w:tc>
          <w:tcPr>
            <w:tcW w:w="928" w:type="dxa"/>
          </w:tcPr>
          <w:p w14:paraId="17876F0B" w14:textId="77777777" w:rsidR="00881EA3" w:rsidRPr="005B0019" w:rsidRDefault="00881EA3" w:rsidP="00881EA3">
            <w:pPr>
              <w:pStyle w:val="Tabletext"/>
              <w:jc w:val="center"/>
            </w:pPr>
            <w:r w:rsidRPr="005B0019">
              <w:sym w:font="Wingdings" w:char="F0FC"/>
            </w:r>
          </w:p>
        </w:tc>
        <w:tc>
          <w:tcPr>
            <w:tcW w:w="801" w:type="dxa"/>
          </w:tcPr>
          <w:p w14:paraId="41BBB071" w14:textId="77777777" w:rsidR="00881EA3" w:rsidRPr="005B0019" w:rsidRDefault="00881EA3" w:rsidP="00881EA3">
            <w:pPr>
              <w:pStyle w:val="Tabletext"/>
              <w:jc w:val="center"/>
            </w:pPr>
            <w:r w:rsidRPr="005B0019">
              <w:t>-</w:t>
            </w:r>
          </w:p>
        </w:tc>
      </w:tr>
      <w:tr w:rsidR="00881EA3" w:rsidRPr="005B0019" w14:paraId="46EAA78C" w14:textId="77777777" w:rsidTr="00516729">
        <w:trPr>
          <w:trHeight w:val="138"/>
        </w:trPr>
        <w:tc>
          <w:tcPr>
            <w:tcW w:w="1668" w:type="dxa"/>
            <w:vMerge/>
          </w:tcPr>
          <w:p w14:paraId="605F3915" w14:textId="77777777" w:rsidR="00881EA3" w:rsidRPr="005B0019" w:rsidRDefault="00881EA3" w:rsidP="00881EA3">
            <w:pPr>
              <w:pStyle w:val="Tabletext"/>
            </w:pPr>
          </w:p>
        </w:tc>
        <w:tc>
          <w:tcPr>
            <w:tcW w:w="3118" w:type="dxa"/>
          </w:tcPr>
          <w:p w14:paraId="401DBCB6" w14:textId="77777777" w:rsidR="00881EA3" w:rsidRPr="005B0019" w:rsidRDefault="00881EA3" w:rsidP="00881EA3">
            <w:pPr>
              <w:pStyle w:val="Tabletext"/>
              <w:keepNext/>
              <w:keepLines/>
            </w:pPr>
            <w:r w:rsidRPr="005B0019">
              <w:t>Use in patients with concurrent malignancy or a history of malignancy</w:t>
            </w:r>
          </w:p>
        </w:tc>
        <w:tc>
          <w:tcPr>
            <w:tcW w:w="1418" w:type="dxa"/>
          </w:tcPr>
          <w:p w14:paraId="4FDD630A" w14:textId="77777777" w:rsidR="00881EA3" w:rsidRPr="005B0019" w:rsidRDefault="00881EA3" w:rsidP="00881EA3">
            <w:pPr>
              <w:pStyle w:val="Tabletext"/>
              <w:jc w:val="center"/>
            </w:pPr>
            <w:r w:rsidRPr="005B0019">
              <w:sym w:font="Wingdings" w:char="F0FC"/>
            </w:r>
          </w:p>
        </w:tc>
        <w:tc>
          <w:tcPr>
            <w:tcW w:w="927" w:type="dxa"/>
          </w:tcPr>
          <w:p w14:paraId="7B2D5710" w14:textId="77777777" w:rsidR="00881EA3" w:rsidRPr="005B0019" w:rsidRDefault="00881EA3" w:rsidP="00881EA3">
            <w:pPr>
              <w:pStyle w:val="Tabletext"/>
              <w:jc w:val="center"/>
            </w:pPr>
            <w:r w:rsidRPr="005B0019">
              <w:sym w:font="Wingdings" w:char="F0FC"/>
            </w:r>
          </w:p>
        </w:tc>
        <w:tc>
          <w:tcPr>
            <w:tcW w:w="928" w:type="dxa"/>
          </w:tcPr>
          <w:p w14:paraId="1571F840" w14:textId="77777777" w:rsidR="00881EA3" w:rsidRPr="005B0019" w:rsidRDefault="00881EA3" w:rsidP="00881EA3">
            <w:pPr>
              <w:pStyle w:val="Tabletext"/>
              <w:jc w:val="center"/>
            </w:pPr>
            <w:r w:rsidRPr="005B0019">
              <w:sym w:font="Wingdings" w:char="F0FC"/>
            </w:r>
          </w:p>
        </w:tc>
        <w:tc>
          <w:tcPr>
            <w:tcW w:w="801" w:type="dxa"/>
          </w:tcPr>
          <w:p w14:paraId="504D7768" w14:textId="77777777" w:rsidR="00881EA3" w:rsidRPr="005B0019" w:rsidRDefault="00881EA3" w:rsidP="00881EA3">
            <w:pPr>
              <w:pStyle w:val="Tabletext"/>
              <w:jc w:val="center"/>
            </w:pPr>
            <w:r w:rsidRPr="005B0019">
              <w:t>-</w:t>
            </w:r>
          </w:p>
        </w:tc>
      </w:tr>
      <w:tr w:rsidR="00881EA3" w:rsidRPr="005B0019" w14:paraId="1545880A" w14:textId="77777777" w:rsidTr="00516729">
        <w:trPr>
          <w:trHeight w:val="138"/>
        </w:trPr>
        <w:tc>
          <w:tcPr>
            <w:tcW w:w="1668" w:type="dxa"/>
            <w:vMerge/>
          </w:tcPr>
          <w:p w14:paraId="332A8CBD" w14:textId="77777777" w:rsidR="00881EA3" w:rsidRPr="005B0019" w:rsidRDefault="00881EA3" w:rsidP="00881EA3">
            <w:pPr>
              <w:pStyle w:val="Tabletext"/>
            </w:pPr>
          </w:p>
        </w:tc>
        <w:tc>
          <w:tcPr>
            <w:tcW w:w="3118" w:type="dxa"/>
          </w:tcPr>
          <w:p w14:paraId="0265F133" w14:textId="77777777" w:rsidR="00881EA3" w:rsidRPr="005B0019" w:rsidRDefault="00881EA3" w:rsidP="00881EA3">
            <w:pPr>
              <w:pStyle w:val="Tabletext"/>
              <w:keepNext/>
              <w:keepLines/>
            </w:pPr>
            <w:r w:rsidRPr="005B0019">
              <w:t>Use after recent vaccination with live bacterial or live viral vaccines</w:t>
            </w:r>
          </w:p>
        </w:tc>
        <w:tc>
          <w:tcPr>
            <w:tcW w:w="1418" w:type="dxa"/>
          </w:tcPr>
          <w:p w14:paraId="1BE2F065" w14:textId="77777777" w:rsidR="00881EA3" w:rsidRPr="005B0019" w:rsidRDefault="00881EA3" w:rsidP="00881EA3">
            <w:pPr>
              <w:pStyle w:val="Tabletext"/>
              <w:jc w:val="center"/>
            </w:pPr>
            <w:r w:rsidRPr="005B0019">
              <w:sym w:font="Wingdings" w:char="F0FC"/>
            </w:r>
          </w:p>
        </w:tc>
        <w:tc>
          <w:tcPr>
            <w:tcW w:w="927" w:type="dxa"/>
          </w:tcPr>
          <w:p w14:paraId="6C2D1561" w14:textId="77777777" w:rsidR="00881EA3" w:rsidRPr="005B0019" w:rsidRDefault="00881EA3" w:rsidP="00881EA3">
            <w:pPr>
              <w:pStyle w:val="Tabletext"/>
              <w:jc w:val="center"/>
            </w:pPr>
            <w:r w:rsidRPr="005B0019">
              <w:t>-</w:t>
            </w:r>
          </w:p>
        </w:tc>
        <w:tc>
          <w:tcPr>
            <w:tcW w:w="928" w:type="dxa"/>
          </w:tcPr>
          <w:p w14:paraId="189A0E0C" w14:textId="77777777" w:rsidR="00881EA3" w:rsidRPr="005B0019" w:rsidRDefault="00881EA3" w:rsidP="00881EA3">
            <w:pPr>
              <w:pStyle w:val="Tabletext"/>
              <w:jc w:val="center"/>
            </w:pPr>
            <w:r w:rsidRPr="005B0019">
              <w:sym w:font="Wingdings" w:char="F0FC"/>
            </w:r>
          </w:p>
        </w:tc>
        <w:tc>
          <w:tcPr>
            <w:tcW w:w="801" w:type="dxa"/>
          </w:tcPr>
          <w:p w14:paraId="691993BC" w14:textId="77777777" w:rsidR="00881EA3" w:rsidRPr="005B0019" w:rsidRDefault="00881EA3" w:rsidP="00881EA3">
            <w:pPr>
              <w:pStyle w:val="Tabletext"/>
              <w:jc w:val="center"/>
            </w:pPr>
            <w:r w:rsidRPr="005B0019">
              <w:t>-</w:t>
            </w:r>
          </w:p>
        </w:tc>
      </w:tr>
      <w:tr w:rsidR="00881EA3" w:rsidRPr="005B0019" w14:paraId="74CB6DAB" w14:textId="77777777" w:rsidTr="00516729">
        <w:trPr>
          <w:trHeight w:val="138"/>
        </w:trPr>
        <w:tc>
          <w:tcPr>
            <w:tcW w:w="1668" w:type="dxa"/>
            <w:vMerge/>
          </w:tcPr>
          <w:p w14:paraId="27809AF6" w14:textId="77777777" w:rsidR="00881EA3" w:rsidRPr="005B0019" w:rsidRDefault="00881EA3" w:rsidP="00881EA3">
            <w:pPr>
              <w:pStyle w:val="Tabletext"/>
            </w:pPr>
          </w:p>
        </w:tc>
        <w:tc>
          <w:tcPr>
            <w:tcW w:w="3118" w:type="dxa"/>
          </w:tcPr>
          <w:p w14:paraId="0BC5931B" w14:textId="77777777" w:rsidR="00881EA3" w:rsidRPr="005B0019" w:rsidRDefault="00881EA3" w:rsidP="00881EA3">
            <w:pPr>
              <w:pStyle w:val="Tabletext"/>
              <w:keepNext/>
              <w:keepLines/>
            </w:pPr>
            <w:r w:rsidRPr="005B0019">
              <w:t>Use in patients with active infections (e</w:t>
            </w:r>
            <w:r>
              <w:t>.</w:t>
            </w:r>
            <w:r w:rsidRPr="005B0019">
              <w:t>g</w:t>
            </w:r>
            <w:r>
              <w:t>.</w:t>
            </w:r>
            <w:r w:rsidRPr="005B0019">
              <w:t xml:space="preserve"> TB, HIV, Hepatitis B, Hepatitis C)</w:t>
            </w:r>
          </w:p>
        </w:tc>
        <w:tc>
          <w:tcPr>
            <w:tcW w:w="1418" w:type="dxa"/>
          </w:tcPr>
          <w:p w14:paraId="35A92E14" w14:textId="77777777" w:rsidR="00881EA3" w:rsidRPr="005B0019" w:rsidRDefault="00881EA3" w:rsidP="00881EA3">
            <w:pPr>
              <w:pStyle w:val="Tabletext"/>
              <w:jc w:val="center"/>
            </w:pPr>
            <w:r w:rsidRPr="005B0019">
              <w:sym w:font="Wingdings" w:char="F0FC"/>
            </w:r>
          </w:p>
        </w:tc>
        <w:tc>
          <w:tcPr>
            <w:tcW w:w="927" w:type="dxa"/>
          </w:tcPr>
          <w:p w14:paraId="365982BE" w14:textId="77777777" w:rsidR="00881EA3" w:rsidRPr="005B0019" w:rsidRDefault="00881EA3" w:rsidP="00881EA3">
            <w:pPr>
              <w:pStyle w:val="Tabletext"/>
              <w:jc w:val="center"/>
            </w:pPr>
            <w:r w:rsidRPr="005B0019">
              <w:sym w:font="Wingdings" w:char="F0FC"/>
            </w:r>
          </w:p>
        </w:tc>
        <w:tc>
          <w:tcPr>
            <w:tcW w:w="928" w:type="dxa"/>
          </w:tcPr>
          <w:p w14:paraId="22F985D2" w14:textId="77777777" w:rsidR="00881EA3" w:rsidRPr="005B0019" w:rsidRDefault="00881EA3" w:rsidP="00881EA3">
            <w:pPr>
              <w:pStyle w:val="Tabletext"/>
              <w:jc w:val="center"/>
            </w:pPr>
            <w:r w:rsidRPr="005B0019">
              <w:sym w:font="Wingdings" w:char="F0FC"/>
            </w:r>
          </w:p>
        </w:tc>
        <w:tc>
          <w:tcPr>
            <w:tcW w:w="801" w:type="dxa"/>
          </w:tcPr>
          <w:p w14:paraId="598F981D" w14:textId="77777777" w:rsidR="00881EA3" w:rsidRPr="005B0019" w:rsidRDefault="00881EA3" w:rsidP="00881EA3">
            <w:pPr>
              <w:pStyle w:val="Tabletext"/>
              <w:jc w:val="center"/>
            </w:pPr>
            <w:r w:rsidRPr="005B0019">
              <w:t>-</w:t>
            </w:r>
          </w:p>
        </w:tc>
      </w:tr>
      <w:tr w:rsidR="00881EA3" w:rsidRPr="005B0019" w14:paraId="3BF1C5B6" w14:textId="77777777" w:rsidTr="00516729">
        <w:trPr>
          <w:trHeight w:val="138"/>
        </w:trPr>
        <w:tc>
          <w:tcPr>
            <w:tcW w:w="1668" w:type="dxa"/>
            <w:vMerge/>
          </w:tcPr>
          <w:p w14:paraId="3B3B30DB" w14:textId="77777777" w:rsidR="00881EA3" w:rsidRPr="005B0019" w:rsidRDefault="00881EA3" w:rsidP="00881EA3">
            <w:pPr>
              <w:pStyle w:val="Tabletext"/>
            </w:pPr>
          </w:p>
        </w:tc>
        <w:tc>
          <w:tcPr>
            <w:tcW w:w="3118" w:type="dxa"/>
          </w:tcPr>
          <w:p w14:paraId="68CE2596" w14:textId="77777777" w:rsidR="00881EA3" w:rsidRPr="005B0019" w:rsidRDefault="00881EA3" w:rsidP="00881EA3">
            <w:pPr>
              <w:pStyle w:val="Tabletext"/>
              <w:keepNext/>
              <w:keepLines/>
            </w:pPr>
            <w:r w:rsidRPr="005B0019">
              <w:t>Use in patients with recent or concomitant use of immunosuppressive therapy other than MTX, 6-MP, AZA, 5-ASA and corticosteroids</w:t>
            </w:r>
          </w:p>
        </w:tc>
        <w:tc>
          <w:tcPr>
            <w:tcW w:w="1418" w:type="dxa"/>
          </w:tcPr>
          <w:p w14:paraId="4784D823" w14:textId="77777777" w:rsidR="00881EA3" w:rsidRPr="005B0019" w:rsidRDefault="00881EA3" w:rsidP="00881EA3">
            <w:pPr>
              <w:pStyle w:val="Tabletext"/>
              <w:jc w:val="center"/>
            </w:pPr>
            <w:r w:rsidRPr="005B0019">
              <w:sym w:font="Wingdings" w:char="F0FC"/>
            </w:r>
          </w:p>
        </w:tc>
        <w:tc>
          <w:tcPr>
            <w:tcW w:w="927" w:type="dxa"/>
          </w:tcPr>
          <w:p w14:paraId="4E649F17" w14:textId="77777777" w:rsidR="00881EA3" w:rsidRPr="005B0019" w:rsidRDefault="00881EA3" w:rsidP="00881EA3">
            <w:pPr>
              <w:pStyle w:val="Tabletext"/>
              <w:jc w:val="center"/>
            </w:pPr>
            <w:r w:rsidRPr="005B0019">
              <w:sym w:font="Wingdings" w:char="F0FC"/>
            </w:r>
          </w:p>
        </w:tc>
        <w:tc>
          <w:tcPr>
            <w:tcW w:w="928" w:type="dxa"/>
          </w:tcPr>
          <w:p w14:paraId="0538102C" w14:textId="77777777" w:rsidR="00881EA3" w:rsidRPr="005B0019" w:rsidRDefault="00881EA3" w:rsidP="00881EA3">
            <w:pPr>
              <w:pStyle w:val="Tabletext"/>
              <w:jc w:val="center"/>
            </w:pPr>
            <w:r w:rsidRPr="005B0019">
              <w:sym w:font="Wingdings" w:char="F0FC"/>
            </w:r>
          </w:p>
        </w:tc>
        <w:tc>
          <w:tcPr>
            <w:tcW w:w="801" w:type="dxa"/>
          </w:tcPr>
          <w:p w14:paraId="52D12127" w14:textId="77777777" w:rsidR="00881EA3" w:rsidRPr="005B0019" w:rsidRDefault="00881EA3" w:rsidP="00881EA3">
            <w:pPr>
              <w:pStyle w:val="Tabletext"/>
              <w:jc w:val="center"/>
            </w:pPr>
            <w:r w:rsidRPr="005B0019">
              <w:t>-</w:t>
            </w:r>
          </w:p>
        </w:tc>
      </w:tr>
      <w:tr w:rsidR="00881EA3" w:rsidRPr="005B0019" w14:paraId="079F228D" w14:textId="77777777" w:rsidTr="00516729">
        <w:trPr>
          <w:trHeight w:val="138"/>
        </w:trPr>
        <w:tc>
          <w:tcPr>
            <w:tcW w:w="1668" w:type="dxa"/>
            <w:vMerge/>
          </w:tcPr>
          <w:p w14:paraId="453AAA36" w14:textId="77777777" w:rsidR="00881EA3" w:rsidRPr="005B0019" w:rsidRDefault="00881EA3" w:rsidP="00881EA3">
            <w:pPr>
              <w:pStyle w:val="Tabletext"/>
            </w:pPr>
          </w:p>
        </w:tc>
        <w:tc>
          <w:tcPr>
            <w:tcW w:w="3118" w:type="dxa"/>
          </w:tcPr>
          <w:p w14:paraId="76A0C450" w14:textId="77777777" w:rsidR="00881EA3" w:rsidRPr="005B0019" w:rsidRDefault="00881EA3" w:rsidP="00881EA3">
            <w:pPr>
              <w:pStyle w:val="Tabletext"/>
              <w:keepNext/>
              <w:keepLines/>
            </w:pPr>
            <w:r w:rsidRPr="005B0019">
              <w:t>Use in patients with other forms of psoriasis</w:t>
            </w:r>
          </w:p>
        </w:tc>
        <w:tc>
          <w:tcPr>
            <w:tcW w:w="1418" w:type="dxa"/>
          </w:tcPr>
          <w:p w14:paraId="10982415" w14:textId="77777777" w:rsidR="00881EA3" w:rsidRPr="005B0019" w:rsidRDefault="00881EA3" w:rsidP="00881EA3">
            <w:pPr>
              <w:pStyle w:val="Tabletext"/>
              <w:jc w:val="center"/>
            </w:pPr>
            <w:r w:rsidRPr="005B0019">
              <w:sym w:font="Wingdings" w:char="F0FC"/>
            </w:r>
          </w:p>
        </w:tc>
        <w:tc>
          <w:tcPr>
            <w:tcW w:w="927" w:type="dxa"/>
          </w:tcPr>
          <w:p w14:paraId="37ACE636" w14:textId="77777777" w:rsidR="00881EA3" w:rsidRPr="005B0019" w:rsidRDefault="00881EA3" w:rsidP="00881EA3">
            <w:pPr>
              <w:pStyle w:val="Tabletext"/>
              <w:jc w:val="center"/>
            </w:pPr>
            <w:r w:rsidRPr="005B0019">
              <w:sym w:font="Wingdings" w:char="F0FC"/>
            </w:r>
          </w:p>
        </w:tc>
        <w:tc>
          <w:tcPr>
            <w:tcW w:w="928" w:type="dxa"/>
          </w:tcPr>
          <w:p w14:paraId="7F088260" w14:textId="77777777" w:rsidR="00881EA3" w:rsidRPr="005B0019" w:rsidRDefault="00881EA3" w:rsidP="00881EA3">
            <w:pPr>
              <w:pStyle w:val="Tabletext"/>
              <w:jc w:val="center"/>
            </w:pPr>
            <w:r w:rsidRPr="005B0019">
              <w:t>-</w:t>
            </w:r>
          </w:p>
        </w:tc>
        <w:tc>
          <w:tcPr>
            <w:tcW w:w="801" w:type="dxa"/>
          </w:tcPr>
          <w:p w14:paraId="047E9823" w14:textId="77777777" w:rsidR="00881EA3" w:rsidRPr="005B0019" w:rsidRDefault="00881EA3" w:rsidP="00881EA3">
            <w:pPr>
              <w:pStyle w:val="Tabletext"/>
              <w:jc w:val="center"/>
            </w:pPr>
            <w:r w:rsidRPr="005B0019">
              <w:t>-</w:t>
            </w:r>
          </w:p>
        </w:tc>
      </w:tr>
      <w:tr w:rsidR="00881EA3" w:rsidRPr="005B0019" w14:paraId="27E5B3A4" w14:textId="77777777" w:rsidTr="00516729">
        <w:trPr>
          <w:trHeight w:val="138"/>
        </w:trPr>
        <w:tc>
          <w:tcPr>
            <w:tcW w:w="1668" w:type="dxa"/>
            <w:vMerge/>
          </w:tcPr>
          <w:p w14:paraId="7EFD38A9" w14:textId="77777777" w:rsidR="00881EA3" w:rsidRPr="005B0019" w:rsidRDefault="00881EA3" w:rsidP="00881EA3">
            <w:pPr>
              <w:pStyle w:val="Tabletext"/>
            </w:pPr>
          </w:p>
        </w:tc>
        <w:tc>
          <w:tcPr>
            <w:tcW w:w="3118" w:type="dxa"/>
          </w:tcPr>
          <w:p w14:paraId="5373A97F" w14:textId="77777777" w:rsidR="00881EA3" w:rsidRPr="005B0019" w:rsidRDefault="00881EA3" w:rsidP="00881EA3">
            <w:pPr>
              <w:pStyle w:val="Tabletext"/>
              <w:keepNext/>
              <w:keepLines/>
            </w:pPr>
            <w:r w:rsidRPr="005B0019">
              <w:t>Use in patients who have undergone allergy immunotherapy</w:t>
            </w:r>
          </w:p>
        </w:tc>
        <w:tc>
          <w:tcPr>
            <w:tcW w:w="1418" w:type="dxa"/>
          </w:tcPr>
          <w:p w14:paraId="173A61F4" w14:textId="77777777" w:rsidR="00881EA3" w:rsidRPr="005B0019" w:rsidRDefault="00881EA3" w:rsidP="00881EA3">
            <w:pPr>
              <w:pStyle w:val="Tabletext"/>
              <w:jc w:val="center"/>
            </w:pPr>
            <w:r w:rsidRPr="005B0019">
              <w:sym w:font="Wingdings" w:char="F0FC"/>
            </w:r>
          </w:p>
        </w:tc>
        <w:tc>
          <w:tcPr>
            <w:tcW w:w="927" w:type="dxa"/>
          </w:tcPr>
          <w:p w14:paraId="35CC87F0" w14:textId="77777777" w:rsidR="00881EA3" w:rsidRPr="005B0019" w:rsidRDefault="00881EA3" w:rsidP="00881EA3">
            <w:pPr>
              <w:pStyle w:val="Tabletext"/>
              <w:jc w:val="center"/>
            </w:pPr>
            <w:r w:rsidRPr="005B0019">
              <w:t>-</w:t>
            </w:r>
          </w:p>
        </w:tc>
        <w:tc>
          <w:tcPr>
            <w:tcW w:w="928" w:type="dxa"/>
          </w:tcPr>
          <w:p w14:paraId="0287C1CE" w14:textId="77777777" w:rsidR="00881EA3" w:rsidRPr="005B0019" w:rsidRDefault="00881EA3" w:rsidP="00881EA3">
            <w:pPr>
              <w:pStyle w:val="Tabletext"/>
              <w:jc w:val="center"/>
            </w:pPr>
            <w:r w:rsidRPr="005B0019">
              <w:sym w:font="Wingdings" w:char="F0FC"/>
            </w:r>
          </w:p>
        </w:tc>
        <w:tc>
          <w:tcPr>
            <w:tcW w:w="801" w:type="dxa"/>
          </w:tcPr>
          <w:p w14:paraId="2D22B77B" w14:textId="77777777" w:rsidR="00881EA3" w:rsidRPr="005B0019" w:rsidRDefault="00881EA3" w:rsidP="00881EA3">
            <w:pPr>
              <w:pStyle w:val="Tabletext"/>
              <w:jc w:val="center"/>
            </w:pPr>
            <w:r w:rsidRPr="005B0019">
              <w:t>-</w:t>
            </w:r>
          </w:p>
        </w:tc>
      </w:tr>
      <w:tr w:rsidR="00881EA3" w:rsidRPr="00EC4487" w14:paraId="34531D66" w14:textId="77777777" w:rsidTr="00516729">
        <w:trPr>
          <w:trHeight w:val="138"/>
        </w:trPr>
        <w:tc>
          <w:tcPr>
            <w:tcW w:w="1668" w:type="dxa"/>
            <w:vMerge/>
          </w:tcPr>
          <w:p w14:paraId="32296FC6" w14:textId="77777777" w:rsidR="00881EA3" w:rsidRPr="005B0019" w:rsidRDefault="00881EA3" w:rsidP="00881EA3">
            <w:pPr>
              <w:pStyle w:val="Tabletext"/>
            </w:pPr>
          </w:p>
        </w:tc>
        <w:tc>
          <w:tcPr>
            <w:tcW w:w="3118" w:type="dxa"/>
          </w:tcPr>
          <w:p w14:paraId="7AB1C68F" w14:textId="77777777" w:rsidR="00881EA3" w:rsidRPr="00EC4487" w:rsidRDefault="00881EA3" w:rsidP="00881EA3">
            <w:pPr>
              <w:pStyle w:val="Tabletext"/>
              <w:keepNext/>
              <w:keepLines/>
            </w:pPr>
            <w:r w:rsidRPr="00EC4487">
              <w:t xml:space="preserve">Long-term safety in adult patients with moderately to severely active Crohn’s disease </w:t>
            </w:r>
          </w:p>
        </w:tc>
        <w:tc>
          <w:tcPr>
            <w:tcW w:w="1418" w:type="dxa"/>
          </w:tcPr>
          <w:p w14:paraId="111B4EAB" w14:textId="77777777" w:rsidR="00881EA3" w:rsidRPr="00EC4487" w:rsidRDefault="00881EA3" w:rsidP="00881EA3">
            <w:pPr>
              <w:pStyle w:val="Tabletext"/>
              <w:jc w:val="center"/>
            </w:pPr>
            <w:r w:rsidRPr="00EC4487">
              <w:sym w:font="Wingdings" w:char="F0FC"/>
            </w:r>
          </w:p>
        </w:tc>
        <w:tc>
          <w:tcPr>
            <w:tcW w:w="927" w:type="dxa"/>
          </w:tcPr>
          <w:p w14:paraId="5FA5AD31" w14:textId="77777777" w:rsidR="00881EA3" w:rsidRPr="00EC4487" w:rsidRDefault="00881EA3" w:rsidP="00881EA3">
            <w:pPr>
              <w:pStyle w:val="Tabletext"/>
              <w:jc w:val="center"/>
            </w:pPr>
            <w:r w:rsidRPr="00EC4487">
              <w:sym w:font="Wingdings" w:char="F0FC"/>
            </w:r>
          </w:p>
        </w:tc>
        <w:tc>
          <w:tcPr>
            <w:tcW w:w="928" w:type="dxa"/>
          </w:tcPr>
          <w:p w14:paraId="71F21E0B" w14:textId="77777777" w:rsidR="00881EA3" w:rsidRPr="00EC4487" w:rsidRDefault="00881EA3" w:rsidP="00881EA3">
            <w:pPr>
              <w:pStyle w:val="Tabletext"/>
              <w:jc w:val="center"/>
            </w:pPr>
            <w:r w:rsidRPr="00EC4487">
              <w:t>-</w:t>
            </w:r>
          </w:p>
        </w:tc>
        <w:tc>
          <w:tcPr>
            <w:tcW w:w="801" w:type="dxa"/>
          </w:tcPr>
          <w:p w14:paraId="707785C0" w14:textId="77777777" w:rsidR="00881EA3" w:rsidRPr="00EC4487" w:rsidRDefault="00881EA3" w:rsidP="00881EA3">
            <w:pPr>
              <w:pStyle w:val="Tabletext"/>
              <w:jc w:val="center"/>
            </w:pPr>
            <w:r w:rsidRPr="00EC4487">
              <w:t>-</w:t>
            </w:r>
          </w:p>
        </w:tc>
      </w:tr>
    </w:tbl>
    <w:p w14:paraId="739B9543" w14:textId="77777777" w:rsidR="00881EA3" w:rsidRDefault="00881EA3" w:rsidP="006C3A61">
      <w:pPr>
        <w:pStyle w:val="TableDescription"/>
        <w:rPr>
          <w:i/>
        </w:rPr>
      </w:pPr>
      <w:r w:rsidRPr="00EC4487">
        <w:t xml:space="preserve">Highlighted text indicates changes to the summary of safety concerns compared to EU-RMP v13.0 with ASA v3.1: Additions are </w:t>
      </w:r>
      <w:r w:rsidRPr="00EC4487">
        <w:rPr>
          <w:u w:val="single"/>
        </w:rPr>
        <w:t>underlined</w:t>
      </w:r>
      <w:r w:rsidRPr="00EC4487">
        <w:t xml:space="preserve">, explanatory text is </w:t>
      </w:r>
      <w:r w:rsidRPr="00EC4487">
        <w:rPr>
          <w:i/>
        </w:rPr>
        <w:t>italicised.</w:t>
      </w:r>
    </w:p>
    <w:p w14:paraId="32BA28EC" w14:textId="77777777" w:rsidR="00881EA3" w:rsidRPr="0038190B" w:rsidRDefault="00881EA3" w:rsidP="006C3A61">
      <w:pPr>
        <w:pStyle w:val="TableDescription"/>
      </w:pPr>
      <w:r>
        <w:t>T</w:t>
      </w:r>
      <w:r w:rsidRPr="00600D66">
        <w:t>argeted follow-up questionnaires to be used for enhanced routine pharmacovigilance</w:t>
      </w:r>
    </w:p>
    <w:p w14:paraId="6DB5719C" w14:textId="77777777" w:rsidR="00815F43" w:rsidRDefault="00881EA3" w:rsidP="006C3A61">
      <w:pPr>
        <w:pStyle w:val="TableDescription"/>
      </w:pPr>
      <w:r w:rsidRPr="00600D66">
        <w:t>€</w:t>
      </w:r>
      <w:r w:rsidR="00096F96">
        <w:t xml:space="preserve"> </w:t>
      </w:r>
      <w:r w:rsidRPr="00600D66">
        <w:t>EU-RMP only</w:t>
      </w:r>
      <w:r>
        <w:t>, this safety concern</w:t>
      </w:r>
      <w:r w:rsidRPr="00600D66">
        <w:t xml:space="preserve"> is </w:t>
      </w:r>
      <w:r>
        <w:t>omitted</w:t>
      </w:r>
      <w:r w:rsidRPr="00EF4C68">
        <w:t xml:space="preserve"> </w:t>
      </w:r>
      <w:r>
        <w:t>in</w:t>
      </w:r>
      <w:r w:rsidRPr="00600D66">
        <w:t xml:space="preserve"> </w:t>
      </w:r>
      <w:r>
        <w:t xml:space="preserve">the </w:t>
      </w:r>
      <w:r w:rsidRPr="00600D66">
        <w:t>ASA</w:t>
      </w:r>
      <w:r>
        <w:t xml:space="preserve"> and not considered applicable for Australia.</w:t>
      </w:r>
    </w:p>
    <w:p w14:paraId="6937F365" w14:textId="77777777" w:rsidR="00815F43" w:rsidRDefault="00815F43" w:rsidP="006C3A61">
      <w:pPr>
        <w:pStyle w:val="TableDescription"/>
      </w:pPr>
      <w:r>
        <w:t xml:space="preserve"> </w:t>
      </w:r>
      <w:r w:rsidR="00881EA3">
        <w:t>†</w:t>
      </w:r>
      <w:r w:rsidR="00096F96">
        <w:t xml:space="preserve"> </w:t>
      </w:r>
      <w:r w:rsidR="00881EA3" w:rsidRPr="00600D66">
        <w:t>Multiple paediatric missing information categories have been consolidated into one: ‘Use in Paediatric patients’, as per recommendation 2.</w:t>
      </w:r>
    </w:p>
    <w:p w14:paraId="39F6B638" w14:textId="48BF3949" w:rsidR="00881EA3" w:rsidRPr="00BE6360" w:rsidRDefault="00881EA3" w:rsidP="006C3A61">
      <w:r w:rsidRPr="00BE6360">
        <w:t xml:space="preserve">The </w:t>
      </w:r>
      <w:r>
        <w:t xml:space="preserve">ongoing or proposed </w:t>
      </w:r>
      <w:r w:rsidRPr="00BE6360">
        <w:t>additional pharmacovigilance activities are:</w:t>
      </w:r>
    </w:p>
    <w:p w14:paraId="48B95643" w14:textId="77777777" w:rsidR="00881EA3" w:rsidRPr="00BE6360" w:rsidRDefault="00881EA3" w:rsidP="006C3A61">
      <w:pPr>
        <w:pStyle w:val="ListBullet"/>
      </w:pPr>
      <w:r>
        <w:t>Ongoing clinical trials and registries</w:t>
      </w:r>
    </w:p>
    <w:p w14:paraId="092F32F7" w14:textId="77777777" w:rsidR="00881EA3" w:rsidRPr="00BE6360" w:rsidRDefault="00881EA3" w:rsidP="006C3A61">
      <w:pPr>
        <w:pStyle w:val="ListBullet2"/>
      </w:pPr>
      <w:r w:rsidRPr="00BE6360">
        <w:t xml:space="preserve">CNTO1275CRD30003 Long term extension </w:t>
      </w:r>
      <w:r>
        <w:t xml:space="preserve">study </w:t>
      </w:r>
      <w:r w:rsidRPr="00BE6360">
        <w:t>(Crohn’s disease)</w:t>
      </w:r>
    </w:p>
    <w:p w14:paraId="72C2F369" w14:textId="77777777" w:rsidR="00881EA3" w:rsidRPr="00BE6360" w:rsidRDefault="00881EA3" w:rsidP="006C3A61">
      <w:pPr>
        <w:pStyle w:val="ListBullet2"/>
      </w:pPr>
      <w:r>
        <w:t>PSOLAR observational registry (</w:t>
      </w:r>
      <w:r w:rsidRPr="00BE6360">
        <w:t>plaque psoriasis)</w:t>
      </w:r>
    </w:p>
    <w:p w14:paraId="3C010080" w14:textId="77777777" w:rsidR="00881EA3" w:rsidRPr="00BE6360" w:rsidRDefault="00881EA3" w:rsidP="006C3A61">
      <w:pPr>
        <w:pStyle w:val="ListBullet2"/>
      </w:pPr>
      <w:r w:rsidRPr="00BE6360">
        <w:t xml:space="preserve">Nordic Database Initiative </w:t>
      </w:r>
      <w:r>
        <w:t xml:space="preserve">registry study </w:t>
      </w:r>
      <w:r w:rsidRPr="00BE6360">
        <w:t>(any form psoriasis)</w:t>
      </w:r>
    </w:p>
    <w:p w14:paraId="0D7D03FF" w14:textId="77777777" w:rsidR="00881EA3" w:rsidRPr="00BE6360" w:rsidRDefault="00881EA3" w:rsidP="006C3A61">
      <w:pPr>
        <w:pStyle w:val="ListBullet2"/>
      </w:pPr>
      <w:r w:rsidRPr="00BE6360">
        <w:t>Pregnancy research initiative</w:t>
      </w:r>
    </w:p>
    <w:p w14:paraId="2942168A" w14:textId="77777777" w:rsidR="00815F43" w:rsidRDefault="00881EA3" w:rsidP="006C3A61">
      <w:pPr>
        <w:pStyle w:val="ListBullet"/>
      </w:pPr>
      <w:r w:rsidRPr="00BE6360">
        <w:t>Paediatric investigation plan</w:t>
      </w:r>
      <w:r>
        <w:t>s</w:t>
      </w:r>
    </w:p>
    <w:p w14:paraId="2C1D5687" w14:textId="4AE59A03" w:rsidR="00881EA3" w:rsidRPr="00BE6360" w:rsidRDefault="00881EA3" w:rsidP="006C3A61">
      <w:pPr>
        <w:pStyle w:val="ListBullet2"/>
      </w:pPr>
      <w:r w:rsidRPr="00BE6360">
        <w:t>Psoriasis (one outstanding study in patients 6-12 yrs old)</w:t>
      </w:r>
    </w:p>
    <w:p w14:paraId="7C8D3189" w14:textId="77777777" w:rsidR="00881EA3" w:rsidRPr="00BE6360" w:rsidRDefault="00881EA3" w:rsidP="006C3A61">
      <w:pPr>
        <w:pStyle w:val="ListBullet2"/>
      </w:pPr>
      <w:r w:rsidRPr="00BE6360">
        <w:t>Crohn’s disease (study approved)</w:t>
      </w:r>
    </w:p>
    <w:p w14:paraId="4FB25353" w14:textId="77777777" w:rsidR="00881EA3" w:rsidRDefault="00881EA3" w:rsidP="006C3A61">
      <w:pPr>
        <w:pStyle w:val="ListBullet2"/>
      </w:pPr>
      <w:r w:rsidRPr="00BE6360">
        <w:t>Juvenile idiopathic arthritis (study approved)</w:t>
      </w:r>
    </w:p>
    <w:p w14:paraId="0733690E" w14:textId="77777777" w:rsidR="00881EA3" w:rsidRPr="00BE6360" w:rsidRDefault="00881EA3" w:rsidP="006C3A61">
      <w:pPr>
        <w:pStyle w:val="ListBullet"/>
      </w:pPr>
      <w:r>
        <w:t>Proposed studies</w:t>
      </w:r>
    </w:p>
    <w:p w14:paraId="5A51DFA7" w14:textId="77777777" w:rsidR="00881EA3" w:rsidRDefault="00881EA3" w:rsidP="006C3A61">
      <w:pPr>
        <w:pStyle w:val="ListBullet2"/>
      </w:pPr>
      <w:r>
        <w:t>Postmarketing registry/prospective cohort observational study to monitor the long-term safety profile of ustekinumab use in adult patients with moderately to severely active Crohn’s disease</w:t>
      </w:r>
    </w:p>
    <w:p w14:paraId="11FDF1E5" w14:textId="77777777" w:rsidR="00881EA3" w:rsidRPr="00BE6360" w:rsidRDefault="00881EA3" w:rsidP="006C3A61">
      <w:pPr>
        <w:pStyle w:val="ListBullet2"/>
      </w:pPr>
      <w:r w:rsidRPr="00BE6360">
        <w:t>P</w:t>
      </w:r>
      <w:r>
        <w:t xml:space="preserve">ost market registry/prospective </w:t>
      </w:r>
      <w:r w:rsidRPr="00BE6360">
        <w:t>cohort observational study to further characterise the long-term safety profile of ustekinumab in the paediatric population 12 years and older and to explore any potential effect on growth and development, in-line with the consideration in the Stelara PIP</w:t>
      </w:r>
    </w:p>
    <w:p w14:paraId="5635AB11" w14:textId="77777777" w:rsidR="00881EA3" w:rsidRPr="00BE6360" w:rsidRDefault="00881EA3" w:rsidP="006C3A61">
      <w:r w:rsidRPr="00BE6360">
        <w:t>The additional risk minimisation activities proposed are</w:t>
      </w:r>
      <w:r>
        <w:t>:</w:t>
      </w:r>
    </w:p>
    <w:p w14:paraId="63F092F3" w14:textId="77777777" w:rsidR="00881EA3" w:rsidRPr="00BE6360" w:rsidRDefault="00881EA3" w:rsidP="006C3A61">
      <w:pPr>
        <w:pStyle w:val="ListBullet"/>
      </w:pPr>
      <w:r w:rsidRPr="00BE6360">
        <w:lastRenderedPageBreak/>
        <w:t>HCP Educational program</w:t>
      </w:r>
    </w:p>
    <w:p w14:paraId="1F426413" w14:textId="77777777" w:rsidR="00881EA3" w:rsidRDefault="00881EA3" w:rsidP="006C3A61">
      <w:pPr>
        <w:pStyle w:val="ListBullet"/>
      </w:pPr>
      <w:r w:rsidRPr="00BE6360">
        <w:t>Patient education</w:t>
      </w:r>
      <w:r>
        <w:t>al materials</w:t>
      </w:r>
    </w:p>
    <w:p w14:paraId="348F70B2" w14:textId="77777777" w:rsidR="00815F43" w:rsidRDefault="00881EA3" w:rsidP="006C3A61">
      <w:r>
        <w:t xml:space="preserve">The following risk minimisation </w:t>
      </w:r>
      <w:r w:rsidR="006C3A61">
        <w:t>activities are proposed in the sponsor’s response</w:t>
      </w:r>
      <w:r>
        <w:t xml:space="preserve"> but are not considered to be additional risk minimisation for a specific safety concern:</w:t>
      </w:r>
    </w:p>
    <w:p w14:paraId="69893A64" w14:textId="65523FFA" w:rsidR="00881EA3" w:rsidRDefault="00881EA3" w:rsidP="00096F96">
      <w:pPr>
        <w:pStyle w:val="ListBullet"/>
      </w:pPr>
      <w:r w:rsidRPr="00096F96">
        <w:t>Stelara</w:t>
      </w:r>
      <w:r>
        <w:rPr>
          <w:smallCaps/>
        </w:rPr>
        <w:t xml:space="preserve"> </w:t>
      </w:r>
      <w:r>
        <w:t>patient app</w:t>
      </w:r>
    </w:p>
    <w:p w14:paraId="5091FD99" w14:textId="77777777" w:rsidR="00881EA3" w:rsidRPr="00BE4375" w:rsidRDefault="00881EA3" w:rsidP="00096F96">
      <w:pPr>
        <w:pStyle w:val="ListBullet"/>
      </w:pPr>
      <w:r>
        <w:t>Optional Patient support program that provides home visits from a qualified nurse for self-injection support and an injection reminder service via SMS, telephone or email</w:t>
      </w:r>
    </w:p>
    <w:p w14:paraId="0BBAA64F" w14:textId="77777777" w:rsidR="00096F96" w:rsidRPr="00096F96" w:rsidRDefault="00881EA3" w:rsidP="00096F96">
      <w:pPr>
        <w:pStyle w:val="Heading4"/>
      </w:pPr>
      <w:bookmarkStart w:id="134" w:name="_Ref466628506"/>
      <w:bookmarkStart w:id="135" w:name="_Toc468349341"/>
      <w:r>
        <w:t>New recommendations</w:t>
      </w:r>
      <w:r w:rsidR="00BC06D7">
        <w:t xml:space="preserve"> s</w:t>
      </w:r>
      <w:r w:rsidR="00096F96">
        <w:t>econd round</w:t>
      </w:r>
      <w:bookmarkEnd w:id="134"/>
      <w:bookmarkEnd w:id="135"/>
    </w:p>
    <w:p w14:paraId="128AE25E" w14:textId="77777777" w:rsidR="00881EA3" w:rsidRDefault="00881EA3" w:rsidP="00096F96">
      <w:r w:rsidRPr="00CF1347">
        <w:t xml:space="preserve">The recommendations made in the </w:t>
      </w:r>
      <w:r w:rsidR="00096F96">
        <w:t>first r</w:t>
      </w:r>
      <w:r w:rsidRPr="00CF1347">
        <w:t>ound RMP Eval</w:t>
      </w:r>
      <w:r>
        <w:t>uation (Recommendations 1 – 8) were adequately addressed by the sponsor</w:t>
      </w:r>
      <w:r w:rsidRPr="00CF1347">
        <w:t xml:space="preserve">. </w:t>
      </w:r>
      <w:r>
        <w:t>A new minor recommendation is made in this report as follows:</w:t>
      </w:r>
    </w:p>
    <w:p w14:paraId="751AF66E" w14:textId="77777777" w:rsidR="00881EA3" w:rsidRPr="009841EE" w:rsidRDefault="00881EA3" w:rsidP="00096F96">
      <w:pPr>
        <w:pStyle w:val="Heading4"/>
      </w:pPr>
      <w:r>
        <w:t>Minor recommendations</w:t>
      </w:r>
    </w:p>
    <w:p w14:paraId="266CC257" w14:textId="77777777" w:rsidR="00881EA3" w:rsidRDefault="00096F96" w:rsidP="00096F96">
      <w:r w:rsidRPr="00096F96">
        <w:rPr>
          <w:i/>
        </w:rPr>
        <w:t>Recommendation 9:</w:t>
      </w:r>
      <w:r>
        <w:t xml:space="preserve"> </w:t>
      </w:r>
      <w:r w:rsidR="00881EA3">
        <w:t>The sponsor is recommended to describe</w:t>
      </w:r>
      <w:r w:rsidR="00881EA3" w:rsidRPr="00CF1347">
        <w:t xml:space="preserve"> the </w:t>
      </w:r>
      <w:r w:rsidR="00881EA3">
        <w:t xml:space="preserve">patient app, patient support program and any other </w:t>
      </w:r>
      <w:r w:rsidR="00881EA3" w:rsidRPr="00CF1347">
        <w:t>newly pr</w:t>
      </w:r>
      <w:r w:rsidR="00881EA3">
        <w:t>oposed risk minimisation tools in the ASA as ‘stated’ risk minimisation activities.</w:t>
      </w:r>
    </w:p>
    <w:p w14:paraId="35683822" w14:textId="77777777" w:rsidR="00881EA3" w:rsidRDefault="00881EA3" w:rsidP="00096F96">
      <w:r>
        <w:t>It is acceptable for the sponsor to address this recommendation in the next update to the ASA.</w:t>
      </w:r>
    </w:p>
    <w:p w14:paraId="7A3E307D" w14:textId="77777777" w:rsidR="00881EA3" w:rsidRPr="00CF1347" w:rsidRDefault="00881EA3" w:rsidP="00096F96">
      <w:pPr>
        <w:pStyle w:val="Heading4"/>
      </w:pPr>
      <w:bookmarkStart w:id="136" w:name="_Toc468349342"/>
      <w:r w:rsidRPr="00CF1347">
        <w:t>Commitments to be included in a revised ASA</w:t>
      </w:r>
      <w:bookmarkEnd w:id="136"/>
    </w:p>
    <w:p w14:paraId="3ED717D5" w14:textId="77777777" w:rsidR="00881EA3" w:rsidRPr="00CF1347" w:rsidRDefault="00881EA3" w:rsidP="00096F96">
      <w:r w:rsidRPr="00CF1347">
        <w:t>The sponsor has committed to maintaining the ASA to include a complete list of current studies</w:t>
      </w:r>
      <w:r w:rsidR="00096F96">
        <w:t xml:space="preserve"> and</w:t>
      </w:r>
      <w:r w:rsidRPr="00CF1347">
        <w:t xml:space="preserve"> when the planned studies commence (including the proposed long term safety study in Crohn’s disease)</w:t>
      </w:r>
      <w:r>
        <w:t>.</w:t>
      </w:r>
    </w:p>
    <w:p w14:paraId="5CBA19EC" w14:textId="77777777" w:rsidR="00881EA3" w:rsidRDefault="00881EA3" w:rsidP="00096F96">
      <w:r w:rsidRPr="00CF1347">
        <w:t>The sponsor has committed to updating the HCP and patient educational materials and tools with information on Crohn’s disease if approval for this indication is granted</w:t>
      </w:r>
      <w:r>
        <w:t>.</w:t>
      </w:r>
    </w:p>
    <w:p w14:paraId="6A8160E0" w14:textId="77777777" w:rsidR="00881EA3" w:rsidRPr="00BB4B51" w:rsidRDefault="00881EA3" w:rsidP="00096F96">
      <w:pPr>
        <w:pStyle w:val="Heading4"/>
      </w:pPr>
      <w:bookmarkStart w:id="137" w:name="_Toc468349343"/>
      <w:r>
        <w:t>Wording for conditions of registration</w:t>
      </w:r>
      <w:bookmarkEnd w:id="137"/>
    </w:p>
    <w:p w14:paraId="275E27C2" w14:textId="77777777" w:rsidR="00815F43" w:rsidRDefault="00881EA3" w:rsidP="00096F96">
      <w:r w:rsidRPr="009D7ED7">
        <w:t>Any changes to which the sponsor</w:t>
      </w:r>
      <w:r>
        <w:t xml:space="preserve"> has</w:t>
      </w:r>
      <w:r w:rsidRPr="009D7ED7">
        <w:t xml:space="preserve"> agreed </w:t>
      </w:r>
      <w:r>
        <w:t>should be included in a revised RMP and ASA. However, irrespective of whether or not</w:t>
      </w:r>
      <w:r w:rsidRPr="009D7ED7">
        <w:t xml:space="preserve"> they are included in the currently available version of the RMP document</w:t>
      </w:r>
      <w:r>
        <w:t xml:space="preserve">, the agreed changes </w:t>
      </w:r>
      <w:r w:rsidRPr="009D7ED7">
        <w:t>become part of the risk management system</w:t>
      </w:r>
      <w:r>
        <w:t>.</w:t>
      </w:r>
    </w:p>
    <w:p w14:paraId="28194BAA" w14:textId="6B058F8A" w:rsidR="00096F96" w:rsidRDefault="00881EA3" w:rsidP="00096F96">
      <w:r w:rsidRPr="00CF1347">
        <w:t>The suggested wording is:</w:t>
      </w:r>
    </w:p>
    <w:p w14:paraId="63C4A062" w14:textId="77777777" w:rsidR="00815F43" w:rsidRDefault="00881EA3" w:rsidP="00096F96">
      <w:pPr>
        <w:ind w:left="720"/>
        <w:rPr>
          <w:i/>
        </w:rPr>
      </w:pPr>
      <w:r w:rsidRPr="00096F96">
        <w:rPr>
          <w:i/>
        </w:rPr>
        <w:t>The Stelara EU-RMP version 13.2 (dated 7 September 2016; data lock point 8 July 2015) with Australian Specific Annex version 3.2 (dated 19 October 2016), submitted with application PM-2015-04746-1-1, must be implemented.</w:t>
      </w:r>
    </w:p>
    <w:p w14:paraId="41D70036" w14:textId="7157382A" w:rsidR="008E7846" w:rsidRPr="00792A32" w:rsidRDefault="008E7846" w:rsidP="00881EA3">
      <w:pPr>
        <w:pStyle w:val="Heading2"/>
      </w:pPr>
      <w:bookmarkStart w:id="138" w:name="_Toc497744832"/>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7"/>
      <w:bookmarkEnd w:id="132"/>
      <w:bookmarkEnd w:id="133"/>
      <w:bookmarkEnd w:id="138"/>
    </w:p>
    <w:p w14:paraId="702FDCEC" w14:textId="77777777" w:rsidR="008E7846" w:rsidRDefault="008E7846" w:rsidP="008E7846">
      <w:bookmarkStart w:id="139" w:name="_Toc247691528"/>
      <w:r>
        <w:t xml:space="preserve">The submission was summarised in the following </w:t>
      </w:r>
      <w:r w:rsidRPr="00EF5C48">
        <w:t xml:space="preserve">Delegate’s </w:t>
      </w:r>
      <w:r>
        <w:t>overview</w:t>
      </w:r>
      <w:r w:rsidRPr="00EF5C48">
        <w:t xml:space="preserve"> and recommendation</w:t>
      </w:r>
      <w:r>
        <w:t>s:</w:t>
      </w:r>
    </w:p>
    <w:p w14:paraId="773B4A9C" w14:textId="77777777" w:rsidR="008E7846" w:rsidRDefault="008E7846" w:rsidP="008E7846">
      <w:pPr>
        <w:pStyle w:val="Heading3"/>
      </w:pPr>
      <w:bookmarkStart w:id="140" w:name="_Toc314842511"/>
      <w:bookmarkStart w:id="141" w:name="_Toc497744833"/>
      <w:r>
        <w:t>Quality</w:t>
      </w:r>
      <w:bookmarkEnd w:id="139"/>
      <w:bookmarkEnd w:id="140"/>
      <w:bookmarkEnd w:id="141"/>
    </w:p>
    <w:p w14:paraId="38AA2CB2" w14:textId="77777777" w:rsidR="00E45619" w:rsidRDefault="00CE122F" w:rsidP="00096F96">
      <w:r w:rsidRPr="00CE122F">
        <w:t>The evaluators have raised no objections, quality or microbial- wise, to the approval of the application to register ustekinumab 5.0</w:t>
      </w:r>
      <w:r w:rsidR="00096F96">
        <w:t xml:space="preserve"> </w:t>
      </w:r>
      <w:r w:rsidRPr="00CE122F">
        <w:t>mg/1</w:t>
      </w:r>
      <w:r w:rsidR="00096F96">
        <w:t xml:space="preserve"> </w:t>
      </w:r>
      <w:r w:rsidRPr="00CE122F">
        <w:t xml:space="preserve">mL solution for </w:t>
      </w:r>
      <w:r w:rsidR="00096F96">
        <w:t>IV</w:t>
      </w:r>
      <w:r w:rsidRPr="00CE122F">
        <w:t xml:space="preserve"> infusion injection vial.</w:t>
      </w:r>
    </w:p>
    <w:p w14:paraId="73818366" w14:textId="77777777" w:rsidR="008E7846" w:rsidRDefault="008E7846" w:rsidP="008E7846">
      <w:pPr>
        <w:pStyle w:val="Heading3"/>
      </w:pPr>
      <w:bookmarkStart w:id="142" w:name="_Toc314842512"/>
      <w:bookmarkStart w:id="143" w:name="_Toc497744834"/>
      <w:r>
        <w:lastRenderedPageBreak/>
        <w:t>Nonclinical</w:t>
      </w:r>
      <w:bookmarkEnd w:id="142"/>
      <w:bookmarkEnd w:id="143"/>
    </w:p>
    <w:p w14:paraId="4A9ADEFC" w14:textId="77777777" w:rsidR="00CE122F" w:rsidRPr="00C449E4" w:rsidRDefault="00CE122F" w:rsidP="00F745D9">
      <w:r>
        <w:t>No nonclinical local tolerance studies of the new formulation diluted in an IV infusion solution and administered by the IV route, as proposed in this submission, have been submitted with this application. The local tolerance of the new IV product will therefore require clinical assessment. (It is noted that anaphylaxis or other serious infusion reactions have not been reported in Crohn’s disease induction studies).</w:t>
      </w:r>
    </w:p>
    <w:p w14:paraId="326937FF" w14:textId="77777777" w:rsidR="00CE122F" w:rsidRDefault="00CE122F" w:rsidP="00F745D9">
      <w:r>
        <w:t>There are no systemic toxicological concerns regarding the presence of the excipients methionine and disodium edetate at the specified concentrations and the proposed clinical MRHD.</w:t>
      </w:r>
    </w:p>
    <w:p w14:paraId="10FB162B" w14:textId="77777777" w:rsidR="00815F43" w:rsidRDefault="00CE122F" w:rsidP="00F745D9">
      <w:pPr>
        <w:rPr>
          <w:kern w:val="2"/>
        </w:rPr>
      </w:pPr>
      <w:r w:rsidRPr="00D676EA">
        <w:rPr>
          <w:kern w:val="2"/>
        </w:rPr>
        <w:t xml:space="preserve">The following comments refer to the proposed PI document for </w:t>
      </w:r>
      <w:r w:rsidR="00CC3432">
        <w:rPr>
          <w:kern w:val="2"/>
        </w:rPr>
        <w:t>Stelara</w:t>
      </w:r>
      <w:bookmarkStart w:id="144" w:name="_Toc294861733"/>
      <w:r>
        <w:rPr>
          <w:kern w:val="2"/>
        </w:rPr>
        <w:t>:</w:t>
      </w:r>
    </w:p>
    <w:p w14:paraId="5D48AD39" w14:textId="4F60A229" w:rsidR="00CE122F" w:rsidRPr="00882C7A" w:rsidRDefault="00CE122F" w:rsidP="00882C7A">
      <w:pPr>
        <w:pStyle w:val="Heading4"/>
        <w:rPr>
          <w:i/>
        </w:rPr>
      </w:pPr>
      <w:r w:rsidRPr="00882C7A">
        <w:rPr>
          <w:i/>
        </w:rPr>
        <w:t>Pharmacology</w:t>
      </w:r>
    </w:p>
    <w:p w14:paraId="482A45B7" w14:textId="77777777" w:rsidR="00CE122F" w:rsidRPr="006E2AA8" w:rsidRDefault="00CE122F" w:rsidP="00882C7A">
      <w:pPr>
        <w:pStyle w:val="Heading5"/>
      </w:pPr>
      <w:r w:rsidRPr="006E2AA8">
        <w:t>Mechanism of action</w:t>
      </w:r>
    </w:p>
    <w:p w14:paraId="18C14770" w14:textId="77777777" w:rsidR="00CE122F" w:rsidRPr="00D676EA" w:rsidRDefault="00CE122F" w:rsidP="00957FBB">
      <w:r w:rsidRPr="00D676EA">
        <w:t>The following text is proposed by the sponsor:</w:t>
      </w:r>
    </w:p>
    <w:p w14:paraId="49DE51E1" w14:textId="77777777" w:rsidR="00CE122F" w:rsidRPr="00957FBB" w:rsidRDefault="00CE122F" w:rsidP="00957FBB">
      <w:pPr>
        <w:rPr>
          <w:i/>
        </w:rPr>
      </w:pPr>
      <w:r w:rsidRPr="00957FBB">
        <w:rPr>
          <w:i/>
        </w:rPr>
        <w:t>‘In patients with Crohn’s disease, IL-12 and IL-23 are elevated in the intestines and lymph nodes. This is accompanied by increases in serum IFNγ and IL-17A levels, suggesting that IL-12 and IL-23 promote Th1 and Th17 activation in Crohn’s disease. Both IL-12 and IL-23 can also stimulate TNFα production by T cells, resulting in chronic intestinal inflammation and epithelial cell injury. Significant associations have been found between Crohn’s disease and genetic polymorphisms in the IL23R and IL12B genes, suggesting a potential causal role for IL-12/23 signalling in the disease. This is supported by pre-clinical data demonstrating that IL-12/23 signalling is required for intestinal injury in mouse models of inflammatory bowel disease.’</w:t>
      </w:r>
    </w:p>
    <w:p w14:paraId="70F7F56F" w14:textId="77777777" w:rsidR="00CE122F" w:rsidRPr="002A75E8" w:rsidRDefault="00CE122F" w:rsidP="00F745D9">
      <w:r>
        <w:t xml:space="preserve">The proposal is acceptable by the </w:t>
      </w:r>
      <w:r w:rsidRPr="002A75E8">
        <w:t xml:space="preserve">nonclinical </w:t>
      </w:r>
      <w:r>
        <w:t>evaluator.</w:t>
      </w:r>
    </w:p>
    <w:bookmarkEnd w:id="144"/>
    <w:p w14:paraId="738F9536" w14:textId="77777777" w:rsidR="008E7846" w:rsidRDefault="00CE122F" w:rsidP="00F745D9">
      <w:r>
        <w:t>There are no further nonclinical comments.</w:t>
      </w:r>
    </w:p>
    <w:p w14:paraId="665C3C6A" w14:textId="77777777" w:rsidR="008E7846" w:rsidRDefault="008E7846" w:rsidP="008E7846">
      <w:pPr>
        <w:pStyle w:val="Heading3"/>
      </w:pPr>
      <w:bookmarkStart w:id="145" w:name="_Toc247691530"/>
      <w:bookmarkStart w:id="146" w:name="_Toc314842513"/>
      <w:bookmarkStart w:id="147" w:name="_Toc497744835"/>
      <w:r>
        <w:t>Clinical</w:t>
      </w:r>
      <w:bookmarkEnd w:id="145"/>
      <w:bookmarkEnd w:id="146"/>
      <w:bookmarkEnd w:id="147"/>
    </w:p>
    <w:p w14:paraId="7B869BD3" w14:textId="77777777" w:rsidR="00CE122F" w:rsidRDefault="00CE122F" w:rsidP="00096F96">
      <w:pPr>
        <w:pStyle w:val="Heading4"/>
      </w:pPr>
      <w:bookmarkStart w:id="148" w:name="_Toc314842514"/>
      <w:r w:rsidRPr="0066439E">
        <w:t xml:space="preserve">On </w:t>
      </w:r>
      <w:r w:rsidR="00096F96">
        <w:t>pharmacokinetics</w:t>
      </w:r>
    </w:p>
    <w:p w14:paraId="475C722C" w14:textId="77777777" w:rsidR="00815F43" w:rsidRDefault="00CE122F" w:rsidP="00096F96">
      <w:pPr>
        <w:pStyle w:val="ListBullet"/>
      </w:pPr>
      <w:r w:rsidRPr="0066439E">
        <w:t xml:space="preserve">This submission provided data to examine the pharmacokinetics of ustekinumab for the proposed initial single IV dose of </w:t>
      </w:r>
      <w:r w:rsidR="004B6C8D">
        <w:t xml:space="preserve">approximately </w:t>
      </w:r>
      <w:r w:rsidRPr="0066439E">
        <w:t>6 mg/kg as well as the higher (90 mg every 8 weeks) SC dose regimen of ustekinumab.</w:t>
      </w:r>
    </w:p>
    <w:p w14:paraId="1C09DB7A" w14:textId="3A12A808" w:rsidR="00CE122F" w:rsidRPr="0066439E" w:rsidRDefault="00CE122F" w:rsidP="00096F96">
      <w:pPr>
        <w:pStyle w:val="ListBullet"/>
      </w:pPr>
      <w:r w:rsidRPr="0066439E">
        <w:t>The recommended dose regimen for the plaque psoriasis and psoriatic arthritis indications is 45 mg SC at Weeks 0 and 4, then every 12 weeks thereafter. An alternative regimen of 90 mg at the above time points may be used for patients with body weight &gt;100 mg.</w:t>
      </w:r>
      <w:r w:rsidR="00EF0460">
        <w:t xml:space="preserve"> </w:t>
      </w:r>
      <w:r w:rsidRPr="0066439E">
        <w:t>For patients with plaque psoriasis consideration may be given to treating as often as every 8 weeks.</w:t>
      </w:r>
    </w:p>
    <w:p w14:paraId="7324DFC5" w14:textId="77777777" w:rsidR="00815F43" w:rsidRDefault="00CE122F" w:rsidP="00096F96">
      <w:pPr>
        <w:pStyle w:val="ListBullet"/>
      </w:pPr>
      <w:r w:rsidRPr="0066439E">
        <w:t>PopPK modelling predicted that the bioavailability of ustekinumab following SC dosing relative to IV dosing was 78.3% in subjects with moderately to severely active CD.</w:t>
      </w:r>
    </w:p>
    <w:p w14:paraId="418FDDF3" w14:textId="78C50FA6" w:rsidR="00CE122F" w:rsidRPr="0066439E" w:rsidRDefault="00CE122F" w:rsidP="00096F96">
      <w:pPr>
        <w:pStyle w:val="ListBullet"/>
      </w:pPr>
      <w:r w:rsidRPr="0066439E">
        <w:t xml:space="preserve">The current PI notes the median volume of distribution during the terminal phase (Vz) following a single </w:t>
      </w:r>
      <w:r w:rsidR="00C31E15">
        <w:t>IV</w:t>
      </w:r>
      <w:r w:rsidRPr="0066439E">
        <w:t xml:space="preserve"> administration to patients with psoriasis, ranged from 57 to 83 mL/kg. This is consistent with the calculation from study NAP1002 in healthy volunteers in this submission where mean </w:t>
      </w:r>
      <w:proofErr w:type="gramStart"/>
      <w:r w:rsidRPr="0066439E">
        <w:t>Vd</w:t>
      </w:r>
      <w:proofErr w:type="gramEnd"/>
      <w:r w:rsidRPr="0066439E">
        <w:t xml:space="preserve"> was estimated to be 4.7L after infusion of</w:t>
      </w:r>
      <w:r w:rsidR="00EF0460">
        <w:t xml:space="preserve"> </w:t>
      </w:r>
      <w:r w:rsidRPr="0066439E">
        <w:t>6 mg/kg of 90 mg/5 mL ustekinumab (with mean body weight 70.6 kg, Vd was 66.6 mL/kg).</w:t>
      </w:r>
      <w:r w:rsidR="00EF0460">
        <w:t xml:space="preserve"> </w:t>
      </w:r>
      <w:r w:rsidRPr="0066439E">
        <w:t xml:space="preserve">Based on these findings, it appears that plasma protein binding is high in both </w:t>
      </w:r>
      <w:r w:rsidRPr="0066439E">
        <w:lastRenderedPageBreak/>
        <w:t>healthy subjects and patients with CD and little to no ustekinumab is distributed to the tissues.</w:t>
      </w:r>
    </w:p>
    <w:p w14:paraId="4742895F" w14:textId="77777777" w:rsidR="00CE122F" w:rsidRPr="008B6F7F" w:rsidRDefault="00CE122F" w:rsidP="00096F96">
      <w:pPr>
        <w:pStyle w:val="ListBullet"/>
      </w:pPr>
      <w:r w:rsidRPr="008B6F7F">
        <w:t xml:space="preserve">Following the recommended IV induction dose, median peak serum ustekinumab concentration was </w:t>
      </w:r>
      <w:proofErr w:type="gramStart"/>
      <w:r w:rsidRPr="008B6F7F">
        <w:t>126.1 μg/mL</w:t>
      </w:r>
      <w:proofErr w:type="gramEnd"/>
      <w:r w:rsidRPr="008B6F7F">
        <w:t>.</w:t>
      </w:r>
      <w:r w:rsidR="00EF0460">
        <w:t xml:space="preserve"> </w:t>
      </w:r>
      <w:r w:rsidRPr="008B6F7F">
        <w:t xml:space="preserve">The pharmacokinetics of ustekinumab </w:t>
      </w:r>
      <w:proofErr w:type="gramStart"/>
      <w:r w:rsidRPr="008B6F7F">
        <w:t>are</w:t>
      </w:r>
      <w:proofErr w:type="gramEnd"/>
      <w:r w:rsidRPr="008B6F7F">
        <w:t xml:space="preserve"> linear with both IV and SC administration within the assessed dose range of 1, 3 and 6 mg/kg.</w:t>
      </w:r>
    </w:p>
    <w:p w14:paraId="3CB1AB89" w14:textId="77777777" w:rsidR="00815F43" w:rsidRDefault="00CE122F" w:rsidP="00096F96">
      <w:pPr>
        <w:pStyle w:val="ListBullet"/>
      </w:pPr>
      <w:r w:rsidRPr="008B6F7F">
        <w:t xml:space="preserve">Starting at </w:t>
      </w:r>
      <w:r w:rsidR="00C31E15">
        <w:t>W</w:t>
      </w:r>
      <w:r w:rsidRPr="008B6F7F">
        <w:t xml:space="preserve">eek 8, </w:t>
      </w:r>
      <w:r w:rsidR="00C31E15">
        <w:t>SC</w:t>
      </w:r>
      <w:r w:rsidRPr="008B6F7F">
        <w:t xml:space="preserve"> maintenance dosing of 90 mg ustekinumab was administered every 8 or 12 weeks. Steady state ustekinumab concentration was achieved by the start of the second maintenance dose i.e. at </w:t>
      </w:r>
      <w:r w:rsidR="004B6C8D">
        <w:t>approximately</w:t>
      </w:r>
      <w:r w:rsidRPr="008B6F7F">
        <w:t xml:space="preserve"> 8 or 12 weeks after subjects began receiving ustekinumab 90 mg SC q8w, or ustekinumab 90 mg SC q12w, respectively.</w:t>
      </w:r>
    </w:p>
    <w:p w14:paraId="213645F5" w14:textId="4A004432" w:rsidR="00815F43" w:rsidRDefault="00CE122F" w:rsidP="00096F96">
      <w:pPr>
        <w:pStyle w:val="ListBullet"/>
      </w:pPr>
      <w:r w:rsidRPr="008B6F7F">
        <w:t xml:space="preserve">Median steady-state trough concentrations ranged from 1.97 μg/mL to 2.24 μg/mL and from 0.61 μg/mL to 0.76 μg/mL for 90 mg ustekinumab every 8 weeks or every 12 weeks respectively i.e. </w:t>
      </w:r>
      <w:r w:rsidR="004B6C8D">
        <w:t xml:space="preserve">approximately </w:t>
      </w:r>
      <w:r w:rsidRPr="008B6F7F">
        <w:t>3 fold higher with the q8w dose cf. the q12 w dose.</w:t>
      </w:r>
    </w:p>
    <w:p w14:paraId="4B8BC30C" w14:textId="4939D07E" w:rsidR="00CE122F" w:rsidRDefault="00CE122F" w:rsidP="00096F96">
      <w:pPr>
        <w:pStyle w:val="ListBullet"/>
      </w:pPr>
      <w:r w:rsidRPr="008B6F7F">
        <w:t>Ustekinumab was eliminated following SC administration with a median t</w:t>
      </w:r>
      <w:r w:rsidRPr="00C31E15">
        <w:rPr>
          <w:vertAlign w:val="subscript"/>
        </w:rPr>
        <w:t>½</w:t>
      </w:r>
      <w:r w:rsidRPr="008B6F7F">
        <w:t xml:space="preserve"> of </w:t>
      </w:r>
      <w:r w:rsidR="004B6C8D">
        <w:t>approximately</w:t>
      </w:r>
      <w:r w:rsidRPr="008B6F7F">
        <w:t xml:space="preserve"> 23 to 25 days and following IV administration with a median t</w:t>
      </w:r>
      <w:r w:rsidRPr="00C31E15">
        <w:rPr>
          <w:vertAlign w:val="subscript"/>
        </w:rPr>
        <w:t>½</w:t>
      </w:r>
      <w:r w:rsidRPr="008B6F7F">
        <w:t xml:space="preserve"> of </w:t>
      </w:r>
      <w:r w:rsidR="00957FBB">
        <w:t xml:space="preserve">approximately </w:t>
      </w:r>
      <w:r w:rsidR="00957FBB" w:rsidRPr="008B6F7F">
        <w:t>17</w:t>
      </w:r>
      <w:r w:rsidRPr="008B6F7F">
        <w:t xml:space="preserve"> to 23 days.</w:t>
      </w:r>
    </w:p>
    <w:p w14:paraId="4BC685BD" w14:textId="77777777" w:rsidR="00CE122F" w:rsidRDefault="00CE122F" w:rsidP="00096F96">
      <w:pPr>
        <w:pStyle w:val="ListBullet"/>
      </w:pPr>
      <w:r w:rsidRPr="008B6F7F">
        <w:t>PopPK modelling predicted a %CV for between-subject variability for CL of 29.1%. PopPK modelling also predicted that CL would be 13.0% higher in subjects positive for antibodies to ustekinumab.</w:t>
      </w:r>
      <w:r w:rsidR="00EF0460">
        <w:t xml:space="preserve"> </w:t>
      </w:r>
      <w:r w:rsidRPr="008B6F7F">
        <w:t>This latter prediction was assessed from the 1.8% (n=30) of subjects in the pooled PopPK analysis set who developed antibodies to ustekinumab.</w:t>
      </w:r>
    </w:p>
    <w:p w14:paraId="1A059075" w14:textId="77777777" w:rsidR="00CE122F" w:rsidRPr="008B6F7F" w:rsidRDefault="00CE122F" w:rsidP="00096F96">
      <w:pPr>
        <w:pStyle w:val="ListBullet"/>
      </w:pPr>
      <w:r w:rsidRPr="008B6F7F">
        <w:t>Age, within the range of 18 to 76 years, had no meaningful impact on the PK of ustekinumab.</w:t>
      </w:r>
      <w:r w:rsidRPr="000D57FF">
        <w:t xml:space="preserve"> CL was 14% higher in Asian subjects than in the other race categories.</w:t>
      </w:r>
      <w:r>
        <w:t xml:space="preserve"> </w:t>
      </w:r>
      <w:r w:rsidRPr="008B6F7F">
        <w:t>The metabolic pathway for ustekinumab has not been elucidated.</w:t>
      </w:r>
    </w:p>
    <w:p w14:paraId="6283A873" w14:textId="77777777" w:rsidR="00CE122F" w:rsidRPr="001759A5" w:rsidRDefault="00CE122F" w:rsidP="00C31E15">
      <w:pPr>
        <w:pStyle w:val="Heading4"/>
      </w:pPr>
      <w:r w:rsidRPr="008B6F7F">
        <w:t xml:space="preserve">On </w:t>
      </w:r>
      <w:r w:rsidRPr="001759A5">
        <w:t>pharmacodynamic</w:t>
      </w:r>
      <w:r w:rsidR="00C31E15">
        <w:t>s</w:t>
      </w:r>
    </w:p>
    <w:p w14:paraId="6FE23CB6" w14:textId="77777777" w:rsidR="00CE122F" w:rsidRDefault="004B6C8D" w:rsidP="00C31E15">
      <w:pPr>
        <w:pStyle w:val="ListBullet"/>
      </w:pPr>
      <w:r>
        <w:t>Study C0</w:t>
      </w:r>
      <w:r w:rsidR="00CE122F" w:rsidRPr="008B6F7F">
        <w:t>379T07, a Phase IIa study is described in the CER.</w:t>
      </w:r>
      <w:r w:rsidR="00EF0460">
        <w:t xml:space="preserve"> </w:t>
      </w:r>
      <w:r w:rsidR="00CE122F" w:rsidRPr="008B6F7F">
        <w:t>T</w:t>
      </w:r>
      <w:r w:rsidR="00C31E15">
        <w:t xml:space="preserve">his study allowed for a placebo </w:t>
      </w:r>
      <w:r w:rsidR="00CE122F" w:rsidRPr="008B6F7F">
        <w:t>controlled evaluation of serum biomarker changes in response to either a single IV administration or multiple SC treatments with ustekinumab in subjects with moderately to severely active CD or fistulising CD. Patients received either SC or IV doses of ustekinumab. The IV dose was 4.5 mg/kg rather than the proposed dose which approximates 6 mg/kg. PD assessments were made throughout the first 8 weeks of the study.</w:t>
      </w:r>
    </w:p>
    <w:p w14:paraId="553FF266" w14:textId="77777777" w:rsidR="00CE122F" w:rsidRDefault="00CE122F" w:rsidP="00C31E15">
      <w:pPr>
        <w:pStyle w:val="ListBullet"/>
      </w:pPr>
      <w:r w:rsidRPr="008B6F7F">
        <w:t>In summary, these figures showed that</w:t>
      </w:r>
      <w:r>
        <w:t>:</w:t>
      </w:r>
    </w:p>
    <w:p w14:paraId="11431CA2" w14:textId="77777777" w:rsidR="00CE122F" w:rsidRPr="00EC4487" w:rsidRDefault="00CE122F" w:rsidP="00724E5B">
      <w:pPr>
        <w:pStyle w:val="ListBullet2"/>
      </w:pPr>
      <w:r w:rsidRPr="008B6F7F">
        <w:t>ustekinumab was associated with significant increases in IL-12p40 (up 600% from baseline), decreases in TNF alpha (</w:t>
      </w:r>
      <w:r w:rsidR="004B6C8D">
        <w:t xml:space="preserve">approximately </w:t>
      </w:r>
      <w:r w:rsidRPr="008B6F7F">
        <w:t>20%), reductions in IL-6 (40 to 80%), reductions in VEGF (</w:t>
      </w:r>
      <w:r w:rsidR="004B6C8D">
        <w:t xml:space="preserve">approximately </w:t>
      </w:r>
      <w:r w:rsidRPr="008B6F7F">
        <w:t xml:space="preserve">30% at week 8 for IV dosing) and smaller and/ or inconsistent changes </w:t>
      </w:r>
      <w:r w:rsidRPr="00EC4487">
        <w:t xml:space="preserve">in RANTES, </w:t>
      </w:r>
      <w:r w:rsidR="00724E5B" w:rsidRPr="008F37FC">
        <w:rPr>
          <w:rFonts w:asciiTheme="minorHAnsi" w:eastAsia="TimesNewRoman" w:hAnsiTheme="minorHAnsi" w:cs="Calibri"/>
          <w:color w:val="000000"/>
        </w:rPr>
        <w:t>interferon-gamma inducible protein 10</w:t>
      </w:r>
      <w:r w:rsidR="00724E5B">
        <w:rPr>
          <w:rFonts w:asciiTheme="minorHAnsi" w:eastAsia="TimesNewRoman" w:hAnsiTheme="minorHAnsi" w:cs="Calibri"/>
          <w:color w:val="000000"/>
        </w:rPr>
        <w:t>(</w:t>
      </w:r>
      <w:r w:rsidRPr="00EC4487">
        <w:t>IP-10</w:t>
      </w:r>
      <w:r w:rsidR="00724E5B">
        <w:t>)</w:t>
      </w:r>
      <w:r w:rsidRPr="00EC4487">
        <w:t>,</w:t>
      </w:r>
      <w:r w:rsidR="00724E5B">
        <w:t xml:space="preserve"> </w:t>
      </w:r>
      <w:r w:rsidR="00724E5B" w:rsidRPr="008F37FC">
        <w:rPr>
          <w:rFonts w:asciiTheme="minorHAnsi" w:eastAsia="TimesNewRoman" w:hAnsiTheme="minorHAnsi" w:cs="Calibri"/>
          <w:color w:val="000000"/>
        </w:rPr>
        <w:t>monocyte chemotactic protein 1</w:t>
      </w:r>
      <w:r w:rsidR="00724E5B">
        <w:rPr>
          <w:rFonts w:asciiTheme="minorHAnsi" w:eastAsia="TimesNewRoman" w:hAnsiTheme="minorHAnsi" w:cs="Calibri"/>
          <w:color w:val="000000"/>
        </w:rPr>
        <w:t>(</w:t>
      </w:r>
      <w:r w:rsidRPr="00EC4487">
        <w:t>MCP-1</w:t>
      </w:r>
      <w:r w:rsidR="00724E5B">
        <w:t>)</w:t>
      </w:r>
      <w:r w:rsidRPr="00EC4487">
        <w:t xml:space="preserve">, </w:t>
      </w:r>
      <w:r w:rsidR="00724E5B" w:rsidRPr="00724E5B">
        <w:t xml:space="preserve">epithelial-derived neutrophil-activating peptide </w:t>
      </w:r>
      <w:r w:rsidR="00724E5B">
        <w:t>(</w:t>
      </w:r>
      <w:r w:rsidRPr="00EC4487">
        <w:t>ENA-78</w:t>
      </w:r>
      <w:r w:rsidR="00724E5B">
        <w:t>)</w:t>
      </w:r>
      <w:r w:rsidRPr="00EC4487">
        <w:t xml:space="preserve">, </w:t>
      </w:r>
      <w:r w:rsidR="00724E5B" w:rsidRPr="00724E5B">
        <w:t xml:space="preserve">Epidermal growth factor </w:t>
      </w:r>
      <w:r w:rsidR="00724E5B">
        <w:t>(</w:t>
      </w:r>
      <w:r w:rsidRPr="00EC4487">
        <w:t>EGF</w:t>
      </w:r>
      <w:r w:rsidR="00724E5B">
        <w:t>)</w:t>
      </w:r>
      <w:r w:rsidRPr="00EC4487">
        <w:t xml:space="preserve">, </w:t>
      </w:r>
      <w:r w:rsidR="00724E5B" w:rsidRPr="00724E5B">
        <w:t xml:space="preserve">matrix metalloproteinase-3 </w:t>
      </w:r>
      <w:r w:rsidR="00724E5B">
        <w:t>(</w:t>
      </w:r>
      <w:r w:rsidRPr="00EC4487">
        <w:t>MMP-3</w:t>
      </w:r>
      <w:r w:rsidR="00724E5B">
        <w:t>)</w:t>
      </w:r>
      <w:r w:rsidRPr="00EC4487">
        <w:t xml:space="preserve">, MMP-9 and </w:t>
      </w:r>
      <w:r w:rsidR="00724E5B" w:rsidRPr="00724E5B">
        <w:t>Tropomyosin alpha-1</w:t>
      </w:r>
      <w:r w:rsidR="00724E5B">
        <w:t xml:space="preserve"> (</w:t>
      </w:r>
      <w:r w:rsidRPr="00EC4487">
        <w:t>TPM-1</w:t>
      </w:r>
      <w:r w:rsidR="00724E5B">
        <w:t>)</w:t>
      </w:r>
      <w:r w:rsidRPr="00EC4487">
        <w:t>.</w:t>
      </w:r>
      <w:r w:rsidR="00EF0460" w:rsidRPr="00EC4487">
        <w:t xml:space="preserve"> </w:t>
      </w:r>
      <w:r w:rsidRPr="00EC4487">
        <w:t>The IL-12p40 was complexed with ustekinumab and was therefore inactive.</w:t>
      </w:r>
    </w:p>
    <w:p w14:paraId="649E0F61" w14:textId="77777777" w:rsidR="00815F43" w:rsidRDefault="00CE122F" w:rsidP="00C31E15">
      <w:pPr>
        <w:pStyle w:val="ListBullet"/>
      </w:pPr>
      <w:r w:rsidRPr="008B6F7F">
        <w:t>A second Phase II study, C0743T26 also examined various serum markers following an IV induction dose of either 1, 3 or 6 mg/kg ustekinumab followed by SC doses starting at Week 8 in patients with CD</w:t>
      </w:r>
      <w:r>
        <w:t>:</w:t>
      </w:r>
    </w:p>
    <w:p w14:paraId="719C9AB6" w14:textId="1EC0E4C4" w:rsidR="00CE122F" w:rsidRDefault="00815F43" w:rsidP="00C31E15">
      <w:pPr>
        <w:pStyle w:val="ListBullet2"/>
      </w:pPr>
      <w:r>
        <w:t xml:space="preserve"> </w:t>
      </w:r>
      <w:r w:rsidR="00CE122F" w:rsidRPr="008B6F7F">
        <w:t>Initial tests established that IL</w:t>
      </w:r>
      <w:r w:rsidR="00C31E15">
        <w:t>-</w:t>
      </w:r>
      <w:r w:rsidR="00CE122F" w:rsidRPr="008B6F7F">
        <w:t>17A was significantly up-regulated in patients with CD compare</w:t>
      </w:r>
      <w:r w:rsidR="00C31E15">
        <w:t>d to healthy controls (p&lt;0.0001</w:t>
      </w:r>
      <w:r w:rsidR="00CE122F" w:rsidRPr="008B6F7F">
        <w:t>).</w:t>
      </w:r>
    </w:p>
    <w:p w14:paraId="641E7925" w14:textId="77777777" w:rsidR="00815F43" w:rsidRDefault="00CE122F" w:rsidP="00C31E15">
      <w:pPr>
        <w:pStyle w:val="ListBullet2"/>
      </w:pPr>
      <w:r w:rsidRPr="008B6F7F">
        <w:lastRenderedPageBreak/>
        <w:t>Then following 22 weeks of ustekinumab treatment, IL</w:t>
      </w:r>
      <w:r w:rsidR="00C31E15">
        <w:t>-</w:t>
      </w:r>
      <w:r w:rsidRPr="008B6F7F">
        <w:t>17A was significantly down-regulated among patients who demonstrated consistent responses during both induction and maintenance, whereas, there were marginal effects on IL</w:t>
      </w:r>
      <w:r w:rsidR="00C31E15">
        <w:t>-</w:t>
      </w:r>
      <w:r w:rsidRPr="008B6F7F">
        <w:t>17F expression.</w:t>
      </w:r>
    </w:p>
    <w:p w14:paraId="2952A44C" w14:textId="07450484" w:rsidR="00CE122F" w:rsidRDefault="00CE122F" w:rsidP="00C31E15">
      <w:pPr>
        <w:pStyle w:val="ListBullet2"/>
      </w:pPr>
      <w:r w:rsidRPr="008B6F7F">
        <w:t>By contrast, no significant modula</w:t>
      </w:r>
      <w:r w:rsidR="00C31E15">
        <w:t xml:space="preserve">tion was observed among placebo </w:t>
      </w:r>
      <w:r w:rsidRPr="008B6F7F">
        <w:t>treated subjects, or ustekinumab non-responders.</w:t>
      </w:r>
    </w:p>
    <w:p w14:paraId="6275B31A" w14:textId="77777777" w:rsidR="00CE122F" w:rsidRPr="008B6F7F" w:rsidRDefault="00CE122F" w:rsidP="00C31E15">
      <w:pPr>
        <w:pStyle w:val="ListBullet2"/>
      </w:pPr>
      <w:r w:rsidRPr="008B6F7F">
        <w:t>This study also showed a correlation between levels of IL-17A for the CD subtypes defined by different levels of the inflammatory markers (CRP, fCP</w:t>
      </w:r>
      <w:r w:rsidR="00957FBB">
        <w:t xml:space="preserve"> and</w:t>
      </w:r>
      <w:r w:rsidRPr="008B6F7F">
        <w:t xml:space="preserve"> fLF) and for IL-17F levels and CD phenotypes defined by disease duration, CRP, fCP and the presence of fistula. </w:t>
      </w:r>
    </w:p>
    <w:p w14:paraId="5864CED3" w14:textId="77777777" w:rsidR="00CE122F" w:rsidRPr="00962094" w:rsidRDefault="00CE122F" w:rsidP="00C31E15">
      <w:pPr>
        <w:pStyle w:val="ListBullet"/>
      </w:pPr>
      <w:r w:rsidRPr="00962094">
        <w:t>An attempt was made to identify serum markers which were predictive of subsequent response or nonresponse to ustekinumab treatment in the Phase III studies</w:t>
      </w:r>
      <w:r>
        <w:t>. H</w:t>
      </w:r>
      <w:r w:rsidRPr="00962094">
        <w:t>owever</w:t>
      </w:r>
      <w:r>
        <w:t>,</w:t>
      </w:r>
      <w:r w:rsidRPr="00962094">
        <w:t xml:space="preserve"> none of the markers examined could be used to consistently identify or distinguish between patients who would be responders or non-responders to ustekinumab.</w:t>
      </w:r>
    </w:p>
    <w:p w14:paraId="2E5F6173" w14:textId="77777777" w:rsidR="00CE122F" w:rsidRPr="00C31E15" w:rsidRDefault="00CE122F" w:rsidP="00C31E15">
      <w:pPr>
        <w:pStyle w:val="Heading4"/>
      </w:pPr>
      <w:r w:rsidRPr="001759A5">
        <w:t>On</w:t>
      </w:r>
      <w:r>
        <w:t xml:space="preserve"> e</w:t>
      </w:r>
      <w:r w:rsidRPr="00AC3C01">
        <w:t>fficacy</w:t>
      </w:r>
    </w:p>
    <w:p w14:paraId="76FC0F2E" w14:textId="77777777" w:rsidR="00815F43" w:rsidRDefault="00CE122F" w:rsidP="00C31E15">
      <w:r>
        <w:t xml:space="preserve">There were </w:t>
      </w:r>
      <w:r w:rsidRPr="00C31E15">
        <w:t xml:space="preserve">two induction </w:t>
      </w:r>
      <w:r>
        <w:t>studies</w:t>
      </w:r>
      <w:r w:rsidRPr="001C334E">
        <w:t>:</w:t>
      </w:r>
    </w:p>
    <w:p w14:paraId="1D34DA25" w14:textId="7DCAE0F7" w:rsidR="00CE122F" w:rsidRPr="001C334E" w:rsidRDefault="00CE122F" w:rsidP="00C31E15">
      <w:pPr>
        <w:pStyle w:val="ListBullet"/>
      </w:pPr>
      <w:r w:rsidRPr="001C334E">
        <w:t>CRD3001: A Phase III, randomised, double-blind, placebo-controlled, parallel-group, multicentre study to evaluate the safety and efficacy of Ustekinumab Induction Therapy in subjects with Moderately to Severely Active Crohn’s Disease Who Have Failed or Are Intolerant to TNF Antagonist Therapy (UNITI-1)</w:t>
      </w:r>
    </w:p>
    <w:p w14:paraId="0FA1775D" w14:textId="77777777" w:rsidR="00CE122F" w:rsidRPr="001C334E" w:rsidRDefault="00CE122F" w:rsidP="00C31E15">
      <w:pPr>
        <w:pStyle w:val="ListBullet"/>
      </w:pPr>
      <w:r w:rsidRPr="001C334E">
        <w:t>CRD3002:</w:t>
      </w:r>
      <w:r w:rsidR="00EF0460">
        <w:t xml:space="preserve"> </w:t>
      </w:r>
      <w:r w:rsidRPr="001C334E">
        <w:t>A Phase III, randomised, double-blind, placebo-controlled, parallel-group, multicentre study to evaluate the safety and efficacy of Ustekinumab Induction Therapy in subjects with Moderately to Severely Active Crohn’s Disease (UNITI-2)</w:t>
      </w:r>
    </w:p>
    <w:p w14:paraId="1344BFE2" w14:textId="77777777" w:rsidR="00815F43" w:rsidRDefault="00CE122F" w:rsidP="00AF52B0">
      <w:r w:rsidRPr="001C334E">
        <w:t>Studies 3001 and</w:t>
      </w:r>
      <w:r w:rsidR="00C16F5E">
        <w:t xml:space="preserve"> CRD3002</w:t>
      </w:r>
      <w:r w:rsidRPr="001C334E">
        <w:t xml:space="preserve"> had the same design, differing only in inclusion criteria. </w:t>
      </w:r>
      <w:r>
        <w:t>In both studies, s</w:t>
      </w:r>
      <w:r w:rsidRPr="001C334E">
        <w:t>ubjects were assigned in a 1:1:1 ratio to receive a single IV dose of placebo, ustekinumab 130 mg or ustekinumab approximating 6 mg/kg at Week 0.</w:t>
      </w:r>
    </w:p>
    <w:p w14:paraId="5BA81594" w14:textId="6B255997" w:rsidR="00815F43" w:rsidRDefault="00CE122F" w:rsidP="00AF52B0">
      <w:r w:rsidRPr="001C334E">
        <w:t xml:space="preserve">Study agents were to be given over at least 1 hour with infusions completed within 5 hours of preparation. Subjects were permitted to receive oral 5-ASA compounds, the </w:t>
      </w:r>
      <w:r w:rsidR="00957FBB">
        <w:t>immune-</w:t>
      </w:r>
      <w:r w:rsidRPr="001C334E">
        <w:t>modulators AZA, 6-MP, and MTX, oral corticosteroids, and/or antibiotics or the treatment of Crohn’s disease during the study, provided that the subject was on a stable dose for a specified period before baseline.</w:t>
      </w:r>
    </w:p>
    <w:p w14:paraId="45A86F07" w14:textId="12EAEB6C" w:rsidR="00815F43" w:rsidRDefault="00CE122F" w:rsidP="00AF52B0">
      <w:pPr>
        <w:rPr>
          <w:i/>
        </w:rPr>
      </w:pPr>
      <w:r w:rsidRPr="001C334E">
        <w:t>Efficacy was primarily assessed using the CDAI.</w:t>
      </w:r>
      <w:r w:rsidR="00EF0460">
        <w:t xml:space="preserve"> </w:t>
      </w:r>
      <w:r w:rsidRPr="001C334E">
        <w:t xml:space="preserve">This is a tool to quantify CD symptoms based on 8 factors: </w:t>
      </w:r>
      <w:r w:rsidRPr="001C334E">
        <w:rPr>
          <w:i/>
        </w:rPr>
        <w:t>number of stools daily; abdominal pain; presence of complications; diarrhoea; management medication; presence of abdominal mass; haematocrit; and body weight.</w:t>
      </w:r>
      <w:r w:rsidR="00EF0460">
        <w:rPr>
          <w:i/>
        </w:rPr>
        <w:t xml:space="preserve"> </w:t>
      </w:r>
      <w:r w:rsidRPr="00C31E15">
        <w:t>Severe CD is generally defined as a CDAI &gt;450 and remission as &lt;150.</w:t>
      </w:r>
      <w:r w:rsidR="00EF0460" w:rsidRPr="00C31E15">
        <w:t xml:space="preserve"> </w:t>
      </w:r>
      <w:r w:rsidRPr="00C31E15">
        <w:t xml:space="preserve">In these studies, subjects required </w:t>
      </w:r>
      <w:r w:rsidRPr="00C31E15">
        <w:rPr>
          <w:i/>
        </w:rPr>
        <w:t>a CDAI ≥ 220 and ≤ 450 for study entry.</w:t>
      </w:r>
    </w:p>
    <w:p w14:paraId="2C78654A" w14:textId="3AF63DDA" w:rsidR="00CE122F" w:rsidRDefault="00CE122F" w:rsidP="00C31E15">
      <w:pPr>
        <w:pStyle w:val="Heading5"/>
      </w:pPr>
      <w:r w:rsidRPr="00C31E15">
        <w:t>Primary</w:t>
      </w:r>
      <w:r w:rsidRPr="002F5522">
        <w:t xml:space="preserve"> efficacy endpoint</w:t>
      </w:r>
    </w:p>
    <w:p w14:paraId="14332F09" w14:textId="77777777" w:rsidR="00815F43" w:rsidRDefault="00CE122F" w:rsidP="00C31E15">
      <w:pPr>
        <w:pStyle w:val="ListBullet"/>
      </w:pPr>
      <w:proofErr w:type="gramStart"/>
      <w:r>
        <w:t>c</w:t>
      </w:r>
      <w:r w:rsidRPr="002F5522">
        <w:t>linical</w:t>
      </w:r>
      <w:proofErr w:type="gramEnd"/>
      <w:r w:rsidRPr="002F5522">
        <w:t xml:space="preserve"> response at </w:t>
      </w:r>
      <w:r>
        <w:t>Week 6</w:t>
      </w:r>
      <w:r w:rsidRPr="002F5522">
        <w:t xml:space="preserve"> defined as a reduction from baseline in the CDAI of ≥100 points.</w:t>
      </w:r>
    </w:p>
    <w:p w14:paraId="25BB12E5" w14:textId="5D1DF50C" w:rsidR="00815F43" w:rsidRDefault="00CE122F" w:rsidP="00C31E15">
      <w:pPr>
        <w:pStyle w:val="ListBullet"/>
      </w:pPr>
      <w:r>
        <w:t>s</w:t>
      </w:r>
      <w:r w:rsidRPr="00876B7A">
        <w:t>ubjects with a baseline CDAI of ≥220 to ≤248 points were considered to be in clinical response if a CDAI &lt;150 was attained</w:t>
      </w:r>
    </w:p>
    <w:p w14:paraId="321176F6" w14:textId="5956418F" w:rsidR="00CE122F" w:rsidRPr="00876B7A" w:rsidRDefault="00CE122F" w:rsidP="00C31E15">
      <w:pPr>
        <w:pStyle w:val="ListBullet"/>
      </w:pPr>
      <w:r>
        <w:t>s</w:t>
      </w:r>
      <w:r w:rsidRPr="00876B7A">
        <w:t>ubjects who had any of the following events before the Week 6 visit were considered to not be in clinical response at Week 6, regardless of the actual CDAI score: a Crohn’s disease-related surgery (with the exception of drainage of an abscess or seton placement) that was thought to be a result of lack of efficacy of study agent</w:t>
      </w:r>
    </w:p>
    <w:p w14:paraId="630D9308" w14:textId="77777777" w:rsidR="00CE122F" w:rsidRPr="00876B7A" w:rsidRDefault="00CE122F" w:rsidP="00C31E15">
      <w:pPr>
        <w:pStyle w:val="ListBullet"/>
      </w:pPr>
      <w:r>
        <w:t>s</w:t>
      </w:r>
      <w:r w:rsidRPr="00876B7A">
        <w:t>pecified changes in concomitant Crohn’s disease medications</w:t>
      </w:r>
    </w:p>
    <w:p w14:paraId="1ACE87AE" w14:textId="77777777" w:rsidR="00CE122F" w:rsidRDefault="00CE122F" w:rsidP="00C31E15">
      <w:pPr>
        <w:pStyle w:val="ListBullet"/>
      </w:pPr>
      <w:proofErr w:type="gramStart"/>
      <w:r>
        <w:lastRenderedPageBreak/>
        <w:t>i</w:t>
      </w:r>
      <w:r w:rsidRPr="00876B7A">
        <w:t>f</w:t>
      </w:r>
      <w:proofErr w:type="gramEnd"/>
      <w:r w:rsidRPr="00876B7A">
        <w:t xml:space="preserve"> the CDAI score could not be calculated (</w:t>
      </w:r>
      <w:r w:rsidR="001657EC">
        <w:t>that is,</w:t>
      </w:r>
      <w:r w:rsidRPr="00876B7A">
        <w:t xml:space="preserve"> &lt;4 components available) at a visit, the CDAI score was considered missing. Subjects with a missing CDAI at Week 6 were considered to not have achieved clinical response at Week 6.</w:t>
      </w:r>
    </w:p>
    <w:p w14:paraId="4D36D957" w14:textId="77777777" w:rsidR="00815F43" w:rsidRDefault="00CE122F" w:rsidP="001657EC">
      <w:r w:rsidRPr="001657EC">
        <w:t>Major secondary endpoints in order of importance:</w:t>
      </w:r>
    </w:p>
    <w:p w14:paraId="39677945" w14:textId="614EAEFD" w:rsidR="00815F43" w:rsidRDefault="00CE122F" w:rsidP="001657EC">
      <w:pPr>
        <w:pStyle w:val="ListBullet"/>
      </w:pPr>
      <w:r w:rsidRPr="002F5522">
        <w:t>clinical remission</w:t>
      </w:r>
      <w:r w:rsidRPr="00704385">
        <w:t xml:space="preserve"> at </w:t>
      </w:r>
      <w:r w:rsidRPr="002F5522">
        <w:t>Week 8,</w:t>
      </w:r>
      <w:r w:rsidRPr="00704385">
        <w:t xml:space="preserve"> defined as a </w:t>
      </w:r>
      <w:r>
        <w:t>CDAI score &lt;150 points</w:t>
      </w:r>
    </w:p>
    <w:p w14:paraId="6E5B0C44" w14:textId="229C13C0" w:rsidR="00CE122F" w:rsidRDefault="00CE122F" w:rsidP="001657EC">
      <w:pPr>
        <w:pStyle w:val="ListBullet"/>
      </w:pPr>
      <w:r w:rsidRPr="00704385">
        <w:t>clinical response at Week 8</w:t>
      </w:r>
    </w:p>
    <w:p w14:paraId="35F27D2C" w14:textId="77777777" w:rsidR="00CE122F" w:rsidRDefault="00CE122F" w:rsidP="001657EC">
      <w:pPr>
        <w:pStyle w:val="ListBullet"/>
      </w:pPr>
      <w:r w:rsidRPr="00704385">
        <w:t>70-point response at Week 6, defined as a reduction from baseline in the CDAI score of ≥70 points</w:t>
      </w:r>
    </w:p>
    <w:p w14:paraId="32B8CD30" w14:textId="77777777" w:rsidR="00CE122F" w:rsidRPr="00704385" w:rsidRDefault="00CE122F" w:rsidP="001657EC">
      <w:pPr>
        <w:pStyle w:val="ListBullet"/>
      </w:pPr>
      <w:r w:rsidRPr="00704385">
        <w:t>70-point response at Week 3.</w:t>
      </w:r>
    </w:p>
    <w:p w14:paraId="76A479DC" w14:textId="77777777" w:rsidR="00CE122F" w:rsidRPr="001657EC" w:rsidRDefault="00CE122F" w:rsidP="001657EC">
      <w:r w:rsidRPr="001657EC">
        <w:t>Other outcomes assessed included:</w:t>
      </w:r>
    </w:p>
    <w:p w14:paraId="1EE3DB72" w14:textId="77777777" w:rsidR="00CE122F" w:rsidRDefault="00CE122F" w:rsidP="001657EC">
      <w:pPr>
        <w:pStyle w:val="ListBullet"/>
      </w:pPr>
      <w:r w:rsidRPr="002F5522">
        <w:t>mucosal healing (in an endoscopy substudy)</w:t>
      </w:r>
    </w:p>
    <w:p w14:paraId="0757F771" w14:textId="77777777" w:rsidR="00815F43" w:rsidRDefault="00CE122F" w:rsidP="001657EC">
      <w:pPr>
        <w:pStyle w:val="ListBullet"/>
      </w:pPr>
      <w:r w:rsidRPr="002F5522">
        <w:t>fistula closure</w:t>
      </w:r>
    </w:p>
    <w:p w14:paraId="3ED39CAC" w14:textId="13AFB947" w:rsidR="00CE122F" w:rsidRDefault="00CE122F" w:rsidP="001657EC">
      <w:pPr>
        <w:pStyle w:val="ListBullet"/>
      </w:pPr>
      <w:r w:rsidRPr="002F5522">
        <w:t>serum CRP</w:t>
      </w:r>
    </w:p>
    <w:p w14:paraId="0AA066DC" w14:textId="77777777" w:rsidR="00815F43" w:rsidRDefault="00CE122F" w:rsidP="001657EC">
      <w:pPr>
        <w:pStyle w:val="ListBullet"/>
      </w:pPr>
      <w:r w:rsidRPr="002F5522">
        <w:t>faecal lactoferrin and faecal calprotectin markers</w:t>
      </w:r>
    </w:p>
    <w:p w14:paraId="0B280ED8" w14:textId="57638D8B" w:rsidR="00815F43" w:rsidRDefault="00CE122F" w:rsidP="001657EC">
      <w:pPr>
        <w:pStyle w:val="ListBullet"/>
      </w:pPr>
      <w:r w:rsidRPr="002F5522">
        <w:t>the Inflammatory Bowel Disease Questionnaire (IBDQ)</w:t>
      </w:r>
    </w:p>
    <w:p w14:paraId="404FDD35" w14:textId="2139E28B" w:rsidR="00815F43" w:rsidRDefault="00CE122F" w:rsidP="001657EC">
      <w:pPr>
        <w:pStyle w:val="ListBullet"/>
      </w:pPr>
      <w:proofErr w:type="gramStart"/>
      <w:r w:rsidRPr="002F5522">
        <w:t>the</w:t>
      </w:r>
      <w:proofErr w:type="gramEnd"/>
      <w:r w:rsidRPr="002F5522">
        <w:t xml:space="preserve"> 36-Item Short-Form Health Survey (SF-36); and Health economics analyses.</w:t>
      </w:r>
    </w:p>
    <w:p w14:paraId="63A44ED3" w14:textId="58AE7F8B" w:rsidR="00CE122F" w:rsidRDefault="00CE122F" w:rsidP="001657EC">
      <w:r w:rsidRPr="00C32440">
        <w:t>The primary endpoint (proportion of subjects in clinical response at Week 6)</w:t>
      </w:r>
      <w:r>
        <w:t xml:space="preserve"> analysis</w:t>
      </w:r>
      <w:r w:rsidR="00EF0460">
        <w:t xml:space="preserve"> </w:t>
      </w:r>
      <w:r w:rsidRPr="00C32440">
        <w:t xml:space="preserve">was </w:t>
      </w:r>
      <w:r>
        <w:t>based</w:t>
      </w:r>
      <w:r w:rsidR="00EF0460">
        <w:t xml:space="preserve"> </w:t>
      </w:r>
      <w:r>
        <w:t xml:space="preserve">on </w:t>
      </w:r>
      <w:r w:rsidRPr="00C32440">
        <w:t>compar</w:t>
      </w:r>
      <w:r>
        <w:t>ison</w:t>
      </w:r>
      <w:r w:rsidR="00EF0460">
        <w:t xml:space="preserve"> </w:t>
      </w:r>
      <w:r w:rsidRPr="00C32440">
        <w:t>between each of the ustekinumab treatment groups and the placebo group</w:t>
      </w:r>
      <w:r>
        <w:t>,</w:t>
      </w:r>
      <w:r w:rsidRPr="00C32440">
        <w:t xml:space="preserve"> using a 2-sided Cochran-Mantel-Haenszel chi-square test, stratified by study region (Asia, Eastern Europe, or rest of world), CDAI score (≤300 or &gt;300), and initial response to TNF antagonist therapy (yes or no), at a significance level of 0.05. A fixed-sequence testing procedure was used to control the overall Type 1 error rate at the 0.05 level of significance. </w:t>
      </w:r>
      <w:r>
        <w:t xml:space="preserve">Each </w:t>
      </w:r>
      <w:r w:rsidRPr="00F43183">
        <w:t>study was considered positive if the ustekinumab high-dose group was significantly different from the placebo group for the primary endpoint.</w:t>
      </w:r>
    </w:p>
    <w:p w14:paraId="3170D77C" w14:textId="77777777" w:rsidR="00CE122F" w:rsidRDefault="00CE122F" w:rsidP="001657EC">
      <w:r w:rsidRPr="0045370A">
        <w:t>The robustness of the primary endpoint analysis was examined by sensitivity analyses of the primary endpoint using the observed case; last observation carried forward, multiple imputations and the worst case missing data methods.</w:t>
      </w:r>
      <w:r>
        <w:t xml:space="preserve"> </w:t>
      </w:r>
      <w:r w:rsidRPr="0045370A">
        <w:t xml:space="preserve">The consistency of the efficacy of the primary endpoint was evaluated in subgroups based on demographic, baseline disease characteristics, Crohn’s disease medication history, </w:t>
      </w:r>
      <w:proofErr w:type="gramStart"/>
      <w:r w:rsidRPr="0045370A">
        <w:t>concomitant</w:t>
      </w:r>
      <w:proofErr w:type="gramEnd"/>
      <w:r w:rsidRPr="0045370A">
        <w:t xml:space="preserve"> Crohn’s disease medication use at baseline, centre location and initial response to TNF antagonist therapy.</w:t>
      </w:r>
    </w:p>
    <w:p w14:paraId="39452550" w14:textId="77777777" w:rsidR="00815F43" w:rsidRDefault="00CE122F" w:rsidP="001657EC">
      <w:r>
        <w:t>T</w:t>
      </w:r>
      <w:r w:rsidRPr="00AF25C1">
        <w:t>he m</w:t>
      </w:r>
      <w:r>
        <w:t>ajor</w:t>
      </w:r>
      <w:r w:rsidRPr="00AF25C1">
        <w:t xml:space="preserve"> inclusion criteria were: </w:t>
      </w:r>
      <w:r>
        <w:t>age</w:t>
      </w:r>
      <w:r w:rsidRPr="00AF25C1">
        <w:t xml:space="preserve"> ≥ 18 years</w:t>
      </w:r>
      <w:r>
        <w:t xml:space="preserve">, </w:t>
      </w:r>
      <w:r w:rsidRPr="00AF25C1">
        <w:t>moderately to severely active Crohn’s disease or fistulising Crohn’s disease of at least 3 months’ duration, with colitis, ileitis or ileocolitis, confirmed by radiography, histology, and/or endoscopy</w:t>
      </w:r>
      <w:r>
        <w:t xml:space="preserve"> (Crohn’s Disease Activity Index [</w:t>
      </w:r>
      <w:r w:rsidRPr="00AF25C1">
        <w:t>CDAI</w:t>
      </w:r>
      <w:r>
        <w:t>]</w:t>
      </w:r>
      <w:r w:rsidRPr="00AF25C1">
        <w:t xml:space="preserve"> score ≥220 but ≤450</w:t>
      </w:r>
      <w:r>
        <w:t>).</w:t>
      </w:r>
    </w:p>
    <w:p w14:paraId="0C37EF2B" w14:textId="395FECAF" w:rsidR="00815F43" w:rsidRDefault="00CE122F" w:rsidP="001657EC">
      <w:r w:rsidRPr="00065413">
        <w:t xml:space="preserve">The </w:t>
      </w:r>
      <w:r>
        <w:t>major</w:t>
      </w:r>
      <w:r w:rsidRPr="00065413">
        <w:t xml:space="preserve"> exclusion criteria were: complications of </w:t>
      </w:r>
      <w:r>
        <w:t>CD</w:t>
      </w:r>
      <w:r w:rsidRPr="00065413">
        <w:t xml:space="preserve"> that might require surgery or preclude the use of the CDAI to assess response; abscess; bowel resection or diversion or any other intra-abdominal surgery within specified time periods before screening; draining (</w:t>
      </w:r>
      <w:r w:rsidR="001657EC">
        <w:t>that is,</w:t>
      </w:r>
      <w:r w:rsidRPr="00065413">
        <w:t xml:space="preserve"> functioning) stoma or ostomy; stool culture or other examination that was positive for an enteric pathogen within a specified time period</w:t>
      </w:r>
      <w:r>
        <w:t xml:space="preserve">; treatment </w:t>
      </w:r>
      <w:r w:rsidRPr="00065413">
        <w:t>with a</w:t>
      </w:r>
      <w:r>
        <w:t xml:space="preserve">n </w:t>
      </w:r>
      <w:r w:rsidRPr="00065413">
        <w:t>IL-12 or IL-23</w:t>
      </w:r>
      <w:r>
        <w:t xml:space="preserve"> antagonist; n</w:t>
      </w:r>
      <w:r w:rsidRPr="00065413">
        <w:t>on-autologous stem cell therapy</w:t>
      </w:r>
      <w:r>
        <w:t>;</w:t>
      </w:r>
      <w:r w:rsidRPr="00065413">
        <w:t xml:space="preserve"> IV corticosteroid</w:t>
      </w:r>
      <w:r>
        <w:t>;</w:t>
      </w:r>
      <w:r w:rsidRPr="00065413">
        <w:t xml:space="preserve"> immunomodulatory agents (other than azathioprine [AZA], 6-mercaptopurine [6-MP], or methotrexate [MTX]), biologic agents, investigational drugs, and treatment with apheresis or total parenteral nutrition (TPN) were prohibited within specific time periods before screening.</w:t>
      </w:r>
    </w:p>
    <w:p w14:paraId="2E056712" w14:textId="3007D2B6" w:rsidR="00815F43" w:rsidRDefault="00CE122F" w:rsidP="00CE122F">
      <w:pPr>
        <w:spacing w:before="0" w:after="0" w:line="240" w:lineRule="auto"/>
        <w:rPr>
          <w:rFonts w:asciiTheme="minorHAnsi" w:hAnsiTheme="minorHAnsi"/>
        </w:rPr>
      </w:pPr>
      <w:r>
        <w:rPr>
          <w:rFonts w:asciiTheme="minorHAnsi" w:hAnsiTheme="minorHAnsi"/>
        </w:rPr>
        <w:t xml:space="preserve">Recent live vaccinations, serious infection, </w:t>
      </w:r>
      <w:r w:rsidRPr="00065413">
        <w:rPr>
          <w:rFonts w:asciiTheme="minorHAnsi" w:hAnsiTheme="minorHAnsi"/>
        </w:rPr>
        <w:t xml:space="preserve">herpes zoster infection; nontuberculous mycobacterial infection, serious opportunistic infection, recurrent infections, or infection </w:t>
      </w:r>
      <w:r w:rsidRPr="00065413">
        <w:rPr>
          <w:rFonts w:asciiTheme="minorHAnsi" w:hAnsiTheme="minorHAnsi"/>
        </w:rPr>
        <w:lastRenderedPageBreak/>
        <w:t>with HIV, hepatitis B, or hepatitis C or malignancy; receipt of allergy immunotherapy for prevention of anaphylactic reactions; diagnosis or history of lymphoproliferative disease; or the presence of severe, progressive, or uncontrolled renal, hepatic, hematologic, endocrine, pulmonary, cardiac, neurologic, cerebral, or psychiatric disease</w:t>
      </w:r>
      <w:r>
        <w:rPr>
          <w:rFonts w:asciiTheme="minorHAnsi" w:hAnsiTheme="minorHAnsi"/>
        </w:rPr>
        <w:t xml:space="preserve"> and any history of tuberculosis were also exclusion criteria.</w:t>
      </w:r>
    </w:p>
    <w:p w14:paraId="1EF8E9B1" w14:textId="372B617D" w:rsidR="00815F43" w:rsidRDefault="00CE122F" w:rsidP="00B53476">
      <w:r>
        <w:t>The studies differed in their inclusion of subjects with a history of exposure to TNF antagonists.</w:t>
      </w:r>
    </w:p>
    <w:p w14:paraId="1397A45F" w14:textId="1647DC4B" w:rsidR="00815F43" w:rsidRDefault="00CE122F" w:rsidP="00B53476">
      <w:r w:rsidRPr="00C32440">
        <w:t>In Study 3001 subjects had received infliximab, adalimumab, or certolizumab pegol at a dose approved for the treatment of Crohn’s disease and either did not respond initially, responded initially but then lost response, or were intolerant to the medication.</w:t>
      </w:r>
      <w:r w:rsidR="00EF0460">
        <w:t xml:space="preserve"> </w:t>
      </w:r>
      <w:r w:rsidRPr="00C32440">
        <w:t>In Study</w:t>
      </w:r>
      <w:r w:rsidR="00C16F5E">
        <w:t xml:space="preserve"> CRD3002</w:t>
      </w:r>
      <w:r w:rsidRPr="00C32440">
        <w:t xml:space="preserve"> subjects had failed conventional therapy (</w:t>
      </w:r>
      <w:r w:rsidR="00957FBB">
        <w:t>immune-</w:t>
      </w:r>
      <w:r w:rsidRPr="00C32440">
        <w:t>modulators and/or corticosteroids; including subjects who were corticosteroid dependent). Subjects in Study</w:t>
      </w:r>
      <w:r w:rsidR="00C16F5E">
        <w:t xml:space="preserve"> CRD3002</w:t>
      </w:r>
      <w:r w:rsidRPr="00C32440">
        <w:t xml:space="preserve"> could have</w:t>
      </w:r>
      <w:r w:rsidR="00EF0460">
        <w:t xml:space="preserve"> </w:t>
      </w:r>
      <w:r w:rsidRPr="00C32440">
        <w:t xml:space="preserve">previously </w:t>
      </w:r>
      <w:r>
        <w:t>received</w:t>
      </w:r>
      <w:r w:rsidRPr="00C32440">
        <w:t xml:space="preserve"> TNF</w:t>
      </w:r>
      <w:r>
        <w:t xml:space="preserve"> </w:t>
      </w:r>
      <w:r w:rsidRPr="00C32440">
        <w:t>antagonist therapy but could not have met the failure criteria specified for Study 3001</w:t>
      </w:r>
      <w:r>
        <w:t>.</w:t>
      </w:r>
    </w:p>
    <w:p w14:paraId="08CDA517" w14:textId="5DDAE197" w:rsidR="00CE122F" w:rsidRDefault="00CE122F" w:rsidP="00CE122F">
      <w:pPr>
        <w:spacing w:before="0" w:after="0" w:line="240" w:lineRule="auto"/>
        <w:rPr>
          <w:rFonts w:asciiTheme="minorHAnsi" w:hAnsiTheme="minorHAnsi"/>
        </w:rPr>
      </w:pPr>
      <w:r>
        <w:rPr>
          <w:rFonts w:asciiTheme="minorHAnsi" w:hAnsiTheme="minorHAnsi"/>
        </w:rPr>
        <w:t>In Study 3001, there were</w:t>
      </w:r>
      <w:r w:rsidRPr="00993BE0">
        <w:rPr>
          <w:rFonts w:asciiTheme="minorHAnsi" w:hAnsiTheme="minorHAnsi"/>
        </w:rPr>
        <w:t xml:space="preserve"> 769 subjects </w:t>
      </w:r>
      <w:r>
        <w:rPr>
          <w:rFonts w:asciiTheme="minorHAnsi" w:hAnsiTheme="minorHAnsi"/>
        </w:rPr>
        <w:t>randomised</w:t>
      </w:r>
      <w:r w:rsidRPr="00993BE0">
        <w:rPr>
          <w:rFonts w:asciiTheme="minorHAnsi" w:hAnsiTheme="minorHAnsi"/>
        </w:rPr>
        <w:t xml:space="preserve"> but the efficacy analysis only included the 741 subjects who were randomised after the study was restarted</w:t>
      </w:r>
      <w:r>
        <w:rPr>
          <w:rFonts w:asciiTheme="minorHAnsi" w:hAnsiTheme="minorHAnsi"/>
        </w:rPr>
        <w:t>.</w:t>
      </w:r>
      <w:r w:rsidR="00EF0460">
        <w:rPr>
          <w:rFonts w:asciiTheme="minorHAnsi" w:hAnsiTheme="minorHAnsi"/>
        </w:rPr>
        <w:t xml:space="preserve"> </w:t>
      </w:r>
      <w:r>
        <w:rPr>
          <w:rFonts w:asciiTheme="minorHAnsi" w:hAnsiTheme="minorHAnsi"/>
        </w:rPr>
        <w:t>The restart was due to a stability issue with an early formulation of</w:t>
      </w:r>
      <w:r w:rsidRPr="00993BE0">
        <w:t xml:space="preserve"> </w:t>
      </w:r>
      <w:r>
        <w:t xml:space="preserve">the </w:t>
      </w:r>
      <w:r w:rsidRPr="00993BE0">
        <w:rPr>
          <w:rFonts w:asciiTheme="minorHAnsi" w:hAnsiTheme="minorHAnsi"/>
        </w:rPr>
        <w:t xml:space="preserve">130 mg ustekinumab in 26 mL [5 mg/mL]) developed to facilitate IV administration. </w:t>
      </w:r>
      <w:r>
        <w:rPr>
          <w:rFonts w:asciiTheme="minorHAnsi" w:hAnsiTheme="minorHAnsi"/>
        </w:rPr>
        <w:t>Subjects assessed for efficacy received the commercially available 90 mg/mL liquid in vial formulation (with 45 or 90 mg/vial).</w:t>
      </w:r>
    </w:p>
    <w:p w14:paraId="54430E83" w14:textId="77777777" w:rsidR="00CE122F" w:rsidRDefault="00CE122F" w:rsidP="00CE122F">
      <w:pPr>
        <w:spacing w:before="0" w:after="0" w:line="240" w:lineRule="auto"/>
        <w:rPr>
          <w:rFonts w:asciiTheme="minorHAnsi" w:hAnsiTheme="minorHAnsi"/>
        </w:rPr>
      </w:pPr>
      <w:r>
        <w:rPr>
          <w:rFonts w:asciiTheme="minorHAnsi" w:hAnsiTheme="minorHAnsi"/>
        </w:rPr>
        <w:t>Most subjects</w:t>
      </w:r>
      <w:r w:rsidRPr="00993BE0">
        <w:rPr>
          <w:rFonts w:asciiTheme="minorHAnsi" w:hAnsiTheme="minorHAnsi"/>
        </w:rPr>
        <w:t xml:space="preserve"> were women (57%)</w:t>
      </w:r>
      <w:r>
        <w:rPr>
          <w:rFonts w:asciiTheme="minorHAnsi" w:hAnsiTheme="minorHAnsi"/>
        </w:rPr>
        <w:t xml:space="preserve"> and</w:t>
      </w:r>
      <w:r w:rsidRPr="00993BE0">
        <w:rPr>
          <w:rFonts w:asciiTheme="minorHAnsi" w:hAnsiTheme="minorHAnsi"/>
        </w:rPr>
        <w:t xml:space="preserve"> </w:t>
      </w:r>
      <w:r w:rsidR="001657EC">
        <w:rPr>
          <w:rFonts w:asciiTheme="minorHAnsi" w:hAnsiTheme="minorHAnsi"/>
        </w:rPr>
        <w:t>Caucasian</w:t>
      </w:r>
      <w:r w:rsidRPr="00993BE0">
        <w:rPr>
          <w:rFonts w:asciiTheme="minorHAnsi" w:hAnsiTheme="minorHAnsi"/>
        </w:rPr>
        <w:t xml:space="preserve"> (84.1%)</w:t>
      </w:r>
      <w:r>
        <w:rPr>
          <w:rFonts w:asciiTheme="minorHAnsi" w:hAnsiTheme="minorHAnsi"/>
        </w:rPr>
        <w:t>.</w:t>
      </w:r>
      <w:r w:rsidR="00EF0460">
        <w:rPr>
          <w:rFonts w:asciiTheme="minorHAnsi" w:hAnsiTheme="minorHAnsi"/>
        </w:rPr>
        <w:t xml:space="preserve"> </w:t>
      </w:r>
      <w:r>
        <w:rPr>
          <w:rFonts w:asciiTheme="minorHAnsi" w:hAnsiTheme="minorHAnsi"/>
        </w:rPr>
        <w:t>Median a</w:t>
      </w:r>
      <w:r w:rsidRPr="00993BE0">
        <w:rPr>
          <w:rFonts w:asciiTheme="minorHAnsi" w:hAnsiTheme="minorHAnsi"/>
        </w:rPr>
        <w:t xml:space="preserve">ge </w:t>
      </w:r>
      <w:r>
        <w:rPr>
          <w:rFonts w:asciiTheme="minorHAnsi" w:hAnsiTheme="minorHAnsi"/>
        </w:rPr>
        <w:t>was</w:t>
      </w:r>
      <w:r w:rsidRPr="00993BE0">
        <w:rPr>
          <w:rFonts w:asciiTheme="minorHAnsi" w:hAnsiTheme="minorHAnsi"/>
        </w:rPr>
        <w:t xml:space="preserve"> 36 years</w:t>
      </w:r>
      <w:r>
        <w:rPr>
          <w:rFonts w:asciiTheme="minorHAnsi" w:hAnsiTheme="minorHAnsi"/>
        </w:rPr>
        <w:t xml:space="preserve"> and median weight was 67 kg.</w:t>
      </w:r>
      <w:r w:rsidR="00EF0460">
        <w:rPr>
          <w:rFonts w:asciiTheme="minorHAnsi" w:hAnsiTheme="minorHAnsi"/>
        </w:rPr>
        <w:t xml:space="preserve"> </w:t>
      </w:r>
      <w:r w:rsidRPr="00993BE0">
        <w:rPr>
          <w:rFonts w:asciiTheme="minorHAnsi" w:hAnsiTheme="minorHAnsi"/>
        </w:rPr>
        <w:t>The median duration of disease at baseline was 10.14 years</w:t>
      </w:r>
      <w:r>
        <w:rPr>
          <w:rFonts w:asciiTheme="minorHAnsi" w:hAnsiTheme="minorHAnsi"/>
        </w:rPr>
        <w:t xml:space="preserve"> and</w:t>
      </w:r>
      <w:r w:rsidRPr="00993BE0">
        <w:rPr>
          <w:rFonts w:asciiTheme="minorHAnsi" w:hAnsiTheme="minorHAnsi"/>
        </w:rPr>
        <w:t xml:space="preserve"> median CDAI score was 317</w:t>
      </w:r>
      <w:r>
        <w:rPr>
          <w:rFonts w:asciiTheme="minorHAnsi" w:hAnsiTheme="minorHAnsi"/>
        </w:rPr>
        <w:t xml:space="preserve"> (consistent with moderate severity of CD). C</w:t>
      </w:r>
      <w:r w:rsidRPr="00B706B0">
        <w:rPr>
          <w:rFonts w:asciiTheme="minorHAnsi" w:hAnsiTheme="minorHAnsi"/>
        </w:rPr>
        <w:t>linically apparent fistula was present at baseline in 19.3% of subjects</w:t>
      </w:r>
      <w:r>
        <w:rPr>
          <w:rFonts w:asciiTheme="minorHAnsi" w:hAnsiTheme="minorHAnsi"/>
        </w:rPr>
        <w:t xml:space="preserve"> and 47.5% had a history of current or prior fistulising disease</w:t>
      </w:r>
      <w:r w:rsidRPr="00B706B0">
        <w:rPr>
          <w:rFonts w:asciiTheme="minorHAnsi" w:hAnsiTheme="minorHAnsi"/>
        </w:rPr>
        <w:t>.</w:t>
      </w:r>
      <w:r>
        <w:rPr>
          <w:rFonts w:asciiTheme="minorHAnsi" w:hAnsiTheme="minorHAnsi"/>
        </w:rPr>
        <w:t xml:space="preserve"> </w:t>
      </w:r>
      <w:r w:rsidRPr="00B706B0">
        <w:rPr>
          <w:rFonts w:asciiTheme="minorHAnsi" w:hAnsiTheme="minorHAnsi"/>
        </w:rPr>
        <w:t>72.5% of subjects were receiving 1 or more concomitant medications for Crohn’s disease</w:t>
      </w:r>
      <w:r>
        <w:rPr>
          <w:rFonts w:asciiTheme="minorHAnsi" w:hAnsiTheme="minorHAnsi"/>
        </w:rPr>
        <w:t xml:space="preserve">, with 340 (45.9%) were receiving corticosteroids and 233 (31.4%) were receiving </w:t>
      </w:r>
      <w:r w:rsidR="001657EC">
        <w:rPr>
          <w:rFonts w:asciiTheme="minorHAnsi" w:hAnsiTheme="minorHAnsi"/>
        </w:rPr>
        <w:t>immune-</w:t>
      </w:r>
      <w:r>
        <w:rPr>
          <w:rFonts w:asciiTheme="minorHAnsi" w:hAnsiTheme="minorHAnsi"/>
        </w:rPr>
        <w:t>modulators (AZA, 6-MP or MTX). All s</w:t>
      </w:r>
      <w:r w:rsidRPr="00B706B0">
        <w:rPr>
          <w:rFonts w:asciiTheme="minorHAnsi" w:hAnsiTheme="minorHAnsi"/>
        </w:rPr>
        <w:t>ubjects had failed at least 1 TNF antagonist</w:t>
      </w:r>
      <w:r>
        <w:rPr>
          <w:rFonts w:asciiTheme="minorHAnsi" w:hAnsiTheme="minorHAnsi"/>
        </w:rPr>
        <w:t>,</w:t>
      </w:r>
      <w:r w:rsidRPr="00B706B0">
        <w:rPr>
          <w:rFonts w:asciiTheme="minorHAnsi" w:hAnsiTheme="minorHAnsi"/>
        </w:rPr>
        <w:t xml:space="preserve"> 29.1% </w:t>
      </w:r>
      <w:r>
        <w:rPr>
          <w:rFonts w:asciiTheme="minorHAnsi" w:hAnsiTheme="minorHAnsi"/>
        </w:rPr>
        <w:t xml:space="preserve">due to </w:t>
      </w:r>
      <w:r w:rsidRPr="00B706B0">
        <w:rPr>
          <w:rFonts w:asciiTheme="minorHAnsi" w:hAnsiTheme="minorHAnsi"/>
        </w:rPr>
        <w:t>an inadequate initial response, 69.4% had response followed by loss of response</w:t>
      </w:r>
      <w:r>
        <w:rPr>
          <w:rFonts w:asciiTheme="minorHAnsi" w:hAnsiTheme="minorHAnsi"/>
        </w:rPr>
        <w:t>.</w:t>
      </w:r>
      <w:r w:rsidR="00EF0460">
        <w:rPr>
          <w:rFonts w:asciiTheme="minorHAnsi" w:hAnsiTheme="minorHAnsi"/>
        </w:rPr>
        <w:t xml:space="preserve"> </w:t>
      </w:r>
      <w:r>
        <w:rPr>
          <w:rFonts w:asciiTheme="minorHAnsi" w:hAnsiTheme="minorHAnsi"/>
        </w:rPr>
        <w:t xml:space="preserve">40.8% of subjects </w:t>
      </w:r>
      <w:r w:rsidRPr="00B706B0">
        <w:rPr>
          <w:rFonts w:asciiTheme="minorHAnsi" w:hAnsiTheme="minorHAnsi"/>
        </w:rPr>
        <w:t>had failed 2 TNF antagonists</w:t>
      </w:r>
      <w:r>
        <w:rPr>
          <w:rFonts w:asciiTheme="minorHAnsi" w:hAnsiTheme="minorHAnsi"/>
        </w:rPr>
        <w:t xml:space="preserve"> and </w:t>
      </w:r>
      <w:r w:rsidRPr="00B706B0">
        <w:rPr>
          <w:rFonts w:asciiTheme="minorHAnsi" w:hAnsiTheme="minorHAnsi"/>
        </w:rPr>
        <w:t>10.4%</w:t>
      </w:r>
      <w:r>
        <w:rPr>
          <w:rFonts w:asciiTheme="minorHAnsi" w:hAnsiTheme="minorHAnsi"/>
        </w:rPr>
        <w:t xml:space="preserve"> had failed 3.</w:t>
      </w:r>
    </w:p>
    <w:p w14:paraId="2B90A968" w14:textId="77777777" w:rsidR="00CE122F" w:rsidRPr="006509BA" w:rsidRDefault="001657EC" w:rsidP="001657EC">
      <w:pPr>
        <w:pStyle w:val="TableTitle"/>
      </w:pPr>
      <w:r>
        <w:t xml:space="preserve">Table 6: </w:t>
      </w:r>
      <w:r w:rsidR="00CE122F">
        <w:t>Primary (</w:t>
      </w:r>
      <w:r w:rsidR="00CE122F" w:rsidRPr="005C570D">
        <w:t>Key</w:t>
      </w:r>
      <w:r w:rsidR="00CE122F">
        <w:t>)</w:t>
      </w:r>
      <w:r w:rsidR="00CE122F" w:rsidRPr="005C570D">
        <w:t xml:space="preserve"> endpoints </w:t>
      </w:r>
      <w:r w:rsidR="00CE122F" w:rsidRPr="006509BA">
        <w:t>for clinical outcomes (3001</w:t>
      </w:r>
      <w:r>
        <w:t>)</w:t>
      </w:r>
    </w:p>
    <w:tbl>
      <w:tblPr>
        <w:tblStyle w:val="TableTGAblue"/>
        <w:tblW w:w="0" w:type="auto"/>
        <w:tblLook w:val="04A0" w:firstRow="1" w:lastRow="0" w:firstColumn="1" w:lastColumn="0" w:noHBand="0" w:noVBand="1"/>
        <w:tblDescription w:val="Table 6 is a list of primary (Key) endpoints for clinical outcomes (3001)"/>
      </w:tblPr>
      <w:tblGrid>
        <w:gridCol w:w="3369"/>
        <w:gridCol w:w="1842"/>
        <w:gridCol w:w="1985"/>
        <w:gridCol w:w="1524"/>
      </w:tblGrid>
      <w:tr w:rsidR="00CE122F" w14:paraId="239701E7" w14:textId="77777777" w:rsidTr="001657EC">
        <w:trPr>
          <w:cnfStyle w:val="100000000000" w:firstRow="1" w:lastRow="0" w:firstColumn="0" w:lastColumn="0" w:oddVBand="0" w:evenVBand="0" w:oddHBand="0" w:evenHBand="0" w:firstRowFirstColumn="0" w:firstRowLastColumn="0" w:lastRowFirstColumn="0" w:lastRowLastColumn="0"/>
        </w:trPr>
        <w:tc>
          <w:tcPr>
            <w:tcW w:w="3369" w:type="dxa"/>
          </w:tcPr>
          <w:p w14:paraId="67BFD13F" w14:textId="77777777" w:rsidR="00CE122F" w:rsidRPr="00CD5B82" w:rsidRDefault="00CE122F" w:rsidP="00CD5B82">
            <w:pPr>
              <w:pStyle w:val="TableTitle"/>
              <w:rPr>
                <w:b/>
              </w:rPr>
            </w:pPr>
          </w:p>
        </w:tc>
        <w:tc>
          <w:tcPr>
            <w:tcW w:w="1842" w:type="dxa"/>
          </w:tcPr>
          <w:p w14:paraId="44CB4F41" w14:textId="77777777" w:rsidR="00CE122F" w:rsidRPr="00CD5B82" w:rsidRDefault="00CE122F" w:rsidP="00CD5B82">
            <w:pPr>
              <w:pStyle w:val="TableTitle"/>
              <w:rPr>
                <w:b/>
              </w:rPr>
            </w:pPr>
            <w:r w:rsidRPr="00CD5B82">
              <w:rPr>
                <w:b/>
              </w:rPr>
              <w:t>Placebo</w:t>
            </w:r>
          </w:p>
        </w:tc>
        <w:tc>
          <w:tcPr>
            <w:tcW w:w="3509" w:type="dxa"/>
            <w:gridSpan w:val="2"/>
          </w:tcPr>
          <w:p w14:paraId="022C2561" w14:textId="77777777" w:rsidR="001F271F" w:rsidRDefault="00CE122F" w:rsidP="001F271F">
            <w:pPr>
              <w:pStyle w:val="TableTitle"/>
              <w:rPr>
                <w:b/>
              </w:rPr>
            </w:pPr>
            <w:r w:rsidRPr="00CD5B82">
              <w:rPr>
                <w:b/>
              </w:rPr>
              <w:t>Ustekinumab</w:t>
            </w:r>
          </w:p>
          <w:p w14:paraId="59AB8194" w14:textId="72A2A279" w:rsidR="00CE122F" w:rsidRPr="00CD5B82" w:rsidRDefault="00CE122F" w:rsidP="001F271F">
            <w:pPr>
              <w:pStyle w:val="TableTitle"/>
              <w:rPr>
                <w:b/>
              </w:rPr>
            </w:pPr>
            <w:r w:rsidRPr="00CD5B82">
              <w:rPr>
                <w:b/>
              </w:rPr>
              <w:t>130 mg</w:t>
            </w:r>
            <w:r w:rsidR="00B53476" w:rsidRPr="00CD5B82">
              <w:rPr>
                <w:b/>
              </w:rPr>
              <w:t xml:space="preserve"> </w:t>
            </w:r>
            <w:r w:rsidRPr="00CD5B82">
              <w:rPr>
                <w:b/>
              </w:rPr>
              <w:t>6 mg/kg</w:t>
            </w:r>
          </w:p>
        </w:tc>
      </w:tr>
      <w:tr w:rsidR="00CE122F" w14:paraId="70799CEB" w14:textId="77777777" w:rsidTr="001657EC">
        <w:tc>
          <w:tcPr>
            <w:tcW w:w="3369" w:type="dxa"/>
          </w:tcPr>
          <w:p w14:paraId="7330CD69" w14:textId="77777777" w:rsidR="00CE122F" w:rsidRPr="001657EC" w:rsidRDefault="00CE122F" w:rsidP="00CD5B82">
            <w:pPr>
              <w:pStyle w:val="Tabletext"/>
            </w:pPr>
            <w:r w:rsidRPr="001657EC">
              <w:t>Number randomised</w:t>
            </w:r>
          </w:p>
        </w:tc>
        <w:tc>
          <w:tcPr>
            <w:tcW w:w="1842" w:type="dxa"/>
          </w:tcPr>
          <w:p w14:paraId="324534D3" w14:textId="77777777" w:rsidR="00CE122F" w:rsidRPr="001657EC" w:rsidRDefault="00CE122F" w:rsidP="00CD5B82">
            <w:pPr>
              <w:pStyle w:val="Tabletext"/>
            </w:pPr>
            <w:r w:rsidRPr="001657EC">
              <w:t>247</w:t>
            </w:r>
          </w:p>
        </w:tc>
        <w:tc>
          <w:tcPr>
            <w:tcW w:w="1985" w:type="dxa"/>
          </w:tcPr>
          <w:p w14:paraId="240849E9" w14:textId="77777777" w:rsidR="00CE122F" w:rsidRPr="001657EC" w:rsidRDefault="00CE122F" w:rsidP="00CD5B82">
            <w:pPr>
              <w:pStyle w:val="Tabletext"/>
            </w:pPr>
            <w:r w:rsidRPr="001657EC">
              <w:t>245</w:t>
            </w:r>
          </w:p>
        </w:tc>
        <w:tc>
          <w:tcPr>
            <w:tcW w:w="1524" w:type="dxa"/>
          </w:tcPr>
          <w:p w14:paraId="6D083F84" w14:textId="77777777" w:rsidR="00CE122F" w:rsidRPr="001657EC" w:rsidRDefault="00CE122F" w:rsidP="00CD5B82">
            <w:pPr>
              <w:pStyle w:val="Tabletext"/>
            </w:pPr>
            <w:r w:rsidRPr="001657EC">
              <w:t>249</w:t>
            </w:r>
          </w:p>
        </w:tc>
      </w:tr>
      <w:tr w:rsidR="00CE122F" w14:paraId="442DBC15" w14:textId="77777777" w:rsidTr="001657EC">
        <w:tc>
          <w:tcPr>
            <w:tcW w:w="3369" w:type="dxa"/>
          </w:tcPr>
          <w:p w14:paraId="0485C7DB" w14:textId="77777777" w:rsidR="00CE122F" w:rsidRPr="001657EC" w:rsidRDefault="00CE122F" w:rsidP="00CD5B82">
            <w:pPr>
              <w:pStyle w:val="Tabletext"/>
            </w:pPr>
            <w:r w:rsidRPr="001657EC">
              <w:t>Primary endpoint</w:t>
            </w:r>
          </w:p>
          <w:p w14:paraId="1B50C001" w14:textId="77777777" w:rsidR="00CE122F" w:rsidRPr="001657EC" w:rsidRDefault="00CE122F" w:rsidP="00CD5B82">
            <w:pPr>
              <w:pStyle w:val="Tabletext"/>
            </w:pPr>
            <w:r w:rsidRPr="001657EC">
              <w:t>Clinical response Week 6</w:t>
            </w:r>
          </w:p>
        </w:tc>
        <w:tc>
          <w:tcPr>
            <w:tcW w:w="1842" w:type="dxa"/>
          </w:tcPr>
          <w:p w14:paraId="03E2969F" w14:textId="77777777" w:rsidR="00CE122F" w:rsidRPr="001657EC" w:rsidRDefault="00CE122F" w:rsidP="00CD5B82">
            <w:pPr>
              <w:pStyle w:val="Tabletext"/>
            </w:pPr>
            <w:r w:rsidRPr="001657EC">
              <w:t>21.5%</w:t>
            </w:r>
          </w:p>
        </w:tc>
        <w:tc>
          <w:tcPr>
            <w:tcW w:w="1985" w:type="dxa"/>
          </w:tcPr>
          <w:p w14:paraId="26B90457" w14:textId="77777777" w:rsidR="00CE122F" w:rsidRPr="001657EC" w:rsidRDefault="00CE122F" w:rsidP="00CD5B82">
            <w:pPr>
              <w:pStyle w:val="Tabletext"/>
            </w:pPr>
            <w:r w:rsidRPr="001657EC">
              <w:t>34.3%*</w:t>
            </w:r>
          </w:p>
        </w:tc>
        <w:tc>
          <w:tcPr>
            <w:tcW w:w="1524" w:type="dxa"/>
          </w:tcPr>
          <w:p w14:paraId="22E84863" w14:textId="77777777" w:rsidR="00CE122F" w:rsidRPr="001657EC" w:rsidRDefault="00CE122F" w:rsidP="00CD5B82">
            <w:pPr>
              <w:pStyle w:val="Tabletext"/>
            </w:pPr>
            <w:r w:rsidRPr="001657EC">
              <w:t>33.7%*</w:t>
            </w:r>
          </w:p>
        </w:tc>
      </w:tr>
      <w:tr w:rsidR="00CE122F" w14:paraId="06C901A6" w14:textId="77777777" w:rsidTr="001657EC">
        <w:tc>
          <w:tcPr>
            <w:tcW w:w="3369" w:type="dxa"/>
          </w:tcPr>
          <w:p w14:paraId="29953B5C" w14:textId="77777777" w:rsidR="00CE122F" w:rsidRPr="001657EC" w:rsidRDefault="00CE122F" w:rsidP="00CD5B82">
            <w:pPr>
              <w:pStyle w:val="Tabletext"/>
            </w:pPr>
            <w:r w:rsidRPr="001657EC">
              <w:t>Secondary endpoints</w:t>
            </w:r>
          </w:p>
          <w:p w14:paraId="5D130812" w14:textId="77777777" w:rsidR="00CE122F" w:rsidRPr="001657EC" w:rsidRDefault="00CE122F" w:rsidP="00CD5B82">
            <w:pPr>
              <w:pStyle w:val="Tabletext"/>
            </w:pPr>
            <w:r w:rsidRPr="001657EC">
              <w:t>Clinical remission Week 8</w:t>
            </w:r>
          </w:p>
          <w:p w14:paraId="3E29779A" w14:textId="77777777" w:rsidR="00CE122F" w:rsidRPr="001657EC" w:rsidRDefault="00CE122F" w:rsidP="00CD5B82">
            <w:pPr>
              <w:pStyle w:val="Tabletext"/>
            </w:pPr>
            <w:r w:rsidRPr="001657EC">
              <w:t>Clinical response Week 8</w:t>
            </w:r>
          </w:p>
          <w:p w14:paraId="57DE1959" w14:textId="77777777" w:rsidR="00CE122F" w:rsidRPr="001657EC" w:rsidRDefault="00CE122F" w:rsidP="00CD5B82">
            <w:pPr>
              <w:pStyle w:val="Tabletext"/>
            </w:pPr>
            <w:r w:rsidRPr="001657EC">
              <w:t>70-point response Week 6</w:t>
            </w:r>
          </w:p>
          <w:p w14:paraId="7E7F5354" w14:textId="77777777" w:rsidR="00CE122F" w:rsidRPr="001657EC" w:rsidRDefault="00CE122F" w:rsidP="00CD5B82">
            <w:pPr>
              <w:pStyle w:val="Tabletext"/>
            </w:pPr>
            <w:r w:rsidRPr="001657EC">
              <w:t>70-point response Week 3</w:t>
            </w:r>
          </w:p>
        </w:tc>
        <w:tc>
          <w:tcPr>
            <w:tcW w:w="1842" w:type="dxa"/>
          </w:tcPr>
          <w:p w14:paraId="7FA385D4" w14:textId="77777777" w:rsidR="00CE122F" w:rsidRPr="001657EC" w:rsidRDefault="00CE122F" w:rsidP="00CD5B82">
            <w:pPr>
              <w:pStyle w:val="Tabletext"/>
              <w:spacing w:before="360"/>
            </w:pPr>
            <w:r w:rsidRPr="001657EC">
              <w:t>7.3%</w:t>
            </w:r>
          </w:p>
          <w:p w14:paraId="3F520BBA" w14:textId="77777777" w:rsidR="00CE122F" w:rsidRPr="001657EC" w:rsidRDefault="00CE122F" w:rsidP="00CD5B82">
            <w:pPr>
              <w:pStyle w:val="Tabletext"/>
            </w:pPr>
            <w:r w:rsidRPr="001657EC">
              <w:t>20.2%</w:t>
            </w:r>
          </w:p>
          <w:p w14:paraId="4998C632" w14:textId="77777777" w:rsidR="00CE122F" w:rsidRPr="001657EC" w:rsidRDefault="00CE122F" w:rsidP="00CD5B82">
            <w:pPr>
              <w:pStyle w:val="Tabletext"/>
            </w:pPr>
            <w:r w:rsidRPr="001657EC">
              <w:t>30.4%</w:t>
            </w:r>
          </w:p>
          <w:p w14:paraId="04F84E06" w14:textId="77777777" w:rsidR="00CE122F" w:rsidRPr="001657EC" w:rsidRDefault="00CE122F" w:rsidP="00CD5B82">
            <w:pPr>
              <w:pStyle w:val="Tabletext"/>
            </w:pPr>
            <w:r w:rsidRPr="001657EC">
              <w:t>27.1%</w:t>
            </w:r>
          </w:p>
        </w:tc>
        <w:tc>
          <w:tcPr>
            <w:tcW w:w="1985" w:type="dxa"/>
          </w:tcPr>
          <w:p w14:paraId="5F9F82F5" w14:textId="77777777" w:rsidR="00CE122F" w:rsidRPr="001657EC" w:rsidRDefault="00CE122F" w:rsidP="00CD5B82">
            <w:pPr>
              <w:pStyle w:val="Tabletext"/>
              <w:spacing w:before="360"/>
            </w:pPr>
            <w:r w:rsidRPr="001657EC">
              <w:t>15.9%*</w:t>
            </w:r>
          </w:p>
          <w:p w14:paraId="056FE752" w14:textId="77777777" w:rsidR="00CE122F" w:rsidRPr="001657EC" w:rsidRDefault="00CE122F" w:rsidP="00CD5B82">
            <w:pPr>
              <w:pStyle w:val="Tabletext"/>
            </w:pPr>
            <w:r w:rsidRPr="001657EC">
              <w:t>33.5%*</w:t>
            </w:r>
          </w:p>
          <w:p w14:paraId="3109E0FF" w14:textId="77777777" w:rsidR="00CE122F" w:rsidRPr="001657EC" w:rsidRDefault="00CE122F" w:rsidP="00CD5B82">
            <w:pPr>
              <w:pStyle w:val="Tabletext"/>
            </w:pPr>
            <w:r w:rsidRPr="001657EC">
              <w:t>46.1%*</w:t>
            </w:r>
          </w:p>
          <w:p w14:paraId="630976EB" w14:textId="77777777" w:rsidR="00CE122F" w:rsidRPr="001657EC" w:rsidRDefault="00CE122F" w:rsidP="00CD5B82">
            <w:pPr>
              <w:pStyle w:val="Tabletext"/>
            </w:pPr>
            <w:r w:rsidRPr="001657EC">
              <w:t>38.4%*</w:t>
            </w:r>
          </w:p>
        </w:tc>
        <w:tc>
          <w:tcPr>
            <w:tcW w:w="1524" w:type="dxa"/>
          </w:tcPr>
          <w:p w14:paraId="68F58142" w14:textId="77777777" w:rsidR="00CE122F" w:rsidRPr="001657EC" w:rsidRDefault="00CE122F" w:rsidP="00CD5B82">
            <w:pPr>
              <w:pStyle w:val="Tabletext"/>
              <w:spacing w:before="360"/>
            </w:pPr>
            <w:r w:rsidRPr="001657EC">
              <w:t>20.9%*</w:t>
            </w:r>
          </w:p>
          <w:p w14:paraId="2D6CAF7F" w14:textId="77777777" w:rsidR="00CE122F" w:rsidRPr="001657EC" w:rsidRDefault="00CE122F" w:rsidP="00CD5B82">
            <w:pPr>
              <w:pStyle w:val="Tabletext"/>
            </w:pPr>
            <w:r w:rsidRPr="001657EC">
              <w:t>37.8%*</w:t>
            </w:r>
          </w:p>
          <w:p w14:paraId="3D9571E7" w14:textId="77777777" w:rsidR="00CE122F" w:rsidRPr="001657EC" w:rsidRDefault="00CE122F" w:rsidP="00CD5B82">
            <w:pPr>
              <w:pStyle w:val="Tabletext"/>
            </w:pPr>
            <w:r w:rsidRPr="001657EC">
              <w:t>43.8%*</w:t>
            </w:r>
          </w:p>
          <w:p w14:paraId="293F91CC" w14:textId="77777777" w:rsidR="00CE122F" w:rsidRPr="001657EC" w:rsidRDefault="00CE122F" w:rsidP="00CD5B82">
            <w:pPr>
              <w:pStyle w:val="Tabletext"/>
            </w:pPr>
            <w:r w:rsidRPr="001657EC">
              <w:t>46.6%*</w:t>
            </w:r>
          </w:p>
        </w:tc>
      </w:tr>
    </w:tbl>
    <w:p w14:paraId="669ACDA4" w14:textId="77777777" w:rsidR="00815F43" w:rsidRDefault="00CE122F" w:rsidP="001657EC">
      <w:pPr>
        <w:pStyle w:val="ListBullet"/>
      </w:pPr>
      <w:proofErr w:type="gramStart"/>
      <w:r>
        <w:t>t</w:t>
      </w:r>
      <w:r w:rsidRPr="00436085">
        <w:t>he</w:t>
      </w:r>
      <w:proofErr w:type="gramEnd"/>
      <w:r w:rsidRPr="00436085">
        <w:t xml:space="preserve"> absolute difference in clinical response at 6 weeks between placebo and the proposed dose of ustekinumab was 12.2% (</w:t>
      </w:r>
      <w:r w:rsidR="00FF4301">
        <w:t>number needed to treat (</w:t>
      </w:r>
      <w:r w:rsidRPr="00436085">
        <w:t>NNT</w:t>
      </w:r>
      <w:r w:rsidR="00FF4301">
        <w:t>)</w:t>
      </w:r>
      <w:r w:rsidRPr="00436085">
        <w:t xml:space="preserve"> </w:t>
      </w:r>
      <w:r w:rsidR="004B6C8D">
        <w:t xml:space="preserve">approximately </w:t>
      </w:r>
      <w:r w:rsidRPr="00436085">
        <w:t>8).</w:t>
      </w:r>
    </w:p>
    <w:p w14:paraId="15304F78" w14:textId="7C4759FD" w:rsidR="00815F43" w:rsidRDefault="00CE122F" w:rsidP="001657EC">
      <w:pPr>
        <w:pStyle w:val="ListBullet"/>
      </w:pPr>
      <w:proofErr w:type="gramStart"/>
      <w:r>
        <w:t>s</w:t>
      </w:r>
      <w:r w:rsidRPr="00436085">
        <w:t>tatistical</w:t>
      </w:r>
      <w:proofErr w:type="gramEnd"/>
      <w:r w:rsidRPr="00436085">
        <w:t xml:space="preserve"> significance in each of the major secondary endpoints was also demonstrated for both the 130 mg ustekinumab dose and the 6 mg/ kg dose.</w:t>
      </w:r>
    </w:p>
    <w:p w14:paraId="1886F9DD" w14:textId="58543AEA" w:rsidR="00815F43" w:rsidRDefault="00CE122F" w:rsidP="001657EC">
      <w:pPr>
        <w:pStyle w:val="ListBullet"/>
      </w:pPr>
      <w:proofErr w:type="gramStart"/>
      <w:r>
        <w:lastRenderedPageBreak/>
        <w:t>r</w:t>
      </w:r>
      <w:r w:rsidRPr="00436085">
        <w:t>esults</w:t>
      </w:r>
      <w:proofErr w:type="gramEnd"/>
      <w:r w:rsidRPr="00436085">
        <w:t xml:space="preserve"> for various subgroup analyses for the primary efficacy endpoint are shown in the CER.</w:t>
      </w:r>
    </w:p>
    <w:p w14:paraId="6605CE53" w14:textId="32651486" w:rsidR="00CE122F" w:rsidRDefault="00CE122F" w:rsidP="001657EC">
      <w:pPr>
        <w:pStyle w:val="ListBullet"/>
      </w:pPr>
      <w:r>
        <w:t>o</w:t>
      </w:r>
      <w:r w:rsidRPr="00436085">
        <w:t>f particular note</w:t>
      </w:r>
      <w:r>
        <w:t>:</w:t>
      </w:r>
    </w:p>
    <w:p w14:paraId="7A591426" w14:textId="77777777" w:rsidR="00815F43" w:rsidRDefault="00CE122F" w:rsidP="001657EC">
      <w:pPr>
        <w:pStyle w:val="ListBullet2"/>
      </w:pPr>
      <w:proofErr w:type="gramStart"/>
      <w:r w:rsidRPr="00436085">
        <w:t>subjects</w:t>
      </w:r>
      <w:proofErr w:type="gramEnd"/>
      <w:r w:rsidRPr="00436085">
        <w:t xml:space="preserve"> who were non-responders to the initial TNF antagonist therapy (representing approximately 25% of the total subjects per group), who were given 130 mg ustekinumab had a clinical response rate </w:t>
      </w:r>
      <w:r>
        <w:t xml:space="preserve">which </w:t>
      </w:r>
      <w:r w:rsidRPr="00436085">
        <w:t>was similar to placebo (24.1% v</w:t>
      </w:r>
      <w:r w:rsidR="00516729">
        <w:t>ersu</w:t>
      </w:r>
      <w:r w:rsidRPr="00436085">
        <w:t>s 25%, OR=0.9, 95% CI: =0.4, 2.2; p=0.833).</w:t>
      </w:r>
    </w:p>
    <w:p w14:paraId="7B47F71D" w14:textId="77777777" w:rsidR="00815F43" w:rsidRDefault="00815F43" w:rsidP="001657EC">
      <w:pPr>
        <w:pStyle w:val="ListBullet2"/>
      </w:pPr>
      <w:r>
        <w:t xml:space="preserve"> </w:t>
      </w:r>
      <w:proofErr w:type="gramStart"/>
      <w:r w:rsidR="00CE122F">
        <w:t>n</w:t>
      </w:r>
      <w:r w:rsidR="00CE122F" w:rsidRPr="00436085">
        <w:t>on-responders</w:t>
      </w:r>
      <w:proofErr w:type="gramEnd"/>
      <w:r w:rsidR="00CE122F" w:rsidRPr="00436085">
        <w:t xml:space="preserve"> to TNF antagonist therapy given 6 mg/kg ustekinumab had a clinical response rate at 6 weeks of 18.6% v</w:t>
      </w:r>
      <w:r w:rsidR="00516729">
        <w:t>ersus</w:t>
      </w:r>
      <w:r w:rsidR="00CE122F" w:rsidRPr="00436085">
        <w:t xml:space="preserve"> 25% for placebo, OR=0.7, 95% CI: 0.3, 1.7; p=0.376).</w:t>
      </w:r>
      <w:r w:rsidR="00EF0460">
        <w:t xml:space="preserve"> </w:t>
      </w:r>
    </w:p>
    <w:p w14:paraId="0D807C2B" w14:textId="60F6F079" w:rsidR="00815F43" w:rsidRDefault="00CE122F" w:rsidP="00CE122F">
      <w:pPr>
        <w:spacing w:before="0" w:after="0" w:line="240" w:lineRule="auto"/>
        <w:rPr>
          <w:rFonts w:asciiTheme="minorHAnsi" w:hAnsiTheme="minorHAnsi"/>
        </w:rPr>
      </w:pPr>
      <w:r>
        <w:rPr>
          <w:rFonts w:asciiTheme="minorHAnsi" w:hAnsiTheme="minorHAnsi"/>
        </w:rPr>
        <w:t>In Study</w:t>
      </w:r>
      <w:r w:rsidR="00C16F5E">
        <w:rPr>
          <w:rFonts w:asciiTheme="minorHAnsi" w:hAnsiTheme="minorHAnsi"/>
        </w:rPr>
        <w:t xml:space="preserve"> CRD3002</w:t>
      </w:r>
      <w:r>
        <w:rPr>
          <w:rFonts w:asciiTheme="minorHAnsi" w:hAnsiTheme="minorHAnsi"/>
        </w:rPr>
        <w:t>, there were 628 subjects randomised with 627 included in the efficacy analysis.</w:t>
      </w:r>
      <w:r w:rsidR="00EF0460">
        <w:rPr>
          <w:rFonts w:asciiTheme="minorHAnsi" w:hAnsiTheme="minorHAnsi"/>
        </w:rPr>
        <w:t xml:space="preserve"> </w:t>
      </w:r>
      <w:r>
        <w:rPr>
          <w:rFonts w:asciiTheme="minorHAnsi" w:hAnsiTheme="minorHAnsi"/>
        </w:rPr>
        <w:t xml:space="preserve">Of these </w:t>
      </w:r>
      <w:r w:rsidRPr="00E97455">
        <w:rPr>
          <w:rFonts w:asciiTheme="minorHAnsi" w:hAnsiTheme="minorHAnsi"/>
        </w:rPr>
        <w:t>52.9% were female</w:t>
      </w:r>
      <w:r>
        <w:rPr>
          <w:rFonts w:asciiTheme="minorHAnsi" w:hAnsiTheme="minorHAnsi"/>
        </w:rPr>
        <w:t xml:space="preserve"> and </w:t>
      </w:r>
      <w:r w:rsidRPr="00E97455">
        <w:rPr>
          <w:rFonts w:asciiTheme="minorHAnsi" w:hAnsiTheme="minorHAnsi"/>
        </w:rPr>
        <w:t xml:space="preserve">83.8% were </w:t>
      </w:r>
      <w:r w:rsidR="00AF52B0">
        <w:rPr>
          <w:rFonts w:asciiTheme="minorHAnsi" w:hAnsiTheme="minorHAnsi"/>
        </w:rPr>
        <w:t>Caucasian</w:t>
      </w:r>
      <w:r>
        <w:rPr>
          <w:rFonts w:asciiTheme="minorHAnsi" w:hAnsiTheme="minorHAnsi"/>
        </w:rPr>
        <w:t>.</w:t>
      </w:r>
      <w:r w:rsidR="00EF0460">
        <w:rPr>
          <w:rFonts w:asciiTheme="minorHAnsi" w:hAnsiTheme="minorHAnsi"/>
        </w:rPr>
        <w:t xml:space="preserve"> </w:t>
      </w:r>
      <w:r>
        <w:rPr>
          <w:rFonts w:asciiTheme="minorHAnsi" w:hAnsiTheme="minorHAnsi"/>
        </w:rPr>
        <w:t>T</w:t>
      </w:r>
      <w:r w:rsidRPr="00E97455">
        <w:rPr>
          <w:rFonts w:asciiTheme="minorHAnsi" w:hAnsiTheme="minorHAnsi"/>
        </w:rPr>
        <w:t>he median age was 37.0 years and the median weight was 70.8 kg</w:t>
      </w:r>
      <w:r>
        <w:rPr>
          <w:rFonts w:asciiTheme="minorHAnsi" w:hAnsiTheme="minorHAnsi"/>
        </w:rPr>
        <w:t>.</w:t>
      </w:r>
      <w:r w:rsidRPr="00E97455">
        <w:t xml:space="preserve"> </w:t>
      </w:r>
      <w:r w:rsidRPr="000E48D2">
        <w:rPr>
          <w:rFonts w:asciiTheme="minorHAnsi" w:hAnsiTheme="minorHAnsi"/>
        </w:rPr>
        <w:t xml:space="preserve">The median </w:t>
      </w:r>
      <w:r>
        <w:rPr>
          <w:rFonts w:asciiTheme="minorHAnsi" w:hAnsiTheme="minorHAnsi"/>
        </w:rPr>
        <w:t xml:space="preserve">duration of CD </w:t>
      </w:r>
      <w:r w:rsidRPr="000E48D2">
        <w:rPr>
          <w:rFonts w:asciiTheme="minorHAnsi" w:hAnsiTheme="minorHAnsi"/>
        </w:rPr>
        <w:t xml:space="preserve">at baseline </w:t>
      </w:r>
      <w:r>
        <w:rPr>
          <w:rFonts w:asciiTheme="minorHAnsi" w:hAnsiTheme="minorHAnsi"/>
        </w:rPr>
        <w:t xml:space="preserve">was </w:t>
      </w:r>
      <w:r w:rsidRPr="000E48D2">
        <w:rPr>
          <w:rFonts w:asciiTheme="minorHAnsi" w:hAnsiTheme="minorHAnsi"/>
        </w:rPr>
        <w:t>8.28 years</w:t>
      </w:r>
      <w:r>
        <w:rPr>
          <w:rFonts w:asciiTheme="minorHAnsi" w:hAnsiTheme="minorHAnsi"/>
        </w:rPr>
        <w:t xml:space="preserve"> in the placebo group</w:t>
      </w:r>
      <w:r w:rsidRPr="000E48D2">
        <w:rPr>
          <w:rFonts w:asciiTheme="minorHAnsi" w:hAnsiTheme="minorHAnsi"/>
        </w:rPr>
        <w:t xml:space="preserve"> compared with the 5.61 years and 6.21 years in 130 mg and </w:t>
      </w:r>
      <w:r w:rsidR="004B6C8D">
        <w:rPr>
          <w:rFonts w:asciiTheme="minorHAnsi" w:hAnsiTheme="minorHAnsi"/>
        </w:rPr>
        <w:t xml:space="preserve">approximately </w:t>
      </w:r>
      <w:r w:rsidRPr="000E48D2">
        <w:rPr>
          <w:rFonts w:asciiTheme="minorHAnsi" w:hAnsiTheme="minorHAnsi"/>
        </w:rPr>
        <w:t xml:space="preserve">6 mg/kg </w:t>
      </w:r>
      <w:r>
        <w:rPr>
          <w:rFonts w:asciiTheme="minorHAnsi" w:hAnsiTheme="minorHAnsi"/>
        </w:rPr>
        <w:t xml:space="preserve">ustekinumab </w:t>
      </w:r>
      <w:r w:rsidRPr="000E48D2">
        <w:rPr>
          <w:rFonts w:asciiTheme="minorHAnsi" w:hAnsiTheme="minorHAnsi"/>
        </w:rPr>
        <w:t>group</w:t>
      </w:r>
      <w:r>
        <w:rPr>
          <w:rFonts w:asciiTheme="minorHAnsi" w:hAnsiTheme="minorHAnsi"/>
        </w:rPr>
        <w:t>s</w:t>
      </w:r>
      <w:r w:rsidRPr="000E48D2">
        <w:rPr>
          <w:rFonts w:asciiTheme="minorHAnsi" w:hAnsiTheme="minorHAnsi"/>
        </w:rPr>
        <w:t xml:space="preserve"> respectively</w:t>
      </w:r>
      <w:r>
        <w:rPr>
          <w:rFonts w:asciiTheme="minorHAnsi" w:hAnsiTheme="minorHAnsi"/>
        </w:rPr>
        <w:t>.</w:t>
      </w:r>
      <w:r w:rsidRPr="000E48D2">
        <w:t xml:space="preserve"> </w:t>
      </w:r>
      <w:r>
        <w:t>T</w:t>
      </w:r>
      <w:r w:rsidRPr="000E48D2">
        <w:rPr>
          <w:rFonts w:asciiTheme="minorHAnsi" w:hAnsiTheme="minorHAnsi"/>
        </w:rPr>
        <w:t>he median CDAI score was 292.5</w:t>
      </w:r>
      <w:r>
        <w:rPr>
          <w:rFonts w:asciiTheme="minorHAnsi" w:hAnsiTheme="minorHAnsi"/>
        </w:rPr>
        <w:t>.</w:t>
      </w:r>
      <w:r w:rsidRPr="000E48D2">
        <w:t xml:space="preserve"> </w:t>
      </w:r>
      <w:r>
        <w:t xml:space="preserve">15.6% of subjects had clinically apparent fistulas at baseline and 35% had </w:t>
      </w:r>
      <w:r w:rsidRPr="000E48D2">
        <w:rPr>
          <w:rFonts w:asciiTheme="minorHAnsi" w:hAnsiTheme="minorHAnsi"/>
        </w:rPr>
        <w:t>current or prior fistulising disease</w:t>
      </w:r>
      <w:r>
        <w:rPr>
          <w:rFonts w:asciiTheme="minorHAnsi" w:hAnsiTheme="minorHAnsi"/>
        </w:rPr>
        <w:t xml:space="preserve">. 77.9% of subjects were receiving one or more concomitant medications for CD with 247 (39.3%) receiving corticosteroids and 219 (34.9%) receiving </w:t>
      </w:r>
      <w:r w:rsidR="00957FBB">
        <w:rPr>
          <w:rFonts w:asciiTheme="minorHAnsi" w:hAnsiTheme="minorHAnsi"/>
        </w:rPr>
        <w:t>immune-</w:t>
      </w:r>
      <w:r w:rsidRPr="00DF381F">
        <w:rPr>
          <w:rFonts w:asciiTheme="minorHAnsi" w:hAnsiTheme="minorHAnsi"/>
        </w:rPr>
        <w:t>modulators (AZA, 6-MP or MTX).</w:t>
      </w:r>
    </w:p>
    <w:p w14:paraId="6030521F" w14:textId="7C7444AB" w:rsidR="00CE122F" w:rsidRDefault="00CE122F" w:rsidP="00CE2711">
      <w:r w:rsidRPr="00DF381F">
        <w:t>Subjects in the study were allowed to have previously received TNF antagonists but they were not to have demonstrated inadequate response or intolerance to them. A total of 197 (31.4%) subjects had previously received TNF antagonists and 98.5% of these subjects had not demonstrated failure or intolerance to them, per study entry criteria</w:t>
      </w:r>
      <w:r>
        <w:t xml:space="preserve">, </w:t>
      </w:r>
      <w:r w:rsidRPr="00DF381F">
        <w:t>431 (68.6%) subjects were therefore anti-TNF naïve</w:t>
      </w:r>
      <w:r>
        <w:t>.</w:t>
      </w:r>
    </w:p>
    <w:p w14:paraId="38CB637A" w14:textId="77777777" w:rsidR="00CE122F" w:rsidRPr="006509BA" w:rsidRDefault="00AF52B0" w:rsidP="00AF52B0">
      <w:pPr>
        <w:pStyle w:val="TableTitle"/>
      </w:pPr>
      <w:r>
        <w:t xml:space="preserve">Table 7: </w:t>
      </w:r>
      <w:r w:rsidR="00CE122F">
        <w:t>Primary (</w:t>
      </w:r>
      <w:r w:rsidR="00CE122F" w:rsidRPr="005C570D">
        <w:t>Key</w:t>
      </w:r>
      <w:r w:rsidR="00CE122F">
        <w:t>)</w:t>
      </w:r>
      <w:r w:rsidR="00CE122F" w:rsidRPr="005C570D">
        <w:t xml:space="preserve"> endpoints </w:t>
      </w:r>
      <w:r w:rsidR="00CE122F" w:rsidRPr="006509BA">
        <w:t>for clinical outcomes (3002):</w:t>
      </w:r>
    </w:p>
    <w:tbl>
      <w:tblPr>
        <w:tblStyle w:val="TableTGAblue"/>
        <w:tblW w:w="0" w:type="auto"/>
        <w:tblLook w:val="04A0" w:firstRow="1" w:lastRow="0" w:firstColumn="1" w:lastColumn="0" w:noHBand="0" w:noVBand="1"/>
        <w:tblDescription w:val="Table 7 is a list of primary (Key) endpoints for clinical outcomes (3002)"/>
      </w:tblPr>
      <w:tblGrid>
        <w:gridCol w:w="3369"/>
        <w:gridCol w:w="1842"/>
        <w:gridCol w:w="1985"/>
        <w:gridCol w:w="1524"/>
      </w:tblGrid>
      <w:tr w:rsidR="00CE122F" w14:paraId="7FCC2307" w14:textId="77777777" w:rsidTr="00AF52B0">
        <w:trPr>
          <w:cnfStyle w:val="100000000000" w:firstRow="1" w:lastRow="0" w:firstColumn="0" w:lastColumn="0" w:oddVBand="0" w:evenVBand="0" w:oddHBand="0" w:evenHBand="0" w:firstRowFirstColumn="0" w:firstRowLastColumn="0" w:lastRowFirstColumn="0" w:lastRowLastColumn="0"/>
        </w:trPr>
        <w:tc>
          <w:tcPr>
            <w:tcW w:w="3369" w:type="dxa"/>
          </w:tcPr>
          <w:p w14:paraId="6DB40E98" w14:textId="77777777" w:rsidR="00CE122F" w:rsidRPr="009F5354" w:rsidRDefault="00CE122F" w:rsidP="009F5354">
            <w:pPr>
              <w:pStyle w:val="TableTitle"/>
              <w:rPr>
                <w:b/>
              </w:rPr>
            </w:pPr>
          </w:p>
        </w:tc>
        <w:tc>
          <w:tcPr>
            <w:tcW w:w="1842" w:type="dxa"/>
          </w:tcPr>
          <w:p w14:paraId="2FA0BDCD" w14:textId="77777777" w:rsidR="00CE122F" w:rsidRPr="009F5354" w:rsidRDefault="00CE122F" w:rsidP="009F5354">
            <w:pPr>
              <w:pStyle w:val="TableTitle"/>
              <w:rPr>
                <w:b/>
              </w:rPr>
            </w:pPr>
            <w:r w:rsidRPr="009F5354">
              <w:rPr>
                <w:b/>
              </w:rPr>
              <w:t>Placebo</w:t>
            </w:r>
          </w:p>
        </w:tc>
        <w:tc>
          <w:tcPr>
            <w:tcW w:w="3509" w:type="dxa"/>
            <w:gridSpan w:val="2"/>
          </w:tcPr>
          <w:p w14:paraId="449E408F" w14:textId="6444CCF3" w:rsidR="00CE122F" w:rsidRPr="009F5354" w:rsidRDefault="00CE122F" w:rsidP="009F5354">
            <w:pPr>
              <w:pStyle w:val="TableTitle"/>
              <w:rPr>
                <w:b/>
              </w:rPr>
            </w:pPr>
            <w:r w:rsidRPr="009F5354">
              <w:rPr>
                <w:b/>
              </w:rPr>
              <w:t>Ustekinumab</w:t>
            </w:r>
          </w:p>
          <w:p w14:paraId="061F74AF" w14:textId="7078C5AF" w:rsidR="00CE122F" w:rsidRPr="009F5354" w:rsidRDefault="00CE122F" w:rsidP="009F5354">
            <w:pPr>
              <w:pStyle w:val="TableTitle"/>
              <w:rPr>
                <w:b/>
              </w:rPr>
            </w:pPr>
            <w:r w:rsidRPr="009F5354">
              <w:rPr>
                <w:b/>
              </w:rPr>
              <w:t>130 mg</w:t>
            </w:r>
            <w:r w:rsidR="009F5354" w:rsidRPr="009F5354">
              <w:rPr>
                <w:b/>
              </w:rPr>
              <w:t xml:space="preserve"> </w:t>
            </w:r>
            <w:r w:rsidRPr="009F5354">
              <w:rPr>
                <w:b/>
              </w:rPr>
              <w:t>6 mg/kg</w:t>
            </w:r>
          </w:p>
        </w:tc>
      </w:tr>
      <w:tr w:rsidR="00CE122F" w14:paraId="541AA3FD" w14:textId="77777777" w:rsidTr="00AF52B0">
        <w:tc>
          <w:tcPr>
            <w:tcW w:w="3369" w:type="dxa"/>
          </w:tcPr>
          <w:p w14:paraId="5568D25B" w14:textId="77777777" w:rsidR="00CE122F" w:rsidRPr="00AF52B0" w:rsidRDefault="00CE122F" w:rsidP="009F5354">
            <w:pPr>
              <w:pStyle w:val="Tabletext"/>
            </w:pPr>
            <w:r w:rsidRPr="00AF52B0">
              <w:t>Number randomised</w:t>
            </w:r>
          </w:p>
        </w:tc>
        <w:tc>
          <w:tcPr>
            <w:tcW w:w="1842" w:type="dxa"/>
          </w:tcPr>
          <w:p w14:paraId="315ACEFE" w14:textId="77777777" w:rsidR="00CE122F" w:rsidRPr="00AF52B0" w:rsidRDefault="00CE122F" w:rsidP="00AF52B0">
            <w:pPr>
              <w:rPr>
                <w:sz w:val="20"/>
                <w:szCs w:val="20"/>
              </w:rPr>
            </w:pPr>
            <w:r w:rsidRPr="00AF52B0">
              <w:rPr>
                <w:sz w:val="20"/>
                <w:szCs w:val="20"/>
              </w:rPr>
              <w:t>209</w:t>
            </w:r>
          </w:p>
        </w:tc>
        <w:tc>
          <w:tcPr>
            <w:tcW w:w="1985" w:type="dxa"/>
          </w:tcPr>
          <w:p w14:paraId="03C3A943" w14:textId="77777777" w:rsidR="00CE122F" w:rsidRPr="00AF52B0" w:rsidRDefault="00CE122F" w:rsidP="00AF52B0">
            <w:pPr>
              <w:rPr>
                <w:sz w:val="20"/>
                <w:szCs w:val="20"/>
              </w:rPr>
            </w:pPr>
            <w:r w:rsidRPr="00AF52B0">
              <w:rPr>
                <w:sz w:val="20"/>
                <w:szCs w:val="20"/>
              </w:rPr>
              <w:t>209</w:t>
            </w:r>
          </w:p>
        </w:tc>
        <w:tc>
          <w:tcPr>
            <w:tcW w:w="1524" w:type="dxa"/>
          </w:tcPr>
          <w:p w14:paraId="044131A8" w14:textId="77777777" w:rsidR="00CE122F" w:rsidRPr="00AF52B0" w:rsidRDefault="00CE122F" w:rsidP="00AF52B0">
            <w:pPr>
              <w:rPr>
                <w:sz w:val="20"/>
                <w:szCs w:val="20"/>
              </w:rPr>
            </w:pPr>
            <w:r w:rsidRPr="00AF52B0">
              <w:rPr>
                <w:sz w:val="20"/>
                <w:szCs w:val="20"/>
              </w:rPr>
              <w:t>209</w:t>
            </w:r>
          </w:p>
        </w:tc>
      </w:tr>
      <w:tr w:rsidR="00CE122F" w14:paraId="3CA64653" w14:textId="77777777" w:rsidTr="00AF52B0">
        <w:tc>
          <w:tcPr>
            <w:tcW w:w="3369" w:type="dxa"/>
          </w:tcPr>
          <w:p w14:paraId="1D121653" w14:textId="77777777" w:rsidR="00CE122F" w:rsidRPr="00AF52B0" w:rsidRDefault="00CE122F" w:rsidP="009F5354">
            <w:pPr>
              <w:pStyle w:val="Tabletext"/>
            </w:pPr>
            <w:r w:rsidRPr="00AF52B0">
              <w:t>Primary endpoint</w:t>
            </w:r>
          </w:p>
          <w:p w14:paraId="59EF39D4" w14:textId="77777777" w:rsidR="00CE122F" w:rsidRPr="00AF52B0" w:rsidRDefault="00CE122F" w:rsidP="009F5354">
            <w:pPr>
              <w:pStyle w:val="Tabletext"/>
            </w:pPr>
            <w:r w:rsidRPr="00AF52B0">
              <w:t>Clinical response Week 6</w:t>
            </w:r>
          </w:p>
        </w:tc>
        <w:tc>
          <w:tcPr>
            <w:tcW w:w="1842" w:type="dxa"/>
          </w:tcPr>
          <w:p w14:paraId="498A6563" w14:textId="77777777" w:rsidR="00CE122F" w:rsidRPr="00AF52B0" w:rsidRDefault="00CE122F" w:rsidP="00AF52B0">
            <w:pPr>
              <w:rPr>
                <w:sz w:val="20"/>
                <w:szCs w:val="20"/>
              </w:rPr>
            </w:pPr>
            <w:r w:rsidRPr="00AF52B0">
              <w:rPr>
                <w:sz w:val="20"/>
                <w:szCs w:val="20"/>
              </w:rPr>
              <w:t>28.7%</w:t>
            </w:r>
          </w:p>
        </w:tc>
        <w:tc>
          <w:tcPr>
            <w:tcW w:w="1985" w:type="dxa"/>
          </w:tcPr>
          <w:p w14:paraId="5D606BF7" w14:textId="77777777" w:rsidR="00CE122F" w:rsidRPr="00AF52B0" w:rsidRDefault="00CE122F" w:rsidP="00AF52B0">
            <w:pPr>
              <w:rPr>
                <w:sz w:val="20"/>
                <w:szCs w:val="20"/>
              </w:rPr>
            </w:pPr>
            <w:r w:rsidRPr="00AF52B0">
              <w:rPr>
                <w:sz w:val="20"/>
                <w:szCs w:val="20"/>
              </w:rPr>
              <w:t>51.7%*</w:t>
            </w:r>
          </w:p>
        </w:tc>
        <w:tc>
          <w:tcPr>
            <w:tcW w:w="1524" w:type="dxa"/>
          </w:tcPr>
          <w:p w14:paraId="571ADD3D" w14:textId="77777777" w:rsidR="00CE122F" w:rsidRPr="00AF52B0" w:rsidRDefault="00CE122F" w:rsidP="00AF52B0">
            <w:pPr>
              <w:rPr>
                <w:sz w:val="20"/>
                <w:szCs w:val="20"/>
              </w:rPr>
            </w:pPr>
            <w:r w:rsidRPr="00AF52B0">
              <w:rPr>
                <w:sz w:val="20"/>
                <w:szCs w:val="20"/>
              </w:rPr>
              <w:t>55.5%*</w:t>
            </w:r>
          </w:p>
        </w:tc>
      </w:tr>
      <w:tr w:rsidR="00CE122F" w14:paraId="41DDCC01" w14:textId="77777777" w:rsidTr="00AF52B0">
        <w:tc>
          <w:tcPr>
            <w:tcW w:w="3369" w:type="dxa"/>
          </w:tcPr>
          <w:p w14:paraId="51E4BDD6" w14:textId="77777777" w:rsidR="00CE122F" w:rsidRPr="00AF52B0" w:rsidRDefault="00CE122F" w:rsidP="009F5354">
            <w:pPr>
              <w:pStyle w:val="Tabletext"/>
            </w:pPr>
            <w:r w:rsidRPr="00AF52B0">
              <w:t>Secondary endpoints</w:t>
            </w:r>
          </w:p>
          <w:p w14:paraId="4F5392DB" w14:textId="77777777" w:rsidR="00CE122F" w:rsidRPr="00AF52B0" w:rsidRDefault="00CE122F" w:rsidP="009F5354">
            <w:pPr>
              <w:pStyle w:val="Tabletext"/>
            </w:pPr>
            <w:r w:rsidRPr="00AF52B0">
              <w:t>Clinical remission Week 8</w:t>
            </w:r>
          </w:p>
          <w:p w14:paraId="5435CCC6" w14:textId="77777777" w:rsidR="00CE122F" w:rsidRPr="00AF52B0" w:rsidRDefault="00CE122F" w:rsidP="009F5354">
            <w:pPr>
              <w:pStyle w:val="Tabletext"/>
            </w:pPr>
            <w:r w:rsidRPr="00AF52B0">
              <w:t>Clinical response Week 8</w:t>
            </w:r>
          </w:p>
          <w:p w14:paraId="2EFDB361" w14:textId="77777777" w:rsidR="00CE122F" w:rsidRPr="00AF52B0" w:rsidRDefault="00CE122F" w:rsidP="009F5354">
            <w:pPr>
              <w:pStyle w:val="Tabletext"/>
            </w:pPr>
            <w:r w:rsidRPr="00AF52B0">
              <w:t>70-point response Week 6</w:t>
            </w:r>
          </w:p>
          <w:p w14:paraId="55D755D8" w14:textId="77777777" w:rsidR="00CE122F" w:rsidRPr="00AF52B0" w:rsidRDefault="00CE122F" w:rsidP="009F5354">
            <w:pPr>
              <w:pStyle w:val="Tabletext"/>
            </w:pPr>
            <w:r w:rsidRPr="00AF52B0">
              <w:t>70-point response Week 3</w:t>
            </w:r>
          </w:p>
        </w:tc>
        <w:tc>
          <w:tcPr>
            <w:tcW w:w="1842" w:type="dxa"/>
          </w:tcPr>
          <w:p w14:paraId="7FEFEC18" w14:textId="77777777" w:rsidR="00CE122F" w:rsidRPr="00AF52B0" w:rsidRDefault="00CE122F" w:rsidP="009F5354">
            <w:pPr>
              <w:spacing w:before="360"/>
              <w:rPr>
                <w:sz w:val="20"/>
                <w:szCs w:val="20"/>
              </w:rPr>
            </w:pPr>
            <w:r w:rsidRPr="00AF52B0">
              <w:rPr>
                <w:sz w:val="20"/>
                <w:szCs w:val="20"/>
              </w:rPr>
              <w:t>19.6%</w:t>
            </w:r>
          </w:p>
          <w:p w14:paraId="3241573F" w14:textId="77777777" w:rsidR="00CE122F" w:rsidRPr="00AF52B0" w:rsidRDefault="00CE122F" w:rsidP="00AF52B0">
            <w:pPr>
              <w:rPr>
                <w:sz w:val="20"/>
                <w:szCs w:val="20"/>
              </w:rPr>
            </w:pPr>
            <w:r w:rsidRPr="00AF52B0">
              <w:rPr>
                <w:sz w:val="20"/>
                <w:szCs w:val="20"/>
              </w:rPr>
              <w:t>32.1%</w:t>
            </w:r>
          </w:p>
          <w:p w14:paraId="0FBCCF8D" w14:textId="77777777" w:rsidR="00CE122F" w:rsidRPr="00AF52B0" w:rsidRDefault="00CE122F" w:rsidP="00AF52B0">
            <w:pPr>
              <w:rPr>
                <w:sz w:val="20"/>
                <w:szCs w:val="20"/>
              </w:rPr>
            </w:pPr>
            <w:r w:rsidRPr="00AF52B0">
              <w:rPr>
                <w:sz w:val="20"/>
                <w:szCs w:val="20"/>
              </w:rPr>
              <w:t>38.8%</w:t>
            </w:r>
          </w:p>
          <w:p w14:paraId="59730885" w14:textId="77777777" w:rsidR="00CE122F" w:rsidRPr="00AF52B0" w:rsidRDefault="00CE122F" w:rsidP="00AF52B0">
            <w:pPr>
              <w:rPr>
                <w:sz w:val="20"/>
                <w:szCs w:val="20"/>
              </w:rPr>
            </w:pPr>
            <w:r w:rsidRPr="00AF52B0">
              <w:rPr>
                <w:sz w:val="20"/>
                <w:szCs w:val="20"/>
              </w:rPr>
              <w:t>31.6%</w:t>
            </w:r>
          </w:p>
        </w:tc>
        <w:tc>
          <w:tcPr>
            <w:tcW w:w="1985" w:type="dxa"/>
          </w:tcPr>
          <w:p w14:paraId="78684C36" w14:textId="77777777" w:rsidR="00CE122F" w:rsidRPr="00AF52B0" w:rsidRDefault="00CE122F" w:rsidP="009F5354">
            <w:pPr>
              <w:spacing w:before="360"/>
              <w:rPr>
                <w:sz w:val="20"/>
                <w:szCs w:val="20"/>
              </w:rPr>
            </w:pPr>
            <w:r w:rsidRPr="00AF52B0">
              <w:rPr>
                <w:sz w:val="20"/>
                <w:szCs w:val="20"/>
              </w:rPr>
              <w:t>30.6%*</w:t>
            </w:r>
          </w:p>
          <w:p w14:paraId="5440AC53" w14:textId="77777777" w:rsidR="00CE122F" w:rsidRPr="00AF52B0" w:rsidRDefault="00CE122F" w:rsidP="00AF52B0">
            <w:pPr>
              <w:rPr>
                <w:sz w:val="20"/>
                <w:szCs w:val="20"/>
              </w:rPr>
            </w:pPr>
            <w:r w:rsidRPr="00AF52B0">
              <w:rPr>
                <w:sz w:val="20"/>
                <w:szCs w:val="20"/>
              </w:rPr>
              <w:t>47.4%*</w:t>
            </w:r>
          </w:p>
          <w:p w14:paraId="501FDDF8" w14:textId="77777777" w:rsidR="00CE122F" w:rsidRPr="00AF52B0" w:rsidRDefault="00CE122F" w:rsidP="00AF52B0">
            <w:pPr>
              <w:rPr>
                <w:sz w:val="20"/>
                <w:szCs w:val="20"/>
              </w:rPr>
            </w:pPr>
            <w:r w:rsidRPr="00AF52B0">
              <w:rPr>
                <w:sz w:val="20"/>
                <w:szCs w:val="20"/>
              </w:rPr>
              <w:t>58.9%*</w:t>
            </w:r>
          </w:p>
          <w:p w14:paraId="7193498F" w14:textId="77777777" w:rsidR="00CE122F" w:rsidRPr="00AF52B0" w:rsidRDefault="00CE122F" w:rsidP="00AF52B0">
            <w:pPr>
              <w:rPr>
                <w:sz w:val="20"/>
                <w:szCs w:val="20"/>
              </w:rPr>
            </w:pPr>
            <w:r w:rsidRPr="00AF52B0">
              <w:rPr>
                <w:sz w:val="20"/>
                <w:szCs w:val="20"/>
              </w:rPr>
              <w:t>49.3%*</w:t>
            </w:r>
          </w:p>
        </w:tc>
        <w:tc>
          <w:tcPr>
            <w:tcW w:w="1524" w:type="dxa"/>
          </w:tcPr>
          <w:p w14:paraId="7138CA85" w14:textId="77777777" w:rsidR="00CE122F" w:rsidRPr="00AF52B0" w:rsidRDefault="00CE122F" w:rsidP="009F5354">
            <w:pPr>
              <w:spacing w:before="360"/>
              <w:rPr>
                <w:sz w:val="20"/>
                <w:szCs w:val="20"/>
              </w:rPr>
            </w:pPr>
            <w:r w:rsidRPr="00AF52B0">
              <w:rPr>
                <w:sz w:val="20"/>
                <w:szCs w:val="20"/>
              </w:rPr>
              <w:t>40.2%*</w:t>
            </w:r>
          </w:p>
          <w:p w14:paraId="2ABE3B04" w14:textId="77777777" w:rsidR="00CE122F" w:rsidRPr="00AF52B0" w:rsidRDefault="00CE122F" w:rsidP="00AF52B0">
            <w:pPr>
              <w:rPr>
                <w:sz w:val="20"/>
                <w:szCs w:val="20"/>
              </w:rPr>
            </w:pPr>
            <w:r w:rsidRPr="00AF52B0">
              <w:rPr>
                <w:sz w:val="20"/>
                <w:szCs w:val="20"/>
              </w:rPr>
              <w:t>57.9%*</w:t>
            </w:r>
          </w:p>
          <w:p w14:paraId="5EEAD51A" w14:textId="77777777" w:rsidR="00CE122F" w:rsidRPr="00AF52B0" w:rsidRDefault="00CE122F" w:rsidP="00AF52B0">
            <w:pPr>
              <w:rPr>
                <w:sz w:val="20"/>
                <w:szCs w:val="20"/>
              </w:rPr>
            </w:pPr>
            <w:r w:rsidRPr="00AF52B0">
              <w:rPr>
                <w:sz w:val="20"/>
                <w:szCs w:val="20"/>
              </w:rPr>
              <w:t>64.6%*</w:t>
            </w:r>
          </w:p>
          <w:p w14:paraId="71FE3FAD" w14:textId="77777777" w:rsidR="00CE122F" w:rsidRPr="00AF52B0" w:rsidRDefault="00CE122F" w:rsidP="00AF52B0">
            <w:pPr>
              <w:rPr>
                <w:sz w:val="20"/>
                <w:szCs w:val="20"/>
              </w:rPr>
            </w:pPr>
            <w:r w:rsidRPr="00AF52B0">
              <w:rPr>
                <w:sz w:val="20"/>
                <w:szCs w:val="20"/>
              </w:rPr>
              <w:t>50.7%*</w:t>
            </w:r>
          </w:p>
        </w:tc>
      </w:tr>
    </w:tbl>
    <w:p w14:paraId="1DE264A1" w14:textId="77777777" w:rsidR="00815F43" w:rsidRDefault="00CE122F" w:rsidP="00AF52B0">
      <w:pPr>
        <w:pStyle w:val="ListBullet"/>
      </w:pPr>
      <w:proofErr w:type="gramStart"/>
      <w:r>
        <w:t>t</w:t>
      </w:r>
      <w:r w:rsidRPr="00EF5AD7">
        <w:t>he</w:t>
      </w:r>
      <w:proofErr w:type="gramEnd"/>
      <w:r w:rsidRPr="00EF5AD7">
        <w:t xml:space="preserve"> absolute difference in clinical response at 6 weeks between placebo and the proposed dose of ustekinumab </w:t>
      </w:r>
      <w:r w:rsidRPr="00EC4487">
        <w:t xml:space="preserve">was 26.8% (NNT </w:t>
      </w:r>
      <w:r w:rsidR="004B6C8D" w:rsidRPr="00EC4487">
        <w:t>approximately</w:t>
      </w:r>
      <w:r w:rsidR="004B6C8D">
        <w:t xml:space="preserve"> </w:t>
      </w:r>
      <w:r w:rsidRPr="00EF5AD7">
        <w:t>3.7).</w:t>
      </w:r>
    </w:p>
    <w:p w14:paraId="593F2263" w14:textId="137B57D9" w:rsidR="00815F43" w:rsidRDefault="00CE122F" w:rsidP="00AF52B0">
      <w:pPr>
        <w:pStyle w:val="ListBullet"/>
      </w:pPr>
      <w:proofErr w:type="gramStart"/>
      <w:r>
        <w:t>s</w:t>
      </w:r>
      <w:r w:rsidRPr="00EF5AD7">
        <w:t>tatistical</w:t>
      </w:r>
      <w:proofErr w:type="gramEnd"/>
      <w:r w:rsidRPr="00EF5AD7">
        <w:t xml:space="preserve"> significance in each of the major secondary endpoints was also demonstrated for both the 130 mg ustekinumab dose and the 6 mg/ kg dose.</w:t>
      </w:r>
    </w:p>
    <w:p w14:paraId="6A1D7877" w14:textId="7DE5DFBE" w:rsidR="00815F43" w:rsidRDefault="00CE122F" w:rsidP="00AF52B0">
      <w:pPr>
        <w:pStyle w:val="ListBullet"/>
      </w:pPr>
      <w:proofErr w:type="gramStart"/>
      <w:r>
        <w:t>t</w:t>
      </w:r>
      <w:r w:rsidRPr="00EF5AD7">
        <w:t>he</w:t>
      </w:r>
      <w:proofErr w:type="gramEnd"/>
      <w:r w:rsidRPr="00EF5AD7">
        <w:t xml:space="preserve"> various subgroup analyses were also supportive of each of the dose regimens of ustekinumab.</w:t>
      </w:r>
    </w:p>
    <w:p w14:paraId="029F4698" w14:textId="76C579E6" w:rsidR="00CE122F" w:rsidRDefault="00CE122F" w:rsidP="00AF52B0">
      <w:pPr>
        <w:pStyle w:val="Heading5"/>
      </w:pPr>
      <w:r w:rsidRPr="00EF5AD7">
        <w:lastRenderedPageBreak/>
        <w:t>Maintenance study</w:t>
      </w:r>
    </w:p>
    <w:p w14:paraId="3363D776" w14:textId="77777777" w:rsidR="00CE122F" w:rsidRPr="00AF52B0" w:rsidRDefault="00CE122F" w:rsidP="00AF52B0">
      <w:pPr>
        <w:pStyle w:val="ListBullet"/>
      </w:pPr>
      <w:r w:rsidRPr="00AF52B0">
        <w:t>CRD3003 was a randomised, double-blind, placebo-controlled, parallel group, multicentre study. Subjects with a clinical response at Week 8 to either dose regimen of ustekinumab in the induction studies (3001 or</w:t>
      </w:r>
      <w:r w:rsidR="00C16F5E">
        <w:t xml:space="preserve"> CRD3002</w:t>
      </w:r>
      <w:r w:rsidRPr="00AF52B0">
        <w:t>) were randomised in a 1:1:1 ratio at Week 0 to receive a SC administration of either placebo or 1 of 2 maintenance regimens of ustekinumab (ustekinumab 90 mg every 12 weeks [q12w] through Week 36 or ustekinumab 90 mg every 8 weeks [q8w] through Week 40). This population of subjects was the primary population for assessment of efficacy and is also referred to as the randomised population. The long-term extension is planned to continue through Week 272. This submission contained data to Week 44.</w:t>
      </w:r>
    </w:p>
    <w:p w14:paraId="184DA416" w14:textId="77777777" w:rsidR="00CE122F" w:rsidRDefault="00CE122F" w:rsidP="00AF52B0">
      <w:pPr>
        <w:pStyle w:val="ListBullet"/>
      </w:pPr>
      <w:r w:rsidRPr="00EF5AD7">
        <w:t>For the primary population</w:t>
      </w:r>
      <w:r>
        <w:t>:</w:t>
      </w:r>
    </w:p>
    <w:p w14:paraId="759C9EC7" w14:textId="77777777" w:rsidR="00CE122F" w:rsidRDefault="00CE122F" w:rsidP="00AF52B0">
      <w:r>
        <w:t>T</w:t>
      </w:r>
      <w:r w:rsidRPr="00EF5AD7">
        <w:t>he primary efficacy endpoint</w:t>
      </w:r>
      <w:r>
        <w:t>:</w:t>
      </w:r>
    </w:p>
    <w:p w14:paraId="4FC76D32" w14:textId="77777777" w:rsidR="00815F43" w:rsidRDefault="00CE122F" w:rsidP="00AF52B0">
      <w:pPr>
        <w:pStyle w:val="ListBullet"/>
      </w:pPr>
      <w:proofErr w:type="gramStart"/>
      <w:r w:rsidRPr="00AF52B0">
        <w:t>clinical</w:t>
      </w:r>
      <w:proofErr w:type="gramEnd"/>
      <w:r w:rsidRPr="00AF52B0">
        <w:t xml:space="preserve"> remission (CDAI score of &lt;150) at Week 44.</w:t>
      </w:r>
    </w:p>
    <w:p w14:paraId="30B463A9" w14:textId="65E293DB" w:rsidR="00CE122F" w:rsidRDefault="00CE122F" w:rsidP="00AF52B0">
      <w:r w:rsidRPr="0046227E">
        <w:t xml:space="preserve">The major secondary </w:t>
      </w:r>
      <w:r>
        <w:t xml:space="preserve">efficacy </w:t>
      </w:r>
      <w:r w:rsidRPr="0046227E">
        <w:t>endpoints, in hierarchical order</w:t>
      </w:r>
      <w:r>
        <w:t>:</w:t>
      </w:r>
    </w:p>
    <w:p w14:paraId="13600B6F" w14:textId="77777777" w:rsidR="00CE122F" w:rsidRDefault="00CE122F" w:rsidP="00AF52B0">
      <w:pPr>
        <w:pStyle w:val="ListBullet"/>
      </w:pPr>
      <w:r>
        <w:t>c</w:t>
      </w:r>
      <w:r w:rsidRPr="0046227E">
        <w:t>linical response at Week 44 (redu</w:t>
      </w:r>
      <w:r w:rsidR="00AF52B0">
        <w:t>ction from Week 0 of induction S</w:t>
      </w:r>
      <w:r w:rsidRPr="0046227E">
        <w:t>tudy 3001 or</w:t>
      </w:r>
      <w:r w:rsidR="00C16F5E">
        <w:t xml:space="preserve"> CRD3002</w:t>
      </w:r>
      <w:r w:rsidRPr="0046227E">
        <w:t xml:space="preserve"> in the CDAI score of ≥100 points)</w:t>
      </w:r>
    </w:p>
    <w:p w14:paraId="66A36E46" w14:textId="77777777" w:rsidR="00CE122F" w:rsidRDefault="00CE122F" w:rsidP="00AF52B0">
      <w:pPr>
        <w:pStyle w:val="ListBullet"/>
      </w:pPr>
      <w:r>
        <w:t>c</w:t>
      </w:r>
      <w:r w:rsidRPr="0046227E">
        <w:t>linical remission at Week 44 in subjects who were in clinical remission to ustekinumab at Week 0 of maintenance; Corticosteroid-free remission at Week 44</w:t>
      </w:r>
    </w:p>
    <w:p w14:paraId="26CA622D" w14:textId="77777777" w:rsidR="00CE122F" w:rsidRPr="0046227E" w:rsidRDefault="00CE122F" w:rsidP="00AF52B0">
      <w:pPr>
        <w:pStyle w:val="ListBullet"/>
      </w:pPr>
      <w:proofErr w:type="gramStart"/>
      <w:r>
        <w:t>c</w:t>
      </w:r>
      <w:r w:rsidRPr="0046227E">
        <w:t>linical</w:t>
      </w:r>
      <w:proofErr w:type="gramEnd"/>
      <w:r w:rsidRPr="0046227E">
        <w:t xml:space="preserve"> remission at Week 44 in the subset of subjects who were refractory or intolerant to TNF antagonist therapy (subjects from Study 3001).</w:t>
      </w:r>
    </w:p>
    <w:p w14:paraId="50E2347B" w14:textId="77777777" w:rsidR="00815F43" w:rsidRDefault="00CE122F" w:rsidP="00DE648F">
      <w:r>
        <w:t>Subjects in the primary population</w:t>
      </w:r>
      <w:r w:rsidRPr="0049621F">
        <w:t xml:space="preserve"> receiving corticosteroids at Week 0 who were in clinical response were to initiate corticosteroid tapering at Week 0. This tapering was mandatory and was to follow a recommended schedule.</w:t>
      </w:r>
      <w:r w:rsidR="00EF0460">
        <w:t xml:space="preserve"> </w:t>
      </w:r>
      <w:r>
        <w:t>S</w:t>
      </w:r>
      <w:r w:rsidRPr="0049621F">
        <w:t xml:space="preserve">ubjects were not permitted to initiate any of the following prohibited medications: Immunomodulatory agents other than 6-MP/AZA or MTX (including but not limited to 6-TG, cyclosporine, tacrolimus, sirolimus, mycophenolate mofetil); Immunomodulatory biologic agents (including but not limited to TNF antagonists, natalizumab, </w:t>
      </w:r>
      <w:r w:rsidR="00957FBB" w:rsidRPr="0049621F">
        <w:t>and abatacept</w:t>
      </w:r>
      <w:r w:rsidRPr="0049621F">
        <w:t>); Experimental Crohn’s disease medications. If initiated at any time during the study, subjects were discontinued from study agent.</w:t>
      </w:r>
    </w:p>
    <w:p w14:paraId="53EF908B" w14:textId="404F3564" w:rsidR="00CE122F" w:rsidRDefault="00CE122F" w:rsidP="00CE122F">
      <w:pPr>
        <w:spacing w:before="0" w:after="0" w:line="240" w:lineRule="auto"/>
        <w:rPr>
          <w:rFonts w:asciiTheme="minorHAnsi" w:hAnsiTheme="minorHAnsi"/>
        </w:rPr>
      </w:pPr>
      <w:r w:rsidRPr="0049621F">
        <w:rPr>
          <w:rFonts w:asciiTheme="minorHAnsi" w:hAnsiTheme="minorHAnsi"/>
        </w:rPr>
        <w:t>A sing</w:t>
      </w:r>
      <w:r w:rsidRPr="00DE648F">
        <w:t>le dose adjustment to ustekinumab 90 mg q8w was permitted for subjects in the primary</w:t>
      </w:r>
      <w:r>
        <w:rPr>
          <w:rFonts w:asciiTheme="minorHAnsi" w:hAnsiTheme="minorHAnsi"/>
        </w:rPr>
        <w:t xml:space="preserve"> population </w:t>
      </w:r>
      <w:r w:rsidRPr="0049621F">
        <w:rPr>
          <w:rFonts w:asciiTheme="minorHAnsi" w:hAnsiTheme="minorHAnsi"/>
        </w:rPr>
        <w:t>who met loss of response criteria.</w:t>
      </w:r>
      <w:r w:rsidR="00EF0460">
        <w:rPr>
          <w:rFonts w:asciiTheme="minorHAnsi" w:hAnsiTheme="minorHAnsi"/>
        </w:rPr>
        <w:t xml:space="preserve"> </w:t>
      </w:r>
      <w:r w:rsidRPr="0049621F">
        <w:rPr>
          <w:rFonts w:asciiTheme="minorHAnsi" w:hAnsiTheme="minorHAnsi"/>
        </w:rPr>
        <w:t>Clinical response was assessed 16 weeks after adjustment and subjects were discontinued from study agent if not in clinical response.</w:t>
      </w:r>
    </w:p>
    <w:p w14:paraId="5A393718" w14:textId="77777777" w:rsidR="00815F43" w:rsidRDefault="00CE122F" w:rsidP="00DE648F">
      <w:r w:rsidRPr="00C95C68">
        <w:t>A total of 1,281 subjects who completed the ustekinumab induction studies were enrolled in this study</w:t>
      </w:r>
      <w:r>
        <w:t>. Out of these, 397 had received induction therapy with ustekinumab and achieved a clinical response.</w:t>
      </w:r>
      <w:r w:rsidR="00EF0460">
        <w:t xml:space="preserve"> </w:t>
      </w:r>
      <w:r>
        <w:t>Of these, 133 received placebo, 132 ustekinumab q12w and 132 ustekinumab q8w.</w:t>
      </w:r>
    </w:p>
    <w:p w14:paraId="2CFEDEFB" w14:textId="39C00855" w:rsidR="00CE122F" w:rsidRDefault="00CE122F" w:rsidP="00DE648F">
      <w:r>
        <w:t xml:space="preserve">In the primary population, </w:t>
      </w:r>
      <w:r w:rsidRPr="00DF5AAB">
        <w:t>56.4% were women</w:t>
      </w:r>
      <w:r>
        <w:t xml:space="preserve"> and 84.9% were </w:t>
      </w:r>
      <w:r w:rsidR="00AF52B0">
        <w:t>Caucasian</w:t>
      </w:r>
      <w:r>
        <w:t>.</w:t>
      </w:r>
      <w:r w:rsidRPr="00DF5AAB">
        <w:t xml:space="preserve"> </w:t>
      </w:r>
      <w:r>
        <w:t>M</w:t>
      </w:r>
      <w:r w:rsidRPr="00DF5AAB">
        <w:t xml:space="preserve">edian age </w:t>
      </w:r>
      <w:r>
        <w:t>was</w:t>
      </w:r>
      <w:r w:rsidRPr="00DF5AAB">
        <w:t xml:space="preserve"> 36 years and median weight </w:t>
      </w:r>
      <w:r>
        <w:t>was</w:t>
      </w:r>
      <w:r w:rsidRPr="00DF5AAB">
        <w:t xml:space="preserve"> 69</w:t>
      </w:r>
      <w:r w:rsidR="00AF52B0">
        <w:t xml:space="preserve"> </w:t>
      </w:r>
      <w:r w:rsidRPr="00DF5AAB">
        <w:t>kg</w:t>
      </w:r>
      <w:r>
        <w:t>.</w:t>
      </w:r>
      <w:r w:rsidRPr="00DF5AAB">
        <w:t xml:space="preserve"> The median duration of disease at baseline was 7.57 years</w:t>
      </w:r>
      <w:r>
        <w:t xml:space="preserve"> and</w:t>
      </w:r>
      <w:r w:rsidRPr="00DF5AAB">
        <w:t xml:space="preserve"> median CDAI score</w:t>
      </w:r>
      <w:r>
        <w:t xml:space="preserve"> was</w:t>
      </w:r>
      <w:r w:rsidRPr="00DF5AAB">
        <w:t xml:space="preserve"> 311</w:t>
      </w:r>
      <w:r>
        <w:t xml:space="preserve">. </w:t>
      </w:r>
      <w:r w:rsidRPr="00DF5AAB">
        <w:t xml:space="preserve">Overall, 95.5% (n=379/397) of </w:t>
      </w:r>
      <w:r>
        <w:t>primary population</w:t>
      </w:r>
      <w:r w:rsidRPr="00DF5AAB">
        <w:t xml:space="preserve"> had previously received corticosteroids</w:t>
      </w:r>
      <w:r>
        <w:t>.</w:t>
      </w:r>
      <w:r w:rsidR="00EF0460">
        <w:t xml:space="preserve"> </w:t>
      </w:r>
      <w:r>
        <w:t>O</w:t>
      </w:r>
      <w:r w:rsidRPr="00DF5AAB">
        <w:t>f those, 44.3% had previously failed to respond, 10.8% had become intolerant or developed a medical contraindication to these agents, and 47.2% had been corticosteroid dependent.</w:t>
      </w:r>
      <w:r w:rsidRPr="007B01C5">
        <w:t xml:space="preserve"> 83.1% of subjects (n=330/397) had previously received </w:t>
      </w:r>
      <w:r w:rsidR="00AF52B0">
        <w:t>immune-</w:t>
      </w:r>
      <w:r w:rsidRPr="007B01C5">
        <w:t>modulators</w:t>
      </w:r>
      <w:r>
        <w:t>.</w:t>
      </w:r>
      <w:r w:rsidR="00EF0460">
        <w:t xml:space="preserve"> </w:t>
      </w:r>
      <w:r>
        <w:t>O</w:t>
      </w:r>
      <w:r w:rsidRPr="007B01C5">
        <w:t>f those, 62.7% had previously failed to respond and 45.2% had become intolerant or developed a medical contraindication to these agents</w:t>
      </w:r>
      <w:r>
        <w:t xml:space="preserve">. </w:t>
      </w:r>
      <w:r w:rsidRPr="007B01C5">
        <w:t>44.8% were TNF antagonist refractory, 15.6% had received TNF antagonists and had not demonstrated failure or intolerance and 39.5% had not received any TNF antagonist therapy prior to study participation</w:t>
      </w:r>
      <w:r>
        <w:t>.</w:t>
      </w:r>
    </w:p>
    <w:p w14:paraId="50767B31" w14:textId="77777777" w:rsidR="00815F43" w:rsidRDefault="00CE122F" w:rsidP="00CE122F">
      <w:pPr>
        <w:spacing w:before="0" w:after="0" w:line="240" w:lineRule="auto"/>
        <w:rPr>
          <w:rFonts w:asciiTheme="minorHAnsi" w:hAnsiTheme="minorHAnsi"/>
        </w:rPr>
      </w:pPr>
      <w:r>
        <w:rPr>
          <w:rFonts w:asciiTheme="minorHAnsi" w:hAnsiTheme="minorHAnsi"/>
        </w:rPr>
        <w:lastRenderedPageBreak/>
        <w:t>At commencement of Study</w:t>
      </w:r>
      <w:r w:rsidR="00C16F5E">
        <w:rPr>
          <w:rFonts w:asciiTheme="minorHAnsi" w:hAnsiTheme="minorHAnsi"/>
        </w:rPr>
        <w:t xml:space="preserve"> CRD3003</w:t>
      </w:r>
      <w:r>
        <w:rPr>
          <w:rFonts w:asciiTheme="minorHAnsi" w:hAnsiTheme="minorHAnsi"/>
        </w:rPr>
        <w:t xml:space="preserve">, </w:t>
      </w:r>
      <w:r w:rsidRPr="007B01C5">
        <w:rPr>
          <w:rFonts w:asciiTheme="minorHAnsi" w:hAnsiTheme="minorHAnsi"/>
        </w:rPr>
        <w:t xml:space="preserve">79.3% of subjects were receiving 1 or more concomitant medications for </w:t>
      </w:r>
      <w:r>
        <w:rPr>
          <w:rFonts w:asciiTheme="minorHAnsi" w:hAnsiTheme="minorHAnsi"/>
        </w:rPr>
        <w:t xml:space="preserve">CD, </w:t>
      </w:r>
      <w:r w:rsidRPr="007B01C5">
        <w:rPr>
          <w:rFonts w:asciiTheme="minorHAnsi" w:hAnsiTheme="minorHAnsi"/>
        </w:rPr>
        <w:t>181 (45.6%) corticosteroids</w:t>
      </w:r>
      <w:r>
        <w:rPr>
          <w:rFonts w:asciiTheme="minorHAnsi" w:hAnsiTheme="minorHAnsi"/>
        </w:rPr>
        <w:t xml:space="preserve"> and </w:t>
      </w:r>
      <w:r w:rsidRPr="007B01C5">
        <w:rPr>
          <w:rFonts w:asciiTheme="minorHAnsi" w:hAnsiTheme="minorHAnsi"/>
        </w:rPr>
        <w:t xml:space="preserve">143 (36.0%) </w:t>
      </w:r>
      <w:r w:rsidR="00AF52B0">
        <w:rPr>
          <w:rFonts w:asciiTheme="minorHAnsi" w:hAnsiTheme="minorHAnsi"/>
        </w:rPr>
        <w:t>immune-</w:t>
      </w:r>
      <w:r w:rsidRPr="007B01C5">
        <w:rPr>
          <w:rFonts w:asciiTheme="minorHAnsi" w:hAnsiTheme="minorHAnsi"/>
        </w:rPr>
        <w:t xml:space="preserve">modulators. </w:t>
      </w:r>
      <w:r>
        <w:rPr>
          <w:rFonts w:asciiTheme="minorHAnsi" w:hAnsiTheme="minorHAnsi"/>
        </w:rPr>
        <w:t>Dose adjustment occurred in 51 (38.3%) subjects given placebo initially, 29 (22%) subjects given ustekinumab q12w initially and in 29 (22%) given ustekinumab q8w initially.</w:t>
      </w:r>
    </w:p>
    <w:p w14:paraId="18D30F15" w14:textId="170C77E7" w:rsidR="00CE122F" w:rsidRPr="002E5610" w:rsidRDefault="00CE122F" w:rsidP="00AF52B0">
      <w:pPr>
        <w:pStyle w:val="Heading6"/>
      </w:pPr>
      <w:r w:rsidRPr="002E5610">
        <w:t xml:space="preserve">Primary efficacy </w:t>
      </w:r>
      <w:r>
        <w:t xml:space="preserve">endpoint </w:t>
      </w:r>
      <w:r w:rsidR="00AF52B0">
        <w:t>outcome</w:t>
      </w:r>
    </w:p>
    <w:p w14:paraId="0A5ACEF9" w14:textId="77777777" w:rsidR="00815F43" w:rsidRDefault="00CE122F" w:rsidP="008F25D9">
      <w:pPr>
        <w:pStyle w:val="ListBullet"/>
      </w:pPr>
      <w:r w:rsidRPr="002E5610">
        <w:t>At Week 44, clinical remission was present in 48.8% of the ustekinumab q12w and 53.1% of the q8w groups compared with 35.9% for the placebo group.</w:t>
      </w:r>
    </w:p>
    <w:p w14:paraId="25E8FF6C" w14:textId="10E272C1" w:rsidR="00815F43" w:rsidRDefault="00CE122F" w:rsidP="008F25D9">
      <w:pPr>
        <w:pStyle w:val="ListBullet"/>
      </w:pPr>
      <w:r w:rsidRPr="002E5610">
        <w:t>These differences were statistically significant.</w:t>
      </w:r>
      <w:r w:rsidR="00EF0460">
        <w:t xml:space="preserve"> </w:t>
      </w:r>
      <w:r w:rsidRPr="002E5610">
        <w:t>The absolute difference between the proposed maintenance dose group and placebo was 17.2% (NNT 5.8).</w:t>
      </w:r>
    </w:p>
    <w:p w14:paraId="7409E027" w14:textId="54609649" w:rsidR="00CE122F" w:rsidRDefault="00CE122F" w:rsidP="00CE122F">
      <w:pPr>
        <w:spacing w:before="0" w:after="0" w:line="240" w:lineRule="auto"/>
        <w:rPr>
          <w:rFonts w:asciiTheme="minorHAnsi" w:hAnsiTheme="minorHAnsi"/>
        </w:rPr>
      </w:pPr>
      <w:r w:rsidRPr="002E5610">
        <w:rPr>
          <w:rFonts w:asciiTheme="minorHAnsi" w:hAnsiTheme="minorHAnsi"/>
          <w:b/>
        </w:rPr>
        <w:t xml:space="preserve">Primary and major secondary endpoint </w:t>
      </w:r>
      <w:r w:rsidRPr="002E5610">
        <w:rPr>
          <w:rFonts w:asciiTheme="minorHAnsi" w:hAnsiTheme="minorHAnsi"/>
        </w:rPr>
        <w:t>results are tabulated below</w:t>
      </w:r>
      <w:r w:rsidR="00BC06D7">
        <w:rPr>
          <w:rFonts w:asciiTheme="minorHAnsi" w:hAnsiTheme="minorHAnsi"/>
        </w:rPr>
        <w:t xml:space="preserve"> (Table 8).</w:t>
      </w:r>
    </w:p>
    <w:p w14:paraId="39E93B98" w14:textId="77777777" w:rsidR="00CE122F" w:rsidRPr="002E5610" w:rsidRDefault="008F25D9" w:rsidP="008F25D9">
      <w:pPr>
        <w:pStyle w:val="TableTitle"/>
      </w:pPr>
      <w:r>
        <w:t xml:space="preserve">Table 8: </w:t>
      </w:r>
      <w:r w:rsidR="00CE122F" w:rsidRPr="002E5610">
        <w:t>Maintenance of clinical response and remission Study</w:t>
      </w:r>
      <w:r w:rsidR="00C16F5E">
        <w:t xml:space="preserve"> CRD3003</w:t>
      </w:r>
      <w:r w:rsidR="00CE122F" w:rsidRPr="002E5610">
        <w:t xml:space="preserve"> at Week 44 (randomised subjects)</w:t>
      </w:r>
    </w:p>
    <w:p w14:paraId="43A000C6" w14:textId="77777777" w:rsidR="00CE122F" w:rsidRPr="00841C69" w:rsidRDefault="00CE122F" w:rsidP="00CE122F">
      <w:pPr>
        <w:kinsoku w:val="0"/>
        <w:overflowPunct w:val="0"/>
        <w:autoSpaceDE w:val="0"/>
        <w:autoSpaceDN w:val="0"/>
        <w:spacing w:before="4" w:after="0" w:line="240" w:lineRule="auto"/>
        <w:rPr>
          <w:rFonts w:ascii="Times New Roman" w:eastAsiaTheme="minorHAnsi" w:hAnsi="Times New Roman"/>
          <w:b/>
          <w:bCs/>
          <w:sz w:val="6"/>
          <w:szCs w:val="6"/>
        </w:rPr>
      </w:pPr>
      <w:bookmarkStart w:id="149" w:name="Table_5:_Maintenance_of_clinical_respons"/>
      <w:bookmarkStart w:id="150" w:name="bookmark0"/>
      <w:bookmarkStart w:id="151" w:name="bookmark1"/>
      <w:bookmarkEnd w:id="149"/>
      <w:bookmarkEnd w:id="150"/>
      <w:bookmarkEnd w:id="151"/>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Table 8 is a list of maintenance of clinical response and remission Study CRD3003 at Week 44 (randomised subjects)"/>
      </w:tblPr>
      <w:tblGrid>
        <w:gridCol w:w="3416"/>
        <w:gridCol w:w="1160"/>
        <w:gridCol w:w="1961"/>
        <w:gridCol w:w="1792"/>
      </w:tblGrid>
      <w:tr w:rsidR="00CE122F" w:rsidRPr="00841C69" w14:paraId="7A50FB5D" w14:textId="77777777" w:rsidTr="00DE648F">
        <w:trPr>
          <w:trHeight w:val="18"/>
          <w:tblHeader/>
        </w:trPr>
        <w:tc>
          <w:tcPr>
            <w:tcW w:w="3416" w:type="dxa"/>
            <w:shd w:val="clear" w:color="auto" w:fill="0070C0"/>
          </w:tcPr>
          <w:p w14:paraId="6C4A7B80" w14:textId="77777777" w:rsidR="00CE122F" w:rsidRPr="00DE648F" w:rsidRDefault="00CE122F" w:rsidP="00DE648F">
            <w:pPr>
              <w:pStyle w:val="TableTitle"/>
              <w:rPr>
                <w:color w:val="FFFFFF" w:themeColor="background1"/>
              </w:rPr>
            </w:pPr>
          </w:p>
        </w:tc>
        <w:tc>
          <w:tcPr>
            <w:tcW w:w="1160" w:type="dxa"/>
            <w:shd w:val="clear" w:color="auto" w:fill="0070C0"/>
          </w:tcPr>
          <w:p w14:paraId="0070D9F6" w14:textId="77777777" w:rsidR="00CE122F" w:rsidRPr="00DE648F" w:rsidRDefault="00CE122F" w:rsidP="00DE648F">
            <w:pPr>
              <w:pStyle w:val="TableTitle"/>
              <w:rPr>
                <w:color w:val="FFFFFF" w:themeColor="background1"/>
              </w:rPr>
            </w:pPr>
            <w:r w:rsidRPr="00DE648F">
              <w:rPr>
                <w:color w:val="FFFFFF" w:themeColor="background1"/>
              </w:rPr>
              <w:t>Placebo</w:t>
            </w:r>
          </w:p>
        </w:tc>
        <w:tc>
          <w:tcPr>
            <w:tcW w:w="1961" w:type="dxa"/>
            <w:shd w:val="clear" w:color="auto" w:fill="0070C0"/>
          </w:tcPr>
          <w:p w14:paraId="04665A9C" w14:textId="77777777" w:rsidR="00CE122F" w:rsidRPr="00DE648F" w:rsidRDefault="00CE122F" w:rsidP="00DE648F">
            <w:pPr>
              <w:pStyle w:val="TableTitle"/>
              <w:rPr>
                <w:color w:val="FFFFFF" w:themeColor="background1"/>
              </w:rPr>
            </w:pPr>
            <w:r w:rsidRPr="00DE648F">
              <w:rPr>
                <w:color w:val="FFFFFF" w:themeColor="background1"/>
              </w:rPr>
              <w:t>Ustekinumab 90 mg q12w</w:t>
            </w:r>
          </w:p>
        </w:tc>
        <w:tc>
          <w:tcPr>
            <w:tcW w:w="1792" w:type="dxa"/>
            <w:shd w:val="clear" w:color="auto" w:fill="0070C0"/>
          </w:tcPr>
          <w:p w14:paraId="65AEB48A" w14:textId="77777777" w:rsidR="00CE122F" w:rsidRPr="00DE648F" w:rsidRDefault="00CE122F" w:rsidP="00DE648F">
            <w:pPr>
              <w:pStyle w:val="TableTitle"/>
              <w:rPr>
                <w:color w:val="FFFFFF" w:themeColor="background1"/>
              </w:rPr>
            </w:pPr>
            <w:r w:rsidRPr="00DE648F">
              <w:rPr>
                <w:color w:val="FFFFFF" w:themeColor="background1"/>
              </w:rPr>
              <w:t>Ustekinumab 90 mg q8w</w:t>
            </w:r>
          </w:p>
        </w:tc>
      </w:tr>
      <w:tr w:rsidR="00CE122F" w:rsidRPr="00841C69" w14:paraId="5F71DAEB" w14:textId="77777777" w:rsidTr="008F25D9">
        <w:trPr>
          <w:trHeight w:val="18"/>
        </w:trPr>
        <w:tc>
          <w:tcPr>
            <w:tcW w:w="3416" w:type="dxa"/>
          </w:tcPr>
          <w:p w14:paraId="0FC80896" w14:textId="77777777" w:rsidR="00CE122F" w:rsidRPr="00841C69" w:rsidRDefault="00CE122F" w:rsidP="00DE648F">
            <w:pPr>
              <w:pStyle w:val="Tabletext"/>
            </w:pPr>
            <w:r w:rsidRPr="00841C69">
              <w:t>Subjects randomized*</w:t>
            </w:r>
          </w:p>
        </w:tc>
        <w:tc>
          <w:tcPr>
            <w:tcW w:w="1160" w:type="dxa"/>
          </w:tcPr>
          <w:p w14:paraId="07FE2841" w14:textId="77777777" w:rsidR="00CE122F" w:rsidRPr="00841C69" w:rsidRDefault="00CE122F" w:rsidP="00436AF6">
            <w:pPr>
              <w:pStyle w:val="Tabletext"/>
              <w:jc w:val="center"/>
            </w:pPr>
            <w:r w:rsidRPr="00841C69">
              <w:rPr>
                <w:spacing w:val="1"/>
              </w:rPr>
              <w:t>131</w:t>
            </w:r>
          </w:p>
        </w:tc>
        <w:tc>
          <w:tcPr>
            <w:tcW w:w="1961" w:type="dxa"/>
          </w:tcPr>
          <w:p w14:paraId="3C5AFD36" w14:textId="77777777" w:rsidR="00CE122F" w:rsidRPr="00841C69" w:rsidRDefault="00CE122F" w:rsidP="00436AF6">
            <w:pPr>
              <w:pStyle w:val="Tabletext"/>
              <w:jc w:val="center"/>
            </w:pPr>
            <w:r w:rsidRPr="00841C69">
              <w:rPr>
                <w:spacing w:val="1"/>
              </w:rPr>
              <w:t>129</w:t>
            </w:r>
          </w:p>
        </w:tc>
        <w:tc>
          <w:tcPr>
            <w:tcW w:w="1792" w:type="dxa"/>
          </w:tcPr>
          <w:p w14:paraId="09B0D1EB" w14:textId="77777777" w:rsidR="00CE122F" w:rsidRPr="00841C69" w:rsidRDefault="00CE122F" w:rsidP="00436AF6">
            <w:pPr>
              <w:pStyle w:val="Tabletext"/>
              <w:jc w:val="center"/>
            </w:pPr>
            <w:r w:rsidRPr="00841C69">
              <w:rPr>
                <w:spacing w:val="1"/>
              </w:rPr>
              <w:t>128</w:t>
            </w:r>
          </w:p>
        </w:tc>
      </w:tr>
      <w:tr w:rsidR="00CE122F" w:rsidRPr="00841C69" w14:paraId="3B22DC10" w14:textId="77777777" w:rsidTr="008F25D9">
        <w:trPr>
          <w:trHeight w:val="18"/>
        </w:trPr>
        <w:tc>
          <w:tcPr>
            <w:tcW w:w="3416" w:type="dxa"/>
          </w:tcPr>
          <w:p w14:paraId="2DE84C34" w14:textId="77777777" w:rsidR="00CE122F" w:rsidRPr="00841C69" w:rsidRDefault="00CE122F" w:rsidP="00DE648F">
            <w:pPr>
              <w:pStyle w:val="Tabletext"/>
            </w:pPr>
            <w:r w:rsidRPr="00841C69">
              <w:t xml:space="preserve">Clinical </w:t>
            </w:r>
            <w:r w:rsidRPr="00841C69">
              <w:rPr>
                <w:spacing w:val="-1"/>
              </w:rPr>
              <w:t>remission</w:t>
            </w:r>
          </w:p>
        </w:tc>
        <w:tc>
          <w:tcPr>
            <w:tcW w:w="1160" w:type="dxa"/>
          </w:tcPr>
          <w:p w14:paraId="43C030C5" w14:textId="77777777" w:rsidR="00CE122F" w:rsidRPr="00841C69" w:rsidRDefault="00CE122F" w:rsidP="00436AF6">
            <w:pPr>
              <w:pStyle w:val="Tabletext"/>
              <w:jc w:val="center"/>
            </w:pPr>
            <w:r w:rsidRPr="00841C69">
              <w:rPr>
                <w:spacing w:val="1"/>
              </w:rPr>
              <w:t>36%</w:t>
            </w:r>
          </w:p>
        </w:tc>
        <w:tc>
          <w:tcPr>
            <w:tcW w:w="1961" w:type="dxa"/>
          </w:tcPr>
          <w:p w14:paraId="3F1BD327" w14:textId="77777777" w:rsidR="00CE122F" w:rsidRPr="00841C69" w:rsidRDefault="00CE122F" w:rsidP="00436AF6">
            <w:pPr>
              <w:pStyle w:val="Tabletext"/>
              <w:jc w:val="center"/>
            </w:pPr>
            <w:r w:rsidRPr="00841C69">
              <w:t>49%</w:t>
            </w:r>
            <w:r w:rsidRPr="00841C69">
              <w:rPr>
                <w:position w:val="8"/>
                <w:sz w:val="12"/>
                <w:szCs w:val="12"/>
              </w:rPr>
              <w:t>b</w:t>
            </w:r>
          </w:p>
        </w:tc>
        <w:tc>
          <w:tcPr>
            <w:tcW w:w="1792" w:type="dxa"/>
          </w:tcPr>
          <w:p w14:paraId="298053FD" w14:textId="77777777" w:rsidR="00CE122F" w:rsidRPr="00841C69" w:rsidRDefault="00CE122F" w:rsidP="00436AF6">
            <w:pPr>
              <w:pStyle w:val="Tabletext"/>
              <w:jc w:val="center"/>
            </w:pPr>
            <w:r w:rsidRPr="00841C69">
              <w:t>53%</w:t>
            </w:r>
            <w:r w:rsidRPr="00841C69">
              <w:rPr>
                <w:position w:val="8"/>
                <w:sz w:val="12"/>
                <w:szCs w:val="12"/>
              </w:rPr>
              <w:t>a</w:t>
            </w:r>
          </w:p>
        </w:tc>
      </w:tr>
      <w:tr w:rsidR="00CE122F" w:rsidRPr="00841C69" w14:paraId="21492619" w14:textId="77777777" w:rsidTr="008F25D9">
        <w:trPr>
          <w:trHeight w:val="18"/>
        </w:trPr>
        <w:tc>
          <w:tcPr>
            <w:tcW w:w="3416" w:type="dxa"/>
          </w:tcPr>
          <w:p w14:paraId="436132C5" w14:textId="77777777" w:rsidR="00CE122F" w:rsidRPr="00841C69" w:rsidRDefault="00CE122F" w:rsidP="00DE648F">
            <w:pPr>
              <w:pStyle w:val="Tabletext"/>
            </w:pPr>
            <w:r w:rsidRPr="00841C69">
              <w:t xml:space="preserve">Clinical </w:t>
            </w:r>
            <w:r w:rsidRPr="00841C69">
              <w:rPr>
                <w:spacing w:val="-1"/>
              </w:rPr>
              <w:t>response</w:t>
            </w:r>
          </w:p>
        </w:tc>
        <w:tc>
          <w:tcPr>
            <w:tcW w:w="1160" w:type="dxa"/>
          </w:tcPr>
          <w:p w14:paraId="02E58B0F" w14:textId="77777777" w:rsidR="00CE122F" w:rsidRPr="00841C69" w:rsidRDefault="00CE122F" w:rsidP="00436AF6">
            <w:pPr>
              <w:pStyle w:val="Tabletext"/>
              <w:jc w:val="center"/>
            </w:pPr>
            <w:r w:rsidRPr="00841C69">
              <w:rPr>
                <w:spacing w:val="1"/>
              </w:rPr>
              <w:t>44%</w:t>
            </w:r>
          </w:p>
        </w:tc>
        <w:tc>
          <w:tcPr>
            <w:tcW w:w="1961" w:type="dxa"/>
          </w:tcPr>
          <w:p w14:paraId="3B14699C" w14:textId="77777777" w:rsidR="00CE122F" w:rsidRPr="00841C69" w:rsidRDefault="00CE122F" w:rsidP="00436AF6">
            <w:pPr>
              <w:pStyle w:val="Tabletext"/>
              <w:jc w:val="center"/>
            </w:pPr>
            <w:r w:rsidRPr="00841C69">
              <w:t>58%</w:t>
            </w:r>
            <w:r w:rsidRPr="00841C69">
              <w:rPr>
                <w:position w:val="8"/>
                <w:sz w:val="12"/>
                <w:szCs w:val="12"/>
              </w:rPr>
              <w:t>b</w:t>
            </w:r>
          </w:p>
        </w:tc>
        <w:tc>
          <w:tcPr>
            <w:tcW w:w="1792" w:type="dxa"/>
          </w:tcPr>
          <w:p w14:paraId="19245121" w14:textId="77777777" w:rsidR="00CE122F" w:rsidRPr="00841C69" w:rsidRDefault="00CE122F" w:rsidP="00436AF6">
            <w:pPr>
              <w:pStyle w:val="Tabletext"/>
              <w:jc w:val="center"/>
            </w:pPr>
            <w:r w:rsidRPr="00841C69">
              <w:t>59%</w:t>
            </w:r>
            <w:r w:rsidRPr="00841C69">
              <w:rPr>
                <w:position w:val="8"/>
                <w:sz w:val="12"/>
                <w:szCs w:val="12"/>
              </w:rPr>
              <w:t>b</w:t>
            </w:r>
          </w:p>
        </w:tc>
      </w:tr>
      <w:tr w:rsidR="00CE122F" w:rsidRPr="00841C69" w14:paraId="341BEAA9" w14:textId="77777777" w:rsidTr="008F25D9">
        <w:trPr>
          <w:trHeight w:val="18"/>
        </w:trPr>
        <w:tc>
          <w:tcPr>
            <w:tcW w:w="3416" w:type="dxa"/>
          </w:tcPr>
          <w:p w14:paraId="0E474F06" w14:textId="77777777" w:rsidR="00CE122F" w:rsidRPr="00841C69" w:rsidRDefault="00CE122F" w:rsidP="00DE648F">
            <w:pPr>
              <w:pStyle w:val="Tabletext"/>
            </w:pPr>
            <w:r w:rsidRPr="00841C69">
              <w:t>Corticosteroid-free clinical remission</w:t>
            </w:r>
          </w:p>
        </w:tc>
        <w:tc>
          <w:tcPr>
            <w:tcW w:w="1160" w:type="dxa"/>
          </w:tcPr>
          <w:p w14:paraId="60AF46A9" w14:textId="77777777" w:rsidR="00CE122F" w:rsidRPr="00841C69" w:rsidRDefault="00CE122F" w:rsidP="00436AF6">
            <w:pPr>
              <w:pStyle w:val="Tabletext"/>
              <w:jc w:val="center"/>
            </w:pPr>
            <w:r w:rsidRPr="00841C69">
              <w:rPr>
                <w:spacing w:val="1"/>
              </w:rPr>
              <w:t>30%</w:t>
            </w:r>
          </w:p>
        </w:tc>
        <w:tc>
          <w:tcPr>
            <w:tcW w:w="1961" w:type="dxa"/>
          </w:tcPr>
          <w:p w14:paraId="3F36A50D" w14:textId="77777777" w:rsidR="00CE122F" w:rsidRPr="00841C69" w:rsidRDefault="00CE122F" w:rsidP="00436AF6">
            <w:pPr>
              <w:pStyle w:val="Tabletext"/>
              <w:jc w:val="center"/>
            </w:pPr>
            <w:r w:rsidRPr="00841C69">
              <w:t>43%</w:t>
            </w:r>
            <w:r w:rsidRPr="00841C69">
              <w:rPr>
                <w:position w:val="8"/>
                <w:sz w:val="12"/>
                <w:szCs w:val="12"/>
              </w:rPr>
              <w:t>c</w:t>
            </w:r>
          </w:p>
        </w:tc>
        <w:tc>
          <w:tcPr>
            <w:tcW w:w="1792" w:type="dxa"/>
          </w:tcPr>
          <w:p w14:paraId="2E66AD87" w14:textId="77777777" w:rsidR="00CE122F" w:rsidRPr="00841C69" w:rsidRDefault="00CE122F" w:rsidP="00436AF6">
            <w:pPr>
              <w:pStyle w:val="Tabletext"/>
              <w:jc w:val="center"/>
            </w:pPr>
            <w:r w:rsidRPr="00841C69">
              <w:t>47%</w:t>
            </w:r>
            <w:r w:rsidRPr="00841C69">
              <w:rPr>
                <w:position w:val="8"/>
                <w:sz w:val="12"/>
                <w:szCs w:val="12"/>
              </w:rPr>
              <w:t>a</w:t>
            </w:r>
          </w:p>
        </w:tc>
      </w:tr>
      <w:tr w:rsidR="00CE122F" w:rsidRPr="00841C69" w14:paraId="0657EA42" w14:textId="77777777" w:rsidTr="008F25D9">
        <w:trPr>
          <w:trHeight w:val="18"/>
        </w:trPr>
        <w:tc>
          <w:tcPr>
            <w:tcW w:w="3416" w:type="dxa"/>
          </w:tcPr>
          <w:p w14:paraId="2E062E56" w14:textId="77777777" w:rsidR="00CE122F" w:rsidRPr="00841C69" w:rsidRDefault="00CE122F" w:rsidP="00DE648F">
            <w:pPr>
              <w:pStyle w:val="Tabletext"/>
            </w:pPr>
            <w:r w:rsidRPr="00841C69">
              <w:t xml:space="preserve">Sustained </w:t>
            </w:r>
            <w:r w:rsidRPr="00841C69">
              <w:rPr>
                <w:spacing w:val="-1"/>
              </w:rPr>
              <w:t>clinical remission</w:t>
            </w:r>
          </w:p>
        </w:tc>
        <w:tc>
          <w:tcPr>
            <w:tcW w:w="1160" w:type="dxa"/>
          </w:tcPr>
          <w:p w14:paraId="3E2C6405" w14:textId="77777777" w:rsidR="00CE122F" w:rsidRPr="00841C69" w:rsidRDefault="00CE122F" w:rsidP="00436AF6">
            <w:pPr>
              <w:pStyle w:val="Tabletext"/>
              <w:jc w:val="center"/>
            </w:pPr>
            <w:r w:rsidRPr="00841C69">
              <w:rPr>
                <w:spacing w:val="1"/>
              </w:rPr>
              <w:t>26%</w:t>
            </w:r>
          </w:p>
        </w:tc>
        <w:tc>
          <w:tcPr>
            <w:tcW w:w="1961" w:type="dxa"/>
          </w:tcPr>
          <w:p w14:paraId="4805F84C" w14:textId="77777777" w:rsidR="00CE122F" w:rsidRPr="00841C69" w:rsidRDefault="00CE122F" w:rsidP="00436AF6">
            <w:pPr>
              <w:pStyle w:val="Tabletext"/>
              <w:jc w:val="center"/>
            </w:pPr>
            <w:r w:rsidRPr="00841C69">
              <w:t>40%</w:t>
            </w:r>
            <w:r w:rsidRPr="00841C69">
              <w:rPr>
                <w:position w:val="8"/>
                <w:sz w:val="12"/>
                <w:szCs w:val="12"/>
              </w:rPr>
              <w:t>c</w:t>
            </w:r>
          </w:p>
        </w:tc>
        <w:tc>
          <w:tcPr>
            <w:tcW w:w="1792" w:type="dxa"/>
          </w:tcPr>
          <w:p w14:paraId="28134557" w14:textId="77777777" w:rsidR="00CE122F" w:rsidRPr="00841C69" w:rsidRDefault="00CE122F" w:rsidP="00436AF6">
            <w:pPr>
              <w:pStyle w:val="Tabletext"/>
              <w:jc w:val="center"/>
            </w:pPr>
            <w:r w:rsidRPr="00841C69">
              <w:t>46%</w:t>
            </w:r>
            <w:r w:rsidRPr="00841C69">
              <w:rPr>
                <w:position w:val="8"/>
                <w:sz w:val="12"/>
                <w:szCs w:val="12"/>
              </w:rPr>
              <w:t>c</w:t>
            </w:r>
          </w:p>
        </w:tc>
      </w:tr>
      <w:tr w:rsidR="00CE122F" w:rsidRPr="00841C69" w14:paraId="26EA7FD7" w14:textId="77777777" w:rsidTr="008F25D9">
        <w:trPr>
          <w:trHeight w:val="18"/>
        </w:trPr>
        <w:tc>
          <w:tcPr>
            <w:tcW w:w="3416" w:type="dxa"/>
          </w:tcPr>
          <w:p w14:paraId="75C29CAC" w14:textId="77777777" w:rsidR="00CE122F" w:rsidRPr="00841C69" w:rsidRDefault="00CE122F" w:rsidP="00DE648F">
            <w:pPr>
              <w:pStyle w:val="Tabletext"/>
            </w:pPr>
            <w:r w:rsidRPr="00841C69">
              <w:t>Clinical remission in patients:</w:t>
            </w:r>
          </w:p>
          <w:p w14:paraId="46016340" w14:textId="77777777" w:rsidR="00CE122F" w:rsidRPr="00841C69" w:rsidRDefault="00CE122F" w:rsidP="00DE648F">
            <w:pPr>
              <w:pStyle w:val="Tabletext"/>
            </w:pPr>
            <w:r w:rsidRPr="00841C69">
              <w:t>in remission at the start of maintenance therapy</w:t>
            </w:r>
          </w:p>
        </w:tc>
        <w:tc>
          <w:tcPr>
            <w:tcW w:w="1160" w:type="dxa"/>
          </w:tcPr>
          <w:p w14:paraId="234D3375" w14:textId="77777777" w:rsidR="00CE122F" w:rsidRPr="00841C69" w:rsidRDefault="00CE122F" w:rsidP="00436AF6">
            <w:pPr>
              <w:pStyle w:val="Tabletext"/>
              <w:spacing w:before="360"/>
              <w:jc w:val="center"/>
            </w:pPr>
            <w:r w:rsidRPr="00841C69">
              <w:t>46% (36/79)</w:t>
            </w:r>
          </w:p>
        </w:tc>
        <w:tc>
          <w:tcPr>
            <w:tcW w:w="1961" w:type="dxa"/>
          </w:tcPr>
          <w:p w14:paraId="3886C293" w14:textId="77777777" w:rsidR="00CE122F" w:rsidRPr="00841C69" w:rsidRDefault="00CE122F" w:rsidP="00436AF6">
            <w:pPr>
              <w:pStyle w:val="Tabletext"/>
              <w:spacing w:before="360"/>
              <w:jc w:val="center"/>
            </w:pPr>
            <w:r w:rsidRPr="00841C69">
              <w:t>56% (44/78)</w:t>
            </w:r>
          </w:p>
        </w:tc>
        <w:tc>
          <w:tcPr>
            <w:tcW w:w="1792" w:type="dxa"/>
          </w:tcPr>
          <w:p w14:paraId="4249DE86" w14:textId="77777777" w:rsidR="00CE122F" w:rsidRPr="00841C69" w:rsidRDefault="00CE122F" w:rsidP="00436AF6">
            <w:pPr>
              <w:pStyle w:val="Tabletext"/>
              <w:spacing w:before="360"/>
              <w:jc w:val="center"/>
            </w:pPr>
            <w:r w:rsidRPr="00841C69">
              <w:t>67% (52/78)</w:t>
            </w:r>
            <w:r w:rsidRPr="00841C69">
              <w:rPr>
                <w:position w:val="8"/>
                <w:sz w:val="12"/>
                <w:szCs w:val="12"/>
              </w:rPr>
              <w:t>a</w:t>
            </w:r>
          </w:p>
        </w:tc>
      </w:tr>
      <w:tr w:rsidR="00CE122F" w:rsidRPr="00841C69" w14:paraId="52BEFE08" w14:textId="77777777" w:rsidTr="008F25D9">
        <w:trPr>
          <w:trHeight w:val="18"/>
        </w:trPr>
        <w:tc>
          <w:tcPr>
            <w:tcW w:w="3416" w:type="dxa"/>
          </w:tcPr>
          <w:p w14:paraId="0D3727B0" w14:textId="77777777" w:rsidR="00CE122F" w:rsidRPr="00841C69" w:rsidRDefault="00CE122F" w:rsidP="00DE648F">
            <w:pPr>
              <w:pStyle w:val="Tabletext"/>
            </w:pPr>
            <w:r w:rsidRPr="00841C69">
              <w:rPr>
                <w:spacing w:val="-1"/>
              </w:rPr>
              <w:t>who are TNF-antagonist-refractory/intolerant</w:t>
            </w:r>
          </w:p>
        </w:tc>
        <w:tc>
          <w:tcPr>
            <w:tcW w:w="1160" w:type="dxa"/>
          </w:tcPr>
          <w:p w14:paraId="17FA307B" w14:textId="77777777" w:rsidR="00CE122F" w:rsidRPr="00841C69" w:rsidRDefault="00CE122F" w:rsidP="00436AF6">
            <w:pPr>
              <w:pStyle w:val="Tabletext"/>
              <w:jc w:val="center"/>
            </w:pPr>
            <w:r w:rsidRPr="00841C69">
              <w:t>26% (16/61)</w:t>
            </w:r>
          </w:p>
        </w:tc>
        <w:tc>
          <w:tcPr>
            <w:tcW w:w="1961" w:type="dxa"/>
          </w:tcPr>
          <w:p w14:paraId="7422923B" w14:textId="77777777" w:rsidR="00CE122F" w:rsidRPr="00841C69" w:rsidRDefault="00CE122F" w:rsidP="00436AF6">
            <w:pPr>
              <w:pStyle w:val="Tabletext"/>
              <w:jc w:val="center"/>
            </w:pPr>
            <w:r w:rsidRPr="00841C69">
              <w:t>39% (22/57)</w:t>
            </w:r>
          </w:p>
        </w:tc>
        <w:tc>
          <w:tcPr>
            <w:tcW w:w="1792" w:type="dxa"/>
          </w:tcPr>
          <w:p w14:paraId="6D50E06F" w14:textId="77777777" w:rsidR="00CE122F" w:rsidRPr="00841C69" w:rsidRDefault="00CE122F" w:rsidP="00436AF6">
            <w:pPr>
              <w:pStyle w:val="Tabletext"/>
              <w:jc w:val="center"/>
            </w:pPr>
            <w:r w:rsidRPr="00841C69">
              <w:t>41% (23/56)</w:t>
            </w:r>
          </w:p>
        </w:tc>
      </w:tr>
      <w:tr w:rsidR="00CE122F" w:rsidRPr="00841C69" w14:paraId="4B7A78D7" w14:textId="77777777" w:rsidTr="008F25D9">
        <w:trPr>
          <w:trHeight w:val="18"/>
        </w:trPr>
        <w:tc>
          <w:tcPr>
            <w:tcW w:w="3416" w:type="dxa"/>
          </w:tcPr>
          <w:p w14:paraId="04244E8E" w14:textId="77777777" w:rsidR="00CE122F" w:rsidRPr="00841C69" w:rsidRDefault="00CE122F" w:rsidP="00DE648F">
            <w:pPr>
              <w:pStyle w:val="Tabletext"/>
            </w:pPr>
            <w:r w:rsidRPr="00841C69">
              <w:t>who failed conventional therapy</w:t>
            </w:r>
          </w:p>
        </w:tc>
        <w:tc>
          <w:tcPr>
            <w:tcW w:w="1160" w:type="dxa"/>
          </w:tcPr>
          <w:p w14:paraId="7FE6424C" w14:textId="77777777" w:rsidR="00CE122F" w:rsidRPr="00841C69" w:rsidRDefault="00CE122F" w:rsidP="00436AF6">
            <w:pPr>
              <w:pStyle w:val="Tabletext"/>
              <w:jc w:val="center"/>
            </w:pPr>
            <w:r w:rsidRPr="00841C69">
              <w:t>44% (31/70)</w:t>
            </w:r>
          </w:p>
        </w:tc>
        <w:tc>
          <w:tcPr>
            <w:tcW w:w="1961" w:type="dxa"/>
          </w:tcPr>
          <w:p w14:paraId="3F8A5DF6" w14:textId="77777777" w:rsidR="00CE122F" w:rsidRPr="00841C69" w:rsidRDefault="00CE122F" w:rsidP="00436AF6">
            <w:pPr>
              <w:pStyle w:val="Tabletext"/>
              <w:jc w:val="center"/>
            </w:pPr>
            <w:r w:rsidRPr="00841C69">
              <w:t>57% (41/72)</w:t>
            </w:r>
          </w:p>
        </w:tc>
        <w:tc>
          <w:tcPr>
            <w:tcW w:w="1792" w:type="dxa"/>
          </w:tcPr>
          <w:p w14:paraId="3A43860D" w14:textId="77777777" w:rsidR="00CE122F" w:rsidRPr="00841C69" w:rsidRDefault="00CE122F" w:rsidP="00436AF6">
            <w:pPr>
              <w:pStyle w:val="Tabletext"/>
              <w:jc w:val="center"/>
            </w:pPr>
            <w:r w:rsidRPr="00841C69">
              <w:t>63% (45/72)</w:t>
            </w:r>
            <w:r w:rsidRPr="00841C69">
              <w:rPr>
                <w:position w:val="8"/>
                <w:sz w:val="12"/>
                <w:szCs w:val="12"/>
              </w:rPr>
              <w:t>c</w:t>
            </w:r>
          </w:p>
        </w:tc>
      </w:tr>
      <w:tr w:rsidR="00CE122F" w:rsidRPr="00841C69" w14:paraId="0C712979" w14:textId="77777777" w:rsidTr="008F25D9">
        <w:trPr>
          <w:trHeight w:val="18"/>
        </w:trPr>
        <w:tc>
          <w:tcPr>
            <w:tcW w:w="3416" w:type="dxa"/>
          </w:tcPr>
          <w:p w14:paraId="347A9AF6" w14:textId="77777777" w:rsidR="00CE122F" w:rsidRPr="00841C69" w:rsidRDefault="00CE122F" w:rsidP="00DE648F">
            <w:pPr>
              <w:pStyle w:val="Tabletext"/>
            </w:pPr>
            <w:r w:rsidRPr="00841C69">
              <w:rPr>
                <w:spacing w:val="-1"/>
              </w:rPr>
              <w:t>who are</w:t>
            </w:r>
            <w:r w:rsidRPr="00841C69">
              <w:t xml:space="preserve"> </w:t>
            </w:r>
            <w:r w:rsidRPr="00841C69">
              <w:rPr>
                <w:spacing w:val="-1"/>
              </w:rPr>
              <w:t>TNF-antagonist-naïve</w:t>
            </w:r>
          </w:p>
        </w:tc>
        <w:tc>
          <w:tcPr>
            <w:tcW w:w="1160" w:type="dxa"/>
          </w:tcPr>
          <w:p w14:paraId="5E979473" w14:textId="77777777" w:rsidR="00CE122F" w:rsidRPr="00841C69" w:rsidRDefault="00CE122F" w:rsidP="00436AF6">
            <w:pPr>
              <w:pStyle w:val="Tabletext"/>
              <w:jc w:val="center"/>
            </w:pPr>
            <w:r w:rsidRPr="00841C69">
              <w:t>49% (25/51)</w:t>
            </w:r>
          </w:p>
        </w:tc>
        <w:tc>
          <w:tcPr>
            <w:tcW w:w="1961" w:type="dxa"/>
          </w:tcPr>
          <w:p w14:paraId="7826EBBF" w14:textId="77777777" w:rsidR="00CE122F" w:rsidRPr="00841C69" w:rsidRDefault="00CE122F" w:rsidP="00436AF6">
            <w:pPr>
              <w:pStyle w:val="Tabletext"/>
              <w:jc w:val="center"/>
            </w:pPr>
            <w:r w:rsidRPr="00841C69">
              <w:t>57% (30/53)</w:t>
            </w:r>
          </w:p>
        </w:tc>
        <w:tc>
          <w:tcPr>
            <w:tcW w:w="1792" w:type="dxa"/>
          </w:tcPr>
          <w:p w14:paraId="082EF4C7" w14:textId="77777777" w:rsidR="00CE122F" w:rsidRPr="00841C69" w:rsidRDefault="00CE122F" w:rsidP="00436AF6">
            <w:pPr>
              <w:pStyle w:val="Tabletext"/>
              <w:jc w:val="center"/>
            </w:pPr>
            <w:r w:rsidRPr="00841C69">
              <w:t>65% (34/52</w:t>
            </w:r>
            <w:r>
              <w:t>)</w:t>
            </w:r>
          </w:p>
        </w:tc>
      </w:tr>
    </w:tbl>
    <w:p w14:paraId="6C50BCC1" w14:textId="77777777" w:rsidR="00CE122F" w:rsidRPr="00841C69" w:rsidRDefault="00CE122F" w:rsidP="008F25D9">
      <w:pPr>
        <w:pStyle w:val="TableDescription"/>
      </w:pPr>
      <w:proofErr w:type="gramStart"/>
      <w:r>
        <w:t>a</w:t>
      </w:r>
      <w:proofErr w:type="gramEnd"/>
      <w:r>
        <w:t>: p&lt;0.01; b: p&lt;0.05; c: nominally significant (p&lt;0.05)</w:t>
      </w:r>
    </w:p>
    <w:p w14:paraId="5334382F" w14:textId="77777777" w:rsidR="00815F43" w:rsidRDefault="00CE122F" w:rsidP="008F25D9">
      <w:r w:rsidRPr="00841C69">
        <w:t xml:space="preserve">Among patients who achieved a clinical response with </w:t>
      </w:r>
      <w:r>
        <w:t>either in</w:t>
      </w:r>
      <w:r w:rsidRPr="00841C69">
        <w:t>duction regimen</w:t>
      </w:r>
      <w:r>
        <w:t xml:space="preserve"> of ustekinumab, </w:t>
      </w:r>
      <w:r w:rsidRPr="002B6724">
        <w:rPr>
          <w:i/>
        </w:rPr>
        <w:t xml:space="preserve">the maintenance of that response was achieved by an additional 15% of patients </w:t>
      </w:r>
      <w:r>
        <w:rPr>
          <w:i/>
        </w:rPr>
        <w:t>(</w:t>
      </w:r>
      <w:r>
        <w:t xml:space="preserve">given the proposed ustekinumab maintenance regimen) </w:t>
      </w:r>
      <w:r w:rsidRPr="002B6724">
        <w:rPr>
          <w:i/>
        </w:rPr>
        <w:t>compared with placebo.</w:t>
      </w:r>
    </w:p>
    <w:p w14:paraId="0D24D498" w14:textId="23B5371A" w:rsidR="00815F43" w:rsidRDefault="00CE122F" w:rsidP="008F25D9">
      <w:r>
        <w:t>Most patients who were taking concomitant corticosteroids or immunomodulatory agents continued these agents while taking maintenance ustekinumab.</w:t>
      </w:r>
    </w:p>
    <w:p w14:paraId="72A20583" w14:textId="7A0FA1EE" w:rsidR="00815F43" w:rsidRDefault="00CE122F" w:rsidP="008F25D9">
      <w:r w:rsidRPr="00DB4196">
        <w:t>Overall, 29 subjects in the ustekinumab 90 mg q12w group had a dose adjustment to</w:t>
      </w:r>
      <w:r w:rsidR="008F25D9">
        <w:t xml:space="preserve"> </w:t>
      </w:r>
      <w:r w:rsidRPr="00DB4196">
        <w:t xml:space="preserve">90 mg q8w after </w:t>
      </w:r>
      <w:r w:rsidRPr="008F25D9">
        <w:t xml:space="preserve">meeting </w:t>
      </w:r>
      <w:r w:rsidR="008F25D9" w:rsidRPr="008F25D9">
        <w:t>Loss Of Response (</w:t>
      </w:r>
      <w:r w:rsidRPr="008F25D9">
        <w:t>LOR</w:t>
      </w:r>
      <w:r w:rsidR="008F25D9" w:rsidRPr="008F25D9">
        <w:t>)</w:t>
      </w:r>
      <w:r w:rsidRPr="00DB4196">
        <w:t xml:space="preserve"> criteria. When assessed 16 weeks after dose adjustment: </w:t>
      </w:r>
      <w:r w:rsidRPr="002B6724">
        <w:rPr>
          <w:i/>
        </w:rPr>
        <w:t>41.4% of these subjects were in clinical remission, 55.2% of these subjects had regained clinical response and the median change in CDAI score from time of dose adjustment was</w:t>
      </w:r>
      <w:r>
        <w:rPr>
          <w:i/>
        </w:rPr>
        <w:t xml:space="preserve"> -</w:t>
      </w:r>
      <w:r w:rsidRPr="002B6724">
        <w:rPr>
          <w:i/>
        </w:rPr>
        <w:t>141.0.</w:t>
      </w:r>
    </w:p>
    <w:p w14:paraId="32628A85" w14:textId="44C41E39" w:rsidR="00CE122F" w:rsidRPr="002B6724" w:rsidRDefault="00CE122F" w:rsidP="008F25D9">
      <w:pPr>
        <w:rPr>
          <w:i/>
        </w:rPr>
      </w:pPr>
      <w:r w:rsidRPr="00DB4196">
        <w:t xml:space="preserve">Overall, 28 subjects in the ustekinumab 90 mg q8w group met LOR criteria for dose adjustment but continued to receive ustekinumab 90 mg q8w (per protocol). When </w:t>
      </w:r>
      <w:r w:rsidRPr="00DB4196">
        <w:lastRenderedPageBreak/>
        <w:t xml:space="preserve">assessed 16 weeks after meeting LOR criteria for dose adjustment: </w:t>
      </w:r>
      <w:r w:rsidRPr="002B6724">
        <w:rPr>
          <w:i/>
        </w:rPr>
        <w:t>32.1% of these subjects were in clinical remission, 46.4% of these subjects had regained clinical response and the median change in CDAI score from time of dose adjustment was -78.5.</w:t>
      </w:r>
    </w:p>
    <w:p w14:paraId="0968E5F7" w14:textId="77777777" w:rsidR="00CE122F" w:rsidRDefault="00CE122F" w:rsidP="008F25D9">
      <w:r>
        <w:t>A post hoc analysis of the dose-adjustment</w:t>
      </w:r>
      <w:r w:rsidRPr="00DB4196">
        <w:t xml:space="preserve"> data</w:t>
      </w:r>
      <w:r>
        <w:t>,</w:t>
      </w:r>
      <w:r w:rsidRPr="00DB4196">
        <w:t xml:space="preserve"> </w:t>
      </w:r>
      <w:r>
        <w:t xml:space="preserve">which </w:t>
      </w:r>
      <w:r w:rsidRPr="00DB4196">
        <w:t>preserv</w:t>
      </w:r>
      <w:r>
        <w:t>ed</w:t>
      </w:r>
      <w:r w:rsidRPr="00DB4196">
        <w:t xml:space="preserve"> the initial randomisation</w:t>
      </w:r>
      <w:r>
        <w:t xml:space="preserve"> and with </w:t>
      </w:r>
      <w:r w:rsidRPr="00DB4196">
        <w:t xml:space="preserve">the </w:t>
      </w:r>
      <w:r w:rsidR="008F25D9">
        <w:rPr>
          <w:i/>
        </w:rPr>
        <w:t>LOR</w:t>
      </w:r>
      <w:r w:rsidRPr="00DB4196">
        <w:t xml:space="preserve"> treatment failure criteria suspended and the rest of the analysis rules were kept the same</w:t>
      </w:r>
      <w:r>
        <w:t>, was performed.</w:t>
      </w:r>
      <w:r w:rsidR="00EF0460">
        <w:t xml:space="preserve"> </w:t>
      </w:r>
      <w:r w:rsidRPr="002B6724">
        <w:rPr>
          <w:i/>
        </w:rPr>
        <w:t>That analysis showed no consistent difference in clinical remission or clinical response rates between the q8w and the q12w groups.</w:t>
      </w:r>
      <w:r w:rsidR="00EF0460">
        <w:rPr>
          <w:i/>
        </w:rPr>
        <w:t xml:space="preserve"> </w:t>
      </w:r>
      <w:r w:rsidRPr="002B6724">
        <w:rPr>
          <w:i/>
        </w:rPr>
        <w:t>The induction dose of the clinical responders did not significantly affect the subsequent response to maintenance treatment</w:t>
      </w:r>
      <w:r w:rsidR="008F25D9">
        <w:rPr>
          <w:i/>
        </w:rPr>
        <w:t>.</w:t>
      </w:r>
    </w:p>
    <w:p w14:paraId="0C7E125B" w14:textId="77777777" w:rsidR="00815F43" w:rsidRDefault="00CE122F" w:rsidP="008F25D9">
      <w:r w:rsidRPr="008F25D9">
        <w:t>The non-randomised population included subjects who were not in clinical response to ustekinumab at Week 8 of the induction studies and subjects, who initially received placebo (both in clinical response and not in clinical response). Subjects in clinical response to placebo induction continued to receive SC placebo throughout the maintenance study. Subjects not in clinical response to IV placebo induction received ustekinumab 130 mg IV administration at Week 0. Subjects who were not in clinical response to ustekinumab IV induction received ustekinumab 90 mg SC at Week 0 of the maintenance study. Subjects who achieved</w:t>
      </w:r>
      <w:r w:rsidRPr="0015486D">
        <w:t xml:space="preserve"> clinical response at Week 8 (of the maintenance study) continued to receive ustekinumab 90 mg SC q8w through</w:t>
      </w:r>
      <w:r w:rsidR="00B921A4">
        <w:t xml:space="preserve"> </w:t>
      </w:r>
      <w:r w:rsidRPr="0015486D">
        <w:t>Week 40; otherwise they were discontinued from further study agent administration.</w:t>
      </w:r>
    </w:p>
    <w:p w14:paraId="0A84C468" w14:textId="32C846CD" w:rsidR="00CE122F" w:rsidRPr="002B6724" w:rsidRDefault="00CE122F" w:rsidP="008F25D9">
      <w:pPr>
        <w:rPr>
          <w:i/>
        </w:rPr>
      </w:pPr>
      <w:r w:rsidRPr="0015486D">
        <w:t>There were 884 non-randomised subjects. Within the non-randomised group, 123 subjects who had received placebo and reached clinical response continued to receive placebo.</w:t>
      </w:r>
      <w:r w:rsidR="00EF0460">
        <w:t xml:space="preserve"> </w:t>
      </w:r>
      <w:r w:rsidRPr="0015486D">
        <w:t>The remaining subjects received ustekinumab at either q12w or q8w.</w:t>
      </w:r>
      <w:r w:rsidR="00EF0460">
        <w:t xml:space="preserve"> </w:t>
      </w:r>
      <w:r w:rsidRPr="002B6724">
        <w:rPr>
          <w:i/>
        </w:rPr>
        <w:t>No statistical testing was performed in the non-randomised population and corticosteroid tapering was not required.</w:t>
      </w:r>
    </w:p>
    <w:p w14:paraId="72A45A81" w14:textId="77777777" w:rsidR="00815F43" w:rsidRDefault="00CE122F" w:rsidP="008F25D9">
      <w:r>
        <w:t>Among the non-randomised subjects in the maintenance study,</w:t>
      </w:r>
      <w:r w:rsidRPr="00C8348E">
        <w:t xml:space="preserve"> </w:t>
      </w:r>
      <w:r>
        <w:t xml:space="preserve">there were </w:t>
      </w:r>
      <w:r w:rsidRPr="00C8348E">
        <w:t xml:space="preserve">467 </w:t>
      </w:r>
      <w:r>
        <w:t xml:space="preserve">who were </w:t>
      </w:r>
      <w:r w:rsidRPr="00C8348E">
        <w:t>ustekinumab induction non</w:t>
      </w:r>
      <w:r>
        <w:t>-</w:t>
      </w:r>
      <w:r w:rsidRPr="00C8348E">
        <w:t>responders</w:t>
      </w:r>
      <w:r>
        <w:t xml:space="preserve"> (</w:t>
      </w:r>
      <w:r w:rsidR="00B921A4">
        <w:t>that is,</w:t>
      </w:r>
      <w:r>
        <w:t xml:space="preserve"> at the Week 8 clinical response assessment in either Study 3001 or</w:t>
      </w:r>
      <w:r w:rsidR="00C16F5E">
        <w:t xml:space="preserve"> CRD3002</w:t>
      </w:r>
      <w:r>
        <w:t>).</w:t>
      </w:r>
      <w:r w:rsidR="00EF0460">
        <w:t xml:space="preserve"> </w:t>
      </w:r>
      <w:r>
        <w:t>At Week 8</w:t>
      </w:r>
      <w:r w:rsidRPr="00C8348E">
        <w:t xml:space="preserve"> after being given an additional SC dose of ustekinumab 90 mg</w:t>
      </w:r>
      <w:r>
        <w:t xml:space="preserve"> (</w:t>
      </w:r>
      <w:r w:rsidR="00B921A4">
        <w:t>that is,</w:t>
      </w:r>
      <w:r>
        <w:t xml:space="preserve"> Week 16 from the initial IV induction dose)</w:t>
      </w:r>
      <w:r w:rsidRPr="00C8348E">
        <w:t xml:space="preserve">, </w:t>
      </w:r>
      <w:r w:rsidRPr="002B6724">
        <w:rPr>
          <w:i/>
        </w:rPr>
        <w:t>50.5% of these subjects had achieved clinical response and 28.9% were in clinical remission.</w:t>
      </w:r>
      <w:r w:rsidR="00EF0460">
        <w:t xml:space="preserve"> </w:t>
      </w:r>
      <w:r>
        <w:t>T</w:t>
      </w:r>
      <w:r w:rsidRPr="00C8348E">
        <w:t>he median change from baseline in CDAI score was -66.0</w:t>
      </w:r>
      <w:r>
        <w:t>.</w:t>
      </w:r>
      <w:r w:rsidR="00EF0460">
        <w:t xml:space="preserve"> </w:t>
      </w:r>
      <w:r>
        <w:t>Of these 467 subjects, 251 continued dosing at Week 8 of Study</w:t>
      </w:r>
      <w:r w:rsidR="00C16F5E">
        <w:t xml:space="preserve"> CRD3003</w:t>
      </w:r>
      <w:r>
        <w:t xml:space="preserve"> (subsequently received ustekinumab </w:t>
      </w:r>
      <w:r w:rsidRPr="00C8348E">
        <w:t>90 mg SC q8w</w:t>
      </w:r>
      <w:r>
        <w:t>.</w:t>
      </w:r>
      <w:r w:rsidR="00EF0460">
        <w:t xml:space="preserve"> </w:t>
      </w:r>
      <w:r w:rsidRPr="00C8348E">
        <w:t>, 68.1% maintained clinical response and 50.2% were in clinical remission at Week 44 (median change from baseline in CDAI score for these subjects was -115.0).</w:t>
      </w:r>
    </w:p>
    <w:p w14:paraId="2B0274B1" w14:textId="64D3C243" w:rsidR="008E7846" w:rsidRDefault="00386150" w:rsidP="007B6132">
      <w:pPr>
        <w:pStyle w:val="Heading3"/>
        <w:rPr>
          <w:lang w:eastAsia="en-AU"/>
        </w:rPr>
      </w:pPr>
      <w:bookmarkStart w:id="152" w:name="_Toc497744836"/>
      <w:r>
        <w:rPr>
          <w:lang w:eastAsia="en-AU"/>
        </w:rPr>
        <w:t>Risk m</w:t>
      </w:r>
      <w:r w:rsidR="008E7846">
        <w:rPr>
          <w:lang w:eastAsia="en-AU"/>
        </w:rPr>
        <w:t xml:space="preserve">anagement </w:t>
      </w:r>
      <w:r>
        <w:rPr>
          <w:lang w:eastAsia="en-AU"/>
        </w:rPr>
        <w:t>p</w:t>
      </w:r>
      <w:r w:rsidR="008E7846">
        <w:rPr>
          <w:lang w:eastAsia="en-AU"/>
        </w:rPr>
        <w:t>lan</w:t>
      </w:r>
      <w:bookmarkEnd w:id="148"/>
      <w:bookmarkEnd w:id="152"/>
    </w:p>
    <w:p w14:paraId="18437947" w14:textId="77777777" w:rsidR="00CE122F" w:rsidRDefault="00CE122F" w:rsidP="00B921A4">
      <w:r>
        <w:t>ACSOM advice was not requested for this application</w:t>
      </w:r>
      <w:bookmarkStart w:id="153" w:name="_Toc468265693"/>
      <w:r w:rsidR="00EC4487">
        <w:t>.</w:t>
      </w:r>
    </w:p>
    <w:p w14:paraId="2F4A927B" w14:textId="77777777" w:rsidR="00815F43" w:rsidRDefault="00EC4487" w:rsidP="00B921A4">
      <w:r>
        <w:t>For details of the recommendations see Pharmacovigilance findings above.</w:t>
      </w:r>
    </w:p>
    <w:p w14:paraId="105FE6FF" w14:textId="4850F4FF" w:rsidR="008E7846" w:rsidRDefault="00AA0ED0" w:rsidP="008E7846">
      <w:pPr>
        <w:pStyle w:val="Heading3"/>
      </w:pPr>
      <w:bookmarkStart w:id="154" w:name="_Toc247691531"/>
      <w:bookmarkStart w:id="155" w:name="_Toc314842515"/>
      <w:bookmarkStart w:id="156" w:name="_Toc196046505"/>
      <w:bookmarkStart w:id="157" w:name="_Toc196046949"/>
      <w:bookmarkStart w:id="158" w:name="_Toc497744837"/>
      <w:bookmarkEnd w:id="153"/>
      <w:r>
        <w:t>Risk-benefit a</w:t>
      </w:r>
      <w:r w:rsidR="008E7846">
        <w:t>nalysis</w:t>
      </w:r>
      <w:bookmarkEnd w:id="154"/>
      <w:bookmarkEnd w:id="155"/>
      <w:bookmarkEnd w:id="158"/>
    </w:p>
    <w:p w14:paraId="1DC8565F" w14:textId="77777777" w:rsidR="00815F43" w:rsidRDefault="00D23139" w:rsidP="00D23139">
      <w:pPr>
        <w:pStyle w:val="Heading4"/>
      </w:pPr>
      <w:r w:rsidRPr="00D23139">
        <w:t>Delegate’s considerations</w:t>
      </w:r>
    </w:p>
    <w:p w14:paraId="4F03AF95" w14:textId="2AD06633" w:rsidR="00CE122F" w:rsidRPr="00B921A4" w:rsidRDefault="00CE122F" w:rsidP="00B921A4">
      <w:pPr>
        <w:rPr>
          <w:u w:val="single"/>
        </w:rPr>
      </w:pPr>
      <w:r w:rsidRPr="003D1C6D">
        <w:t xml:space="preserve">In assessing the PK of </w:t>
      </w:r>
      <w:r>
        <w:t xml:space="preserve">ustekinumab using the proposed dose regimen for Crohn’s disease, the sponsor has concentrated on the initial </w:t>
      </w:r>
      <w:r w:rsidR="00B921A4">
        <w:t>IV</w:t>
      </w:r>
      <w:r>
        <w:t xml:space="preserve"> dose, which in addition to being </w:t>
      </w:r>
      <w:r w:rsidR="00B921A4">
        <w:t>IV</w:t>
      </w:r>
      <w:r>
        <w:t xml:space="preserve"> rather than </w:t>
      </w:r>
      <w:r w:rsidR="00B921A4">
        <w:t>SC</w:t>
      </w:r>
      <w:r>
        <w:t xml:space="preserve"> is approximately 8.67 fold higher than the current initial dose of 45 mg for </w:t>
      </w:r>
      <w:r w:rsidRPr="005E4FD7">
        <w:t xml:space="preserve">Plaque </w:t>
      </w:r>
      <w:r w:rsidRPr="00B921A4">
        <w:t>psoriasis (PP) and Psoriatic arthritis (PA)</w:t>
      </w:r>
    </w:p>
    <w:p w14:paraId="5B73D4E6" w14:textId="77777777" w:rsidR="00CE122F" w:rsidRDefault="00CE122F" w:rsidP="00B921A4">
      <w:r>
        <w:t xml:space="preserve">The dosing interval is also different from that of PP and PA, with the proposed subsequent doses at 8 week intervals {via </w:t>
      </w:r>
      <w:r w:rsidR="00B921A4">
        <w:t>SC</w:t>
      </w:r>
      <w:r>
        <w:t xml:space="preserve"> injection} rather than doses at Weeks 0 and 4 and then every 12 weeks thereafter.</w:t>
      </w:r>
      <w:r w:rsidR="00EF0460">
        <w:t xml:space="preserve"> </w:t>
      </w:r>
      <w:r>
        <w:t xml:space="preserve">The recommended maintenance regimen for CD is the same as </w:t>
      </w:r>
      <w:r>
        <w:lastRenderedPageBreak/>
        <w:t>the maintenance regimen for patients with body weight&gt;100 kg with either plaque psoriasis or psoriatic arthritis.</w:t>
      </w:r>
      <w:r w:rsidR="00EF0460">
        <w:t xml:space="preserve"> </w:t>
      </w:r>
      <w:r>
        <w:t>PK data for CD patients in the maintenance phase of treatment was available only from the PK analysis.</w:t>
      </w:r>
      <w:r w:rsidR="00EF0460">
        <w:t xml:space="preserve"> </w:t>
      </w:r>
      <w:r>
        <w:t>The proposed exposure to ustekinumab for patients with CD is substantially higher than for the currently approved indications of PP and PA.</w:t>
      </w:r>
      <w:r w:rsidR="00EF0460">
        <w:t xml:space="preserve"> </w:t>
      </w:r>
      <w:r>
        <w:t>Safety data obtained from other patient groups, apart from CD patients, may therefore provide false reassurance given the higher exposures required to treat for CD.</w:t>
      </w:r>
    </w:p>
    <w:p w14:paraId="05BB595E" w14:textId="77777777" w:rsidR="00CE122F" w:rsidRDefault="00CE122F" w:rsidP="00B921A4">
      <w:r>
        <w:t>Response rates in individuals who were either TNF antagonist naïve or who had previously responded to a TNF antagonist were substantially better than for those who failed prior TNF antagonist therapy.</w:t>
      </w:r>
      <w:r w:rsidR="00EF0460">
        <w:t xml:space="preserve"> </w:t>
      </w:r>
      <w:r>
        <w:t>It is not possible to perform a reliable statistical comparison of CD response rates</w:t>
      </w:r>
      <w:r w:rsidR="00EF0460">
        <w:t xml:space="preserve"> </w:t>
      </w:r>
      <w:r>
        <w:t>between</w:t>
      </w:r>
      <w:r w:rsidR="00EF0460">
        <w:t xml:space="preserve"> </w:t>
      </w:r>
      <w:r>
        <w:t xml:space="preserve">patients who were naïve </w:t>
      </w:r>
      <w:r w:rsidRPr="005655B4">
        <w:t>to TNF antagonists and</w:t>
      </w:r>
      <w:r w:rsidR="00EF0460">
        <w:t xml:space="preserve"> </w:t>
      </w:r>
      <w:r w:rsidRPr="005655B4">
        <w:t>given a first course of infliximab</w:t>
      </w:r>
      <w:r w:rsidR="00EF0460">
        <w:t xml:space="preserve"> </w:t>
      </w:r>
      <w:r w:rsidRPr="005655B4">
        <w:t>and</w:t>
      </w:r>
      <w:r w:rsidR="00EF0460">
        <w:t xml:space="preserve"> </w:t>
      </w:r>
      <w:r w:rsidRPr="005655B4">
        <w:t>patients who were</w:t>
      </w:r>
      <w:r w:rsidR="00EF0460">
        <w:t xml:space="preserve"> </w:t>
      </w:r>
      <w:r w:rsidRPr="005655B4">
        <w:t>TNF antagonist naïve</w:t>
      </w:r>
      <w:r w:rsidR="00EF0460">
        <w:t xml:space="preserve"> </w:t>
      </w:r>
      <w:r w:rsidRPr="005655B4">
        <w:t>and</w:t>
      </w:r>
      <w:r w:rsidR="00EF0460">
        <w:t xml:space="preserve"> </w:t>
      </w:r>
      <w:r w:rsidRPr="005655B4">
        <w:t>given ustekinumab, due to differences in</w:t>
      </w:r>
      <w:r w:rsidR="00B921A4">
        <w:t xml:space="preserve"> </w:t>
      </w:r>
      <w:r w:rsidRPr="005655B4">
        <w:t>(a) study design and (b)</w:t>
      </w:r>
      <w:r w:rsidR="00EF0460">
        <w:t xml:space="preserve"> </w:t>
      </w:r>
      <w:r w:rsidRPr="005655B4">
        <w:t>response rates</w:t>
      </w:r>
      <w:r>
        <w:t xml:space="preserve"> in the placebo groups across the infliximab and ustekinumab studies.</w:t>
      </w:r>
      <w:r w:rsidR="00EF0460">
        <w:t xml:space="preserve"> </w:t>
      </w:r>
      <w:r>
        <w:t>While CD patients</w:t>
      </w:r>
      <w:r w:rsidR="00EF0460">
        <w:t xml:space="preserve"> </w:t>
      </w:r>
      <w:r>
        <w:t>who have failed TNF antagonist treatment and those who have not, have both been shown to benefit from ustekinumab, it is clear that those who have not failed prior TNF antagonist treatment are likely to do better on ustekinumab, in the short term.</w:t>
      </w:r>
    </w:p>
    <w:p w14:paraId="7025A5E0" w14:textId="77777777" w:rsidR="00815F43" w:rsidRDefault="00CE122F" w:rsidP="00B921A4">
      <w:r>
        <w:t>Response rates separated from placebo in both induction studies at the Week 3 assessment (for the 70-point reduction in CDAI).</w:t>
      </w:r>
      <w:r w:rsidR="00EF0460">
        <w:t xml:space="preserve"> </w:t>
      </w:r>
      <w:r>
        <w:t>It appears that for many patients with CD, ustekinumab may be an adjunctive treatment and that, immunomodulatory therapy and/ or corticosteroids will continue to be required.</w:t>
      </w:r>
    </w:p>
    <w:p w14:paraId="27E51662" w14:textId="5A5915E0" w:rsidR="00B921A4" w:rsidRDefault="00CE122F" w:rsidP="00CE122F">
      <w:pPr>
        <w:spacing w:before="0" w:after="0" w:line="240" w:lineRule="auto"/>
        <w:rPr>
          <w:rFonts w:asciiTheme="minorHAnsi" w:hAnsiTheme="minorHAnsi"/>
        </w:rPr>
      </w:pPr>
      <w:r>
        <w:rPr>
          <w:rFonts w:asciiTheme="minorHAnsi" w:hAnsiTheme="minorHAnsi"/>
        </w:rPr>
        <w:t>There was no statistical analysis of the differences in efficacy between the two dose regimens of ustekinumab assessed in either the induction studies or the maintenance study. However, the results generally showed higher response rates with the proposed dose regimen compared to the 130 mg induction dose and the q12w maintenance dose regimens. Various laboratory assessments also generally supported the higher doses.</w:t>
      </w:r>
    </w:p>
    <w:p w14:paraId="1A986979" w14:textId="77777777" w:rsidR="00CE122F" w:rsidRDefault="00CE122F" w:rsidP="00CE122F">
      <w:pPr>
        <w:spacing w:before="0" w:after="0" w:line="240" w:lineRule="auto"/>
        <w:rPr>
          <w:rFonts w:asciiTheme="minorHAnsi" w:hAnsiTheme="minorHAnsi"/>
        </w:rPr>
      </w:pPr>
      <w:r>
        <w:rPr>
          <w:rFonts w:asciiTheme="minorHAnsi" w:hAnsiTheme="minorHAnsi"/>
        </w:rPr>
        <w:t>Given that only an additional 15% of patients who had an initial clinical response maintained that response on the proposed ustekinumab maintenance regimen, it is not clear whether patients should receive regular maintenance therapy or a repeat induction course on loss of clinical response.</w:t>
      </w:r>
      <w:r w:rsidR="00EF0460">
        <w:rPr>
          <w:rFonts w:asciiTheme="minorHAnsi" w:hAnsiTheme="minorHAnsi"/>
        </w:rPr>
        <w:t xml:space="preserve"> </w:t>
      </w:r>
      <w:r>
        <w:rPr>
          <w:rFonts w:asciiTheme="minorHAnsi" w:hAnsiTheme="minorHAnsi"/>
        </w:rPr>
        <w:t>The effect of repeat induction treatment on an as-required basis has not been examined.</w:t>
      </w:r>
    </w:p>
    <w:p w14:paraId="32F11FC5" w14:textId="77777777" w:rsidR="00815F43" w:rsidRDefault="00CE122F" w:rsidP="00CE2711">
      <w:r w:rsidRPr="009C3353">
        <w:t>There no objections to the approval of the new ustekinumab dose strength (90 mg/mL) and new route (IV) of ustekinumab administration from the clinical, biochemical, microbiological</w:t>
      </w:r>
      <w:r>
        <w:t>,</w:t>
      </w:r>
      <w:r w:rsidRPr="009C3353">
        <w:t xml:space="preserve"> non-clinical and RMP evaluators from the efficacy and safety points of view.</w:t>
      </w:r>
    </w:p>
    <w:p w14:paraId="47DEDD55" w14:textId="17ED6E8C" w:rsidR="00CE122F" w:rsidRPr="00B921A4" w:rsidRDefault="00CE122F" w:rsidP="00B921A4">
      <w:pPr>
        <w:pStyle w:val="Heading4"/>
      </w:pPr>
      <w:r>
        <w:t>Summary of issues</w:t>
      </w:r>
    </w:p>
    <w:p w14:paraId="6DAEC713" w14:textId="77777777" w:rsidR="00815F43" w:rsidRDefault="00CE122F" w:rsidP="00CE122F">
      <w:r>
        <w:t>One pivotal study enrolled patients who failed or are intolerant to one or more TNF antagonist therapies and the other did not.</w:t>
      </w:r>
      <w:r w:rsidR="00EF0460">
        <w:t xml:space="preserve"> </w:t>
      </w:r>
      <w:r>
        <w:t>Efficacy has been demonstrated in both patient groups.</w:t>
      </w:r>
      <w:r w:rsidR="00EF0460">
        <w:t xml:space="preserve"> </w:t>
      </w:r>
      <w:r>
        <w:t>It is not clear whether ustekinumab should be limited to patients who have failed or who are intolerant of TNF antagonists.</w:t>
      </w:r>
      <w:r w:rsidR="00EF0460">
        <w:t xml:space="preserve"> </w:t>
      </w:r>
      <w:r>
        <w:t>The sponsor has proposed that patients not be required to have demonstrated failure or intolerance to TNF antagonists as a condition of eligibility for ustekinumab.</w:t>
      </w:r>
    </w:p>
    <w:p w14:paraId="7616409F" w14:textId="0AB6B74C" w:rsidR="00815F43" w:rsidRDefault="00CE122F" w:rsidP="00CE122F">
      <w:r>
        <w:t>Patients were screened for current active infection or a history of latent or active granulomatous infection (including TB), nontuberculous mycobacterial infection, serious opportunistic infection, recurrent infections, or infection with HIV, hepatitis B, or hepatitis C or malignancy; receipt of allergy immunotherapy for prevention of anaphylactic reactions; diagnosis or history of lymphoproliferative disease; or the presence of severe, progressive, or uncontrolled renal, hepatic, hematologic, endocrine, pulmonary, cardiac, neurologic, cerebral, or psychiatric disease.</w:t>
      </w:r>
      <w:r w:rsidR="00EF0460">
        <w:t xml:space="preserve"> </w:t>
      </w:r>
      <w:r>
        <w:t xml:space="preserve">These were criteria for exclusion from the </w:t>
      </w:r>
      <w:r>
        <w:lastRenderedPageBreak/>
        <w:t>studies.</w:t>
      </w:r>
      <w:r w:rsidR="00EF0460">
        <w:t xml:space="preserve"> </w:t>
      </w:r>
      <w:r>
        <w:t>It is not clear if these criteria should be contraindications to receipt of ustekinumab.</w:t>
      </w:r>
    </w:p>
    <w:p w14:paraId="200DCA0B" w14:textId="1EA28832" w:rsidR="00CE122F" w:rsidRDefault="00CE122F" w:rsidP="00CE122F">
      <w:r>
        <w:t>There is a need to compare relative efficacy in prior TNF treated lack of response/intolerance patients group with other patients here.</w:t>
      </w:r>
      <w:r w:rsidR="00EF0460">
        <w:t xml:space="preserve"> </w:t>
      </w:r>
      <w:r>
        <w:t>Non-TNF antagonists exposed</w:t>
      </w:r>
      <w:r w:rsidR="00B921A4">
        <w:t>, that is,</w:t>
      </w:r>
      <w:r>
        <w:t xml:space="preserve"> naive patients had much better clinical responses than TNF antagonists experienced patients with previous intolerance or failure.</w:t>
      </w:r>
    </w:p>
    <w:p w14:paraId="4C0CD47F" w14:textId="77777777" w:rsidR="00CE122F" w:rsidRPr="00CE122F" w:rsidRDefault="00CE122F" w:rsidP="00CE122F">
      <w:r>
        <w:t xml:space="preserve">Poor dose response demonstrated, for both the selected induction dose and the maintenance dose interval, except for individuals in Study 001 who had failure with TNF </w:t>
      </w:r>
      <w:r w:rsidR="00957FBB">
        <w:t>antagonists, that</w:t>
      </w:r>
      <w:r>
        <w:t xml:space="preserve"> group did better with the higher (6 mg/kg) dose of ustekinumab for induction of clinical response.</w:t>
      </w:r>
    </w:p>
    <w:p w14:paraId="2340F770" w14:textId="77777777" w:rsidR="00D23139" w:rsidRDefault="00D23139" w:rsidP="00D23139">
      <w:pPr>
        <w:pStyle w:val="Heading4"/>
      </w:pPr>
      <w:r w:rsidRPr="00D23139">
        <w:t>Proposed action</w:t>
      </w:r>
    </w:p>
    <w:p w14:paraId="0E613B5D" w14:textId="77777777" w:rsidR="00CE122F" w:rsidRPr="00CE122F" w:rsidRDefault="000219E6" w:rsidP="00CE122F">
      <w:r>
        <w:t>The Delegate</w:t>
      </w:r>
      <w:r w:rsidR="00CE122F" w:rsidRPr="00CE122F">
        <w:t xml:space="preserve"> ha</w:t>
      </w:r>
      <w:r>
        <w:t>d</w:t>
      </w:r>
      <w:r w:rsidR="00CE122F" w:rsidRPr="00CE122F">
        <w:t xml:space="preserve"> no reason to say, at this time, that the applicati</w:t>
      </w:r>
      <w:r w:rsidR="000D5EED">
        <w:t>on to extend the indication of u</w:t>
      </w:r>
      <w:r w:rsidR="00CE122F" w:rsidRPr="00CE122F">
        <w:t>stekinumab [Stelara] should not be approved for registration, subject to resolving issues arising from the ACM deliberations and finalisation of matters pertaining to the PI and RMP to the satisfaction of the TGA.</w:t>
      </w:r>
    </w:p>
    <w:p w14:paraId="432F10B0" w14:textId="77777777" w:rsidR="00D23139" w:rsidRDefault="00D23139" w:rsidP="00D23139">
      <w:pPr>
        <w:pStyle w:val="Heading4"/>
      </w:pPr>
      <w:r w:rsidRPr="00D23139">
        <w:t>Request for ACPM advice</w:t>
      </w:r>
    </w:p>
    <w:p w14:paraId="7FA008B9" w14:textId="77777777" w:rsidR="00CE122F" w:rsidRDefault="00CE122F" w:rsidP="00CE122F">
      <w:pPr>
        <w:rPr>
          <w:rFonts w:asciiTheme="minorHAnsi" w:hAnsiTheme="minorHAnsi"/>
        </w:rPr>
      </w:pPr>
      <w:r w:rsidRPr="00C80339">
        <w:rPr>
          <w:rFonts w:asciiTheme="minorHAnsi" w:hAnsiTheme="minorHAnsi"/>
        </w:rPr>
        <w:t>The committee is requested to provide advice on the following specific issues:</w:t>
      </w:r>
    </w:p>
    <w:p w14:paraId="397BAAC7" w14:textId="77777777" w:rsidR="00CE122F" w:rsidRPr="000219E6" w:rsidRDefault="00CE122F" w:rsidP="000219E6">
      <w:pPr>
        <w:pStyle w:val="Numberbullet0"/>
      </w:pPr>
      <w:r w:rsidRPr="000219E6">
        <w:t>Given that:</w:t>
      </w:r>
    </w:p>
    <w:p w14:paraId="58535AA6" w14:textId="77777777" w:rsidR="00CE122F" w:rsidRPr="00EE0492" w:rsidRDefault="00CE122F" w:rsidP="000219E6">
      <w:pPr>
        <w:pStyle w:val="ListBullet2"/>
        <w:rPr>
          <w:b/>
        </w:rPr>
      </w:pPr>
      <w:r w:rsidRPr="00FC48AD">
        <w:t xml:space="preserve">the enhanced therapeutic efficacy of ustekinumab (Stelara) appears to be via the inhibition of a </w:t>
      </w:r>
      <w:r w:rsidRPr="00FC48AD">
        <w:rPr>
          <w:shd w:val="clear" w:color="auto" w:fill="FFFFFF"/>
        </w:rPr>
        <w:t xml:space="preserve">parallel but pharmacologically </w:t>
      </w:r>
      <w:r w:rsidRPr="00FC48AD">
        <w:t xml:space="preserve">different </w:t>
      </w:r>
      <w:r w:rsidRPr="00FC48AD">
        <w:rPr>
          <w:shd w:val="clear" w:color="auto" w:fill="FFFFFF"/>
        </w:rPr>
        <w:t>inflammatory pathway, such as the IL-12/23 cytokine pathway,</w:t>
      </w:r>
      <w:r w:rsidRPr="00FC48AD">
        <w:t xml:space="preserve"> from those of other </w:t>
      </w:r>
      <w:r w:rsidR="00957FBB">
        <w:t>immune-</w:t>
      </w:r>
      <w:r w:rsidRPr="00FC48AD">
        <w:t>modifiers</w:t>
      </w:r>
      <w:r>
        <w:t>,</w:t>
      </w:r>
      <w:r w:rsidRPr="00FC48AD">
        <w:t xml:space="preserve"> such as adalimumab (Humira</w:t>
      </w:r>
      <w:r>
        <w:t xml:space="preserve">), infliximab </w:t>
      </w:r>
      <w:r w:rsidRPr="00EB5936">
        <w:t>and vedolizumab</w:t>
      </w:r>
      <w:r w:rsidRPr="00FC48AD">
        <w:t xml:space="preserve"> used in Crohn’s disease </w:t>
      </w:r>
      <w:r w:rsidRPr="000219E6">
        <w:t>(CD)</w:t>
      </w:r>
    </w:p>
    <w:p w14:paraId="10C981A7" w14:textId="77777777" w:rsidR="00CE122F" w:rsidRPr="00EE0492" w:rsidRDefault="00CE122F" w:rsidP="000219E6">
      <w:pPr>
        <w:pStyle w:val="ListBullet2"/>
      </w:pPr>
      <w:r w:rsidRPr="00EE0492">
        <w:t>the pivotal studies were restricted to patients who failed or are intolerant to one or more TNF antagonist therapies</w:t>
      </w:r>
      <w:r w:rsidR="000219E6">
        <w:t>,</w:t>
      </w:r>
    </w:p>
    <w:p w14:paraId="1D7F9400" w14:textId="77777777" w:rsidR="00CE122F" w:rsidRPr="000219E6" w:rsidRDefault="000219E6" w:rsidP="000219E6">
      <w:pPr>
        <w:rPr>
          <w:rFonts w:asciiTheme="minorHAnsi" w:hAnsiTheme="minorHAnsi"/>
          <w:b/>
        </w:rPr>
      </w:pPr>
      <w:r>
        <w:rPr>
          <w:rFonts w:asciiTheme="minorHAnsi" w:hAnsiTheme="minorHAnsi"/>
        </w:rPr>
        <w:t>i</w:t>
      </w:r>
      <w:r w:rsidR="00CE122F" w:rsidRPr="000219E6">
        <w:rPr>
          <w:rFonts w:asciiTheme="minorHAnsi" w:hAnsiTheme="minorHAnsi"/>
        </w:rPr>
        <w:t xml:space="preserve">s there a clinical justification for specifically considering amendment to ustekinumab’s proposed indication to: “as a </w:t>
      </w:r>
      <w:r w:rsidR="00CE122F" w:rsidRPr="000219E6">
        <w:rPr>
          <w:rFonts w:asciiTheme="minorHAnsi" w:hAnsiTheme="minorHAnsi" w:cs="Arial"/>
          <w:shd w:val="clear" w:color="auto" w:fill="FFFFFF"/>
        </w:rPr>
        <w:t xml:space="preserve">rescue therapy where </w:t>
      </w:r>
      <w:r w:rsidR="00CE122F" w:rsidRPr="000219E6">
        <w:rPr>
          <w:rFonts w:asciiTheme="minorHAnsi" w:hAnsiTheme="minorHAnsi"/>
        </w:rPr>
        <w:t>more than one TNF antagonists have failed i.e.</w:t>
      </w:r>
      <w:r w:rsidR="00CE122F" w:rsidRPr="000219E6">
        <w:rPr>
          <w:rFonts w:asciiTheme="minorHAnsi" w:hAnsiTheme="minorHAnsi" w:cs="Arial"/>
          <w:shd w:val="clear" w:color="auto" w:fill="FFFFFF"/>
        </w:rPr>
        <w:t xml:space="preserve"> anti-TNF-α-resistant </w:t>
      </w:r>
      <w:r w:rsidR="00CE122F" w:rsidRPr="000219E6">
        <w:rPr>
          <w:rFonts w:asciiTheme="minorHAnsi" w:hAnsiTheme="minorHAnsi"/>
        </w:rPr>
        <w:t>CD</w:t>
      </w:r>
      <w:r w:rsidR="00CE122F" w:rsidRPr="000219E6">
        <w:rPr>
          <w:rFonts w:asciiTheme="minorHAnsi" w:hAnsiTheme="minorHAnsi" w:cs="Arial"/>
          <w:shd w:val="clear" w:color="auto" w:fill="FFFFFF"/>
        </w:rPr>
        <w:t xml:space="preserve"> cases and/ or intolerance thereof to one</w:t>
      </w:r>
      <w:r w:rsidR="00CE122F" w:rsidRPr="000219E6">
        <w:rPr>
          <w:rFonts w:asciiTheme="minorHAnsi" w:hAnsiTheme="minorHAnsi"/>
        </w:rPr>
        <w:t xml:space="preserve"> or more TNF antagonist therapies</w:t>
      </w:r>
      <w:r w:rsidR="00CE122F" w:rsidRPr="000219E6">
        <w:rPr>
          <w:rFonts w:asciiTheme="minorHAnsi" w:hAnsiTheme="minorHAnsi"/>
          <w:b/>
        </w:rPr>
        <w:t>?</w:t>
      </w:r>
    </w:p>
    <w:p w14:paraId="425D7D8C" w14:textId="77777777" w:rsidR="00CE122F" w:rsidRPr="00CE122F" w:rsidRDefault="00CE122F" w:rsidP="00CE122F">
      <w:r w:rsidRPr="00C80339">
        <w:rPr>
          <w:rFonts w:asciiTheme="minorHAnsi" w:hAnsiTheme="minorHAnsi"/>
        </w:rPr>
        <w:t xml:space="preserve">The committee is </w:t>
      </w:r>
      <w:r>
        <w:rPr>
          <w:rFonts w:asciiTheme="minorHAnsi" w:hAnsiTheme="minorHAnsi"/>
        </w:rPr>
        <w:t>(</w:t>
      </w:r>
      <w:r w:rsidRPr="00C80339">
        <w:rPr>
          <w:rFonts w:asciiTheme="minorHAnsi" w:hAnsiTheme="minorHAnsi"/>
        </w:rPr>
        <w:t>also</w:t>
      </w:r>
      <w:r>
        <w:rPr>
          <w:rFonts w:asciiTheme="minorHAnsi" w:hAnsiTheme="minorHAnsi"/>
        </w:rPr>
        <w:t>)</w:t>
      </w:r>
      <w:r w:rsidRPr="00C80339">
        <w:rPr>
          <w:rFonts w:asciiTheme="minorHAnsi" w:hAnsiTheme="minorHAnsi"/>
        </w:rPr>
        <w:t xml:space="preserve"> requested to provide advice on any other issues that it thinks may be relevant to a decision on whether or not to approve this application.</w:t>
      </w:r>
    </w:p>
    <w:p w14:paraId="334FE215" w14:textId="77777777" w:rsidR="00815F43" w:rsidRDefault="00D23139" w:rsidP="00D23139">
      <w:pPr>
        <w:pStyle w:val="Heading4"/>
      </w:pPr>
      <w:r w:rsidRPr="00D23139">
        <w:t>Response from Sponsor</w:t>
      </w:r>
    </w:p>
    <w:p w14:paraId="5CB9EECE" w14:textId="5C4FB8BC" w:rsidR="00AF3C3D" w:rsidRDefault="00AF3C3D" w:rsidP="000219E6">
      <w:r>
        <w:t>A</w:t>
      </w:r>
      <w:r>
        <w:rPr>
          <w:spacing w:val="-9"/>
        </w:rPr>
        <w:t xml:space="preserve"> </w:t>
      </w:r>
      <w:r>
        <w:t>robust</w:t>
      </w:r>
      <w:r>
        <w:rPr>
          <w:spacing w:val="-9"/>
        </w:rPr>
        <w:t xml:space="preserve"> </w:t>
      </w:r>
      <w:r>
        <w:t>global</w:t>
      </w:r>
      <w:r>
        <w:rPr>
          <w:spacing w:val="-6"/>
        </w:rPr>
        <w:t xml:space="preserve"> </w:t>
      </w:r>
      <w:r>
        <w:t>clinical</w:t>
      </w:r>
      <w:r>
        <w:rPr>
          <w:spacing w:val="-8"/>
        </w:rPr>
        <w:t xml:space="preserve"> </w:t>
      </w:r>
      <w:r>
        <w:t>development</w:t>
      </w:r>
      <w:r>
        <w:rPr>
          <w:spacing w:val="-8"/>
        </w:rPr>
        <w:t xml:space="preserve"> </w:t>
      </w:r>
      <w:r>
        <w:t>program</w:t>
      </w:r>
      <w:r>
        <w:rPr>
          <w:spacing w:val="-8"/>
        </w:rPr>
        <w:t xml:space="preserve"> </w:t>
      </w:r>
      <w:r>
        <w:t>demonstrating</w:t>
      </w:r>
      <w:r>
        <w:rPr>
          <w:spacing w:val="-11"/>
        </w:rPr>
        <w:t xml:space="preserve"> </w:t>
      </w:r>
      <w:r>
        <w:t>the</w:t>
      </w:r>
      <w:r>
        <w:rPr>
          <w:spacing w:val="-7"/>
        </w:rPr>
        <w:t xml:space="preserve"> </w:t>
      </w:r>
      <w:r>
        <w:t>efficacy</w:t>
      </w:r>
      <w:r>
        <w:rPr>
          <w:spacing w:val="-13"/>
        </w:rPr>
        <w:t xml:space="preserve"> </w:t>
      </w:r>
      <w:r>
        <w:t>and</w:t>
      </w:r>
      <w:r>
        <w:rPr>
          <w:spacing w:val="-9"/>
        </w:rPr>
        <w:t xml:space="preserve"> </w:t>
      </w:r>
      <w:r>
        <w:t>safety</w:t>
      </w:r>
      <w:r>
        <w:rPr>
          <w:spacing w:val="-13"/>
        </w:rPr>
        <w:t xml:space="preserve"> </w:t>
      </w:r>
      <w:r>
        <w:t>of</w:t>
      </w:r>
      <w:r>
        <w:rPr>
          <w:spacing w:val="-9"/>
        </w:rPr>
        <w:t xml:space="preserve"> </w:t>
      </w:r>
      <w:r w:rsidR="00CC3432">
        <w:t>Stelara</w:t>
      </w:r>
      <w:r>
        <w:t xml:space="preserve"> (ustekinumab)</w:t>
      </w:r>
      <w:r>
        <w:rPr>
          <w:spacing w:val="-7"/>
        </w:rPr>
        <w:t xml:space="preserve"> </w:t>
      </w:r>
      <w:r>
        <w:t>for</w:t>
      </w:r>
      <w:r>
        <w:rPr>
          <w:spacing w:val="-7"/>
        </w:rPr>
        <w:t xml:space="preserve"> </w:t>
      </w:r>
      <w:r>
        <w:t>the</w:t>
      </w:r>
      <w:r>
        <w:rPr>
          <w:spacing w:val="-5"/>
        </w:rPr>
        <w:t xml:space="preserve"> </w:t>
      </w:r>
      <w:r>
        <w:t>treatment</w:t>
      </w:r>
      <w:r>
        <w:rPr>
          <w:spacing w:val="-6"/>
        </w:rPr>
        <w:t xml:space="preserve"> </w:t>
      </w:r>
      <w:r>
        <w:t>of</w:t>
      </w:r>
      <w:r>
        <w:rPr>
          <w:spacing w:val="-7"/>
        </w:rPr>
        <w:t xml:space="preserve"> </w:t>
      </w:r>
      <w:r>
        <w:t>Crohn’s</w:t>
      </w:r>
      <w:r>
        <w:rPr>
          <w:spacing w:val="-7"/>
        </w:rPr>
        <w:t xml:space="preserve"> </w:t>
      </w:r>
      <w:r>
        <w:t>Disease</w:t>
      </w:r>
      <w:r>
        <w:rPr>
          <w:spacing w:val="-4"/>
        </w:rPr>
        <w:t xml:space="preserve"> </w:t>
      </w:r>
      <w:r>
        <w:t>has</w:t>
      </w:r>
      <w:r>
        <w:rPr>
          <w:spacing w:val="-4"/>
        </w:rPr>
        <w:t xml:space="preserve"> </w:t>
      </w:r>
      <w:r>
        <w:t>been</w:t>
      </w:r>
      <w:r>
        <w:rPr>
          <w:spacing w:val="-4"/>
        </w:rPr>
        <w:t xml:space="preserve"> </w:t>
      </w:r>
      <w:r>
        <w:t>conducted.</w:t>
      </w:r>
      <w:r>
        <w:rPr>
          <w:spacing w:val="-6"/>
        </w:rPr>
        <w:t xml:space="preserve"> </w:t>
      </w:r>
      <w:r>
        <w:t>This</w:t>
      </w:r>
      <w:r>
        <w:rPr>
          <w:spacing w:val="-5"/>
        </w:rPr>
        <w:t xml:space="preserve"> </w:t>
      </w:r>
      <w:r>
        <w:t>comprised</w:t>
      </w:r>
      <w:r>
        <w:rPr>
          <w:spacing w:val="-4"/>
        </w:rPr>
        <w:t xml:space="preserve"> </w:t>
      </w:r>
      <w:r>
        <w:t>a</w:t>
      </w:r>
      <w:r>
        <w:rPr>
          <w:spacing w:val="-7"/>
        </w:rPr>
        <w:t xml:space="preserve"> </w:t>
      </w:r>
      <w:r w:rsidR="004B6C8D">
        <w:t>Phase I</w:t>
      </w:r>
      <w:r>
        <w:t xml:space="preserve"> study, two placebo-controlled </w:t>
      </w:r>
      <w:r w:rsidR="004B6C8D">
        <w:t>Phase II</w:t>
      </w:r>
      <w:r>
        <w:t xml:space="preserve"> studies, and three placebo-controlled </w:t>
      </w:r>
      <w:r w:rsidR="004B6C8D">
        <w:t>Phase III</w:t>
      </w:r>
      <w:r>
        <w:t xml:space="preserve"> studies. The patient population studied reflects th</w:t>
      </w:r>
      <w:r w:rsidR="000219E6">
        <w:t xml:space="preserve">e full-spectrum of biologic </w:t>
      </w:r>
      <w:r>
        <w:t xml:space="preserve">eligible patients with Crohn’s Disease </w:t>
      </w:r>
      <w:r w:rsidR="000219E6">
        <w:t>in Australia and, as such, the s</w:t>
      </w:r>
      <w:r>
        <w:t>ponsor’s proposed indication</w:t>
      </w:r>
      <w:r>
        <w:rPr>
          <w:spacing w:val="-10"/>
        </w:rPr>
        <w:t xml:space="preserve"> </w:t>
      </w:r>
      <w:r>
        <w:t>is:</w:t>
      </w:r>
    </w:p>
    <w:p w14:paraId="640B4168" w14:textId="77777777" w:rsidR="00AF3C3D" w:rsidRPr="000219E6" w:rsidRDefault="00CC3432" w:rsidP="000219E6">
      <w:pPr>
        <w:ind w:left="720"/>
        <w:rPr>
          <w:i/>
        </w:rPr>
      </w:pPr>
      <w:r w:rsidRPr="000219E6">
        <w:rPr>
          <w:i/>
        </w:rPr>
        <w:t>Stelara</w:t>
      </w:r>
      <w:r w:rsidR="00AF3C3D" w:rsidRPr="000219E6">
        <w:rPr>
          <w:i/>
          <w:spacing w:val="-9"/>
        </w:rPr>
        <w:t xml:space="preserve"> </w:t>
      </w:r>
      <w:r w:rsidR="00AF3C3D" w:rsidRPr="000219E6">
        <w:rPr>
          <w:i/>
        </w:rPr>
        <w:t>is</w:t>
      </w:r>
      <w:r w:rsidR="00AF3C3D" w:rsidRPr="000219E6">
        <w:rPr>
          <w:i/>
          <w:spacing w:val="-8"/>
        </w:rPr>
        <w:t xml:space="preserve"> </w:t>
      </w:r>
      <w:r w:rsidR="00AF3C3D" w:rsidRPr="000219E6">
        <w:rPr>
          <w:i/>
        </w:rPr>
        <w:t>indicated</w:t>
      </w:r>
      <w:r w:rsidR="00AF3C3D" w:rsidRPr="000219E6">
        <w:rPr>
          <w:i/>
          <w:spacing w:val="-9"/>
        </w:rPr>
        <w:t xml:space="preserve"> </w:t>
      </w:r>
      <w:r w:rsidR="00AF3C3D" w:rsidRPr="000219E6">
        <w:rPr>
          <w:i/>
        </w:rPr>
        <w:t>for</w:t>
      </w:r>
      <w:r w:rsidR="00AF3C3D" w:rsidRPr="000219E6">
        <w:rPr>
          <w:i/>
          <w:spacing w:val="-8"/>
        </w:rPr>
        <w:t xml:space="preserve"> </w:t>
      </w:r>
      <w:r w:rsidR="00AF3C3D" w:rsidRPr="000219E6">
        <w:rPr>
          <w:i/>
        </w:rPr>
        <w:t>the</w:t>
      </w:r>
      <w:r w:rsidR="00AF3C3D" w:rsidRPr="000219E6">
        <w:rPr>
          <w:i/>
          <w:spacing w:val="-8"/>
        </w:rPr>
        <w:t xml:space="preserve"> </w:t>
      </w:r>
      <w:r w:rsidR="00AF3C3D" w:rsidRPr="000219E6">
        <w:rPr>
          <w:i/>
        </w:rPr>
        <w:t>treatment</w:t>
      </w:r>
      <w:r w:rsidR="00AF3C3D" w:rsidRPr="000219E6">
        <w:rPr>
          <w:i/>
          <w:spacing w:val="-8"/>
        </w:rPr>
        <w:t xml:space="preserve"> </w:t>
      </w:r>
      <w:r w:rsidR="00AF3C3D" w:rsidRPr="000219E6">
        <w:rPr>
          <w:i/>
        </w:rPr>
        <w:t>of</w:t>
      </w:r>
      <w:r w:rsidR="00AF3C3D" w:rsidRPr="000219E6">
        <w:rPr>
          <w:i/>
          <w:spacing w:val="-8"/>
        </w:rPr>
        <w:t xml:space="preserve"> </w:t>
      </w:r>
      <w:r w:rsidR="00AF3C3D" w:rsidRPr="000219E6">
        <w:rPr>
          <w:i/>
        </w:rPr>
        <w:t>adult</w:t>
      </w:r>
      <w:r w:rsidR="00AF3C3D" w:rsidRPr="000219E6">
        <w:rPr>
          <w:i/>
          <w:spacing w:val="-8"/>
        </w:rPr>
        <w:t xml:space="preserve"> </w:t>
      </w:r>
      <w:r w:rsidR="00AF3C3D" w:rsidRPr="000219E6">
        <w:rPr>
          <w:i/>
        </w:rPr>
        <w:t>patients</w:t>
      </w:r>
      <w:r w:rsidR="00AF3C3D" w:rsidRPr="000219E6">
        <w:rPr>
          <w:i/>
          <w:spacing w:val="-8"/>
        </w:rPr>
        <w:t xml:space="preserve"> </w:t>
      </w:r>
      <w:r w:rsidR="00AF3C3D" w:rsidRPr="000219E6">
        <w:rPr>
          <w:i/>
        </w:rPr>
        <w:t>with</w:t>
      </w:r>
      <w:r w:rsidR="00AF3C3D" w:rsidRPr="000219E6">
        <w:rPr>
          <w:i/>
          <w:spacing w:val="-9"/>
        </w:rPr>
        <w:t xml:space="preserve"> </w:t>
      </w:r>
      <w:r w:rsidR="00AF3C3D" w:rsidRPr="000219E6">
        <w:rPr>
          <w:i/>
        </w:rPr>
        <w:t>moderately</w:t>
      </w:r>
      <w:r w:rsidR="00AF3C3D" w:rsidRPr="000219E6">
        <w:rPr>
          <w:i/>
          <w:spacing w:val="-9"/>
        </w:rPr>
        <w:t xml:space="preserve"> </w:t>
      </w:r>
      <w:r w:rsidR="00AF3C3D" w:rsidRPr="000219E6">
        <w:rPr>
          <w:i/>
        </w:rPr>
        <w:t>to</w:t>
      </w:r>
      <w:r w:rsidR="00AF3C3D" w:rsidRPr="000219E6">
        <w:rPr>
          <w:i/>
          <w:spacing w:val="-8"/>
        </w:rPr>
        <w:t xml:space="preserve"> </w:t>
      </w:r>
      <w:r w:rsidR="00AF3C3D" w:rsidRPr="000219E6">
        <w:rPr>
          <w:i/>
        </w:rPr>
        <w:t>severely</w:t>
      </w:r>
      <w:r w:rsidR="00AF3C3D" w:rsidRPr="000219E6">
        <w:rPr>
          <w:i/>
          <w:spacing w:val="-10"/>
        </w:rPr>
        <w:t xml:space="preserve"> </w:t>
      </w:r>
      <w:r w:rsidR="00AF3C3D" w:rsidRPr="000219E6">
        <w:rPr>
          <w:i/>
        </w:rPr>
        <w:t>active Crohn’s Disease who have had an inadequate response, lost response, were intolerant to conventional therapy or a TNFα antagonist or have medical contraindications to such therapies.</w:t>
      </w:r>
    </w:p>
    <w:p w14:paraId="1ED91431" w14:textId="77777777" w:rsidR="00AF3C3D" w:rsidRDefault="00AF3C3D" w:rsidP="000219E6">
      <w:r>
        <w:t>This proposed indi</w:t>
      </w:r>
      <w:r w:rsidR="000219E6">
        <w:t>cation has been endorsed by the clinical e</w:t>
      </w:r>
      <w:r>
        <w:t xml:space="preserve">valuator. The Delegate is seeking advice from members of the Advisory Committee on Medicines (ACM) if there is </w:t>
      </w:r>
      <w:r>
        <w:lastRenderedPageBreak/>
        <w:t>any clinical justification for amending this indica</w:t>
      </w:r>
      <w:r w:rsidR="000219E6">
        <w:t>tion, on the stated basis that ‘</w:t>
      </w:r>
      <w:r>
        <w:rPr>
          <w:i/>
        </w:rPr>
        <w:t>the pivotal studies were restricted to patients who failed or are intolerant to one or more TNF antagonist therapies</w:t>
      </w:r>
      <w:r w:rsidR="000219E6">
        <w:t>’</w:t>
      </w:r>
      <w:r>
        <w:t>.</w:t>
      </w:r>
    </w:p>
    <w:p w14:paraId="08E85460" w14:textId="77777777" w:rsidR="00AF3C3D" w:rsidRDefault="00AF3C3D" w:rsidP="000219E6">
      <w:r>
        <w:t>Regrettably,</w:t>
      </w:r>
      <w:r>
        <w:rPr>
          <w:spacing w:val="-10"/>
        </w:rPr>
        <w:t xml:space="preserve"> </w:t>
      </w:r>
      <w:r>
        <w:t>this</w:t>
      </w:r>
      <w:r>
        <w:rPr>
          <w:spacing w:val="-9"/>
        </w:rPr>
        <w:t xml:space="preserve"> </w:t>
      </w:r>
      <w:r>
        <w:t>statement</w:t>
      </w:r>
      <w:r>
        <w:rPr>
          <w:spacing w:val="-9"/>
        </w:rPr>
        <w:t xml:space="preserve"> </w:t>
      </w:r>
      <w:r>
        <w:t>is</w:t>
      </w:r>
      <w:r>
        <w:rPr>
          <w:spacing w:val="-9"/>
        </w:rPr>
        <w:t xml:space="preserve"> </w:t>
      </w:r>
      <w:r>
        <w:t>incorrect</w:t>
      </w:r>
      <w:r>
        <w:rPr>
          <w:spacing w:val="-9"/>
        </w:rPr>
        <w:t xml:space="preserve"> </w:t>
      </w:r>
      <w:r>
        <w:t>and</w:t>
      </w:r>
      <w:r>
        <w:rPr>
          <w:spacing w:val="-7"/>
        </w:rPr>
        <w:t xml:space="preserve"> </w:t>
      </w:r>
      <w:r>
        <w:t>represents</w:t>
      </w:r>
      <w:r>
        <w:rPr>
          <w:spacing w:val="-9"/>
        </w:rPr>
        <w:t xml:space="preserve"> </w:t>
      </w:r>
      <w:r>
        <w:t>a</w:t>
      </w:r>
      <w:r>
        <w:rPr>
          <w:spacing w:val="-8"/>
        </w:rPr>
        <w:t xml:space="preserve"> </w:t>
      </w:r>
      <w:r w:rsidRPr="000219E6">
        <w:t>significant</w:t>
      </w:r>
      <w:r w:rsidRPr="000219E6">
        <w:rPr>
          <w:spacing w:val="-9"/>
        </w:rPr>
        <w:t xml:space="preserve"> </w:t>
      </w:r>
      <w:r w:rsidRPr="000219E6">
        <w:t>factual</w:t>
      </w:r>
      <w:r w:rsidRPr="000219E6">
        <w:rPr>
          <w:spacing w:val="-9"/>
        </w:rPr>
        <w:t xml:space="preserve"> </w:t>
      </w:r>
      <w:r w:rsidRPr="000219E6">
        <w:t>error.</w:t>
      </w:r>
      <w:r>
        <w:rPr>
          <w:spacing w:val="42"/>
        </w:rPr>
        <w:t xml:space="preserve"> </w:t>
      </w:r>
      <w:r>
        <w:t>Following</w:t>
      </w:r>
      <w:r>
        <w:rPr>
          <w:spacing w:val="-12"/>
        </w:rPr>
        <w:t xml:space="preserve"> </w:t>
      </w:r>
      <w:r>
        <w:t>receipt of</w:t>
      </w:r>
      <w:r>
        <w:rPr>
          <w:spacing w:val="-6"/>
        </w:rPr>
        <w:t xml:space="preserve"> </w:t>
      </w:r>
      <w:r>
        <w:t>the</w:t>
      </w:r>
      <w:r>
        <w:rPr>
          <w:spacing w:val="-5"/>
        </w:rPr>
        <w:t xml:space="preserve"> </w:t>
      </w:r>
      <w:r>
        <w:t>Delegate’s</w:t>
      </w:r>
      <w:r>
        <w:rPr>
          <w:spacing w:val="-5"/>
        </w:rPr>
        <w:t xml:space="preserve"> </w:t>
      </w:r>
      <w:r>
        <w:t>Request</w:t>
      </w:r>
      <w:r>
        <w:rPr>
          <w:spacing w:val="-4"/>
        </w:rPr>
        <w:t xml:space="preserve"> </w:t>
      </w:r>
      <w:r>
        <w:t>for</w:t>
      </w:r>
      <w:r>
        <w:rPr>
          <w:spacing w:val="-6"/>
        </w:rPr>
        <w:t xml:space="preserve"> </w:t>
      </w:r>
      <w:r>
        <w:t>Advice</w:t>
      </w:r>
      <w:r>
        <w:rPr>
          <w:spacing w:val="-6"/>
        </w:rPr>
        <w:t xml:space="preserve"> </w:t>
      </w:r>
      <w:r>
        <w:t>from</w:t>
      </w:r>
      <w:r>
        <w:rPr>
          <w:spacing w:val="-4"/>
        </w:rPr>
        <w:t xml:space="preserve"> </w:t>
      </w:r>
      <w:r>
        <w:t>the</w:t>
      </w:r>
      <w:r>
        <w:rPr>
          <w:spacing w:val="-4"/>
        </w:rPr>
        <w:t xml:space="preserve"> </w:t>
      </w:r>
      <w:r>
        <w:t>ACM,</w:t>
      </w:r>
      <w:r>
        <w:rPr>
          <w:spacing w:val="-4"/>
        </w:rPr>
        <w:t xml:space="preserve"> </w:t>
      </w:r>
      <w:r>
        <w:t>a</w:t>
      </w:r>
      <w:r>
        <w:rPr>
          <w:spacing w:val="-6"/>
        </w:rPr>
        <w:t xml:space="preserve"> </w:t>
      </w:r>
      <w:r>
        <w:t>request</w:t>
      </w:r>
      <w:r>
        <w:rPr>
          <w:spacing w:val="-4"/>
        </w:rPr>
        <w:t xml:space="preserve"> </w:t>
      </w:r>
      <w:r>
        <w:t>from</w:t>
      </w:r>
      <w:r>
        <w:rPr>
          <w:spacing w:val="-4"/>
        </w:rPr>
        <w:t xml:space="preserve"> </w:t>
      </w:r>
      <w:r>
        <w:t>the</w:t>
      </w:r>
      <w:r>
        <w:rPr>
          <w:spacing w:val="-5"/>
        </w:rPr>
        <w:t xml:space="preserve"> </w:t>
      </w:r>
      <w:r w:rsidR="000219E6">
        <w:rPr>
          <w:spacing w:val="-5"/>
        </w:rPr>
        <w:t>s</w:t>
      </w:r>
      <w:r>
        <w:t>ponsor</w:t>
      </w:r>
      <w:r>
        <w:rPr>
          <w:spacing w:val="-5"/>
        </w:rPr>
        <w:t xml:space="preserve"> </w:t>
      </w:r>
      <w:r>
        <w:t>for</w:t>
      </w:r>
      <w:r>
        <w:rPr>
          <w:spacing w:val="-6"/>
        </w:rPr>
        <w:t xml:space="preserve"> </w:t>
      </w:r>
      <w:r>
        <w:t>the</w:t>
      </w:r>
      <w:r>
        <w:rPr>
          <w:spacing w:val="-5"/>
        </w:rPr>
        <w:t xml:space="preserve"> </w:t>
      </w:r>
      <w:r>
        <w:t>document to be re-issued with the omission of the incorrect information w</w:t>
      </w:r>
      <w:r w:rsidR="000219E6">
        <w:t>as not granted. Therefore, the s</w:t>
      </w:r>
      <w:r>
        <w:t>ponsor must address this statement now, and clarify for the committee members that the pivotal studies were not restricted in the manner outlined in the Delegate’s Request for Advice from the ACM and thus no amendment to the proposed indication is</w:t>
      </w:r>
      <w:r>
        <w:rPr>
          <w:spacing w:val="-12"/>
        </w:rPr>
        <w:t xml:space="preserve"> </w:t>
      </w:r>
      <w:r>
        <w:t>warranted.</w:t>
      </w:r>
    </w:p>
    <w:p w14:paraId="53F99FAB" w14:textId="77777777" w:rsidR="00AF3C3D" w:rsidRDefault="00AF3C3D" w:rsidP="000219E6">
      <w:pPr>
        <w:pStyle w:val="Heading5"/>
      </w:pPr>
      <w:r>
        <w:t xml:space="preserve">Patient Populations Studied in </w:t>
      </w:r>
      <w:r w:rsidRPr="000219E6">
        <w:t>the</w:t>
      </w:r>
      <w:r>
        <w:t xml:space="preserve"> Pivotal </w:t>
      </w:r>
      <w:r w:rsidR="004B6C8D">
        <w:t>Phase III</w:t>
      </w:r>
      <w:r>
        <w:t xml:space="preserve"> Studies Investigating </w:t>
      </w:r>
      <w:r w:rsidR="00CC3432">
        <w:t>Stelara</w:t>
      </w:r>
      <w:r>
        <w:t xml:space="preserve"> for the Treatment of Crohn’s Disease</w:t>
      </w:r>
    </w:p>
    <w:p w14:paraId="2A6F5730" w14:textId="77777777" w:rsidR="00AF3C3D" w:rsidRDefault="00AF3C3D" w:rsidP="00F745D9">
      <w:r>
        <w:t xml:space="preserve">The </w:t>
      </w:r>
      <w:r w:rsidR="004B6C8D">
        <w:t>Phase III</w:t>
      </w:r>
      <w:r>
        <w:t xml:space="preserve"> program encompassed a broad range of biologic-eligible patients with Crohn’s Disease,</w:t>
      </w:r>
      <w:r>
        <w:rPr>
          <w:spacing w:val="-9"/>
        </w:rPr>
        <w:t xml:space="preserve"> </w:t>
      </w:r>
      <w:r>
        <w:t>from</w:t>
      </w:r>
      <w:r>
        <w:rPr>
          <w:spacing w:val="-8"/>
        </w:rPr>
        <w:t xml:space="preserve"> </w:t>
      </w:r>
      <w:r>
        <w:t>those</w:t>
      </w:r>
      <w:r>
        <w:rPr>
          <w:spacing w:val="-9"/>
        </w:rPr>
        <w:t xml:space="preserve"> </w:t>
      </w:r>
      <w:r>
        <w:t>who</w:t>
      </w:r>
      <w:r>
        <w:rPr>
          <w:spacing w:val="-7"/>
        </w:rPr>
        <w:t xml:space="preserve"> </w:t>
      </w:r>
      <w:r>
        <w:t>were</w:t>
      </w:r>
      <w:r>
        <w:rPr>
          <w:spacing w:val="-10"/>
        </w:rPr>
        <w:t xml:space="preserve"> </w:t>
      </w:r>
      <w:r>
        <w:t>TNF</w:t>
      </w:r>
      <w:r>
        <w:rPr>
          <w:spacing w:val="-9"/>
        </w:rPr>
        <w:t xml:space="preserve"> </w:t>
      </w:r>
      <w:r>
        <w:t>antagonist-naïve</w:t>
      </w:r>
      <w:r>
        <w:rPr>
          <w:spacing w:val="-9"/>
        </w:rPr>
        <w:t xml:space="preserve"> </w:t>
      </w:r>
      <w:r>
        <w:t>(having</w:t>
      </w:r>
      <w:r>
        <w:rPr>
          <w:spacing w:val="-11"/>
        </w:rPr>
        <w:t xml:space="preserve"> </w:t>
      </w:r>
      <w:r>
        <w:t>previously</w:t>
      </w:r>
      <w:r>
        <w:rPr>
          <w:spacing w:val="-13"/>
        </w:rPr>
        <w:t xml:space="preserve"> </w:t>
      </w:r>
      <w:r>
        <w:t>failed</w:t>
      </w:r>
      <w:r>
        <w:rPr>
          <w:spacing w:val="-7"/>
        </w:rPr>
        <w:t xml:space="preserve"> </w:t>
      </w:r>
      <w:r>
        <w:t>only</w:t>
      </w:r>
      <w:r>
        <w:rPr>
          <w:spacing w:val="-13"/>
        </w:rPr>
        <w:t xml:space="preserve"> </w:t>
      </w:r>
      <w:r>
        <w:t>steroids</w:t>
      </w:r>
      <w:r>
        <w:rPr>
          <w:spacing w:val="-8"/>
        </w:rPr>
        <w:t xml:space="preserve"> </w:t>
      </w:r>
      <w:r>
        <w:t xml:space="preserve">and/or </w:t>
      </w:r>
      <w:r w:rsidR="00957FBB">
        <w:t>immune-</w:t>
      </w:r>
      <w:r>
        <w:t>modulators), to those who had previously failed one or more TNF</w:t>
      </w:r>
      <w:r>
        <w:rPr>
          <w:spacing w:val="-14"/>
        </w:rPr>
        <w:t xml:space="preserve"> </w:t>
      </w:r>
      <w:r>
        <w:t>antagonists.</w:t>
      </w:r>
    </w:p>
    <w:p w14:paraId="0C708DC7" w14:textId="77777777" w:rsidR="00AF3C3D" w:rsidRDefault="000219E6" w:rsidP="00F745D9">
      <w:r>
        <w:t xml:space="preserve">The program included two 8 </w:t>
      </w:r>
      <w:r w:rsidR="00AF3C3D">
        <w:t xml:space="preserve">week </w:t>
      </w:r>
      <w:r>
        <w:t>IV</w:t>
      </w:r>
      <w:r w:rsidR="00AF3C3D">
        <w:t xml:space="preserve"> induction studies (known as </w:t>
      </w:r>
      <w:r>
        <w:t xml:space="preserve">CRD3001 and CRD3002) and one 44 </w:t>
      </w:r>
      <w:r w:rsidR="00AF3C3D">
        <w:t>week subcutaneous (SC) maintenance study (CRD3003). Studies CRD3001 a</w:t>
      </w:r>
      <w:r>
        <w:t>nd CRD3002 were the same design</w:t>
      </w:r>
      <w:r w:rsidR="00AF3C3D">
        <w:t xml:space="preserve"> but targeted different, mutually exclusive patient populations:</w:t>
      </w:r>
    </w:p>
    <w:p w14:paraId="54FBCDC1" w14:textId="77777777" w:rsidR="00AF3C3D" w:rsidRDefault="00AF3C3D" w:rsidP="000219E6">
      <w:r>
        <w:t>CRD3001 enrolled patients with a history of inadequate response to, or intolerance to, at</w:t>
      </w:r>
      <w:r>
        <w:rPr>
          <w:spacing w:val="-38"/>
        </w:rPr>
        <w:t xml:space="preserve"> </w:t>
      </w:r>
      <w:r>
        <w:t>least one TNF</w:t>
      </w:r>
      <w:r>
        <w:rPr>
          <w:spacing w:val="-5"/>
        </w:rPr>
        <w:t xml:space="preserve"> </w:t>
      </w:r>
      <w:r>
        <w:t>antagonist.</w:t>
      </w:r>
    </w:p>
    <w:p w14:paraId="5B11435F" w14:textId="77777777" w:rsidR="00AF3C3D" w:rsidRDefault="00AF3C3D" w:rsidP="000219E6">
      <w:r>
        <w:t xml:space="preserve">CRD3002 enrolled patients with a history of inadequate response to or intolerance of corticosteroids or </w:t>
      </w:r>
      <w:r w:rsidR="00957FBB">
        <w:t>immune-</w:t>
      </w:r>
      <w:r>
        <w:t>modulators. These patients could either have never received treatment</w:t>
      </w:r>
      <w:r>
        <w:rPr>
          <w:spacing w:val="-13"/>
        </w:rPr>
        <w:t xml:space="preserve"> </w:t>
      </w:r>
      <w:r>
        <w:t>with</w:t>
      </w:r>
      <w:r>
        <w:rPr>
          <w:spacing w:val="-13"/>
        </w:rPr>
        <w:t xml:space="preserve"> </w:t>
      </w:r>
      <w:r>
        <w:t>a</w:t>
      </w:r>
      <w:r>
        <w:rPr>
          <w:spacing w:val="-14"/>
        </w:rPr>
        <w:t xml:space="preserve"> </w:t>
      </w:r>
      <w:r>
        <w:t>TNF</w:t>
      </w:r>
      <w:r>
        <w:rPr>
          <w:spacing w:val="-13"/>
        </w:rPr>
        <w:t xml:space="preserve"> </w:t>
      </w:r>
      <w:r>
        <w:t>antagonist</w:t>
      </w:r>
      <w:r>
        <w:rPr>
          <w:spacing w:val="-12"/>
        </w:rPr>
        <w:t xml:space="preserve"> </w:t>
      </w:r>
      <w:r>
        <w:t>(</w:t>
      </w:r>
      <w:r w:rsidR="000219E6">
        <w:t xml:space="preserve">that is, </w:t>
      </w:r>
      <w:r w:rsidRPr="000219E6">
        <w:t>TNF</w:t>
      </w:r>
      <w:r w:rsidRPr="000219E6">
        <w:rPr>
          <w:spacing w:val="-15"/>
        </w:rPr>
        <w:t xml:space="preserve"> </w:t>
      </w:r>
      <w:r w:rsidRPr="000219E6">
        <w:t>antagonist-naïve</w:t>
      </w:r>
      <w:r w:rsidRPr="000219E6">
        <w:rPr>
          <w:spacing w:val="-14"/>
        </w:rPr>
        <w:t xml:space="preserve"> </w:t>
      </w:r>
      <w:r w:rsidRPr="000219E6">
        <w:t>patients</w:t>
      </w:r>
      <w:r>
        <w:t>)</w:t>
      </w:r>
      <w:r>
        <w:rPr>
          <w:spacing w:val="-14"/>
        </w:rPr>
        <w:t xml:space="preserve"> </w:t>
      </w:r>
      <w:r>
        <w:t>or</w:t>
      </w:r>
      <w:r>
        <w:rPr>
          <w:spacing w:val="-12"/>
        </w:rPr>
        <w:t xml:space="preserve"> </w:t>
      </w:r>
      <w:r>
        <w:t>could</w:t>
      </w:r>
      <w:r>
        <w:rPr>
          <w:spacing w:val="-13"/>
        </w:rPr>
        <w:t xml:space="preserve"> </w:t>
      </w:r>
      <w:r>
        <w:t>have</w:t>
      </w:r>
      <w:r>
        <w:rPr>
          <w:spacing w:val="-14"/>
        </w:rPr>
        <w:t xml:space="preserve"> </w:t>
      </w:r>
      <w:r>
        <w:t>been</w:t>
      </w:r>
      <w:r>
        <w:rPr>
          <w:spacing w:val="-13"/>
        </w:rPr>
        <w:t xml:space="preserve"> </w:t>
      </w:r>
      <w:r>
        <w:t>treated with a TNF antagonist but not have a documented history of an inadequate response or intolerance to</w:t>
      </w:r>
      <w:r>
        <w:rPr>
          <w:spacing w:val="-6"/>
        </w:rPr>
        <w:t xml:space="preserve"> </w:t>
      </w:r>
      <w:r>
        <w:t>them.</w:t>
      </w:r>
    </w:p>
    <w:p w14:paraId="405280AF" w14:textId="77777777" w:rsidR="00AF3C3D" w:rsidRDefault="00AF3C3D" w:rsidP="000219E6">
      <w:r>
        <w:t xml:space="preserve">Patients from </w:t>
      </w:r>
      <w:r w:rsidR="00C16F5E">
        <w:t>S</w:t>
      </w:r>
      <w:r>
        <w:t xml:space="preserve">tudies CRD3001 and CRD3002 who had been randomised to </w:t>
      </w:r>
      <w:r w:rsidR="00CC3432">
        <w:t>Stelara</w:t>
      </w:r>
      <w:r>
        <w:rPr>
          <w:spacing w:val="-20"/>
        </w:rPr>
        <w:t xml:space="preserve"> </w:t>
      </w:r>
      <w:r>
        <w:t>induction therapy at Week 0 and were in clinical response at Week 8 were eligible to enter t</w:t>
      </w:r>
      <w:r w:rsidR="00C16F5E">
        <w:t xml:space="preserve">he primary population of the 44 </w:t>
      </w:r>
      <w:r>
        <w:t>week maintenance study</w:t>
      </w:r>
      <w:r>
        <w:rPr>
          <w:spacing w:val="-6"/>
        </w:rPr>
        <w:t xml:space="preserve"> </w:t>
      </w:r>
      <w:r>
        <w:t>(CRD3003).</w:t>
      </w:r>
    </w:p>
    <w:p w14:paraId="381F8600" w14:textId="77777777" w:rsidR="00AF3C3D" w:rsidRDefault="00C16F5E" w:rsidP="000219E6">
      <w:r>
        <w:t>The s</w:t>
      </w:r>
      <w:r w:rsidR="00AF3C3D">
        <w:t>ponsor reiterates that two of the three pivotal studies (CRD3002 and CRD3003) enrolled TNF</w:t>
      </w:r>
      <w:r w:rsidR="00AF3C3D">
        <w:rPr>
          <w:spacing w:val="-15"/>
        </w:rPr>
        <w:t xml:space="preserve"> </w:t>
      </w:r>
      <w:r w:rsidR="00AF3C3D">
        <w:t>antagonist-naïve</w:t>
      </w:r>
      <w:r w:rsidR="00AF3C3D">
        <w:rPr>
          <w:spacing w:val="-16"/>
        </w:rPr>
        <w:t xml:space="preserve"> </w:t>
      </w:r>
      <w:r w:rsidR="00AF3C3D">
        <w:t>patients,</w:t>
      </w:r>
      <w:r w:rsidR="00AF3C3D">
        <w:rPr>
          <w:spacing w:val="-15"/>
        </w:rPr>
        <w:t xml:space="preserve"> </w:t>
      </w:r>
      <w:r w:rsidR="00AF3C3D">
        <w:t>negating</w:t>
      </w:r>
      <w:r w:rsidR="00AF3C3D">
        <w:rPr>
          <w:spacing w:val="-18"/>
        </w:rPr>
        <w:t xml:space="preserve"> </w:t>
      </w:r>
      <w:r w:rsidR="00AF3C3D">
        <w:t>the</w:t>
      </w:r>
      <w:r w:rsidR="00AF3C3D">
        <w:rPr>
          <w:spacing w:val="-16"/>
        </w:rPr>
        <w:t xml:space="preserve"> </w:t>
      </w:r>
      <w:r w:rsidR="00AF3C3D">
        <w:t>factual</w:t>
      </w:r>
      <w:r w:rsidR="00AF3C3D">
        <w:rPr>
          <w:spacing w:val="-14"/>
        </w:rPr>
        <w:t xml:space="preserve"> </w:t>
      </w:r>
      <w:r w:rsidR="00AF3C3D">
        <w:t>error</w:t>
      </w:r>
      <w:r w:rsidR="00AF3C3D">
        <w:rPr>
          <w:spacing w:val="-15"/>
        </w:rPr>
        <w:t xml:space="preserve"> </w:t>
      </w:r>
      <w:r w:rsidR="00AF3C3D">
        <w:t>in</w:t>
      </w:r>
      <w:r w:rsidR="00AF3C3D">
        <w:rPr>
          <w:spacing w:val="-15"/>
        </w:rPr>
        <w:t xml:space="preserve"> </w:t>
      </w:r>
      <w:r w:rsidR="00AF3C3D">
        <w:t>the</w:t>
      </w:r>
      <w:r w:rsidR="00AF3C3D">
        <w:rPr>
          <w:spacing w:val="-14"/>
        </w:rPr>
        <w:t xml:space="preserve"> </w:t>
      </w:r>
      <w:r w:rsidR="00AF3C3D">
        <w:t>Delegate’s</w:t>
      </w:r>
      <w:r w:rsidR="00AF3C3D">
        <w:rPr>
          <w:spacing w:val="-16"/>
        </w:rPr>
        <w:t xml:space="preserve"> </w:t>
      </w:r>
      <w:r w:rsidR="00AF3C3D">
        <w:t>Request</w:t>
      </w:r>
      <w:r w:rsidR="00AF3C3D">
        <w:rPr>
          <w:spacing w:val="-15"/>
        </w:rPr>
        <w:t xml:space="preserve"> </w:t>
      </w:r>
      <w:r w:rsidR="00AF3C3D">
        <w:t>for</w:t>
      </w:r>
      <w:r w:rsidR="00AF3C3D">
        <w:rPr>
          <w:spacing w:val="-15"/>
        </w:rPr>
        <w:t xml:space="preserve"> </w:t>
      </w:r>
      <w:r w:rsidR="00AF3C3D">
        <w:t>Advice</w:t>
      </w:r>
      <w:r w:rsidR="00AF3C3D">
        <w:rPr>
          <w:spacing w:val="-15"/>
        </w:rPr>
        <w:t xml:space="preserve"> </w:t>
      </w:r>
      <w:r>
        <w:t>from the ACM, which states ‘</w:t>
      </w:r>
      <w:r w:rsidR="00AF3C3D">
        <w:rPr>
          <w:i/>
        </w:rPr>
        <w:t>the pivotal studies were restricted to patients who failed or are</w:t>
      </w:r>
      <w:r w:rsidR="00AF3C3D">
        <w:rPr>
          <w:i/>
          <w:spacing w:val="-20"/>
        </w:rPr>
        <w:t xml:space="preserve"> </w:t>
      </w:r>
      <w:r w:rsidR="00AF3C3D">
        <w:rPr>
          <w:i/>
        </w:rPr>
        <w:t>intolerant to one or more TNF antagonist therapies</w:t>
      </w:r>
      <w:r>
        <w:rPr>
          <w:i/>
        </w:rPr>
        <w:t>’</w:t>
      </w:r>
      <w:r w:rsidR="00AF3C3D">
        <w:t xml:space="preserve">. Table </w:t>
      </w:r>
      <w:r>
        <w:t>9</w:t>
      </w:r>
      <w:r w:rsidR="00AF3C3D">
        <w:t xml:space="preserve"> presents the Crohn’s Disease-related medication</w:t>
      </w:r>
      <w:r w:rsidR="00AF3C3D">
        <w:rPr>
          <w:spacing w:val="-8"/>
        </w:rPr>
        <w:t xml:space="preserve"> </w:t>
      </w:r>
      <w:r w:rsidR="00AF3C3D">
        <w:t>history</w:t>
      </w:r>
      <w:r w:rsidR="00AF3C3D">
        <w:rPr>
          <w:spacing w:val="-10"/>
        </w:rPr>
        <w:t xml:space="preserve"> </w:t>
      </w:r>
      <w:r w:rsidR="00AF3C3D">
        <w:t>of</w:t>
      </w:r>
      <w:r w:rsidR="00AF3C3D">
        <w:rPr>
          <w:spacing w:val="-7"/>
        </w:rPr>
        <w:t xml:space="preserve"> </w:t>
      </w:r>
      <w:r w:rsidR="00AF3C3D">
        <w:t>the</w:t>
      </w:r>
      <w:r w:rsidR="00AF3C3D">
        <w:rPr>
          <w:spacing w:val="-6"/>
        </w:rPr>
        <w:t xml:space="preserve"> </w:t>
      </w:r>
      <w:r w:rsidR="00AF3C3D">
        <w:t>patients</w:t>
      </w:r>
      <w:r w:rsidR="00AF3C3D">
        <w:rPr>
          <w:spacing w:val="-7"/>
        </w:rPr>
        <w:t xml:space="preserve"> </w:t>
      </w:r>
      <w:r w:rsidR="00AF3C3D">
        <w:t>studied</w:t>
      </w:r>
      <w:r w:rsidR="00AF3C3D">
        <w:rPr>
          <w:spacing w:val="-8"/>
        </w:rPr>
        <w:t xml:space="preserve"> </w:t>
      </w:r>
      <w:r w:rsidR="00AF3C3D">
        <w:t>in</w:t>
      </w:r>
      <w:r w:rsidR="00AF3C3D">
        <w:rPr>
          <w:spacing w:val="-7"/>
        </w:rPr>
        <w:t xml:space="preserve"> </w:t>
      </w:r>
      <w:r w:rsidR="00AF3C3D">
        <w:t>the</w:t>
      </w:r>
      <w:r w:rsidR="00AF3C3D">
        <w:rPr>
          <w:spacing w:val="-8"/>
        </w:rPr>
        <w:t xml:space="preserve"> </w:t>
      </w:r>
      <w:r w:rsidR="004B6C8D">
        <w:t>Phase III</w:t>
      </w:r>
      <w:r w:rsidR="00AF3C3D">
        <w:rPr>
          <w:spacing w:val="-8"/>
        </w:rPr>
        <w:t xml:space="preserve"> </w:t>
      </w:r>
      <w:r w:rsidR="00AF3C3D">
        <w:t>pivotal</w:t>
      </w:r>
      <w:r w:rsidR="00AF3C3D">
        <w:rPr>
          <w:spacing w:val="-7"/>
        </w:rPr>
        <w:t xml:space="preserve"> </w:t>
      </w:r>
      <w:r w:rsidR="00AF3C3D">
        <w:t>studies.</w:t>
      </w:r>
      <w:r w:rsidR="00AF3C3D">
        <w:rPr>
          <w:spacing w:val="49"/>
        </w:rPr>
        <w:t xml:space="preserve"> </w:t>
      </w:r>
      <w:r w:rsidR="00AF3C3D">
        <w:t>68.6%</w:t>
      </w:r>
      <w:r w:rsidR="00AF3C3D">
        <w:rPr>
          <w:spacing w:val="-8"/>
        </w:rPr>
        <w:t xml:space="preserve"> </w:t>
      </w:r>
      <w:r w:rsidR="00AF3C3D">
        <w:t>(n=431)</w:t>
      </w:r>
      <w:r w:rsidR="00AF3C3D">
        <w:rPr>
          <w:spacing w:val="-8"/>
        </w:rPr>
        <w:t xml:space="preserve"> </w:t>
      </w:r>
      <w:r w:rsidR="00AF3C3D">
        <w:t>of</w:t>
      </w:r>
      <w:r w:rsidR="00AF3C3D">
        <w:rPr>
          <w:spacing w:val="-6"/>
        </w:rPr>
        <w:t xml:space="preserve"> </w:t>
      </w:r>
      <w:r w:rsidR="00AF3C3D">
        <w:t>patients in</w:t>
      </w:r>
      <w:r w:rsidR="00AF3C3D">
        <w:rPr>
          <w:spacing w:val="-6"/>
        </w:rPr>
        <w:t xml:space="preserve"> </w:t>
      </w:r>
      <w:r w:rsidR="00AF3C3D">
        <w:t>CRD3002</w:t>
      </w:r>
      <w:r w:rsidR="00AF3C3D">
        <w:rPr>
          <w:spacing w:val="-7"/>
        </w:rPr>
        <w:t xml:space="preserve"> </w:t>
      </w:r>
      <w:r w:rsidR="00AF3C3D">
        <w:t>were</w:t>
      </w:r>
      <w:r w:rsidR="00AF3C3D">
        <w:rPr>
          <w:spacing w:val="-7"/>
        </w:rPr>
        <w:t xml:space="preserve"> </w:t>
      </w:r>
      <w:r w:rsidR="00AF3C3D">
        <w:t>TNF</w:t>
      </w:r>
      <w:r w:rsidR="00AF3C3D">
        <w:rPr>
          <w:spacing w:val="-5"/>
        </w:rPr>
        <w:t xml:space="preserve"> </w:t>
      </w:r>
      <w:r w:rsidR="00AF3C3D">
        <w:t>antagonist-naïve</w:t>
      </w:r>
      <w:r w:rsidR="00AF3C3D">
        <w:rPr>
          <w:spacing w:val="-6"/>
        </w:rPr>
        <w:t xml:space="preserve"> </w:t>
      </w:r>
      <w:r w:rsidR="00AF3C3D">
        <w:t>and</w:t>
      </w:r>
      <w:r w:rsidR="00AF3C3D">
        <w:rPr>
          <w:spacing w:val="-4"/>
        </w:rPr>
        <w:t xml:space="preserve"> </w:t>
      </w:r>
      <w:r w:rsidR="00AF3C3D">
        <w:t>these</w:t>
      </w:r>
      <w:r w:rsidR="00AF3C3D">
        <w:rPr>
          <w:spacing w:val="-7"/>
        </w:rPr>
        <w:t xml:space="preserve"> </w:t>
      </w:r>
      <w:r w:rsidR="00AF3C3D">
        <w:t>patients</w:t>
      </w:r>
      <w:r w:rsidR="00AF3C3D">
        <w:rPr>
          <w:spacing w:val="-3"/>
        </w:rPr>
        <w:t xml:space="preserve"> </w:t>
      </w:r>
      <w:r w:rsidR="00AF3C3D">
        <w:t>went</w:t>
      </w:r>
      <w:r w:rsidR="00AF3C3D">
        <w:rPr>
          <w:spacing w:val="-6"/>
        </w:rPr>
        <w:t xml:space="preserve"> </w:t>
      </w:r>
      <w:r w:rsidR="00AF3C3D">
        <w:t>on</w:t>
      </w:r>
      <w:r w:rsidR="00AF3C3D">
        <w:rPr>
          <w:spacing w:val="-4"/>
        </w:rPr>
        <w:t xml:space="preserve"> </w:t>
      </w:r>
      <w:r w:rsidR="00AF3C3D">
        <w:t>to</w:t>
      </w:r>
      <w:r w:rsidR="00AF3C3D">
        <w:rPr>
          <w:spacing w:val="-6"/>
        </w:rPr>
        <w:t xml:space="preserve"> </w:t>
      </w:r>
      <w:r w:rsidR="00AF3C3D">
        <w:t>make</w:t>
      </w:r>
      <w:r w:rsidR="00AF3C3D">
        <w:rPr>
          <w:spacing w:val="-7"/>
        </w:rPr>
        <w:t xml:space="preserve"> </w:t>
      </w:r>
      <w:r w:rsidR="00AF3C3D">
        <w:t>up</w:t>
      </w:r>
      <w:r w:rsidR="00AF3C3D">
        <w:rPr>
          <w:spacing w:val="-6"/>
        </w:rPr>
        <w:t xml:space="preserve"> </w:t>
      </w:r>
      <w:r w:rsidR="00AF3C3D">
        <w:t>39.5%</w:t>
      </w:r>
      <w:r w:rsidR="00AF3C3D">
        <w:rPr>
          <w:spacing w:val="-7"/>
        </w:rPr>
        <w:t xml:space="preserve"> </w:t>
      </w:r>
      <w:r w:rsidR="00AF3C3D">
        <w:t>(n=157)</w:t>
      </w:r>
      <w:r w:rsidR="00AF3C3D">
        <w:rPr>
          <w:spacing w:val="-5"/>
        </w:rPr>
        <w:t xml:space="preserve"> </w:t>
      </w:r>
      <w:r w:rsidR="00AF3C3D">
        <w:t xml:space="preserve">of the primary population of the maintenance </w:t>
      </w:r>
      <w:r w:rsidR="00F221E4">
        <w:t>Study CR</w:t>
      </w:r>
      <w:r w:rsidR="00AF3C3D">
        <w:t>D3003.</w:t>
      </w:r>
    </w:p>
    <w:p w14:paraId="2C649255" w14:textId="77777777" w:rsidR="00AF3C3D" w:rsidRDefault="00AF3C3D" w:rsidP="00C16F5E">
      <w:pPr>
        <w:pStyle w:val="TableTitle"/>
      </w:pPr>
      <w:r>
        <w:t>Table</w:t>
      </w:r>
      <w:r>
        <w:rPr>
          <w:spacing w:val="-2"/>
        </w:rPr>
        <w:t xml:space="preserve"> </w:t>
      </w:r>
      <w:r w:rsidR="00C16F5E">
        <w:rPr>
          <w:spacing w:val="-2"/>
        </w:rPr>
        <w:t xml:space="preserve">9: </w:t>
      </w:r>
      <w:r>
        <w:t>Summary</w:t>
      </w:r>
      <w:r>
        <w:rPr>
          <w:spacing w:val="39"/>
        </w:rPr>
        <w:t xml:space="preserve"> </w:t>
      </w:r>
      <w:r>
        <w:t>of</w:t>
      </w:r>
      <w:r>
        <w:rPr>
          <w:spacing w:val="38"/>
        </w:rPr>
        <w:t xml:space="preserve"> </w:t>
      </w:r>
      <w:r>
        <w:t>Crohn’s</w:t>
      </w:r>
      <w:r>
        <w:rPr>
          <w:spacing w:val="37"/>
        </w:rPr>
        <w:t xml:space="preserve"> </w:t>
      </w:r>
      <w:r>
        <w:t>Disease-Related</w:t>
      </w:r>
      <w:r>
        <w:rPr>
          <w:spacing w:val="35"/>
        </w:rPr>
        <w:t xml:space="preserve"> </w:t>
      </w:r>
      <w:r>
        <w:t>Medication</w:t>
      </w:r>
      <w:r>
        <w:rPr>
          <w:spacing w:val="37"/>
        </w:rPr>
        <w:t xml:space="preserve"> </w:t>
      </w:r>
      <w:r>
        <w:t>History</w:t>
      </w:r>
      <w:r>
        <w:rPr>
          <w:spacing w:val="37"/>
        </w:rPr>
        <w:t xml:space="preserve"> </w:t>
      </w:r>
      <w:r>
        <w:t>of</w:t>
      </w:r>
      <w:r>
        <w:rPr>
          <w:spacing w:val="38"/>
        </w:rPr>
        <w:t xml:space="preserve"> </w:t>
      </w:r>
      <w:r>
        <w:t>Randomised</w:t>
      </w:r>
      <w:r>
        <w:rPr>
          <w:spacing w:val="38"/>
        </w:rPr>
        <w:t xml:space="preserve"> </w:t>
      </w:r>
      <w:r>
        <w:t>Subjects</w:t>
      </w:r>
      <w:r>
        <w:rPr>
          <w:spacing w:val="37"/>
        </w:rPr>
        <w:t xml:space="preserve"> </w:t>
      </w:r>
      <w:r>
        <w:t>in</w:t>
      </w:r>
      <w:r>
        <w:rPr>
          <w:spacing w:val="37"/>
        </w:rPr>
        <w:t xml:space="preserve"> </w:t>
      </w:r>
      <w:r>
        <w:t>the</w:t>
      </w:r>
      <w:r>
        <w:rPr>
          <w:w w:val="99"/>
        </w:rPr>
        <w:t xml:space="preserve"> </w:t>
      </w:r>
      <w:r w:rsidR="004B6C8D">
        <w:t>Phase III</w:t>
      </w:r>
      <w:r>
        <w:t xml:space="preserve"> Clinical Development</w:t>
      </w:r>
      <w:r>
        <w:rPr>
          <w:spacing w:val="-16"/>
        </w:rPr>
        <w:t xml:space="preserve"> </w:t>
      </w:r>
      <w:r w:rsidR="00957FBB">
        <w:t>Program</w:t>
      </w:r>
    </w:p>
    <w:tbl>
      <w:tblPr>
        <w:tblStyle w:val="TableTGAblue"/>
        <w:tblW w:w="8755" w:type="dxa"/>
        <w:tblLayout w:type="fixed"/>
        <w:tblLook w:val="01E0" w:firstRow="1" w:lastRow="1" w:firstColumn="1" w:lastColumn="1" w:noHBand="0" w:noVBand="0"/>
        <w:tblDescription w:val="Table 9 is a summary of Crohn’s Disease-Related Medication History of Randomised Subjects in the Phase III Clinical Development Program"/>
      </w:tblPr>
      <w:tblGrid>
        <w:gridCol w:w="3085"/>
        <w:gridCol w:w="1985"/>
        <w:gridCol w:w="1701"/>
        <w:gridCol w:w="1984"/>
      </w:tblGrid>
      <w:tr w:rsidR="00C16F5E" w:rsidRPr="000D5EED" w14:paraId="4D3E31F3" w14:textId="77777777" w:rsidTr="00436AF6">
        <w:trPr>
          <w:cnfStyle w:val="100000000000" w:firstRow="1" w:lastRow="0" w:firstColumn="0" w:lastColumn="0" w:oddVBand="0" w:evenVBand="0" w:oddHBand="0" w:evenHBand="0" w:firstRowFirstColumn="0" w:firstRowLastColumn="0" w:lastRowFirstColumn="0" w:lastRowLastColumn="0"/>
          <w:cantSplit/>
          <w:trHeight w:val="20"/>
        </w:trPr>
        <w:tc>
          <w:tcPr>
            <w:tcW w:w="3085" w:type="dxa"/>
          </w:tcPr>
          <w:p w14:paraId="294E82AC" w14:textId="77777777" w:rsidR="00AF3C3D" w:rsidRPr="00E52723" w:rsidRDefault="00AF3C3D" w:rsidP="00E52723">
            <w:pPr>
              <w:pStyle w:val="TableTitle"/>
              <w:rPr>
                <w:b/>
                <w:szCs w:val="22"/>
              </w:rPr>
            </w:pPr>
          </w:p>
        </w:tc>
        <w:tc>
          <w:tcPr>
            <w:tcW w:w="1985" w:type="dxa"/>
          </w:tcPr>
          <w:p w14:paraId="43F7D860" w14:textId="77777777" w:rsidR="00AF3C3D" w:rsidRPr="00E52723" w:rsidRDefault="00AF3C3D" w:rsidP="00E52723">
            <w:pPr>
              <w:pStyle w:val="TableTitle"/>
              <w:rPr>
                <w:b/>
                <w:szCs w:val="22"/>
              </w:rPr>
            </w:pPr>
            <w:r w:rsidRPr="00E52723">
              <w:rPr>
                <w:b/>
                <w:w w:val="95"/>
                <w:szCs w:val="22"/>
              </w:rPr>
              <w:t>Induction</w:t>
            </w:r>
            <w:r w:rsidRPr="00E52723">
              <w:rPr>
                <w:b/>
                <w:w w:val="95"/>
                <w:position w:val="7"/>
                <w:szCs w:val="22"/>
                <w:vertAlign w:val="superscript"/>
              </w:rPr>
              <w:t>a</w:t>
            </w:r>
          </w:p>
        </w:tc>
        <w:tc>
          <w:tcPr>
            <w:tcW w:w="1701" w:type="dxa"/>
          </w:tcPr>
          <w:p w14:paraId="1634B731" w14:textId="77777777" w:rsidR="00AF3C3D" w:rsidRPr="00E52723" w:rsidRDefault="00AF3C3D" w:rsidP="00E52723">
            <w:pPr>
              <w:pStyle w:val="TableTitle"/>
              <w:rPr>
                <w:b/>
                <w:szCs w:val="22"/>
              </w:rPr>
            </w:pPr>
          </w:p>
        </w:tc>
        <w:tc>
          <w:tcPr>
            <w:tcW w:w="1984" w:type="dxa"/>
          </w:tcPr>
          <w:p w14:paraId="7F647DE2" w14:textId="77777777" w:rsidR="00AF3C3D" w:rsidRPr="00E52723" w:rsidRDefault="00AF3C3D" w:rsidP="00E52723">
            <w:pPr>
              <w:pStyle w:val="TableTitle"/>
              <w:rPr>
                <w:b/>
                <w:szCs w:val="22"/>
              </w:rPr>
            </w:pPr>
            <w:r w:rsidRPr="00E52723">
              <w:rPr>
                <w:b/>
                <w:szCs w:val="22"/>
              </w:rPr>
              <w:t>Maintenance</w:t>
            </w:r>
            <w:r w:rsidRPr="00E52723">
              <w:rPr>
                <w:b/>
                <w:position w:val="7"/>
                <w:szCs w:val="22"/>
                <w:vertAlign w:val="superscript"/>
              </w:rPr>
              <w:t>b</w:t>
            </w:r>
          </w:p>
        </w:tc>
      </w:tr>
      <w:tr w:rsidR="00C16F5E" w:rsidRPr="000D5EED" w14:paraId="54D1527D" w14:textId="77777777" w:rsidTr="00436AF6">
        <w:trPr>
          <w:cantSplit/>
          <w:trHeight w:val="20"/>
        </w:trPr>
        <w:tc>
          <w:tcPr>
            <w:tcW w:w="3085" w:type="dxa"/>
          </w:tcPr>
          <w:p w14:paraId="660F1203" w14:textId="77777777" w:rsidR="00AF3C3D" w:rsidRPr="000D5EED" w:rsidRDefault="00AF3C3D" w:rsidP="00E52723">
            <w:pPr>
              <w:pStyle w:val="Tabletext"/>
              <w:jc w:val="center"/>
            </w:pPr>
          </w:p>
        </w:tc>
        <w:tc>
          <w:tcPr>
            <w:tcW w:w="1985" w:type="dxa"/>
          </w:tcPr>
          <w:p w14:paraId="6B32FC04" w14:textId="77777777" w:rsidR="00AF3C3D" w:rsidRPr="000D5EED" w:rsidRDefault="00AF3C3D" w:rsidP="00E52723">
            <w:pPr>
              <w:pStyle w:val="Tabletext"/>
              <w:jc w:val="center"/>
            </w:pPr>
            <w:r w:rsidRPr="000D5EED">
              <w:t>CRD3001</w:t>
            </w:r>
          </w:p>
        </w:tc>
        <w:tc>
          <w:tcPr>
            <w:tcW w:w="1701" w:type="dxa"/>
          </w:tcPr>
          <w:p w14:paraId="1DFB1A1E" w14:textId="77777777" w:rsidR="00AF3C3D" w:rsidRPr="000D5EED" w:rsidRDefault="00AF3C3D" w:rsidP="00E52723">
            <w:pPr>
              <w:pStyle w:val="Tabletext"/>
              <w:jc w:val="center"/>
            </w:pPr>
            <w:r w:rsidRPr="000D5EED">
              <w:t>CRD3002</w:t>
            </w:r>
          </w:p>
        </w:tc>
        <w:tc>
          <w:tcPr>
            <w:tcW w:w="1984" w:type="dxa"/>
          </w:tcPr>
          <w:p w14:paraId="4525C3B2" w14:textId="77777777" w:rsidR="00AF3C3D" w:rsidRPr="000D5EED" w:rsidRDefault="00AF3C3D" w:rsidP="00E52723">
            <w:pPr>
              <w:pStyle w:val="Tabletext"/>
              <w:jc w:val="center"/>
            </w:pPr>
            <w:r w:rsidRPr="000D5EED">
              <w:t>CRD3003</w:t>
            </w:r>
          </w:p>
        </w:tc>
      </w:tr>
      <w:tr w:rsidR="00AF3C3D" w14:paraId="3C5F89D6" w14:textId="77777777" w:rsidTr="000D5EED">
        <w:trPr>
          <w:trHeight w:val="20"/>
        </w:trPr>
        <w:tc>
          <w:tcPr>
            <w:tcW w:w="3085" w:type="dxa"/>
          </w:tcPr>
          <w:p w14:paraId="7D56628B" w14:textId="77777777" w:rsidR="00AF3C3D" w:rsidRDefault="00AF3C3D" w:rsidP="00E52723">
            <w:pPr>
              <w:pStyle w:val="Tabletext"/>
            </w:pPr>
            <w:r>
              <w:t>Randomised Subjects</w:t>
            </w:r>
          </w:p>
        </w:tc>
        <w:tc>
          <w:tcPr>
            <w:tcW w:w="1985" w:type="dxa"/>
          </w:tcPr>
          <w:p w14:paraId="760F663B" w14:textId="77777777" w:rsidR="00AF3C3D" w:rsidRDefault="00AF3C3D" w:rsidP="00E52723">
            <w:pPr>
              <w:pStyle w:val="Tabletext"/>
              <w:jc w:val="center"/>
            </w:pPr>
            <w:r>
              <w:t>741</w:t>
            </w:r>
          </w:p>
        </w:tc>
        <w:tc>
          <w:tcPr>
            <w:tcW w:w="1701" w:type="dxa"/>
          </w:tcPr>
          <w:p w14:paraId="47D1C976" w14:textId="77777777" w:rsidR="00AF3C3D" w:rsidRDefault="00AF3C3D" w:rsidP="00E52723">
            <w:pPr>
              <w:pStyle w:val="Tabletext"/>
              <w:jc w:val="center"/>
            </w:pPr>
            <w:r>
              <w:t>628</w:t>
            </w:r>
          </w:p>
        </w:tc>
        <w:tc>
          <w:tcPr>
            <w:tcW w:w="1984" w:type="dxa"/>
          </w:tcPr>
          <w:p w14:paraId="562AA096" w14:textId="77777777" w:rsidR="00AF3C3D" w:rsidRDefault="00AF3C3D" w:rsidP="00E52723">
            <w:pPr>
              <w:pStyle w:val="Tabletext"/>
              <w:jc w:val="center"/>
            </w:pPr>
            <w:r>
              <w:t>397</w:t>
            </w:r>
          </w:p>
        </w:tc>
      </w:tr>
      <w:tr w:rsidR="00AF3C3D" w14:paraId="2C9415D9" w14:textId="77777777" w:rsidTr="000D5EED">
        <w:trPr>
          <w:trHeight w:val="20"/>
        </w:trPr>
        <w:tc>
          <w:tcPr>
            <w:tcW w:w="3085" w:type="dxa"/>
          </w:tcPr>
          <w:p w14:paraId="3837AD6F" w14:textId="77777777" w:rsidR="00AF3C3D" w:rsidRDefault="00AF3C3D" w:rsidP="000D5EED">
            <w:pPr>
              <w:ind w:left="142"/>
              <w:rPr>
                <w:b/>
                <w:sz w:val="20"/>
              </w:rPr>
            </w:pPr>
            <w:r>
              <w:rPr>
                <w:b/>
                <w:sz w:val="20"/>
              </w:rPr>
              <w:t>Crohn’s Disease-related medication history, %</w:t>
            </w:r>
          </w:p>
        </w:tc>
        <w:tc>
          <w:tcPr>
            <w:tcW w:w="1985" w:type="dxa"/>
          </w:tcPr>
          <w:p w14:paraId="4B055B3B" w14:textId="77777777" w:rsidR="00AF3C3D" w:rsidRDefault="00AF3C3D" w:rsidP="00C16F5E">
            <w:pPr>
              <w:jc w:val="center"/>
            </w:pPr>
          </w:p>
        </w:tc>
        <w:tc>
          <w:tcPr>
            <w:tcW w:w="1701" w:type="dxa"/>
          </w:tcPr>
          <w:p w14:paraId="2789D375" w14:textId="77777777" w:rsidR="00AF3C3D" w:rsidRDefault="00AF3C3D" w:rsidP="00C16F5E">
            <w:pPr>
              <w:jc w:val="center"/>
            </w:pPr>
          </w:p>
        </w:tc>
        <w:tc>
          <w:tcPr>
            <w:tcW w:w="1984" w:type="dxa"/>
          </w:tcPr>
          <w:p w14:paraId="6D81EDFE" w14:textId="77777777" w:rsidR="00AF3C3D" w:rsidRDefault="00AF3C3D" w:rsidP="00C16F5E">
            <w:pPr>
              <w:jc w:val="center"/>
            </w:pPr>
          </w:p>
        </w:tc>
      </w:tr>
      <w:tr w:rsidR="00AF3C3D" w14:paraId="09E050FC" w14:textId="77777777" w:rsidTr="000D5EED">
        <w:trPr>
          <w:trHeight w:val="20"/>
        </w:trPr>
        <w:tc>
          <w:tcPr>
            <w:tcW w:w="3085" w:type="dxa"/>
          </w:tcPr>
          <w:p w14:paraId="4816E0F3" w14:textId="77777777" w:rsidR="00AF3C3D" w:rsidRPr="00EC4487" w:rsidRDefault="00AF3C3D" w:rsidP="000D5EED">
            <w:pPr>
              <w:ind w:left="142"/>
              <w:rPr>
                <w:b/>
                <w:sz w:val="20"/>
              </w:rPr>
            </w:pPr>
            <w:r w:rsidRPr="00EC4487">
              <w:rPr>
                <w:b/>
                <w:sz w:val="20"/>
              </w:rPr>
              <w:lastRenderedPageBreak/>
              <w:t>Previously treated with and failed full/adequate course of:</w:t>
            </w:r>
          </w:p>
        </w:tc>
        <w:tc>
          <w:tcPr>
            <w:tcW w:w="1985" w:type="dxa"/>
          </w:tcPr>
          <w:p w14:paraId="30C0B02E" w14:textId="77777777" w:rsidR="00AF3C3D" w:rsidRDefault="00AF3C3D" w:rsidP="00C16F5E">
            <w:pPr>
              <w:jc w:val="center"/>
            </w:pPr>
          </w:p>
        </w:tc>
        <w:tc>
          <w:tcPr>
            <w:tcW w:w="1701" w:type="dxa"/>
          </w:tcPr>
          <w:p w14:paraId="6B33AFBF" w14:textId="77777777" w:rsidR="00AF3C3D" w:rsidRDefault="00AF3C3D" w:rsidP="00C16F5E">
            <w:pPr>
              <w:jc w:val="center"/>
            </w:pPr>
          </w:p>
        </w:tc>
        <w:tc>
          <w:tcPr>
            <w:tcW w:w="1984" w:type="dxa"/>
          </w:tcPr>
          <w:p w14:paraId="38EA26D3" w14:textId="77777777" w:rsidR="00AF3C3D" w:rsidRDefault="00AF3C3D" w:rsidP="00C16F5E">
            <w:pPr>
              <w:jc w:val="center"/>
            </w:pPr>
          </w:p>
        </w:tc>
      </w:tr>
      <w:tr w:rsidR="00AF3C3D" w14:paraId="2398C073" w14:textId="77777777" w:rsidTr="000D5EED">
        <w:trPr>
          <w:trHeight w:val="20"/>
        </w:trPr>
        <w:tc>
          <w:tcPr>
            <w:tcW w:w="3085" w:type="dxa"/>
          </w:tcPr>
          <w:p w14:paraId="7D8F8F56" w14:textId="77777777" w:rsidR="00AF3C3D" w:rsidRDefault="00AF3C3D" w:rsidP="000D5EED">
            <w:pPr>
              <w:ind w:left="142"/>
              <w:rPr>
                <w:sz w:val="20"/>
              </w:rPr>
            </w:pPr>
            <w:r>
              <w:rPr>
                <w:sz w:val="20"/>
              </w:rPr>
              <w:t>Oral corticosteroids</w:t>
            </w:r>
          </w:p>
        </w:tc>
        <w:tc>
          <w:tcPr>
            <w:tcW w:w="1985" w:type="dxa"/>
          </w:tcPr>
          <w:p w14:paraId="077AD480" w14:textId="77777777" w:rsidR="00AF3C3D" w:rsidRDefault="00AF3C3D" w:rsidP="00C16F5E">
            <w:pPr>
              <w:jc w:val="center"/>
              <w:rPr>
                <w:sz w:val="20"/>
              </w:rPr>
            </w:pPr>
            <w:r>
              <w:rPr>
                <w:sz w:val="20"/>
              </w:rPr>
              <w:t>70.3</w:t>
            </w:r>
          </w:p>
        </w:tc>
        <w:tc>
          <w:tcPr>
            <w:tcW w:w="1701" w:type="dxa"/>
          </w:tcPr>
          <w:p w14:paraId="0E36E887" w14:textId="77777777" w:rsidR="00AF3C3D" w:rsidRDefault="00AF3C3D" w:rsidP="00C16F5E">
            <w:pPr>
              <w:jc w:val="center"/>
              <w:rPr>
                <w:sz w:val="20"/>
              </w:rPr>
            </w:pPr>
            <w:r>
              <w:rPr>
                <w:sz w:val="20"/>
              </w:rPr>
              <w:t>80.9</w:t>
            </w:r>
          </w:p>
        </w:tc>
        <w:tc>
          <w:tcPr>
            <w:tcW w:w="1984" w:type="dxa"/>
          </w:tcPr>
          <w:p w14:paraId="6B833518" w14:textId="77777777" w:rsidR="00AF3C3D" w:rsidRDefault="00AF3C3D" w:rsidP="00C16F5E">
            <w:pPr>
              <w:jc w:val="center"/>
              <w:rPr>
                <w:sz w:val="20"/>
              </w:rPr>
            </w:pPr>
            <w:r>
              <w:rPr>
                <w:sz w:val="20"/>
              </w:rPr>
              <w:t>77.7</w:t>
            </w:r>
          </w:p>
        </w:tc>
      </w:tr>
      <w:tr w:rsidR="00AF3C3D" w14:paraId="7B1EFFAA" w14:textId="77777777" w:rsidTr="000D5EED">
        <w:trPr>
          <w:trHeight w:val="20"/>
        </w:trPr>
        <w:tc>
          <w:tcPr>
            <w:tcW w:w="3085" w:type="dxa"/>
          </w:tcPr>
          <w:p w14:paraId="361BB074" w14:textId="77777777" w:rsidR="00AF3C3D" w:rsidRDefault="00AF3C3D" w:rsidP="000D5EED">
            <w:pPr>
              <w:ind w:left="142"/>
              <w:rPr>
                <w:sz w:val="20"/>
              </w:rPr>
            </w:pPr>
            <w:r>
              <w:rPr>
                <w:sz w:val="20"/>
              </w:rPr>
              <w:t>Immuno</w:t>
            </w:r>
            <w:r w:rsidR="00957FBB">
              <w:rPr>
                <w:sz w:val="20"/>
              </w:rPr>
              <w:t>-</w:t>
            </w:r>
            <w:r>
              <w:rPr>
                <w:sz w:val="20"/>
              </w:rPr>
              <w:t>modulators</w:t>
            </w:r>
          </w:p>
        </w:tc>
        <w:tc>
          <w:tcPr>
            <w:tcW w:w="1985" w:type="dxa"/>
          </w:tcPr>
          <w:p w14:paraId="5F4D2037" w14:textId="77777777" w:rsidR="00AF3C3D" w:rsidRDefault="00AF3C3D" w:rsidP="00C16F5E">
            <w:pPr>
              <w:jc w:val="center"/>
              <w:rPr>
                <w:sz w:val="20"/>
              </w:rPr>
            </w:pPr>
            <w:r>
              <w:rPr>
                <w:sz w:val="20"/>
              </w:rPr>
              <w:t>78.9</w:t>
            </w:r>
          </w:p>
        </w:tc>
        <w:tc>
          <w:tcPr>
            <w:tcW w:w="1701" w:type="dxa"/>
          </w:tcPr>
          <w:p w14:paraId="2CD9C229" w14:textId="77777777" w:rsidR="00AF3C3D" w:rsidRDefault="00AF3C3D" w:rsidP="00C16F5E">
            <w:pPr>
              <w:jc w:val="center"/>
              <w:rPr>
                <w:sz w:val="20"/>
              </w:rPr>
            </w:pPr>
            <w:r>
              <w:rPr>
                <w:sz w:val="20"/>
              </w:rPr>
              <w:t>67.5</w:t>
            </w:r>
          </w:p>
        </w:tc>
        <w:tc>
          <w:tcPr>
            <w:tcW w:w="1984" w:type="dxa"/>
          </w:tcPr>
          <w:p w14:paraId="38FA731D" w14:textId="77777777" w:rsidR="00AF3C3D" w:rsidRDefault="00AF3C3D" w:rsidP="00C16F5E">
            <w:pPr>
              <w:jc w:val="center"/>
              <w:rPr>
                <w:sz w:val="20"/>
              </w:rPr>
            </w:pPr>
            <w:r>
              <w:rPr>
                <w:sz w:val="20"/>
              </w:rPr>
              <w:t>76.9</w:t>
            </w:r>
          </w:p>
        </w:tc>
      </w:tr>
      <w:tr w:rsidR="00AF3C3D" w14:paraId="2DDB3130" w14:textId="77777777" w:rsidTr="000D5EED">
        <w:trPr>
          <w:trHeight w:val="20"/>
        </w:trPr>
        <w:tc>
          <w:tcPr>
            <w:tcW w:w="3085" w:type="dxa"/>
          </w:tcPr>
          <w:p w14:paraId="6F431EAE" w14:textId="77777777" w:rsidR="00AF3C3D" w:rsidRDefault="00AF3C3D" w:rsidP="000D5EED">
            <w:pPr>
              <w:ind w:left="142"/>
              <w:rPr>
                <w:sz w:val="20"/>
              </w:rPr>
            </w:pPr>
            <w:r>
              <w:rPr>
                <w:sz w:val="20"/>
              </w:rPr>
              <w:t xml:space="preserve">Corticosteroids or </w:t>
            </w:r>
            <w:r w:rsidR="00957FBB">
              <w:rPr>
                <w:sz w:val="20"/>
              </w:rPr>
              <w:t>immune-</w:t>
            </w:r>
            <w:r>
              <w:rPr>
                <w:sz w:val="20"/>
              </w:rPr>
              <w:t>modulators</w:t>
            </w:r>
          </w:p>
        </w:tc>
        <w:tc>
          <w:tcPr>
            <w:tcW w:w="1985" w:type="dxa"/>
          </w:tcPr>
          <w:p w14:paraId="7CFCF836" w14:textId="77777777" w:rsidR="00AF3C3D" w:rsidRDefault="00AF3C3D" w:rsidP="00C16F5E">
            <w:pPr>
              <w:jc w:val="center"/>
              <w:rPr>
                <w:sz w:val="20"/>
              </w:rPr>
            </w:pPr>
            <w:r>
              <w:rPr>
                <w:sz w:val="20"/>
              </w:rPr>
              <w:t>89.3</w:t>
            </w:r>
          </w:p>
        </w:tc>
        <w:tc>
          <w:tcPr>
            <w:tcW w:w="1701" w:type="dxa"/>
          </w:tcPr>
          <w:p w14:paraId="0FCB2B54" w14:textId="77777777" w:rsidR="00AF3C3D" w:rsidRDefault="00AF3C3D" w:rsidP="00C16F5E">
            <w:pPr>
              <w:jc w:val="center"/>
              <w:rPr>
                <w:sz w:val="20"/>
              </w:rPr>
            </w:pPr>
            <w:r>
              <w:rPr>
                <w:sz w:val="20"/>
              </w:rPr>
              <w:t>99.4</w:t>
            </w:r>
          </w:p>
        </w:tc>
        <w:tc>
          <w:tcPr>
            <w:tcW w:w="1984" w:type="dxa"/>
          </w:tcPr>
          <w:p w14:paraId="0049E4CD" w14:textId="77777777" w:rsidR="00AF3C3D" w:rsidRDefault="00AF3C3D" w:rsidP="00C16F5E">
            <w:pPr>
              <w:jc w:val="center"/>
              <w:rPr>
                <w:sz w:val="20"/>
              </w:rPr>
            </w:pPr>
            <w:r>
              <w:rPr>
                <w:sz w:val="20"/>
              </w:rPr>
              <w:t>94.7</w:t>
            </w:r>
          </w:p>
        </w:tc>
      </w:tr>
      <w:tr w:rsidR="00AF3C3D" w14:paraId="41014755" w14:textId="77777777" w:rsidTr="000D5EED">
        <w:trPr>
          <w:trHeight w:val="20"/>
        </w:trPr>
        <w:tc>
          <w:tcPr>
            <w:tcW w:w="3085" w:type="dxa"/>
          </w:tcPr>
          <w:p w14:paraId="4CFAD86D" w14:textId="77777777" w:rsidR="00AF3C3D" w:rsidRDefault="00AF3C3D" w:rsidP="000D5EED">
            <w:pPr>
              <w:ind w:left="142"/>
              <w:rPr>
                <w:sz w:val="20"/>
              </w:rPr>
            </w:pPr>
            <w:r>
              <w:rPr>
                <w:sz w:val="20"/>
              </w:rPr>
              <w:t>Inadequate initial response, loss of response, or intolerance to 1 or more TNF antagonists:</w:t>
            </w:r>
          </w:p>
        </w:tc>
        <w:tc>
          <w:tcPr>
            <w:tcW w:w="1985" w:type="dxa"/>
          </w:tcPr>
          <w:p w14:paraId="4E4DBB98" w14:textId="77777777" w:rsidR="00AF3C3D" w:rsidRDefault="00AF3C3D" w:rsidP="00C16F5E">
            <w:pPr>
              <w:jc w:val="center"/>
              <w:rPr>
                <w:sz w:val="20"/>
              </w:rPr>
            </w:pPr>
            <w:r>
              <w:rPr>
                <w:sz w:val="20"/>
              </w:rPr>
              <w:t>99.2</w:t>
            </w:r>
          </w:p>
        </w:tc>
        <w:tc>
          <w:tcPr>
            <w:tcW w:w="1701" w:type="dxa"/>
          </w:tcPr>
          <w:p w14:paraId="17228293" w14:textId="77777777" w:rsidR="00AF3C3D" w:rsidRDefault="00AF3C3D" w:rsidP="00C16F5E">
            <w:pPr>
              <w:jc w:val="center"/>
              <w:rPr>
                <w:sz w:val="20"/>
              </w:rPr>
            </w:pPr>
            <w:r>
              <w:rPr>
                <w:sz w:val="20"/>
              </w:rPr>
              <w:t>NA</w:t>
            </w:r>
          </w:p>
        </w:tc>
        <w:tc>
          <w:tcPr>
            <w:tcW w:w="1984" w:type="dxa"/>
          </w:tcPr>
          <w:p w14:paraId="21F7F867" w14:textId="77777777" w:rsidR="00AF3C3D" w:rsidRDefault="00AF3C3D" w:rsidP="00C16F5E">
            <w:pPr>
              <w:jc w:val="center"/>
              <w:rPr>
                <w:sz w:val="20"/>
              </w:rPr>
            </w:pPr>
            <w:r>
              <w:rPr>
                <w:sz w:val="20"/>
              </w:rPr>
              <w:t>44.6</w:t>
            </w:r>
          </w:p>
        </w:tc>
      </w:tr>
      <w:tr w:rsidR="00AF3C3D" w14:paraId="11B5098E" w14:textId="77777777" w:rsidTr="000D5EED">
        <w:trPr>
          <w:trHeight w:val="20"/>
        </w:trPr>
        <w:tc>
          <w:tcPr>
            <w:tcW w:w="3085" w:type="dxa"/>
          </w:tcPr>
          <w:p w14:paraId="691A5F65" w14:textId="77777777" w:rsidR="00AF3C3D" w:rsidRDefault="00AF3C3D" w:rsidP="000D5EED">
            <w:pPr>
              <w:ind w:left="142"/>
              <w:rPr>
                <w:sz w:val="20"/>
              </w:rPr>
            </w:pPr>
            <w:r>
              <w:rPr>
                <w:sz w:val="20"/>
              </w:rPr>
              <w:t>1 TNF antagonist</w:t>
            </w:r>
          </w:p>
        </w:tc>
        <w:tc>
          <w:tcPr>
            <w:tcW w:w="1985" w:type="dxa"/>
          </w:tcPr>
          <w:p w14:paraId="33CA8587" w14:textId="77777777" w:rsidR="00AF3C3D" w:rsidRDefault="00AF3C3D" w:rsidP="00C16F5E">
            <w:pPr>
              <w:jc w:val="center"/>
              <w:rPr>
                <w:sz w:val="20"/>
              </w:rPr>
            </w:pPr>
            <w:r>
              <w:rPr>
                <w:sz w:val="20"/>
              </w:rPr>
              <w:t>48.0</w:t>
            </w:r>
          </w:p>
        </w:tc>
        <w:tc>
          <w:tcPr>
            <w:tcW w:w="1701" w:type="dxa"/>
          </w:tcPr>
          <w:p w14:paraId="7B714BBB" w14:textId="77777777" w:rsidR="00AF3C3D" w:rsidRDefault="00AF3C3D" w:rsidP="00C16F5E">
            <w:pPr>
              <w:jc w:val="center"/>
              <w:rPr>
                <w:sz w:val="20"/>
              </w:rPr>
            </w:pPr>
            <w:r>
              <w:rPr>
                <w:sz w:val="20"/>
              </w:rPr>
              <w:t>NA</w:t>
            </w:r>
          </w:p>
        </w:tc>
        <w:tc>
          <w:tcPr>
            <w:tcW w:w="1984" w:type="dxa"/>
          </w:tcPr>
          <w:p w14:paraId="44732DE8" w14:textId="77777777" w:rsidR="00AF3C3D" w:rsidRDefault="00AF3C3D" w:rsidP="00C16F5E">
            <w:pPr>
              <w:jc w:val="center"/>
              <w:rPr>
                <w:sz w:val="20"/>
              </w:rPr>
            </w:pPr>
            <w:r>
              <w:rPr>
                <w:sz w:val="20"/>
              </w:rPr>
              <w:t>23.7</w:t>
            </w:r>
          </w:p>
        </w:tc>
      </w:tr>
      <w:tr w:rsidR="00AF3C3D" w14:paraId="0FB5CBB1" w14:textId="77777777" w:rsidTr="000D5EED">
        <w:trPr>
          <w:trHeight w:val="20"/>
        </w:trPr>
        <w:tc>
          <w:tcPr>
            <w:tcW w:w="3085" w:type="dxa"/>
          </w:tcPr>
          <w:p w14:paraId="693C521E" w14:textId="77777777" w:rsidR="00AF3C3D" w:rsidRDefault="00AF3C3D" w:rsidP="000D5EED">
            <w:pPr>
              <w:ind w:left="142"/>
              <w:rPr>
                <w:sz w:val="20"/>
              </w:rPr>
            </w:pPr>
            <w:r>
              <w:rPr>
                <w:sz w:val="20"/>
              </w:rPr>
              <w:t>2 TNF antagonists</w:t>
            </w:r>
          </w:p>
        </w:tc>
        <w:tc>
          <w:tcPr>
            <w:tcW w:w="1985" w:type="dxa"/>
          </w:tcPr>
          <w:p w14:paraId="4A273851" w14:textId="77777777" w:rsidR="00AF3C3D" w:rsidRDefault="00AF3C3D" w:rsidP="00C16F5E">
            <w:pPr>
              <w:jc w:val="center"/>
              <w:rPr>
                <w:sz w:val="20"/>
              </w:rPr>
            </w:pPr>
            <w:r>
              <w:rPr>
                <w:sz w:val="20"/>
              </w:rPr>
              <w:t>40.8</w:t>
            </w:r>
          </w:p>
        </w:tc>
        <w:tc>
          <w:tcPr>
            <w:tcW w:w="1701" w:type="dxa"/>
          </w:tcPr>
          <w:p w14:paraId="5DA85916" w14:textId="77777777" w:rsidR="00AF3C3D" w:rsidRDefault="00AF3C3D" w:rsidP="00C16F5E">
            <w:pPr>
              <w:jc w:val="center"/>
              <w:rPr>
                <w:sz w:val="20"/>
              </w:rPr>
            </w:pPr>
            <w:r>
              <w:rPr>
                <w:sz w:val="20"/>
              </w:rPr>
              <w:t>NA</w:t>
            </w:r>
          </w:p>
        </w:tc>
        <w:tc>
          <w:tcPr>
            <w:tcW w:w="1984" w:type="dxa"/>
          </w:tcPr>
          <w:p w14:paraId="1E6E7CC8" w14:textId="77777777" w:rsidR="00AF3C3D" w:rsidRDefault="00AF3C3D" w:rsidP="00C16F5E">
            <w:pPr>
              <w:jc w:val="center"/>
              <w:rPr>
                <w:sz w:val="20"/>
              </w:rPr>
            </w:pPr>
            <w:r>
              <w:rPr>
                <w:sz w:val="20"/>
              </w:rPr>
              <w:t>17.1</w:t>
            </w:r>
          </w:p>
        </w:tc>
      </w:tr>
      <w:tr w:rsidR="00AF3C3D" w14:paraId="752E9B0F" w14:textId="77777777" w:rsidTr="000D5EED">
        <w:trPr>
          <w:trHeight w:val="20"/>
        </w:trPr>
        <w:tc>
          <w:tcPr>
            <w:tcW w:w="3085" w:type="dxa"/>
          </w:tcPr>
          <w:p w14:paraId="4C540045" w14:textId="77777777" w:rsidR="00AF3C3D" w:rsidRDefault="00AF3C3D" w:rsidP="00C16F5E">
            <w:pPr>
              <w:rPr>
                <w:sz w:val="20"/>
              </w:rPr>
            </w:pPr>
            <w:r>
              <w:rPr>
                <w:sz w:val="20"/>
              </w:rPr>
              <w:t>3 TNF antagonists</w:t>
            </w:r>
          </w:p>
        </w:tc>
        <w:tc>
          <w:tcPr>
            <w:tcW w:w="1985" w:type="dxa"/>
          </w:tcPr>
          <w:p w14:paraId="4D9B2F08" w14:textId="77777777" w:rsidR="00AF3C3D" w:rsidRDefault="00AF3C3D" w:rsidP="00C16F5E">
            <w:pPr>
              <w:jc w:val="center"/>
              <w:rPr>
                <w:sz w:val="20"/>
              </w:rPr>
            </w:pPr>
            <w:r>
              <w:rPr>
                <w:sz w:val="20"/>
              </w:rPr>
              <w:t>10.4</w:t>
            </w:r>
          </w:p>
        </w:tc>
        <w:tc>
          <w:tcPr>
            <w:tcW w:w="1701" w:type="dxa"/>
          </w:tcPr>
          <w:p w14:paraId="5568292F" w14:textId="77777777" w:rsidR="00AF3C3D" w:rsidRDefault="00AF3C3D" w:rsidP="00C16F5E">
            <w:pPr>
              <w:jc w:val="center"/>
              <w:rPr>
                <w:sz w:val="20"/>
              </w:rPr>
            </w:pPr>
            <w:r>
              <w:rPr>
                <w:sz w:val="20"/>
              </w:rPr>
              <w:t>NA</w:t>
            </w:r>
          </w:p>
        </w:tc>
        <w:tc>
          <w:tcPr>
            <w:tcW w:w="1984" w:type="dxa"/>
          </w:tcPr>
          <w:p w14:paraId="1800E3C4" w14:textId="77777777" w:rsidR="00AF3C3D" w:rsidRDefault="00AF3C3D" w:rsidP="00C16F5E">
            <w:pPr>
              <w:jc w:val="center"/>
              <w:rPr>
                <w:sz w:val="20"/>
              </w:rPr>
            </w:pPr>
            <w:r>
              <w:rPr>
                <w:sz w:val="20"/>
              </w:rPr>
              <w:t>3.8</w:t>
            </w:r>
          </w:p>
        </w:tc>
      </w:tr>
      <w:tr w:rsidR="00AF3C3D" w14:paraId="6C1675CA" w14:textId="77777777" w:rsidTr="000D5EED">
        <w:trPr>
          <w:trHeight w:val="20"/>
        </w:trPr>
        <w:tc>
          <w:tcPr>
            <w:tcW w:w="3085" w:type="dxa"/>
          </w:tcPr>
          <w:p w14:paraId="17FF8BE2" w14:textId="77777777" w:rsidR="00AF3C3D" w:rsidRDefault="00AF3C3D" w:rsidP="00C16F5E">
            <w:pPr>
              <w:rPr>
                <w:sz w:val="20"/>
              </w:rPr>
            </w:pPr>
            <w:r>
              <w:rPr>
                <w:sz w:val="20"/>
              </w:rPr>
              <w:t>TNF antagonist-naïve</w:t>
            </w:r>
          </w:p>
        </w:tc>
        <w:tc>
          <w:tcPr>
            <w:tcW w:w="1985" w:type="dxa"/>
          </w:tcPr>
          <w:p w14:paraId="41A61346" w14:textId="77777777" w:rsidR="00AF3C3D" w:rsidRDefault="00AF3C3D" w:rsidP="00C16F5E">
            <w:pPr>
              <w:jc w:val="center"/>
              <w:rPr>
                <w:sz w:val="20"/>
              </w:rPr>
            </w:pPr>
            <w:r>
              <w:rPr>
                <w:sz w:val="20"/>
              </w:rPr>
              <w:t>NA</w:t>
            </w:r>
          </w:p>
        </w:tc>
        <w:tc>
          <w:tcPr>
            <w:tcW w:w="1701" w:type="dxa"/>
          </w:tcPr>
          <w:p w14:paraId="1B3E4AC9" w14:textId="77777777" w:rsidR="00AF3C3D" w:rsidRDefault="00AF3C3D" w:rsidP="00C16F5E">
            <w:pPr>
              <w:jc w:val="center"/>
              <w:rPr>
                <w:sz w:val="20"/>
              </w:rPr>
            </w:pPr>
            <w:r>
              <w:rPr>
                <w:sz w:val="20"/>
              </w:rPr>
              <w:t>68.6</w:t>
            </w:r>
          </w:p>
        </w:tc>
        <w:tc>
          <w:tcPr>
            <w:tcW w:w="1984" w:type="dxa"/>
          </w:tcPr>
          <w:p w14:paraId="3FC7B924" w14:textId="77777777" w:rsidR="00AF3C3D" w:rsidRDefault="00AF3C3D" w:rsidP="00C16F5E">
            <w:pPr>
              <w:jc w:val="center"/>
              <w:rPr>
                <w:sz w:val="20"/>
              </w:rPr>
            </w:pPr>
            <w:r>
              <w:rPr>
                <w:sz w:val="20"/>
              </w:rPr>
              <w:t>39.5</w:t>
            </w:r>
          </w:p>
        </w:tc>
      </w:tr>
      <w:tr w:rsidR="00AF3C3D" w14:paraId="7548B26D" w14:textId="77777777" w:rsidTr="000D5EED">
        <w:trPr>
          <w:trHeight w:val="20"/>
        </w:trPr>
        <w:tc>
          <w:tcPr>
            <w:tcW w:w="3085" w:type="dxa"/>
          </w:tcPr>
          <w:p w14:paraId="34B1ACD0" w14:textId="77777777" w:rsidR="00AF3C3D" w:rsidRDefault="00AF3C3D" w:rsidP="00C16F5E">
            <w:pPr>
              <w:rPr>
                <w:sz w:val="20"/>
              </w:rPr>
            </w:pPr>
            <w:r>
              <w:rPr>
                <w:sz w:val="20"/>
              </w:rPr>
              <w:t>Previously received but not failed a TNF antagonist</w:t>
            </w:r>
          </w:p>
        </w:tc>
        <w:tc>
          <w:tcPr>
            <w:tcW w:w="1985" w:type="dxa"/>
          </w:tcPr>
          <w:p w14:paraId="1F3F66BB" w14:textId="77777777" w:rsidR="00AF3C3D" w:rsidRDefault="00AF3C3D" w:rsidP="00C16F5E">
            <w:pPr>
              <w:jc w:val="center"/>
              <w:rPr>
                <w:sz w:val="20"/>
              </w:rPr>
            </w:pPr>
            <w:r>
              <w:rPr>
                <w:sz w:val="20"/>
              </w:rPr>
              <w:t>NA</w:t>
            </w:r>
          </w:p>
        </w:tc>
        <w:tc>
          <w:tcPr>
            <w:tcW w:w="1701" w:type="dxa"/>
          </w:tcPr>
          <w:p w14:paraId="5E54CC21" w14:textId="77777777" w:rsidR="00AF3C3D" w:rsidRDefault="00AF3C3D" w:rsidP="00C16F5E">
            <w:pPr>
              <w:jc w:val="center"/>
              <w:rPr>
                <w:sz w:val="20"/>
              </w:rPr>
            </w:pPr>
            <w:r>
              <w:rPr>
                <w:sz w:val="20"/>
              </w:rPr>
              <w:t>31.4</w:t>
            </w:r>
          </w:p>
        </w:tc>
        <w:tc>
          <w:tcPr>
            <w:tcW w:w="1984" w:type="dxa"/>
          </w:tcPr>
          <w:p w14:paraId="7627F0AA" w14:textId="77777777" w:rsidR="00AF3C3D" w:rsidRDefault="00AF3C3D" w:rsidP="00C16F5E">
            <w:pPr>
              <w:jc w:val="center"/>
              <w:rPr>
                <w:sz w:val="20"/>
              </w:rPr>
            </w:pPr>
            <w:r>
              <w:rPr>
                <w:sz w:val="20"/>
              </w:rPr>
              <w:t>15.6</w:t>
            </w:r>
          </w:p>
        </w:tc>
      </w:tr>
    </w:tbl>
    <w:p w14:paraId="00F1E56E" w14:textId="77777777" w:rsidR="00AF3C3D" w:rsidRDefault="00AF3C3D" w:rsidP="00C16F5E">
      <w:pPr>
        <w:pStyle w:val="TableDescription"/>
      </w:pPr>
      <w:proofErr w:type="gramStart"/>
      <w:r>
        <w:rPr>
          <w:position w:val="7"/>
          <w:sz w:val="13"/>
        </w:rPr>
        <w:t>a</w:t>
      </w:r>
      <w:r w:rsidR="00EF0460">
        <w:rPr>
          <w:position w:val="7"/>
          <w:sz w:val="13"/>
        </w:rPr>
        <w:t xml:space="preserve"> </w:t>
      </w:r>
      <w:r>
        <w:rPr>
          <w:position w:val="7"/>
          <w:sz w:val="13"/>
        </w:rPr>
        <w:t xml:space="preserve"> </w:t>
      </w:r>
      <w:r>
        <w:t>Excludes</w:t>
      </w:r>
      <w:proofErr w:type="gramEnd"/>
      <w:r>
        <w:t xml:space="preserve"> subjects enrolled before study restart</w:t>
      </w:r>
    </w:p>
    <w:p w14:paraId="5AFB5ABE" w14:textId="77777777" w:rsidR="00AF3C3D" w:rsidRDefault="00AF3C3D" w:rsidP="00C16F5E">
      <w:pPr>
        <w:pStyle w:val="TableDescription"/>
      </w:pPr>
      <w:proofErr w:type="gramStart"/>
      <w:r>
        <w:rPr>
          <w:position w:val="7"/>
          <w:sz w:val="13"/>
        </w:rPr>
        <w:t>b</w:t>
      </w:r>
      <w:r>
        <w:t>Primary</w:t>
      </w:r>
      <w:proofErr w:type="gramEnd"/>
      <w:r>
        <w:rPr>
          <w:spacing w:val="15"/>
        </w:rPr>
        <w:t xml:space="preserve"> </w:t>
      </w:r>
      <w:r>
        <w:t>population,</w:t>
      </w:r>
      <w:r>
        <w:rPr>
          <w:spacing w:val="19"/>
        </w:rPr>
        <w:t xml:space="preserve"> </w:t>
      </w:r>
      <w:r w:rsidR="00C16F5E">
        <w:rPr>
          <w:spacing w:val="19"/>
        </w:rPr>
        <w:t>that is,</w:t>
      </w:r>
      <w:r>
        <w:rPr>
          <w:spacing w:val="16"/>
        </w:rPr>
        <w:t xml:space="preserve"> </w:t>
      </w:r>
      <w:r>
        <w:t>subjects</w:t>
      </w:r>
      <w:r>
        <w:rPr>
          <w:spacing w:val="17"/>
        </w:rPr>
        <w:t xml:space="preserve"> </w:t>
      </w:r>
      <w:r>
        <w:t>who</w:t>
      </w:r>
      <w:r>
        <w:rPr>
          <w:spacing w:val="22"/>
        </w:rPr>
        <w:t xml:space="preserve"> </w:t>
      </w:r>
      <w:r>
        <w:t>were</w:t>
      </w:r>
      <w:r>
        <w:rPr>
          <w:spacing w:val="16"/>
        </w:rPr>
        <w:t xml:space="preserve"> </w:t>
      </w:r>
      <w:r>
        <w:t>in</w:t>
      </w:r>
      <w:r>
        <w:rPr>
          <w:spacing w:val="15"/>
        </w:rPr>
        <w:t xml:space="preserve"> </w:t>
      </w:r>
      <w:r>
        <w:t>clinical</w:t>
      </w:r>
      <w:r>
        <w:rPr>
          <w:spacing w:val="19"/>
        </w:rPr>
        <w:t xml:space="preserve"> </w:t>
      </w:r>
      <w:r>
        <w:t>response</w:t>
      </w:r>
      <w:r>
        <w:rPr>
          <w:spacing w:val="16"/>
        </w:rPr>
        <w:t xml:space="preserve"> </w:t>
      </w:r>
      <w:r>
        <w:t>to</w:t>
      </w:r>
      <w:r>
        <w:rPr>
          <w:spacing w:val="26"/>
        </w:rPr>
        <w:t xml:space="preserve"> </w:t>
      </w:r>
      <w:r>
        <w:t>ustekinumab</w:t>
      </w:r>
      <w:r>
        <w:rPr>
          <w:spacing w:val="17"/>
        </w:rPr>
        <w:t xml:space="preserve"> </w:t>
      </w:r>
      <w:r>
        <w:t>IV</w:t>
      </w:r>
      <w:r>
        <w:rPr>
          <w:spacing w:val="18"/>
        </w:rPr>
        <w:t xml:space="preserve"> </w:t>
      </w:r>
      <w:r>
        <w:t>induction</w:t>
      </w:r>
      <w:r>
        <w:rPr>
          <w:spacing w:val="18"/>
        </w:rPr>
        <w:t xml:space="preserve"> </w:t>
      </w:r>
      <w:r>
        <w:t>dosing;</w:t>
      </w:r>
      <w:r>
        <w:rPr>
          <w:spacing w:val="18"/>
        </w:rPr>
        <w:t xml:space="preserve"> </w:t>
      </w:r>
      <w:r>
        <w:t>includes</w:t>
      </w:r>
      <w:r>
        <w:rPr>
          <w:spacing w:val="18"/>
        </w:rPr>
        <w:t xml:space="preserve"> </w:t>
      </w:r>
      <w:r>
        <w:t>9</w:t>
      </w:r>
      <w:r>
        <w:rPr>
          <w:w w:val="99"/>
        </w:rPr>
        <w:t xml:space="preserve"> </w:t>
      </w:r>
      <w:r>
        <w:t>subjects enrolled before study</w:t>
      </w:r>
      <w:r>
        <w:rPr>
          <w:spacing w:val="-13"/>
        </w:rPr>
        <w:t xml:space="preserve"> </w:t>
      </w:r>
      <w:r>
        <w:t>restart.</w:t>
      </w:r>
    </w:p>
    <w:p w14:paraId="77D50430" w14:textId="77777777" w:rsidR="00AF3C3D" w:rsidRPr="00C16F5E" w:rsidRDefault="00AF3C3D" w:rsidP="00C16F5E">
      <w:pPr>
        <w:pStyle w:val="Heading5"/>
      </w:pPr>
      <w:r>
        <w:t>Discussion of Efficacy Outcomes in the Studied Patient Populations</w:t>
      </w:r>
    </w:p>
    <w:p w14:paraId="420E9096" w14:textId="77777777" w:rsidR="00AF3C3D" w:rsidRDefault="00AF3C3D" w:rsidP="00F745D9">
      <w:r>
        <w:t>Notwithstanding that one of the rationales for seeking advice on any justification to revise the indication is factually incorrect the remit of the T</w:t>
      </w:r>
      <w:r w:rsidR="00C16F5E">
        <w:t>GA</w:t>
      </w:r>
      <w:r>
        <w:t xml:space="preserve"> is to assess an application for quality, safety and efficacy. No concerns from these perspectives which could hinder approval have been raised in the evaluation of this application to date,</w:t>
      </w:r>
      <w:r w:rsidR="00C16F5E">
        <w:t xml:space="preserve"> and three appropriate and well </w:t>
      </w:r>
      <w:r>
        <w:t xml:space="preserve">controlled </w:t>
      </w:r>
      <w:r w:rsidR="004B6C8D">
        <w:t>Phase III</w:t>
      </w:r>
      <w:r>
        <w:t xml:space="preserve"> studies have demonstrated the efficacy and safety of </w:t>
      </w:r>
      <w:r w:rsidR="00CC3432">
        <w:t>Stelara</w:t>
      </w:r>
      <w:r>
        <w:t xml:space="preserve"> in patients with Crohn's Disease.</w:t>
      </w:r>
    </w:p>
    <w:p w14:paraId="43CD9ABE" w14:textId="77777777" w:rsidR="00AF3C3D" w:rsidRDefault="00AF3C3D" w:rsidP="00F745D9">
      <w:r>
        <w:t>The</w:t>
      </w:r>
      <w:r>
        <w:rPr>
          <w:spacing w:val="-15"/>
        </w:rPr>
        <w:t xml:space="preserve"> </w:t>
      </w:r>
      <w:r>
        <w:t>CRD3001</w:t>
      </w:r>
      <w:r>
        <w:rPr>
          <w:spacing w:val="-12"/>
        </w:rPr>
        <w:t xml:space="preserve"> </w:t>
      </w:r>
      <w:r>
        <w:t>and</w:t>
      </w:r>
      <w:r>
        <w:rPr>
          <w:spacing w:val="-13"/>
        </w:rPr>
        <w:t xml:space="preserve"> </w:t>
      </w:r>
      <w:r>
        <w:t>CRD3002</w:t>
      </w:r>
      <w:r>
        <w:rPr>
          <w:spacing w:val="-13"/>
        </w:rPr>
        <w:t xml:space="preserve"> </w:t>
      </w:r>
      <w:r>
        <w:t>induction</w:t>
      </w:r>
      <w:r>
        <w:rPr>
          <w:spacing w:val="-13"/>
        </w:rPr>
        <w:t xml:space="preserve"> </w:t>
      </w:r>
      <w:r>
        <w:t>studies</w:t>
      </w:r>
      <w:r>
        <w:rPr>
          <w:spacing w:val="-11"/>
        </w:rPr>
        <w:t xml:space="preserve"> </w:t>
      </w:r>
      <w:r>
        <w:t>demonstrated</w:t>
      </w:r>
      <w:r>
        <w:rPr>
          <w:spacing w:val="-14"/>
        </w:rPr>
        <w:t xml:space="preserve"> </w:t>
      </w:r>
      <w:r>
        <w:t>rapid,</w:t>
      </w:r>
      <w:r>
        <w:rPr>
          <w:spacing w:val="-13"/>
        </w:rPr>
        <w:t xml:space="preserve"> </w:t>
      </w:r>
      <w:r>
        <w:t>robust,</w:t>
      </w:r>
      <w:r>
        <w:rPr>
          <w:spacing w:val="-10"/>
        </w:rPr>
        <w:t xml:space="preserve"> </w:t>
      </w:r>
      <w:r>
        <w:t>statistically</w:t>
      </w:r>
      <w:r>
        <w:rPr>
          <w:spacing w:val="-18"/>
        </w:rPr>
        <w:t xml:space="preserve"> </w:t>
      </w:r>
      <w:r>
        <w:t>significant, clinically meaningful results across multiple endpoints for clinical outcomes, inflammatory biomarkers, and health-related quality of life outcomes in patients with moderately to severely active</w:t>
      </w:r>
      <w:r>
        <w:rPr>
          <w:spacing w:val="-14"/>
        </w:rPr>
        <w:t xml:space="preserve"> </w:t>
      </w:r>
      <w:r>
        <w:t>Crohn's</w:t>
      </w:r>
      <w:r>
        <w:rPr>
          <w:spacing w:val="-10"/>
        </w:rPr>
        <w:t xml:space="preserve"> </w:t>
      </w:r>
      <w:r>
        <w:t>Disease,</w:t>
      </w:r>
      <w:r>
        <w:rPr>
          <w:spacing w:val="-13"/>
        </w:rPr>
        <w:t xml:space="preserve"> </w:t>
      </w:r>
      <w:r>
        <w:t>including</w:t>
      </w:r>
      <w:r>
        <w:rPr>
          <w:spacing w:val="-16"/>
        </w:rPr>
        <w:t xml:space="preserve"> </w:t>
      </w:r>
      <w:r>
        <w:t>those</w:t>
      </w:r>
      <w:r>
        <w:rPr>
          <w:spacing w:val="-10"/>
        </w:rPr>
        <w:t xml:space="preserve"> </w:t>
      </w:r>
      <w:r>
        <w:t>who</w:t>
      </w:r>
      <w:r>
        <w:rPr>
          <w:spacing w:val="-12"/>
        </w:rPr>
        <w:t xml:space="preserve"> </w:t>
      </w:r>
      <w:r>
        <w:t>were</w:t>
      </w:r>
      <w:r>
        <w:rPr>
          <w:spacing w:val="-12"/>
        </w:rPr>
        <w:t xml:space="preserve"> </w:t>
      </w:r>
      <w:r>
        <w:t>refractory</w:t>
      </w:r>
      <w:r>
        <w:rPr>
          <w:spacing w:val="-18"/>
        </w:rPr>
        <w:t xml:space="preserve"> </w:t>
      </w:r>
      <w:r>
        <w:t>to</w:t>
      </w:r>
      <w:r>
        <w:rPr>
          <w:spacing w:val="-11"/>
        </w:rPr>
        <w:t xml:space="preserve"> </w:t>
      </w:r>
      <w:r>
        <w:t>conventional</w:t>
      </w:r>
      <w:r>
        <w:rPr>
          <w:spacing w:val="-11"/>
        </w:rPr>
        <w:t xml:space="preserve"> </w:t>
      </w:r>
      <w:r>
        <w:t>therapy</w:t>
      </w:r>
      <w:r>
        <w:rPr>
          <w:spacing w:val="-16"/>
        </w:rPr>
        <w:t xml:space="preserve"> </w:t>
      </w:r>
      <w:r>
        <w:t>and</w:t>
      </w:r>
      <w:r>
        <w:rPr>
          <w:spacing w:val="-13"/>
        </w:rPr>
        <w:t xml:space="preserve"> </w:t>
      </w:r>
      <w:r>
        <w:t>those</w:t>
      </w:r>
      <w:r>
        <w:rPr>
          <w:spacing w:val="-12"/>
        </w:rPr>
        <w:t xml:space="preserve"> </w:t>
      </w:r>
      <w:r>
        <w:t>who were refractory or intolerant to TNF antagonists (Table</w:t>
      </w:r>
      <w:r>
        <w:rPr>
          <w:spacing w:val="-11"/>
        </w:rPr>
        <w:t xml:space="preserve"> </w:t>
      </w:r>
      <w:r w:rsidR="00C16F5E">
        <w:rPr>
          <w:spacing w:val="-11"/>
        </w:rPr>
        <w:t>10</w:t>
      </w:r>
      <w:r>
        <w:t>).</w:t>
      </w:r>
    </w:p>
    <w:p w14:paraId="41B6331B" w14:textId="77777777" w:rsidR="00AF3C3D" w:rsidRDefault="00AF3C3D" w:rsidP="00C16F5E">
      <w:pPr>
        <w:pStyle w:val="TableTitle"/>
      </w:pPr>
      <w:r>
        <w:lastRenderedPageBreak/>
        <w:t>Table</w:t>
      </w:r>
      <w:r>
        <w:rPr>
          <w:spacing w:val="-2"/>
        </w:rPr>
        <w:t xml:space="preserve"> </w:t>
      </w:r>
      <w:r w:rsidR="00C16F5E">
        <w:rPr>
          <w:spacing w:val="-2"/>
        </w:rPr>
        <w:t xml:space="preserve">10: </w:t>
      </w:r>
      <w:r>
        <w:t>Key</w:t>
      </w:r>
      <w:r>
        <w:rPr>
          <w:spacing w:val="34"/>
        </w:rPr>
        <w:t xml:space="preserve"> </w:t>
      </w:r>
      <w:r>
        <w:t>endpoints</w:t>
      </w:r>
      <w:r>
        <w:rPr>
          <w:spacing w:val="32"/>
        </w:rPr>
        <w:t xml:space="preserve"> </w:t>
      </w:r>
      <w:r>
        <w:t>for</w:t>
      </w:r>
      <w:r>
        <w:rPr>
          <w:spacing w:val="31"/>
        </w:rPr>
        <w:t xml:space="preserve"> </w:t>
      </w:r>
      <w:r>
        <w:t>clinical</w:t>
      </w:r>
      <w:r>
        <w:rPr>
          <w:spacing w:val="30"/>
        </w:rPr>
        <w:t xml:space="preserve"> </w:t>
      </w:r>
      <w:r>
        <w:t>outcomes:</w:t>
      </w:r>
      <w:r>
        <w:rPr>
          <w:spacing w:val="33"/>
        </w:rPr>
        <w:t xml:space="preserve"> </w:t>
      </w:r>
      <w:r>
        <w:t>randomised</w:t>
      </w:r>
      <w:r>
        <w:rPr>
          <w:spacing w:val="32"/>
        </w:rPr>
        <w:t xml:space="preserve"> </w:t>
      </w:r>
      <w:r>
        <w:t>subjects</w:t>
      </w:r>
      <w:r>
        <w:rPr>
          <w:spacing w:val="32"/>
        </w:rPr>
        <w:t xml:space="preserve"> </w:t>
      </w:r>
      <w:r>
        <w:t>in</w:t>
      </w:r>
      <w:r>
        <w:rPr>
          <w:spacing w:val="32"/>
        </w:rPr>
        <w:t xml:space="preserve"> </w:t>
      </w:r>
      <w:r w:rsidR="004B6C8D">
        <w:t>Phase III</w:t>
      </w:r>
      <w:r>
        <w:rPr>
          <w:spacing w:val="32"/>
        </w:rPr>
        <w:t xml:space="preserve"> </w:t>
      </w:r>
      <w:r>
        <w:t>induction</w:t>
      </w:r>
      <w:r>
        <w:rPr>
          <w:spacing w:val="32"/>
        </w:rPr>
        <w:t xml:space="preserve"> </w:t>
      </w:r>
      <w:r>
        <w:t>studies</w:t>
      </w:r>
      <w:r>
        <w:rPr>
          <w:spacing w:val="32"/>
        </w:rPr>
        <w:t xml:space="preserve"> </w:t>
      </w:r>
      <w:r>
        <w:t>in</w:t>
      </w:r>
      <w:r>
        <w:rPr>
          <w:w w:val="99"/>
        </w:rPr>
        <w:t xml:space="preserve"> </w:t>
      </w:r>
      <w:r>
        <w:t>Crohn’s Disease (CRD3001 and</w:t>
      </w:r>
      <w:r>
        <w:rPr>
          <w:spacing w:val="-8"/>
        </w:rPr>
        <w:t xml:space="preserve"> </w:t>
      </w:r>
      <w:r>
        <w:t>CRD3002)</w:t>
      </w:r>
    </w:p>
    <w:tbl>
      <w:tblPr>
        <w:tblStyle w:val="TableTGAblue"/>
        <w:tblW w:w="0" w:type="auto"/>
        <w:tblLayout w:type="fixed"/>
        <w:tblLook w:val="01E0" w:firstRow="1" w:lastRow="1" w:firstColumn="1" w:lastColumn="1" w:noHBand="0" w:noVBand="0"/>
        <w:tblDescription w:val="Table 10 is a list of key endpoints for clinical outcomes: randomised subjects in Phase III induction studies in Crohn’s Disease (CRD3001 and CRD3002)"/>
      </w:tblPr>
      <w:tblGrid>
        <w:gridCol w:w="1809"/>
        <w:gridCol w:w="1134"/>
        <w:gridCol w:w="1134"/>
        <w:gridCol w:w="1134"/>
        <w:gridCol w:w="993"/>
        <w:gridCol w:w="992"/>
        <w:gridCol w:w="1276"/>
      </w:tblGrid>
      <w:tr w:rsidR="00C16F5E" w:rsidRPr="000D5EED" w14:paraId="723610C6" w14:textId="77777777" w:rsidTr="00436AF6">
        <w:trPr>
          <w:cnfStyle w:val="100000000000" w:firstRow="1" w:lastRow="0" w:firstColumn="0" w:lastColumn="0" w:oddVBand="0" w:evenVBand="0" w:oddHBand="0" w:evenHBand="0" w:firstRowFirstColumn="0" w:firstRowLastColumn="0" w:lastRowFirstColumn="0" w:lastRowLastColumn="0"/>
          <w:trHeight w:val="20"/>
        </w:trPr>
        <w:tc>
          <w:tcPr>
            <w:tcW w:w="5211" w:type="dxa"/>
            <w:gridSpan w:val="4"/>
          </w:tcPr>
          <w:p w14:paraId="05D3629C" w14:textId="77777777" w:rsidR="00AF3C3D" w:rsidRPr="00E52723" w:rsidRDefault="00AF3C3D" w:rsidP="00E52723">
            <w:pPr>
              <w:pStyle w:val="TableTitle"/>
              <w:rPr>
                <w:b/>
              </w:rPr>
            </w:pPr>
            <w:r w:rsidRPr="00E52723">
              <w:rPr>
                <w:b/>
              </w:rPr>
              <w:t>CRD3001</w:t>
            </w:r>
          </w:p>
          <w:p w14:paraId="197ABF4F" w14:textId="77777777" w:rsidR="00AF3C3D" w:rsidRPr="00E52723" w:rsidRDefault="00AF3C3D" w:rsidP="00E52723">
            <w:pPr>
              <w:pStyle w:val="TableTitle"/>
              <w:rPr>
                <w:b/>
              </w:rPr>
            </w:pPr>
            <w:r w:rsidRPr="00E52723">
              <w:rPr>
                <w:b/>
              </w:rPr>
              <w:t>(TNF antagonist failures)</w:t>
            </w:r>
          </w:p>
        </w:tc>
        <w:tc>
          <w:tcPr>
            <w:tcW w:w="3261" w:type="dxa"/>
            <w:gridSpan w:val="3"/>
          </w:tcPr>
          <w:p w14:paraId="1509FBDD" w14:textId="77777777" w:rsidR="00AF3C3D" w:rsidRPr="00E52723" w:rsidRDefault="00AF3C3D" w:rsidP="00E52723">
            <w:pPr>
              <w:pStyle w:val="TableTitle"/>
              <w:rPr>
                <w:b/>
              </w:rPr>
            </w:pPr>
            <w:r w:rsidRPr="00E52723">
              <w:rPr>
                <w:b/>
              </w:rPr>
              <w:t>CRD3002</w:t>
            </w:r>
          </w:p>
          <w:p w14:paraId="3B100FAC" w14:textId="77777777" w:rsidR="00AF3C3D" w:rsidRPr="00E52723" w:rsidRDefault="00AF3C3D" w:rsidP="00E52723">
            <w:pPr>
              <w:pStyle w:val="TableTitle"/>
              <w:rPr>
                <w:b/>
              </w:rPr>
            </w:pPr>
            <w:r w:rsidRPr="00E52723">
              <w:rPr>
                <w:b/>
              </w:rPr>
              <w:t>(Conventional therapy failures)</w:t>
            </w:r>
          </w:p>
        </w:tc>
      </w:tr>
      <w:tr w:rsidR="00AF3C3D" w:rsidRPr="000D5EED" w14:paraId="1AC3DFEB" w14:textId="77777777" w:rsidTr="00436AF6">
        <w:trPr>
          <w:trHeight w:val="113"/>
        </w:trPr>
        <w:tc>
          <w:tcPr>
            <w:tcW w:w="1809" w:type="dxa"/>
          </w:tcPr>
          <w:p w14:paraId="1F2E6D39" w14:textId="77777777" w:rsidR="00AF3C3D" w:rsidRPr="000D5EED" w:rsidRDefault="00AF3C3D" w:rsidP="00C16F5E">
            <w:pPr>
              <w:rPr>
                <w:rFonts w:asciiTheme="minorHAnsi" w:hAnsiTheme="minorHAnsi"/>
                <w:sz w:val="18"/>
                <w:szCs w:val="18"/>
              </w:rPr>
            </w:pPr>
          </w:p>
        </w:tc>
        <w:tc>
          <w:tcPr>
            <w:tcW w:w="3402" w:type="dxa"/>
            <w:gridSpan w:val="3"/>
          </w:tcPr>
          <w:p w14:paraId="5320EFC2" w14:textId="77777777" w:rsidR="00AF3C3D" w:rsidRPr="000D5EED" w:rsidRDefault="00CC3432" w:rsidP="00E52723">
            <w:pPr>
              <w:pStyle w:val="Tabletext"/>
            </w:pPr>
            <w:r w:rsidRPr="000D5EED">
              <w:t>Stelara</w:t>
            </w:r>
          </w:p>
        </w:tc>
        <w:tc>
          <w:tcPr>
            <w:tcW w:w="3261" w:type="dxa"/>
            <w:gridSpan w:val="3"/>
          </w:tcPr>
          <w:p w14:paraId="319ACD54" w14:textId="77777777" w:rsidR="00AF3C3D" w:rsidRPr="000D5EED" w:rsidRDefault="00CC3432" w:rsidP="00E52723">
            <w:pPr>
              <w:pStyle w:val="Tabletext"/>
            </w:pPr>
            <w:r w:rsidRPr="000D5EED">
              <w:t>Stelara</w:t>
            </w:r>
          </w:p>
        </w:tc>
      </w:tr>
      <w:tr w:rsidR="00AF3C3D" w:rsidRPr="000D5EED" w14:paraId="380F3421" w14:textId="77777777" w:rsidTr="00C03B0E">
        <w:trPr>
          <w:trHeight w:val="113"/>
        </w:trPr>
        <w:tc>
          <w:tcPr>
            <w:tcW w:w="1809" w:type="dxa"/>
          </w:tcPr>
          <w:p w14:paraId="6771EA06" w14:textId="77777777" w:rsidR="00AF3C3D" w:rsidRPr="000D5EED" w:rsidRDefault="00AF3C3D" w:rsidP="00E52723">
            <w:pPr>
              <w:pStyle w:val="Tabletext"/>
            </w:pPr>
          </w:p>
        </w:tc>
        <w:tc>
          <w:tcPr>
            <w:tcW w:w="1134" w:type="dxa"/>
          </w:tcPr>
          <w:p w14:paraId="182BD61A" w14:textId="77777777" w:rsidR="00AF3C3D" w:rsidRPr="000D5EED" w:rsidRDefault="00AF3C3D" w:rsidP="00E52723">
            <w:pPr>
              <w:pStyle w:val="Tabletext"/>
            </w:pPr>
            <w:r w:rsidRPr="000D5EED">
              <w:t>Placebo</w:t>
            </w:r>
            <w:r w:rsidR="000D5EED">
              <w:t xml:space="preserve"> (P)</w:t>
            </w:r>
          </w:p>
        </w:tc>
        <w:tc>
          <w:tcPr>
            <w:tcW w:w="1134" w:type="dxa"/>
          </w:tcPr>
          <w:p w14:paraId="64C168D4" w14:textId="77777777" w:rsidR="00AF3C3D" w:rsidRPr="000D5EED" w:rsidRDefault="00AF3C3D" w:rsidP="00E52723">
            <w:pPr>
              <w:pStyle w:val="Tabletext"/>
            </w:pPr>
            <w:r w:rsidRPr="000D5EED">
              <w:t>130</w:t>
            </w:r>
            <w:r w:rsidR="000D5EED">
              <w:t xml:space="preserve"> </w:t>
            </w:r>
            <w:r w:rsidRPr="000D5EED">
              <w:t>mg</w:t>
            </w:r>
          </w:p>
        </w:tc>
        <w:tc>
          <w:tcPr>
            <w:tcW w:w="1134" w:type="dxa"/>
          </w:tcPr>
          <w:p w14:paraId="6ADF6E7F" w14:textId="77777777" w:rsidR="00AF3C3D" w:rsidRPr="000D5EED" w:rsidRDefault="000D5EED" w:rsidP="00E52723">
            <w:pPr>
              <w:pStyle w:val="Tabletext"/>
            </w:pPr>
            <w:r>
              <w:t>~</w:t>
            </w:r>
            <w:r w:rsidR="00AF3C3D" w:rsidRPr="000D5EED">
              <w:t>6</w:t>
            </w:r>
            <w:r>
              <w:t xml:space="preserve"> </w:t>
            </w:r>
            <w:r w:rsidR="00AF3C3D" w:rsidRPr="000D5EED">
              <w:t>mg/kg</w:t>
            </w:r>
          </w:p>
        </w:tc>
        <w:tc>
          <w:tcPr>
            <w:tcW w:w="993" w:type="dxa"/>
          </w:tcPr>
          <w:p w14:paraId="189EE40B" w14:textId="77777777" w:rsidR="00AF3C3D" w:rsidRPr="000D5EED" w:rsidRDefault="000D5EED" w:rsidP="00E52723">
            <w:pPr>
              <w:pStyle w:val="Tabletext"/>
            </w:pPr>
            <w:r>
              <w:t>P</w:t>
            </w:r>
          </w:p>
        </w:tc>
        <w:tc>
          <w:tcPr>
            <w:tcW w:w="992" w:type="dxa"/>
          </w:tcPr>
          <w:p w14:paraId="229F2EAC" w14:textId="77777777" w:rsidR="00AF3C3D" w:rsidRPr="000D5EED" w:rsidRDefault="00AF3C3D" w:rsidP="00E52723">
            <w:pPr>
              <w:pStyle w:val="Tabletext"/>
            </w:pPr>
            <w:r w:rsidRPr="000D5EED">
              <w:t>130mg</w:t>
            </w:r>
          </w:p>
        </w:tc>
        <w:tc>
          <w:tcPr>
            <w:tcW w:w="1276" w:type="dxa"/>
          </w:tcPr>
          <w:p w14:paraId="4FCE4A8F" w14:textId="77777777" w:rsidR="00AF3C3D" w:rsidRPr="000D5EED" w:rsidRDefault="000D5EED" w:rsidP="00E52723">
            <w:pPr>
              <w:pStyle w:val="Tabletext"/>
            </w:pPr>
            <w:r>
              <w:t>~</w:t>
            </w:r>
            <w:r w:rsidR="004B6C8D" w:rsidRPr="000D5EED">
              <w:t xml:space="preserve"> </w:t>
            </w:r>
            <w:r w:rsidR="00AF3C3D" w:rsidRPr="000D5EED">
              <w:t>6</w:t>
            </w:r>
            <w:r>
              <w:t xml:space="preserve"> </w:t>
            </w:r>
            <w:r w:rsidR="00AF3C3D" w:rsidRPr="000D5EED">
              <w:t>mg/kg</w:t>
            </w:r>
          </w:p>
        </w:tc>
      </w:tr>
      <w:tr w:rsidR="00AF3C3D" w:rsidRPr="000D5EED" w14:paraId="1D70ACD8" w14:textId="77777777" w:rsidTr="00C03B0E">
        <w:trPr>
          <w:trHeight w:val="113"/>
        </w:trPr>
        <w:tc>
          <w:tcPr>
            <w:tcW w:w="1809" w:type="dxa"/>
          </w:tcPr>
          <w:p w14:paraId="3A4FAA35" w14:textId="77777777" w:rsidR="00AF3C3D" w:rsidRPr="000D5EED" w:rsidRDefault="00AF3C3D" w:rsidP="00E52723">
            <w:pPr>
              <w:pStyle w:val="Tabletext"/>
            </w:pPr>
            <w:r w:rsidRPr="000D5EED">
              <w:t>Subjects randomised*</w:t>
            </w:r>
          </w:p>
        </w:tc>
        <w:tc>
          <w:tcPr>
            <w:tcW w:w="1134" w:type="dxa"/>
          </w:tcPr>
          <w:p w14:paraId="1D419364" w14:textId="77777777" w:rsidR="00AF3C3D" w:rsidRPr="000D5EED" w:rsidRDefault="00AF3C3D" w:rsidP="00E52723">
            <w:pPr>
              <w:pStyle w:val="Tabletext"/>
            </w:pPr>
            <w:r w:rsidRPr="000D5EED">
              <w:t>247</w:t>
            </w:r>
          </w:p>
        </w:tc>
        <w:tc>
          <w:tcPr>
            <w:tcW w:w="1134" w:type="dxa"/>
          </w:tcPr>
          <w:p w14:paraId="77C01886" w14:textId="77777777" w:rsidR="00AF3C3D" w:rsidRPr="000D5EED" w:rsidRDefault="00AF3C3D" w:rsidP="00E52723">
            <w:pPr>
              <w:pStyle w:val="Tabletext"/>
            </w:pPr>
            <w:r w:rsidRPr="000D5EED">
              <w:t>245</w:t>
            </w:r>
          </w:p>
        </w:tc>
        <w:tc>
          <w:tcPr>
            <w:tcW w:w="1134" w:type="dxa"/>
          </w:tcPr>
          <w:p w14:paraId="1F79CB89" w14:textId="77777777" w:rsidR="00AF3C3D" w:rsidRPr="000D5EED" w:rsidRDefault="00AF3C3D" w:rsidP="00E52723">
            <w:pPr>
              <w:pStyle w:val="Tabletext"/>
            </w:pPr>
            <w:r w:rsidRPr="000D5EED">
              <w:t>249</w:t>
            </w:r>
          </w:p>
        </w:tc>
        <w:tc>
          <w:tcPr>
            <w:tcW w:w="993" w:type="dxa"/>
          </w:tcPr>
          <w:p w14:paraId="1E820E2E" w14:textId="77777777" w:rsidR="00AF3C3D" w:rsidRPr="000D5EED" w:rsidRDefault="00AF3C3D" w:rsidP="00E52723">
            <w:pPr>
              <w:pStyle w:val="Tabletext"/>
            </w:pPr>
            <w:r w:rsidRPr="000D5EED">
              <w:t>209</w:t>
            </w:r>
          </w:p>
        </w:tc>
        <w:tc>
          <w:tcPr>
            <w:tcW w:w="992" w:type="dxa"/>
          </w:tcPr>
          <w:p w14:paraId="7E66B228" w14:textId="77777777" w:rsidR="00AF3C3D" w:rsidRPr="000D5EED" w:rsidRDefault="00AF3C3D" w:rsidP="00E52723">
            <w:pPr>
              <w:pStyle w:val="Tabletext"/>
            </w:pPr>
            <w:r w:rsidRPr="000D5EED">
              <w:t>209</w:t>
            </w:r>
          </w:p>
        </w:tc>
        <w:tc>
          <w:tcPr>
            <w:tcW w:w="1276" w:type="dxa"/>
          </w:tcPr>
          <w:p w14:paraId="44CD9241" w14:textId="77777777" w:rsidR="00AF3C3D" w:rsidRPr="000D5EED" w:rsidRDefault="00AF3C3D" w:rsidP="00E52723">
            <w:pPr>
              <w:pStyle w:val="Tabletext"/>
            </w:pPr>
            <w:r w:rsidRPr="000D5EED">
              <w:t>209</w:t>
            </w:r>
          </w:p>
        </w:tc>
      </w:tr>
      <w:tr w:rsidR="00C03B0E" w:rsidRPr="000D5EED" w14:paraId="4DD0D455" w14:textId="77777777" w:rsidTr="004E20E4">
        <w:trPr>
          <w:trHeight w:val="113"/>
        </w:trPr>
        <w:tc>
          <w:tcPr>
            <w:tcW w:w="8472" w:type="dxa"/>
            <w:gridSpan w:val="7"/>
          </w:tcPr>
          <w:p w14:paraId="06A39D29" w14:textId="77777777" w:rsidR="00C03B0E" w:rsidRPr="000D5EED" w:rsidRDefault="00C03B0E" w:rsidP="00E52723">
            <w:pPr>
              <w:pStyle w:val="Tabletext"/>
            </w:pPr>
            <w:r w:rsidRPr="000D5EED">
              <w:t>PRIMARY ENDPOINT</w:t>
            </w:r>
            <w:r>
              <w:t xml:space="preserve"> (%)</w:t>
            </w:r>
          </w:p>
        </w:tc>
      </w:tr>
      <w:tr w:rsidR="00AF3C3D" w:rsidRPr="000D5EED" w14:paraId="152ADEAD" w14:textId="77777777" w:rsidTr="00C03B0E">
        <w:trPr>
          <w:trHeight w:val="113"/>
        </w:trPr>
        <w:tc>
          <w:tcPr>
            <w:tcW w:w="1809" w:type="dxa"/>
          </w:tcPr>
          <w:p w14:paraId="5F6EA1AF" w14:textId="77777777" w:rsidR="00AF3C3D" w:rsidRPr="000D5EED" w:rsidRDefault="00AF3C3D" w:rsidP="00E52723">
            <w:pPr>
              <w:pStyle w:val="Tabletext"/>
            </w:pPr>
            <w:r w:rsidRPr="000D5EED">
              <w:t>Clinical response at Week 6</w:t>
            </w:r>
          </w:p>
        </w:tc>
        <w:tc>
          <w:tcPr>
            <w:tcW w:w="1134" w:type="dxa"/>
          </w:tcPr>
          <w:p w14:paraId="323DAA7D" w14:textId="77777777" w:rsidR="00AF3C3D" w:rsidRPr="000D5EED" w:rsidRDefault="00AF3C3D" w:rsidP="00E52723">
            <w:pPr>
              <w:pStyle w:val="Tabletext"/>
            </w:pPr>
            <w:r w:rsidRPr="000D5EED">
              <w:t>21.5</w:t>
            </w:r>
          </w:p>
        </w:tc>
        <w:tc>
          <w:tcPr>
            <w:tcW w:w="1134" w:type="dxa"/>
          </w:tcPr>
          <w:p w14:paraId="02C2572E" w14:textId="77777777" w:rsidR="00AF3C3D" w:rsidRPr="000D5EED" w:rsidRDefault="00AF3C3D" w:rsidP="00E52723">
            <w:pPr>
              <w:pStyle w:val="Tabletext"/>
            </w:pPr>
            <w:r w:rsidRPr="000D5EED">
              <w:t>34.3</w:t>
            </w:r>
            <w:r w:rsidRPr="000D5EED">
              <w:rPr>
                <w:position w:val="7"/>
              </w:rPr>
              <w:t>b</w:t>
            </w:r>
          </w:p>
        </w:tc>
        <w:tc>
          <w:tcPr>
            <w:tcW w:w="1134" w:type="dxa"/>
          </w:tcPr>
          <w:p w14:paraId="7497240C" w14:textId="77777777" w:rsidR="00AF3C3D" w:rsidRPr="000D5EED" w:rsidRDefault="00AF3C3D" w:rsidP="00E52723">
            <w:pPr>
              <w:pStyle w:val="Tabletext"/>
            </w:pPr>
            <w:r w:rsidRPr="000D5EED">
              <w:t>33.7</w:t>
            </w:r>
            <w:r w:rsidRPr="000D5EED">
              <w:rPr>
                <w:position w:val="7"/>
              </w:rPr>
              <w:t>b</w:t>
            </w:r>
          </w:p>
        </w:tc>
        <w:tc>
          <w:tcPr>
            <w:tcW w:w="993" w:type="dxa"/>
          </w:tcPr>
          <w:p w14:paraId="654EE43C" w14:textId="77777777" w:rsidR="00AF3C3D" w:rsidRPr="000D5EED" w:rsidRDefault="00AF3C3D" w:rsidP="00E52723">
            <w:pPr>
              <w:pStyle w:val="Tabletext"/>
            </w:pPr>
            <w:r w:rsidRPr="000D5EED">
              <w:t>28.7</w:t>
            </w:r>
          </w:p>
        </w:tc>
        <w:tc>
          <w:tcPr>
            <w:tcW w:w="992" w:type="dxa"/>
          </w:tcPr>
          <w:p w14:paraId="1E96B6BA" w14:textId="77777777" w:rsidR="00AF3C3D" w:rsidRPr="000D5EED" w:rsidRDefault="00AF3C3D" w:rsidP="00E52723">
            <w:pPr>
              <w:pStyle w:val="Tabletext"/>
            </w:pPr>
            <w:r w:rsidRPr="000D5EED">
              <w:t>51.7</w:t>
            </w:r>
            <w:r w:rsidRPr="000D5EED">
              <w:rPr>
                <w:position w:val="7"/>
              </w:rPr>
              <w:t>a</w:t>
            </w:r>
          </w:p>
        </w:tc>
        <w:tc>
          <w:tcPr>
            <w:tcW w:w="1276" w:type="dxa"/>
          </w:tcPr>
          <w:p w14:paraId="16ECCAC0" w14:textId="77777777" w:rsidR="00AF3C3D" w:rsidRPr="000D5EED" w:rsidRDefault="00AF3C3D" w:rsidP="00E52723">
            <w:pPr>
              <w:pStyle w:val="Tabletext"/>
            </w:pPr>
            <w:r w:rsidRPr="000D5EED">
              <w:t>55.5</w:t>
            </w:r>
            <w:r w:rsidRPr="000D5EED">
              <w:rPr>
                <w:position w:val="7"/>
              </w:rPr>
              <w:t>a</w:t>
            </w:r>
          </w:p>
        </w:tc>
      </w:tr>
      <w:tr w:rsidR="00C03B0E" w:rsidRPr="000D5EED" w14:paraId="1B418663" w14:textId="77777777" w:rsidTr="004E20E4">
        <w:trPr>
          <w:trHeight w:val="113"/>
        </w:trPr>
        <w:tc>
          <w:tcPr>
            <w:tcW w:w="8472" w:type="dxa"/>
            <w:gridSpan w:val="7"/>
          </w:tcPr>
          <w:p w14:paraId="28AD4BCB" w14:textId="77777777" w:rsidR="00C03B0E" w:rsidRPr="000D5EED" w:rsidRDefault="00C03B0E" w:rsidP="00E52723">
            <w:pPr>
              <w:pStyle w:val="Tabletext"/>
            </w:pPr>
            <w:r w:rsidRPr="000D5EED">
              <w:t>MAJOR SECONDARY ENDPOINTS</w:t>
            </w:r>
            <w:r>
              <w:t xml:space="preserve"> (%)</w:t>
            </w:r>
          </w:p>
        </w:tc>
      </w:tr>
      <w:tr w:rsidR="00AF3C3D" w:rsidRPr="000D5EED" w14:paraId="64F941E8" w14:textId="77777777" w:rsidTr="00C03B0E">
        <w:trPr>
          <w:trHeight w:val="113"/>
        </w:trPr>
        <w:tc>
          <w:tcPr>
            <w:tcW w:w="1809" w:type="dxa"/>
          </w:tcPr>
          <w:p w14:paraId="3BCD3D10" w14:textId="77777777" w:rsidR="00AF3C3D" w:rsidRPr="000D5EED" w:rsidRDefault="00AF3C3D" w:rsidP="00E52723">
            <w:pPr>
              <w:pStyle w:val="Tabletext"/>
            </w:pPr>
            <w:r w:rsidRPr="000D5EED">
              <w:t>Clinical remission at Week 8</w:t>
            </w:r>
          </w:p>
        </w:tc>
        <w:tc>
          <w:tcPr>
            <w:tcW w:w="1134" w:type="dxa"/>
          </w:tcPr>
          <w:p w14:paraId="4BAC5206" w14:textId="77777777" w:rsidR="00AF3C3D" w:rsidRPr="000D5EED" w:rsidRDefault="00AF3C3D" w:rsidP="00E52723">
            <w:pPr>
              <w:pStyle w:val="Tabletext"/>
            </w:pPr>
            <w:r w:rsidRPr="000D5EED">
              <w:t>7.3</w:t>
            </w:r>
          </w:p>
        </w:tc>
        <w:tc>
          <w:tcPr>
            <w:tcW w:w="1134" w:type="dxa"/>
          </w:tcPr>
          <w:p w14:paraId="2CD38766" w14:textId="77777777" w:rsidR="00AF3C3D" w:rsidRPr="000D5EED" w:rsidRDefault="00AF3C3D" w:rsidP="00E52723">
            <w:pPr>
              <w:pStyle w:val="Tabletext"/>
            </w:pPr>
            <w:r w:rsidRPr="000D5EED">
              <w:t>15.9</w:t>
            </w:r>
            <w:r w:rsidRPr="000D5EED">
              <w:rPr>
                <w:position w:val="7"/>
              </w:rPr>
              <w:t>b</w:t>
            </w:r>
          </w:p>
        </w:tc>
        <w:tc>
          <w:tcPr>
            <w:tcW w:w="1134" w:type="dxa"/>
          </w:tcPr>
          <w:p w14:paraId="49FE1804" w14:textId="77777777" w:rsidR="00AF3C3D" w:rsidRPr="000D5EED" w:rsidRDefault="00AF3C3D" w:rsidP="00E52723">
            <w:pPr>
              <w:pStyle w:val="Tabletext"/>
            </w:pPr>
            <w:r w:rsidRPr="000D5EED">
              <w:t>20.9</w:t>
            </w:r>
            <w:r w:rsidRPr="000D5EED">
              <w:rPr>
                <w:position w:val="7"/>
              </w:rPr>
              <w:t>a</w:t>
            </w:r>
          </w:p>
        </w:tc>
        <w:tc>
          <w:tcPr>
            <w:tcW w:w="993" w:type="dxa"/>
          </w:tcPr>
          <w:p w14:paraId="33EC21A1" w14:textId="77777777" w:rsidR="00AF3C3D" w:rsidRPr="000D5EED" w:rsidRDefault="00AF3C3D" w:rsidP="00E52723">
            <w:pPr>
              <w:pStyle w:val="Tabletext"/>
            </w:pPr>
            <w:r w:rsidRPr="000D5EED">
              <w:t>19.6</w:t>
            </w:r>
          </w:p>
        </w:tc>
        <w:tc>
          <w:tcPr>
            <w:tcW w:w="992" w:type="dxa"/>
          </w:tcPr>
          <w:p w14:paraId="04D2DE9B" w14:textId="77777777" w:rsidR="00AF3C3D" w:rsidRPr="000D5EED" w:rsidRDefault="00AF3C3D" w:rsidP="00E52723">
            <w:pPr>
              <w:pStyle w:val="Tabletext"/>
            </w:pPr>
            <w:r w:rsidRPr="000D5EED">
              <w:t>30.6</w:t>
            </w:r>
            <w:r w:rsidRPr="000D5EED">
              <w:rPr>
                <w:position w:val="7"/>
              </w:rPr>
              <w:t>b</w:t>
            </w:r>
          </w:p>
        </w:tc>
        <w:tc>
          <w:tcPr>
            <w:tcW w:w="1276" w:type="dxa"/>
          </w:tcPr>
          <w:p w14:paraId="28B28DDE" w14:textId="77777777" w:rsidR="00AF3C3D" w:rsidRPr="000D5EED" w:rsidRDefault="00AF3C3D" w:rsidP="00E52723">
            <w:pPr>
              <w:pStyle w:val="Tabletext"/>
            </w:pPr>
            <w:r w:rsidRPr="000D5EED">
              <w:t>40.2</w:t>
            </w:r>
            <w:r w:rsidRPr="000D5EED">
              <w:rPr>
                <w:position w:val="7"/>
              </w:rPr>
              <w:t>a</w:t>
            </w:r>
          </w:p>
        </w:tc>
      </w:tr>
      <w:tr w:rsidR="00AF3C3D" w:rsidRPr="000D5EED" w14:paraId="759EBC43" w14:textId="77777777" w:rsidTr="00C03B0E">
        <w:trPr>
          <w:trHeight w:val="113"/>
        </w:trPr>
        <w:tc>
          <w:tcPr>
            <w:tcW w:w="1809" w:type="dxa"/>
          </w:tcPr>
          <w:p w14:paraId="49624D54" w14:textId="77777777" w:rsidR="00AF3C3D" w:rsidRPr="000D5EED" w:rsidRDefault="00AF3C3D" w:rsidP="00E52723">
            <w:pPr>
              <w:pStyle w:val="Tabletext"/>
            </w:pPr>
            <w:r w:rsidRPr="000D5EED">
              <w:t>Clinical response at Week 8</w:t>
            </w:r>
          </w:p>
        </w:tc>
        <w:tc>
          <w:tcPr>
            <w:tcW w:w="1134" w:type="dxa"/>
          </w:tcPr>
          <w:p w14:paraId="5B3D6682" w14:textId="77777777" w:rsidR="00AF3C3D" w:rsidRPr="000D5EED" w:rsidRDefault="00AF3C3D" w:rsidP="00E52723">
            <w:pPr>
              <w:pStyle w:val="Tabletext"/>
            </w:pPr>
            <w:r w:rsidRPr="000D5EED">
              <w:t>20.2</w:t>
            </w:r>
          </w:p>
        </w:tc>
        <w:tc>
          <w:tcPr>
            <w:tcW w:w="1134" w:type="dxa"/>
          </w:tcPr>
          <w:p w14:paraId="5D925EA5" w14:textId="77777777" w:rsidR="00AF3C3D" w:rsidRPr="000D5EED" w:rsidRDefault="00AF3C3D" w:rsidP="00E52723">
            <w:pPr>
              <w:pStyle w:val="Tabletext"/>
            </w:pPr>
            <w:r w:rsidRPr="000D5EED">
              <w:t>33.5</w:t>
            </w:r>
            <w:r w:rsidRPr="000D5EED">
              <w:rPr>
                <w:position w:val="7"/>
              </w:rPr>
              <w:t>b</w:t>
            </w:r>
          </w:p>
        </w:tc>
        <w:tc>
          <w:tcPr>
            <w:tcW w:w="1134" w:type="dxa"/>
          </w:tcPr>
          <w:p w14:paraId="5345BC7A" w14:textId="77777777" w:rsidR="00AF3C3D" w:rsidRPr="000D5EED" w:rsidRDefault="00AF3C3D" w:rsidP="00E52723">
            <w:pPr>
              <w:pStyle w:val="Tabletext"/>
            </w:pPr>
            <w:r w:rsidRPr="000D5EED">
              <w:t>37.8</w:t>
            </w:r>
            <w:r w:rsidRPr="000D5EED">
              <w:rPr>
                <w:position w:val="7"/>
              </w:rPr>
              <w:t>a</w:t>
            </w:r>
          </w:p>
        </w:tc>
        <w:tc>
          <w:tcPr>
            <w:tcW w:w="993" w:type="dxa"/>
          </w:tcPr>
          <w:p w14:paraId="355C7AAC" w14:textId="77777777" w:rsidR="00AF3C3D" w:rsidRPr="000D5EED" w:rsidRDefault="00AF3C3D" w:rsidP="00E52723">
            <w:pPr>
              <w:pStyle w:val="Tabletext"/>
            </w:pPr>
            <w:r w:rsidRPr="000D5EED">
              <w:t>32.1</w:t>
            </w:r>
          </w:p>
        </w:tc>
        <w:tc>
          <w:tcPr>
            <w:tcW w:w="992" w:type="dxa"/>
          </w:tcPr>
          <w:p w14:paraId="37DAF6F8" w14:textId="77777777" w:rsidR="00AF3C3D" w:rsidRPr="000D5EED" w:rsidRDefault="00AF3C3D" w:rsidP="00E52723">
            <w:pPr>
              <w:pStyle w:val="Tabletext"/>
            </w:pPr>
            <w:r w:rsidRPr="000D5EED">
              <w:t>47.4</w:t>
            </w:r>
            <w:r w:rsidRPr="000D5EED">
              <w:rPr>
                <w:position w:val="7"/>
              </w:rPr>
              <w:t>a</w:t>
            </w:r>
          </w:p>
        </w:tc>
        <w:tc>
          <w:tcPr>
            <w:tcW w:w="1276" w:type="dxa"/>
          </w:tcPr>
          <w:p w14:paraId="664163CE" w14:textId="77777777" w:rsidR="00AF3C3D" w:rsidRPr="000D5EED" w:rsidRDefault="00AF3C3D" w:rsidP="00E52723">
            <w:pPr>
              <w:pStyle w:val="Tabletext"/>
            </w:pPr>
            <w:r w:rsidRPr="000D5EED">
              <w:t>57.9</w:t>
            </w:r>
            <w:r w:rsidRPr="000D5EED">
              <w:rPr>
                <w:position w:val="7"/>
              </w:rPr>
              <w:t>a</w:t>
            </w:r>
          </w:p>
        </w:tc>
      </w:tr>
      <w:tr w:rsidR="00AF3C3D" w:rsidRPr="000D5EED" w14:paraId="44568692" w14:textId="77777777" w:rsidTr="00C03B0E">
        <w:trPr>
          <w:trHeight w:val="113"/>
        </w:trPr>
        <w:tc>
          <w:tcPr>
            <w:tcW w:w="1809" w:type="dxa"/>
          </w:tcPr>
          <w:p w14:paraId="65A93BCA" w14:textId="77777777" w:rsidR="00AF3C3D" w:rsidRPr="000D5EED" w:rsidRDefault="00AF3C3D" w:rsidP="00E52723">
            <w:pPr>
              <w:pStyle w:val="Tabletext"/>
            </w:pPr>
            <w:r w:rsidRPr="000D5EED">
              <w:t>70-point response at Week 6</w:t>
            </w:r>
          </w:p>
        </w:tc>
        <w:tc>
          <w:tcPr>
            <w:tcW w:w="1134" w:type="dxa"/>
          </w:tcPr>
          <w:p w14:paraId="2867B27D" w14:textId="77777777" w:rsidR="00AF3C3D" w:rsidRPr="000D5EED" w:rsidRDefault="00AF3C3D" w:rsidP="00E52723">
            <w:pPr>
              <w:pStyle w:val="Tabletext"/>
            </w:pPr>
            <w:r w:rsidRPr="000D5EED">
              <w:t>30.4</w:t>
            </w:r>
          </w:p>
        </w:tc>
        <w:tc>
          <w:tcPr>
            <w:tcW w:w="1134" w:type="dxa"/>
          </w:tcPr>
          <w:p w14:paraId="2D3733C9" w14:textId="77777777" w:rsidR="00AF3C3D" w:rsidRPr="000D5EED" w:rsidRDefault="00AF3C3D" w:rsidP="00E52723">
            <w:pPr>
              <w:pStyle w:val="Tabletext"/>
            </w:pPr>
            <w:r w:rsidRPr="000D5EED">
              <w:t>46.1</w:t>
            </w:r>
            <w:r w:rsidRPr="000D5EED">
              <w:rPr>
                <w:position w:val="7"/>
              </w:rPr>
              <w:t>a</w:t>
            </w:r>
          </w:p>
        </w:tc>
        <w:tc>
          <w:tcPr>
            <w:tcW w:w="1134" w:type="dxa"/>
          </w:tcPr>
          <w:p w14:paraId="39CA7FB6" w14:textId="77777777" w:rsidR="00AF3C3D" w:rsidRPr="000D5EED" w:rsidRDefault="00AF3C3D" w:rsidP="00E52723">
            <w:pPr>
              <w:pStyle w:val="Tabletext"/>
            </w:pPr>
            <w:r w:rsidRPr="000D5EED">
              <w:t>43.8</w:t>
            </w:r>
            <w:r w:rsidRPr="000D5EED">
              <w:rPr>
                <w:position w:val="7"/>
              </w:rPr>
              <w:t>b</w:t>
            </w:r>
          </w:p>
        </w:tc>
        <w:tc>
          <w:tcPr>
            <w:tcW w:w="993" w:type="dxa"/>
          </w:tcPr>
          <w:p w14:paraId="28922CDB" w14:textId="77777777" w:rsidR="00AF3C3D" w:rsidRPr="000D5EED" w:rsidRDefault="00AF3C3D" w:rsidP="00E52723">
            <w:pPr>
              <w:pStyle w:val="Tabletext"/>
            </w:pPr>
            <w:r w:rsidRPr="000D5EED">
              <w:t>38.8</w:t>
            </w:r>
          </w:p>
        </w:tc>
        <w:tc>
          <w:tcPr>
            <w:tcW w:w="992" w:type="dxa"/>
          </w:tcPr>
          <w:p w14:paraId="0ACF88D5" w14:textId="77777777" w:rsidR="00AF3C3D" w:rsidRPr="000D5EED" w:rsidRDefault="00AF3C3D" w:rsidP="00E52723">
            <w:pPr>
              <w:pStyle w:val="Tabletext"/>
            </w:pPr>
            <w:r w:rsidRPr="000D5EED">
              <w:t>58.9</w:t>
            </w:r>
            <w:r w:rsidRPr="000D5EED">
              <w:rPr>
                <w:position w:val="7"/>
              </w:rPr>
              <w:t>a</w:t>
            </w:r>
          </w:p>
        </w:tc>
        <w:tc>
          <w:tcPr>
            <w:tcW w:w="1276" w:type="dxa"/>
          </w:tcPr>
          <w:p w14:paraId="56C0FA7E" w14:textId="77777777" w:rsidR="00AF3C3D" w:rsidRPr="000D5EED" w:rsidRDefault="00AF3C3D" w:rsidP="00E52723">
            <w:pPr>
              <w:pStyle w:val="Tabletext"/>
            </w:pPr>
            <w:r w:rsidRPr="000D5EED">
              <w:t>64.6</w:t>
            </w:r>
            <w:r w:rsidRPr="000D5EED">
              <w:rPr>
                <w:position w:val="7"/>
              </w:rPr>
              <w:t>a</w:t>
            </w:r>
          </w:p>
        </w:tc>
      </w:tr>
      <w:tr w:rsidR="00AF3C3D" w:rsidRPr="000D5EED" w14:paraId="3C6EEB2B" w14:textId="77777777" w:rsidTr="00C03B0E">
        <w:trPr>
          <w:trHeight w:val="113"/>
        </w:trPr>
        <w:tc>
          <w:tcPr>
            <w:tcW w:w="1809" w:type="dxa"/>
          </w:tcPr>
          <w:p w14:paraId="46755DDD" w14:textId="77777777" w:rsidR="00AF3C3D" w:rsidRPr="000D5EED" w:rsidRDefault="00AF3C3D" w:rsidP="00E52723">
            <w:pPr>
              <w:pStyle w:val="Tabletext"/>
            </w:pPr>
            <w:r w:rsidRPr="000D5EED">
              <w:t>70-point response at Week 3</w:t>
            </w:r>
          </w:p>
        </w:tc>
        <w:tc>
          <w:tcPr>
            <w:tcW w:w="1134" w:type="dxa"/>
          </w:tcPr>
          <w:p w14:paraId="1F9EC46C" w14:textId="77777777" w:rsidR="00AF3C3D" w:rsidRPr="000D5EED" w:rsidRDefault="00AF3C3D" w:rsidP="00E52723">
            <w:pPr>
              <w:pStyle w:val="Tabletext"/>
            </w:pPr>
            <w:r w:rsidRPr="000D5EED">
              <w:t>27.1</w:t>
            </w:r>
          </w:p>
        </w:tc>
        <w:tc>
          <w:tcPr>
            <w:tcW w:w="1134" w:type="dxa"/>
          </w:tcPr>
          <w:p w14:paraId="28E2349C" w14:textId="77777777" w:rsidR="00AF3C3D" w:rsidRPr="000D5EED" w:rsidRDefault="00AF3C3D" w:rsidP="00E52723">
            <w:pPr>
              <w:pStyle w:val="Tabletext"/>
            </w:pPr>
            <w:r w:rsidRPr="000D5EED">
              <w:t>38.4</w:t>
            </w:r>
            <w:r w:rsidRPr="000D5EED">
              <w:rPr>
                <w:position w:val="7"/>
              </w:rPr>
              <w:t>b</w:t>
            </w:r>
          </w:p>
        </w:tc>
        <w:tc>
          <w:tcPr>
            <w:tcW w:w="1134" w:type="dxa"/>
          </w:tcPr>
          <w:p w14:paraId="09090231" w14:textId="77777777" w:rsidR="00AF3C3D" w:rsidRPr="000D5EED" w:rsidRDefault="00AF3C3D" w:rsidP="00E52723">
            <w:pPr>
              <w:pStyle w:val="Tabletext"/>
            </w:pPr>
            <w:r w:rsidRPr="000D5EED">
              <w:t>40.6</w:t>
            </w:r>
            <w:r w:rsidRPr="000D5EED">
              <w:rPr>
                <w:position w:val="7"/>
              </w:rPr>
              <w:t>b</w:t>
            </w:r>
          </w:p>
        </w:tc>
        <w:tc>
          <w:tcPr>
            <w:tcW w:w="993" w:type="dxa"/>
          </w:tcPr>
          <w:p w14:paraId="39A5CA26" w14:textId="77777777" w:rsidR="00AF3C3D" w:rsidRPr="000D5EED" w:rsidRDefault="00AF3C3D" w:rsidP="00E52723">
            <w:pPr>
              <w:pStyle w:val="Tabletext"/>
            </w:pPr>
            <w:r w:rsidRPr="000D5EED">
              <w:t>31.6</w:t>
            </w:r>
          </w:p>
        </w:tc>
        <w:tc>
          <w:tcPr>
            <w:tcW w:w="992" w:type="dxa"/>
          </w:tcPr>
          <w:p w14:paraId="2848DE0F" w14:textId="77777777" w:rsidR="00AF3C3D" w:rsidRPr="000D5EED" w:rsidRDefault="00AF3C3D" w:rsidP="00E52723">
            <w:pPr>
              <w:pStyle w:val="Tabletext"/>
            </w:pPr>
            <w:r w:rsidRPr="000D5EED">
              <w:t>49.3</w:t>
            </w:r>
            <w:r w:rsidRPr="000D5EED">
              <w:rPr>
                <w:position w:val="7"/>
              </w:rPr>
              <w:t>a</w:t>
            </w:r>
          </w:p>
        </w:tc>
        <w:tc>
          <w:tcPr>
            <w:tcW w:w="1276" w:type="dxa"/>
          </w:tcPr>
          <w:p w14:paraId="0E7BBF84" w14:textId="77777777" w:rsidR="00AF3C3D" w:rsidRPr="000D5EED" w:rsidRDefault="00AF3C3D" w:rsidP="00E52723">
            <w:pPr>
              <w:pStyle w:val="Tabletext"/>
            </w:pPr>
            <w:r w:rsidRPr="000D5EED">
              <w:t>50.7</w:t>
            </w:r>
            <w:r w:rsidRPr="000D5EED">
              <w:rPr>
                <w:position w:val="7"/>
              </w:rPr>
              <w:t>a</w:t>
            </w:r>
          </w:p>
        </w:tc>
      </w:tr>
    </w:tbl>
    <w:p w14:paraId="06409DA7" w14:textId="77777777" w:rsidR="00AF3C3D" w:rsidRDefault="00AF3C3D" w:rsidP="00DE5B4C">
      <w:pPr>
        <w:pStyle w:val="TableDescription"/>
      </w:pPr>
      <w:r>
        <w:t>Clinical response=reduction in CDAI≥ 100 points or CDAI&lt;150; clinical remission=CDAI score &lt;150.</w:t>
      </w:r>
    </w:p>
    <w:p w14:paraId="77ECB8A7" w14:textId="77777777" w:rsidR="00AF3C3D" w:rsidRDefault="00AF3C3D" w:rsidP="00DE5B4C">
      <w:pPr>
        <w:pStyle w:val="TableDescription"/>
      </w:pPr>
      <w:r>
        <w:t>*Excludes subjects randomised before study restart and Site 1127.</w:t>
      </w:r>
    </w:p>
    <w:p w14:paraId="4F74C638" w14:textId="25550733" w:rsidR="00AF3C3D" w:rsidRDefault="00AF3C3D" w:rsidP="00DE5B4C">
      <w:pPr>
        <w:pStyle w:val="TableDescription"/>
      </w:pPr>
      <w:proofErr w:type="gramStart"/>
      <w:r>
        <w:rPr>
          <w:position w:val="7"/>
          <w:sz w:val="13"/>
        </w:rPr>
        <w:t>a</w:t>
      </w:r>
      <w:proofErr w:type="gramEnd"/>
      <w:r w:rsidR="00EF0460">
        <w:rPr>
          <w:position w:val="7"/>
          <w:sz w:val="13"/>
        </w:rPr>
        <w:t xml:space="preserve"> </w:t>
      </w:r>
      <w:r w:rsidR="00516729">
        <w:t>p&lt;0.001 versu</w:t>
      </w:r>
      <w:r>
        <w:t>s placebo.</w:t>
      </w:r>
    </w:p>
    <w:p w14:paraId="4DE52D62" w14:textId="1BE117E6" w:rsidR="00AF3C3D" w:rsidRDefault="00AF3C3D" w:rsidP="00DE5B4C">
      <w:pPr>
        <w:pStyle w:val="TableDescription"/>
      </w:pPr>
      <w:proofErr w:type="gramStart"/>
      <w:r>
        <w:rPr>
          <w:position w:val="7"/>
          <w:sz w:val="13"/>
        </w:rPr>
        <w:t>b</w:t>
      </w:r>
      <w:proofErr w:type="gramEnd"/>
      <w:r w:rsidR="00EF0460">
        <w:rPr>
          <w:position w:val="7"/>
          <w:sz w:val="13"/>
        </w:rPr>
        <w:t xml:space="preserve"> </w:t>
      </w:r>
      <w:r>
        <w:t>p&lt;0.01 v</w:t>
      </w:r>
      <w:r w:rsidR="00516729">
        <w:t>ersu</w:t>
      </w:r>
      <w:r>
        <w:t>s placebo.</w:t>
      </w:r>
    </w:p>
    <w:p w14:paraId="6C0AD6AD" w14:textId="77777777" w:rsidR="00AF3C3D" w:rsidRDefault="00AF3C3D" w:rsidP="00F745D9">
      <w:r w:rsidRPr="00DE5B4C">
        <w:t xml:space="preserve">In the CRD3003 maintenance study, subjects who responded to </w:t>
      </w:r>
      <w:r w:rsidR="00CC3432" w:rsidRPr="00DE5B4C">
        <w:t>Stelara</w:t>
      </w:r>
      <w:r w:rsidRPr="00DE5B4C">
        <w:t xml:space="preserve"> induction achieved long-term, significant, and clinically meaningful benefit with </w:t>
      </w:r>
      <w:r w:rsidR="00CC3432" w:rsidRPr="00DE5B4C">
        <w:t>Stelara</w:t>
      </w:r>
      <w:r w:rsidR="00DE5B4C">
        <w:t xml:space="preserve"> (Table 11</w:t>
      </w:r>
      <w:r w:rsidRPr="00DE5B4C">
        <w:t xml:space="preserve">). The primary endpoint was clinical remission at Week 44 (52 weeks of treatment) and significantly greater proportions of subjects in the </w:t>
      </w:r>
      <w:r w:rsidR="00CC3432" w:rsidRPr="00DE5B4C">
        <w:t>Stelara</w:t>
      </w:r>
      <w:r w:rsidRPr="00DE5B4C">
        <w:t xml:space="preserve"> 90 mg q8w and q12w groups were in clinical remission at Week 44 compared to placebo</w:t>
      </w:r>
      <w:r>
        <w:t>.</w:t>
      </w:r>
    </w:p>
    <w:p w14:paraId="76DA8F06" w14:textId="77777777" w:rsidR="00AF3C3D" w:rsidRDefault="00AF3C3D" w:rsidP="00DE5B4C">
      <w:pPr>
        <w:pStyle w:val="TableTitle"/>
      </w:pPr>
      <w:r>
        <w:lastRenderedPageBreak/>
        <w:t>Table</w:t>
      </w:r>
      <w:r w:rsidR="00DE5B4C">
        <w:t xml:space="preserve"> 11:</w:t>
      </w:r>
      <w:r>
        <w:t xml:space="preserve"> Maintenance of Clinical Response and Remission in CRD3003 (Week 44; 52 weeks from initiation of the induction dose): randomised subjects</w:t>
      </w:r>
    </w:p>
    <w:tbl>
      <w:tblPr>
        <w:tblStyle w:val="TableTGAblue"/>
        <w:tblW w:w="8755" w:type="dxa"/>
        <w:tblLayout w:type="fixed"/>
        <w:tblLook w:val="01E0" w:firstRow="1" w:lastRow="1" w:firstColumn="1" w:lastColumn="1" w:noHBand="0" w:noVBand="0"/>
        <w:tblDescription w:val="Table 11 is a list of maintenance of Clinical Response and Remission in CRD3003 (Week 44; 52 weeks from initiation of the induction dose): randomised subjects"/>
      </w:tblPr>
      <w:tblGrid>
        <w:gridCol w:w="3227"/>
        <w:gridCol w:w="1701"/>
        <w:gridCol w:w="1701"/>
        <w:gridCol w:w="2126"/>
      </w:tblGrid>
      <w:tr w:rsidR="00DE5B4C" w:rsidRPr="00DE5B4C" w14:paraId="4ABD9A4B" w14:textId="77777777" w:rsidTr="00C03B0E">
        <w:trPr>
          <w:cnfStyle w:val="100000000000" w:firstRow="1" w:lastRow="0" w:firstColumn="0" w:lastColumn="0" w:oddVBand="0" w:evenVBand="0" w:oddHBand="0" w:evenHBand="0" w:firstRowFirstColumn="0" w:firstRowLastColumn="0" w:lastRowFirstColumn="0" w:lastRowLastColumn="0"/>
          <w:trHeight w:val="20"/>
        </w:trPr>
        <w:tc>
          <w:tcPr>
            <w:tcW w:w="3227" w:type="dxa"/>
          </w:tcPr>
          <w:p w14:paraId="39ADD3D7" w14:textId="77777777" w:rsidR="00AF3C3D" w:rsidRPr="00E52723" w:rsidRDefault="00AF3C3D" w:rsidP="00E52723">
            <w:pPr>
              <w:pStyle w:val="TableTitle"/>
              <w:rPr>
                <w:b/>
              </w:rPr>
            </w:pPr>
          </w:p>
        </w:tc>
        <w:tc>
          <w:tcPr>
            <w:tcW w:w="1701" w:type="dxa"/>
          </w:tcPr>
          <w:p w14:paraId="5CA49FEB" w14:textId="77777777" w:rsidR="00AF3C3D" w:rsidRPr="00E52723" w:rsidRDefault="00AF3C3D" w:rsidP="00E52723">
            <w:pPr>
              <w:pStyle w:val="TableTitle"/>
              <w:rPr>
                <w:b/>
              </w:rPr>
            </w:pPr>
            <w:r w:rsidRPr="00E52723">
              <w:rPr>
                <w:b/>
              </w:rPr>
              <w:t>Placebo</w:t>
            </w:r>
          </w:p>
        </w:tc>
        <w:tc>
          <w:tcPr>
            <w:tcW w:w="1701" w:type="dxa"/>
          </w:tcPr>
          <w:p w14:paraId="3297D8C8" w14:textId="77777777" w:rsidR="00AF3C3D" w:rsidRPr="00E52723" w:rsidRDefault="00CC3432" w:rsidP="00E52723">
            <w:pPr>
              <w:pStyle w:val="TableTitle"/>
              <w:rPr>
                <w:b/>
              </w:rPr>
            </w:pPr>
            <w:r w:rsidRPr="00E52723">
              <w:rPr>
                <w:b/>
              </w:rPr>
              <w:t>Stelara</w:t>
            </w:r>
          </w:p>
          <w:p w14:paraId="06644567" w14:textId="77777777" w:rsidR="00AF3C3D" w:rsidRPr="00E52723" w:rsidRDefault="00AF3C3D" w:rsidP="00E52723">
            <w:pPr>
              <w:pStyle w:val="TableTitle"/>
              <w:rPr>
                <w:b/>
              </w:rPr>
            </w:pPr>
            <w:r w:rsidRPr="00E52723">
              <w:rPr>
                <w:b/>
              </w:rPr>
              <w:t>90 mg q8w</w:t>
            </w:r>
          </w:p>
        </w:tc>
        <w:tc>
          <w:tcPr>
            <w:tcW w:w="2126" w:type="dxa"/>
          </w:tcPr>
          <w:p w14:paraId="4FC7449A" w14:textId="77777777" w:rsidR="00AF3C3D" w:rsidRPr="00E52723" w:rsidRDefault="00CC3432" w:rsidP="00E52723">
            <w:pPr>
              <w:pStyle w:val="TableTitle"/>
              <w:rPr>
                <w:b/>
              </w:rPr>
            </w:pPr>
            <w:r w:rsidRPr="00E52723">
              <w:rPr>
                <w:b/>
              </w:rPr>
              <w:t>Stelara</w:t>
            </w:r>
          </w:p>
          <w:p w14:paraId="2A9FAD06" w14:textId="77777777" w:rsidR="00AF3C3D" w:rsidRPr="00E52723" w:rsidRDefault="00AF3C3D" w:rsidP="00E52723">
            <w:pPr>
              <w:pStyle w:val="TableTitle"/>
              <w:rPr>
                <w:b/>
              </w:rPr>
            </w:pPr>
            <w:r w:rsidRPr="00E52723">
              <w:rPr>
                <w:b/>
              </w:rPr>
              <w:t>90 mg q12w</w:t>
            </w:r>
          </w:p>
        </w:tc>
      </w:tr>
      <w:tr w:rsidR="00AF3C3D" w14:paraId="6072BC0B" w14:textId="77777777" w:rsidTr="00C03B0E">
        <w:trPr>
          <w:trHeight w:val="20"/>
        </w:trPr>
        <w:tc>
          <w:tcPr>
            <w:tcW w:w="3227" w:type="dxa"/>
          </w:tcPr>
          <w:p w14:paraId="66D5044A" w14:textId="77777777" w:rsidR="00AF3C3D" w:rsidRPr="00DE5B4C" w:rsidRDefault="00AF3C3D" w:rsidP="00E52723">
            <w:pPr>
              <w:pStyle w:val="Tabletext"/>
            </w:pPr>
            <w:r w:rsidRPr="00DE5B4C">
              <w:t>Subjects randomised*</w:t>
            </w:r>
          </w:p>
        </w:tc>
        <w:tc>
          <w:tcPr>
            <w:tcW w:w="1701" w:type="dxa"/>
          </w:tcPr>
          <w:p w14:paraId="15126AF2" w14:textId="77777777" w:rsidR="00AF3C3D" w:rsidRPr="00DE5B4C" w:rsidRDefault="00AF3C3D" w:rsidP="00E52723">
            <w:pPr>
              <w:pStyle w:val="Tabletext"/>
              <w:jc w:val="center"/>
            </w:pPr>
            <w:r w:rsidRPr="00DE5B4C">
              <w:t>131</w:t>
            </w:r>
          </w:p>
        </w:tc>
        <w:tc>
          <w:tcPr>
            <w:tcW w:w="1701" w:type="dxa"/>
          </w:tcPr>
          <w:p w14:paraId="7E9D7424" w14:textId="77777777" w:rsidR="00AF3C3D" w:rsidRPr="00DE5B4C" w:rsidRDefault="00AF3C3D" w:rsidP="00E52723">
            <w:pPr>
              <w:pStyle w:val="Tabletext"/>
              <w:jc w:val="center"/>
            </w:pPr>
            <w:r w:rsidRPr="00DE5B4C">
              <w:t>128</w:t>
            </w:r>
          </w:p>
        </w:tc>
        <w:tc>
          <w:tcPr>
            <w:tcW w:w="2126" w:type="dxa"/>
          </w:tcPr>
          <w:p w14:paraId="797D8C0D" w14:textId="77777777" w:rsidR="00AF3C3D" w:rsidRPr="00DE5B4C" w:rsidRDefault="00AF3C3D" w:rsidP="00E52723">
            <w:pPr>
              <w:pStyle w:val="Tabletext"/>
              <w:jc w:val="center"/>
            </w:pPr>
            <w:r w:rsidRPr="00DE5B4C">
              <w:t>129</w:t>
            </w:r>
          </w:p>
        </w:tc>
      </w:tr>
      <w:tr w:rsidR="00AF3C3D" w14:paraId="0BA88D5D" w14:textId="77777777" w:rsidTr="00C03B0E">
        <w:trPr>
          <w:trHeight w:val="20"/>
        </w:trPr>
        <w:tc>
          <w:tcPr>
            <w:tcW w:w="3227" w:type="dxa"/>
          </w:tcPr>
          <w:p w14:paraId="2CA4CC70" w14:textId="77777777" w:rsidR="00AF3C3D" w:rsidRPr="00DE5B4C" w:rsidRDefault="00AF3C3D" w:rsidP="00E52723">
            <w:pPr>
              <w:pStyle w:val="Tabletext"/>
            </w:pPr>
            <w:r w:rsidRPr="00DE5B4C">
              <w:t>Clinical Remission</w:t>
            </w:r>
          </w:p>
        </w:tc>
        <w:tc>
          <w:tcPr>
            <w:tcW w:w="1701" w:type="dxa"/>
          </w:tcPr>
          <w:p w14:paraId="4943A161" w14:textId="77777777" w:rsidR="00AF3C3D" w:rsidRPr="00DE5B4C" w:rsidRDefault="00AF3C3D" w:rsidP="00E52723">
            <w:pPr>
              <w:pStyle w:val="Tabletext"/>
              <w:jc w:val="center"/>
            </w:pPr>
            <w:r w:rsidRPr="00DE5B4C">
              <w:t>36%</w:t>
            </w:r>
          </w:p>
        </w:tc>
        <w:tc>
          <w:tcPr>
            <w:tcW w:w="1701" w:type="dxa"/>
          </w:tcPr>
          <w:p w14:paraId="4292E506" w14:textId="77777777" w:rsidR="00AF3C3D" w:rsidRPr="00DE5B4C" w:rsidRDefault="00AF3C3D" w:rsidP="00E52723">
            <w:pPr>
              <w:pStyle w:val="Tabletext"/>
              <w:jc w:val="center"/>
            </w:pPr>
            <w:r w:rsidRPr="00DE5B4C">
              <w:t>53%</w:t>
            </w:r>
            <w:r w:rsidRPr="00DE5B4C">
              <w:rPr>
                <w:position w:val="7"/>
              </w:rPr>
              <w:t>a</w:t>
            </w:r>
          </w:p>
        </w:tc>
        <w:tc>
          <w:tcPr>
            <w:tcW w:w="2126" w:type="dxa"/>
          </w:tcPr>
          <w:p w14:paraId="1868E868" w14:textId="77777777" w:rsidR="00AF3C3D" w:rsidRPr="00DE5B4C" w:rsidRDefault="00AF3C3D" w:rsidP="00E52723">
            <w:pPr>
              <w:pStyle w:val="Tabletext"/>
              <w:jc w:val="center"/>
            </w:pPr>
            <w:r w:rsidRPr="00DE5B4C">
              <w:t>49%</w:t>
            </w:r>
            <w:r w:rsidRPr="00DE5B4C">
              <w:rPr>
                <w:position w:val="7"/>
              </w:rPr>
              <w:t>b</w:t>
            </w:r>
          </w:p>
        </w:tc>
      </w:tr>
      <w:tr w:rsidR="00AF3C3D" w14:paraId="3B2D4FF9" w14:textId="77777777" w:rsidTr="00C03B0E">
        <w:trPr>
          <w:trHeight w:val="20"/>
        </w:trPr>
        <w:tc>
          <w:tcPr>
            <w:tcW w:w="3227" w:type="dxa"/>
          </w:tcPr>
          <w:p w14:paraId="5C43E95F" w14:textId="77777777" w:rsidR="00AF3C3D" w:rsidRPr="00DE5B4C" w:rsidRDefault="00AF3C3D" w:rsidP="00E52723">
            <w:pPr>
              <w:pStyle w:val="Tabletext"/>
            </w:pPr>
            <w:r w:rsidRPr="00DE5B4C">
              <w:t>Clinical Response</w:t>
            </w:r>
          </w:p>
        </w:tc>
        <w:tc>
          <w:tcPr>
            <w:tcW w:w="1701" w:type="dxa"/>
          </w:tcPr>
          <w:p w14:paraId="345CD161" w14:textId="77777777" w:rsidR="00AF3C3D" w:rsidRPr="00DE5B4C" w:rsidRDefault="00AF3C3D" w:rsidP="00E52723">
            <w:pPr>
              <w:pStyle w:val="Tabletext"/>
              <w:jc w:val="center"/>
            </w:pPr>
            <w:r w:rsidRPr="00DE5B4C">
              <w:t>44%</w:t>
            </w:r>
          </w:p>
        </w:tc>
        <w:tc>
          <w:tcPr>
            <w:tcW w:w="1701" w:type="dxa"/>
          </w:tcPr>
          <w:p w14:paraId="67D95758" w14:textId="77777777" w:rsidR="00AF3C3D" w:rsidRPr="00DE5B4C" w:rsidRDefault="00AF3C3D" w:rsidP="00E52723">
            <w:pPr>
              <w:pStyle w:val="Tabletext"/>
              <w:jc w:val="center"/>
            </w:pPr>
            <w:r w:rsidRPr="00DE5B4C">
              <w:t>59%</w:t>
            </w:r>
            <w:r w:rsidRPr="00DE5B4C">
              <w:rPr>
                <w:position w:val="7"/>
              </w:rPr>
              <w:t>b</w:t>
            </w:r>
          </w:p>
        </w:tc>
        <w:tc>
          <w:tcPr>
            <w:tcW w:w="2126" w:type="dxa"/>
          </w:tcPr>
          <w:p w14:paraId="17F8B465" w14:textId="77777777" w:rsidR="00AF3C3D" w:rsidRPr="00DE5B4C" w:rsidRDefault="00AF3C3D" w:rsidP="00E52723">
            <w:pPr>
              <w:pStyle w:val="Tabletext"/>
              <w:jc w:val="center"/>
            </w:pPr>
            <w:r w:rsidRPr="00DE5B4C">
              <w:t>58%</w:t>
            </w:r>
            <w:r w:rsidRPr="00DE5B4C">
              <w:rPr>
                <w:position w:val="7"/>
              </w:rPr>
              <w:t>b</w:t>
            </w:r>
          </w:p>
        </w:tc>
      </w:tr>
      <w:tr w:rsidR="00AF3C3D" w14:paraId="1D6A7097" w14:textId="77777777" w:rsidTr="00C03B0E">
        <w:trPr>
          <w:trHeight w:val="20"/>
        </w:trPr>
        <w:tc>
          <w:tcPr>
            <w:tcW w:w="3227" w:type="dxa"/>
          </w:tcPr>
          <w:p w14:paraId="5461CFA8" w14:textId="77777777" w:rsidR="00AF3C3D" w:rsidRPr="00DE5B4C" w:rsidRDefault="00AF3C3D" w:rsidP="00E52723">
            <w:pPr>
              <w:pStyle w:val="Tabletext"/>
            </w:pPr>
            <w:r w:rsidRPr="00DE5B4C">
              <w:t>Corticosteroid-Free Clinical Remission</w:t>
            </w:r>
          </w:p>
        </w:tc>
        <w:tc>
          <w:tcPr>
            <w:tcW w:w="1701" w:type="dxa"/>
          </w:tcPr>
          <w:p w14:paraId="476855D2" w14:textId="77777777" w:rsidR="00AF3C3D" w:rsidRPr="00DE5B4C" w:rsidRDefault="00AF3C3D" w:rsidP="00E52723">
            <w:pPr>
              <w:pStyle w:val="Tabletext"/>
              <w:jc w:val="center"/>
            </w:pPr>
            <w:r w:rsidRPr="00DE5B4C">
              <w:t>30%</w:t>
            </w:r>
          </w:p>
        </w:tc>
        <w:tc>
          <w:tcPr>
            <w:tcW w:w="1701" w:type="dxa"/>
          </w:tcPr>
          <w:p w14:paraId="08B12173" w14:textId="77777777" w:rsidR="00AF3C3D" w:rsidRPr="00DE5B4C" w:rsidRDefault="00AF3C3D" w:rsidP="00E52723">
            <w:pPr>
              <w:pStyle w:val="Tabletext"/>
              <w:jc w:val="center"/>
            </w:pPr>
            <w:r w:rsidRPr="00DE5B4C">
              <w:t>47%</w:t>
            </w:r>
            <w:r w:rsidRPr="00DE5B4C">
              <w:rPr>
                <w:position w:val="7"/>
              </w:rPr>
              <w:t>a</w:t>
            </w:r>
          </w:p>
        </w:tc>
        <w:tc>
          <w:tcPr>
            <w:tcW w:w="2126" w:type="dxa"/>
          </w:tcPr>
          <w:p w14:paraId="0E5CE92F" w14:textId="77777777" w:rsidR="00AF3C3D" w:rsidRPr="00DE5B4C" w:rsidRDefault="00AF3C3D" w:rsidP="00E52723">
            <w:pPr>
              <w:pStyle w:val="Tabletext"/>
              <w:jc w:val="center"/>
            </w:pPr>
            <w:r w:rsidRPr="00DE5B4C">
              <w:t>43%</w:t>
            </w:r>
            <w:r w:rsidRPr="00DE5B4C">
              <w:rPr>
                <w:position w:val="7"/>
              </w:rPr>
              <w:t>c</w:t>
            </w:r>
          </w:p>
        </w:tc>
      </w:tr>
      <w:tr w:rsidR="00AF3C3D" w14:paraId="6652E413" w14:textId="77777777" w:rsidTr="00C03B0E">
        <w:trPr>
          <w:trHeight w:val="20"/>
        </w:trPr>
        <w:tc>
          <w:tcPr>
            <w:tcW w:w="3227" w:type="dxa"/>
          </w:tcPr>
          <w:p w14:paraId="176E1365" w14:textId="77777777" w:rsidR="00AF3C3D" w:rsidRPr="00DE5B4C" w:rsidRDefault="00AF3C3D" w:rsidP="00E52723">
            <w:pPr>
              <w:pStyle w:val="Tabletext"/>
            </w:pPr>
            <w:r w:rsidRPr="00DE5B4C">
              <w:t>Sustained Clinical Remission</w:t>
            </w:r>
          </w:p>
        </w:tc>
        <w:tc>
          <w:tcPr>
            <w:tcW w:w="1701" w:type="dxa"/>
          </w:tcPr>
          <w:p w14:paraId="74EAC88E" w14:textId="77777777" w:rsidR="00AF3C3D" w:rsidRPr="00DE5B4C" w:rsidRDefault="00AF3C3D" w:rsidP="00E52723">
            <w:pPr>
              <w:pStyle w:val="Tabletext"/>
              <w:jc w:val="center"/>
            </w:pPr>
            <w:r w:rsidRPr="00DE5B4C">
              <w:t>26%</w:t>
            </w:r>
          </w:p>
        </w:tc>
        <w:tc>
          <w:tcPr>
            <w:tcW w:w="1701" w:type="dxa"/>
          </w:tcPr>
          <w:p w14:paraId="6E1CD8A2" w14:textId="77777777" w:rsidR="00AF3C3D" w:rsidRPr="00DE5B4C" w:rsidRDefault="00AF3C3D" w:rsidP="00E52723">
            <w:pPr>
              <w:pStyle w:val="Tabletext"/>
              <w:jc w:val="center"/>
            </w:pPr>
            <w:r w:rsidRPr="00DE5B4C">
              <w:t>46%</w:t>
            </w:r>
            <w:r w:rsidRPr="00DE5B4C">
              <w:rPr>
                <w:position w:val="7"/>
              </w:rPr>
              <w:t>c</w:t>
            </w:r>
          </w:p>
        </w:tc>
        <w:tc>
          <w:tcPr>
            <w:tcW w:w="2126" w:type="dxa"/>
          </w:tcPr>
          <w:p w14:paraId="63AFB22A" w14:textId="77777777" w:rsidR="00AF3C3D" w:rsidRPr="00DE5B4C" w:rsidRDefault="00AF3C3D" w:rsidP="00E52723">
            <w:pPr>
              <w:pStyle w:val="Tabletext"/>
              <w:jc w:val="center"/>
            </w:pPr>
            <w:r w:rsidRPr="00DE5B4C">
              <w:t>40%</w:t>
            </w:r>
            <w:r w:rsidRPr="00DE5B4C">
              <w:rPr>
                <w:position w:val="7"/>
              </w:rPr>
              <w:t>c</w:t>
            </w:r>
          </w:p>
        </w:tc>
      </w:tr>
      <w:tr w:rsidR="00AF3C3D" w14:paraId="33F338F4" w14:textId="77777777" w:rsidTr="00C03B0E">
        <w:trPr>
          <w:trHeight w:val="20"/>
        </w:trPr>
        <w:tc>
          <w:tcPr>
            <w:tcW w:w="3227" w:type="dxa"/>
          </w:tcPr>
          <w:p w14:paraId="15049F8C" w14:textId="77777777" w:rsidR="00AF3C3D" w:rsidRPr="00DE5B4C" w:rsidRDefault="00AF3C3D" w:rsidP="00E52723">
            <w:pPr>
              <w:pStyle w:val="Tabletext"/>
            </w:pPr>
            <w:r w:rsidRPr="00DE5B4C">
              <w:t>Clinical Remission in patients:</w:t>
            </w:r>
          </w:p>
        </w:tc>
        <w:tc>
          <w:tcPr>
            <w:tcW w:w="1701" w:type="dxa"/>
          </w:tcPr>
          <w:p w14:paraId="6D696DE3" w14:textId="77777777" w:rsidR="00AF3C3D" w:rsidRPr="00DE5B4C" w:rsidRDefault="00AF3C3D" w:rsidP="00E52723">
            <w:pPr>
              <w:pStyle w:val="Tabletext"/>
              <w:jc w:val="center"/>
            </w:pPr>
          </w:p>
        </w:tc>
        <w:tc>
          <w:tcPr>
            <w:tcW w:w="1701" w:type="dxa"/>
          </w:tcPr>
          <w:p w14:paraId="00A987DE" w14:textId="77777777" w:rsidR="00AF3C3D" w:rsidRPr="00DE5B4C" w:rsidRDefault="00AF3C3D" w:rsidP="00E52723">
            <w:pPr>
              <w:pStyle w:val="Tabletext"/>
              <w:jc w:val="center"/>
            </w:pPr>
          </w:p>
        </w:tc>
        <w:tc>
          <w:tcPr>
            <w:tcW w:w="2126" w:type="dxa"/>
          </w:tcPr>
          <w:p w14:paraId="02CE006E" w14:textId="77777777" w:rsidR="00AF3C3D" w:rsidRPr="00DE5B4C" w:rsidRDefault="00AF3C3D" w:rsidP="00E52723">
            <w:pPr>
              <w:pStyle w:val="Tabletext"/>
              <w:jc w:val="center"/>
            </w:pPr>
          </w:p>
        </w:tc>
      </w:tr>
      <w:tr w:rsidR="00AF3C3D" w14:paraId="2A1EB5B7" w14:textId="77777777" w:rsidTr="00C03B0E">
        <w:trPr>
          <w:trHeight w:val="20"/>
        </w:trPr>
        <w:tc>
          <w:tcPr>
            <w:tcW w:w="3227" w:type="dxa"/>
          </w:tcPr>
          <w:p w14:paraId="14DCC870" w14:textId="77777777" w:rsidR="00AF3C3D" w:rsidRPr="00DE5B4C" w:rsidRDefault="00AF3C3D" w:rsidP="00E52723">
            <w:pPr>
              <w:pStyle w:val="Tabletext"/>
            </w:pPr>
            <w:r w:rsidRPr="00DE5B4C">
              <w:t>in remission at the start of maintenance therapy</w:t>
            </w:r>
          </w:p>
        </w:tc>
        <w:tc>
          <w:tcPr>
            <w:tcW w:w="1701" w:type="dxa"/>
          </w:tcPr>
          <w:p w14:paraId="75022911" w14:textId="77777777" w:rsidR="00AF3C3D" w:rsidRPr="00DE5B4C" w:rsidRDefault="00AF3C3D" w:rsidP="00E52723">
            <w:pPr>
              <w:pStyle w:val="Tabletext"/>
              <w:jc w:val="center"/>
            </w:pPr>
            <w:r w:rsidRPr="00DE5B4C">
              <w:t>46% (36/79)</w:t>
            </w:r>
          </w:p>
        </w:tc>
        <w:tc>
          <w:tcPr>
            <w:tcW w:w="1701" w:type="dxa"/>
          </w:tcPr>
          <w:p w14:paraId="6EEE7875" w14:textId="77777777" w:rsidR="00AF3C3D" w:rsidRPr="00DE5B4C" w:rsidRDefault="00AF3C3D" w:rsidP="00E52723">
            <w:pPr>
              <w:pStyle w:val="Tabletext"/>
              <w:jc w:val="center"/>
            </w:pPr>
            <w:r w:rsidRPr="00DE5B4C">
              <w:t>67% (52/78)</w:t>
            </w:r>
            <w:r w:rsidRPr="00DE5B4C">
              <w:rPr>
                <w:position w:val="7"/>
              </w:rPr>
              <w:t>a</w:t>
            </w:r>
          </w:p>
        </w:tc>
        <w:tc>
          <w:tcPr>
            <w:tcW w:w="2126" w:type="dxa"/>
          </w:tcPr>
          <w:p w14:paraId="4D900BBA" w14:textId="77777777" w:rsidR="00AF3C3D" w:rsidRPr="00DE5B4C" w:rsidRDefault="00AF3C3D" w:rsidP="00E52723">
            <w:pPr>
              <w:pStyle w:val="Tabletext"/>
              <w:jc w:val="center"/>
            </w:pPr>
            <w:r w:rsidRPr="00DE5B4C">
              <w:t>56% (44/78)</w:t>
            </w:r>
          </w:p>
        </w:tc>
      </w:tr>
      <w:tr w:rsidR="00AF3C3D" w14:paraId="2B7CCB79" w14:textId="77777777" w:rsidTr="00C03B0E">
        <w:trPr>
          <w:trHeight w:val="20"/>
        </w:trPr>
        <w:tc>
          <w:tcPr>
            <w:tcW w:w="3227" w:type="dxa"/>
          </w:tcPr>
          <w:p w14:paraId="772DEA78" w14:textId="77777777" w:rsidR="00AF3C3D" w:rsidRPr="00DE5B4C" w:rsidRDefault="00AF3C3D" w:rsidP="00E52723">
            <w:pPr>
              <w:pStyle w:val="Tabletext"/>
            </w:pPr>
            <w:r w:rsidRPr="00DE5B4C">
              <w:t>who are TNF antagonist- refractory/intolerant</w:t>
            </w:r>
          </w:p>
        </w:tc>
        <w:tc>
          <w:tcPr>
            <w:tcW w:w="1701" w:type="dxa"/>
          </w:tcPr>
          <w:p w14:paraId="3788F841" w14:textId="77777777" w:rsidR="00AF3C3D" w:rsidRPr="00DE5B4C" w:rsidRDefault="00AF3C3D" w:rsidP="00E52723">
            <w:pPr>
              <w:pStyle w:val="Tabletext"/>
              <w:jc w:val="center"/>
            </w:pPr>
            <w:r w:rsidRPr="00DE5B4C">
              <w:t>26% (16/61)</w:t>
            </w:r>
          </w:p>
        </w:tc>
        <w:tc>
          <w:tcPr>
            <w:tcW w:w="1701" w:type="dxa"/>
          </w:tcPr>
          <w:p w14:paraId="1CA8966E" w14:textId="77777777" w:rsidR="00AF3C3D" w:rsidRPr="00DE5B4C" w:rsidRDefault="00AF3C3D" w:rsidP="00E52723">
            <w:pPr>
              <w:pStyle w:val="Tabletext"/>
              <w:jc w:val="center"/>
            </w:pPr>
            <w:r w:rsidRPr="00DE5B4C">
              <w:t>41% (23/56)</w:t>
            </w:r>
          </w:p>
        </w:tc>
        <w:tc>
          <w:tcPr>
            <w:tcW w:w="2126" w:type="dxa"/>
          </w:tcPr>
          <w:p w14:paraId="0A9FB203" w14:textId="77777777" w:rsidR="00AF3C3D" w:rsidRPr="00DE5B4C" w:rsidRDefault="00AF3C3D" w:rsidP="00E52723">
            <w:pPr>
              <w:pStyle w:val="Tabletext"/>
              <w:jc w:val="center"/>
            </w:pPr>
            <w:r w:rsidRPr="00DE5B4C">
              <w:t>39% (22/57)</w:t>
            </w:r>
          </w:p>
        </w:tc>
      </w:tr>
      <w:tr w:rsidR="00AF3C3D" w14:paraId="0FBE2B80" w14:textId="77777777" w:rsidTr="00C03B0E">
        <w:trPr>
          <w:trHeight w:val="20"/>
        </w:trPr>
        <w:tc>
          <w:tcPr>
            <w:tcW w:w="3227" w:type="dxa"/>
          </w:tcPr>
          <w:p w14:paraId="6D96A524" w14:textId="77777777" w:rsidR="00AF3C3D" w:rsidRPr="00DE5B4C" w:rsidRDefault="00AF3C3D" w:rsidP="00E52723">
            <w:pPr>
              <w:pStyle w:val="Tabletext"/>
            </w:pPr>
            <w:r w:rsidRPr="00DE5B4C">
              <w:t>who failed conventional therapy</w:t>
            </w:r>
          </w:p>
        </w:tc>
        <w:tc>
          <w:tcPr>
            <w:tcW w:w="1701" w:type="dxa"/>
          </w:tcPr>
          <w:p w14:paraId="474A3B28" w14:textId="77777777" w:rsidR="00AF3C3D" w:rsidRPr="00DE5B4C" w:rsidRDefault="00AF3C3D" w:rsidP="00E52723">
            <w:pPr>
              <w:pStyle w:val="Tabletext"/>
              <w:jc w:val="center"/>
            </w:pPr>
            <w:r w:rsidRPr="00DE5B4C">
              <w:t>44% (31/70)</w:t>
            </w:r>
          </w:p>
        </w:tc>
        <w:tc>
          <w:tcPr>
            <w:tcW w:w="1701" w:type="dxa"/>
          </w:tcPr>
          <w:p w14:paraId="05CC48B9" w14:textId="77777777" w:rsidR="00AF3C3D" w:rsidRPr="00DE5B4C" w:rsidRDefault="00AF3C3D" w:rsidP="00E52723">
            <w:pPr>
              <w:pStyle w:val="Tabletext"/>
              <w:jc w:val="center"/>
            </w:pPr>
            <w:r w:rsidRPr="00DE5B4C">
              <w:t>63% (45/72)</w:t>
            </w:r>
            <w:r w:rsidRPr="00DE5B4C">
              <w:rPr>
                <w:position w:val="7"/>
              </w:rPr>
              <w:t>c</w:t>
            </w:r>
          </w:p>
        </w:tc>
        <w:tc>
          <w:tcPr>
            <w:tcW w:w="2126" w:type="dxa"/>
          </w:tcPr>
          <w:p w14:paraId="090E96DC" w14:textId="77777777" w:rsidR="00AF3C3D" w:rsidRPr="00DE5B4C" w:rsidRDefault="00AF3C3D" w:rsidP="00E52723">
            <w:pPr>
              <w:pStyle w:val="Tabletext"/>
              <w:jc w:val="center"/>
            </w:pPr>
            <w:r w:rsidRPr="00DE5B4C">
              <w:t>57% (41/72)</w:t>
            </w:r>
          </w:p>
        </w:tc>
      </w:tr>
      <w:tr w:rsidR="00AF3C3D" w14:paraId="0B5281E5" w14:textId="77777777" w:rsidTr="00C03B0E">
        <w:trPr>
          <w:trHeight w:val="20"/>
        </w:trPr>
        <w:tc>
          <w:tcPr>
            <w:tcW w:w="3227" w:type="dxa"/>
          </w:tcPr>
          <w:p w14:paraId="0D977C1C" w14:textId="77777777" w:rsidR="00AF3C3D" w:rsidRPr="00DE5B4C" w:rsidRDefault="00AF3C3D" w:rsidP="00E52723">
            <w:pPr>
              <w:pStyle w:val="Tabletext"/>
            </w:pPr>
            <w:r w:rsidRPr="00DE5B4C">
              <w:t>who are TNF antagonist-naïve</w:t>
            </w:r>
          </w:p>
        </w:tc>
        <w:tc>
          <w:tcPr>
            <w:tcW w:w="1701" w:type="dxa"/>
          </w:tcPr>
          <w:p w14:paraId="0780F0E7" w14:textId="77777777" w:rsidR="00AF3C3D" w:rsidRPr="00DE5B4C" w:rsidRDefault="00AF3C3D" w:rsidP="00E52723">
            <w:pPr>
              <w:pStyle w:val="Tabletext"/>
              <w:jc w:val="center"/>
            </w:pPr>
            <w:r w:rsidRPr="00DE5B4C">
              <w:t>49% (25/51)</w:t>
            </w:r>
          </w:p>
        </w:tc>
        <w:tc>
          <w:tcPr>
            <w:tcW w:w="1701" w:type="dxa"/>
          </w:tcPr>
          <w:p w14:paraId="78A68044" w14:textId="77777777" w:rsidR="00AF3C3D" w:rsidRPr="00DE5B4C" w:rsidRDefault="00AF3C3D" w:rsidP="00E52723">
            <w:pPr>
              <w:pStyle w:val="Tabletext"/>
              <w:jc w:val="center"/>
            </w:pPr>
            <w:r w:rsidRPr="00DE5B4C">
              <w:t>65% (34/52)</w:t>
            </w:r>
            <w:r w:rsidRPr="00DE5B4C">
              <w:rPr>
                <w:position w:val="7"/>
              </w:rPr>
              <w:t>c</w:t>
            </w:r>
          </w:p>
        </w:tc>
        <w:tc>
          <w:tcPr>
            <w:tcW w:w="2126" w:type="dxa"/>
          </w:tcPr>
          <w:p w14:paraId="2693B34E" w14:textId="77777777" w:rsidR="00AF3C3D" w:rsidRPr="00DE5B4C" w:rsidRDefault="00AF3C3D" w:rsidP="00E52723">
            <w:pPr>
              <w:pStyle w:val="Tabletext"/>
              <w:jc w:val="center"/>
            </w:pPr>
            <w:r w:rsidRPr="00DE5B4C">
              <w:t>57% (30/53)</w:t>
            </w:r>
          </w:p>
        </w:tc>
      </w:tr>
    </w:tbl>
    <w:p w14:paraId="774DD766" w14:textId="77777777" w:rsidR="00AF3C3D" w:rsidRDefault="00AF3C3D" w:rsidP="00DE5B4C">
      <w:pPr>
        <w:pStyle w:val="TableDescription"/>
      </w:pPr>
      <w:r>
        <w:t>Clinical remission=CDAI score &lt;150; clinical response=CDAI of at least 100 points or being in clinical remission; sustained clinical remission=clinical remission at weeks 36, 40 and 44</w:t>
      </w:r>
    </w:p>
    <w:p w14:paraId="004D6084" w14:textId="77777777" w:rsidR="00AF3C3D" w:rsidRDefault="00AF3C3D" w:rsidP="00DE5B4C">
      <w:pPr>
        <w:pStyle w:val="TableDescription"/>
      </w:pPr>
      <w:r>
        <w:t>* Subjects who were in clinical response to ustekinumab induction dosing at start of maintenance therapy; excludes subjects randomised before study restart.</w:t>
      </w:r>
    </w:p>
    <w:p w14:paraId="337C5031" w14:textId="77777777" w:rsidR="00AF3C3D" w:rsidRDefault="00AF3C3D" w:rsidP="00DE5B4C">
      <w:pPr>
        <w:pStyle w:val="TableDescription"/>
      </w:pPr>
      <w:r>
        <w:t xml:space="preserve">† Patients who achieved a clinical response to </w:t>
      </w:r>
      <w:r w:rsidR="00CC3432">
        <w:t>Stelara</w:t>
      </w:r>
      <w:r>
        <w:t xml:space="preserve"> at start of maintenance therapy</w:t>
      </w:r>
    </w:p>
    <w:p w14:paraId="431D3009" w14:textId="77777777" w:rsidR="00AF3C3D" w:rsidRDefault="00AF3C3D" w:rsidP="00DE5B4C">
      <w:pPr>
        <w:pStyle w:val="TableDescription"/>
      </w:pPr>
      <w:proofErr w:type="gramStart"/>
      <w:r>
        <w:rPr>
          <w:position w:val="7"/>
          <w:sz w:val="13"/>
        </w:rPr>
        <w:t>a</w:t>
      </w:r>
      <w:proofErr w:type="gramEnd"/>
      <w:r>
        <w:rPr>
          <w:position w:val="7"/>
          <w:sz w:val="13"/>
        </w:rPr>
        <w:t xml:space="preserve"> </w:t>
      </w:r>
      <w:r>
        <w:t>p &lt; 0.01</w:t>
      </w:r>
    </w:p>
    <w:p w14:paraId="51C88F07" w14:textId="77777777" w:rsidR="00AF3C3D" w:rsidRDefault="00AF3C3D" w:rsidP="00DE5B4C">
      <w:pPr>
        <w:pStyle w:val="TableDescription"/>
      </w:pPr>
      <w:proofErr w:type="gramStart"/>
      <w:r>
        <w:rPr>
          <w:position w:val="7"/>
          <w:sz w:val="13"/>
        </w:rPr>
        <w:t>b</w:t>
      </w:r>
      <w:proofErr w:type="gramEnd"/>
      <w:r>
        <w:rPr>
          <w:position w:val="7"/>
          <w:sz w:val="13"/>
        </w:rPr>
        <w:t xml:space="preserve"> </w:t>
      </w:r>
      <w:r>
        <w:t>p &lt; 0.05</w:t>
      </w:r>
    </w:p>
    <w:p w14:paraId="1623DD82" w14:textId="77777777" w:rsidR="00AF3C3D" w:rsidRDefault="00AF3C3D" w:rsidP="00DE5B4C">
      <w:pPr>
        <w:pStyle w:val="TableDescription"/>
      </w:pPr>
      <w:proofErr w:type="gramStart"/>
      <w:r>
        <w:rPr>
          <w:position w:val="7"/>
          <w:sz w:val="13"/>
        </w:rPr>
        <w:t>c</w:t>
      </w:r>
      <w:proofErr w:type="gramEnd"/>
      <w:r>
        <w:rPr>
          <w:position w:val="7"/>
          <w:sz w:val="13"/>
        </w:rPr>
        <w:t xml:space="preserve"> </w:t>
      </w:r>
      <w:r>
        <w:t>nominally significant (p&lt;0.05)</w:t>
      </w:r>
    </w:p>
    <w:p w14:paraId="78F56F28" w14:textId="77777777" w:rsidR="00AF3C3D" w:rsidRDefault="00DE5B4C" w:rsidP="00F745D9">
      <w:r>
        <w:t>In summary, the s</w:t>
      </w:r>
      <w:r w:rsidR="00AF3C3D">
        <w:t xml:space="preserve">ponsor has demonstrated that </w:t>
      </w:r>
      <w:r w:rsidR="00CC3432">
        <w:t>Stelara</w:t>
      </w:r>
      <w:r w:rsidR="00AF3C3D">
        <w:t xml:space="preserve"> is significantly effective in inducing clinical remission of Crohn’s Disease in patients who have failed or not tolerated conventional therapies, including azathioprine, 6-mercaptopurine, corticosteroids and methotrexate.</w:t>
      </w:r>
      <w:r w:rsidR="00AF3C3D">
        <w:rPr>
          <w:spacing w:val="-26"/>
        </w:rPr>
        <w:t xml:space="preserve"> </w:t>
      </w:r>
      <w:r w:rsidR="00CC3432">
        <w:t>Stelara</w:t>
      </w:r>
      <w:r w:rsidR="00AF3C3D">
        <w:t xml:space="preserve"> is also significantly effective in inducing clinical remission of Crohn’s Disease in patients who failed treatment with</w:t>
      </w:r>
      <w:r>
        <w:t xml:space="preserve"> or did not tolerate</w:t>
      </w:r>
      <w:r w:rsidR="00AF3C3D">
        <w:t xml:space="preserve"> one or more TNF</w:t>
      </w:r>
      <w:r w:rsidR="00AF3C3D">
        <w:rPr>
          <w:spacing w:val="-13"/>
        </w:rPr>
        <w:t xml:space="preserve"> </w:t>
      </w:r>
      <w:r w:rsidR="00AF3C3D">
        <w:t>antagonist.</w:t>
      </w:r>
    </w:p>
    <w:p w14:paraId="7AB654CD" w14:textId="77777777" w:rsidR="00AF3C3D" w:rsidRDefault="00AF3C3D" w:rsidP="00DE5B4C">
      <w:r>
        <w:t>Approved indications should reflect the data available in the patient populations studied, as is the case with the indications granted for the other biologic treatment options for Crohn’s Disease in Australia (notably adalimumab, infliximab and vedolizumab). In support of the Sponsor’s proposed indication, the clinical evaluator commen</w:t>
      </w:r>
      <w:r w:rsidR="00DE5B4C">
        <w:t>ted during the evaluation that’</w:t>
      </w:r>
      <w:r>
        <w:rPr>
          <w:i/>
        </w:rPr>
        <w:t>…importantly, similar treatment effects were observed regardless of prior treatment history (i.e., in both conventional therapy failures, including those naïve to prior TNF antagonists and in TNF antagonist-refractory</w:t>
      </w:r>
      <w:r>
        <w:rPr>
          <w:i/>
          <w:spacing w:val="-14"/>
        </w:rPr>
        <w:t xml:space="preserve"> </w:t>
      </w:r>
      <w:r>
        <w:rPr>
          <w:i/>
        </w:rPr>
        <w:t>subjects)</w:t>
      </w:r>
      <w:r w:rsidR="00DE5B4C">
        <w:t>’</w:t>
      </w:r>
      <w:r>
        <w:t>.</w:t>
      </w:r>
      <w:r>
        <w:rPr>
          <w:spacing w:val="35"/>
        </w:rPr>
        <w:t xml:space="preserve"> </w:t>
      </w:r>
      <w:r>
        <w:t>Any</w:t>
      </w:r>
      <w:r>
        <w:rPr>
          <w:spacing w:val="-16"/>
        </w:rPr>
        <w:t xml:space="preserve"> </w:t>
      </w:r>
      <w:r>
        <w:t>restriction</w:t>
      </w:r>
      <w:r>
        <w:rPr>
          <w:spacing w:val="-13"/>
        </w:rPr>
        <w:t xml:space="preserve"> </w:t>
      </w:r>
      <w:r>
        <w:t>of</w:t>
      </w:r>
      <w:r>
        <w:rPr>
          <w:spacing w:val="-14"/>
        </w:rPr>
        <w:t xml:space="preserve"> </w:t>
      </w:r>
      <w:r>
        <w:t>access</w:t>
      </w:r>
      <w:r>
        <w:rPr>
          <w:spacing w:val="-13"/>
        </w:rPr>
        <w:t xml:space="preserve"> </w:t>
      </w:r>
      <w:r>
        <w:t>to</w:t>
      </w:r>
      <w:r>
        <w:rPr>
          <w:spacing w:val="-13"/>
        </w:rPr>
        <w:t xml:space="preserve"> </w:t>
      </w:r>
      <w:r w:rsidR="00CC3432">
        <w:t>Stelara</w:t>
      </w:r>
      <w:r>
        <w:rPr>
          <w:spacing w:val="-14"/>
        </w:rPr>
        <w:t xml:space="preserve"> </w:t>
      </w:r>
      <w:r>
        <w:t>to</w:t>
      </w:r>
      <w:r>
        <w:rPr>
          <w:spacing w:val="-11"/>
        </w:rPr>
        <w:t xml:space="preserve"> </w:t>
      </w:r>
      <w:r>
        <w:t>only</w:t>
      </w:r>
      <w:r>
        <w:rPr>
          <w:spacing w:val="-18"/>
        </w:rPr>
        <w:t xml:space="preserve"> </w:t>
      </w:r>
      <w:r>
        <w:t>patients</w:t>
      </w:r>
      <w:r>
        <w:rPr>
          <w:spacing w:val="-13"/>
        </w:rPr>
        <w:t xml:space="preserve"> </w:t>
      </w:r>
      <w:r>
        <w:t>who</w:t>
      </w:r>
      <w:r>
        <w:rPr>
          <w:spacing w:val="-14"/>
        </w:rPr>
        <w:t xml:space="preserve"> </w:t>
      </w:r>
      <w:r>
        <w:t xml:space="preserve">have failed or who are intolerant to one or more TNF antagonist therapies is not an accurate representation of the data submitted by the </w:t>
      </w:r>
      <w:r w:rsidR="00DE5B4C">
        <w:lastRenderedPageBreak/>
        <w:t>s</w:t>
      </w:r>
      <w:r>
        <w:t>ponsor, inconsistent with other biologic treatment options (despite equivalent data) and would serve only to deny Australian patients of a safe and efficacious treatment</w:t>
      </w:r>
      <w:r>
        <w:rPr>
          <w:spacing w:val="-7"/>
        </w:rPr>
        <w:t xml:space="preserve"> </w:t>
      </w:r>
      <w:r>
        <w:t>option.</w:t>
      </w:r>
    </w:p>
    <w:p w14:paraId="3FE045AB" w14:textId="77777777" w:rsidR="00AF3C3D" w:rsidRDefault="00AF3C3D" w:rsidP="003613B5">
      <w:r>
        <w:t>It is well established in the medical community that biologic-naïve patients tend to show the most significant</w:t>
      </w:r>
      <w:r>
        <w:rPr>
          <w:spacing w:val="-8"/>
        </w:rPr>
        <w:t xml:space="preserve"> </w:t>
      </w:r>
      <w:r>
        <w:t>response</w:t>
      </w:r>
      <w:r>
        <w:rPr>
          <w:spacing w:val="-9"/>
        </w:rPr>
        <w:t xml:space="preserve"> </w:t>
      </w:r>
      <w:r>
        <w:t>or</w:t>
      </w:r>
      <w:r>
        <w:rPr>
          <w:spacing w:val="-9"/>
        </w:rPr>
        <w:t xml:space="preserve"> </w:t>
      </w:r>
      <w:r>
        <w:t>improvement</w:t>
      </w:r>
      <w:r>
        <w:rPr>
          <w:spacing w:val="-9"/>
        </w:rPr>
        <w:t xml:space="preserve"> </w:t>
      </w:r>
      <w:r>
        <w:t>with</w:t>
      </w:r>
      <w:r>
        <w:rPr>
          <w:spacing w:val="-8"/>
        </w:rPr>
        <w:t xml:space="preserve"> </w:t>
      </w:r>
      <w:r>
        <w:t>the</w:t>
      </w:r>
      <w:r>
        <w:rPr>
          <w:spacing w:val="-9"/>
        </w:rPr>
        <w:t xml:space="preserve"> </w:t>
      </w:r>
      <w:r>
        <w:t>first</w:t>
      </w:r>
      <w:r>
        <w:rPr>
          <w:spacing w:val="-8"/>
        </w:rPr>
        <w:t xml:space="preserve"> </w:t>
      </w:r>
      <w:r>
        <w:t>biologic</w:t>
      </w:r>
      <w:r>
        <w:rPr>
          <w:spacing w:val="-9"/>
        </w:rPr>
        <w:t xml:space="preserve"> </w:t>
      </w:r>
      <w:r>
        <w:t>agent</w:t>
      </w:r>
      <w:r>
        <w:rPr>
          <w:spacing w:val="-8"/>
        </w:rPr>
        <w:t xml:space="preserve"> </w:t>
      </w:r>
      <w:r>
        <w:t>they</w:t>
      </w:r>
      <w:r>
        <w:rPr>
          <w:spacing w:val="-13"/>
        </w:rPr>
        <w:t xml:space="preserve"> </w:t>
      </w:r>
      <w:r>
        <w:t>are</w:t>
      </w:r>
      <w:r>
        <w:rPr>
          <w:spacing w:val="-10"/>
        </w:rPr>
        <w:t xml:space="preserve"> </w:t>
      </w:r>
      <w:r>
        <w:t>treated</w:t>
      </w:r>
      <w:r>
        <w:rPr>
          <w:spacing w:val="-9"/>
        </w:rPr>
        <w:t xml:space="preserve"> </w:t>
      </w:r>
      <w:r>
        <w:t>with.</w:t>
      </w:r>
      <w:r>
        <w:rPr>
          <w:spacing w:val="44"/>
        </w:rPr>
        <w:t xml:space="preserve"> </w:t>
      </w:r>
      <w:r>
        <w:t>This</w:t>
      </w:r>
      <w:r>
        <w:rPr>
          <w:spacing w:val="-8"/>
        </w:rPr>
        <w:t xml:space="preserve"> </w:t>
      </w:r>
      <w:r>
        <w:t>is</w:t>
      </w:r>
      <w:r>
        <w:rPr>
          <w:spacing w:val="-8"/>
        </w:rPr>
        <w:t xml:space="preserve"> </w:t>
      </w:r>
      <w:r>
        <w:t xml:space="preserve">also reflected in the data generated for </w:t>
      </w:r>
      <w:r w:rsidR="00CC3432">
        <w:t>Stelara</w:t>
      </w:r>
      <w:r>
        <w:t xml:space="preserve"> and acknowledged </w:t>
      </w:r>
      <w:r w:rsidR="00DE5B4C">
        <w:t>by the Delegate who has stated ‘</w:t>
      </w:r>
      <w:r>
        <w:rPr>
          <w:i/>
        </w:rPr>
        <w:t>naïve</w:t>
      </w:r>
      <w:r>
        <w:rPr>
          <w:i/>
          <w:spacing w:val="-13"/>
        </w:rPr>
        <w:t xml:space="preserve"> </w:t>
      </w:r>
      <w:r>
        <w:rPr>
          <w:i/>
        </w:rPr>
        <w:t>patients</w:t>
      </w:r>
      <w:r>
        <w:rPr>
          <w:i/>
          <w:spacing w:val="-11"/>
        </w:rPr>
        <w:t xml:space="preserve"> </w:t>
      </w:r>
      <w:r>
        <w:rPr>
          <w:i/>
        </w:rPr>
        <w:t>had</w:t>
      </w:r>
      <w:r>
        <w:rPr>
          <w:i/>
          <w:spacing w:val="-12"/>
        </w:rPr>
        <w:t xml:space="preserve"> </w:t>
      </w:r>
      <w:r>
        <w:rPr>
          <w:i/>
        </w:rPr>
        <w:t>much</w:t>
      </w:r>
      <w:r>
        <w:rPr>
          <w:i/>
          <w:spacing w:val="-10"/>
        </w:rPr>
        <w:t xml:space="preserve"> </w:t>
      </w:r>
      <w:r>
        <w:rPr>
          <w:i/>
        </w:rPr>
        <w:t>better</w:t>
      </w:r>
      <w:r>
        <w:rPr>
          <w:i/>
          <w:spacing w:val="-12"/>
        </w:rPr>
        <w:t xml:space="preserve"> </w:t>
      </w:r>
      <w:r>
        <w:rPr>
          <w:i/>
        </w:rPr>
        <w:t>clinical</w:t>
      </w:r>
      <w:r>
        <w:rPr>
          <w:i/>
          <w:spacing w:val="-12"/>
        </w:rPr>
        <w:t xml:space="preserve"> </w:t>
      </w:r>
      <w:r>
        <w:rPr>
          <w:i/>
        </w:rPr>
        <w:t>responses</w:t>
      </w:r>
      <w:r>
        <w:rPr>
          <w:i/>
          <w:spacing w:val="-10"/>
        </w:rPr>
        <w:t xml:space="preserve"> </w:t>
      </w:r>
      <w:r>
        <w:rPr>
          <w:i/>
        </w:rPr>
        <w:t>than</w:t>
      </w:r>
      <w:r>
        <w:rPr>
          <w:i/>
          <w:spacing w:val="-12"/>
        </w:rPr>
        <w:t xml:space="preserve"> </w:t>
      </w:r>
      <w:r>
        <w:rPr>
          <w:i/>
        </w:rPr>
        <w:t>TNF</w:t>
      </w:r>
      <w:r>
        <w:rPr>
          <w:i/>
          <w:spacing w:val="-12"/>
        </w:rPr>
        <w:t xml:space="preserve"> </w:t>
      </w:r>
      <w:r>
        <w:rPr>
          <w:i/>
        </w:rPr>
        <w:t>antagonists</w:t>
      </w:r>
      <w:r>
        <w:rPr>
          <w:i/>
          <w:spacing w:val="-12"/>
        </w:rPr>
        <w:t xml:space="preserve"> </w:t>
      </w:r>
      <w:r>
        <w:rPr>
          <w:i/>
        </w:rPr>
        <w:t>experienced</w:t>
      </w:r>
      <w:r>
        <w:rPr>
          <w:i/>
          <w:spacing w:val="-12"/>
        </w:rPr>
        <w:t xml:space="preserve"> </w:t>
      </w:r>
      <w:r>
        <w:rPr>
          <w:i/>
        </w:rPr>
        <w:t>patients</w:t>
      </w:r>
      <w:r>
        <w:rPr>
          <w:i/>
          <w:spacing w:val="-11"/>
        </w:rPr>
        <w:t xml:space="preserve"> </w:t>
      </w:r>
      <w:r>
        <w:rPr>
          <w:i/>
        </w:rPr>
        <w:t>with</w:t>
      </w:r>
      <w:r w:rsidR="00DE5B4C">
        <w:rPr>
          <w:i/>
        </w:rPr>
        <w:t xml:space="preserve"> previous intolerance or failur</w:t>
      </w:r>
      <w:r w:rsidR="00957FBB">
        <w:rPr>
          <w:i/>
        </w:rPr>
        <w:t>e</w:t>
      </w:r>
      <w:r w:rsidR="00DE5B4C">
        <w:rPr>
          <w:i/>
        </w:rPr>
        <w:t>’</w:t>
      </w:r>
      <w:r>
        <w:t xml:space="preserve">. Given </w:t>
      </w:r>
      <w:r w:rsidR="00CC3432">
        <w:t>Stelara</w:t>
      </w:r>
      <w:r>
        <w:t xml:space="preserve"> has demonstrated such significant efficacy in TNF antagonist naïve patients, there is essentially no clinical justification for amending the indication</w:t>
      </w:r>
      <w:r>
        <w:rPr>
          <w:spacing w:val="-10"/>
        </w:rPr>
        <w:t xml:space="preserve"> </w:t>
      </w:r>
      <w:r>
        <w:t>as</w:t>
      </w:r>
      <w:r>
        <w:rPr>
          <w:spacing w:val="-9"/>
        </w:rPr>
        <w:t xml:space="preserve"> </w:t>
      </w:r>
      <w:r>
        <w:t>per</w:t>
      </w:r>
      <w:r>
        <w:rPr>
          <w:spacing w:val="-11"/>
        </w:rPr>
        <w:t xml:space="preserve"> </w:t>
      </w:r>
      <w:r>
        <w:t>the</w:t>
      </w:r>
      <w:r>
        <w:rPr>
          <w:spacing w:val="-8"/>
        </w:rPr>
        <w:t xml:space="preserve"> </w:t>
      </w:r>
      <w:r>
        <w:t>advice</w:t>
      </w:r>
      <w:r>
        <w:rPr>
          <w:spacing w:val="-11"/>
        </w:rPr>
        <w:t xml:space="preserve"> </w:t>
      </w:r>
      <w:r>
        <w:t>being</w:t>
      </w:r>
      <w:r>
        <w:rPr>
          <w:spacing w:val="-10"/>
        </w:rPr>
        <w:t xml:space="preserve"> </w:t>
      </w:r>
      <w:r>
        <w:t>sought</w:t>
      </w:r>
      <w:r>
        <w:rPr>
          <w:spacing w:val="-10"/>
        </w:rPr>
        <w:t xml:space="preserve"> </w:t>
      </w:r>
      <w:r>
        <w:t>of</w:t>
      </w:r>
      <w:r>
        <w:rPr>
          <w:spacing w:val="-9"/>
        </w:rPr>
        <w:t xml:space="preserve"> </w:t>
      </w:r>
      <w:r>
        <w:t>ACM.</w:t>
      </w:r>
      <w:r>
        <w:rPr>
          <w:spacing w:val="45"/>
        </w:rPr>
        <w:t xml:space="preserve"> </w:t>
      </w:r>
      <w:r>
        <w:t>It</w:t>
      </w:r>
      <w:r>
        <w:rPr>
          <w:spacing w:val="-10"/>
        </w:rPr>
        <w:t xml:space="preserve"> </w:t>
      </w:r>
      <w:r>
        <w:t>is</w:t>
      </w:r>
      <w:r>
        <w:rPr>
          <w:spacing w:val="-9"/>
        </w:rPr>
        <w:t xml:space="preserve"> </w:t>
      </w:r>
      <w:r>
        <w:t>in</w:t>
      </w:r>
      <w:r>
        <w:rPr>
          <w:spacing w:val="-10"/>
        </w:rPr>
        <w:t xml:space="preserve"> </w:t>
      </w:r>
      <w:r>
        <w:t>the</w:t>
      </w:r>
      <w:r>
        <w:rPr>
          <w:spacing w:val="-11"/>
        </w:rPr>
        <w:t xml:space="preserve"> </w:t>
      </w:r>
      <w:r>
        <w:t>interests</w:t>
      </w:r>
      <w:r>
        <w:rPr>
          <w:spacing w:val="-9"/>
        </w:rPr>
        <w:t xml:space="preserve"> </w:t>
      </w:r>
      <w:r>
        <w:t>of</w:t>
      </w:r>
      <w:r>
        <w:rPr>
          <w:spacing w:val="-11"/>
        </w:rPr>
        <w:t xml:space="preserve"> </w:t>
      </w:r>
      <w:r>
        <w:t>Crohn’s</w:t>
      </w:r>
      <w:r>
        <w:rPr>
          <w:spacing w:val="-11"/>
        </w:rPr>
        <w:t xml:space="preserve"> </w:t>
      </w:r>
      <w:r>
        <w:t>Disease</w:t>
      </w:r>
      <w:r>
        <w:rPr>
          <w:spacing w:val="-11"/>
        </w:rPr>
        <w:t xml:space="preserve"> </w:t>
      </w:r>
      <w:r>
        <w:t xml:space="preserve">patients, and physicians to have access to </w:t>
      </w:r>
      <w:r w:rsidR="00CC3432">
        <w:t>Stelara</w:t>
      </w:r>
      <w:r>
        <w:t xml:space="preserve"> as their first-line biologic treatment, which offers the opportunity for significant clinical improvements (response and remission) and improvements in quality of</w:t>
      </w:r>
      <w:r>
        <w:rPr>
          <w:spacing w:val="-6"/>
        </w:rPr>
        <w:t xml:space="preserve"> </w:t>
      </w:r>
      <w:r>
        <w:t>life.</w:t>
      </w:r>
    </w:p>
    <w:p w14:paraId="19DD7B14" w14:textId="77777777" w:rsidR="00AF3C3D" w:rsidRDefault="00AF3C3D" w:rsidP="003613B5">
      <w:r>
        <w:t>Th</w:t>
      </w:r>
      <w:r w:rsidR="00DE5B4C">
        <w:t>e Delegate has also noted that ‘</w:t>
      </w:r>
      <w:r>
        <w:t>the enhanced therapeutic efficacy of ustekinumab appears to</w:t>
      </w:r>
      <w:r>
        <w:rPr>
          <w:spacing w:val="-18"/>
        </w:rPr>
        <w:t xml:space="preserve"> </w:t>
      </w:r>
      <w:r>
        <w:t>be via the inhibition of a parallel but pharmacologically different inflammatory pathway</w:t>
      </w:r>
      <w:r w:rsidR="00DE5B4C">
        <w:t>’</w:t>
      </w:r>
      <w:r>
        <w:t>. Specifically,</w:t>
      </w:r>
      <w:r>
        <w:rPr>
          <w:spacing w:val="-13"/>
        </w:rPr>
        <w:t xml:space="preserve"> </w:t>
      </w:r>
      <w:r w:rsidR="00CC3432">
        <w:t>Stelara</w:t>
      </w:r>
      <w:r>
        <w:rPr>
          <w:spacing w:val="-9"/>
        </w:rPr>
        <w:t xml:space="preserve"> </w:t>
      </w:r>
      <w:r>
        <w:t>binds</w:t>
      </w:r>
      <w:r>
        <w:rPr>
          <w:spacing w:val="-13"/>
        </w:rPr>
        <w:t xml:space="preserve"> </w:t>
      </w:r>
      <w:r>
        <w:t>to</w:t>
      </w:r>
      <w:r>
        <w:rPr>
          <w:spacing w:val="-13"/>
        </w:rPr>
        <w:t xml:space="preserve"> </w:t>
      </w:r>
      <w:r>
        <w:t>the</w:t>
      </w:r>
      <w:r>
        <w:rPr>
          <w:spacing w:val="-14"/>
        </w:rPr>
        <w:t xml:space="preserve"> </w:t>
      </w:r>
      <w:r>
        <w:t>shared</w:t>
      </w:r>
      <w:r>
        <w:rPr>
          <w:spacing w:val="-11"/>
        </w:rPr>
        <w:t xml:space="preserve"> </w:t>
      </w:r>
      <w:r>
        <w:t>p40</w:t>
      </w:r>
      <w:r>
        <w:rPr>
          <w:spacing w:val="-13"/>
        </w:rPr>
        <w:t xml:space="preserve"> </w:t>
      </w:r>
      <w:r>
        <w:t>protein</w:t>
      </w:r>
      <w:r>
        <w:rPr>
          <w:spacing w:val="-13"/>
        </w:rPr>
        <w:t xml:space="preserve"> </w:t>
      </w:r>
      <w:r>
        <w:t>subunit</w:t>
      </w:r>
      <w:r>
        <w:rPr>
          <w:spacing w:val="-13"/>
        </w:rPr>
        <w:t xml:space="preserve"> </w:t>
      </w:r>
      <w:r>
        <w:t>of</w:t>
      </w:r>
      <w:r>
        <w:rPr>
          <w:spacing w:val="-14"/>
        </w:rPr>
        <w:t xml:space="preserve"> </w:t>
      </w:r>
      <w:r>
        <w:t>the</w:t>
      </w:r>
      <w:r>
        <w:rPr>
          <w:spacing w:val="-12"/>
        </w:rPr>
        <w:t xml:space="preserve"> </w:t>
      </w:r>
      <w:r>
        <w:t>human</w:t>
      </w:r>
      <w:r>
        <w:rPr>
          <w:spacing w:val="-13"/>
        </w:rPr>
        <w:t xml:space="preserve"> </w:t>
      </w:r>
      <w:r>
        <w:t>cytokines</w:t>
      </w:r>
      <w:r>
        <w:rPr>
          <w:spacing w:val="-13"/>
        </w:rPr>
        <w:t xml:space="preserve"> </w:t>
      </w:r>
      <w:r>
        <w:t>interleukin (IL)-12 and IL-23. In patients with Crohn’s Disease, IL-12 and IL-23 are elevated in the</w:t>
      </w:r>
      <w:r>
        <w:rPr>
          <w:spacing w:val="-42"/>
        </w:rPr>
        <w:t xml:space="preserve"> </w:t>
      </w:r>
      <w:r>
        <w:t xml:space="preserve">intestines and lymph nodes, and full details of the potential mechanism of action of </w:t>
      </w:r>
      <w:r w:rsidR="00CC3432">
        <w:t>Stelara</w:t>
      </w:r>
      <w:r>
        <w:t xml:space="preserve"> in Crohn’s Disease is provided in the Australian PI.</w:t>
      </w:r>
    </w:p>
    <w:p w14:paraId="60C76C74" w14:textId="77777777" w:rsidR="00AF3C3D" w:rsidRDefault="00DE5B4C" w:rsidP="003613B5">
      <w:r>
        <w:t>The s</w:t>
      </w:r>
      <w:r w:rsidR="00AF3C3D">
        <w:t xml:space="preserve">ponsor views this observation from the Delegate on the mechanism of action and enhanced therapeutic efficacy of </w:t>
      </w:r>
      <w:r w:rsidR="00CC3432">
        <w:t>Stelara</w:t>
      </w:r>
      <w:r w:rsidR="00AF3C3D">
        <w:t xml:space="preserve"> as positive in support of the Sponsor’s proposed indication. With</w:t>
      </w:r>
      <w:r w:rsidR="00AF3C3D">
        <w:rPr>
          <w:spacing w:val="-9"/>
        </w:rPr>
        <w:t xml:space="preserve"> </w:t>
      </w:r>
      <w:r w:rsidR="00AF3C3D">
        <w:t>only</w:t>
      </w:r>
      <w:r w:rsidR="00AF3C3D">
        <w:rPr>
          <w:spacing w:val="-16"/>
        </w:rPr>
        <w:t xml:space="preserve"> </w:t>
      </w:r>
      <w:r w:rsidR="00AF3C3D">
        <w:t>two</w:t>
      </w:r>
      <w:r w:rsidR="00AF3C3D">
        <w:rPr>
          <w:spacing w:val="-10"/>
        </w:rPr>
        <w:t xml:space="preserve"> </w:t>
      </w:r>
      <w:r w:rsidR="00AF3C3D">
        <w:t>classes</w:t>
      </w:r>
      <w:r w:rsidR="00AF3C3D">
        <w:rPr>
          <w:spacing w:val="-9"/>
        </w:rPr>
        <w:t xml:space="preserve"> </w:t>
      </w:r>
      <w:r w:rsidR="00AF3C3D">
        <w:t>of</w:t>
      </w:r>
      <w:r w:rsidR="00AF3C3D">
        <w:rPr>
          <w:spacing w:val="-8"/>
        </w:rPr>
        <w:t xml:space="preserve"> </w:t>
      </w:r>
      <w:r w:rsidR="00AF3C3D">
        <w:t>biologic</w:t>
      </w:r>
      <w:r w:rsidR="00AF3C3D">
        <w:rPr>
          <w:spacing w:val="-10"/>
        </w:rPr>
        <w:t xml:space="preserve"> </w:t>
      </w:r>
      <w:r w:rsidR="00AF3C3D">
        <w:t>agents</w:t>
      </w:r>
      <w:r w:rsidR="00AF3C3D">
        <w:rPr>
          <w:spacing w:val="-8"/>
        </w:rPr>
        <w:t xml:space="preserve"> </w:t>
      </w:r>
      <w:r w:rsidR="00AF3C3D">
        <w:t>currently</w:t>
      </w:r>
      <w:r w:rsidR="00AF3C3D">
        <w:rPr>
          <w:spacing w:val="-11"/>
        </w:rPr>
        <w:t xml:space="preserve"> </w:t>
      </w:r>
      <w:r w:rsidR="00AF3C3D">
        <w:t>available</w:t>
      </w:r>
      <w:r w:rsidR="00AF3C3D">
        <w:rPr>
          <w:spacing w:val="-10"/>
        </w:rPr>
        <w:t xml:space="preserve"> </w:t>
      </w:r>
      <w:r w:rsidR="00AF3C3D">
        <w:t>for</w:t>
      </w:r>
      <w:r w:rsidR="00AF3C3D">
        <w:rPr>
          <w:spacing w:val="-11"/>
        </w:rPr>
        <w:t xml:space="preserve"> </w:t>
      </w:r>
      <w:r w:rsidR="00AF3C3D">
        <w:t>Crohn’s</w:t>
      </w:r>
      <w:r w:rsidR="00AF3C3D">
        <w:rPr>
          <w:spacing w:val="-9"/>
        </w:rPr>
        <w:t xml:space="preserve"> </w:t>
      </w:r>
      <w:r w:rsidR="00AF3C3D">
        <w:t>Disease</w:t>
      </w:r>
      <w:r w:rsidR="00AF3C3D">
        <w:rPr>
          <w:spacing w:val="-9"/>
        </w:rPr>
        <w:t xml:space="preserve"> </w:t>
      </w:r>
      <w:r w:rsidR="00AF3C3D">
        <w:t>patients</w:t>
      </w:r>
      <w:r w:rsidR="00AF3C3D">
        <w:rPr>
          <w:spacing w:val="-9"/>
        </w:rPr>
        <w:t xml:space="preserve"> </w:t>
      </w:r>
      <w:r w:rsidR="00AF3C3D">
        <w:t>who</w:t>
      </w:r>
      <w:r w:rsidR="00AF3C3D">
        <w:rPr>
          <w:spacing w:val="-10"/>
        </w:rPr>
        <w:t xml:space="preserve"> </w:t>
      </w:r>
      <w:r w:rsidR="00AF3C3D">
        <w:t>have failed or are intolerant to conventional systemic therapies (the TNF antagonists and the integrin inhibitors),</w:t>
      </w:r>
      <w:r w:rsidR="00AF3C3D">
        <w:rPr>
          <w:spacing w:val="-6"/>
        </w:rPr>
        <w:t xml:space="preserve"> </w:t>
      </w:r>
      <w:r w:rsidR="00AF3C3D">
        <w:t>there</w:t>
      </w:r>
      <w:r w:rsidR="00AF3C3D">
        <w:rPr>
          <w:spacing w:val="-7"/>
        </w:rPr>
        <w:t xml:space="preserve"> </w:t>
      </w:r>
      <w:r w:rsidR="00AF3C3D">
        <w:t>is</w:t>
      </w:r>
      <w:r w:rsidR="00AF3C3D">
        <w:rPr>
          <w:spacing w:val="-6"/>
        </w:rPr>
        <w:t xml:space="preserve"> </w:t>
      </w:r>
      <w:r w:rsidR="00AF3C3D">
        <w:t>an</w:t>
      </w:r>
      <w:r w:rsidR="00AF3C3D">
        <w:rPr>
          <w:spacing w:val="-6"/>
        </w:rPr>
        <w:t xml:space="preserve"> </w:t>
      </w:r>
      <w:r w:rsidR="00AF3C3D">
        <w:t>unmet</w:t>
      </w:r>
      <w:r w:rsidR="00AF3C3D">
        <w:rPr>
          <w:spacing w:val="-6"/>
        </w:rPr>
        <w:t xml:space="preserve"> </w:t>
      </w:r>
      <w:r w:rsidR="00AF3C3D">
        <w:t>need</w:t>
      </w:r>
      <w:r w:rsidR="00AF3C3D">
        <w:rPr>
          <w:spacing w:val="-6"/>
        </w:rPr>
        <w:t xml:space="preserve"> </w:t>
      </w:r>
      <w:r w:rsidR="00AF3C3D">
        <w:t>for</w:t>
      </w:r>
      <w:r w:rsidR="00AF3C3D">
        <w:rPr>
          <w:spacing w:val="-5"/>
        </w:rPr>
        <w:t xml:space="preserve"> </w:t>
      </w:r>
      <w:r w:rsidR="00AF3C3D">
        <w:t>additional</w:t>
      </w:r>
      <w:r w:rsidR="00AF3C3D">
        <w:rPr>
          <w:spacing w:val="-6"/>
        </w:rPr>
        <w:t xml:space="preserve"> </w:t>
      </w:r>
      <w:r w:rsidR="00AF3C3D">
        <w:t>treatment</w:t>
      </w:r>
      <w:r w:rsidR="00AF3C3D">
        <w:rPr>
          <w:spacing w:val="-6"/>
        </w:rPr>
        <w:t xml:space="preserve"> </w:t>
      </w:r>
      <w:r w:rsidR="00AF3C3D">
        <w:t>options</w:t>
      </w:r>
      <w:r w:rsidR="00AF3C3D">
        <w:rPr>
          <w:spacing w:val="-6"/>
        </w:rPr>
        <w:t xml:space="preserve"> </w:t>
      </w:r>
      <w:r w:rsidR="00AF3C3D">
        <w:t>for</w:t>
      </w:r>
      <w:r w:rsidR="00AF3C3D">
        <w:rPr>
          <w:spacing w:val="-8"/>
        </w:rPr>
        <w:t xml:space="preserve"> </w:t>
      </w:r>
      <w:r w:rsidR="00AF3C3D">
        <w:t>a</w:t>
      </w:r>
      <w:r w:rsidR="00AF3C3D">
        <w:rPr>
          <w:spacing w:val="-5"/>
        </w:rPr>
        <w:t xml:space="preserve"> </w:t>
      </w:r>
      <w:r w:rsidR="00AF3C3D">
        <w:t>disease</w:t>
      </w:r>
      <w:r w:rsidR="00AF3C3D">
        <w:rPr>
          <w:spacing w:val="-7"/>
        </w:rPr>
        <w:t xml:space="preserve"> </w:t>
      </w:r>
      <w:r w:rsidR="00AF3C3D">
        <w:t>that</w:t>
      </w:r>
      <w:r w:rsidR="00AF3C3D">
        <w:rPr>
          <w:spacing w:val="-6"/>
        </w:rPr>
        <w:t xml:space="preserve"> </w:t>
      </w:r>
      <w:r w:rsidR="00AF3C3D">
        <w:t>largely</w:t>
      </w:r>
      <w:r w:rsidR="00AF3C3D">
        <w:rPr>
          <w:spacing w:val="-11"/>
        </w:rPr>
        <w:t xml:space="preserve"> </w:t>
      </w:r>
      <w:r w:rsidR="00AF3C3D">
        <w:t>affects younger</w:t>
      </w:r>
      <w:r w:rsidR="00AF3C3D">
        <w:rPr>
          <w:spacing w:val="-15"/>
        </w:rPr>
        <w:t xml:space="preserve"> </w:t>
      </w:r>
      <w:r w:rsidR="00AF3C3D">
        <w:t>patients</w:t>
      </w:r>
      <w:r w:rsidR="00AF3C3D">
        <w:rPr>
          <w:spacing w:val="-14"/>
        </w:rPr>
        <w:t xml:space="preserve"> </w:t>
      </w:r>
      <w:r w:rsidR="00AF3C3D">
        <w:t>during</w:t>
      </w:r>
      <w:r w:rsidR="00AF3C3D">
        <w:rPr>
          <w:spacing w:val="-17"/>
        </w:rPr>
        <w:t xml:space="preserve"> </w:t>
      </w:r>
      <w:r w:rsidR="00AF3C3D">
        <w:t>their</w:t>
      </w:r>
      <w:r w:rsidR="00AF3C3D">
        <w:rPr>
          <w:spacing w:val="-15"/>
        </w:rPr>
        <w:t xml:space="preserve"> </w:t>
      </w:r>
      <w:r w:rsidR="00AF3C3D">
        <w:t>most</w:t>
      </w:r>
      <w:r w:rsidR="00AF3C3D">
        <w:rPr>
          <w:spacing w:val="-13"/>
        </w:rPr>
        <w:t xml:space="preserve"> </w:t>
      </w:r>
      <w:r w:rsidR="00AF3C3D">
        <w:t>formative</w:t>
      </w:r>
      <w:r w:rsidR="00AF3C3D">
        <w:rPr>
          <w:spacing w:val="-15"/>
        </w:rPr>
        <w:t xml:space="preserve"> </w:t>
      </w:r>
      <w:r w:rsidR="00AF3C3D">
        <w:t>and</w:t>
      </w:r>
      <w:r w:rsidR="00AF3C3D">
        <w:rPr>
          <w:spacing w:val="-14"/>
        </w:rPr>
        <w:t xml:space="preserve"> </w:t>
      </w:r>
      <w:r w:rsidR="00AF3C3D">
        <w:t>productive</w:t>
      </w:r>
      <w:r w:rsidR="00AF3C3D">
        <w:rPr>
          <w:spacing w:val="-13"/>
        </w:rPr>
        <w:t xml:space="preserve"> </w:t>
      </w:r>
      <w:r w:rsidR="00AF3C3D">
        <w:t>years.</w:t>
      </w:r>
      <w:r w:rsidR="00AF3C3D">
        <w:rPr>
          <w:spacing w:val="22"/>
        </w:rPr>
        <w:t xml:space="preserve"> </w:t>
      </w:r>
      <w:r w:rsidR="00CC3432">
        <w:t>Stelara</w:t>
      </w:r>
      <w:r w:rsidR="00AF3C3D">
        <w:rPr>
          <w:spacing w:val="-13"/>
        </w:rPr>
        <w:t xml:space="preserve"> </w:t>
      </w:r>
      <w:r w:rsidR="00AF3C3D">
        <w:t>can</w:t>
      </w:r>
      <w:r w:rsidR="00AF3C3D">
        <w:rPr>
          <w:spacing w:val="-14"/>
        </w:rPr>
        <w:t xml:space="preserve"> </w:t>
      </w:r>
      <w:r w:rsidR="00AF3C3D">
        <w:t>fulfil</w:t>
      </w:r>
      <w:r w:rsidR="00AF3C3D">
        <w:rPr>
          <w:spacing w:val="-14"/>
        </w:rPr>
        <w:t xml:space="preserve"> </w:t>
      </w:r>
      <w:r w:rsidR="00AF3C3D">
        <w:t>this</w:t>
      </w:r>
      <w:r w:rsidR="00AF3C3D">
        <w:rPr>
          <w:spacing w:val="-14"/>
        </w:rPr>
        <w:t xml:space="preserve"> </w:t>
      </w:r>
      <w:r w:rsidR="00AF3C3D">
        <w:t xml:space="preserve">need. As presented in detail in the submitted dossier, in the absence of direct comparator studies, cross- study comparisons with the other approved biologic treatments provides insight into the relative efficacy and safety of </w:t>
      </w:r>
      <w:r w:rsidR="00CC3432">
        <w:t>Stelara</w:t>
      </w:r>
      <w:r w:rsidR="00AF3C3D">
        <w:t xml:space="preserve"> and its appropriate place in the treatment of patients with moderate to severe Crohn’s Disease. Acknowledging the limitations of such com</w:t>
      </w:r>
      <w:r w:rsidR="003613B5">
        <w:t>parisons, the s</w:t>
      </w:r>
      <w:r w:rsidR="00AF3C3D">
        <w:t>ponsor’s</w:t>
      </w:r>
      <w:r w:rsidR="00AF3C3D">
        <w:rPr>
          <w:spacing w:val="-11"/>
        </w:rPr>
        <w:t xml:space="preserve"> </w:t>
      </w:r>
      <w:r w:rsidR="00AF3C3D">
        <w:t>conclusions</w:t>
      </w:r>
      <w:r w:rsidR="00AF3C3D">
        <w:rPr>
          <w:spacing w:val="-11"/>
        </w:rPr>
        <w:t xml:space="preserve"> </w:t>
      </w:r>
      <w:r w:rsidR="00AF3C3D">
        <w:t>were</w:t>
      </w:r>
      <w:r w:rsidR="00AF3C3D">
        <w:rPr>
          <w:spacing w:val="-11"/>
        </w:rPr>
        <w:t xml:space="preserve"> </w:t>
      </w:r>
      <w:r w:rsidR="00AF3C3D">
        <w:t>reiterated</w:t>
      </w:r>
      <w:r w:rsidR="00AF3C3D">
        <w:rPr>
          <w:spacing w:val="-9"/>
        </w:rPr>
        <w:t xml:space="preserve"> </w:t>
      </w:r>
      <w:r w:rsidR="00AF3C3D">
        <w:t>by</w:t>
      </w:r>
      <w:r w:rsidR="00AF3C3D">
        <w:rPr>
          <w:spacing w:val="-16"/>
        </w:rPr>
        <w:t xml:space="preserve"> </w:t>
      </w:r>
      <w:r w:rsidR="00AF3C3D">
        <w:t>the</w:t>
      </w:r>
      <w:r w:rsidR="00AF3C3D">
        <w:rPr>
          <w:spacing w:val="-9"/>
        </w:rPr>
        <w:t xml:space="preserve"> </w:t>
      </w:r>
      <w:r w:rsidR="00AF3C3D">
        <w:t>clinical</w:t>
      </w:r>
      <w:r w:rsidR="00AF3C3D">
        <w:rPr>
          <w:spacing w:val="-11"/>
        </w:rPr>
        <w:t xml:space="preserve"> </w:t>
      </w:r>
      <w:r w:rsidR="00AF3C3D">
        <w:t>evaluator,</w:t>
      </w:r>
      <w:r w:rsidR="00AF3C3D">
        <w:rPr>
          <w:spacing w:val="-9"/>
        </w:rPr>
        <w:t xml:space="preserve"> </w:t>
      </w:r>
      <w:r w:rsidR="00AF3C3D">
        <w:t>who</w:t>
      </w:r>
      <w:r w:rsidR="00AF3C3D">
        <w:rPr>
          <w:spacing w:val="-9"/>
        </w:rPr>
        <w:t xml:space="preserve"> </w:t>
      </w:r>
      <w:r w:rsidR="00AF3C3D">
        <w:t>commented</w:t>
      </w:r>
      <w:r w:rsidR="00AF3C3D">
        <w:rPr>
          <w:spacing w:val="-12"/>
        </w:rPr>
        <w:t xml:space="preserve"> </w:t>
      </w:r>
      <w:r w:rsidR="00AF3C3D">
        <w:t>“Overall,</w:t>
      </w:r>
      <w:r w:rsidR="00AF3C3D">
        <w:rPr>
          <w:spacing w:val="-11"/>
        </w:rPr>
        <w:t xml:space="preserve"> </w:t>
      </w:r>
      <w:r w:rsidR="00AF3C3D">
        <w:t>indirect comparisons to biologic therapies approved for moderate to severe Crohn’s Disease suggest that ustekinumab has efficacy that is at least comparable and in some instances appears better or has a more rapid onset than currently approved biologics with a favourable safety</w:t>
      </w:r>
      <w:r w:rsidR="00AF3C3D">
        <w:rPr>
          <w:spacing w:val="-7"/>
        </w:rPr>
        <w:t xml:space="preserve"> </w:t>
      </w:r>
      <w:r w:rsidR="00AF3C3D">
        <w:t>profile”.</w:t>
      </w:r>
    </w:p>
    <w:p w14:paraId="5D989533" w14:textId="77777777" w:rsidR="00AF3C3D" w:rsidRDefault="00AF3C3D" w:rsidP="003613B5">
      <w:r>
        <w:t xml:space="preserve">The safety profile of </w:t>
      </w:r>
      <w:r w:rsidR="00CC3432">
        <w:t>Stelara</w:t>
      </w:r>
      <w:r>
        <w:t xml:space="preserve"> is well-established. </w:t>
      </w:r>
      <w:r w:rsidR="00CC3432">
        <w:t>Stelara</w:t>
      </w:r>
      <w:r>
        <w:t xml:space="preserve"> has been approved in Australia for</w:t>
      </w:r>
      <w:r>
        <w:rPr>
          <w:spacing w:val="-14"/>
        </w:rPr>
        <w:t xml:space="preserve"> </w:t>
      </w:r>
      <w:r>
        <w:t>the</w:t>
      </w:r>
      <w:r>
        <w:rPr>
          <w:spacing w:val="-13"/>
        </w:rPr>
        <w:t xml:space="preserve"> </w:t>
      </w:r>
      <w:r>
        <w:t>treatment</w:t>
      </w:r>
      <w:r>
        <w:rPr>
          <w:spacing w:val="-12"/>
        </w:rPr>
        <w:t xml:space="preserve"> </w:t>
      </w:r>
      <w:r>
        <w:t>of</w:t>
      </w:r>
      <w:r>
        <w:rPr>
          <w:spacing w:val="-11"/>
        </w:rPr>
        <w:t xml:space="preserve"> </w:t>
      </w:r>
      <w:r>
        <w:t>psoriasis</w:t>
      </w:r>
      <w:r>
        <w:rPr>
          <w:spacing w:val="-12"/>
        </w:rPr>
        <w:t xml:space="preserve"> </w:t>
      </w:r>
      <w:r>
        <w:t>and</w:t>
      </w:r>
      <w:r>
        <w:rPr>
          <w:spacing w:val="-12"/>
        </w:rPr>
        <w:t xml:space="preserve"> </w:t>
      </w:r>
      <w:r>
        <w:t>psoriatic</w:t>
      </w:r>
      <w:r>
        <w:rPr>
          <w:spacing w:val="-11"/>
        </w:rPr>
        <w:t xml:space="preserve"> </w:t>
      </w:r>
      <w:r>
        <w:t>arthritis</w:t>
      </w:r>
      <w:r>
        <w:rPr>
          <w:spacing w:val="-10"/>
        </w:rPr>
        <w:t xml:space="preserve"> </w:t>
      </w:r>
      <w:r>
        <w:t>since</w:t>
      </w:r>
      <w:r>
        <w:rPr>
          <w:spacing w:val="-14"/>
        </w:rPr>
        <w:t xml:space="preserve"> </w:t>
      </w:r>
      <w:r>
        <w:t>July</w:t>
      </w:r>
      <w:r>
        <w:rPr>
          <w:spacing w:val="-17"/>
        </w:rPr>
        <w:t xml:space="preserve"> </w:t>
      </w:r>
      <w:r>
        <w:t>2009</w:t>
      </w:r>
      <w:r>
        <w:rPr>
          <w:spacing w:val="-10"/>
        </w:rPr>
        <w:t xml:space="preserve"> </w:t>
      </w:r>
      <w:r>
        <w:t>and</w:t>
      </w:r>
      <w:r>
        <w:rPr>
          <w:spacing w:val="-12"/>
        </w:rPr>
        <w:t xml:space="preserve"> </w:t>
      </w:r>
      <w:r>
        <w:t>February</w:t>
      </w:r>
      <w:r>
        <w:rPr>
          <w:spacing w:val="-17"/>
        </w:rPr>
        <w:t xml:space="preserve"> </w:t>
      </w:r>
      <w:r>
        <w:t>2015</w:t>
      </w:r>
      <w:r>
        <w:rPr>
          <w:spacing w:val="-12"/>
        </w:rPr>
        <w:t xml:space="preserve"> </w:t>
      </w:r>
      <w:r>
        <w:t xml:space="preserve">respectively, and the estimated cumulative worldwide exposure to </w:t>
      </w:r>
      <w:r w:rsidR="00CC3432">
        <w:t>Stelara</w:t>
      </w:r>
      <w:r>
        <w:t xml:space="preserve"> from global launch to 31 December 2015 is 551,966 person-years.</w:t>
      </w:r>
      <w:r>
        <w:rPr>
          <w:spacing w:val="16"/>
        </w:rPr>
        <w:t xml:space="preserve"> </w:t>
      </w:r>
      <w:r>
        <w:t xml:space="preserve">The safety profile in Crohn’s Disease is similar to the established safety profile demonstrated in the existing large clinical trial and postmarketing database, which further supports the use of </w:t>
      </w:r>
      <w:r w:rsidR="00CC3432">
        <w:t>Stelara</w:t>
      </w:r>
      <w:r>
        <w:t xml:space="preserve"> a treatment option for both biologic-naïve and biologic-refractory patients with moderately to severely active Crohn’s Disease.</w:t>
      </w:r>
    </w:p>
    <w:p w14:paraId="41A0B76B" w14:textId="77777777" w:rsidR="00AF3C3D" w:rsidRDefault="00AF3C3D" w:rsidP="003613B5">
      <w:r>
        <w:t xml:space="preserve">On the totality of evidence, </w:t>
      </w:r>
      <w:r w:rsidR="00CC3432">
        <w:t>Stelara</w:t>
      </w:r>
      <w:r>
        <w:t xml:space="preserve"> has demonstrated acceptable safety and efficacy for approval for the treatment of Crohn’s Disease in both biologic-refractory and biologic-naïve patients. For patients who have either exhausted existing treatment options or those who are relatively</w:t>
      </w:r>
      <w:r>
        <w:rPr>
          <w:spacing w:val="-18"/>
        </w:rPr>
        <w:t xml:space="preserve"> </w:t>
      </w:r>
      <w:r>
        <w:t>new</w:t>
      </w:r>
      <w:r>
        <w:rPr>
          <w:spacing w:val="-14"/>
        </w:rPr>
        <w:t xml:space="preserve"> </w:t>
      </w:r>
      <w:r>
        <w:t>to</w:t>
      </w:r>
      <w:r>
        <w:rPr>
          <w:spacing w:val="-10"/>
        </w:rPr>
        <w:t xml:space="preserve"> </w:t>
      </w:r>
      <w:r>
        <w:t>treatment,</w:t>
      </w:r>
      <w:r>
        <w:rPr>
          <w:spacing w:val="-12"/>
        </w:rPr>
        <w:t xml:space="preserve"> </w:t>
      </w:r>
      <w:r>
        <w:t>the</w:t>
      </w:r>
      <w:r>
        <w:rPr>
          <w:spacing w:val="-14"/>
        </w:rPr>
        <w:t xml:space="preserve"> </w:t>
      </w:r>
      <w:r>
        <w:t>lifelong</w:t>
      </w:r>
      <w:r>
        <w:rPr>
          <w:spacing w:val="-13"/>
        </w:rPr>
        <w:t xml:space="preserve"> </w:t>
      </w:r>
      <w:r>
        <w:t>course</w:t>
      </w:r>
      <w:r>
        <w:rPr>
          <w:spacing w:val="-14"/>
        </w:rPr>
        <w:t xml:space="preserve"> </w:t>
      </w:r>
      <w:r>
        <w:t>of</w:t>
      </w:r>
      <w:r>
        <w:rPr>
          <w:spacing w:val="-8"/>
        </w:rPr>
        <w:t xml:space="preserve"> </w:t>
      </w:r>
      <w:r>
        <w:t>Crohn’s</w:t>
      </w:r>
      <w:r>
        <w:rPr>
          <w:spacing w:val="-13"/>
        </w:rPr>
        <w:t xml:space="preserve"> </w:t>
      </w:r>
      <w:r>
        <w:t>Disease</w:t>
      </w:r>
      <w:r>
        <w:rPr>
          <w:spacing w:val="-12"/>
        </w:rPr>
        <w:t xml:space="preserve"> </w:t>
      </w:r>
      <w:r>
        <w:t>and</w:t>
      </w:r>
      <w:r>
        <w:rPr>
          <w:spacing w:val="-13"/>
        </w:rPr>
        <w:t xml:space="preserve"> </w:t>
      </w:r>
      <w:r>
        <w:t>the</w:t>
      </w:r>
      <w:r>
        <w:rPr>
          <w:spacing w:val="-12"/>
        </w:rPr>
        <w:t xml:space="preserve"> </w:t>
      </w:r>
      <w:r>
        <w:t>lack</w:t>
      </w:r>
      <w:r>
        <w:rPr>
          <w:spacing w:val="-13"/>
        </w:rPr>
        <w:t xml:space="preserve"> </w:t>
      </w:r>
      <w:r>
        <w:t>of</w:t>
      </w:r>
      <w:r>
        <w:rPr>
          <w:spacing w:val="-14"/>
        </w:rPr>
        <w:t xml:space="preserve"> </w:t>
      </w:r>
      <w:r>
        <w:t>a</w:t>
      </w:r>
      <w:r>
        <w:rPr>
          <w:spacing w:val="-12"/>
        </w:rPr>
        <w:t xml:space="preserve"> </w:t>
      </w:r>
      <w:r>
        <w:t>single</w:t>
      </w:r>
      <w:r>
        <w:rPr>
          <w:spacing w:val="-12"/>
        </w:rPr>
        <w:t xml:space="preserve"> </w:t>
      </w:r>
      <w:r>
        <w:t xml:space="preserve">enduring treatment highlight the need for additional treatment options with durable efficacy, a favourable benefit-risk profile, and minimally invasive dosing and frequency. </w:t>
      </w:r>
      <w:r w:rsidR="00CC3432">
        <w:t>Stelara</w:t>
      </w:r>
      <w:r>
        <w:t xml:space="preserve"> has these attributes and has demonstrated efficacy in both these areas of unmet need. </w:t>
      </w:r>
      <w:r w:rsidR="003613B5">
        <w:t>The sponsor believes the indication proposed by the s</w:t>
      </w:r>
      <w:r>
        <w:t>ponsor is appropriate and clinically justified to meet these areas of need in</w:t>
      </w:r>
      <w:r>
        <w:rPr>
          <w:spacing w:val="-14"/>
        </w:rPr>
        <w:t xml:space="preserve"> </w:t>
      </w:r>
      <w:r>
        <w:t>Australia.</w:t>
      </w:r>
    </w:p>
    <w:p w14:paraId="4DA9614E" w14:textId="77777777" w:rsidR="00AF3C3D" w:rsidRDefault="00AF3C3D" w:rsidP="003613B5">
      <w:pPr>
        <w:pStyle w:val="Heading5"/>
      </w:pPr>
      <w:r>
        <w:lastRenderedPageBreak/>
        <w:t xml:space="preserve">Update on </w:t>
      </w:r>
      <w:r w:rsidR="00CC3432">
        <w:t>Stelara</w:t>
      </w:r>
      <w:r>
        <w:t xml:space="preserve"> for Cr</w:t>
      </w:r>
      <w:r w:rsidR="003613B5">
        <w:t>ohn’s Disease in Australia and w</w:t>
      </w:r>
      <w:r>
        <w:t>orldwide</w:t>
      </w:r>
    </w:p>
    <w:p w14:paraId="7606DA94" w14:textId="77777777" w:rsidR="00AF3C3D" w:rsidRDefault="00AF3C3D" w:rsidP="003613B5">
      <w:r>
        <w:t xml:space="preserve">There is experience among key opinion leaders in Australia with the use of </w:t>
      </w:r>
      <w:r w:rsidR="00CC3432">
        <w:t>Stelara</w:t>
      </w:r>
      <w:r>
        <w:t xml:space="preserve"> in</w:t>
      </w:r>
      <w:r>
        <w:rPr>
          <w:spacing w:val="-29"/>
        </w:rPr>
        <w:t xml:space="preserve"> </w:t>
      </w:r>
      <w:r>
        <w:t>Crohn’s Disease as Australian sites participated in the pivotal studies. 41 Australian patients were randomised into the induction studies CRD3001 or CRD3002. 38 of these patients entered the CRD3003 maintenance phase and 15 continued to the long-term extension phase (to 272 weeks), which is still</w:t>
      </w:r>
      <w:r>
        <w:rPr>
          <w:spacing w:val="-7"/>
        </w:rPr>
        <w:t xml:space="preserve"> </w:t>
      </w:r>
      <w:r>
        <w:t>ongoing.</w:t>
      </w:r>
    </w:p>
    <w:p w14:paraId="7FFC5985" w14:textId="77777777" w:rsidR="00AF3C3D" w:rsidRDefault="00AF3C3D" w:rsidP="003613B5">
      <w:r>
        <w:t xml:space="preserve">The indication proposed by the </w:t>
      </w:r>
      <w:r w:rsidR="00957FBB">
        <w:t>s</w:t>
      </w:r>
      <w:r>
        <w:t xml:space="preserve">ponsor would provide access </w:t>
      </w:r>
      <w:r w:rsidR="007102D7">
        <w:t xml:space="preserve">that is in line with indications approved by other major regulatory authorities </w:t>
      </w:r>
      <w:r w:rsidR="00957FBB">
        <w:t>for</w:t>
      </w:r>
      <w:r>
        <w:t xml:space="preserve"> Crohn’s Disease patients.</w:t>
      </w:r>
    </w:p>
    <w:p w14:paraId="0F0349F7" w14:textId="77777777" w:rsidR="00AF3C3D" w:rsidRPr="00192D8C" w:rsidRDefault="00AF3C3D" w:rsidP="00192D8C">
      <w:pPr>
        <w:pStyle w:val="Heading5"/>
      </w:pPr>
      <w:r>
        <w:t>Additional Comments on the Delegate’s Request for Advice from the ACM</w:t>
      </w:r>
    </w:p>
    <w:p w14:paraId="0C394BF2" w14:textId="77777777" w:rsidR="00AF3C3D" w:rsidRDefault="00AF3C3D" w:rsidP="00192D8C">
      <w:r>
        <w:t xml:space="preserve">The Delegate has questioned if the exclusion criteria for the pivotal studies should be contraindications to receipt of </w:t>
      </w:r>
      <w:r w:rsidR="00CC3432">
        <w:t>Stelara</w:t>
      </w:r>
      <w:r>
        <w:t xml:space="preserve">. As discussed, </w:t>
      </w:r>
      <w:r w:rsidR="00CC3432">
        <w:t>Stelara</w:t>
      </w:r>
      <w:r>
        <w:t xml:space="preserve"> has an established safety profile</w:t>
      </w:r>
      <w:r>
        <w:rPr>
          <w:spacing w:val="-7"/>
        </w:rPr>
        <w:t xml:space="preserve"> </w:t>
      </w:r>
      <w:r>
        <w:t>and</w:t>
      </w:r>
      <w:r>
        <w:rPr>
          <w:spacing w:val="-6"/>
        </w:rPr>
        <w:t xml:space="preserve"> </w:t>
      </w:r>
      <w:r>
        <w:t>the</w:t>
      </w:r>
      <w:r>
        <w:rPr>
          <w:spacing w:val="-7"/>
        </w:rPr>
        <w:t xml:space="preserve"> </w:t>
      </w:r>
      <w:r>
        <w:t>exclusion</w:t>
      </w:r>
      <w:r>
        <w:rPr>
          <w:spacing w:val="-6"/>
        </w:rPr>
        <w:t xml:space="preserve"> </w:t>
      </w:r>
      <w:r>
        <w:t>criteria</w:t>
      </w:r>
      <w:r>
        <w:rPr>
          <w:spacing w:val="-7"/>
        </w:rPr>
        <w:t xml:space="preserve"> </w:t>
      </w:r>
      <w:r>
        <w:t>reflects</w:t>
      </w:r>
      <w:r>
        <w:rPr>
          <w:spacing w:val="-6"/>
        </w:rPr>
        <w:t xml:space="preserve"> </w:t>
      </w:r>
      <w:r>
        <w:t>either</w:t>
      </w:r>
      <w:r>
        <w:rPr>
          <w:spacing w:val="-5"/>
        </w:rPr>
        <w:t xml:space="preserve"> </w:t>
      </w:r>
      <w:r>
        <w:t>already</w:t>
      </w:r>
      <w:r>
        <w:rPr>
          <w:spacing w:val="-11"/>
        </w:rPr>
        <w:t xml:space="preserve"> </w:t>
      </w:r>
      <w:r>
        <w:t>existing</w:t>
      </w:r>
      <w:r>
        <w:rPr>
          <w:spacing w:val="-8"/>
        </w:rPr>
        <w:t xml:space="preserve"> </w:t>
      </w:r>
      <w:r>
        <w:t>contraindications</w:t>
      </w:r>
      <w:r>
        <w:rPr>
          <w:spacing w:val="-6"/>
        </w:rPr>
        <w:t xml:space="preserve"> </w:t>
      </w:r>
      <w:r>
        <w:t>or</w:t>
      </w:r>
      <w:r>
        <w:rPr>
          <w:spacing w:val="-7"/>
        </w:rPr>
        <w:t xml:space="preserve"> </w:t>
      </w:r>
      <w:r>
        <w:t>precautions</w:t>
      </w:r>
      <w:r>
        <w:rPr>
          <w:spacing w:val="-6"/>
        </w:rPr>
        <w:t xml:space="preserve"> </w:t>
      </w:r>
      <w:r>
        <w:t xml:space="preserve">in the </w:t>
      </w:r>
      <w:r w:rsidR="00CC3432">
        <w:t>Stelara</w:t>
      </w:r>
      <w:r>
        <w:t xml:space="preserve"> Australian PI or standard criteria which</w:t>
      </w:r>
      <w:r w:rsidR="00192D8C">
        <w:t>,</w:t>
      </w:r>
      <w:r>
        <w:t xml:space="preserve"> if present</w:t>
      </w:r>
      <w:r w:rsidR="00192D8C">
        <w:t>,</w:t>
      </w:r>
      <w:r>
        <w:t xml:space="preserve"> could possibly confound the ability to assess the effect of treatment with the investigational product. The current </w:t>
      </w:r>
      <w:r w:rsidR="00CC3432">
        <w:t>Stelara</w:t>
      </w:r>
      <w:r>
        <w:t xml:space="preserve"> Australian PI is an appropriate tool for helping to ensure the right patients are treated with </w:t>
      </w:r>
      <w:r w:rsidR="00CC3432">
        <w:t>Stelara</w:t>
      </w:r>
      <w:r>
        <w:t xml:space="preserve"> and no additional amendments are</w:t>
      </w:r>
      <w:r>
        <w:rPr>
          <w:spacing w:val="-12"/>
        </w:rPr>
        <w:t xml:space="preserve"> </w:t>
      </w:r>
      <w:r>
        <w:t>warranted.</w:t>
      </w:r>
    </w:p>
    <w:p w14:paraId="0D2333C5" w14:textId="77777777" w:rsidR="00AF3C3D" w:rsidRDefault="00AF3C3D" w:rsidP="00192D8C">
      <w:r>
        <w:t xml:space="preserve">The Delegate has commented about the dose response being poor for both the induction dose and the maintenance dose interval. Regarding induction, it is correct that both the 130 mg and the </w:t>
      </w:r>
      <w:r w:rsidR="004B6C8D">
        <w:t xml:space="preserve">approximately </w:t>
      </w:r>
      <w:r>
        <w:t>6 mg/kg dose provided rapid, meaningful clinical benefit across a range of endpoints in the broad Crohn’s Disease population. However, the totality of the evidence ac</w:t>
      </w:r>
      <w:r w:rsidR="00192D8C">
        <w:t xml:space="preserve">ross clinical outcomes, patient </w:t>
      </w:r>
      <w:r>
        <w:t>reported</w:t>
      </w:r>
      <w:r w:rsidR="00EF0460">
        <w:t xml:space="preserve"> </w:t>
      </w:r>
      <w:r>
        <w:t>outcomes</w:t>
      </w:r>
      <w:r w:rsidR="00EF0460">
        <w:t xml:space="preserve"> </w:t>
      </w:r>
      <w:r>
        <w:t>and</w:t>
      </w:r>
      <w:r w:rsidR="00EF0460">
        <w:t xml:space="preserve"> </w:t>
      </w:r>
      <w:r>
        <w:t>inflammatory</w:t>
      </w:r>
      <w:r w:rsidR="00EF0460">
        <w:t xml:space="preserve"> </w:t>
      </w:r>
      <w:r>
        <w:t>biomarkers</w:t>
      </w:r>
      <w:r w:rsidR="00EF0460">
        <w:t xml:space="preserve"> </w:t>
      </w:r>
      <w:r>
        <w:t>confirmed</w:t>
      </w:r>
      <w:r w:rsidR="00EF0460">
        <w:t xml:space="preserve"> </w:t>
      </w:r>
      <w:r>
        <w:t>that</w:t>
      </w:r>
      <w:r w:rsidR="00EF0460">
        <w:t xml:space="preserve"> </w:t>
      </w:r>
      <w:r>
        <w:t>the</w:t>
      </w:r>
      <w:r w:rsidR="00EF0460">
        <w:t xml:space="preserve"> </w:t>
      </w:r>
      <w:r w:rsidR="004B6C8D">
        <w:t xml:space="preserve">approximately </w:t>
      </w:r>
      <w:r>
        <w:t>6</w:t>
      </w:r>
      <w:r w:rsidR="00EF0460">
        <w:t xml:space="preserve"> </w:t>
      </w:r>
      <w:r>
        <w:t>mg/kg</w:t>
      </w:r>
      <w:r w:rsidR="00EF0460">
        <w:t xml:space="preserve"> </w:t>
      </w:r>
      <w:r>
        <w:t>dose</w:t>
      </w:r>
      <w:r w:rsidR="00F745D9">
        <w:t xml:space="preserve"> </w:t>
      </w:r>
      <w:r>
        <w:t xml:space="preserve">performed better than the 130 mg dose, especially in observations of clinical remission at Week 8 (the 130 mg dose group started to lose response between Weeks 6 and 8 while the </w:t>
      </w:r>
      <w:r w:rsidR="004B6C8D">
        <w:t xml:space="preserve">approximately </w:t>
      </w:r>
      <w:r>
        <w:t>6 mg/kg dose was stable or continued to improve). No meaningful differences in safety were observed. Regarding the maintenance dose, the totality of the clinical, patient</w:t>
      </w:r>
      <w:r w:rsidR="00192D8C">
        <w:t xml:space="preserve"> </w:t>
      </w:r>
      <w:r>
        <w:t>reported, and objective inflammatory marker data presented demonstrates that dosing every 8 weeks (q8w) is the single best</w:t>
      </w:r>
      <w:r>
        <w:rPr>
          <w:spacing w:val="-13"/>
        </w:rPr>
        <w:t xml:space="preserve"> </w:t>
      </w:r>
      <w:r>
        <w:t>regimen</w:t>
      </w:r>
      <w:r>
        <w:rPr>
          <w:spacing w:val="-14"/>
        </w:rPr>
        <w:t xml:space="preserve"> </w:t>
      </w:r>
      <w:r>
        <w:t>to</w:t>
      </w:r>
      <w:r>
        <w:rPr>
          <w:spacing w:val="-13"/>
        </w:rPr>
        <w:t xml:space="preserve"> </w:t>
      </w:r>
      <w:r>
        <w:t>which</w:t>
      </w:r>
      <w:r>
        <w:rPr>
          <w:spacing w:val="-13"/>
        </w:rPr>
        <w:t xml:space="preserve"> </w:t>
      </w:r>
      <w:r>
        <w:t>all</w:t>
      </w:r>
      <w:r>
        <w:rPr>
          <w:spacing w:val="-10"/>
        </w:rPr>
        <w:t xml:space="preserve"> </w:t>
      </w:r>
      <w:r>
        <w:t>patients</w:t>
      </w:r>
      <w:r>
        <w:rPr>
          <w:spacing w:val="-13"/>
        </w:rPr>
        <w:t xml:space="preserve"> </w:t>
      </w:r>
      <w:r>
        <w:t>should</w:t>
      </w:r>
      <w:r>
        <w:rPr>
          <w:spacing w:val="-13"/>
        </w:rPr>
        <w:t xml:space="preserve"> </w:t>
      </w:r>
      <w:r>
        <w:t>have</w:t>
      </w:r>
      <w:r>
        <w:rPr>
          <w:spacing w:val="-14"/>
        </w:rPr>
        <w:t xml:space="preserve"> </w:t>
      </w:r>
      <w:r>
        <w:t>access,</w:t>
      </w:r>
      <w:r>
        <w:rPr>
          <w:spacing w:val="-13"/>
        </w:rPr>
        <w:t xml:space="preserve"> </w:t>
      </w:r>
      <w:r>
        <w:t>and</w:t>
      </w:r>
      <w:r>
        <w:rPr>
          <w:spacing w:val="-13"/>
        </w:rPr>
        <w:t xml:space="preserve"> </w:t>
      </w:r>
      <w:r>
        <w:t>equally</w:t>
      </w:r>
      <w:r>
        <w:rPr>
          <w:spacing w:val="-18"/>
        </w:rPr>
        <w:t xml:space="preserve"> </w:t>
      </w:r>
      <w:r>
        <w:t>safe</w:t>
      </w:r>
      <w:r>
        <w:rPr>
          <w:spacing w:val="-14"/>
        </w:rPr>
        <w:t xml:space="preserve"> </w:t>
      </w:r>
      <w:r>
        <w:t>compared</w:t>
      </w:r>
      <w:r>
        <w:rPr>
          <w:spacing w:val="-13"/>
        </w:rPr>
        <w:t xml:space="preserve"> </w:t>
      </w:r>
      <w:r>
        <w:t>with</w:t>
      </w:r>
      <w:r>
        <w:rPr>
          <w:spacing w:val="-12"/>
        </w:rPr>
        <w:t xml:space="preserve"> </w:t>
      </w:r>
      <w:r>
        <w:t>dosing</w:t>
      </w:r>
      <w:r>
        <w:rPr>
          <w:spacing w:val="-16"/>
        </w:rPr>
        <w:t xml:space="preserve"> </w:t>
      </w:r>
      <w:r>
        <w:t>every 12 weeks (q12w). Although the q12w regimen maintained clinical response and met the endpoint of clinical remission and corticosteroid-free remission, q8w performed better overall. Differences that were most notable in more stringent efficacy endpoints at Week 44 with q8w versus q12w included</w:t>
      </w:r>
      <w:r>
        <w:rPr>
          <w:spacing w:val="-14"/>
        </w:rPr>
        <w:t xml:space="preserve"> </w:t>
      </w:r>
      <w:r>
        <w:t>overall</w:t>
      </w:r>
      <w:r>
        <w:rPr>
          <w:spacing w:val="-13"/>
        </w:rPr>
        <w:t xml:space="preserve"> </w:t>
      </w:r>
      <w:r>
        <w:t>remission</w:t>
      </w:r>
      <w:r>
        <w:rPr>
          <w:spacing w:val="-13"/>
        </w:rPr>
        <w:t xml:space="preserve"> </w:t>
      </w:r>
      <w:r>
        <w:t>(especially</w:t>
      </w:r>
      <w:r>
        <w:rPr>
          <w:spacing w:val="-21"/>
        </w:rPr>
        <w:t xml:space="preserve"> </w:t>
      </w:r>
      <w:r>
        <w:t>in</w:t>
      </w:r>
      <w:r>
        <w:rPr>
          <w:spacing w:val="-13"/>
        </w:rPr>
        <w:t xml:space="preserve"> </w:t>
      </w:r>
      <w:r>
        <w:t>TNF</w:t>
      </w:r>
      <w:r>
        <w:rPr>
          <w:spacing w:val="-13"/>
        </w:rPr>
        <w:t xml:space="preserve"> </w:t>
      </w:r>
      <w:r>
        <w:t>antagonist-naïve</w:t>
      </w:r>
      <w:r>
        <w:rPr>
          <w:spacing w:val="-14"/>
        </w:rPr>
        <w:t xml:space="preserve"> </w:t>
      </w:r>
      <w:r>
        <w:t>patients),</w:t>
      </w:r>
      <w:r>
        <w:rPr>
          <w:spacing w:val="-13"/>
        </w:rPr>
        <w:t xml:space="preserve"> </w:t>
      </w:r>
      <w:r>
        <w:t>remission</w:t>
      </w:r>
      <w:r>
        <w:rPr>
          <w:spacing w:val="-13"/>
        </w:rPr>
        <w:t xml:space="preserve"> </w:t>
      </w:r>
      <w:r>
        <w:t>in</w:t>
      </w:r>
      <w:r>
        <w:rPr>
          <w:spacing w:val="-15"/>
        </w:rPr>
        <w:t xml:space="preserve"> </w:t>
      </w:r>
      <w:r>
        <w:t>subjects</w:t>
      </w:r>
      <w:r>
        <w:rPr>
          <w:spacing w:val="-13"/>
        </w:rPr>
        <w:t xml:space="preserve"> </w:t>
      </w:r>
      <w:r>
        <w:t>who entered maintenance in remission and sustained remission, as well as clinically meaningful improvements in quality-of-life measures. There was no apparent safety difference between the q8w and q12w regimens. Based on this, the induction dose based on weight and the q8w maintenance dose is the recommended dosage</w:t>
      </w:r>
      <w:r>
        <w:rPr>
          <w:spacing w:val="-8"/>
        </w:rPr>
        <w:t xml:space="preserve"> </w:t>
      </w:r>
      <w:r>
        <w:t>regimen.</w:t>
      </w:r>
    </w:p>
    <w:p w14:paraId="1A85D087" w14:textId="77777777" w:rsidR="00AF3C3D" w:rsidRDefault="00AF3C3D" w:rsidP="00192D8C">
      <w:r>
        <w:t>The Delegate has also raised the possibility of, for example, a repeat induction course on loss of response.</w:t>
      </w:r>
      <w:r>
        <w:rPr>
          <w:spacing w:val="32"/>
        </w:rPr>
        <w:t xml:space="preserve"> </w:t>
      </w:r>
      <w:r>
        <w:t>This</w:t>
      </w:r>
      <w:r>
        <w:rPr>
          <w:spacing w:val="-16"/>
        </w:rPr>
        <w:t xml:space="preserve"> </w:t>
      </w:r>
      <w:r>
        <w:t>was</w:t>
      </w:r>
      <w:r>
        <w:rPr>
          <w:spacing w:val="-14"/>
        </w:rPr>
        <w:t xml:space="preserve"> </w:t>
      </w:r>
      <w:r>
        <w:t>not</w:t>
      </w:r>
      <w:r>
        <w:rPr>
          <w:spacing w:val="-14"/>
        </w:rPr>
        <w:t xml:space="preserve"> </w:t>
      </w:r>
      <w:r>
        <w:t>studied</w:t>
      </w:r>
      <w:r>
        <w:rPr>
          <w:spacing w:val="-14"/>
        </w:rPr>
        <w:t xml:space="preserve"> </w:t>
      </w:r>
      <w:r>
        <w:t>but</w:t>
      </w:r>
      <w:r>
        <w:rPr>
          <w:spacing w:val="-14"/>
        </w:rPr>
        <w:t xml:space="preserve"> </w:t>
      </w:r>
      <w:r>
        <w:t>the</w:t>
      </w:r>
      <w:r>
        <w:rPr>
          <w:spacing w:val="-13"/>
        </w:rPr>
        <w:t xml:space="preserve"> </w:t>
      </w:r>
      <w:r>
        <w:t>results</w:t>
      </w:r>
      <w:r>
        <w:rPr>
          <w:spacing w:val="-16"/>
        </w:rPr>
        <w:t xml:space="preserve"> </w:t>
      </w:r>
      <w:r>
        <w:t>from</w:t>
      </w:r>
      <w:r>
        <w:rPr>
          <w:spacing w:val="-14"/>
        </w:rPr>
        <w:t xml:space="preserve"> </w:t>
      </w:r>
      <w:r>
        <w:t>the</w:t>
      </w:r>
      <w:r>
        <w:rPr>
          <w:spacing w:val="-14"/>
        </w:rPr>
        <w:t xml:space="preserve"> </w:t>
      </w:r>
      <w:r>
        <w:t>SC</w:t>
      </w:r>
      <w:r>
        <w:rPr>
          <w:spacing w:val="-14"/>
        </w:rPr>
        <w:t xml:space="preserve"> </w:t>
      </w:r>
      <w:r>
        <w:t>placebo</w:t>
      </w:r>
      <w:r>
        <w:rPr>
          <w:spacing w:val="-12"/>
        </w:rPr>
        <w:t xml:space="preserve"> </w:t>
      </w:r>
      <w:r>
        <w:t>group</w:t>
      </w:r>
      <w:r>
        <w:rPr>
          <w:spacing w:val="-13"/>
        </w:rPr>
        <w:t xml:space="preserve"> </w:t>
      </w:r>
      <w:r>
        <w:t>in</w:t>
      </w:r>
      <w:r>
        <w:rPr>
          <w:spacing w:val="-14"/>
        </w:rPr>
        <w:t xml:space="preserve"> </w:t>
      </w:r>
      <w:r>
        <w:t>the</w:t>
      </w:r>
      <w:r>
        <w:rPr>
          <w:spacing w:val="-16"/>
        </w:rPr>
        <w:t xml:space="preserve"> </w:t>
      </w:r>
      <w:r>
        <w:t>primary</w:t>
      </w:r>
      <w:r>
        <w:rPr>
          <w:spacing w:val="-20"/>
        </w:rPr>
        <w:t xml:space="preserve"> </w:t>
      </w:r>
      <w:r>
        <w:t xml:space="preserve">population of CRD3003 where subjects who lost response and received </w:t>
      </w:r>
      <w:r w:rsidR="00CC3432">
        <w:t>Stelara</w:t>
      </w:r>
      <w:r>
        <w:t xml:space="preserve"> upon loss of response, indicate that most subjects are able to regain benefit upon reintroduction of </w:t>
      </w:r>
      <w:r w:rsidR="00CC3432">
        <w:t>Stelara</w:t>
      </w:r>
      <w:r>
        <w:t xml:space="preserve"> by the SC route, without necessitating re-induction by the IV route, despite treatment interruptions of up to 32</w:t>
      </w:r>
      <w:r>
        <w:rPr>
          <w:spacing w:val="-4"/>
        </w:rPr>
        <w:t xml:space="preserve"> </w:t>
      </w:r>
      <w:r>
        <w:t>weeks.</w:t>
      </w:r>
    </w:p>
    <w:p w14:paraId="1A9D9B38" w14:textId="77777777" w:rsidR="00AF3C3D" w:rsidRDefault="00AF3C3D" w:rsidP="00F745D9">
      <w:pPr>
        <w:pStyle w:val="Heading5"/>
      </w:pPr>
      <w:r>
        <w:t>Conclusion</w:t>
      </w:r>
    </w:p>
    <w:p w14:paraId="2B587475" w14:textId="77777777" w:rsidR="00AF3C3D" w:rsidRDefault="00192D8C" w:rsidP="00F745D9">
      <w:r>
        <w:t xml:space="preserve">A broad range of biologic </w:t>
      </w:r>
      <w:r w:rsidR="00AF3C3D">
        <w:t>eligible patients with Crohn’s Disease would benefit from treatment with</w:t>
      </w:r>
      <w:r w:rsidR="00AF3C3D">
        <w:rPr>
          <w:spacing w:val="-15"/>
        </w:rPr>
        <w:t xml:space="preserve"> </w:t>
      </w:r>
      <w:r w:rsidR="00CC3432">
        <w:t>Stelara</w:t>
      </w:r>
      <w:r w:rsidR="00AF3C3D">
        <w:t>,</w:t>
      </w:r>
      <w:r w:rsidR="00AF3C3D">
        <w:rPr>
          <w:spacing w:val="-16"/>
        </w:rPr>
        <w:t xml:space="preserve"> </w:t>
      </w:r>
      <w:r w:rsidR="00AF3C3D">
        <w:t>from</w:t>
      </w:r>
      <w:r w:rsidR="00AF3C3D">
        <w:rPr>
          <w:spacing w:val="-15"/>
        </w:rPr>
        <w:t xml:space="preserve"> </w:t>
      </w:r>
      <w:r w:rsidR="00AF3C3D">
        <w:t>those</w:t>
      </w:r>
      <w:r w:rsidR="00AF3C3D">
        <w:rPr>
          <w:spacing w:val="-16"/>
        </w:rPr>
        <w:t xml:space="preserve"> </w:t>
      </w:r>
      <w:r w:rsidR="00AF3C3D">
        <w:t>who</w:t>
      </w:r>
      <w:r w:rsidR="00AF3C3D">
        <w:rPr>
          <w:spacing w:val="-16"/>
        </w:rPr>
        <w:t xml:space="preserve"> </w:t>
      </w:r>
      <w:r w:rsidR="00AF3C3D">
        <w:t>are</w:t>
      </w:r>
      <w:r w:rsidR="00AF3C3D">
        <w:rPr>
          <w:spacing w:val="-18"/>
        </w:rPr>
        <w:t xml:space="preserve"> </w:t>
      </w:r>
      <w:r w:rsidR="00AF3C3D">
        <w:t>TNF</w:t>
      </w:r>
      <w:r w:rsidR="00AF3C3D">
        <w:rPr>
          <w:spacing w:val="-16"/>
        </w:rPr>
        <w:t xml:space="preserve"> </w:t>
      </w:r>
      <w:r w:rsidR="00AF3C3D">
        <w:t>antagonist-naïve</w:t>
      </w:r>
      <w:r w:rsidR="00AF3C3D">
        <w:rPr>
          <w:spacing w:val="-16"/>
        </w:rPr>
        <w:t xml:space="preserve"> </w:t>
      </w:r>
      <w:r w:rsidR="00AF3C3D">
        <w:t>and</w:t>
      </w:r>
      <w:r w:rsidR="00AF3C3D">
        <w:rPr>
          <w:spacing w:val="-16"/>
        </w:rPr>
        <w:t xml:space="preserve"> </w:t>
      </w:r>
      <w:r w:rsidR="00AF3C3D">
        <w:t>have</w:t>
      </w:r>
      <w:r w:rsidR="00AF3C3D">
        <w:rPr>
          <w:spacing w:val="-17"/>
        </w:rPr>
        <w:t xml:space="preserve"> </w:t>
      </w:r>
      <w:r w:rsidR="00AF3C3D">
        <w:t>previously</w:t>
      </w:r>
      <w:r w:rsidR="00AF3C3D">
        <w:rPr>
          <w:spacing w:val="-21"/>
        </w:rPr>
        <w:t xml:space="preserve"> </w:t>
      </w:r>
      <w:r w:rsidR="00AF3C3D">
        <w:t>failed</w:t>
      </w:r>
      <w:r w:rsidR="00AF3C3D">
        <w:rPr>
          <w:spacing w:val="-14"/>
        </w:rPr>
        <w:t xml:space="preserve"> </w:t>
      </w:r>
      <w:r w:rsidR="00AF3C3D">
        <w:t>only</w:t>
      </w:r>
      <w:r w:rsidR="00AF3C3D">
        <w:rPr>
          <w:spacing w:val="-21"/>
        </w:rPr>
        <w:t xml:space="preserve"> </w:t>
      </w:r>
      <w:r w:rsidR="00AF3C3D">
        <w:t xml:space="preserve">steroids or </w:t>
      </w:r>
      <w:r>
        <w:t>immune-</w:t>
      </w:r>
      <w:r w:rsidR="00AF3C3D">
        <w:t>modulators, to those who have previously failed two or more TNF antagonists. The clinical development program was designed with these patient populations in mind and data demonstrating safet</w:t>
      </w:r>
      <w:r>
        <w:t xml:space="preserve">y and efficacy in both biologic </w:t>
      </w:r>
      <w:r w:rsidR="00AF3C3D">
        <w:t xml:space="preserve">refractory </w:t>
      </w:r>
      <w:r>
        <w:lastRenderedPageBreak/>
        <w:t xml:space="preserve">and biologic </w:t>
      </w:r>
      <w:r w:rsidR="00AF3C3D">
        <w:t>naïve Crohn’s Disease patients were submitted to support the approval of the following proposed</w:t>
      </w:r>
      <w:r w:rsidR="00AF3C3D">
        <w:rPr>
          <w:spacing w:val="-14"/>
        </w:rPr>
        <w:t xml:space="preserve"> </w:t>
      </w:r>
      <w:r w:rsidR="00AF3C3D">
        <w:t>indication:</w:t>
      </w:r>
    </w:p>
    <w:p w14:paraId="7B78806C" w14:textId="77777777" w:rsidR="00AF3C3D" w:rsidRPr="00192D8C" w:rsidRDefault="00CC3432" w:rsidP="00192D8C">
      <w:pPr>
        <w:ind w:left="720"/>
        <w:rPr>
          <w:i/>
        </w:rPr>
      </w:pPr>
      <w:r w:rsidRPr="00192D8C">
        <w:rPr>
          <w:i/>
        </w:rPr>
        <w:t>Stelara</w:t>
      </w:r>
      <w:r w:rsidR="00AF3C3D" w:rsidRPr="00192D8C">
        <w:rPr>
          <w:i/>
          <w:spacing w:val="-9"/>
        </w:rPr>
        <w:t xml:space="preserve"> </w:t>
      </w:r>
      <w:r w:rsidR="00AF3C3D" w:rsidRPr="00192D8C">
        <w:rPr>
          <w:i/>
        </w:rPr>
        <w:t>is</w:t>
      </w:r>
      <w:r w:rsidR="00AF3C3D" w:rsidRPr="00192D8C">
        <w:rPr>
          <w:i/>
          <w:spacing w:val="-8"/>
        </w:rPr>
        <w:t xml:space="preserve"> </w:t>
      </w:r>
      <w:r w:rsidR="00AF3C3D" w:rsidRPr="00192D8C">
        <w:rPr>
          <w:i/>
        </w:rPr>
        <w:t>indicated</w:t>
      </w:r>
      <w:r w:rsidR="00AF3C3D" w:rsidRPr="00192D8C">
        <w:rPr>
          <w:i/>
          <w:spacing w:val="-9"/>
        </w:rPr>
        <w:t xml:space="preserve"> </w:t>
      </w:r>
      <w:r w:rsidR="00AF3C3D" w:rsidRPr="00192D8C">
        <w:rPr>
          <w:i/>
        </w:rPr>
        <w:t>for</w:t>
      </w:r>
      <w:r w:rsidR="00AF3C3D" w:rsidRPr="00192D8C">
        <w:rPr>
          <w:i/>
          <w:spacing w:val="-8"/>
        </w:rPr>
        <w:t xml:space="preserve"> </w:t>
      </w:r>
      <w:r w:rsidR="00AF3C3D" w:rsidRPr="00192D8C">
        <w:rPr>
          <w:i/>
        </w:rPr>
        <w:t>the</w:t>
      </w:r>
      <w:r w:rsidR="00AF3C3D" w:rsidRPr="00192D8C">
        <w:rPr>
          <w:i/>
          <w:spacing w:val="-9"/>
        </w:rPr>
        <w:t xml:space="preserve"> </w:t>
      </w:r>
      <w:r w:rsidR="00AF3C3D" w:rsidRPr="00192D8C">
        <w:rPr>
          <w:i/>
        </w:rPr>
        <w:t>treatment</w:t>
      </w:r>
      <w:r w:rsidR="00AF3C3D" w:rsidRPr="00192D8C">
        <w:rPr>
          <w:i/>
          <w:spacing w:val="-8"/>
        </w:rPr>
        <w:t xml:space="preserve"> </w:t>
      </w:r>
      <w:r w:rsidR="00AF3C3D" w:rsidRPr="00192D8C">
        <w:rPr>
          <w:i/>
        </w:rPr>
        <w:t>of</w:t>
      </w:r>
      <w:r w:rsidR="00AF3C3D" w:rsidRPr="00192D8C">
        <w:rPr>
          <w:i/>
          <w:spacing w:val="-8"/>
        </w:rPr>
        <w:t xml:space="preserve"> </w:t>
      </w:r>
      <w:r w:rsidR="00AF3C3D" w:rsidRPr="00192D8C">
        <w:rPr>
          <w:i/>
        </w:rPr>
        <w:t>adult</w:t>
      </w:r>
      <w:r w:rsidR="00AF3C3D" w:rsidRPr="00192D8C">
        <w:rPr>
          <w:i/>
          <w:spacing w:val="-8"/>
        </w:rPr>
        <w:t xml:space="preserve"> </w:t>
      </w:r>
      <w:r w:rsidR="00AF3C3D" w:rsidRPr="00192D8C">
        <w:rPr>
          <w:i/>
        </w:rPr>
        <w:t>patients</w:t>
      </w:r>
      <w:r w:rsidR="00AF3C3D" w:rsidRPr="00192D8C">
        <w:rPr>
          <w:i/>
          <w:spacing w:val="-8"/>
        </w:rPr>
        <w:t xml:space="preserve"> </w:t>
      </w:r>
      <w:r w:rsidR="00AF3C3D" w:rsidRPr="00192D8C">
        <w:rPr>
          <w:i/>
        </w:rPr>
        <w:t>with</w:t>
      </w:r>
      <w:r w:rsidR="00AF3C3D" w:rsidRPr="00192D8C">
        <w:rPr>
          <w:i/>
          <w:spacing w:val="-9"/>
        </w:rPr>
        <w:t xml:space="preserve"> </w:t>
      </w:r>
      <w:r w:rsidR="00AF3C3D" w:rsidRPr="00192D8C">
        <w:rPr>
          <w:i/>
        </w:rPr>
        <w:t>moderately</w:t>
      </w:r>
      <w:r w:rsidR="00AF3C3D" w:rsidRPr="00192D8C">
        <w:rPr>
          <w:i/>
          <w:spacing w:val="-9"/>
        </w:rPr>
        <w:t xml:space="preserve"> </w:t>
      </w:r>
      <w:r w:rsidR="00AF3C3D" w:rsidRPr="00192D8C">
        <w:rPr>
          <w:i/>
        </w:rPr>
        <w:t>to</w:t>
      </w:r>
      <w:r w:rsidR="00AF3C3D" w:rsidRPr="00192D8C">
        <w:rPr>
          <w:i/>
          <w:spacing w:val="-8"/>
        </w:rPr>
        <w:t xml:space="preserve"> </w:t>
      </w:r>
      <w:r w:rsidR="00AF3C3D" w:rsidRPr="00192D8C">
        <w:rPr>
          <w:i/>
        </w:rPr>
        <w:t>severely</w:t>
      </w:r>
      <w:r w:rsidR="00AF3C3D" w:rsidRPr="00192D8C">
        <w:rPr>
          <w:i/>
          <w:spacing w:val="-10"/>
        </w:rPr>
        <w:t xml:space="preserve"> </w:t>
      </w:r>
      <w:r w:rsidR="00AF3C3D" w:rsidRPr="00192D8C">
        <w:rPr>
          <w:i/>
        </w:rPr>
        <w:t>active Crohn’s Disease who have had an inadequate response, lost response, were intolerant to conventional therapy or a TNFα antagonist or have medical contraindications to such therapies.</w:t>
      </w:r>
    </w:p>
    <w:p w14:paraId="58E399DB" w14:textId="77777777" w:rsidR="00AF3C3D" w:rsidRDefault="00AF3C3D" w:rsidP="00F745D9">
      <w:r>
        <w:t>For patients who have either exhausted existing treatment options or those who are relatively new to treatment, the lifelong course of Crohn’s Disease and the lack of a single enduring treatment highlight the inevitable need for additional treatment options with durable efficacy, a favourable benefit-risk</w:t>
      </w:r>
      <w:r>
        <w:rPr>
          <w:spacing w:val="-11"/>
        </w:rPr>
        <w:t xml:space="preserve"> </w:t>
      </w:r>
      <w:r>
        <w:t>profile,</w:t>
      </w:r>
      <w:r>
        <w:rPr>
          <w:spacing w:val="-9"/>
        </w:rPr>
        <w:t xml:space="preserve"> </w:t>
      </w:r>
      <w:r>
        <w:t>and</w:t>
      </w:r>
      <w:r>
        <w:rPr>
          <w:spacing w:val="-8"/>
        </w:rPr>
        <w:t xml:space="preserve"> </w:t>
      </w:r>
      <w:r>
        <w:t>minimally</w:t>
      </w:r>
      <w:r>
        <w:rPr>
          <w:spacing w:val="-18"/>
        </w:rPr>
        <w:t xml:space="preserve"> </w:t>
      </w:r>
      <w:r>
        <w:t>invasive</w:t>
      </w:r>
      <w:r>
        <w:rPr>
          <w:spacing w:val="-11"/>
        </w:rPr>
        <w:t xml:space="preserve"> </w:t>
      </w:r>
      <w:r>
        <w:t>dosing</w:t>
      </w:r>
      <w:r>
        <w:rPr>
          <w:spacing w:val="-11"/>
        </w:rPr>
        <w:t xml:space="preserve"> </w:t>
      </w:r>
      <w:r>
        <w:t>and</w:t>
      </w:r>
      <w:r>
        <w:rPr>
          <w:spacing w:val="-11"/>
        </w:rPr>
        <w:t xml:space="preserve"> </w:t>
      </w:r>
      <w:r>
        <w:t>frequency.</w:t>
      </w:r>
      <w:r>
        <w:rPr>
          <w:spacing w:val="40"/>
        </w:rPr>
        <w:t xml:space="preserve"> </w:t>
      </w:r>
      <w:r w:rsidR="00CC3432">
        <w:t>Stelara</w:t>
      </w:r>
      <w:r>
        <w:rPr>
          <w:spacing w:val="-12"/>
        </w:rPr>
        <w:t xml:space="preserve"> </w:t>
      </w:r>
      <w:r>
        <w:t>has</w:t>
      </w:r>
      <w:r>
        <w:rPr>
          <w:spacing w:val="-11"/>
        </w:rPr>
        <w:t xml:space="preserve"> </w:t>
      </w:r>
      <w:r>
        <w:t>these</w:t>
      </w:r>
      <w:r>
        <w:rPr>
          <w:spacing w:val="-10"/>
        </w:rPr>
        <w:t xml:space="preserve"> </w:t>
      </w:r>
      <w:r>
        <w:t>attributes, and offers a new mechanism of action with comparable, if not better efficacy than existing treatment</w:t>
      </w:r>
      <w:r>
        <w:rPr>
          <w:spacing w:val="-5"/>
        </w:rPr>
        <w:t xml:space="preserve"> </w:t>
      </w:r>
      <w:r>
        <w:t>options.</w:t>
      </w:r>
      <w:r>
        <w:rPr>
          <w:spacing w:val="-5"/>
        </w:rPr>
        <w:t xml:space="preserve"> </w:t>
      </w:r>
      <w:r>
        <w:t>The</w:t>
      </w:r>
      <w:r>
        <w:rPr>
          <w:spacing w:val="-6"/>
        </w:rPr>
        <w:t xml:space="preserve"> </w:t>
      </w:r>
      <w:r>
        <w:t>indication</w:t>
      </w:r>
      <w:r>
        <w:rPr>
          <w:spacing w:val="-5"/>
        </w:rPr>
        <w:t xml:space="preserve"> </w:t>
      </w:r>
      <w:r>
        <w:t>proposed</w:t>
      </w:r>
      <w:r>
        <w:rPr>
          <w:spacing w:val="-3"/>
        </w:rPr>
        <w:t xml:space="preserve"> </w:t>
      </w:r>
      <w:r>
        <w:t>by</w:t>
      </w:r>
      <w:r>
        <w:rPr>
          <w:spacing w:val="-10"/>
        </w:rPr>
        <w:t xml:space="preserve"> </w:t>
      </w:r>
      <w:r>
        <w:t>the</w:t>
      </w:r>
      <w:r>
        <w:rPr>
          <w:spacing w:val="-1"/>
        </w:rPr>
        <w:t xml:space="preserve"> </w:t>
      </w:r>
      <w:r w:rsidR="00192D8C">
        <w:t>s</w:t>
      </w:r>
      <w:r>
        <w:t>ponsor</w:t>
      </w:r>
      <w:r>
        <w:rPr>
          <w:spacing w:val="-6"/>
        </w:rPr>
        <w:t xml:space="preserve"> </w:t>
      </w:r>
      <w:r>
        <w:t>is</w:t>
      </w:r>
      <w:r>
        <w:rPr>
          <w:spacing w:val="-5"/>
        </w:rPr>
        <w:t xml:space="preserve"> </w:t>
      </w:r>
      <w:r>
        <w:t>appropriate</w:t>
      </w:r>
      <w:r>
        <w:rPr>
          <w:spacing w:val="-3"/>
        </w:rPr>
        <w:t xml:space="preserve"> </w:t>
      </w:r>
      <w:r>
        <w:t>and</w:t>
      </w:r>
      <w:r>
        <w:rPr>
          <w:spacing w:val="-5"/>
        </w:rPr>
        <w:t xml:space="preserve"> </w:t>
      </w:r>
      <w:r>
        <w:t>clinically</w:t>
      </w:r>
      <w:r>
        <w:rPr>
          <w:spacing w:val="-10"/>
        </w:rPr>
        <w:t xml:space="preserve"> </w:t>
      </w:r>
      <w:r>
        <w:t>justified</w:t>
      </w:r>
      <w:r>
        <w:rPr>
          <w:spacing w:val="-5"/>
        </w:rPr>
        <w:t xml:space="preserve"> </w:t>
      </w:r>
      <w:r>
        <w:t>to meet the areas of unmet need in</w:t>
      </w:r>
      <w:r>
        <w:rPr>
          <w:spacing w:val="-9"/>
        </w:rPr>
        <w:t xml:space="preserve"> </w:t>
      </w:r>
      <w:r>
        <w:t>Australia.</w:t>
      </w:r>
    </w:p>
    <w:p w14:paraId="2E9252AE" w14:textId="77777777" w:rsidR="00AF3C3D" w:rsidRDefault="00AF3C3D" w:rsidP="00192D8C">
      <w:pPr>
        <w:pStyle w:val="FigureTitle"/>
      </w:pPr>
      <w:r>
        <w:t>Figure</w:t>
      </w:r>
      <w:r>
        <w:rPr>
          <w:spacing w:val="-2"/>
        </w:rPr>
        <w:t xml:space="preserve"> </w:t>
      </w:r>
      <w:r w:rsidR="00192D8C">
        <w:rPr>
          <w:spacing w:val="-2"/>
        </w:rPr>
        <w:t xml:space="preserve">2: </w:t>
      </w:r>
      <w:r>
        <w:t xml:space="preserve">Development program for </w:t>
      </w:r>
      <w:r w:rsidR="00CC3432">
        <w:t>Stelara</w:t>
      </w:r>
      <w:r>
        <w:t xml:space="preserve"> in Crohn’s</w:t>
      </w:r>
      <w:r>
        <w:rPr>
          <w:spacing w:val="-13"/>
        </w:rPr>
        <w:t xml:space="preserve"> </w:t>
      </w:r>
      <w:r>
        <w:t>Disease</w:t>
      </w:r>
    </w:p>
    <w:p w14:paraId="3E7ABB2C" w14:textId="77777777" w:rsidR="00192D8C" w:rsidRDefault="00192D8C" w:rsidP="00A84195">
      <w:pPr>
        <w:pStyle w:val="FigureTitle"/>
        <w:keepNext w:val="0"/>
      </w:pPr>
      <w:r>
        <w:rPr>
          <w:noProof/>
          <w:lang w:eastAsia="en-AU"/>
        </w:rPr>
        <w:drawing>
          <wp:inline distT="0" distB="0" distL="0" distR="0" wp14:anchorId="3FD4E4E6" wp14:editId="498AD86A">
            <wp:extent cx="3981450" cy="2304780"/>
            <wp:effectExtent l="0" t="0" r="0" b="635"/>
            <wp:docPr id="3" name="Picture 3" descr="Figure 2 is an image of the development program for Stelara in Crohn’s 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extLst>
                        <a:ext uri="{BEBA8EAE-BF5A-486C-A8C5-ECC9F3942E4B}">
                          <a14:imgProps xmlns:a14="http://schemas.microsoft.com/office/drawing/2010/main">
                            <a14:imgLayer r:embed="rId19">
                              <a14:imgEffect>
                                <a14:sharpenSoften amount="50000"/>
                              </a14:imgEffect>
                            </a14:imgLayer>
                          </a14:imgProps>
                        </a:ext>
                      </a:extLst>
                    </a:blip>
                    <a:srcRect b="6435"/>
                    <a:stretch/>
                  </pic:blipFill>
                  <pic:spPr bwMode="auto">
                    <a:xfrm>
                      <a:off x="0" y="0"/>
                      <a:ext cx="3981838" cy="2305005"/>
                    </a:xfrm>
                    <a:prstGeom prst="rect">
                      <a:avLst/>
                    </a:prstGeom>
                    <a:ln>
                      <a:noFill/>
                    </a:ln>
                    <a:extLst>
                      <a:ext uri="{53640926-AAD7-44D8-BBD7-CCE9431645EC}">
                        <a14:shadowObscured xmlns:a14="http://schemas.microsoft.com/office/drawing/2010/main"/>
                      </a:ext>
                    </a:extLst>
                  </pic:spPr>
                </pic:pic>
              </a:graphicData>
            </a:graphic>
          </wp:inline>
        </w:drawing>
      </w:r>
    </w:p>
    <w:p w14:paraId="056B5849" w14:textId="77777777" w:rsidR="008E7846" w:rsidRDefault="008E7846" w:rsidP="008E7846">
      <w:pPr>
        <w:pStyle w:val="Heading4"/>
      </w:pPr>
      <w:r>
        <w:t>Advisory Committee Considerations</w:t>
      </w:r>
    </w:p>
    <w:p w14:paraId="02269F12" w14:textId="77777777" w:rsidR="00771643" w:rsidRDefault="00771643" w:rsidP="00771643">
      <w:pPr>
        <w:rPr>
          <w:b/>
          <w:bCs/>
        </w:rPr>
      </w:pPr>
      <w:r>
        <w:t xml:space="preserve">The ACM, taking into account the submitted evidence of efficacy, safety and quality, considered </w:t>
      </w:r>
      <w:r w:rsidR="00CC3432">
        <w:t>Stelara</w:t>
      </w:r>
      <w:r>
        <w:t xml:space="preserve"> solution for IV containing 5 mg/mL of ustekinumab are of the opinion that there is an overall positive benefit–risk profile for the indication</w:t>
      </w:r>
      <w:r w:rsidR="002A1C91">
        <w:t>;</w:t>
      </w:r>
    </w:p>
    <w:p w14:paraId="1EB13202" w14:textId="77777777" w:rsidR="00771643" w:rsidRPr="002A1C91" w:rsidRDefault="00CC3432" w:rsidP="002A1C91">
      <w:pPr>
        <w:ind w:left="720"/>
        <w:rPr>
          <w:i/>
        </w:rPr>
      </w:pPr>
      <w:r w:rsidRPr="002A1C91">
        <w:rPr>
          <w:i/>
        </w:rPr>
        <w:t>Stelara</w:t>
      </w:r>
      <w:r w:rsidR="00771643" w:rsidRPr="002A1C91">
        <w:rPr>
          <w:i/>
        </w:rPr>
        <w:t xml:space="preserve"> is indicated for the treatment of adult patients with moderately active Crohn’s disease who have had an inadequate response, lost response to, or were intolerant to either conventional therapy or a TNF</w:t>
      </w:r>
      <w:r w:rsidR="00771643" w:rsidRPr="002A1C91">
        <w:rPr>
          <w:rFonts w:ascii="Calibri" w:hAnsi="Calibri" w:cs="Calibri"/>
          <w:i/>
        </w:rPr>
        <w:t xml:space="preserve">α </w:t>
      </w:r>
      <w:r w:rsidR="00771643" w:rsidRPr="002A1C91">
        <w:rPr>
          <w:i/>
        </w:rPr>
        <w:t xml:space="preserve">antagonist or have medical contraindications to such </w:t>
      </w:r>
      <w:r w:rsidR="002A1C91">
        <w:rPr>
          <w:i/>
        </w:rPr>
        <w:t>t</w:t>
      </w:r>
      <w:r w:rsidR="00771643" w:rsidRPr="002A1C91">
        <w:rPr>
          <w:i/>
        </w:rPr>
        <w:t>herapy.</w:t>
      </w:r>
    </w:p>
    <w:p w14:paraId="0ED8409D" w14:textId="77777777" w:rsidR="00771643" w:rsidRDefault="00771643" w:rsidP="00771643">
      <w:pPr>
        <w:rPr>
          <w:b/>
          <w:bCs/>
          <w:i/>
          <w:iCs/>
        </w:rPr>
      </w:pPr>
      <w:r>
        <w:rPr>
          <w:b/>
          <w:bCs/>
          <w:i/>
          <w:iCs/>
        </w:rPr>
        <w:t>Proposed Product Information (PI)/Consumer Medicine Information (CMI) amendments</w:t>
      </w:r>
    </w:p>
    <w:p w14:paraId="19336EE6" w14:textId="77777777" w:rsidR="00771643" w:rsidRDefault="002A1C91" w:rsidP="002A1C91">
      <w:pPr>
        <w:pStyle w:val="ListBullet"/>
        <w:numPr>
          <w:ilvl w:val="0"/>
          <w:numId w:val="0"/>
        </w:numPr>
      </w:pPr>
      <w:r>
        <w:t>The ACM agreed with the D</w:t>
      </w:r>
      <w:r w:rsidR="00771643">
        <w:t>elegate to the proposed amendments to the Product Information (PI) and Consumer Medicine Information (CMI) and specifically advised on the inclusion of the following:</w:t>
      </w:r>
    </w:p>
    <w:p w14:paraId="6532394E" w14:textId="77777777" w:rsidR="00771643" w:rsidRDefault="00771643" w:rsidP="002A1C91">
      <w:pPr>
        <w:pStyle w:val="ListBullet"/>
      </w:pPr>
      <w:r>
        <w:t xml:space="preserve">A statement in the PI text discussing findings in tables of results indicating less </w:t>
      </w:r>
      <w:r>
        <w:rPr>
          <w:strike/>
        </w:rPr>
        <w:t xml:space="preserve">no </w:t>
      </w:r>
      <w:r>
        <w:t>benefits for patients who have failed TNF antagonist compared to TNF</w:t>
      </w:r>
      <w:r>
        <w:rPr>
          <w:rFonts w:ascii="Calibri" w:hAnsi="Calibri" w:cs="Calibri"/>
        </w:rPr>
        <w:t xml:space="preserve">α </w:t>
      </w:r>
      <w:r>
        <w:t>naïve patients.</w:t>
      </w:r>
    </w:p>
    <w:p w14:paraId="52CD57AD" w14:textId="77777777" w:rsidR="00771643" w:rsidRDefault="00771643" w:rsidP="002A1C91">
      <w:pPr>
        <w:pStyle w:val="ListBullet"/>
      </w:pPr>
      <w:r>
        <w:t>A statement in the PI similar to the EMA PI indication is acceptable but remove ‘</w:t>
      </w:r>
      <w:proofErr w:type="gramStart"/>
      <w:r>
        <w:t>to</w:t>
      </w:r>
      <w:proofErr w:type="gramEnd"/>
      <w:r>
        <w:t xml:space="preserve"> severely’</w:t>
      </w:r>
      <w:r>
        <w:rPr>
          <w:spacing w:val="-8"/>
        </w:rPr>
        <w:t xml:space="preserve"> </w:t>
      </w:r>
      <w:r>
        <w:t>statement.</w:t>
      </w:r>
    </w:p>
    <w:p w14:paraId="2AA968BB" w14:textId="77777777" w:rsidR="00771643" w:rsidRDefault="00771643" w:rsidP="002A1C91">
      <w:pPr>
        <w:pStyle w:val="ListBullet"/>
      </w:pPr>
      <w:r>
        <w:t>A</w:t>
      </w:r>
      <w:r>
        <w:rPr>
          <w:spacing w:val="-1"/>
        </w:rPr>
        <w:t xml:space="preserve"> </w:t>
      </w:r>
      <w:r>
        <w:t>statement</w:t>
      </w:r>
      <w:r>
        <w:rPr>
          <w:spacing w:val="-6"/>
        </w:rPr>
        <w:t xml:space="preserve"> </w:t>
      </w:r>
      <w:r>
        <w:t>in</w:t>
      </w:r>
      <w:r>
        <w:rPr>
          <w:spacing w:val="-1"/>
        </w:rPr>
        <w:t xml:space="preserve"> </w:t>
      </w:r>
      <w:r>
        <w:t>the</w:t>
      </w:r>
      <w:r>
        <w:rPr>
          <w:spacing w:val="-5"/>
        </w:rPr>
        <w:t xml:space="preserve"> </w:t>
      </w:r>
      <w:r>
        <w:t>PI</w:t>
      </w:r>
      <w:r>
        <w:rPr>
          <w:spacing w:val="-3"/>
        </w:rPr>
        <w:t xml:space="preserve"> </w:t>
      </w:r>
      <w:r>
        <w:t>warning</w:t>
      </w:r>
      <w:r>
        <w:rPr>
          <w:spacing w:val="-6"/>
        </w:rPr>
        <w:t xml:space="preserve"> </w:t>
      </w:r>
      <w:r>
        <w:t>patients</w:t>
      </w:r>
      <w:r>
        <w:rPr>
          <w:spacing w:val="-2"/>
        </w:rPr>
        <w:t xml:space="preserve"> </w:t>
      </w:r>
      <w:r>
        <w:t>that</w:t>
      </w:r>
      <w:r>
        <w:rPr>
          <w:spacing w:val="-1"/>
        </w:rPr>
        <w:t xml:space="preserve"> </w:t>
      </w:r>
      <w:r>
        <w:t>facial</w:t>
      </w:r>
      <w:r>
        <w:rPr>
          <w:spacing w:val="-5"/>
        </w:rPr>
        <w:t xml:space="preserve"> </w:t>
      </w:r>
      <w:r>
        <w:t>palsy</w:t>
      </w:r>
      <w:r>
        <w:rPr>
          <w:spacing w:val="-4"/>
        </w:rPr>
        <w:t xml:space="preserve"> </w:t>
      </w:r>
      <w:r>
        <w:t>was</w:t>
      </w:r>
      <w:r>
        <w:rPr>
          <w:spacing w:val="-2"/>
        </w:rPr>
        <w:t xml:space="preserve"> </w:t>
      </w:r>
      <w:r>
        <w:t>a</w:t>
      </w:r>
      <w:r>
        <w:rPr>
          <w:spacing w:val="-5"/>
        </w:rPr>
        <w:t xml:space="preserve"> </w:t>
      </w:r>
      <w:r>
        <w:t>possible</w:t>
      </w:r>
      <w:r>
        <w:rPr>
          <w:spacing w:val="-5"/>
        </w:rPr>
        <w:t xml:space="preserve"> </w:t>
      </w:r>
      <w:r>
        <w:t>adverse</w:t>
      </w:r>
      <w:r>
        <w:rPr>
          <w:spacing w:val="-5"/>
        </w:rPr>
        <w:t xml:space="preserve"> </w:t>
      </w:r>
      <w:r>
        <w:t>effect.</w:t>
      </w:r>
    </w:p>
    <w:p w14:paraId="4023A274" w14:textId="77777777" w:rsidR="00771643" w:rsidRDefault="00771643" w:rsidP="002A1C91">
      <w:pPr>
        <w:pStyle w:val="ListBullet"/>
      </w:pPr>
      <w:r>
        <w:lastRenderedPageBreak/>
        <w:t>A statement in the CMI warning patients who are having vaccines to consult with their doctor about possible adverse drug</w:t>
      </w:r>
      <w:r>
        <w:rPr>
          <w:spacing w:val="-22"/>
        </w:rPr>
        <w:t xml:space="preserve"> </w:t>
      </w:r>
      <w:r>
        <w:t>reaction</w:t>
      </w:r>
    </w:p>
    <w:p w14:paraId="321C11C9" w14:textId="77777777" w:rsidR="00771643" w:rsidRDefault="00771643" w:rsidP="002A1C91">
      <w:pPr>
        <w:pStyle w:val="Heading5"/>
      </w:pPr>
      <w:r>
        <w:t>Specific Advice</w:t>
      </w:r>
    </w:p>
    <w:p w14:paraId="79E31718" w14:textId="77777777" w:rsidR="00771643" w:rsidRDefault="00771643" w:rsidP="00771643">
      <w:r>
        <w:t>The ACM advised the following in response to the delegate’s specific questions on this submission:</w:t>
      </w:r>
    </w:p>
    <w:p w14:paraId="17F9F413" w14:textId="77777777" w:rsidR="00771643" w:rsidRPr="002A1C91" w:rsidRDefault="002A1C91" w:rsidP="00771643">
      <w:pPr>
        <w:rPr>
          <w:i/>
        </w:rPr>
      </w:pPr>
      <w:r>
        <w:t xml:space="preserve">1. </w:t>
      </w:r>
      <w:r w:rsidR="00771643" w:rsidRPr="002A1C91">
        <w:rPr>
          <w:i/>
        </w:rPr>
        <w:t>Given</w:t>
      </w:r>
      <w:r w:rsidR="00771643" w:rsidRPr="002A1C91">
        <w:rPr>
          <w:i/>
          <w:spacing w:val="-1"/>
        </w:rPr>
        <w:t xml:space="preserve"> </w:t>
      </w:r>
      <w:r w:rsidR="00771643" w:rsidRPr="002A1C91">
        <w:rPr>
          <w:i/>
        </w:rPr>
        <w:t>that:</w:t>
      </w:r>
    </w:p>
    <w:p w14:paraId="6B153638" w14:textId="77777777" w:rsidR="00771643" w:rsidRPr="002A1C91" w:rsidRDefault="00771643" w:rsidP="00771643">
      <w:pPr>
        <w:pStyle w:val="Numberbullet2"/>
        <w:rPr>
          <w:i/>
        </w:rPr>
      </w:pPr>
      <w:r w:rsidRPr="002A1C91">
        <w:rPr>
          <w:i/>
        </w:rPr>
        <w:t xml:space="preserve">the enhanced therapeutic efficacy of ustekinumab (Stelara) appears to be via the inhibition of a parallel but pharmacologically different inflammatory pathway, such as the IL-12/23 cytokine pathway, from those of other </w:t>
      </w:r>
      <w:r w:rsidR="00957FBB">
        <w:rPr>
          <w:i/>
        </w:rPr>
        <w:t>immune-</w:t>
      </w:r>
      <w:r w:rsidRPr="002A1C91">
        <w:rPr>
          <w:i/>
        </w:rPr>
        <w:t>modifiers, such as adalimumab (Humira), infliximab and vedolizumab used in Crohn’s disease</w:t>
      </w:r>
      <w:r w:rsidRPr="002A1C91">
        <w:rPr>
          <w:i/>
          <w:spacing w:val="-21"/>
        </w:rPr>
        <w:t xml:space="preserve"> </w:t>
      </w:r>
      <w:r w:rsidRPr="002A1C91">
        <w:rPr>
          <w:i/>
        </w:rPr>
        <w:t>(CD)</w:t>
      </w:r>
    </w:p>
    <w:p w14:paraId="27CE00D3" w14:textId="77777777" w:rsidR="00771643" w:rsidRDefault="00771643" w:rsidP="00771643">
      <w:r>
        <w:t xml:space="preserve">The ACM advised that there was no enhanced therapeutic efficacy of </w:t>
      </w:r>
      <w:r w:rsidR="00CC3432">
        <w:t>Stelara</w:t>
      </w:r>
      <w:r>
        <w:t>.</w:t>
      </w:r>
    </w:p>
    <w:p w14:paraId="25026982" w14:textId="77777777" w:rsidR="00771643" w:rsidRPr="002A1C91" w:rsidRDefault="00771643" w:rsidP="002A1C91">
      <w:pPr>
        <w:pStyle w:val="Numberbullet2"/>
        <w:rPr>
          <w:i/>
        </w:rPr>
      </w:pPr>
      <w:r w:rsidRPr="002A1C91">
        <w:rPr>
          <w:i/>
        </w:rPr>
        <w:t>the pivotal studies were restricted to patients who failed or are intolerant to one or more TNF antagonist therapies</w:t>
      </w:r>
    </w:p>
    <w:p w14:paraId="6896654F" w14:textId="77777777" w:rsidR="00771643" w:rsidRPr="002A1C91" w:rsidRDefault="00771643" w:rsidP="00771643">
      <w:pPr>
        <w:ind w:left="425"/>
        <w:rPr>
          <w:i/>
        </w:rPr>
      </w:pPr>
      <w:r w:rsidRPr="002A1C91">
        <w:rPr>
          <w:i/>
        </w:rPr>
        <w:t>Is there a clinical justification for specifically considering amendment to ustekinumab’s proposed indication to: “as a rescue therapy where more than one TNF antagonists have failed i.e. anti-TNF-α-resistant CD cases and/ or intolerance thereof to one or more TNF antagonist therapies?</w:t>
      </w:r>
    </w:p>
    <w:p w14:paraId="6CB973AB" w14:textId="77777777" w:rsidR="00771643" w:rsidRDefault="00771643" w:rsidP="00771643">
      <w:r>
        <w:t>The ACM advised that one of the pivotal studies was so restricted and the other studies excluded such subjects. Results suggest ustekinumab is less effective after TNF antagonist failure or intolerance. It was agreed that there was no clinical justification for specifically considering amendments to ustekinumab’s proposed indication as there was no justification to support this claim in the studies.</w:t>
      </w:r>
    </w:p>
    <w:p w14:paraId="21975D83" w14:textId="77777777" w:rsidR="00771643" w:rsidRDefault="002A1C91" w:rsidP="00771643">
      <w:r>
        <w:t>The ACM also advised that the s</w:t>
      </w:r>
      <w:r w:rsidR="00771643">
        <w:t xml:space="preserve">ponsor be asked to provide any further evidence, if </w:t>
      </w:r>
      <w:proofErr w:type="gramStart"/>
      <w:r w:rsidR="00771643">
        <w:t>any, that</w:t>
      </w:r>
      <w:proofErr w:type="gramEnd"/>
      <w:r w:rsidR="00771643">
        <w:t xml:space="preserve"> might justify the dose choices made for the application. The ACM was of the view that the ‘severe’ indication was not supported by pivotal study data.</w:t>
      </w:r>
    </w:p>
    <w:p w14:paraId="46EB1DC4" w14:textId="77777777" w:rsidR="00771643" w:rsidRDefault="002A1C91" w:rsidP="00771643">
      <w:r>
        <w:t>The ACM also advised that the s</w:t>
      </w:r>
      <w:r w:rsidR="00771643">
        <w:t>ponsor be asked of any study data beyond 44 weeks and to be encouraged to generate paediatric study data.</w:t>
      </w:r>
    </w:p>
    <w:p w14:paraId="44E1C45D" w14:textId="77777777" w:rsidR="00771643" w:rsidRDefault="00771643" w:rsidP="00771643">
      <w:r>
        <w:t xml:space="preserve">The ACM advised </w:t>
      </w:r>
      <w:r w:rsidR="002A1C91">
        <w:t>that implementation by the s</w:t>
      </w:r>
      <w:r>
        <w:t>ponsor of the recommendations outlined above to the satisfaction of the TGA, in addition to the evidence of efficacy and safety provided would support the safe and effective use of this product.</w:t>
      </w:r>
    </w:p>
    <w:p w14:paraId="24370DA9" w14:textId="77777777" w:rsidR="008E7846" w:rsidRPr="002E238E" w:rsidRDefault="008E7846" w:rsidP="008E7846">
      <w:pPr>
        <w:pStyle w:val="Heading3"/>
      </w:pPr>
      <w:bookmarkStart w:id="159" w:name="_Toc247691532"/>
      <w:bookmarkStart w:id="160" w:name="_Toc314842516"/>
      <w:bookmarkStart w:id="161" w:name="_Toc497744838"/>
      <w:bookmarkEnd w:id="98"/>
      <w:bookmarkEnd w:id="156"/>
      <w:bookmarkEnd w:id="157"/>
      <w:r>
        <w:t>Outcome</w:t>
      </w:r>
      <w:bookmarkEnd w:id="159"/>
      <w:bookmarkEnd w:id="160"/>
      <w:bookmarkEnd w:id="161"/>
    </w:p>
    <w:p w14:paraId="6F13D91E" w14:textId="1F4BAD14" w:rsidR="00D23139" w:rsidRPr="00D23139" w:rsidRDefault="00D23139" w:rsidP="002A1C91">
      <w:bookmarkStart w:id="162" w:name="_Toc247691533"/>
      <w:bookmarkStart w:id="163" w:name="_Toc314842517"/>
      <w:r w:rsidRPr="00D23139">
        <w:t xml:space="preserve">Based on a review of quality, safety and efficacy, TGA approved the registration of </w:t>
      </w:r>
      <w:r w:rsidR="00AB2DB1">
        <w:t>the registration of</w:t>
      </w:r>
      <w:r w:rsidR="00BF3DCE">
        <w:t xml:space="preserve"> </w:t>
      </w:r>
      <w:r w:rsidR="00AB2DB1">
        <w:t xml:space="preserve">new strength </w:t>
      </w:r>
      <w:r w:rsidR="00CC3432">
        <w:t>Stelara</w:t>
      </w:r>
      <w:r w:rsidR="00AB2DB1">
        <w:t xml:space="preserve"> ustekinumab 5.0 mg/1 mL solution for</w:t>
      </w:r>
      <w:r w:rsidR="002A1C91">
        <w:t xml:space="preserve"> </w:t>
      </w:r>
      <w:r w:rsidR="00AB2DB1">
        <w:t>intravenous infusion injection vial,</w:t>
      </w:r>
      <w:r w:rsidR="002A1C91">
        <w:t xml:space="preserve"> </w:t>
      </w:r>
      <w:r w:rsidR="00AB2DB1">
        <w:t xml:space="preserve">the extension of indications for </w:t>
      </w:r>
      <w:r w:rsidR="00CC3432">
        <w:t>Stelara</w:t>
      </w:r>
      <w:r w:rsidR="00AB2DB1">
        <w:t xml:space="preserve"> ustekinumab solution for injection vial and pre-filled syringe</w:t>
      </w:r>
      <w:r w:rsidRPr="00D23139">
        <w:t xml:space="preserve"> indicated for:</w:t>
      </w:r>
    </w:p>
    <w:p w14:paraId="0E08BE21" w14:textId="77777777" w:rsidR="00AB2DB1" w:rsidRPr="002A1C91" w:rsidRDefault="00AB2DB1" w:rsidP="00AB2DB1">
      <w:pPr>
        <w:rPr>
          <w:i/>
        </w:rPr>
      </w:pPr>
      <w:r w:rsidRPr="002A1C91">
        <w:rPr>
          <w:i/>
        </w:rPr>
        <w:t>Crohn’s Disease</w:t>
      </w:r>
    </w:p>
    <w:p w14:paraId="0072C073" w14:textId="77777777" w:rsidR="00D23139" w:rsidRPr="002A1C91" w:rsidRDefault="00CC3432" w:rsidP="00AB2DB1">
      <w:pPr>
        <w:rPr>
          <w:i/>
        </w:rPr>
      </w:pPr>
      <w:r w:rsidRPr="002A1C91">
        <w:rPr>
          <w:i/>
        </w:rPr>
        <w:t>Stelara</w:t>
      </w:r>
      <w:r w:rsidR="00AB2DB1" w:rsidRPr="002A1C91">
        <w:rPr>
          <w:i/>
        </w:rPr>
        <w:t xml:space="preserve"> is indicated for the treatment of adult patients with moderately to severely active Crohn’s disease who have had an inadequate response, lost response, or were intolerant to either conventional therapy or a TNFα antagonist or have medical contraindications to such therapies.</w:t>
      </w:r>
    </w:p>
    <w:p w14:paraId="4D4DA1B1" w14:textId="77777777" w:rsidR="00D23139" w:rsidRPr="00D23139" w:rsidRDefault="00D23139" w:rsidP="00D23139">
      <w:pPr>
        <w:pStyle w:val="Heading4"/>
      </w:pPr>
      <w:r w:rsidRPr="00D23139">
        <w:t>Specific conditions of registration applying to these goods</w:t>
      </w:r>
    </w:p>
    <w:p w14:paraId="63723216" w14:textId="77777777" w:rsidR="00815F43" w:rsidRDefault="00457743" w:rsidP="00457743">
      <w:r>
        <w:t xml:space="preserve">The </w:t>
      </w:r>
      <w:r w:rsidR="00CC3432">
        <w:t>Stelara</w:t>
      </w:r>
      <w:r>
        <w:t xml:space="preserve"> (ustekinumab) EU Risk Management Plan (RMP) version 13.2, dated 7 September 2016 (data lock point 8 July 2015) with Australian specific annex 3.2, dated 19 </w:t>
      </w:r>
      <w:r>
        <w:lastRenderedPageBreak/>
        <w:t>October 2016, submitted with the application, and any subsequent revisions, as agreed with the TGA will be implemented in Australia.</w:t>
      </w:r>
    </w:p>
    <w:p w14:paraId="70EC5129" w14:textId="2ECF93C7" w:rsidR="008E7846" w:rsidRDefault="00A80B5B" w:rsidP="00A84195">
      <w:pPr>
        <w:pStyle w:val="Heading2"/>
        <w:spacing w:before="360"/>
      </w:pPr>
      <w:bookmarkStart w:id="164" w:name="_Toc497744839"/>
      <w:proofErr w:type="gramStart"/>
      <w:r>
        <w:t>Attachment 1.</w:t>
      </w:r>
      <w:proofErr w:type="gramEnd"/>
      <w:r>
        <w:t xml:space="preserve"> </w:t>
      </w:r>
      <w:r w:rsidR="008E7846">
        <w:t xml:space="preserve">Product </w:t>
      </w:r>
      <w:r w:rsidR="00AA0ED0">
        <w:t>I</w:t>
      </w:r>
      <w:r w:rsidR="008E7846">
        <w:t>nformation</w:t>
      </w:r>
      <w:bookmarkEnd w:id="162"/>
      <w:bookmarkEnd w:id="163"/>
      <w:bookmarkEnd w:id="164"/>
    </w:p>
    <w:p w14:paraId="34F28762" w14:textId="77777777" w:rsidR="00C80137" w:rsidRDefault="006136D7" w:rsidP="00C80137">
      <w:pPr>
        <w:rPr>
          <w:color w:val="000000"/>
          <w:lang w:eastAsia="en-AU"/>
        </w:rPr>
      </w:pPr>
      <w:r w:rsidRPr="002B3624">
        <w:t xml:space="preserve">The </w:t>
      </w:r>
      <w:r>
        <w:t>PI</w:t>
      </w:r>
      <w:r w:rsidRPr="002B3624">
        <w:t xml:space="preserve"> for </w:t>
      </w:r>
      <w:r w:rsidR="00AB2DB1">
        <w:t>Stelara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0" w:history="1">
        <w:r w:rsidR="007C6B9B" w:rsidRPr="007C6B9B">
          <w:rPr>
            <w:rStyle w:val="Hyperlink"/>
          </w:rPr>
          <w:t>https://www.tga.gov.au/product-information-pi</w:t>
        </w:r>
      </w:hyperlink>
      <w:r w:rsidR="00AB2DB1">
        <w:t>&gt;.</w:t>
      </w:r>
    </w:p>
    <w:p w14:paraId="3A163287" w14:textId="090B3D0A" w:rsidR="00C80137" w:rsidRPr="00A84195" w:rsidRDefault="00C80137" w:rsidP="00A84195">
      <w:pPr>
        <w:pStyle w:val="Heading2"/>
        <w:spacing w:before="360"/>
        <w:rPr>
          <w:lang w:eastAsia="ja-JP"/>
        </w:rPr>
        <w:sectPr w:rsidR="00C80137" w:rsidRPr="00A84195" w:rsidSect="00B452CE">
          <w:headerReference w:type="even" r:id="rId21"/>
          <w:headerReference w:type="default" r:id="rId22"/>
          <w:headerReference w:type="first" r:id="rId23"/>
          <w:footerReference w:type="first" r:id="rId24"/>
          <w:pgSz w:w="11906" w:h="16838" w:code="9"/>
          <w:pgMar w:top="834" w:right="1701" w:bottom="1191" w:left="1701" w:header="907" w:footer="216" w:gutter="0"/>
          <w:cols w:space="708"/>
          <w:docGrid w:linePitch="360"/>
        </w:sectPr>
      </w:pPr>
      <w:bookmarkStart w:id="165" w:name="_Toc497744840"/>
      <w:proofErr w:type="gramStart"/>
      <w:r>
        <w:rPr>
          <w:lang w:eastAsia="en-AU"/>
        </w:rPr>
        <w:t>Attachment 2.</w:t>
      </w:r>
      <w:proofErr w:type="gramEnd"/>
      <w:r w:rsidR="00A80B5B">
        <w:rPr>
          <w:lang w:eastAsia="en-AU"/>
        </w:rPr>
        <w:t xml:space="preserve"> </w:t>
      </w:r>
      <w:r>
        <w:rPr>
          <w:lang w:eastAsia="en-AU"/>
        </w:rPr>
        <w:t>Extract from the Clinical Evaluation Report</w:t>
      </w:r>
      <w:bookmarkEnd w:id="165"/>
    </w:p>
    <w:tbl>
      <w:tblPr>
        <w:tblW w:w="9175" w:type="dxa"/>
        <w:tblInd w:w="-284" w:type="dxa"/>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32 8605&#10;https://www.tga.gov.au"/>
      </w:tblPr>
      <w:tblGrid>
        <w:gridCol w:w="9175"/>
      </w:tblGrid>
      <w:tr w:rsidR="001C32CD" w:rsidRPr="00487162" w14:paraId="2CAA4874" w14:textId="77777777" w:rsidTr="00A05FA4">
        <w:trPr>
          <w:trHeight w:hRule="exact" w:val="704"/>
        </w:trPr>
        <w:tc>
          <w:tcPr>
            <w:tcW w:w="9175" w:type="dxa"/>
          </w:tcPr>
          <w:p w14:paraId="009D469B" w14:textId="77777777" w:rsidR="001C32CD" w:rsidRPr="00487162" w:rsidRDefault="001C32CD" w:rsidP="00A05FA4">
            <w:pPr>
              <w:pStyle w:val="TGASignoff"/>
            </w:pPr>
            <w:r w:rsidRPr="00487162">
              <w:lastRenderedPageBreak/>
              <w:t>Therapeutic Goods Administration</w:t>
            </w:r>
          </w:p>
        </w:tc>
      </w:tr>
      <w:tr w:rsidR="001C32CD" w:rsidRPr="004C239D" w14:paraId="49168DD9" w14:textId="77777777" w:rsidTr="00A05FA4">
        <w:trPr>
          <w:trHeight w:val="1221"/>
        </w:trPr>
        <w:tc>
          <w:tcPr>
            <w:tcW w:w="9175" w:type="dxa"/>
            <w:tcMar>
              <w:top w:w="28" w:type="dxa"/>
            </w:tcMar>
          </w:tcPr>
          <w:p w14:paraId="1BAA6110" w14:textId="77777777" w:rsidR="001C32CD" w:rsidRPr="00487162" w:rsidRDefault="001C32CD" w:rsidP="00A05FA4">
            <w:pPr>
              <w:pStyle w:val="Address"/>
            </w:pPr>
            <w:r w:rsidRPr="00487162">
              <w:t>PO Box 100 Woden ACT 2606 Australia</w:t>
            </w:r>
          </w:p>
          <w:p w14:paraId="725A5666" w14:textId="77777777" w:rsidR="001C32CD" w:rsidRPr="00487162" w:rsidRDefault="001C32CD" w:rsidP="00A05FA4">
            <w:pPr>
              <w:pStyle w:val="Address"/>
            </w:pPr>
            <w:r w:rsidRPr="00487162">
              <w:t xml:space="preserve">Email: </w:t>
            </w:r>
            <w:hyperlink r:id="rId25" w:history="1">
              <w:r w:rsidRPr="004C239D">
                <w:rPr>
                  <w:rStyle w:val="Hyperlink"/>
                </w:rPr>
                <w:t>info@tga.gov.au</w:t>
              </w:r>
            </w:hyperlink>
            <w:r w:rsidR="00EF0460">
              <w:t xml:space="preserve"> </w:t>
            </w:r>
            <w:r w:rsidRPr="00487162">
              <w:t>Phone: 1800 020 653</w:t>
            </w:r>
            <w:r w:rsidR="00EF0460">
              <w:t xml:space="preserve"> </w:t>
            </w:r>
            <w:r w:rsidRPr="00487162">
              <w:t>Fax: 02 6232 8605</w:t>
            </w:r>
          </w:p>
          <w:p w14:paraId="0EB1765D" w14:textId="77777777" w:rsidR="001C32CD" w:rsidRPr="004C239D" w:rsidRDefault="009A34F5" w:rsidP="00A05FA4">
            <w:pPr>
              <w:pStyle w:val="Address"/>
              <w:spacing w:line="260" w:lineRule="atLeast"/>
              <w:rPr>
                <w:b/>
                <w:color w:val="0000FF"/>
                <w:u w:val="single"/>
              </w:rPr>
            </w:pPr>
            <w:hyperlink r:id="rId26" w:history="1">
              <w:r w:rsidR="007C6B9B" w:rsidRPr="007C6B9B">
                <w:rPr>
                  <w:rStyle w:val="Hyperlink"/>
                  <w:b/>
                </w:rPr>
                <w:t>https://www.tga.gov.au</w:t>
              </w:r>
            </w:hyperlink>
          </w:p>
        </w:tc>
      </w:tr>
    </w:tbl>
    <w:p w14:paraId="014CA34A" w14:textId="77777777" w:rsidR="00774E1D" w:rsidRPr="008A5E0B" w:rsidRDefault="00774E1D" w:rsidP="004C239D"/>
    <w:sectPr w:rsidR="00774E1D" w:rsidRPr="008A5E0B" w:rsidSect="001C32CD">
      <w:headerReference w:type="even" r:id="rId27"/>
      <w:headerReference w:type="default" r:id="rId28"/>
      <w:footerReference w:type="default" r:id="rId29"/>
      <w:headerReference w:type="first" r:id="rId30"/>
      <w:footerReference w:type="first" r:id="rId31"/>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D06B26" w15:done="0"/>
  <w15:commentEx w15:paraId="48AB45C7" w15:done="0"/>
  <w15:commentEx w15:paraId="6DA0CD3D" w15:done="0"/>
  <w15:commentEx w15:paraId="4CEE9738" w15:done="0"/>
  <w15:commentEx w15:paraId="782C1522" w15:done="0"/>
  <w15:commentEx w15:paraId="3142AFAE" w15:done="0"/>
  <w15:commentEx w15:paraId="665A8691" w15:done="0"/>
  <w15:commentEx w15:paraId="39E95925" w15:done="0"/>
  <w15:commentEx w15:paraId="1A85456B" w15:done="0"/>
  <w15:commentEx w15:paraId="08175D04" w15:done="0"/>
  <w15:commentEx w15:paraId="7F226A3E" w15:done="0"/>
  <w15:commentEx w15:paraId="6652B6B2" w15:done="0"/>
  <w15:commentEx w15:paraId="0E37B3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C876D" w14:textId="77777777" w:rsidR="00CE2711" w:rsidRDefault="00CE2711" w:rsidP="00C40A36">
      <w:pPr>
        <w:spacing w:after="0"/>
      </w:pPr>
      <w:r>
        <w:separator/>
      </w:r>
    </w:p>
  </w:endnote>
  <w:endnote w:type="continuationSeparator" w:id="0">
    <w:p w14:paraId="798BAD64" w14:textId="77777777" w:rsidR="00CE2711" w:rsidRDefault="00CE2711"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00"/>
    <w:family w:val="roman"/>
    <w:notTrueType/>
    <w:pitch w:val="default"/>
    <w:sig w:usb0="00000083" w:usb1="090F0000" w:usb2="00000010" w:usb3="00000000" w:csb0="001A0009"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Arial"/>
    <w:panose1 w:val="00000000000000000000"/>
    <w:charset w:val="00"/>
    <w:family w:val="swiss"/>
    <w:notTrueType/>
    <w:pitch w:val="default"/>
    <w:sig w:usb0="00000083" w:usb1="00000000" w:usb2="00000000" w:usb3="00000000" w:csb0="00000009" w:csb1="00000000"/>
  </w:font>
  <w:font w:name="Cambria-Italic">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E2711" w:rsidRPr="00487162" w14:paraId="672148C7" w14:textId="77777777" w:rsidTr="00DB750B">
      <w:trPr>
        <w:trHeight w:val="269"/>
      </w:trPr>
      <w:tc>
        <w:tcPr>
          <w:tcW w:w="7371" w:type="dxa"/>
          <w:tcMar>
            <w:top w:w="142" w:type="dxa"/>
            <w:bottom w:w="0" w:type="dxa"/>
          </w:tcMar>
        </w:tcPr>
        <w:p w14:paraId="39C78134" w14:textId="372F37B9" w:rsidR="00CE2711" w:rsidRPr="00487162" w:rsidRDefault="00CE2711" w:rsidP="00516729">
          <w:pPr>
            <w:pStyle w:val="Footer"/>
          </w:pPr>
          <w:r w:rsidRPr="00487162">
            <w:t>AusPA</w:t>
          </w:r>
          <w:r>
            <w:t xml:space="preserve">R Stelara </w:t>
          </w:r>
          <w:r w:rsidRPr="00881EA3">
            <w:t>Ustekinumab</w:t>
          </w:r>
          <w:r>
            <w:t xml:space="preserve"> </w:t>
          </w:r>
          <w:r w:rsidRPr="0073296F">
            <w:t>Janssen-Cilag Pty. Ltd.</w:t>
          </w:r>
          <w:r>
            <w:t xml:space="preserve"> PM-2015</w:t>
          </w:r>
          <w:r w:rsidRPr="00487162">
            <w:t>-</w:t>
          </w:r>
          <w:r>
            <w:t>04746</w:t>
          </w:r>
          <w:r w:rsidRPr="00487162">
            <w:t>-</w:t>
          </w:r>
          <w:r>
            <w:t>1</w:t>
          </w:r>
          <w:r w:rsidRPr="00487162">
            <w:t>-</w:t>
          </w:r>
          <w:r>
            <w:t>1</w:t>
          </w:r>
          <w:r>
            <w:br/>
            <w:t>Final 24 October 2017</w:t>
          </w:r>
        </w:p>
      </w:tc>
      <w:tc>
        <w:tcPr>
          <w:tcW w:w="1490" w:type="dxa"/>
          <w:tcMar>
            <w:top w:w="142" w:type="dxa"/>
            <w:bottom w:w="0" w:type="dxa"/>
          </w:tcMar>
        </w:tcPr>
        <w:p w14:paraId="35B4760B" w14:textId="3CCF553E" w:rsidR="00CE2711" w:rsidRPr="00487162" w:rsidRDefault="00CE2711" w:rsidP="00DB750B">
          <w:pPr>
            <w:pStyle w:val="Footer"/>
            <w:jc w:val="right"/>
          </w:pPr>
          <w:r w:rsidRPr="00487162">
            <w:t xml:space="preserve">Page </w:t>
          </w:r>
          <w:r>
            <w:fldChar w:fldCharType="begin"/>
          </w:r>
          <w:r>
            <w:instrText xml:space="preserve"> PAGE  \* Arabic </w:instrText>
          </w:r>
          <w:r>
            <w:fldChar w:fldCharType="separate"/>
          </w:r>
          <w:r w:rsidR="009A34F5">
            <w:rPr>
              <w:noProof/>
            </w:rPr>
            <w:t>3</w:t>
          </w:r>
          <w:r>
            <w:fldChar w:fldCharType="end"/>
          </w:r>
          <w:r w:rsidRPr="00487162">
            <w:t xml:space="preserve"> of </w:t>
          </w:r>
          <w:r w:rsidR="009A34F5">
            <w:fldChar w:fldCharType="begin"/>
          </w:r>
          <w:r w:rsidR="009A34F5">
            <w:instrText xml:space="preserve"> NUMPAGES  \* Arabic </w:instrText>
          </w:r>
          <w:r w:rsidR="009A34F5">
            <w:fldChar w:fldCharType="separate"/>
          </w:r>
          <w:r w:rsidR="009A34F5">
            <w:rPr>
              <w:noProof/>
            </w:rPr>
            <w:t>67</w:t>
          </w:r>
          <w:r w:rsidR="009A34F5">
            <w:rPr>
              <w:noProof/>
            </w:rPr>
            <w:fldChar w:fldCharType="end"/>
          </w:r>
        </w:p>
      </w:tc>
    </w:tr>
  </w:tbl>
  <w:p w14:paraId="02F1F0C2" w14:textId="77777777" w:rsidR="00CE2711" w:rsidRDefault="00CE2711"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E2711" w:rsidRPr="00487162" w14:paraId="01E9674F" w14:textId="77777777" w:rsidTr="00E45619">
      <w:trPr>
        <w:trHeight w:val="269"/>
      </w:trPr>
      <w:tc>
        <w:tcPr>
          <w:tcW w:w="4519" w:type="dxa"/>
          <w:tcBorders>
            <w:top w:val="single" w:sz="4" w:space="0" w:color="auto"/>
          </w:tcBorders>
          <w:tcMar>
            <w:top w:w="142" w:type="dxa"/>
            <w:bottom w:w="0" w:type="dxa"/>
          </w:tcMar>
        </w:tcPr>
        <w:p w14:paraId="0DB604DB" w14:textId="77777777" w:rsidR="00CE2711" w:rsidRPr="00487162" w:rsidRDefault="00CE2711" w:rsidP="00FE1DEE">
          <w:pPr>
            <w:pStyle w:val="Footer"/>
          </w:pPr>
          <w:r w:rsidRPr="00487162">
            <w:t>Document title, Part #, Section # - Section title</w:t>
          </w:r>
        </w:p>
        <w:p w14:paraId="1AE4FEF5" w14:textId="77777777" w:rsidR="00CE2711" w:rsidRPr="00487162" w:rsidRDefault="00CE2711" w:rsidP="00FE1DEE">
          <w:pPr>
            <w:pStyle w:val="Footer"/>
          </w:pPr>
          <w:r w:rsidRPr="00487162">
            <w:t>V1.0 October 2010</w:t>
          </w:r>
        </w:p>
      </w:tc>
      <w:tc>
        <w:tcPr>
          <w:tcW w:w="4342" w:type="dxa"/>
          <w:tcBorders>
            <w:top w:val="single" w:sz="4" w:space="0" w:color="auto"/>
          </w:tcBorders>
          <w:tcMar>
            <w:top w:w="142" w:type="dxa"/>
            <w:bottom w:w="0" w:type="dxa"/>
          </w:tcMar>
        </w:tcPr>
        <w:p w14:paraId="5E15B5B9" w14:textId="77777777" w:rsidR="00CE2711" w:rsidRPr="00487162" w:rsidRDefault="00CE2711"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9A34F5">
            <w:fldChar w:fldCharType="begin"/>
          </w:r>
          <w:r w:rsidR="009A34F5">
            <w:instrText xml:space="preserve"> NUMPAGES  </w:instrText>
          </w:r>
          <w:r w:rsidR="009A34F5">
            <w:fldChar w:fldCharType="separate"/>
          </w:r>
          <w:r>
            <w:rPr>
              <w:noProof/>
            </w:rPr>
            <w:t>1</w:t>
          </w:r>
          <w:r w:rsidR="009A34F5">
            <w:rPr>
              <w:noProof/>
            </w:rPr>
            <w:fldChar w:fldCharType="end"/>
          </w:r>
        </w:p>
      </w:tc>
    </w:tr>
  </w:tbl>
  <w:p w14:paraId="722CE0CB" w14:textId="77777777" w:rsidR="00CE2711" w:rsidRDefault="00CE27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37D47" w14:textId="77777777" w:rsidR="00CE2711" w:rsidRPr="001C32CD" w:rsidRDefault="00CE2711"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E2711" w14:paraId="5BCCFD0D" w14:textId="77777777" w:rsidTr="0010601F">
      <w:trPr>
        <w:trHeight w:val="108"/>
      </w:trPr>
      <w:tc>
        <w:tcPr>
          <w:tcW w:w="8875" w:type="dxa"/>
          <w:gridSpan w:val="2"/>
          <w:tcBorders>
            <w:bottom w:val="single" w:sz="4" w:space="0" w:color="auto"/>
          </w:tcBorders>
          <w:tcMar>
            <w:right w:w="284" w:type="dxa"/>
          </w:tcMar>
        </w:tcPr>
        <w:p w14:paraId="672B65FB" w14:textId="77777777" w:rsidR="00CE2711" w:rsidRDefault="00CE2711" w:rsidP="006E08B3">
          <w:pPr>
            <w:pStyle w:val="Heading3"/>
          </w:pPr>
          <w:r>
            <w:t>Copyright</w:t>
          </w:r>
        </w:p>
        <w:p w14:paraId="06F44ACB" w14:textId="77777777" w:rsidR="00CE2711" w:rsidRDefault="00CE2711" w:rsidP="006E08B3">
          <w:r>
            <w:rPr>
              <w:rFonts w:cs="Arial"/>
            </w:rPr>
            <w:t>©</w:t>
          </w:r>
          <w:r>
            <w:t xml:space="preserve"> Commonwealth of Australia [add year]</w:t>
          </w:r>
        </w:p>
        <w:p w14:paraId="64E603D8" w14:textId="77777777" w:rsidR="00CE2711" w:rsidRDefault="00CE2711" w:rsidP="006E08B3"/>
        <w:p w14:paraId="672E54DA" w14:textId="77777777" w:rsidR="00CE2711" w:rsidRDefault="00CE2711"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777A11CC" w14:textId="77777777" w:rsidR="00CE2711" w:rsidRDefault="00CE2711" w:rsidP="006E08B3"/>
        <w:p w14:paraId="2109C0D0" w14:textId="77777777" w:rsidR="00CE2711" w:rsidRDefault="00CE2711" w:rsidP="006E08B3">
          <w:pPr>
            <w:pStyle w:val="Heading3"/>
          </w:pPr>
          <w:r>
            <w:t>Confidentiality</w:t>
          </w:r>
        </w:p>
        <w:p w14:paraId="0E36AF3A" w14:textId="77777777" w:rsidR="00CE2711" w:rsidRDefault="00CE2711"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62ECF85E" w14:textId="77777777" w:rsidR="00CE2711" w:rsidRDefault="00CE2711" w:rsidP="006E08B3"/>
        <w:p w14:paraId="3801261C" w14:textId="77777777" w:rsidR="00CE2711" w:rsidRDefault="00CE2711" w:rsidP="006E08B3">
          <w:r>
            <w:t>For submission made by individuals, all personal details, other than your name, will be removed from your submission before it is published on the TGA’s Internet site.</w:t>
          </w:r>
        </w:p>
        <w:p w14:paraId="1F1FD298" w14:textId="77777777" w:rsidR="00CE2711" w:rsidRDefault="00CE2711" w:rsidP="006E08B3"/>
        <w:p w14:paraId="22DEE391" w14:textId="77777777" w:rsidR="00CE2711" w:rsidRDefault="00CE2711" w:rsidP="006E08B3">
          <w:r>
            <w:t>In addition, a list of parties making submissions will be published. If you do not wish to be identified with your submission you must specifically request this in the space provided ib the submission coversheet.</w:t>
          </w:r>
        </w:p>
      </w:tc>
    </w:tr>
    <w:tr w:rsidR="00CE2711" w14:paraId="259A7340" w14:textId="77777777" w:rsidTr="0010601F">
      <w:trPr>
        <w:trHeight w:val="417"/>
      </w:trPr>
      <w:tc>
        <w:tcPr>
          <w:tcW w:w="4519" w:type="dxa"/>
          <w:tcBorders>
            <w:top w:val="single" w:sz="4" w:space="0" w:color="auto"/>
          </w:tcBorders>
          <w:tcMar>
            <w:top w:w="142" w:type="dxa"/>
            <w:bottom w:w="0" w:type="dxa"/>
          </w:tcMar>
        </w:tcPr>
        <w:p w14:paraId="6214D195" w14:textId="77777777" w:rsidR="00CE2711" w:rsidRDefault="00CE2711" w:rsidP="006E08B3">
          <w:r>
            <w:t>Document title, Part #, Section # - Section title</w:t>
          </w:r>
        </w:p>
        <w:p w14:paraId="53B9369E" w14:textId="77777777" w:rsidR="00CE2711" w:rsidRDefault="00CE2711" w:rsidP="006E08B3">
          <w:r>
            <w:t>V1.0 October 2010</w:t>
          </w:r>
        </w:p>
      </w:tc>
      <w:tc>
        <w:tcPr>
          <w:tcW w:w="4356" w:type="dxa"/>
          <w:tcBorders>
            <w:top w:val="single" w:sz="4" w:space="0" w:color="auto"/>
          </w:tcBorders>
          <w:tcMar>
            <w:top w:w="142" w:type="dxa"/>
            <w:bottom w:w="0" w:type="dxa"/>
          </w:tcMar>
        </w:tcPr>
        <w:p w14:paraId="03711E0C" w14:textId="77777777" w:rsidR="00CE2711" w:rsidRDefault="00CE2711"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9A34F5">
            <w:fldChar w:fldCharType="begin"/>
          </w:r>
          <w:r w:rsidR="009A34F5">
            <w:instrText xml:space="preserve"> NUMPAGES  \* Arabic </w:instrText>
          </w:r>
          <w:r w:rsidR="009A34F5">
            <w:fldChar w:fldCharType="separate"/>
          </w:r>
          <w:r>
            <w:rPr>
              <w:noProof/>
            </w:rPr>
            <w:t>1</w:t>
          </w:r>
          <w:r w:rsidR="009A34F5">
            <w:rPr>
              <w:noProof/>
            </w:rPr>
            <w:fldChar w:fldCharType="end"/>
          </w:r>
          <w:r>
            <w:t xml:space="preserve"> </w:t>
          </w:r>
        </w:p>
      </w:tc>
    </w:tr>
  </w:tbl>
  <w:p w14:paraId="31441D44" w14:textId="77777777" w:rsidR="00CE2711" w:rsidRDefault="00CE27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CD983" w14:textId="77777777" w:rsidR="00CE2711" w:rsidRDefault="00CE2711" w:rsidP="00C40A36">
      <w:pPr>
        <w:spacing w:after="0"/>
      </w:pPr>
      <w:r>
        <w:separator/>
      </w:r>
    </w:p>
  </w:footnote>
  <w:footnote w:type="continuationSeparator" w:id="0">
    <w:p w14:paraId="27F81614" w14:textId="77777777" w:rsidR="00CE2711" w:rsidRDefault="00CE2711" w:rsidP="00C40A36">
      <w:pPr>
        <w:spacing w:after="0"/>
      </w:pPr>
      <w:r>
        <w:continuationSeparator/>
      </w:r>
    </w:p>
  </w:footnote>
  <w:footnote w:id="1">
    <w:p w14:paraId="3B04AE3A" w14:textId="77777777" w:rsidR="00CE2711" w:rsidRPr="00340903" w:rsidRDefault="00CE2711">
      <w:pPr>
        <w:pStyle w:val="FootnoteText"/>
        <w:rPr>
          <w:lang w:val="en-US"/>
        </w:rPr>
      </w:pPr>
      <w:r>
        <w:rPr>
          <w:rStyle w:val="FootnoteReference"/>
        </w:rPr>
        <w:footnoteRef/>
      </w:r>
      <w:r>
        <w:t xml:space="preserve"> ICH Q1B: </w:t>
      </w:r>
      <w:r w:rsidRPr="00340903">
        <w:t>Stability Testing: Photostability T</w:t>
      </w:r>
      <w:r>
        <w:t xml:space="preserve">esting Of. </w:t>
      </w:r>
      <w:proofErr w:type="gramStart"/>
      <w:r>
        <w:t>New Drug Substances a</w:t>
      </w:r>
      <w:r w:rsidRPr="00340903">
        <w:t>nd Products.</w:t>
      </w:r>
      <w:proofErr w:type="gramEnd"/>
    </w:p>
  </w:footnote>
  <w:footnote w:id="2">
    <w:p w14:paraId="3D9CC601" w14:textId="77777777" w:rsidR="00CE2711" w:rsidRPr="0071231E" w:rsidRDefault="00CE2711">
      <w:pPr>
        <w:pStyle w:val="FootnoteText"/>
        <w:rPr>
          <w:lang w:val="en-US"/>
        </w:rPr>
      </w:pPr>
      <w:r>
        <w:rPr>
          <w:rStyle w:val="FootnoteReference"/>
        </w:rPr>
        <w:footnoteRef/>
      </w:r>
      <w:r>
        <w:t xml:space="preserve"> </w:t>
      </w:r>
      <w:r w:rsidRPr="0071231E">
        <w:t>Ahern PP, Schiering C, Buonocore S, McGeachy MJ, Cua DJ, Maloy KJ, Powrie F (2010) Interleukin-23 drives intestinal inflammation through direct activity on T cells. Immunity, 33, 279-288.</w:t>
      </w:r>
    </w:p>
  </w:footnote>
  <w:footnote w:id="3">
    <w:p w14:paraId="4264F386" w14:textId="77777777" w:rsidR="00CE2711" w:rsidRDefault="00CE2711" w:rsidP="0071231E">
      <w:pPr>
        <w:pStyle w:val="FootnoteText"/>
      </w:pPr>
      <w:r>
        <w:rPr>
          <w:rStyle w:val="FootnoteReference"/>
        </w:rPr>
        <w:footnoteRef/>
      </w:r>
      <w:r>
        <w:t xml:space="preserve"> Mizoguchi A, Mizoguchi E (2010) Animal models of IBD: linkage to human disease. Current Opinion in Pharmacology, 10(5), 578-587.</w:t>
      </w:r>
    </w:p>
    <w:p w14:paraId="35DF2962" w14:textId="77777777" w:rsidR="00CE2711" w:rsidRPr="0071231E" w:rsidRDefault="00CE2711" w:rsidP="0071231E">
      <w:pPr>
        <w:pStyle w:val="FootnoteText"/>
        <w:rPr>
          <w:lang w:val="en-US"/>
        </w:rPr>
      </w:pPr>
      <w:proofErr w:type="gramStart"/>
      <w:r>
        <w:t>Neurath MF (2008) IL-12 family members in experimental colitis.</w:t>
      </w:r>
      <w:proofErr w:type="gramEnd"/>
      <w:r>
        <w:t xml:space="preserve"> </w:t>
      </w:r>
      <w:proofErr w:type="gramStart"/>
      <w:r>
        <w:t>Mucosal Immunology, 1 (Suppl 1), S28-S30.</w:t>
      </w:r>
      <w:proofErr w:type="gramEnd"/>
      <w:r w:rsidRPr="0071231E">
        <w:t xml:space="preserve"> Prattis S, Jurjus A (2015) Spontaneous and transgenic rodent models of inflammatory bowel disease. Laboratory Animal Research, 31(2), 47-68. Sugimoto K, Ogawa A, Shimomura Y, Nagahama K, Mizoguchi A, Bhan AK (2007) Inducible IL-12-producing B cells regulate Th2-mediated intestinal inflammation. Gastroenterology, 133, 124-136.</w:t>
      </w:r>
    </w:p>
  </w:footnote>
  <w:footnote w:id="4">
    <w:p w14:paraId="4D4355F0" w14:textId="77777777" w:rsidR="00CE2711" w:rsidRPr="005D1A26" w:rsidRDefault="00CE2711" w:rsidP="00054E58">
      <w:pPr>
        <w:pStyle w:val="FootnoteText"/>
        <w:spacing w:after="40"/>
        <w:rPr>
          <w:szCs w:val="18"/>
          <w:lang w:val="en-US"/>
        </w:rPr>
      </w:pPr>
      <w:r w:rsidRPr="005D1A26">
        <w:rPr>
          <w:rStyle w:val="FootnoteReference"/>
          <w:szCs w:val="18"/>
        </w:rPr>
        <w:footnoteRef/>
      </w:r>
      <w:r w:rsidRPr="005D1A26">
        <w:rPr>
          <w:szCs w:val="18"/>
        </w:rPr>
        <w:t xml:space="preserve"> </w:t>
      </w:r>
      <w:proofErr w:type="gramStart"/>
      <w:r w:rsidRPr="005D1A26">
        <w:rPr>
          <w:szCs w:val="18"/>
          <w:lang w:val="en-US"/>
        </w:rPr>
        <w:t>Upper limit of the concentration range.</w:t>
      </w:r>
      <w:proofErr w:type="gramEnd"/>
    </w:p>
  </w:footnote>
  <w:footnote w:id="5">
    <w:p w14:paraId="2B44C104" w14:textId="77777777" w:rsidR="00CE2711" w:rsidRPr="005D1A26" w:rsidRDefault="00CE2711" w:rsidP="00054E58">
      <w:pPr>
        <w:pStyle w:val="Standard"/>
        <w:spacing w:after="40"/>
        <w:rPr>
          <w:sz w:val="18"/>
          <w:szCs w:val="18"/>
          <w:lang w:val="en-US"/>
        </w:rPr>
      </w:pPr>
      <w:r w:rsidRPr="005D1A26">
        <w:rPr>
          <w:rStyle w:val="FootnoteReference"/>
          <w:sz w:val="18"/>
          <w:szCs w:val="18"/>
        </w:rPr>
        <w:footnoteRef/>
      </w:r>
      <w:r w:rsidRPr="005D1A26">
        <w:rPr>
          <w:sz w:val="18"/>
          <w:szCs w:val="18"/>
        </w:rPr>
        <w:t xml:space="preserve"> It is noted that the sponsor’s Risk Assessment has been based on an EDTA concentration in the product of 0.04 mg/mL, with the maximal dose of 4 vials of STELARA leading to a total EDTA dose of 0.04 x 26 x 4 = 4.16 mg. However, the product specifications (Module 3.2.P.1 and 2.3.P.5) indicate the EDTA concentration as 15-25 µg/mL, leading to a total potential EDTA dose of 2.6 mg. The methionine concentration used in the sponsor’s Risk Assessment (0.5 mg/mL in the product) complies with the specifications, with total potential exposure (4 vials) of 52 mg.</w:t>
      </w:r>
    </w:p>
  </w:footnote>
  <w:footnote w:id="6">
    <w:p w14:paraId="07AD6E5A" w14:textId="77777777" w:rsidR="00CE2711" w:rsidRPr="005D1A26" w:rsidRDefault="00CE2711" w:rsidP="00054E58">
      <w:pPr>
        <w:pStyle w:val="FootnoteText"/>
        <w:rPr>
          <w:szCs w:val="18"/>
          <w:lang w:val="en-US"/>
        </w:rPr>
      </w:pPr>
      <w:r w:rsidRPr="005D1A26">
        <w:rPr>
          <w:rStyle w:val="FootnoteReference"/>
          <w:szCs w:val="18"/>
        </w:rPr>
        <w:footnoteRef/>
      </w:r>
      <w:r w:rsidRPr="005D1A26">
        <w:rPr>
          <w:szCs w:val="18"/>
        </w:rPr>
        <w:t xml:space="preserve"> </w:t>
      </w:r>
      <w:proofErr w:type="gramStart"/>
      <w:r w:rsidRPr="005D1A26">
        <w:rPr>
          <w:szCs w:val="18"/>
          <w:lang w:val="en-US"/>
        </w:rPr>
        <w:t>Upper limit of the concentration range.</w:t>
      </w:r>
      <w:proofErr w:type="gramEnd"/>
    </w:p>
  </w:footnote>
  <w:footnote w:id="7">
    <w:p w14:paraId="236F3981" w14:textId="77777777" w:rsidR="00CE2711" w:rsidRPr="000B3758" w:rsidRDefault="00CE2711">
      <w:pPr>
        <w:pStyle w:val="FootnoteText"/>
        <w:rPr>
          <w:lang w:val="en-US"/>
        </w:rPr>
      </w:pPr>
      <w:r>
        <w:rPr>
          <w:rStyle w:val="FootnoteReference"/>
        </w:rPr>
        <w:footnoteRef/>
      </w:r>
      <w:r>
        <w:t xml:space="preserve"> </w:t>
      </w:r>
      <w:proofErr w:type="gramStart"/>
      <w:r w:rsidRPr="000B3758">
        <w:t>Talley NJ, Abreu MT, Achkar JP, et al.</w:t>
      </w:r>
      <w:proofErr w:type="gramEnd"/>
      <w:r w:rsidRPr="000B3758">
        <w:t xml:space="preserve"> </w:t>
      </w:r>
      <w:proofErr w:type="gramStart"/>
      <w:r w:rsidRPr="000B3758">
        <w:t>An evidence-based systematic review on medical therapies for inflammatory bowel disease.</w:t>
      </w:r>
      <w:proofErr w:type="gramEnd"/>
      <w:r w:rsidRPr="000B3758">
        <w:t xml:space="preserve"> </w:t>
      </w:r>
      <w:proofErr w:type="gramStart"/>
      <w:r w:rsidRPr="000B3758">
        <w:t>Am J Gastroenterol.</w:t>
      </w:r>
      <w:proofErr w:type="gramEnd"/>
      <w:r w:rsidRPr="000B3758">
        <w:t xml:space="preserve"> 2011; 106 Suppl 1:S2-S25.</w:t>
      </w:r>
    </w:p>
  </w:footnote>
  <w:footnote w:id="8">
    <w:p w14:paraId="7CFDD649" w14:textId="77777777" w:rsidR="00CE2711" w:rsidRPr="000B3758" w:rsidRDefault="00CE2711">
      <w:pPr>
        <w:pStyle w:val="FootnoteText"/>
        <w:rPr>
          <w:lang w:val="en-US"/>
        </w:rPr>
      </w:pPr>
      <w:r>
        <w:rPr>
          <w:rStyle w:val="FootnoteReference"/>
        </w:rPr>
        <w:footnoteRef/>
      </w:r>
      <w:r>
        <w:t xml:space="preserve"> </w:t>
      </w:r>
      <w:r w:rsidRPr="000B3758">
        <w:t>Wilson J, et al: High incidence of inflammatory bowel disease in Australia: a prospective population-based Australian incidence study. Inflamm Bowel Dis. 2010 Sep</w:t>
      </w:r>
      <w:proofErr w:type="gramStart"/>
      <w:r w:rsidRPr="000B3758">
        <w:t>;16</w:t>
      </w:r>
      <w:proofErr w:type="gramEnd"/>
      <w:r w:rsidRPr="000B3758">
        <w:t>(9):1550-6. doi: 10.1002/ibd.21209</w:t>
      </w:r>
    </w:p>
  </w:footnote>
  <w:footnote w:id="9">
    <w:p w14:paraId="3112B937" w14:textId="77777777" w:rsidR="00CE2711" w:rsidRPr="000B3758" w:rsidRDefault="00CE2711">
      <w:pPr>
        <w:pStyle w:val="FootnoteText"/>
        <w:rPr>
          <w:lang w:val="en-US"/>
        </w:rPr>
      </w:pPr>
      <w:r>
        <w:rPr>
          <w:rStyle w:val="FootnoteReference"/>
        </w:rPr>
        <w:footnoteRef/>
      </w:r>
      <w:r>
        <w:t xml:space="preserve"> </w:t>
      </w:r>
      <w:proofErr w:type="gramStart"/>
      <w:r w:rsidRPr="000B3758">
        <w:t>Ananthakrishnan AN. Epidemiology and risk factors for IBD.</w:t>
      </w:r>
      <w:proofErr w:type="gramEnd"/>
      <w:r w:rsidRPr="000B3758">
        <w:t xml:space="preserve"> </w:t>
      </w:r>
      <w:proofErr w:type="gramStart"/>
      <w:r w:rsidRPr="000B3758">
        <w:t>Nat Rev Gastroenterol Hepatol.</w:t>
      </w:r>
      <w:proofErr w:type="gramEnd"/>
      <w:r w:rsidRPr="000B3758">
        <w:t xml:space="preserve"> 2015;12:205-217</w:t>
      </w:r>
    </w:p>
  </w:footnote>
  <w:footnote w:id="10">
    <w:p w14:paraId="36582ED9" w14:textId="77777777" w:rsidR="00CE2711" w:rsidRPr="000B3758" w:rsidRDefault="00CE2711">
      <w:pPr>
        <w:pStyle w:val="FootnoteText"/>
        <w:rPr>
          <w:lang w:val="en-US"/>
        </w:rPr>
      </w:pPr>
      <w:r>
        <w:rPr>
          <w:rStyle w:val="FootnoteReference"/>
        </w:rPr>
        <w:footnoteRef/>
      </w:r>
      <w:r>
        <w:t xml:space="preserve"> </w:t>
      </w:r>
      <w:r w:rsidRPr="000B3758">
        <w:t>Glickman RM. Inflammatory bowel disease: ulcerative colitis and Crohn’s disease. In: Faluce AS, Braunwald E, eds. Harrison’s Principles of Internal Medicine, 14th ed. New York, NY: McGraw-Hill; 1998:1633-1645</w:t>
      </w:r>
    </w:p>
  </w:footnote>
  <w:footnote w:id="11">
    <w:p w14:paraId="700A19B0" w14:textId="77777777" w:rsidR="00CE2711" w:rsidRPr="000B3758" w:rsidRDefault="00CE2711">
      <w:pPr>
        <w:pStyle w:val="FootnoteText"/>
        <w:rPr>
          <w:lang w:val="en-US"/>
        </w:rPr>
      </w:pPr>
      <w:r>
        <w:rPr>
          <w:rStyle w:val="FootnoteReference"/>
        </w:rPr>
        <w:footnoteRef/>
      </w:r>
      <w:r>
        <w:t xml:space="preserve"> </w:t>
      </w:r>
      <w:r w:rsidRPr="000B3758">
        <w:t>Schalamon J, Mayr J, Höllwarth M. Mortality and economics in short bowel syndrome. Best Pract Res Clin Gastroenterol. 2003; 17(6):931-942</w:t>
      </w:r>
    </w:p>
  </w:footnote>
  <w:footnote w:id="12">
    <w:p w14:paraId="4E88737E" w14:textId="77777777" w:rsidR="00CE2711" w:rsidRPr="003B6354" w:rsidRDefault="00CE2711" w:rsidP="003B6354">
      <w:pPr>
        <w:autoSpaceDE w:val="0"/>
        <w:autoSpaceDN w:val="0"/>
        <w:adjustRightInd w:val="0"/>
        <w:spacing w:before="0" w:line="240" w:lineRule="auto"/>
        <w:rPr>
          <w:rFonts w:asciiTheme="minorHAnsi" w:eastAsia="TimesNewRoman" w:hAnsiTheme="minorHAnsi" w:cs="TimesNewRoman"/>
          <w:sz w:val="18"/>
          <w:szCs w:val="18"/>
        </w:rPr>
      </w:pPr>
      <w:r>
        <w:rPr>
          <w:rStyle w:val="FootnoteReference"/>
        </w:rPr>
        <w:footnoteRef/>
      </w:r>
      <w:r>
        <w:t xml:space="preserve"> </w:t>
      </w:r>
      <w:r w:rsidRPr="003B6354">
        <w:rPr>
          <w:rFonts w:asciiTheme="minorHAnsi" w:eastAsia="TimesNewRoman" w:hAnsiTheme="minorHAnsi" w:cs="TimesNewRoman"/>
          <w:sz w:val="18"/>
          <w:szCs w:val="18"/>
        </w:rPr>
        <w:t xml:space="preserve">Kandiel A, Fraser AG, Korelitz BI, et al. Increased risk of lymphoma among inflammatory bowel disease patients treated with azathioprine and 6-mercaptopurine. </w:t>
      </w:r>
      <w:proofErr w:type="gramStart"/>
      <w:r w:rsidRPr="003B6354">
        <w:rPr>
          <w:rFonts w:asciiTheme="minorHAnsi" w:eastAsia="TimesNewRoman" w:hAnsiTheme="minorHAnsi" w:cs="TimesNewRoman"/>
          <w:sz w:val="18"/>
          <w:szCs w:val="18"/>
        </w:rPr>
        <w:t>Gut.</w:t>
      </w:r>
      <w:proofErr w:type="gramEnd"/>
      <w:r w:rsidRPr="003B6354">
        <w:rPr>
          <w:rFonts w:asciiTheme="minorHAnsi" w:eastAsia="TimesNewRoman" w:hAnsiTheme="minorHAnsi" w:cs="TimesNewRoman"/>
          <w:sz w:val="18"/>
          <w:szCs w:val="18"/>
        </w:rPr>
        <w:t xml:space="preserve"> </w:t>
      </w:r>
      <w:proofErr w:type="gramStart"/>
      <w:r w:rsidRPr="003B6354">
        <w:rPr>
          <w:rFonts w:asciiTheme="minorHAnsi" w:eastAsia="TimesNewRoman" w:hAnsiTheme="minorHAnsi" w:cs="TimesNewRoman"/>
          <w:sz w:val="18"/>
          <w:szCs w:val="18"/>
        </w:rPr>
        <w:t>2005; 54:1121-1125.</w:t>
      </w:r>
      <w:proofErr w:type="gramEnd"/>
    </w:p>
  </w:footnote>
  <w:footnote w:id="13">
    <w:p w14:paraId="63C37AAB" w14:textId="77777777" w:rsidR="00CE2711" w:rsidRPr="000B3758" w:rsidRDefault="00CE2711">
      <w:pPr>
        <w:pStyle w:val="FootnoteText"/>
        <w:rPr>
          <w:szCs w:val="18"/>
        </w:rPr>
      </w:pPr>
      <w:r w:rsidRPr="000B3758">
        <w:rPr>
          <w:rStyle w:val="FootnoteReference"/>
          <w:szCs w:val="18"/>
        </w:rPr>
        <w:footnoteRef/>
      </w:r>
      <w:r w:rsidRPr="000B3758">
        <w:rPr>
          <w:szCs w:val="18"/>
        </w:rPr>
        <w:t xml:space="preserve"> Kotlyar DS, Osterman MT, Diamond RH, et al. </w:t>
      </w:r>
      <w:proofErr w:type="gramStart"/>
      <w:r w:rsidRPr="000B3758">
        <w:rPr>
          <w:szCs w:val="18"/>
        </w:rPr>
        <w:t>A systematic review of factors contribute</w:t>
      </w:r>
      <w:proofErr w:type="gramEnd"/>
      <w:r w:rsidRPr="000B3758">
        <w:rPr>
          <w:szCs w:val="18"/>
        </w:rPr>
        <w:t xml:space="preserve"> to hepatosplenic T-cell lymphoma in patients with inflammatory bowel disease. Clin Gastroenterol Hepatol. 2011; 9(1):36-41.</w:t>
      </w:r>
    </w:p>
    <w:p w14:paraId="5D45E06A" w14:textId="77777777" w:rsidR="00CE2711" w:rsidRDefault="00CE2711" w:rsidP="000B3758">
      <w:pPr>
        <w:autoSpaceDE w:val="0"/>
        <w:autoSpaceDN w:val="0"/>
        <w:adjustRightInd w:val="0"/>
        <w:spacing w:before="0" w:line="240" w:lineRule="auto"/>
        <w:rPr>
          <w:rFonts w:asciiTheme="minorHAnsi" w:eastAsia="TimesNewRoman" w:hAnsiTheme="minorHAnsi" w:cs="TimesNewRoman"/>
          <w:sz w:val="18"/>
          <w:szCs w:val="18"/>
        </w:rPr>
      </w:pPr>
      <w:r w:rsidRPr="000B3758">
        <w:rPr>
          <w:rFonts w:asciiTheme="minorHAnsi" w:eastAsia="TimesNewRoman" w:hAnsiTheme="minorHAnsi" w:cs="TimesNewRoman"/>
          <w:sz w:val="18"/>
          <w:szCs w:val="18"/>
        </w:rPr>
        <w:t xml:space="preserve">Mackey AC, Green L, Leptak C, Avigan M. Hepatosplenic T cell lymphoma associated with infliximab use in young patients treated for inflammatory bowel disease: update. </w:t>
      </w:r>
      <w:proofErr w:type="gramStart"/>
      <w:r w:rsidRPr="000B3758">
        <w:rPr>
          <w:rFonts w:asciiTheme="minorHAnsi" w:eastAsia="TimesNewRoman" w:hAnsiTheme="minorHAnsi" w:cs="TimesNewRoman"/>
          <w:sz w:val="18"/>
          <w:szCs w:val="18"/>
        </w:rPr>
        <w:t>J Pediatr Gastroenterol Nutr.</w:t>
      </w:r>
      <w:proofErr w:type="gramEnd"/>
      <w:r w:rsidRPr="000B3758">
        <w:rPr>
          <w:rFonts w:asciiTheme="minorHAnsi" w:eastAsia="TimesNewRoman" w:hAnsiTheme="minorHAnsi" w:cs="TimesNewRoman"/>
          <w:sz w:val="18"/>
          <w:szCs w:val="18"/>
        </w:rPr>
        <w:t xml:space="preserve"> </w:t>
      </w:r>
      <w:proofErr w:type="gramStart"/>
      <w:r w:rsidRPr="000B3758">
        <w:rPr>
          <w:rFonts w:asciiTheme="minorHAnsi" w:eastAsia="TimesNewRoman" w:hAnsiTheme="minorHAnsi" w:cs="TimesNewRoman"/>
          <w:sz w:val="18"/>
          <w:szCs w:val="18"/>
        </w:rPr>
        <w:t>2009; 48:386-388.</w:t>
      </w:r>
      <w:proofErr w:type="gramEnd"/>
      <w:r>
        <w:rPr>
          <w:rFonts w:asciiTheme="minorHAnsi" w:eastAsia="TimesNewRoman" w:hAnsiTheme="minorHAnsi" w:cs="TimesNewRoman"/>
          <w:sz w:val="18"/>
          <w:szCs w:val="18"/>
        </w:rPr>
        <w:t xml:space="preserve"> </w:t>
      </w:r>
      <w:r w:rsidRPr="000B3758">
        <w:rPr>
          <w:rFonts w:asciiTheme="minorHAnsi" w:eastAsia="TimesNewRoman" w:hAnsiTheme="minorHAnsi" w:cs="TimesNewRoman"/>
          <w:sz w:val="18"/>
          <w:szCs w:val="18"/>
        </w:rPr>
        <w:t xml:space="preserve">Mackey AC, Green L, Liang LC, et al. Hepatosplenic T cell lymphoma associated with infliximab use in young patients treated for inflammatory bowel disease. </w:t>
      </w:r>
      <w:proofErr w:type="gramStart"/>
      <w:r w:rsidRPr="000B3758">
        <w:rPr>
          <w:rFonts w:asciiTheme="minorHAnsi" w:eastAsia="TimesNewRoman" w:hAnsiTheme="minorHAnsi" w:cs="TimesNewRoman"/>
          <w:sz w:val="18"/>
          <w:szCs w:val="18"/>
        </w:rPr>
        <w:t>J Pediatr Gastroenterol Nutr.</w:t>
      </w:r>
      <w:proofErr w:type="gramEnd"/>
      <w:r w:rsidRPr="000B3758">
        <w:rPr>
          <w:rFonts w:asciiTheme="minorHAnsi" w:eastAsia="TimesNewRoman" w:hAnsiTheme="minorHAnsi" w:cs="TimesNewRoman"/>
          <w:sz w:val="18"/>
          <w:szCs w:val="18"/>
        </w:rPr>
        <w:t xml:space="preserve"> </w:t>
      </w:r>
      <w:proofErr w:type="gramStart"/>
      <w:r w:rsidRPr="000B3758">
        <w:rPr>
          <w:rFonts w:asciiTheme="minorHAnsi" w:eastAsia="TimesNewRoman" w:hAnsiTheme="minorHAnsi" w:cs="TimesNewRoman"/>
          <w:sz w:val="18"/>
          <w:szCs w:val="18"/>
        </w:rPr>
        <w:t>2007; 44:265-267.</w:t>
      </w:r>
      <w:proofErr w:type="gramEnd"/>
    </w:p>
    <w:p w14:paraId="5CBF2ABB" w14:textId="77777777" w:rsidR="00CE2711" w:rsidRPr="001027D2" w:rsidRDefault="00CE2711" w:rsidP="000B3758">
      <w:pPr>
        <w:autoSpaceDE w:val="0"/>
        <w:autoSpaceDN w:val="0"/>
        <w:adjustRightInd w:val="0"/>
        <w:spacing w:before="0" w:line="240" w:lineRule="auto"/>
        <w:rPr>
          <w:rFonts w:asciiTheme="minorHAnsi" w:eastAsia="TimesNewRoman" w:hAnsiTheme="minorHAnsi" w:cs="TimesNewRoman"/>
          <w:vanish/>
          <w:sz w:val="18"/>
          <w:szCs w:val="18"/>
          <w:specVanish/>
        </w:rPr>
      </w:pPr>
    </w:p>
  </w:footnote>
  <w:footnote w:id="14">
    <w:p w14:paraId="2CD73B2D" w14:textId="77777777" w:rsidR="00CE2711" w:rsidRPr="008317EC" w:rsidRDefault="00CE2711">
      <w:pPr>
        <w:pStyle w:val="FootnoteText"/>
        <w:rPr>
          <w:lang w:val="en-US"/>
        </w:rPr>
      </w:pPr>
      <w:r>
        <w:rPr>
          <w:rStyle w:val="FootnoteReference"/>
        </w:rPr>
        <w:footnoteRef/>
      </w:r>
      <w:r>
        <w:t xml:space="preserve"> </w:t>
      </w:r>
      <w:r w:rsidRPr="008317EC">
        <w:t xml:space="preserve">Ha C, Kornbluth A. Vedolizumab as a treatment for Crohn’s disease and ulcerative colitis. Gastroenterol Hepatol. </w:t>
      </w:r>
      <w:proofErr w:type="gramStart"/>
      <w:r w:rsidRPr="008317EC">
        <w:t>2014; 10:793-800.</w:t>
      </w:r>
      <w:proofErr w:type="gramEnd"/>
    </w:p>
  </w:footnote>
  <w:footnote w:id="15">
    <w:p w14:paraId="5805EEC2" w14:textId="77777777" w:rsidR="00CE2711" w:rsidRDefault="00CE2711" w:rsidP="00BC06D7">
      <w:pPr>
        <w:pStyle w:val="FootnoteText"/>
        <w:keepNext/>
        <w:ind w:left="142" w:hanging="142"/>
      </w:pPr>
      <w:r>
        <w:rPr>
          <w:rStyle w:val="FootnoteReference"/>
        </w:rPr>
        <w:footnoteRef/>
      </w:r>
      <w:r>
        <w:t xml:space="preserve"> </w:t>
      </w:r>
      <w:r w:rsidRPr="003B6354">
        <w:t xml:space="preserve">Berrebi D, Besnard M, Fromont-Hankard G, et al. Interleukin-12 expression is focally enhanced in the gastric mucosa of pediatric patients with Crohn’s disease. </w:t>
      </w:r>
      <w:proofErr w:type="gramStart"/>
      <w:r w:rsidRPr="003B6354">
        <w:t>Am J Pathol.</w:t>
      </w:r>
      <w:proofErr w:type="gramEnd"/>
      <w:r w:rsidRPr="003B6354">
        <w:t xml:space="preserve"> 1998; 152(3):667-672.</w:t>
      </w:r>
      <w:r>
        <w:t xml:space="preserve"> </w:t>
      </w:r>
    </w:p>
    <w:p w14:paraId="76A57844" w14:textId="77777777" w:rsidR="00CE2711" w:rsidRDefault="00CE2711" w:rsidP="00BC06D7">
      <w:pPr>
        <w:pStyle w:val="FootnoteText"/>
        <w:keepNext/>
        <w:ind w:left="142" w:hanging="142"/>
        <w:rPr>
          <w:lang w:val="en-US"/>
        </w:rPr>
      </w:pPr>
      <w:r w:rsidRPr="003B6354">
        <w:rPr>
          <w:lang w:val="en-US"/>
        </w:rPr>
        <w:t xml:space="preserve">Monteleone G, Biancone L, Marasco R, et al. Interleukin 12 is expressed and actively released by Crohn's disease intestinal lamina propria mononuclear cells. </w:t>
      </w:r>
      <w:proofErr w:type="gramStart"/>
      <w:r w:rsidRPr="003B6354">
        <w:rPr>
          <w:lang w:val="en-US"/>
        </w:rPr>
        <w:t>Gastroenterology.</w:t>
      </w:r>
      <w:proofErr w:type="gramEnd"/>
      <w:r w:rsidRPr="003B6354">
        <w:rPr>
          <w:lang w:val="en-US"/>
        </w:rPr>
        <w:t xml:space="preserve"> 1997; 112(4):1169-1178.</w:t>
      </w:r>
    </w:p>
    <w:p w14:paraId="4503C935" w14:textId="77777777" w:rsidR="00CE2711" w:rsidRPr="003B6354" w:rsidRDefault="00CE2711" w:rsidP="00BC06D7">
      <w:pPr>
        <w:keepNext/>
        <w:autoSpaceDE w:val="0"/>
        <w:autoSpaceDN w:val="0"/>
        <w:adjustRightInd w:val="0"/>
        <w:spacing w:before="0" w:line="240" w:lineRule="auto"/>
        <w:ind w:left="142" w:hanging="142"/>
        <w:rPr>
          <w:rFonts w:asciiTheme="minorHAnsi" w:eastAsia="TimesNewRoman" w:hAnsiTheme="minorHAnsi" w:cs="TimesNewRoman"/>
          <w:sz w:val="18"/>
          <w:szCs w:val="18"/>
        </w:rPr>
      </w:pPr>
      <w:r w:rsidRPr="003B6354">
        <w:rPr>
          <w:rFonts w:asciiTheme="minorHAnsi" w:eastAsia="TimesNewRoman" w:hAnsiTheme="minorHAnsi" w:cs="TimesNewRoman"/>
          <w:sz w:val="18"/>
          <w:szCs w:val="18"/>
        </w:rPr>
        <w:t xml:space="preserve">Parrello T, Monteleone G, Cucchiara S, et al. Up-regulation of the IL-12 receptor beta 2 chain in Crohn's disease. </w:t>
      </w:r>
      <w:proofErr w:type="gramStart"/>
      <w:r w:rsidRPr="003B6354">
        <w:rPr>
          <w:rFonts w:asciiTheme="minorHAnsi" w:eastAsia="TimesNewRoman" w:hAnsiTheme="minorHAnsi" w:cs="TimesNewRoman"/>
          <w:sz w:val="18"/>
          <w:szCs w:val="18"/>
        </w:rPr>
        <w:t>J Immunol.</w:t>
      </w:r>
      <w:proofErr w:type="gramEnd"/>
      <w:r w:rsidRPr="003B6354">
        <w:rPr>
          <w:rFonts w:asciiTheme="minorHAnsi" w:eastAsia="TimesNewRoman" w:hAnsiTheme="minorHAnsi" w:cs="TimesNewRoman"/>
          <w:sz w:val="18"/>
          <w:szCs w:val="18"/>
        </w:rPr>
        <w:t xml:space="preserve"> 2000; 165(12):7234-7239</w:t>
      </w:r>
    </w:p>
  </w:footnote>
  <w:footnote w:id="16">
    <w:p w14:paraId="3D4ABD83" w14:textId="77777777" w:rsidR="00CE2711" w:rsidRDefault="00CE2711" w:rsidP="00BC06D7">
      <w:pPr>
        <w:pStyle w:val="FootnoteText"/>
        <w:ind w:left="142" w:hanging="142"/>
      </w:pPr>
      <w:r>
        <w:rPr>
          <w:rStyle w:val="FootnoteReference"/>
        </w:rPr>
        <w:footnoteRef/>
      </w:r>
      <w:r>
        <w:t xml:space="preserve"> </w:t>
      </w:r>
      <w:proofErr w:type="gramStart"/>
      <w:r w:rsidRPr="003B6354">
        <w:t>Liu Z, Yadav PK, Xu X, et al.</w:t>
      </w:r>
      <w:proofErr w:type="gramEnd"/>
      <w:r w:rsidRPr="003B6354">
        <w:t xml:space="preserve"> The increased expression of IL-23 in inflammatory bowel disease promotes intraepithelial and lamina propria lymphocyte inflammatory responses and cytotoxicity. J Leukoc Biol. 2011; 89:597-606</w:t>
      </w:r>
    </w:p>
    <w:p w14:paraId="77551A76" w14:textId="77777777" w:rsidR="00CE2711" w:rsidRPr="003B6354" w:rsidRDefault="00CE2711" w:rsidP="00BC06D7">
      <w:pPr>
        <w:pStyle w:val="FootnoteText"/>
        <w:ind w:left="142" w:hanging="142"/>
        <w:rPr>
          <w:lang w:val="en-US"/>
        </w:rPr>
      </w:pPr>
      <w:r w:rsidRPr="003B6354">
        <w:rPr>
          <w:lang w:val="en-US"/>
        </w:rPr>
        <w:t xml:space="preserve">Monteleone G, Biancone L, Marasco R, et al. Interleukin 12 is expressed and actively released by Crohn's disease intestinal lamina propria mononuclear cells. </w:t>
      </w:r>
      <w:proofErr w:type="gramStart"/>
      <w:r w:rsidRPr="003B6354">
        <w:rPr>
          <w:lang w:val="en-US"/>
        </w:rPr>
        <w:t>Gastroenterology.</w:t>
      </w:r>
      <w:proofErr w:type="gramEnd"/>
      <w:r w:rsidRPr="003B6354">
        <w:rPr>
          <w:lang w:val="en-US"/>
        </w:rPr>
        <w:t xml:space="preserve"> 1997; 112(4):1169-1178.</w:t>
      </w:r>
    </w:p>
  </w:footnote>
  <w:footnote w:id="17">
    <w:p w14:paraId="16E512D6" w14:textId="77777777" w:rsidR="00CE2711" w:rsidRDefault="00CE2711" w:rsidP="00BC06D7">
      <w:pPr>
        <w:pStyle w:val="FootnoteText"/>
        <w:ind w:left="142" w:hanging="142"/>
      </w:pPr>
      <w:r>
        <w:rPr>
          <w:rStyle w:val="FootnoteReference"/>
        </w:rPr>
        <w:footnoteRef/>
      </w:r>
      <w:r>
        <w:t xml:space="preserve"> </w:t>
      </w:r>
      <w:r w:rsidRPr="003B6354">
        <w:t xml:space="preserve">Davidson NJ, Hudak SA, Lesley RE, Menon S, Leach MW, Rennick DM. IL-12, but not IFN-gamma, plays a major role in sustaining the chronic phase of colitis in IL-10-deficient mice. </w:t>
      </w:r>
      <w:proofErr w:type="gramStart"/>
      <w:r w:rsidRPr="003B6354">
        <w:t>J Immunol.</w:t>
      </w:r>
      <w:proofErr w:type="gramEnd"/>
      <w:r w:rsidRPr="003B6354">
        <w:t xml:space="preserve"> 1998; 161:3143–3149</w:t>
      </w:r>
    </w:p>
    <w:p w14:paraId="6D1059DB" w14:textId="77777777" w:rsidR="00CE2711" w:rsidRPr="003B6354" w:rsidRDefault="00CE2711" w:rsidP="00BC06D7">
      <w:pPr>
        <w:autoSpaceDE w:val="0"/>
        <w:autoSpaceDN w:val="0"/>
        <w:adjustRightInd w:val="0"/>
        <w:spacing w:before="0" w:line="240" w:lineRule="auto"/>
        <w:ind w:left="142" w:hanging="142"/>
        <w:rPr>
          <w:rFonts w:asciiTheme="minorHAnsi" w:eastAsia="TimesNewRoman" w:hAnsiTheme="minorHAnsi" w:cs="TimesNewRoman"/>
          <w:sz w:val="18"/>
          <w:szCs w:val="18"/>
        </w:rPr>
      </w:pPr>
      <w:r w:rsidRPr="003B6354">
        <w:rPr>
          <w:rFonts w:asciiTheme="minorHAnsi" w:eastAsia="TimesNewRoman" w:hAnsiTheme="minorHAnsi" w:cs="TimesNewRoman"/>
          <w:sz w:val="18"/>
          <w:szCs w:val="18"/>
        </w:rPr>
        <w:t>Neurath MF. IL-23: a master regulator in Crohn disease. Nat Med. 2007; 13(1):26-28.</w:t>
      </w:r>
    </w:p>
  </w:footnote>
  <w:footnote w:id="18">
    <w:p w14:paraId="275416A7" w14:textId="77777777" w:rsidR="00CE2711" w:rsidRDefault="00CE2711" w:rsidP="00BC06D7">
      <w:pPr>
        <w:pStyle w:val="FootnoteText"/>
        <w:ind w:left="142" w:hanging="142"/>
      </w:pPr>
      <w:r>
        <w:rPr>
          <w:rStyle w:val="FootnoteReference"/>
        </w:rPr>
        <w:footnoteRef/>
      </w:r>
      <w:r>
        <w:t xml:space="preserve"> </w:t>
      </w:r>
      <w:r w:rsidRPr="00693CCC">
        <w:t>Hue S, Ahern P, Buonocore S, et al. Interleukin-23 drives innate and T cell-mediated intestinal inflammation.J Exp Med. 2006; 203:2473-2483.</w:t>
      </w:r>
      <w:r>
        <w:t xml:space="preserve"> </w:t>
      </w:r>
    </w:p>
    <w:p w14:paraId="5FF5D451" w14:textId="77777777" w:rsidR="00CE2711" w:rsidRDefault="00CE2711" w:rsidP="00BC06D7">
      <w:pPr>
        <w:pStyle w:val="FootnoteText"/>
        <w:ind w:left="142" w:hanging="142"/>
      </w:pPr>
      <w:r w:rsidRPr="00693CCC">
        <w:t xml:space="preserve">Kullberg MC, Jankovic D, Feng CG, et al. IL-23 plays a key role in Helicobacter hepaticus-induced T cell dependent colitis. </w:t>
      </w:r>
      <w:proofErr w:type="gramStart"/>
      <w:r w:rsidRPr="00693CCC">
        <w:t>J Exp Med. 2006; 203:2485-2494.</w:t>
      </w:r>
      <w:proofErr w:type="gramEnd"/>
      <w:r>
        <w:t xml:space="preserve"> </w:t>
      </w:r>
    </w:p>
    <w:p w14:paraId="74DF047C" w14:textId="77777777" w:rsidR="00CE2711" w:rsidRPr="00693CCC" w:rsidRDefault="00CE2711" w:rsidP="00BC06D7">
      <w:pPr>
        <w:pStyle w:val="FootnoteText"/>
        <w:ind w:left="142" w:hanging="142"/>
        <w:rPr>
          <w:lang w:val="en-US"/>
        </w:rPr>
      </w:pPr>
      <w:r w:rsidRPr="00693CCC">
        <w:t xml:space="preserve">Yen D, Cheung J, Scheerens H, et al. IL-23 is essential for T cell- mediated colitis and promotes inflammation via IL-17 and IL-6. J Clin Invest. </w:t>
      </w:r>
      <w:proofErr w:type="gramStart"/>
      <w:r w:rsidRPr="00693CCC">
        <w:t>2006; 116:1310-1316.</w:t>
      </w:r>
      <w:proofErr w:type="gramEnd"/>
    </w:p>
  </w:footnote>
  <w:footnote w:id="19">
    <w:p w14:paraId="2ABBF9D1" w14:textId="77777777" w:rsidR="00CE2711" w:rsidRDefault="00CE2711" w:rsidP="00BC06D7">
      <w:pPr>
        <w:pStyle w:val="FootnoteText"/>
        <w:ind w:left="142" w:hanging="142"/>
      </w:pPr>
      <w:r>
        <w:rPr>
          <w:rStyle w:val="FootnoteReference"/>
        </w:rPr>
        <w:footnoteRef/>
      </w:r>
      <w:r>
        <w:t xml:space="preserve"> </w:t>
      </w:r>
      <w:r w:rsidRPr="00693CCC">
        <w:t>Umeno J, Asano K, Matsushita T, et al. Meta-analysis of published studies identified eight additional common susceptibility loci for Crohn's disease and ulcerative colitis. Inflamm Bowel Dis. 2011; 17(12):2407-2415.</w:t>
      </w:r>
      <w:r>
        <w:t xml:space="preserve"> </w:t>
      </w:r>
      <w:proofErr w:type="gramStart"/>
      <w:r w:rsidRPr="00693CCC">
        <w:t>Duerr RH, Taylor KD, Brant SR, et al.</w:t>
      </w:r>
      <w:proofErr w:type="gramEnd"/>
      <w:r w:rsidRPr="00693CCC">
        <w:t xml:space="preserve"> A genome-wide association study identifies IL23R as an inflammatory bowel disease gene. </w:t>
      </w:r>
      <w:proofErr w:type="gramStart"/>
      <w:r w:rsidRPr="00693CCC">
        <w:t>Science.</w:t>
      </w:r>
      <w:proofErr w:type="gramEnd"/>
      <w:r w:rsidRPr="00693CCC">
        <w:t xml:space="preserve"> 2006; 314(5804):1403-1405</w:t>
      </w:r>
      <w:r>
        <w:t xml:space="preserve"> </w:t>
      </w:r>
    </w:p>
    <w:p w14:paraId="086B88A4" w14:textId="77777777" w:rsidR="00CE2711" w:rsidRDefault="00CE2711" w:rsidP="00BC06D7">
      <w:pPr>
        <w:pStyle w:val="FootnoteText"/>
        <w:ind w:left="142" w:hanging="142"/>
      </w:pPr>
      <w:r w:rsidRPr="00693CCC">
        <w:t xml:space="preserve">Moon CM, Shin DJ, Son NH, et al. Genetic variants in the IL12B gene are associated with inflammatory bowel diseases in the Korean population .J Gastroenterol Hepatol. </w:t>
      </w:r>
      <w:proofErr w:type="gramStart"/>
      <w:r w:rsidRPr="00693CCC">
        <w:t>2013; 28:1588-1594.</w:t>
      </w:r>
      <w:proofErr w:type="gramEnd"/>
    </w:p>
    <w:p w14:paraId="2065BA85" w14:textId="77777777" w:rsidR="00CE2711" w:rsidRPr="00693CCC" w:rsidRDefault="00CE2711" w:rsidP="00BC06D7">
      <w:pPr>
        <w:pStyle w:val="FootnoteText"/>
        <w:ind w:left="142" w:hanging="142"/>
        <w:rPr>
          <w:lang w:val="en-US"/>
        </w:rPr>
      </w:pPr>
      <w:r w:rsidRPr="00693CCC">
        <w:rPr>
          <w:lang w:val="en-US"/>
        </w:rPr>
        <w:t xml:space="preserve">Wang K, Zhang H, Kugathasan S, et al. Diverse genome-wide association studies associate the IL12/IL23 pathway with Crohn Disease. </w:t>
      </w:r>
      <w:proofErr w:type="gramStart"/>
      <w:r w:rsidRPr="00693CCC">
        <w:rPr>
          <w:lang w:val="en-US"/>
        </w:rPr>
        <w:t>Am J Hum Genet.</w:t>
      </w:r>
      <w:proofErr w:type="gramEnd"/>
      <w:r w:rsidRPr="00693CCC">
        <w:rPr>
          <w:lang w:val="en-US"/>
        </w:rPr>
        <w:t xml:space="preserve"> 2009; 84(3):399-405.</w:t>
      </w:r>
    </w:p>
  </w:footnote>
  <w:footnote w:id="20">
    <w:p w14:paraId="79B149F8" w14:textId="77777777" w:rsidR="00CE2711" w:rsidRDefault="00CE2711" w:rsidP="00BC06D7">
      <w:pPr>
        <w:pStyle w:val="FootnoteText"/>
        <w:ind w:left="142" w:hanging="142"/>
      </w:pPr>
      <w:r>
        <w:rPr>
          <w:rStyle w:val="FootnoteReference"/>
        </w:rPr>
        <w:footnoteRef/>
      </w:r>
      <w:r>
        <w:t xml:space="preserve"> </w:t>
      </w:r>
      <w:r w:rsidRPr="00247506">
        <w:t xml:space="preserve">Rutgeerts P, Van Assche G, Sandborn WJ, et al. Adalimumab induces and maintains mucosal healing in patients with Crohn's disease: data from the EXTEND trial. </w:t>
      </w:r>
      <w:proofErr w:type="gramStart"/>
      <w:r w:rsidRPr="00247506">
        <w:t>Gastroenterology.</w:t>
      </w:r>
      <w:proofErr w:type="gramEnd"/>
      <w:r w:rsidRPr="00247506">
        <w:t xml:space="preserve"> 2012;142(5):1102-1111.e2</w:t>
      </w:r>
      <w:r>
        <w:t xml:space="preserve"> </w:t>
      </w:r>
      <w:r w:rsidRPr="00247506">
        <w:t xml:space="preserve">Rutgeerts P, Diamond RH, Bala M, et al. Scheduled maintenance treatment with infliximab is superior to episodic treatment for the healing of mucosal ulceration associated with Crohn’s disease. Gastrointest Endosc. 2006;63(3):433-44 </w:t>
      </w:r>
    </w:p>
    <w:p w14:paraId="216F9E24" w14:textId="77777777" w:rsidR="00CE2711" w:rsidRDefault="00CE2711" w:rsidP="00BC06D7">
      <w:pPr>
        <w:pStyle w:val="FootnoteText"/>
        <w:ind w:left="142" w:hanging="142"/>
      </w:pPr>
      <w:r w:rsidRPr="00247506">
        <w:t xml:space="preserve">Hébuterne X, Lémann M, Bouhnik Y, et al. Endoscopic improvement of mucosal lesions in patients with moderate to severe ileocolonic Crohn’s disease following treatment with certolizumab pegol. </w:t>
      </w:r>
      <w:proofErr w:type="gramStart"/>
      <w:r w:rsidRPr="00247506">
        <w:t>Gut.</w:t>
      </w:r>
      <w:proofErr w:type="gramEnd"/>
      <w:r w:rsidRPr="00247506">
        <w:t xml:space="preserve"> 2013;62(2):201-208</w:t>
      </w:r>
      <w:r>
        <w:t xml:space="preserve"> </w:t>
      </w:r>
    </w:p>
    <w:p w14:paraId="5212860C" w14:textId="77777777" w:rsidR="00CE2711" w:rsidRPr="00247506" w:rsidRDefault="00CE2711" w:rsidP="00BC06D7">
      <w:pPr>
        <w:pStyle w:val="FootnoteText"/>
        <w:ind w:left="142" w:hanging="142"/>
        <w:rPr>
          <w:lang w:val="en-US"/>
        </w:rPr>
      </w:pPr>
      <w:proofErr w:type="gramStart"/>
      <w:r w:rsidRPr="00247506">
        <w:t>Colombel JF, Sandborn WJ, Reinisch W, et al; SONIC Study Group.</w:t>
      </w:r>
      <w:proofErr w:type="gramEnd"/>
      <w:r w:rsidRPr="00247506">
        <w:t xml:space="preserve"> </w:t>
      </w:r>
      <w:proofErr w:type="gramStart"/>
      <w:r w:rsidRPr="00247506">
        <w:t>Infliximab, azathioprine, or combination therapy for Crohn’s disease.</w:t>
      </w:r>
      <w:proofErr w:type="gramEnd"/>
      <w:r w:rsidRPr="00247506">
        <w:t xml:space="preserve"> N Engl J Med. 2010;362(15):1383-1395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75E3E" w14:textId="77777777" w:rsidR="00CE2711" w:rsidRDefault="00CE2711"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6B4BA" w14:textId="25213882" w:rsidR="00CE2711" w:rsidRDefault="00CE2711" w:rsidP="00B471B6">
    <w:r w:rsidRPr="00347824">
      <w:rPr>
        <w:noProof/>
        <w:lang w:eastAsia="en-AU"/>
      </w:rPr>
      <w:drawing>
        <wp:anchor distT="0" distB="0" distL="114300" distR="114300" simplePos="0" relativeHeight="251659264" behindDoc="1" locked="0" layoutInCell="1" allowOverlap="1" wp14:anchorId="4A912375" wp14:editId="6610F101">
          <wp:simplePos x="0" y="0"/>
          <wp:positionH relativeFrom="column">
            <wp:posOffset>-1089660</wp:posOffset>
          </wp:positionH>
          <wp:positionV relativeFrom="paragraph">
            <wp:posOffset>-585470</wp:posOffset>
          </wp:positionV>
          <wp:extent cx="7572375" cy="10706100"/>
          <wp:effectExtent l="0" t="0" r="0" b="0"/>
          <wp:wrapNone/>
          <wp:docPr id="21" name="Picture 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B232D" w14:textId="77777777" w:rsidR="00CE2711" w:rsidRDefault="00CE27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36C91" w14:textId="77777777" w:rsidR="00CE2711" w:rsidRDefault="00CE2711">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FEF94" w14:textId="77777777" w:rsidR="00CE2711" w:rsidRDefault="00CE2711">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5DB06" w14:textId="77777777" w:rsidR="00CE2711" w:rsidRDefault="00CE271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02566" w14:textId="77777777" w:rsidR="00CE2711" w:rsidRDefault="00CE2711"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6F44B" w14:textId="77777777" w:rsidR="00CE2711" w:rsidRDefault="00CE2711" w:rsidP="006E08B3">
    <w:r>
      <w:t>Therapeutic Goods Administration</w:t>
    </w:r>
  </w:p>
  <w:p w14:paraId="44A68EA7" w14:textId="77777777" w:rsidR="00CE2711" w:rsidRDefault="00CE2711"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757F"/>
    <w:multiLevelType w:val="hybridMultilevel"/>
    <w:tmpl w:val="F66E9C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nsid w:val="227A52BD"/>
    <w:multiLevelType w:val="multilevel"/>
    <w:tmpl w:val="23FE4284"/>
    <w:lvl w:ilvl="0">
      <w:start w:val="9"/>
      <w:numFmt w:val="decimal"/>
      <w:suff w:val="space"/>
      <w:lvlText w:val="Recommendation %1."/>
      <w:lvlJc w:val="left"/>
      <w:pPr>
        <w:ind w:left="360" w:hanging="360"/>
      </w:pPr>
      <w:rPr>
        <w:rFonts w:asciiTheme="majorHAnsi" w:hAnsiTheme="majorHAnsi" w:hint="default"/>
        <w:b w:val="0"/>
        <w:sz w:val="23"/>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6BE11DD"/>
    <w:multiLevelType w:val="hybridMultilevel"/>
    <w:tmpl w:val="5F5A7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513DC2"/>
    <w:multiLevelType w:val="hybridMultilevel"/>
    <w:tmpl w:val="F11EA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E331118"/>
    <w:multiLevelType w:val="hybridMultilevel"/>
    <w:tmpl w:val="EDE6363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77A7390"/>
    <w:multiLevelType w:val="hybridMultilevel"/>
    <w:tmpl w:val="86A2623A"/>
    <w:lvl w:ilvl="0" w:tplc="CCE4E5D8">
      <w:start w:val="1"/>
      <w:numFmt w:val="bullet"/>
      <w:lvlText w:val="►"/>
      <w:lvlJc w:val="left"/>
      <w:pPr>
        <w:ind w:left="770" w:hanging="360"/>
      </w:pPr>
      <w:rPr>
        <w:rFonts w:ascii="Arial" w:hAnsi="Arial" w:hint="default"/>
        <w:sz w:val="18"/>
        <w:szCs w:val="18"/>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nsid w:val="3882194D"/>
    <w:multiLevelType w:val="hybridMultilevel"/>
    <w:tmpl w:val="66F4FD8A"/>
    <w:lvl w:ilvl="0" w:tplc="37E49A86">
      <w:start w:val="1"/>
      <w:numFmt w:val="bullet"/>
      <w:lvlText w:val="►"/>
      <w:lvlJc w:val="left"/>
      <w:pPr>
        <w:ind w:left="770" w:hanging="360"/>
      </w:pPr>
      <w:rPr>
        <w:rFonts w:ascii="Arial" w:hAnsi="Arial" w:hint="default"/>
        <w:sz w:val="18"/>
        <w:szCs w:val="18"/>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nsid w:val="3B737559"/>
    <w:multiLevelType w:val="hybridMultilevel"/>
    <w:tmpl w:val="36BC5974"/>
    <w:lvl w:ilvl="0" w:tplc="0C090003">
      <w:start w:val="1"/>
      <w:numFmt w:val="bullet"/>
      <w:lvlText w:val="o"/>
      <w:lvlJc w:val="left"/>
      <w:pPr>
        <w:ind w:left="770" w:hanging="360"/>
      </w:pPr>
      <w:rPr>
        <w:rFonts w:ascii="Courier New" w:hAnsi="Courier New" w:cs="Courier New"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nsid w:val="3C622FB8"/>
    <w:multiLevelType w:val="hybridMultilevel"/>
    <w:tmpl w:val="66DECF12"/>
    <w:lvl w:ilvl="0" w:tplc="6A6E9FF6">
      <w:start w:val="1"/>
      <w:numFmt w:val="bullet"/>
      <w:lvlText w:val="-"/>
      <w:lvlJc w:val="left"/>
      <w:pPr>
        <w:ind w:left="720" w:hanging="360"/>
      </w:pPr>
      <w:rPr>
        <w:rFonts w:ascii="Calibri" w:eastAsia="Arial" w:hAnsi="Calibri" w:hint="default"/>
        <w:b/>
        <w:color w:val="003365"/>
        <w:w w:val="105"/>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E7A1387"/>
    <w:multiLevelType w:val="hybridMultilevel"/>
    <w:tmpl w:val="045C9130"/>
    <w:lvl w:ilvl="0" w:tplc="B7721D72">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30E390B"/>
    <w:multiLevelType w:val="hybridMultilevel"/>
    <w:tmpl w:val="16A417C2"/>
    <w:lvl w:ilvl="0" w:tplc="C9DC96BA">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6AE51BC"/>
    <w:multiLevelType w:val="hybridMultilevel"/>
    <w:tmpl w:val="C2C6AD7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C146A40"/>
    <w:multiLevelType w:val="hybridMultilevel"/>
    <w:tmpl w:val="31E451FE"/>
    <w:lvl w:ilvl="0" w:tplc="0C090003">
      <w:start w:val="1"/>
      <w:numFmt w:val="bullet"/>
      <w:lvlText w:val="o"/>
      <w:lvlJc w:val="left"/>
      <w:pPr>
        <w:ind w:left="1490" w:hanging="360"/>
      </w:pPr>
      <w:rPr>
        <w:rFonts w:ascii="Courier New" w:hAnsi="Courier New" w:cs="Courier New"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6">
    <w:nsid w:val="55474BB1"/>
    <w:multiLevelType w:val="hybridMultilevel"/>
    <w:tmpl w:val="F970CD16"/>
    <w:lvl w:ilvl="0" w:tplc="0C090009">
      <w:start w:val="1"/>
      <w:numFmt w:val="bullet"/>
      <w:lvlText w:val=""/>
      <w:lvlJc w:val="left"/>
      <w:pPr>
        <w:ind w:left="2120" w:hanging="360"/>
      </w:pPr>
      <w:rPr>
        <w:rFonts w:ascii="Wingdings" w:hAnsi="Wingdings" w:hint="default"/>
      </w:rPr>
    </w:lvl>
    <w:lvl w:ilvl="1" w:tplc="0C090003" w:tentative="1">
      <w:start w:val="1"/>
      <w:numFmt w:val="bullet"/>
      <w:lvlText w:val="o"/>
      <w:lvlJc w:val="left"/>
      <w:pPr>
        <w:ind w:left="2840" w:hanging="360"/>
      </w:pPr>
      <w:rPr>
        <w:rFonts w:ascii="Courier New" w:hAnsi="Courier New" w:cs="Courier New" w:hint="default"/>
      </w:rPr>
    </w:lvl>
    <w:lvl w:ilvl="2" w:tplc="0C090005" w:tentative="1">
      <w:start w:val="1"/>
      <w:numFmt w:val="bullet"/>
      <w:lvlText w:val=""/>
      <w:lvlJc w:val="left"/>
      <w:pPr>
        <w:ind w:left="3560" w:hanging="360"/>
      </w:pPr>
      <w:rPr>
        <w:rFonts w:ascii="Wingdings" w:hAnsi="Wingdings" w:hint="default"/>
      </w:rPr>
    </w:lvl>
    <w:lvl w:ilvl="3" w:tplc="0C090001" w:tentative="1">
      <w:start w:val="1"/>
      <w:numFmt w:val="bullet"/>
      <w:lvlText w:val=""/>
      <w:lvlJc w:val="left"/>
      <w:pPr>
        <w:ind w:left="4280" w:hanging="360"/>
      </w:pPr>
      <w:rPr>
        <w:rFonts w:ascii="Symbol" w:hAnsi="Symbol" w:hint="default"/>
      </w:rPr>
    </w:lvl>
    <w:lvl w:ilvl="4" w:tplc="0C090003" w:tentative="1">
      <w:start w:val="1"/>
      <w:numFmt w:val="bullet"/>
      <w:lvlText w:val="o"/>
      <w:lvlJc w:val="left"/>
      <w:pPr>
        <w:ind w:left="5000" w:hanging="360"/>
      </w:pPr>
      <w:rPr>
        <w:rFonts w:ascii="Courier New" w:hAnsi="Courier New" w:cs="Courier New" w:hint="default"/>
      </w:rPr>
    </w:lvl>
    <w:lvl w:ilvl="5" w:tplc="0C090005" w:tentative="1">
      <w:start w:val="1"/>
      <w:numFmt w:val="bullet"/>
      <w:lvlText w:val=""/>
      <w:lvlJc w:val="left"/>
      <w:pPr>
        <w:ind w:left="5720" w:hanging="360"/>
      </w:pPr>
      <w:rPr>
        <w:rFonts w:ascii="Wingdings" w:hAnsi="Wingdings" w:hint="default"/>
      </w:rPr>
    </w:lvl>
    <w:lvl w:ilvl="6" w:tplc="0C090001" w:tentative="1">
      <w:start w:val="1"/>
      <w:numFmt w:val="bullet"/>
      <w:lvlText w:val=""/>
      <w:lvlJc w:val="left"/>
      <w:pPr>
        <w:ind w:left="6440" w:hanging="360"/>
      </w:pPr>
      <w:rPr>
        <w:rFonts w:ascii="Symbol" w:hAnsi="Symbol" w:hint="default"/>
      </w:rPr>
    </w:lvl>
    <w:lvl w:ilvl="7" w:tplc="0C090003" w:tentative="1">
      <w:start w:val="1"/>
      <w:numFmt w:val="bullet"/>
      <w:lvlText w:val="o"/>
      <w:lvlJc w:val="left"/>
      <w:pPr>
        <w:ind w:left="7160" w:hanging="360"/>
      </w:pPr>
      <w:rPr>
        <w:rFonts w:ascii="Courier New" w:hAnsi="Courier New" w:cs="Courier New" w:hint="default"/>
      </w:rPr>
    </w:lvl>
    <w:lvl w:ilvl="8" w:tplc="0C090005" w:tentative="1">
      <w:start w:val="1"/>
      <w:numFmt w:val="bullet"/>
      <w:lvlText w:val=""/>
      <w:lvlJc w:val="left"/>
      <w:pPr>
        <w:ind w:left="7880" w:hanging="360"/>
      </w:pPr>
      <w:rPr>
        <w:rFonts w:ascii="Wingdings" w:hAnsi="Wingdings" w:hint="default"/>
      </w:rPr>
    </w:lvl>
  </w:abstractNum>
  <w:abstractNum w:abstractNumId="17">
    <w:nsid w:val="57702E6E"/>
    <w:multiLevelType w:val="hybridMultilevel"/>
    <w:tmpl w:val="C570FF84"/>
    <w:lvl w:ilvl="0" w:tplc="33C4376C">
      <w:start w:val="1"/>
      <w:numFmt w:val="bullet"/>
      <w:lvlText w:val="-"/>
      <w:lvlJc w:val="left"/>
      <w:pPr>
        <w:ind w:left="720" w:hanging="360"/>
      </w:pPr>
      <w:rPr>
        <w:rFonts w:ascii="Calibri" w:eastAsia="Arial" w:hAnsi="Calibri" w:hint="default"/>
        <w:color w:val="auto"/>
        <w:w w:val="105"/>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8BF6597"/>
    <w:multiLevelType w:val="hybridMultilevel"/>
    <w:tmpl w:val="8D0C759C"/>
    <w:lvl w:ilvl="0" w:tplc="8AD0BF0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AB22659"/>
    <w:multiLevelType w:val="hybridMultilevel"/>
    <w:tmpl w:val="E23001E0"/>
    <w:lvl w:ilvl="0" w:tplc="8AD0BF0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803165F"/>
    <w:multiLevelType w:val="hybridMultilevel"/>
    <w:tmpl w:val="CC789FE8"/>
    <w:lvl w:ilvl="0" w:tplc="8AD0BF0C">
      <w:start w:val="1"/>
      <w:numFmt w:val="bullet"/>
      <w:lvlText w:val=""/>
      <w:lvlJc w:val="left"/>
      <w:pPr>
        <w:ind w:left="1490" w:hanging="360"/>
      </w:pPr>
      <w:rPr>
        <w:rFonts w:ascii="Symbol" w:hAnsi="Symbol" w:hint="default"/>
        <w:color w:val="auto"/>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21">
    <w:nsid w:val="68EA29CC"/>
    <w:multiLevelType w:val="hybridMultilevel"/>
    <w:tmpl w:val="79485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A3D6CF2"/>
    <w:multiLevelType w:val="hybridMultilevel"/>
    <w:tmpl w:val="F4A4EE38"/>
    <w:lvl w:ilvl="0" w:tplc="0C09000B">
      <w:start w:val="1"/>
      <w:numFmt w:val="bullet"/>
      <w:lvlText w:val=""/>
      <w:lvlJc w:val="left"/>
      <w:pPr>
        <w:ind w:left="2020" w:hanging="360"/>
      </w:pPr>
      <w:rPr>
        <w:rFonts w:ascii="Wingdings" w:hAnsi="Wingdings" w:hint="default"/>
      </w:rPr>
    </w:lvl>
    <w:lvl w:ilvl="1" w:tplc="0C090003" w:tentative="1">
      <w:start w:val="1"/>
      <w:numFmt w:val="bullet"/>
      <w:lvlText w:val="o"/>
      <w:lvlJc w:val="left"/>
      <w:pPr>
        <w:ind w:left="2740" w:hanging="360"/>
      </w:pPr>
      <w:rPr>
        <w:rFonts w:ascii="Courier New" w:hAnsi="Courier New" w:cs="Courier New" w:hint="default"/>
      </w:rPr>
    </w:lvl>
    <w:lvl w:ilvl="2" w:tplc="0C090005" w:tentative="1">
      <w:start w:val="1"/>
      <w:numFmt w:val="bullet"/>
      <w:lvlText w:val=""/>
      <w:lvlJc w:val="left"/>
      <w:pPr>
        <w:ind w:left="3460" w:hanging="360"/>
      </w:pPr>
      <w:rPr>
        <w:rFonts w:ascii="Wingdings" w:hAnsi="Wingdings" w:hint="default"/>
      </w:rPr>
    </w:lvl>
    <w:lvl w:ilvl="3" w:tplc="0C090001" w:tentative="1">
      <w:start w:val="1"/>
      <w:numFmt w:val="bullet"/>
      <w:lvlText w:val=""/>
      <w:lvlJc w:val="left"/>
      <w:pPr>
        <w:ind w:left="4180" w:hanging="360"/>
      </w:pPr>
      <w:rPr>
        <w:rFonts w:ascii="Symbol" w:hAnsi="Symbol" w:hint="default"/>
      </w:rPr>
    </w:lvl>
    <w:lvl w:ilvl="4" w:tplc="0C090003" w:tentative="1">
      <w:start w:val="1"/>
      <w:numFmt w:val="bullet"/>
      <w:lvlText w:val="o"/>
      <w:lvlJc w:val="left"/>
      <w:pPr>
        <w:ind w:left="4900" w:hanging="360"/>
      </w:pPr>
      <w:rPr>
        <w:rFonts w:ascii="Courier New" w:hAnsi="Courier New" w:cs="Courier New" w:hint="default"/>
      </w:rPr>
    </w:lvl>
    <w:lvl w:ilvl="5" w:tplc="0C090005" w:tentative="1">
      <w:start w:val="1"/>
      <w:numFmt w:val="bullet"/>
      <w:lvlText w:val=""/>
      <w:lvlJc w:val="left"/>
      <w:pPr>
        <w:ind w:left="5620" w:hanging="360"/>
      </w:pPr>
      <w:rPr>
        <w:rFonts w:ascii="Wingdings" w:hAnsi="Wingdings" w:hint="default"/>
      </w:rPr>
    </w:lvl>
    <w:lvl w:ilvl="6" w:tplc="0C090001" w:tentative="1">
      <w:start w:val="1"/>
      <w:numFmt w:val="bullet"/>
      <w:lvlText w:val=""/>
      <w:lvlJc w:val="left"/>
      <w:pPr>
        <w:ind w:left="6340" w:hanging="360"/>
      </w:pPr>
      <w:rPr>
        <w:rFonts w:ascii="Symbol" w:hAnsi="Symbol" w:hint="default"/>
      </w:rPr>
    </w:lvl>
    <w:lvl w:ilvl="7" w:tplc="0C090003" w:tentative="1">
      <w:start w:val="1"/>
      <w:numFmt w:val="bullet"/>
      <w:lvlText w:val="o"/>
      <w:lvlJc w:val="left"/>
      <w:pPr>
        <w:ind w:left="7060" w:hanging="360"/>
      </w:pPr>
      <w:rPr>
        <w:rFonts w:ascii="Courier New" w:hAnsi="Courier New" w:cs="Courier New" w:hint="default"/>
      </w:rPr>
    </w:lvl>
    <w:lvl w:ilvl="8" w:tplc="0C090005" w:tentative="1">
      <w:start w:val="1"/>
      <w:numFmt w:val="bullet"/>
      <w:lvlText w:val=""/>
      <w:lvlJc w:val="left"/>
      <w:pPr>
        <w:ind w:left="7780" w:hanging="360"/>
      </w:pPr>
      <w:rPr>
        <w:rFonts w:ascii="Wingdings" w:hAnsi="Wingdings" w:hint="default"/>
      </w:rPr>
    </w:lvl>
  </w:abstractNum>
  <w:abstractNum w:abstractNumId="23">
    <w:nsid w:val="6C0A10B2"/>
    <w:multiLevelType w:val="hybridMultilevel"/>
    <w:tmpl w:val="14D46FD4"/>
    <w:lvl w:ilvl="0" w:tplc="BAAC1228">
      <w:start w:val="1"/>
      <w:numFmt w:val="bullet"/>
      <w:lvlText w:val="►"/>
      <w:lvlJc w:val="left"/>
      <w:pPr>
        <w:ind w:left="720" w:hanging="360"/>
      </w:pPr>
      <w:rPr>
        <w:rFonts w:ascii="Arial" w:hAnsi="Aria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25F7B4A"/>
    <w:multiLevelType w:val="hybridMultilevel"/>
    <w:tmpl w:val="461027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7BA5CF3"/>
    <w:multiLevelType w:val="hybridMultilevel"/>
    <w:tmpl w:val="47F2A308"/>
    <w:lvl w:ilvl="0" w:tplc="9F7490E6">
      <w:start w:val="100"/>
      <w:numFmt w:val="bullet"/>
      <w:lvlText w:val="-"/>
      <w:lvlJc w:val="left"/>
      <w:pPr>
        <w:ind w:left="720" w:hanging="360"/>
      </w:pPr>
      <w:rPr>
        <w:rFonts w:ascii="Cambria" w:eastAsia="TimesNewRoman" w:hAnsi="Cambria"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2"/>
  </w:num>
  <w:num w:numId="5">
    <w:abstractNumId w:val="1"/>
  </w:num>
  <w:num w:numId="6">
    <w:abstractNumId w:val="4"/>
  </w:num>
  <w:num w:numId="7">
    <w:abstractNumId w:val="6"/>
  </w:num>
  <w:num w:numId="8">
    <w:abstractNumId w:val="12"/>
  </w:num>
  <w:num w:numId="9">
    <w:abstractNumId w:val="0"/>
  </w:num>
  <w:num w:numId="10">
    <w:abstractNumId w:val="20"/>
  </w:num>
  <w:num w:numId="11">
    <w:abstractNumId w:val="21"/>
  </w:num>
  <w:num w:numId="12">
    <w:abstractNumId w:val="19"/>
  </w:num>
  <w:num w:numId="13">
    <w:abstractNumId w:val="18"/>
  </w:num>
  <w:num w:numId="14">
    <w:abstractNumId w:val="22"/>
  </w:num>
  <w:num w:numId="15">
    <w:abstractNumId w:val="8"/>
  </w:num>
  <w:num w:numId="16">
    <w:abstractNumId w:val="23"/>
  </w:num>
  <w:num w:numId="17">
    <w:abstractNumId w:val="9"/>
  </w:num>
  <w:num w:numId="18">
    <w:abstractNumId w:val="10"/>
  </w:num>
  <w:num w:numId="19">
    <w:abstractNumId w:val="14"/>
  </w:num>
  <w:num w:numId="20">
    <w:abstractNumId w:val="16"/>
  </w:num>
  <w:num w:numId="21">
    <w:abstractNumId w:val="13"/>
  </w:num>
  <w:num w:numId="22">
    <w:abstractNumId w:val="11"/>
  </w:num>
  <w:num w:numId="23">
    <w:abstractNumId w:val="17"/>
  </w:num>
  <w:num w:numId="24">
    <w:abstractNumId w:val="15"/>
  </w:num>
  <w:num w:numId="25">
    <w:abstractNumId w:val="7"/>
  </w:num>
  <w:num w:numId="26">
    <w:abstractNumId w:val="5"/>
  </w:num>
  <w:num w:numId="27">
    <w:abstractNumId w:val="24"/>
  </w:num>
  <w:num w:numId="28">
    <w:abstractNumId w:val="2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ce, Angela [JACAU]">
    <w15:presenceInfo w15:providerId="AD" w15:userId="S-1-5-21-3394736580-1411037809-1917133209-102507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EA3"/>
    <w:rsid w:val="00002031"/>
    <w:rsid w:val="00004734"/>
    <w:rsid w:val="00006B22"/>
    <w:rsid w:val="0001276A"/>
    <w:rsid w:val="00013951"/>
    <w:rsid w:val="00014C3D"/>
    <w:rsid w:val="00015535"/>
    <w:rsid w:val="000219E6"/>
    <w:rsid w:val="0002310E"/>
    <w:rsid w:val="000246AE"/>
    <w:rsid w:val="00025C67"/>
    <w:rsid w:val="00044772"/>
    <w:rsid w:val="00054E58"/>
    <w:rsid w:val="0005559E"/>
    <w:rsid w:val="000604D6"/>
    <w:rsid w:val="000734D8"/>
    <w:rsid w:val="00077775"/>
    <w:rsid w:val="00090471"/>
    <w:rsid w:val="00096AA7"/>
    <w:rsid w:val="00096F96"/>
    <w:rsid w:val="000A3AED"/>
    <w:rsid w:val="000B3532"/>
    <w:rsid w:val="000B3758"/>
    <w:rsid w:val="000B3A75"/>
    <w:rsid w:val="000B73EF"/>
    <w:rsid w:val="000C00C2"/>
    <w:rsid w:val="000C690F"/>
    <w:rsid w:val="000D1295"/>
    <w:rsid w:val="000D391B"/>
    <w:rsid w:val="000D3D6D"/>
    <w:rsid w:val="000D4FC7"/>
    <w:rsid w:val="000D5EED"/>
    <w:rsid w:val="000E6196"/>
    <w:rsid w:val="000F4869"/>
    <w:rsid w:val="000F5B42"/>
    <w:rsid w:val="000F6E6F"/>
    <w:rsid w:val="001027D2"/>
    <w:rsid w:val="0010601F"/>
    <w:rsid w:val="0010788A"/>
    <w:rsid w:val="00107A31"/>
    <w:rsid w:val="00110EA5"/>
    <w:rsid w:val="00112F56"/>
    <w:rsid w:val="00117231"/>
    <w:rsid w:val="00125318"/>
    <w:rsid w:val="001305A2"/>
    <w:rsid w:val="00133238"/>
    <w:rsid w:val="00133A1B"/>
    <w:rsid w:val="0014197B"/>
    <w:rsid w:val="001447CD"/>
    <w:rsid w:val="001516B1"/>
    <w:rsid w:val="00154EBB"/>
    <w:rsid w:val="00156316"/>
    <w:rsid w:val="00161181"/>
    <w:rsid w:val="00162D14"/>
    <w:rsid w:val="00165389"/>
    <w:rsid w:val="001657EC"/>
    <w:rsid w:val="0017693F"/>
    <w:rsid w:val="0018110E"/>
    <w:rsid w:val="00181684"/>
    <w:rsid w:val="001843C6"/>
    <w:rsid w:val="001850E0"/>
    <w:rsid w:val="00192D8C"/>
    <w:rsid w:val="001A2158"/>
    <w:rsid w:val="001A525F"/>
    <w:rsid w:val="001B09F9"/>
    <w:rsid w:val="001B5C90"/>
    <w:rsid w:val="001B6448"/>
    <w:rsid w:val="001C32CD"/>
    <w:rsid w:val="001C47F1"/>
    <w:rsid w:val="001C7FEC"/>
    <w:rsid w:val="001D2984"/>
    <w:rsid w:val="001E07CF"/>
    <w:rsid w:val="001E59F1"/>
    <w:rsid w:val="001F271F"/>
    <w:rsid w:val="001F2CEE"/>
    <w:rsid w:val="001F49EB"/>
    <w:rsid w:val="001F6CBA"/>
    <w:rsid w:val="00201D4E"/>
    <w:rsid w:val="00202BB0"/>
    <w:rsid w:val="0020497E"/>
    <w:rsid w:val="002076C9"/>
    <w:rsid w:val="00220B8A"/>
    <w:rsid w:val="002257F3"/>
    <w:rsid w:val="00233456"/>
    <w:rsid w:val="002339A5"/>
    <w:rsid w:val="00247506"/>
    <w:rsid w:val="00257848"/>
    <w:rsid w:val="0027084A"/>
    <w:rsid w:val="00286434"/>
    <w:rsid w:val="00286C59"/>
    <w:rsid w:val="00291957"/>
    <w:rsid w:val="002942D1"/>
    <w:rsid w:val="0029501A"/>
    <w:rsid w:val="002A1C91"/>
    <w:rsid w:val="002A3721"/>
    <w:rsid w:val="002B1638"/>
    <w:rsid w:val="002B3624"/>
    <w:rsid w:val="002D0952"/>
    <w:rsid w:val="002D5ED1"/>
    <w:rsid w:val="002E40B3"/>
    <w:rsid w:val="002E4C9A"/>
    <w:rsid w:val="002F11F8"/>
    <w:rsid w:val="002F16A0"/>
    <w:rsid w:val="002F3F56"/>
    <w:rsid w:val="002F44B5"/>
    <w:rsid w:val="003024BF"/>
    <w:rsid w:val="00311AC0"/>
    <w:rsid w:val="00314E61"/>
    <w:rsid w:val="003176FC"/>
    <w:rsid w:val="00323909"/>
    <w:rsid w:val="0032583B"/>
    <w:rsid w:val="00327883"/>
    <w:rsid w:val="00335504"/>
    <w:rsid w:val="00340903"/>
    <w:rsid w:val="00340C18"/>
    <w:rsid w:val="003442FD"/>
    <w:rsid w:val="00347824"/>
    <w:rsid w:val="00350567"/>
    <w:rsid w:val="003521E8"/>
    <w:rsid w:val="003613B5"/>
    <w:rsid w:val="00370CE3"/>
    <w:rsid w:val="003728F3"/>
    <w:rsid w:val="0037496E"/>
    <w:rsid w:val="00383221"/>
    <w:rsid w:val="00386150"/>
    <w:rsid w:val="003874CE"/>
    <w:rsid w:val="00390900"/>
    <w:rsid w:val="003A7F6C"/>
    <w:rsid w:val="003B4D60"/>
    <w:rsid w:val="003B6354"/>
    <w:rsid w:val="003B7E39"/>
    <w:rsid w:val="003C58DC"/>
    <w:rsid w:val="003D1E62"/>
    <w:rsid w:val="003E0B99"/>
    <w:rsid w:val="003E2486"/>
    <w:rsid w:val="003E3208"/>
    <w:rsid w:val="003F0B04"/>
    <w:rsid w:val="0040134E"/>
    <w:rsid w:val="004334C7"/>
    <w:rsid w:val="00436AF6"/>
    <w:rsid w:val="00440A2D"/>
    <w:rsid w:val="00441C3F"/>
    <w:rsid w:val="004564A7"/>
    <w:rsid w:val="00457743"/>
    <w:rsid w:val="004617BF"/>
    <w:rsid w:val="00463658"/>
    <w:rsid w:val="004637A0"/>
    <w:rsid w:val="004722CC"/>
    <w:rsid w:val="0047259F"/>
    <w:rsid w:val="00483A52"/>
    <w:rsid w:val="004936E4"/>
    <w:rsid w:val="00494E60"/>
    <w:rsid w:val="00497487"/>
    <w:rsid w:val="004A6189"/>
    <w:rsid w:val="004A7390"/>
    <w:rsid w:val="004B6C8D"/>
    <w:rsid w:val="004B7B76"/>
    <w:rsid w:val="004C239D"/>
    <w:rsid w:val="004C2DCA"/>
    <w:rsid w:val="004C61D2"/>
    <w:rsid w:val="004E20E4"/>
    <w:rsid w:val="004F0C4A"/>
    <w:rsid w:val="004F0F38"/>
    <w:rsid w:val="004F47D6"/>
    <w:rsid w:val="00501921"/>
    <w:rsid w:val="00516729"/>
    <w:rsid w:val="00530354"/>
    <w:rsid w:val="0053625B"/>
    <w:rsid w:val="005434C6"/>
    <w:rsid w:val="00543B39"/>
    <w:rsid w:val="00546154"/>
    <w:rsid w:val="00547E2E"/>
    <w:rsid w:val="00550096"/>
    <w:rsid w:val="00555280"/>
    <w:rsid w:val="00557FF9"/>
    <w:rsid w:val="00562327"/>
    <w:rsid w:val="005711D5"/>
    <w:rsid w:val="00573587"/>
    <w:rsid w:val="00576378"/>
    <w:rsid w:val="00577130"/>
    <w:rsid w:val="00577945"/>
    <w:rsid w:val="00577E38"/>
    <w:rsid w:val="00585322"/>
    <w:rsid w:val="005857C6"/>
    <w:rsid w:val="00592F6E"/>
    <w:rsid w:val="00593AD1"/>
    <w:rsid w:val="005A36B3"/>
    <w:rsid w:val="005A68B6"/>
    <w:rsid w:val="005C5570"/>
    <w:rsid w:val="005C5AFB"/>
    <w:rsid w:val="005C79A4"/>
    <w:rsid w:val="005D5442"/>
    <w:rsid w:val="00603F32"/>
    <w:rsid w:val="00605AD4"/>
    <w:rsid w:val="006136D7"/>
    <w:rsid w:val="00625A6E"/>
    <w:rsid w:val="00632398"/>
    <w:rsid w:val="00640FC3"/>
    <w:rsid w:val="00642020"/>
    <w:rsid w:val="0065337B"/>
    <w:rsid w:val="0065419D"/>
    <w:rsid w:val="006604D8"/>
    <w:rsid w:val="00664A5B"/>
    <w:rsid w:val="0066735C"/>
    <w:rsid w:val="006763D2"/>
    <w:rsid w:val="00680C08"/>
    <w:rsid w:val="006916A0"/>
    <w:rsid w:val="006931B1"/>
    <w:rsid w:val="00693CCC"/>
    <w:rsid w:val="006A15C0"/>
    <w:rsid w:val="006C3A61"/>
    <w:rsid w:val="006C3E2A"/>
    <w:rsid w:val="006C642F"/>
    <w:rsid w:val="006D03E5"/>
    <w:rsid w:val="006D50FB"/>
    <w:rsid w:val="006D5D3E"/>
    <w:rsid w:val="006E08B3"/>
    <w:rsid w:val="006F17AC"/>
    <w:rsid w:val="006F25B8"/>
    <w:rsid w:val="006F572E"/>
    <w:rsid w:val="007046D6"/>
    <w:rsid w:val="00705DB0"/>
    <w:rsid w:val="0070719B"/>
    <w:rsid w:val="007102D7"/>
    <w:rsid w:val="0071231E"/>
    <w:rsid w:val="00722B57"/>
    <w:rsid w:val="00724E5B"/>
    <w:rsid w:val="00730F8A"/>
    <w:rsid w:val="0073296F"/>
    <w:rsid w:val="00735A8C"/>
    <w:rsid w:val="0074253D"/>
    <w:rsid w:val="0074429B"/>
    <w:rsid w:val="007615BC"/>
    <w:rsid w:val="00762F05"/>
    <w:rsid w:val="0076385E"/>
    <w:rsid w:val="007652FF"/>
    <w:rsid w:val="00770CAC"/>
    <w:rsid w:val="00770EF1"/>
    <w:rsid w:val="00771643"/>
    <w:rsid w:val="00773EF7"/>
    <w:rsid w:val="00774E1D"/>
    <w:rsid w:val="007765D8"/>
    <w:rsid w:val="0077675A"/>
    <w:rsid w:val="00780355"/>
    <w:rsid w:val="007819FD"/>
    <w:rsid w:val="00785717"/>
    <w:rsid w:val="00785721"/>
    <w:rsid w:val="00792182"/>
    <w:rsid w:val="00793A59"/>
    <w:rsid w:val="007A33BC"/>
    <w:rsid w:val="007B6132"/>
    <w:rsid w:val="007B6E9F"/>
    <w:rsid w:val="007C1216"/>
    <w:rsid w:val="007C1AF7"/>
    <w:rsid w:val="007C6B9B"/>
    <w:rsid w:val="00805D27"/>
    <w:rsid w:val="00806DCB"/>
    <w:rsid w:val="00815F43"/>
    <w:rsid w:val="00821776"/>
    <w:rsid w:val="008317EC"/>
    <w:rsid w:val="008321F5"/>
    <w:rsid w:val="00832369"/>
    <w:rsid w:val="00834660"/>
    <w:rsid w:val="00836BC2"/>
    <w:rsid w:val="0085156D"/>
    <w:rsid w:val="0085641B"/>
    <w:rsid w:val="00857136"/>
    <w:rsid w:val="00866546"/>
    <w:rsid w:val="00875A6B"/>
    <w:rsid w:val="00881EA3"/>
    <w:rsid w:val="00882C7A"/>
    <w:rsid w:val="00885B11"/>
    <w:rsid w:val="00886D15"/>
    <w:rsid w:val="00887DD8"/>
    <w:rsid w:val="00891BA9"/>
    <w:rsid w:val="00896018"/>
    <w:rsid w:val="008960DD"/>
    <w:rsid w:val="0089635C"/>
    <w:rsid w:val="008A2B9D"/>
    <w:rsid w:val="008A3D9F"/>
    <w:rsid w:val="008A5E0B"/>
    <w:rsid w:val="008A6D59"/>
    <w:rsid w:val="008B4B03"/>
    <w:rsid w:val="008B52C3"/>
    <w:rsid w:val="008B596F"/>
    <w:rsid w:val="008C159F"/>
    <w:rsid w:val="008C1623"/>
    <w:rsid w:val="008C1850"/>
    <w:rsid w:val="008C51A9"/>
    <w:rsid w:val="008E7846"/>
    <w:rsid w:val="008F02E5"/>
    <w:rsid w:val="008F1CCC"/>
    <w:rsid w:val="008F25D9"/>
    <w:rsid w:val="008F2967"/>
    <w:rsid w:val="008F37FC"/>
    <w:rsid w:val="008F6943"/>
    <w:rsid w:val="00902A21"/>
    <w:rsid w:val="009125FC"/>
    <w:rsid w:val="00920330"/>
    <w:rsid w:val="009219D7"/>
    <w:rsid w:val="00922D53"/>
    <w:rsid w:val="00923B70"/>
    <w:rsid w:val="00924482"/>
    <w:rsid w:val="00930237"/>
    <w:rsid w:val="00937C17"/>
    <w:rsid w:val="00940A89"/>
    <w:rsid w:val="00946EA5"/>
    <w:rsid w:val="00957FBB"/>
    <w:rsid w:val="00963C08"/>
    <w:rsid w:val="009752A5"/>
    <w:rsid w:val="0098585A"/>
    <w:rsid w:val="00992CFA"/>
    <w:rsid w:val="009A34F5"/>
    <w:rsid w:val="009A4CED"/>
    <w:rsid w:val="009A690D"/>
    <w:rsid w:val="009B1D12"/>
    <w:rsid w:val="009B416B"/>
    <w:rsid w:val="009C2C3D"/>
    <w:rsid w:val="009C4BD5"/>
    <w:rsid w:val="009D7B77"/>
    <w:rsid w:val="009E0BB0"/>
    <w:rsid w:val="009E3FBB"/>
    <w:rsid w:val="009F5354"/>
    <w:rsid w:val="009F7353"/>
    <w:rsid w:val="00A04F85"/>
    <w:rsid w:val="00A05FA4"/>
    <w:rsid w:val="00A102E4"/>
    <w:rsid w:val="00A12C42"/>
    <w:rsid w:val="00A14DF7"/>
    <w:rsid w:val="00A3246D"/>
    <w:rsid w:val="00A3667B"/>
    <w:rsid w:val="00A36FA7"/>
    <w:rsid w:val="00A42989"/>
    <w:rsid w:val="00A44DDB"/>
    <w:rsid w:val="00A46BF1"/>
    <w:rsid w:val="00A475B7"/>
    <w:rsid w:val="00A47AF7"/>
    <w:rsid w:val="00A47C3E"/>
    <w:rsid w:val="00A50226"/>
    <w:rsid w:val="00A52C58"/>
    <w:rsid w:val="00A60BAD"/>
    <w:rsid w:val="00A80B5B"/>
    <w:rsid w:val="00A84195"/>
    <w:rsid w:val="00A84E36"/>
    <w:rsid w:val="00A964D1"/>
    <w:rsid w:val="00AA0ED0"/>
    <w:rsid w:val="00AB2DB1"/>
    <w:rsid w:val="00AC2B40"/>
    <w:rsid w:val="00AC2BB2"/>
    <w:rsid w:val="00AC2C3C"/>
    <w:rsid w:val="00AC512D"/>
    <w:rsid w:val="00AD0083"/>
    <w:rsid w:val="00AD3935"/>
    <w:rsid w:val="00AE65EB"/>
    <w:rsid w:val="00AE67A7"/>
    <w:rsid w:val="00AF1D94"/>
    <w:rsid w:val="00AF3C3D"/>
    <w:rsid w:val="00AF52B0"/>
    <w:rsid w:val="00AF60C5"/>
    <w:rsid w:val="00B009C6"/>
    <w:rsid w:val="00B01548"/>
    <w:rsid w:val="00B035A5"/>
    <w:rsid w:val="00B13EBD"/>
    <w:rsid w:val="00B21D29"/>
    <w:rsid w:val="00B25034"/>
    <w:rsid w:val="00B33588"/>
    <w:rsid w:val="00B33863"/>
    <w:rsid w:val="00B37D17"/>
    <w:rsid w:val="00B40505"/>
    <w:rsid w:val="00B4175E"/>
    <w:rsid w:val="00B452CE"/>
    <w:rsid w:val="00B471B6"/>
    <w:rsid w:val="00B53476"/>
    <w:rsid w:val="00B54C25"/>
    <w:rsid w:val="00B54DCE"/>
    <w:rsid w:val="00B65B47"/>
    <w:rsid w:val="00B76B91"/>
    <w:rsid w:val="00B77EB1"/>
    <w:rsid w:val="00B811C6"/>
    <w:rsid w:val="00B855B0"/>
    <w:rsid w:val="00B921A4"/>
    <w:rsid w:val="00B92E08"/>
    <w:rsid w:val="00B95FF4"/>
    <w:rsid w:val="00BC06D7"/>
    <w:rsid w:val="00BC622A"/>
    <w:rsid w:val="00BE0A78"/>
    <w:rsid w:val="00BE79F0"/>
    <w:rsid w:val="00BF046D"/>
    <w:rsid w:val="00BF0AB8"/>
    <w:rsid w:val="00BF1190"/>
    <w:rsid w:val="00BF3DCE"/>
    <w:rsid w:val="00BF5D04"/>
    <w:rsid w:val="00C009AA"/>
    <w:rsid w:val="00C03B0E"/>
    <w:rsid w:val="00C1164D"/>
    <w:rsid w:val="00C16861"/>
    <w:rsid w:val="00C16F5E"/>
    <w:rsid w:val="00C31E15"/>
    <w:rsid w:val="00C31E93"/>
    <w:rsid w:val="00C346AB"/>
    <w:rsid w:val="00C404A6"/>
    <w:rsid w:val="00C40A36"/>
    <w:rsid w:val="00C44419"/>
    <w:rsid w:val="00C45E7B"/>
    <w:rsid w:val="00C471B1"/>
    <w:rsid w:val="00C6316B"/>
    <w:rsid w:val="00C634A9"/>
    <w:rsid w:val="00C64586"/>
    <w:rsid w:val="00C70D53"/>
    <w:rsid w:val="00C73757"/>
    <w:rsid w:val="00C73D0B"/>
    <w:rsid w:val="00C772FF"/>
    <w:rsid w:val="00C80137"/>
    <w:rsid w:val="00C801AF"/>
    <w:rsid w:val="00C80256"/>
    <w:rsid w:val="00C93E28"/>
    <w:rsid w:val="00C94CD4"/>
    <w:rsid w:val="00C9747E"/>
    <w:rsid w:val="00CB6BC0"/>
    <w:rsid w:val="00CC1B7C"/>
    <w:rsid w:val="00CC3432"/>
    <w:rsid w:val="00CC6EA0"/>
    <w:rsid w:val="00CC727F"/>
    <w:rsid w:val="00CD5B82"/>
    <w:rsid w:val="00CE122F"/>
    <w:rsid w:val="00CE2711"/>
    <w:rsid w:val="00CF15C3"/>
    <w:rsid w:val="00CF2B6F"/>
    <w:rsid w:val="00CF2F3E"/>
    <w:rsid w:val="00CF58B6"/>
    <w:rsid w:val="00D0062D"/>
    <w:rsid w:val="00D017ED"/>
    <w:rsid w:val="00D040D3"/>
    <w:rsid w:val="00D04C65"/>
    <w:rsid w:val="00D15401"/>
    <w:rsid w:val="00D201D2"/>
    <w:rsid w:val="00D224FE"/>
    <w:rsid w:val="00D23139"/>
    <w:rsid w:val="00D425BB"/>
    <w:rsid w:val="00D44286"/>
    <w:rsid w:val="00D53DDC"/>
    <w:rsid w:val="00D6493E"/>
    <w:rsid w:val="00D7195D"/>
    <w:rsid w:val="00D7301E"/>
    <w:rsid w:val="00D83AE1"/>
    <w:rsid w:val="00D855D4"/>
    <w:rsid w:val="00D902C9"/>
    <w:rsid w:val="00D93466"/>
    <w:rsid w:val="00DA1124"/>
    <w:rsid w:val="00DB6124"/>
    <w:rsid w:val="00DB750B"/>
    <w:rsid w:val="00DB75B7"/>
    <w:rsid w:val="00DC6E02"/>
    <w:rsid w:val="00DD28CD"/>
    <w:rsid w:val="00DE02AE"/>
    <w:rsid w:val="00DE5B4C"/>
    <w:rsid w:val="00DE648F"/>
    <w:rsid w:val="00DF1D7F"/>
    <w:rsid w:val="00DF4BE4"/>
    <w:rsid w:val="00E02FB4"/>
    <w:rsid w:val="00E13FC7"/>
    <w:rsid w:val="00E20571"/>
    <w:rsid w:val="00E235F7"/>
    <w:rsid w:val="00E23659"/>
    <w:rsid w:val="00E239D4"/>
    <w:rsid w:val="00E26130"/>
    <w:rsid w:val="00E40B22"/>
    <w:rsid w:val="00E44ED1"/>
    <w:rsid w:val="00E45619"/>
    <w:rsid w:val="00E4588F"/>
    <w:rsid w:val="00E46DA3"/>
    <w:rsid w:val="00E51BB1"/>
    <w:rsid w:val="00E52723"/>
    <w:rsid w:val="00E624A5"/>
    <w:rsid w:val="00E64BA4"/>
    <w:rsid w:val="00E7344E"/>
    <w:rsid w:val="00E82665"/>
    <w:rsid w:val="00EB0798"/>
    <w:rsid w:val="00EB40AD"/>
    <w:rsid w:val="00EB586E"/>
    <w:rsid w:val="00EB5FC8"/>
    <w:rsid w:val="00EB6CAD"/>
    <w:rsid w:val="00EC4487"/>
    <w:rsid w:val="00EC463D"/>
    <w:rsid w:val="00EC5363"/>
    <w:rsid w:val="00EC7A85"/>
    <w:rsid w:val="00ED2922"/>
    <w:rsid w:val="00ED3CAD"/>
    <w:rsid w:val="00ED5A41"/>
    <w:rsid w:val="00EE1DE8"/>
    <w:rsid w:val="00EE27C2"/>
    <w:rsid w:val="00EF0460"/>
    <w:rsid w:val="00EF4BAD"/>
    <w:rsid w:val="00EF59DC"/>
    <w:rsid w:val="00F033EC"/>
    <w:rsid w:val="00F04F68"/>
    <w:rsid w:val="00F12670"/>
    <w:rsid w:val="00F14B27"/>
    <w:rsid w:val="00F221E4"/>
    <w:rsid w:val="00F3148D"/>
    <w:rsid w:val="00F315D8"/>
    <w:rsid w:val="00F325C5"/>
    <w:rsid w:val="00F32FE0"/>
    <w:rsid w:val="00F35298"/>
    <w:rsid w:val="00F47333"/>
    <w:rsid w:val="00F47E37"/>
    <w:rsid w:val="00F53C07"/>
    <w:rsid w:val="00F54B65"/>
    <w:rsid w:val="00F640B6"/>
    <w:rsid w:val="00F660E0"/>
    <w:rsid w:val="00F66DF2"/>
    <w:rsid w:val="00F745D9"/>
    <w:rsid w:val="00F80E40"/>
    <w:rsid w:val="00F848D9"/>
    <w:rsid w:val="00FA5B82"/>
    <w:rsid w:val="00FA639E"/>
    <w:rsid w:val="00FC1FCA"/>
    <w:rsid w:val="00FC25E4"/>
    <w:rsid w:val="00FC4EF7"/>
    <w:rsid w:val="00FD0824"/>
    <w:rsid w:val="00FD119B"/>
    <w:rsid w:val="00FD1EDC"/>
    <w:rsid w:val="00FD6487"/>
    <w:rsid w:val="00FE1DEE"/>
    <w:rsid w:val="00FE4D64"/>
    <w:rsid w:val="00FF2126"/>
    <w:rsid w:val="00FF2FF6"/>
    <w:rsid w:val="00FF4301"/>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7E1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F315D8"/>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11723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5D8"/>
    <w:rPr>
      <w:sz w:val="20"/>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Standard">
    <w:name w:val="Standard"/>
    <w:basedOn w:val="Normal"/>
    <w:link w:val="StandardChar"/>
    <w:qFormat/>
    <w:rsid w:val="00881EA3"/>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881EA3"/>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881EA3"/>
    <w:pPr>
      <w:numPr>
        <w:numId w:val="5"/>
      </w:numPr>
      <w:spacing w:after="180"/>
    </w:pPr>
    <w:rPr>
      <w:kern w:val="2"/>
    </w:rPr>
  </w:style>
  <w:style w:type="character" w:customStyle="1" w:styleId="TabletextChar">
    <w:name w:val="Table text Char"/>
    <w:basedOn w:val="StandardChar"/>
    <w:link w:val="Tabletext"/>
    <w:rsid w:val="00F315D8"/>
    <w:rPr>
      <w:rFonts w:ascii="Cambria" w:eastAsia="Cambria" w:hAnsi="Cambria" w:cs="Times New Roman"/>
      <w:snapToGrid/>
      <w:kern w:val="16"/>
      <w:sz w:val="20"/>
      <w:szCs w:val="24"/>
    </w:rPr>
  </w:style>
  <w:style w:type="character" w:customStyle="1" w:styleId="BulletlistChar">
    <w:name w:val="Bullet list Char"/>
    <w:basedOn w:val="StandardChar"/>
    <w:link w:val="Bulletlist"/>
    <w:rsid w:val="00881EA3"/>
    <w:rPr>
      <w:rFonts w:ascii="Cambria" w:eastAsia="Times New Roman" w:hAnsi="Cambria" w:cs="Times New Roman"/>
      <w:snapToGrid w:val="0"/>
      <w:kern w:val="2"/>
      <w:sz w:val="23"/>
      <w:szCs w:val="24"/>
    </w:rPr>
  </w:style>
  <w:style w:type="paragraph" w:styleId="ListParagraph">
    <w:name w:val="List Paragraph"/>
    <w:basedOn w:val="Normal"/>
    <w:uiPriority w:val="1"/>
    <w:qFormat/>
    <w:rsid w:val="00CE122F"/>
    <w:pPr>
      <w:adjustRightInd w:val="0"/>
      <w:snapToGrid w:val="0"/>
      <w:spacing w:before="180" w:after="180"/>
      <w:ind w:left="720"/>
      <w:contextualSpacing/>
    </w:pPr>
    <w:rPr>
      <w:rFonts w:eastAsia="MS Mincho"/>
      <w:szCs w:val="20"/>
      <w:lang w:eastAsia="ja-JP"/>
    </w:rPr>
  </w:style>
  <w:style w:type="paragraph" w:customStyle="1" w:styleId="PISubsection">
    <w:name w:val="PI Subsection"/>
    <w:basedOn w:val="Standard"/>
    <w:next w:val="Standard"/>
    <w:qFormat/>
    <w:rsid w:val="00CE122F"/>
    <w:pPr>
      <w:keepNext/>
      <w:widowControl w:val="0"/>
      <w:spacing w:after="120"/>
    </w:pPr>
    <w:rPr>
      <w:b/>
      <w:i/>
      <w:kern w:val="2"/>
      <w:sz w:val="22"/>
    </w:rPr>
  </w:style>
  <w:style w:type="paragraph" w:customStyle="1" w:styleId="Default">
    <w:name w:val="Default"/>
    <w:rsid w:val="00457743"/>
    <w:pPr>
      <w:autoSpaceDE w:val="0"/>
      <w:autoSpaceDN w:val="0"/>
      <w:adjustRightInd w:val="0"/>
      <w:spacing w:after="0" w:line="240" w:lineRule="auto"/>
    </w:pPr>
    <w:rPr>
      <w:rFonts w:ascii="Arial" w:eastAsia="MS Mincho" w:hAnsi="Arial" w:cs="Arial"/>
      <w:color w:val="000000"/>
      <w:sz w:val="24"/>
      <w:szCs w:val="24"/>
      <w:lang w:eastAsia="en-AU"/>
    </w:rPr>
  </w:style>
  <w:style w:type="paragraph" w:customStyle="1" w:styleId="Style4">
    <w:name w:val="Style4"/>
    <w:basedOn w:val="Normal"/>
    <w:rsid w:val="00457743"/>
    <w:pPr>
      <w:keepNext/>
      <w:widowControl w:val="0"/>
      <w:tabs>
        <w:tab w:val="left" w:pos="1190"/>
      </w:tabs>
      <w:spacing w:before="0" w:after="0" w:line="240" w:lineRule="auto"/>
      <w:outlineLvl w:val="1"/>
    </w:pPr>
    <w:rPr>
      <w:rFonts w:ascii="TimesNewRoman,Bold" w:eastAsia="Times New Roman" w:hAnsi="TimesNewRoman,Bold"/>
      <w:b/>
      <w:snapToGrid w:val="0"/>
      <w:color w:val="000000"/>
      <w:sz w:val="24"/>
      <w:szCs w:val="20"/>
    </w:rPr>
  </w:style>
  <w:style w:type="paragraph" w:customStyle="1" w:styleId="SectionHeading">
    <w:name w:val="Section Heading"/>
    <w:basedOn w:val="Standard"/>
    <w:next w:val="Standard"/>
    <w:qFormat/>
    <w:rsid w:val="00054E58"/>
    <w:pPr>
      <w:keepNext/>
      <w:widowControl w:val="0"/>
    </w:pPr>
    <w:rPr>
      <w:b/>
      <w:caps/>
      <w:snapToGrid/>
      <w:sz w:val="24"/>
    </w:rPr>
  </w:style>
  <w:style w:type="paragraph" w:styleId="BodyText">
    <w:name w:val="Body Text"/>
    <w:basedOn w:val="Normal"/>
    <w:link w:val="BodyTextChar"/>
    <w:uiPriority w:val="1"/>
    <w:qFormat/>
    <w:rsid w:val="00AF3C3D"/>
    <w:pPr>
      <w:widowControl w:val="0"/>
      <w:autoSpaceDE w:val="0"/>
      <w:autoSpaceDN w:val="0"/>
      <w:spacing w:before="0"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AF3C3D"/>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F3C3D"/>
    <w:pPr>
      <w:widowControl w:val="0"/>
      <w:autoSpaceDE w:val="0"/>
      <w:autoSpaceDN w:val="0"/>
      <w:spacing w:before="0" w:after="0" w:line="226" w:lineRule="exact"/>
      <w:ind w:left="243"/>
      <w:jc w:val="center"/>
    </w:pPr>
    <w:rPr>
      <w:rFonts w:ascii="Times New Roman" w:eastAsia="Times New Roman" w:hAnsi="Times New Roman"/>
      <w:lang w:val="en-US"/>
    </w:rPr>
  </w:style>
  <w:style w:type="character" w:customStyle="1" w:styleId="Heading8Char">
    <w:name w:val="Heading 8 Char"/>
    <w:basedOn w:val="DefaultParagraphFont"/>
    <w:link w:val="Heading8"/>
    <w:uiPriority w:val="9"/>
    <w:semiHidden/>
    <w:rsid w:val="00117231"/>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F315D8"/>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11723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5D8"/>
    <w:rPr>
      <w:sz w:val="20"/>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Standard">
    <w:name w:val="Standard"/>
    <w:basedOn w:val="Normal"/>
    <w:link w:val="StandardChar"/>
    <w:qFormat/>
    <w:rsid w:val="00881EA3"/>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881EA3"/>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881EA3"/>
    <w:pPr>
      <w:numPr>
        <w:numId w:val="5"/>
      </w:numPr>
      <w:spacing w:after="180"/>
    </w:pPr>
    <w:rPr>
      <w:kern w:val="2"/>
    </w:rPr>
  </w:style>
  <w:style w:type="character" w:customStyle="1" w:styleId="TabletextChar">
    <w:name w:val="Table text Char"/>
    <w:basedOn w:val="StandardChar"/>
    <w:link w:val="Tabletext"/>
    <w:rsid w:val="00F315D8"/>
    <w:rPr>
      <w:rFonts w:ascii="Cambria" w:eastAsia="Cambria" w:hAnsi="Cambria" w:cs="Times New Roman"/>
      <w:snapToGrid/>
      <w:kern w:val="16"/>
      <w:sz w:val="20"/>
      <w:szCs w:val="24"/>
    </w:rPr>
  </w:style>
  <w:style w:type="character" w:customStyle="1" w:styleId="BulletlistChar">
    <w:name w:val="Bullet list Char"/>
    <w:basedOn w:val="StandardChar"/>
    <w:link w:val="Bulletlist"/>
    <w:rsid w:val="00881EA3"/>
    <w:rPr>
      <w:rFonts w:ascii="Cambria" w:eastAsia="Times New Roman" w:hAnsi="Cambria" w:cs="Times New Roman"/>
      <w:snapToGrid w:val="0"/>
      <w:kern w:val="2"/>
      <w:sz w:val="23"/>
      <w:szCs w:val="24"/>
    </w:rPr>
  </w:style>
  <w:style w:type="paragraph" w:styleId="ListParagraph">
    <w:name w:val="List Paragraph"/>
    <w:basedOn w:val="Normal"/>
    <w:uiPriority w:val="1"/>
    <w:qFormat/>
    <w:rsid w:val="00CE122F"/>
    <w:pPr>
      <w:adjustRightInd w:val="0"/>
      <w:snapToGrid w:val="0"/>
      <w:spacing w:before="180" w:after="180"/>
      <w:ind w:left="720"/>
      <w:contextualSpacing/>
    </w:pPr>
    <w:rPr>
      <w:rFonts w:eastAsia="MS Mincho"/>
      <w:szCs w:val="20"/>
      <w:lang w:eastAsia="ja-JP"/>
    </w:rPr>
  </w:style>
  <w:style w:type="paragraph" w:customStyle="1" w:styleId="PISubsection">
    <w:name w:val="PI Subsection"/>
    <w:basedOn w:val="Standard"/>
    <w:next w:val="Standard"/>
    <w:qFormat/>
    <w:rsid w:val="00CE122F"/>
    <w:pPr>
      <w:keepNext/>
      <w:widowControl w:val="0"/>
      <w:spacing w:after="120"/>
    </w:pPr>
    <w:rPr>
      <w:b/>
      <w:i/>
      <w:kern w:val="2"/>
      <w:sz w:val="22"/>
    </w:rPr>
  </w:style>
  <w:style w:type="paragraph" w:customStyle="1" w:styleId="Default">
    <w:name w:val="Default"/>
    <w:rsid w:val="00457743"/>
    <w:pPr>
      <w:autoSpaceDE w:val="0"/>
      <w:autoSpaceDN w:val="0"/>
      <w:adjustRightInd w:val="0"/>
      <w:spacing w:after="0" w:line="240" w:lineRule="auto"/>
    </w:pPr>
    <w:rPr>
      <w:rFonts w:ascii="Arial" w:eastAsia="MS Mincho" w:hAnsi="Arial" w:cs="Arial"/>
      <w:color w:val="000000"/>
      <w:sz w:val="24"/>
      <w:szCs w:val="24"/>
      <w:lang w:eastAsia="en-AU"/>
    </w:rPr>
  </w:style>
  <w:style w:type="paragraph" w:customStyle="1" w:styleId="Style4">
    <w:name w:val="Style4"/>
    <w:basedOn w:val="Normal"/>
    <w:rsid w:val="00457743"/>
    <w:pPr>
      <w:keepNext/>
      <w:widowControl w:val="0"/>
      <w:tabs>
        <w:tab w:val="left" w:pos="1190"/>
      </w:tabs>
      <w:spacing w:before="0" w:after="0" w:line="240" w:lineRule="auto"/>
      <w:outlineLvl w:val="1"/>
    </w:pPr>
    <w:rPr>
      <w:rFonts w:ascii="TimesNewRoman,Bold" w:eastAsia="Times New Roman" w:hAnsi="TimesNewRoman,Bold"/>
      <w:b/>
      <w:snapToGrid w:val="0"/>
      <w:color w:val="000000"/>
      <w:sz w:val="24"/>
      <w:szCs w:val="20"/>
    </w:rPr>
  </w:style>
  <w:style w:type="paragraph" w:customStyle="1" w:styleId="SectionHeading">
    <w:name w:val="Section Heading"/>
    <w:basedOn w:val="Standard"/>
    <w:next w:val="Standard"/>
    <w:qFormat/>
    <w:rsid w:val="00054E58"/>
    <w:pPr>
      <w:keepNext/>
      <w:widowControl w:val="0"/>
    </w:pPr>
    <w:rPr>
      <w:b/>
      <w:caps/>
      <w:snapToGrid/>
      <w:sz w:val="24"/>
    </w:rPr>
  </w:style>
  <w:style w:type="paragraph" w:styleId="BodyText">
    <w:name w:val="Body Text"/>
    <w:basedOn w:val="Normal"/>
    <w:link w:val="BodyTextChar"/>
    <w:uiPriority w:val="1"/>
    <w:qFormat/>
    <w:rsid w:val="00AF3C3D"/>
    <w:pPr>
      <w:widowControl w:val="0"/>
      <w:autoSpaceDE w:val="0"/>
      <w:autoSpaceDN w:val="0"/>
      <w:spacing w:before="0"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AF3C3D"/>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F3C3D"/>
    <w:pPr>
      <w:widowControl w:val="0"/>
      <w:autoSpaceDE w:val="0"/>
      <w:autoSpaceDN w:val="0"/>
      <w:spacing w:before="0" w:after="0" w:line="226" w:lineRule="exact"/>
      <w:ind w:left="243"/>
      <w:jc w:val="center"/>
    </w:pPr>
    <w:rPr>
      <w:rFonts w:ascii="Times New Roman" w:eastAsia="Times New Roman" w:hAnsi="Times New Roman"/>
      <w:lang w:val="en-US"/>
    </w:rPr>
  </w:style>
  <w:style w:type="character" w:customStyle="1" w:styleId="Heading8Char">
    <w:name w:val="Heading 8 Char"/>
    <w:basedOn w:val="DefaultParagraphFont"/>
    <w:link w:val="Heading8"/>
    <w:uiPriority w:val="9"/>
    <w:semiHidden/>
    <w:rsid w:val="00117231"/>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9055">
      <w:bodyDiv w:val="1"/>
      <w:marLeft w:val="0"/>
      <w:marRight w:val="0"/>
      <w:marTop w:val="0"/>
      <w:marBottom w:val="0"/>
      <w:divBdr>
        <w:top w:val="none" w:sz="0" w:space="0" w:color="auto"/>
        <w:left w:val="none" w:sz="0" w:space="0" w:color="auto"/>
        <w:bottom w:val="none" w:sz="0" w:space="0" w:color="auto"/>
        <w:right w:val="none" w:sz="0" w:space="0" w:color="auto"/>
      </w:divBdr>
    </w:div>
    <w:div w:id="96339083">
      <w:bodyDiv w:val="1"/>
      <w:marLeft w:val="0"/>
      <w:marRight w:val="0"/>
      <w:marTop w:val="0"/>
      <w:marBottom w:val="0"/>
      <w:divBdr>
        <w:top w:val="none" w:sz="0" w:space="0" w:color="auto"/>
        <w:left w:val="none" w:sz="0" w:space="0" w:color="auto"/>
        <w:bottom w:val="none" w:sz="0" w:space="0" w:color="auto"/>
        <w:right w:val="none" w:sz="0" w:space="0" w:color="auto"/>
      </w:divBdr>
    </w:div>
    <w:div w:id="97802290">
      <w:bodyDiv w:val="1"/>
      <w:marLeft w:val="0"/>
      <w:marRight w:val="0"/>
      <w:marTop w:val="0"/>
      <w:marBottom w:val="0"/>
      <w:divBdr>
        <w:top w:val="none" w:sz="0" w:space="0" w:color="auto"/>
        <w:left w:val="none" w:sz="0" w:space="0" w:color="auto"/>
        <w:bottom w:val="none" w:sz="0" w:space="0" w:color="auto"/>
        <w:right w:val="none" w:sz="0" w:space="0" w:color="auto"/>
      </w:divBdr>
    </w:div>
    <w:div w:id="127943672">
      <w:bodyDiv w:val="1"/>
      <w:marLeft w:val="0"/>
      <w:marRight w:val="0"/>
      <w:marTop w:val="0"/>
      <w:marBottom w:val="0"/>
      <w:divBdr>
        <w:top w:val="none" w:sz="0" w:space="0" w:color="auto"/>
        <w:left w:val="none" w:sz="0" w:space="0" w:color="auto"/>
        <w:bottom w:val="none" w:sz="0" w:space="0" w:color="auto"/>
        <w:right w:val="none" w:sz="0" w:space="0" w:color="auto"/>
      </w:divBdr>
    </w:div>
    <w:div w:id="149949096">
      <w:bodyDiv w:val="1"/>
      <w:marLeft w:val="0"/>
      <w:marRight w:val="0"/>
      <w:marTop w:val="0"/>
      <w:marBottom w:val="0"/>
      <w:divBdr>
        <w:top w:val="none" w:sz="0" w:space="0" w:color="auto"/>
        <w:left w:val="none" w:sz="0" w:space="0" w:color="auto"/>
        <w:bottom w:val="none" w:sz="0" w:space="0" w:color="auto"/>
        <w:right w:val="none" w:sz="0" w:space="0" w:color="auto"/>
      </w:divBdr>
    </w:div>
    <w:div w:id="210581786">
      <w:bodyDiv w:val="1"/>
      <w:marLeft w:val="0"/>
      <w:marRight w:val="0"/>
      <w:marTop w:val="0"/>
      <w:marBottom w:val="0"/>
      <w:divBdr>
        <w:top w:val="none" w:sz="0" w:space="0" w:color="auto"/>
        <w:left w:val="none" w:sz="0" w:space="0" w:color="auto"/>
        <w:bottom w:val="none" w:sz="0" w:space="0" w:color="auto"/>
        <w:right w:val="none" w:sz="0" w:space="0" w:color="auto"/>
      </w:divBdr>
    </w:div>
    <w:div w:id="252667375">
      <w:bodyDiv w:val="1"/>
      <w:marLeft w:val="0"/>
      <w:marRight w:val="0"/>
      <w:marTop w:val="0"/>
      <w:marBottom w:val="0"/>
      <w:divBdr>
        <w:top w:val="none" w:sz="0" w:space="0" w:color="auto"/>
        <w:left w:val="none" w:sz="0" w:space="0" w:color="auto"/>
        <w:bottom w:val="none" w:sz="0" w:space="0" w:color="auto"/>
        <w:right w:val="none" w:sz="0" w:space="0" w:color="auto"/>
      </w:divBdr>
    </w:div>
    <w:div w:id="280645691">
      <w:bodyDiv w:val="1"/>
      <w:marLeft w:val="0"/>
      <w:marRight w:val="0"/>
      <w:marTop w:val="0"/>
      <w:marBottom w:val="0"/>
      <w:divBdr>
        <w:top w:val="none" w:sz="0" w:space="0" w:color="auto"/>
        <w:left w:val="none" w:sz="0" w:space="0" w:color="auto"/>
        <w:bottom w:val="none" w:sz="0" w:space="0" w:color="auto"/>
        <w:right w:val="none" w:sz="0" w:space="0" w:color="auto"/>
      </w:divBdr>
    </w:div>
    <w:div w:id="567542271">
      <w:bodyDiv w:val="1"/>
      <w:marLeft w:val="0"/>
      <w:marRight w:val="0"/>
      <w:marTop w:val="0"/>
      <w:marBottom w:val="0"/>
      <w:divBdr>
        <w:top w:val="none" w:sz="0" w:space="0" w:color="auto"/>
        <w:left w:val="none" w:sz="0" w:space="0" w:color="auto"/>
        <w:bottom w:val="none" w:sz="0" w:space="0" w:color="auto"/>
        <w:right w:val="none" w:sz="0" w:space="0" w:color="auto"/>
      </w:divBdr>
    </w:div>
    <w:div w:id="878277781">
      <w:bodyDiv w:val="1"/>
      <w:marLeft w:val="0"/>
      <w:marRight w:val="0"/>
      <w:marTop w:val="0"/>
      <w:marBottom w:val="0"/>
      <w:divBdr>
        <w:top w:val="none" w:sz="0" w:space="0" w:color="auto"/>
        <w:left w:val="none" w:sz="0" w:space="0" w:color="auto"/>
        <w:bottom w:val="none" w:sz="0" w:space="0" w:color="auto"/>
        <w:right w:val="none" w:sz="0" w:space="0" w:color="auto"/>
      </w:divBdr>
    </w:div>
    <w:div w:id="1089078450">
      <w:bodyDiv w:val="1"/>
      <w:marLeft w:val="0"/>
      <w:marRight w:val="0"/>
      <w:marTop w:val="0"/>
      <w:marBottom w:val="0"/>
      <w:divBdr>
        <w:top w:val="none" w:sz="0" w:space="0" w:color="auto"/>
        <w:left w:val="none" w:sz="0" w:space="0" w:color="auto"/>
        <w:bottom w:val="none" w:sz="0" w:space="0" w:color="auto"/>
        <w:right w:val="none" w:sz="0" w:space="0" w:color="auto"/>
      </w:divBdr>
    </w:div>
    <w:div w:id="1111515471">
      <w:bodyDiv w:val="1"/>
      <w:marLeft w:val="0"/>
      <w:marRight w:val="0"/>
      <w:marTop w:val="0"/>
      <w:marBottom w:val="0"/>
      <w:divBdr>
        <w:top w:val="none" w:sz="0" w:space="0" w:color="auto"/>
        <w:left w:val="none" w:sz="0" w:space="0" w:color="auto"/>
        <w:bottom w:val="none" w:sz="0" w:space="0" w:color="auto"/>
        <w:right w:val="none" w:sz="0" w:space="0" w:color="auto"/>
      </w:divBdr>
    </w:div>
    <w:div w:id="1143160959">
      <w:bodyDiv w:val="1"/>
      <w:marLeft w:val="0"/>
      <w:marRight w:val="0"/>
      <w:marTop w:val="0"/>
      <w:marBottom w:val="0"/>
      <w:divBdr>
        <w:top w:val="none" w:sz="0" w:space="0" w:color="auto"/>
        <w:left w:val="none" w:sz="0" w:space="0" w:color="auto"/>
        <w:bottom w:val="none" w:sz="0" w:space="0" w:color="auto"/>
        <w:right w:val="none" w:sz="0" w:space="0" w:color="auto"/>
      </w:divBdr>
    </w:div>
    <w:div w:id="1272081385">
      <w:bodyDiv w:val="1"/>
      <w:marLeft w:val="0"/>
      <w:marRight w:val="0"/>
      <w:marTop w:val="0"/>
      <w:marBottom w:val="0"/>
      <w:divBdr>
        <w:top w:val="none" w:sz="0" w:space="0" w:color="auto"/>
        <w:left w:val="none" w:sz="0" w:space="0" w:color="auto"/>
        <w:bottom w:val="none" w:sz="0" w:space="0" w:color="auto"/>
        <w:right w:val="none" w:sz="0" w:space="0" w:color="auto"/>
      </w:divBdr>
    </w:div>
    <w:div w:id="1572235775">
      <w:bodyDiv w:val="1"/>
      <w:marLeft w:val="0"/>
      <w:marRight w:val="0"/>
      <w:marTop w:val="0"/>
      <w:marBottom w:val="0"/>
      <w:divBdr>
        <w:top w:val="none" w:sz="0" w:space="0" w:color="auto"/>
        <w:left w:val="none" w:sz="0" w:space="0" w:color="auto"/>
        <w:bottom w:val="none" w:sz="0" w:space="0" w:color="auto"/>
        <w:right w:val="none" w:sz="0" w:space="0" w:color="auto"/>
      </w:divBdr>
    </w:div>
    <w:div w:id="1686595142">
      <w:bodyDiv w:val="1"/>
      <w:marLeft w:val="0"/>
      <w:marRight w:val="0"/>
      <w:marTop w:val="0"/>
      <w:marBottom w:val="0"/>
      <w:divBdr>
        <w:top w:val="none" w:sz="0" w:space="0" w:color="auto"/>
        <w:left w:val="none" w:sz="0" w:space="0" w:color="auto"/>
        <w:bottom w:val="none" w:sz="0" w:space="0" w:color="auto"/>
        <w:right w:val="none" w:sz="0" w:space="0" w:color="auto"/>
      </w:divBdr>
    </w:div>
    <w:div w:id="1924727074">
      <w:bodyDiv w:val="1"/>
      <w:marLeft w:val="0"/>
      <w:marRight w:val="0"/>
      <w:marTop w:val="0"/>
      <w:marBottom w:val="0"/>
      <w:divBdr>
        <w:top w:val="none" w:sz="0" w:space="0" w:color="auto"/>
        <w:left w:val="none" w:sz="0" w:space="0" w:color="auto"/>
        <w:bottom w:val="none" w:sz="0" w:space="0" w:color="auto"/>
        <w:right w:val="none" w:sz="0" w:space="0" w:color="auto"/>
      </w:divBdr>
    </w:div>
    <w:div w:id="1957172592">
      <w:bodyDiv w:val="1"/>
      <w:marLeft w:val="0"/>
      <w:marRight w:val="0"/>
      <w:marTop w:val="0"/>
      <w:marBottom w:val="0"/>
      <w:divBdr>
        <w:top w:val="none" w:sz="0" w:space="0" w:color="auto"/>
        <w:left w:val="none" w:sz="0" w:space="0" w:color="auto"/>
        <w:bottom w:val="none" w:sz="0" w:space="0" w:color="auto"/>
        <w:right w:val="none" w:sz="0" w:space="0" w:color="auto"/>
      </w:divBdr>
    </w:div>
    <w:div w:id="202292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tga.gov.au/industry/pm-argpm-guidance-7.htm" TargetMode="External"/><Relationship Id="rId25" Type="http://schemas.openxmlformats.org/officeDocument/2006/relationships/hyperlink" Target="mailto:info@tga.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tga.gov.au/product-information-p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tga.gov.au/product-information-pi" TargetMode="External"/><Relationship Id="rId23" Type="http://schemas.openxmlformats.org/officeDocument/2006/relationships/header" Target="header5.xml"/><Relationship Id="rId28" Type="http://schemas.openxmlformats.org/officeDocument/2006/relationships/header" Target="header7.xml"/><Relationship Id="rId36" Type="http://schemas.microsoft.com/office/2011/relationships/commentsExtended" Target="commentsExtended.xml"/><Relationship Id="rId10" Type="http://schemas.openxmlformats.org/officeDocument/2006/relationships/hyperlink" Target="mailto:tga.copyright@tga.gov.au" TargetMode="External"/><Relationship Id="rId19" Type="http://schemas.microsoft.com/office/2007/relationships/hdphoto" Target="media/hdphoto1.wdp"/><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eader" Target="header8.xml"/><Relationship Id="rId35"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9568\R12%20926607%20%20AusPAR%20-%20template(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80D1A-4263-4F71-BCA1-C1FFFCF2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template(2).DOTX</Template>
  <TotalTime>75</TotalTime>
  <Pages>67</Pages>
  <Words>25549</Words>
  <Characters>145378</Characters>
  <Application>Microsoft Office Word</Application>
  <DocSecurity>0</DocSecurity>
  <Lines>3304</Lines>
  <Paragraphs>1612</Paragraphs>
  <ScaleCrop>false</ScaleCrop>
  <HeadingPairs>
    <vt:vector size="2" baseType="variant">
      <vt:variant>
        <vt:lpstr>Title</vt:lpstr>
      </vt:variant>
      <vt:variant>
        <vt:i4>1</vt:i4>
      </vt:variant>
    </vt:vector>
  </HeadingPairs>
  <TitlesOfParts>
    <vt:vector size="1" baseType="lpstr">
      <vt:lpstr>Australian Public Assessment Report for Ustekinumab</vt:lpstr>
    </vt:vector>
  </TitlesOfParts>
  <Company>Department of Health </Company>
  <LinksUpToDate>false</LinksUpToDate>
  <CharactersWithSpaces>169315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Ustekinumab</dc:title>
  <dc:subject>prescription medicine</dc:subject>
  <dc:creator>Therapeutic Goods Administration</dc:creator>
  <cp:keywords>ausPARs</cp:keywords>
  <cp:lastModifiedBy>Therapeutic Goods Administration (TGA) </cp:lastModifiedBy>
  <cp:revision>20</cp:revision>
  <cp:lastPrinted>2015-09-22T23:39:00Z</cp:lastPrinted>
  <dcterms:created xsi:type="dcterms:W3CDTF">2017-10-24T01:22:00Z</dcterms:created>
  <dcterms:modified xsi:type="dcterms:W3CDTF">2017-11-06T04:18:00Z</dcterms:modified>
  <cp:category>external publication</cp:category>
</cp:coreProperties>
</file>