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13A623D" w14:textId="77777777" w:rsidTr="00BF1190">
        <w:trPr>
          <w:trHeight w:val="1863"/>
        </w:trPr>
        <w:tc>
          <w:tcPr>
            <w:tcW w:w="3652" w:type="dxa"/>
            <w:tcBorders>
              <w:top w:val="nil"/>
              <w:left w:val="nil"/>
              <w:bottom w:val="nil"/>
              <w:right w:val="nil"/>
            </w:tcBorders>
          </w:tcPr>
          <w:p w14:paraId="0BF8C215" w14:textId="77777777" w:rsidR="008E7846" w:rsidRPr="00096AA7" w:rsidRDefault="00737113" w:rsidP="00737113">
            <w:pPr>
              <w:rPr>
                <w:rFonts w:ascii="Arial" w:hAnsi="Arial" w:cs="Arial"/>
                <w:b/>
                <w:color w:val="002C47"/>
                <w:sz w:val="36"/>
                <w:szCs w:val="36"/>
              </w:rPr>
            </w:pPr>
            <w:r>
              <w:rPr>
                <w:rFonts w:ascii="Arial" w:hAnsi="Arial" w:cs="Arial"/>
                <w:b/>
                <w:color w:val="002C47"/>
                <w:sz w:val="36"/>
                <w:szCs w:val="36"/>
              </w:rPr>
              <w:t>April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7AF49FD" w14:textId="77777777" w:rsidTr="0032583B">
        <w:trPr>
          <w:trHeight w:val="868"/>
        </w:trPr>
        <w:tc>
          <w:tcPr>
            <w:tcW w:w="9079" w:type="dxa"/>
          </w:tcPr>
          <w:p w14:paraId="17D7AA5C"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737113" w:rsidRPr="0035696E">
              <w:rPr>
                <w:rFonts w:cs="Arial"/>
                <w:iCs/>
                <w:color w:val="FFFFFF" w:themeColor="background1"/>
              </w:rPr>
              <w:t>Upadacitinib</w:t>
            </w:r>
          </w:p>
        </w:tc>
      </w:tr>
      <w:tr w:rsidR="0032583B" w:rsidRPr="00B64760" w14:paraId="2C2BF548" w14:textId="77777777" w:rsidTr="0032583B">
        <w:tc>
          <w:tcPr>
            <w:tcW w:w="9079" w:type="dxa"/>
          </w:tcPr>
          <w:p w14:paraId="2AB63C17"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737113" w:rsidRPr="00737113">
              <w:rPr>
                <w:rFonts w:cs="Arial"/>
                <w:color w:val="FFFFFF" w:themeColor="background1"/>
              </w:rPr>
              <w:t>Rinvoq</w:t>
            </w:r>
          </w:p>
        </w:tc>
      </w:tr>
      <w:tr w:rsidR="0032583B" w:rsidRPr="00B64760" w14:paraId="5D71B515" w14:textId="77777777" w:rsidTr="0032583B">
        <w:trPr>
          <w:trHeight w:val="486"/>
        </w:trPr>
        <w:tc>
          <w:tcPr>
            <w:tcW w:w="9079" w:type="dxa"/>
          </w:tcPr>
          <w:p w14:paraId="2D6D841A" w14:textId="77777777" w:rsidR="0032583B" w:rsidRPr="008E7846" w:rsidRDefault="0032583B" w:rsidP="00AE7E6D">
            <w:pPr>
              <w:pStyle w:val="Subtitle"/>
              <w:rPr>
                <w:color w:val="FFFFFF" w:themeColor="background1"/>
              </w:rPr>
            </w:pPr>
            <w:r w:rsidRPr="008E7846">
              <w:rPr>
                <w:color w:val="FFFFFF" w:themeColor="background1"/>
              </w:rPr>
              <w:t xml:space="preserve">Sponsor: </w:t>
            </w:r>
            <w:r w:rsidR="00737113" w:rsidRPr="00737113">
              <w:rPr>
                <w:rFonts w:eastAsia="MS Mincho" w:cs="Arial"/>
                <w:color w:val="FFFFFF" w:themeColor="background1"/>
                <w:szCs w:val="40"/>
              </w:rPr>
              <w:t>AbbVie Pty Ltd</w:t>
            </w:r>
          </w:p>
        </w:tc>
      </w:tr>
    </w:tbl>
    <w:p w14:paraId="6E3CC616" w14:textId="77777777" w:rsidR="008E7846" w:rsidRPr="0085156D" w:rsidRDefault="008E7846" w:rsidP="0085156D">
      <w:r w:rsidRPr="0085156D">
        <w:br w:type="page"/>
      </w:r>
    </w:p>
    <w:p w14:paraId="2C882391" w14:textId="77777777" w:rsidR="008E7846" w:rsidRPr="001F6CBA" w:rsidRDefault="008E7846" w:rsidP="008E7846">
      <w:pPr>
        <w:pStyle w:val="NonTOCHeading2"/>
      </w:pPr>
      <w:r w:rsidRPr="001F6CBA">
        <w:lastRenderedPageBreak/>
        <w:t>About the Therapeutic Goods Administration (TGA)</w:t>
      </w:r>
    </w:p>
    <w:p w14:paraId="7DC948F7"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E011D06"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BC33B3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BC42E4A"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0307712"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5E54AB21" w14:textId="77777777" w:rsidR="008E7846" w:rsidRDefault="008E7846" w:rsidP="00875A6B">
      <w:pPr>
        <w:pStyle w:val="NonTOCHeading2"/>
      </w:pPr>
      <w:r>
        <w:t>About AusPARs</w:t>
      </w:r>
    </w:p>
    <w:p w14:paraId="7135F6AA"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E44D2A4" w14:textId="77777777" w:rsidR="008E7846" w:rsidRDefault="008E7846" w:rsidP="008E7846">
      <w:pPr>
        <w:pStyle w:val="ListBullet"/>
        <w:numPr>
          <w:ilvl w:val="0"/>
          <w:numId w:val="3"/>
        </w:numPr>
        <w:ind w:left="357" w:hanging="357"/>
      </w:pPr>
      <w:r>
        <w:t>AusPARs are prepared and published by the TGA.</w:t>
      </w:r>
    </w:p>
    <w:p w14:paraId="7151B338"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6555CC8"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3D56528"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C969D13" w14:textId="77777777" w:rsidR="00924482" w:rsidRPr="00DF1D7F" w:rsidRDefault="00924482" w:rsidP="00F54B65">
      <w:pPr>
        <w:pStyle w:val="LegalSubheading"/>
        <w:spacing w:before="3120"/>
      </w:pPr>
      <w:r w:rsidRPr="00DF1D7F">
        <w:t>Copyright</w:t>
      </w:r>
    </w:p>
    <w:p w14:paraId="1914D153" w14:textId="77777777" w:rsidR="00924482" w:rsidRDefault="00924482" w:rsidP="00924482">
      <w:pPr>
        <w:pStyle w:val="LegalCopy"/>
      </w:pPr>
      <w:r w:rsidRPr="00191B3B">
        <w:rPr>
          <w:rFonts w:cs="Arial"/>
          <w:lang w:val="en-GB"/>
        </w:rPr>
        <w:t>© Comm</w:t>
      </w:r>
      <w:r w:rsidR="005468E6">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4EAF1473"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DB05B91" w14:textId="77777777" w:rsidR="0089635C" w:rsidRPr="0089635C" w:rsidRDefault="0089635C" w:rsidP="0010788A">
          <w:pPr>
            <w:pStyle w:val="Contents"/>
          </w:pPr>
          <w:r w:rsidRPr="0010788A">
            <w:t>Conte</w:t>
          </w:r>
          <w:bookmarkStart w:id="2" w:name="_GoBack"/>
          <w:bookmarkEnd w:id="2"/>
          <w:r w:rsidRPr="0010788A">
            <w:t>nts</w:t>
          </w:r>
        </w:p>
        <w:p w14:paraId="7720A5E0" w14:textId="32D3BCD4" w:rsidR="00F618DB"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40171796" w:history="1">
            <w:r w:rsidR="00F618DB" w:rsidRPr="00AF529B">
              <w:rPr>
                <w:rStyle w:val="Hyperlink"/>
                <w:noProof/>
              </w:rPr>
              <w:t>Common abbreviations</w:t>
            </w:r>
            <w:r w:rsidR="00F618DB">
              <w:rPr>
                <w:noProof/>
                <w:webHidden/>
              </w:rPr>
              <w:tab/>
            </w:r>
            <w:r w:rsidR="00F618DB">
              <w:rPr>
                <w:noProof/>
                <w:webHidden/>
              </w:rPr>
              <w:fldChar w:fldCharType="begin"/>
            </w:r>
            <w:r w:rsidR="00F618DB">
              <w:rPr>
                <w:noProof/>
                <w:webHidden/>
              </w:rPr>
              <w:instrText xml:space="preserve"> PAGEREF _Toc40171796 \h </w:instrText>
            </w:r>
            <w:r w:rsidR="00F618DB">
              <w:rPr>
                <w:noProof/>
                <w:webHidden/>
              </w:rPr>
            </w:r>
            <w:r w:rsidR="00F618DB">
              <w:rPr>
                <w:noProof/>
                <w:webHidden/>
              </w:rPr>
              <w:fldChar w:fldCharType="separate"/>
            </w:r>
            <w:r w:rsidR="00F618DB">
              <w:rPr>
                <w:noProof/>
                <w:webHidden/>
              </w:rPr>
              <w:t>4</w:t>
            </w:r>
            <w:r w:rsidR="00F618DB">
              <w:rPr>
                <w:noProof/>
                <w:webHidden/>
              </w:rPr>
              <w:fldChar w:fldCharType="end"/>
            </w:r>
          </w:hyperlink>
        </w:p>
        <w:p w14:paraId="3A886D60" w14:textId="2D12822E" w:rsidR="00F618DB" w:rsidRDefault="00F618DB">
          <w:pPr>
            <w:pStyle w:val="TOC2"/>
            <w:rPr>
              <w:rFonts w:asciiTheme="minorHAnsi" w:eastAsiaTheme="minorEastAsia" w:hAnsiTheme="minorHAnsi" w:cstheme="minorBidi"/>
              <w:b w:val="0"/>
              <w:noProof/>
              <w:sz w:val="22"/>
              <w:lang w:eastAsia="en-AU"/>
            </w:rPr>
          </w:pPr>
          <w:hyperlink w:anchor="_Toc40171797" w:history="1">
            <w:r w:rsidRPr="00AF529B">
              <w:rPr>
                <w:rStyle w:val="Hyperlink"/>
                <w:noProof/>
              </w:rPr>
              <w:t>I. Introduction to product submission</w:t>
            </w:r>
            <w:r>
              <w:rPr>
                <w:noProof/>
                <w:webHidden/>
              </w:rPr>
              <w:tab/>
            </w:r>
            <w:r>
              <w:rPr>
                <w:noProof/>
                <w:webHidden/>
              </w:rPr>
              <w:fldChar w:fldCharType="begin"/>
            </w:r>
            <w:r>
              <w:rPr>
                <w:noProof/>
                <w:webHidden/>
              </w:rPr>
              <w:instrText xml:space="preserve"> PAGEREF _Toc40171797 \h </w:instrText>
            </w:r>
            <w:r>
              <w:rPr>
                <w:noProof/>
                <w:webHidden/>
              </w:rPr>
            </w:r>
            <w:r>
              <w:rPr>
                <w:noProof/>
                <w:webHidden/>
              </w:rPr>
              <w:fldChar w:fldCharType="separate"/>
            </w:r>
            <w:r>
              <w:rPr>
                <w:noProof/>
                <w:webHidden/>
              </w:rPr>
              <w:t>9</w:t>
            </w:r>
            <w:r>
              <w:rPr>
                <w:noProof/>
                <w:webHidden/>
              </w:rPr>
              <w:fldChar w:fldCharType="end"/>
            </w:r>
          </w:hyperlink>
        </w:p>
        <w:p w14:paraId="1ED8BE0A" w14:textId="3D6818CA" w:rsidR="00F618DB" w:rsidRDefault="00F618DB">
          <w:pPr>
            <w:pStyle w:val="TOC3"/>
            <w:rPr>
              <w:rFonts w:asciiTheme="minorHAnsi" w:eastAsiaTheme="minorEastAsia" w:hAnsiTheme="minorHAnsi" w:cstheme="minorBidi"/>
              <w:noProof/>
              <w:lang w:eastAsia="en-AU"/>
            </w:rPr>
          </w:pPr>
          <w:hyperlink w:anchor="_Toc40171798" w:history="1">
            <w:r w:rsidRPr="00AF529B">
              <w:rPr>
                <w:rStyle w:val="Hyperlink"/>
                <w:noProof/>
                <w:lang w:eastAsia="en-AU"/>
              </w:rPr>
              <w:t>Submission details</w:t>
            </w:r>
            <w:r>
              <w:rPr>
                <w:noProof/>
                <w:webHidden/>
              </w:rPr>
              <w:tab/>
            </w:r>
            <w:r>
              <w:rPr>
                <w:noProof/>
                <w:webHidden/>
              </w:rPr>
              <w:fldChar w:fldCharType="begin"/>
            </w:r>
            <w:r>
              <w:rPr>
                <w:noProof/>
                <w:webHidden/>
              </w:rPr>
              <w:instrText xml:space="preserve"> PAGEREF _Toc40171798 \h </w:instrText>
            </w:r>
            <w:r>
              <w:rPr>
                <w:noProof/>
                <w:webHidden/>
              </w:rPr>
            </w:r>
            <w:r>
              <w:rPr>
                <w:noProof/>
                <w:webHidden/>
              </w:rPr>
              <w:fldChar w:fldCharType="separate"/>
            </w:r>
            <w:r>
              <w:rPr>
                <w:noProof/>
                <w:webHidden/>
              </w:rPr>
              <w:t>9</w:t>
            </w:r>
            <w:r>
              <w:rPr>
                <w:noProof/>
                <w:webHidden/>
              </w:rPr>
              <w:fldChar w:fldCharType="end"/>
            </w:r>
          </w:hyperlink>
        </w:p>
        <w:p w14:paraId="7BFF4804" w14:textId="31471723" w:rsidR="00F618DB" w:rsidRDefault="00F618DB">
          <w:pPr>
            <w:pStyle w:val="TOC3"/>
            <w:rPr>
              <w:rFonts w:asciiTheme="minorHAnsi" w:eastAsiaTheme="minorEastAsia" w:hAnsiTheme="minorHAnsi" w:cstheme="minorBidi"/>
              <w:noProof/>
              <w:lang w:eastAsia="en-AU"/>
            </w:rPr>
          </w:pPr>
          <w:hyperlink w:anchor="_Toc40171799" w:history="1">
            <w:r w:rsidRPr="00AF529B">
              <w:rPr>
                <w:rStyle w:val="Hyperlink"/>
                <w:noProof/>
              </w:rPr>
              <w:t>Product background</w:t>
            </w:r>
            <w:r>
              <w:rPr>
                <w:noProof/>
                <w:webHidden/>
              </w:rPr>
              <w:tab/>
            </w:r>
            <w:r>
              <w:rPr>
                <w:noProof/>
                <w:webHidden/>
              </w:rPr>
              <w:fldChar w:fldCharType="begin"/>
            </w:r>
            <w:r>
              <w:rPr>
                <w:noProof/>
                <w:webHidden/>
              </w:rPr>
              <w:instrText xml:space="preserve"> PAGEREF _Toc40171799 \h </w:instrText>
            </w:r>
            <w:r>
              <w:rPr>
                <w:noProof/>
                <w:webHidden/>
              </w:rPr>
            </w:r>
            <w:r>
              <w:rPr>
                <w:noProof/>
                <w:webHidden/>
              </w:rPr>
              <w:fldChar w:fldCharType="separate"/>
            </w:r>
            <w:r>
              <w:rPr>
                <w:noProof/>
                <w:webHidden/>
              </w:rPr>
              <w:t>10</w:t>
            </w:r>
            <w:r>
              <w:rPr>
                <w:noProof/>
                <w:webHidden/>
              </w:rPr>
              <w:fldChar w:fldCharType="end"/>
            </w:r>
          </w:hyperlink>
        </w:p>
        <w:p w14:paraId="0B7ABF1D" w14:textId="4A948E15" w:rsidR="00F618DB" w:rsidRDefault="00F618DB">
          <w:pPr>
            <w:pStyle w:val="TOC3"/>
            <w:rPr>
              <w:rFonts w:asciiTheme="minorHAnsi" w:eastAsiaTheme="minorEastAsia" w:hAnsiTheme="minorHAnsi" w:cstheme="minorBidi"/>
              <w:noProof/>
              <w:lang w:eastAsia="en-AU"/>
            </w:rPr>
          </w:pPr>
          <w:hyperlink w:anchor="_Toc40171800" w:history="1">
            <w:r w:rsidRPr="00AF529B">
              <w:rPr>
                <w:rStyle w:val="Hyperlink"/>
                <w:noProof/>
              </w:rPr>
              <w:t>Regulatory status</w:t>
            </w:r>
            <w:r>
              <w:rPr>
                <w:noProof/>
                <w:webHidden/>
              </w:rPr>
              <w:tab/>
            </w:r>
            <w:r>
              <w:rPr>
                <w:noProof/>
                <w:webHidden/>
              </w:rPr>
              <w:fldChar w:fldCharType="begin"/>
            </w:r>
            <w:r>
              <w:rPr>
                <w:noProof/>
                <w:webHidden/>
              </w:rPr>
              <w:instrText xml:space="preserve"> PAGEREF _Toc40171800 \h </w:instrText>
            </w:r>
            <w:r>
              <w:rPr>
                <w:noProof/>
                <w:webHidden/>
              </w:rPr>
            </w:r>
            <w:r>
              <w:rPr>
                <w:noProof/>
                <w:webHidden/>
              </w:rPr>
              <w:fldChar w:fldCharType="separate"/>
            </w:r>
            <w:r>
              <w:rPr>
                <w:noProof/>
                <w:webHidden/>
              </w:rPr>
              <w:t>11</w:t>
            </w:r>
            <w:r>
              <w:rPr>
                <w:noProof/>
                <w:webHidden/>
              </w:rPr>
              <w:fldChar w:fldCharType="end"/>
            </w:r>
          </w:hyperlink>
        </w:p>
        <w:p w14:paraId="7F02602C" w14:textId="148CD388" w:rsidR="00F618DB" w:rsidRDefault="00F618DB">
          <w:pPr>
            <w:pStyle w:val="TOC3"/>
            <w:rPr>
              <w:rFonts w:asciiTheme="minorHAnsi" w:eastAsiaTheme="minorEastAsia" w:hAnsiTheme="minorHAnsi" w:cstheme="minorBidi"/>
              <w:noProof/>
              <w:lang w:eastAsia="en-AU"/>
            </w:rPr>
          </w:pPr>
          <w:hyperlink w:anchor="_Toc40171801" w:history="1">
            <w:r w:rsidRPr="00AF529B">
              <w:rPr>
                <w:rStyle w:val="Hyperlink"/>
                <w:noProof/>
              </w:rPr>
              <w:t>Product Information</w:t>
            </w:r>
            <w:r>
              <w:rPr>
                <w:noProof/>
                <w:webHidden/>
              </w:rPr>
              <w:tab/>
            </w:r>
            <w:r>
              <w:rPr>
                <w:noProof/>
                <w:webHidden/>
              </w:rPr>
              <w:fldChar w:fldCharType="begin"/>
            </w:r>
            <w:r>
              <w:rPr>
                <w:noProof/>
                <w:webHidden/>
              </w:rPr>
              <w:instrText xml:space="preserve"> PAGEREF _Toc40171801 \h </w:instrText>
            </w:r>
            <w:r>
              <w:rPr>
                <w:noProof/>
                <w:webHidden/>
              </w:rPr>
            </w:r>
            <w:r>
              <w:rPr>
                <w:noProof/>
                <w:webHidden/>
              </w:rPr>
              <w:fldChar w:fldCharType="separate"/>
            </w:r>
            <w:r>
              <w:rPr>
                <w:noProof/>
                <w:webHidden/>
              </w:rPr>
              <w:t>12</w:t>
            </w:r>
            <w:r>
              <w:rPr>
                <w:noProof/>
                <w:webHidden/>
              </w:rPr>
              <w:fldChar w:fldCharType="end"/>
            </w:r>
          </w:hyperlink>
        </w:p>
        <w:p w14:paraId="1930715F" w14:textId="7A5D5412" w:rsidR="00F618DB" w:rsidRDefault="00F618DB">
          <w:pPr>
            <w:pStyle w:val="TOC2"/>
            <w:rPr>
              <w:rFonts w:asciiTheme="minorHAnsi" w:eastAsiaTheme="minorEastAsia" w:hAnsiTheme="minorHAnsi" w:cstheme="minorBidi"/>
              <w:b w:val="0"/>
              <w:noProof/>
              <w:sz w:val="22"/>
              <w:lang w:eastAsia="en-AU"/>
            </w:rPr>
          </w:pPr>
          <w:hyperlink w:anchor="_Toc40171802" w:history="1">
            <w:r w:rsidRPr="00AF529B">
              <w:rPr>
                <w:rStyle w:val="Hyperlink"/>
                <w:noProof/>
              </w:rPr>
              <w:t>II. Registration timeline</w:t>
            </w:r>
            <w:r>
              <w:rPr>
                <w:noProof/>
                <w:webHidden/>
              </w:rPr>
              <w:tab/>
            </w:r>
            <w:r>
              <w:rPr>
                <w:noProof/>
                <w:webHidden/>
              </w:rPr>
              <w:fldChar w:fldCharType="begin"/>
            </w:r>
            <w:r>
              <w:rPr>
                <w:noProof/>
                <w:webHidden/>
              </w:rPr>
              <w:instrText xml:space="preserve"> PAGEREF _Toc40171802 \h </w:instrText>
            </w:r>
            <w:r>
              <w:rPr>
                <w:noProof/>
                <w:webHidden/>
              </w:rPr>
            </w:r>
            <w:r>
              <w:rPr>
                <w:noProof/>
                <w:webHidden/>
              </w:rPr>
              <w:fldChar w:fldCharType="separate"/>
            </w:r>
            <w:r>
              <w:rPr>
                <w:noProof/>
                <w:webHidden/>
              </w:rPr>
              <w:t>12</w:t>
            </w:r>
            <w:r>
              <w:rPr>
                <w:noProof/>
                <w:webHidden/>
              </w:rPr>
              <w:fldChar w:fldCharType="end"/>
            </w:r>
          </w:hyperlink>
        </w:p>
        <w:p w14:paraId="727A06E0" w14:textId="358E0423" w:rsidR="00F618DB" w:rsidRDefault="00F618DB">
          <w:pPr>
            <w:pStyle w:val="TOC2"/>
            <w:rPr>
              <w:rFonts w:asciiTheme="minorHAnsi" w:eastAsiaTheme="minorEastAsia" w:hAnsiTheme="minorHAnsi" w:cstheme="minorBidi"/>
              <w:b w:val="0"/>
              <w:noProof/>
              <w:sz w:val="22"/>
              <w:lang w:eastAsia="en-AU"/>
            </w:rPr>
          </w:pPr>
          <w:hyperlink w:anchor="_Toc40171803" w:history="1">
            <w:r w:rsidRPr="00AF529B">
              <w:rPr>
                <w:rStyle w:val="Hyperlink"/>
                <w:noProof/>
              </w:rPr>
              <w:t>III. Submission overview and risk/benefit assessment</w:t>
            </w:r>
            <w:r>
              <w:rPr>
                <w:noProof/>
                <w:webHidden/>
              </w:rPr>
              <w:tab/>
            </w:r>
            <w:r>
              <w:rPr>
                <w:noProof/>
                <w:webHidden/>
              </w:rPr>
              <w:fldChar w:fldCharType="begin"/>
            </w:r>
            <w:r>
              <w:rPr>
                <w:noProof/>
                <w:webHidden/>
              </w:rPr>
              <w:instrText xml:space="preserve"> PAGEREF _Toc40171803 \h </w:instrText>
            </w:r>
            <w:r>
              <w:rPr>
                <w:noProof/>
                <w:webHidden/>
              </w:rPr>
            </w:r>
            <w:r>
              <w:rPr>
                <w:noProof/>
                <w:webHidden/>
              </w:rPr>
              <w:fldChar w:fldCharType="separate"/>
            </w:r>
            <w:r>
              <w:rPr>
                <w:noProof/>
                <w:webHidden/>
              </w:rPr>
              <w:t>13</w:t>
            </w:r>
            <w:r>
              <w:rPr>
                <w:noProof/>
                <w:webHidden/>
              </w:rPr>
              <w:fldChar w:fldCharType="end"/>
            </w:r>
          </w:hyperlink>
        </w:p>
        <w:p w14:paraId="4E66B683" w14:textId="2B511B32" w:rsidR="00F618DB" w:rsidRDefault="00F618DB">
          <w:pPr>
            <w:pStyle w:val="TOC3"/>
            <w:rPr>
              <w:rFonts w:asciiTheme="minorHAnsi" w:eastAsiaTheme="minorEastAsia" w:hAnsiTheme="minorHAnsi" w:cstheme="minorBidi"/>
              <w:noProof/>
              <w:lang w:eastAsia="en-AU"/>
            </w:rPr>
          </w:pPr>
          <w:hyperlink w:anchor="_Toc40171804" w:history="1">
            <w:r w:rsidRPr="00AF529B">
              <w:rPr>
                <w:rStyle w:val="Hyperlink"/>
                <w:noProof/>
              </w:rPr>
              <w:t>Quality</w:t>
            </w:r>
            <w:r>
              <w:rPr>
                <w:noProof/>
                <w:webHidden/>
              </w:rPr>
              <w:tab/>
            </w:r>
            <w:r>
              <w:rPr>
                <w:noProof/>
                <w:webHidden/>
              </w:rPr>
              <w:fldChar w:fldCharType="begin"/>
            </w:r>
            <w:r>
              <w:rPr>
                <w:noProof/>
                <w:webHidden/>
              </w:rPr>
              <w:instrText xml:space="preserve"> PAGEREF _Toc40171804 \h </w:instrText>
            </w:r>
            <w:r>
              <w:rPr>
                <w:noProof/>
                <w:webHidden/>
              </w:rPr>
            </w:r>
            <w:r>
              <w:rPr>
                <w:noProof/>
                <w:webHidden/>
              </w:rPr>
              <w:fldChar w:fldCharType="separate"/>
            </w:r>
            <w:r>
              <w:rPr>
                <w:noProof/>
                <w:webHidden/>
              </w:rPr>
              <w:t>13</w:t>
            </w:r>
            <w:r>
              <w:rPr>
                <w:noProof/>
                <w:webHidden/>
              </w:rPr>
              <w:fldChar w:fldCharType="end"/>
            </w:r>
          </w:hyperlink>
        </w:p>
        <w:p w14:paraId="5574923C" w14:textId="23734307" w:rsidR="00F618DB" w:rsidRDefault="00F618DB">
          <w:pPr>
            <w:pStyle w:val="TOC3"/>
            <w:rPr>
              <w:rFonts w:asciiTheme="minorHAnsi" w:eastAsiaTheme="minorEastAsia" w:hAnsiTheme="minorHAnsi" w:cstheme="minorBidi"/>
              <w:noProof/>
              <w:lang w:eastAsia="en-AU"/>
            </w:rPr>
          </w:pPr>
          <w:hyperlink w:anchor="_Toc40171805" w:history="1">
            <w:r w:rsidRPr="00AF529B">
              <w:rPr>
                <w:rStyle w:val="Hyperlink"/>
                <w:noProof/>
              </w:rPr>
              <w:t>Nonclinical</w:t>
            </w:r>
            <w:r>
              <w:rPr>
                <w:noProof/>
                <w:webHidden/>
              </w:rPr>
              <w:tab/>
            </w:r>
            <w:r>
              <w:rPr>
                <w:noProof/>
                <w:webHidden/>
              </w:rPr>
              <w:fldChar w:fldCharType="begin"/>
            </w:r>
            <w:r>
              <w:rPr>
                <w:noProof/>
                <w:webHidden/>
              </w:rPr>
              <w:instrText xml:space="preserve"> PAGEREF _Toc40171805 \h </w:instrText>
            </w:r>
            <w:r>
              <w:rPr>
                <w:noProof/>
                <w:webHidden/>
              </w:rPr>
            </w:r>
            <w:r>
              <w:rPr>
                <w:noProof/>
                <w:webHidden/>
              </w:rPr>
              <w:fldChar w:fldCharType="separate"/>
            </w:r>
            <w:r>
              <w:rPr>
                <w:noProof/>
                <w:webHidden/>
              </w:rPr>
              <w:t>14</w:t>
            </w:r>
            <w:r>
              <w:rPr>
                <w:noProof/>
                <w:webHidden/>
              </w:rPr>
              <w:fldChar w:fldCharType="end"/>
            </w:r>
          </w:hyperlink>
        </w:p>
        <w:p w14:paraId="741AEF0C" w14:textId="1F4B4724" w:rsidR="00F618DB" w:rsidRDefault="00F618DB">
          <w:pPr>
            <w:pStyle w:val="TOC3"/>
            <w:rPr>
              <w:rFonts w:asciiTheme="minorHAnsi" w:eastAsiaTheme="minorEastAsia" w:hAnsiTheme="minorHAnsi" w:cstheme="minorBidi"/>
              <w:noProof/>
              <w:lang w:eastAsia="en-AU"/>
            </w:rPr>
          </w:pPr>
          <w:hyperlink w:anchor="_Toc40171806" w:history="1">
            <w:r w:rsidRPr="00AF529B">
              <w:rPr>
                <w:rStyle w:val="Hyperlink"/>
                <w:noProof/>
              </w:rPr>
              <w:t>Clinical</w:t>
            </w:r>
            <w:r>
              <w:rPr>
                <w:noProof/>
                <w:webHidden/>
              </w:rPr>
              <w:tab/>
            </w:r>
            <w:r>
              <w:rPr>
                <w:noProof/>
                <w:webHidden/>
              </w:rPr>
              <w:fldChar w:fldCharType="begin"/>
            </w:r>
            <w:r>
              <w:rPr>
                <w:noProof/>
                <w:webHidden/>
              </w:rPr>
              <w:instrText xml:space="preserve"> PAGEREF _Toc40171806 \h </w:instrText>
            </w:r>
            <w:r>
              <w:rPr>
                <w:noProof/>
                <w:webHidden/>
              </w:rPr>
            </w:r>
            <w:r>
              <w:rPr>
                <w:noProof/>
                <w:webHidden/>
              </w:rPr>
              <w:fldChar w:fldCharType="separate"/>
            </w:r>
            <w:r>
              <w:rPr>
                <w:noProof/>
                <w:webHidden/>
              </w:rPr>
              <w:t>15</w:t>
            </w:r>
            <w:r>
              <w:rPr>
                <w:noProof/>
                <w:webHidden/>
              </w:rPr>
              <w:fldChar w:fldCharType="end"/>
            </w:r>
          </w:hyperlink>
        </w:p>
        <w:p w14:paraId="485184BD" w14:textId="5216D2AB" w:rsidR="00F618DB" w:rsidRDefault="00F618DB">
          <w:pPr>
            <w:pStyle w:val="TOC3"/>
            <w:rPr>
              <w:rFonts w:asciiTheme="minorHAnsi" w:eastAsiaTheme="minorEastAsia" w:hAnsiTheme="minorHAnsi" w:cstheme="minorBidi"/>
              <w:noProof/>
              <w:lang w:eastAsia="en-AU"/>
            </w:rPr>
          </w:pPr>
          <w:hyperlink w:anchor="_Toc40171807" w:history="1">
            <w:r w:rsidRPr="00AF529B">
              <w:rPr>
                <w:rStyle w:val="Hyperlink"/>
                <w:noProof/>
                <w:lang w:eastAsia="en-AU"/>
              </w:rPr>
              <w:t>Risk management plan</w:t>
            </w:r>
            <w:r>
              <w:rPr>
                <w:noProof/>
                <w:webHidden/>
              </w:rPr>
              <w:tab/>
            </w:r>
            <w:r>
              <w:rPr>
                <w:noProof/>
                <w:webHidden/>
              </w:rPr>
              <w:fldChar w:fldCharType="begin"/>
            </w:r>
            <w:r>
              <w:rPr>
                <w:noProof/>
                <w:webHidden/>
              </w:rPr>
              <w:instrText xml:space="preserve"> PAGEREF _Toc40171807 \h </w:instrText>
            </w:r>
            <w:r>
              <w:rPr>
                <w:noProof/>
                <w:webHidden/>
              </w:rPr>
            </w:r>
            <w:r>
              <w:rPr>
                <w:noProof/>
                <w:webHidden/>
              </w:rPr>
              <w:fldChar w:fldCharType="separate"/>
            </w:r>
            <w:r>
              <w:rPr>
                <w:noProof/>
                <w:webHidden/>
              </w:rPr>
              <w:t>29</w:t>
            </w:r>
            <w:r>
              <w:rPr>
                <w:noProof/>
                <w:webHidden/>
              </w:rPr>
              <w:fldChar w:fldCharType="end"/>
            </w:r>
          </w:hyperlink>
        </w:p>
        <w:p w14:paraId="7A5E175B" w14:textId="16C78D28" w:rsidR="00F618DB" w:rsidRDefault="00F618DB">
          <w:pPr>
            <w:pStyle w:val="TOC3"/>
            <w:rPr>
              <w:rFonts w:asciiTheme="minorHAnsi" w:eastAsiaTheme="minorEastAsia" w:hAnsiTheme="minorHAnsi" w:cstheme="minorBidi"/>
              <w:noProof/>
              <w:lang w:eastAsia="en-AU"/>
            </w:rPr>
          </w:pPr>
          <w:hyperlink w:anchor="_Toc40171808" w:history="1">
            <w:r w:rsidRPr="00AF529B">
              <w:rPr>
                <w:rStyle w:val="Hyperlink"/>
                <w:noProof/>
              </w:rPr>
              <w:t>Risk-benefit analysis</w:t>
            </w:r>
            <w:r>
              <w:rPr>
                <w:noProof/>
                <w:webHidden/>
              </w:rPr>
              <w:tab/>
            </w:r>
            <w:r>
              <w:rPr>
                <w:noProof/>
                <w:webHidden/>
              </w:rPr>
              <w:fldChar w:fldCharType="begin"/>
            </w:r>
            <w:r>
              <w:rPr>
                <w:noProof/>
                <w:webHidden/>
              </w:rPr>
              <w:instrText xml:space="preserve"> PAGEREF _Toc40171808 \h </w:instrText>
            </w:r>
            <w:r>
              <w:rPr>
                <w:noProof/>
                <w:webHidden/>
              </w:rPr>
            </w:r>
            <w:r>
              <w:rPr>
                <w:noProof/>
                <w:webHidden/>
              </w:rPr>
              <w:fldChar w:fldCharType="separate"/>
            </w:r>
            <w:r>
              <w:rPr>
                <w:noProof/>
                <w:webHidden/>
              </w:rPr>
              <w:t>31</w:t>
            </w:r>
            <w:r>
              <w:rPr>
                <w:noProof/>
                <w:webHidden/>
              </w:rPr>
              <w:fldChar w:fldCharType="end"/>
            </w:r>
          </w:hyperlink>
        </w:p>
        <w:p w14:paraId="06B2EFF4" w14:textId="2B793571" w:rsidR="00F618DB" w:rsidRDefault="00F618DB">
          <w:pPr>
            <w:pStyle w:val="TOC3"/>
            <w:rPr>
              <w:rFonts w:asciiTheme="minorHAnsi" w:eastAsiaTheme="minorEastAsia" w:hAnsiTheme="minorHAnsi" w:cstheme="minorBidi"/>
              <w:noProof/>
              <w:lang w:eastAsia="en-AU"/>
            </w:rPr>
          </w:pPr>
          <w:hyperlink w:anchor="_Toc40171809" w:history="1">
            <w:r w:rsidRPr="00AF529B">
              <w:rPr>
                <w:rStyle w:val="Hyperlink"/>
                <w:noProof/>
              </w:rPr>
              <w:t>Outcome</w:t>
            </w:r>
            <w:r>
              <w:rPr>
                <w:noProof/>
                <w:webHidden/>
              </w:rPr>
              <w:tab/>
            </w:r>
            <w:r>
              <w:rPr>
                <w:noProof/>
                <w:webHidden/>
              </w:rPr>
              <w:fldChar w:fldCharType="begin"/>
            </w:r>
            <w:r>
              <w:rPr>
                <w:noProof/>
                <w:webHidden/>
              </w:rPr>
              <w:instrText xml:space="preserve"> PAGEREF _Toc40171809 \h </w:instrText>
            </w:r>
            <w:r>
              <w:rPr>
                <w:noProof/>
                <w:webHidden/>
              </w:rPr>
            </w:r>
            <w:r>
              <w:rPr>
                <w:noProof/>
                <w:webHidden/>
              </w:rPr>
              <w:fldChar w:fldCharType="separate"/>
            </w:r>
            <w:r>
              <w:rPr>
                <w:noProof/>
                <w:webHidden/>
              </w:rPr>
              <w:t>36</w:t>
            </w:r>
            <w:r>
              <w:rPr>
                <w:noProof/>
                <w:webHidden/>
              </w:rPr>
              <w:fldChar w:fldCharType="end"/>
            </w:r>
          </w:hyperlink>
        </w:p>
        <w:p w14:paraId="19AC1AB7" w14:textId="3CF45AE9" w:rsidR="00F618DB" w:rsidRDefault="00F618DB">
          <w:pPr>
            <w:pStyle w:val="TOC2"/>
            <w:rPr>
              <w:rFonts w:asciiTheme="minorHAnsi" w:eastAsiaTheme="minorEastAsia" w:hAnsiTheme="minorHAnsi" w:cstheme="minorBidi"/>
              <w:b w:val="0"/>
              <w:noProof/>
              <w:sz w:val="22"/>
              <w:lang w:eastAsia="en-AU"/>
            </w:rPr>
          </w:pPr>
          <w:hyperlink w:anchor="_Toc40171810" w:history="1">
            <w:r w:rsidRPr="00AF529B">
              <w:rPr>
                <w:rStyle w:val="Hyperlink"/>
                <w:noProof/>
              </w:rPr>
              <w:t>Attachment 1. Product Information</w:t>
            </w:r>
            <w:r>
              <w:rPr>
                <w:noProof/>
                <w:webHidden/>
              </w:rPr>
              <w:tab/>
            </w:r>
            <w:r>
              <w:rPr>
                <w:noProof/>
                <w:webHidden/>
              </w:rPr>
              <w:fldChar w:fldCharType="begin"/>
            </w:r>
            <w:r>
              <w:rPr>
                <w:noProof/>
                <w:webHidden/>
              </w:rPr>
              <w:instrText xml:space="preserve"> PAGEREF _Toc40171810 \h </w:instrText>
            </w:r>
            <w:r>
              <w:rPr>
                <w:noProof/>
                <w:webHidden/>
              </w:rPr>
            </w:r>
            <w:r>
              <w:rPr>
                <w:noProof/>
                <w:webHidden/>
              </w:rPr>
              <w:fldChar w:fldCharType="separate"/>
            </w:r>
            <w:r>
              <w:rPr>
                <w:noProof/>
                <w:webHidden/>
              </w:rPr>
              <w:t>37</w:t>
            </w:r>
            <w:r>
              <w:rPr>
                <w:noProof/>
                <w:webHidden/>
              </w:rPr>
              <w:fldChar w:fldCharType="end"/>
            </w:r>
          </w:hyperlink>
        </w:p>
        <w:p w14:paraId="35178489" w14:textId="625F2523" w:rsidR="003A7F6C" w:rsidRPr="00B811C6" w:rsidRDefault="00960520" w:rsidP="00B811C6">
          <w:pPr>
            <w:pStyle w:val="TOC2"/>
          </w:pPr>
          <w:r>
            <w:fldChar w:fldCharType="end"/>
          </w:r>
        </w:p>
      </w:sdtContent>
    </w:sdt>
    <w:bookmarkStart w:id="3" w:name="_Toc314842482" w:displacedByCustomXml="prev"/>
    <w:p w14:paraId="62444E44" w14:textId="7A450D99" w:rsidR="00FD119B" w:rsidRDefault="00FD119B">
      <w:pPr>
        <w:spacing w:before="0" w:after="200" w:line="0" w:lineRule="auto"/>
      </w:pPr>
      <w:r>
        <w:br w:type="page"/>
      </w:r>
    </w:p>
    <w:p w14:paraId="717B6004"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4017179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594"/>
      </w:tblGrid>
      <w:tr w:rsidR="0055166A" w14:paraId="708064C3" w14:textId="77777777" w:rsidTr="00EB66B6">
        <w:trPr>
          <w:cnfStyle w:val="100000000000" w:firstRow="1" w:lastRow="0" w:firstColumn="0" w:lastColumn="0" w:oddVBand="0" w:evenVBand="0" w:oddHBand="0" w:evenHBand="0" w:firstRowFirstColumn="0" w:firstRowLastColumn="0" w:lastRowFirstColumn="0" w:lastRowLastColumn="0"/>
        </w:trPr>
        <w:tc>
          <w:tcPr>
            <w:tcW w:w="1890" w:type="dxa"/>
          </w:tcPr>
          <w:p w14:paraId="251F6713" w14:textId="77777777" w:rsidR="0055166A" w:rsidRDefault="0055166A" w:rsidP="0055166A">
            <w:r>
              <w:t>Abbreviation</w:t>
            </w:r>
          </w:p>
        </w:tc>
        <w:tc>
          <w:tcPr>
            <w:tcW w:w="6594" w:type="dxa"/>
          </w:tcPr>
          <w:p w14:paraId="40C213DA" w14:textId="77777777" w:rsidR="0055166A" w:rsidRDefault="0055166A" w:rsidP="0055166A">
            <w:r>
              <w:t>Meaning</w:t>
            </w:r>
          </w:p>
        </w:tc>
      </w:tr>
      <w:tr w:rsidR="00CD4094" w14:paraId="6109410A" w14:textId="77777777" w:rsidTr="00EB66B6">
        <w:tc>
          <w:tcPr>
            <w:tcW w:w="1890" w:type="dxa"/>
          </w:tcPr>
          <w:p w14:paraId="39FB312D" w14:textId="3B11127F" w:rsidR="00CD4094" w:rsidRPr="00CD4094" w:rsidRDefault="00CD4094" w:rsidP="00BD0FFA">
            <w:pPr>
              <w:rPr>
                <w:color w:val="auto"/>
                <w:szCs w:val="22"/>
                <w:lang w:eastAsia="en-US"/>
              </w:rPr>
            </w:pPr>
            <w:r>
              <w:t>ACM</w:t>
            </w:r>
          </w:p>
        </w:tc>
        <w:tc>
          <w:tcPr>
            <w:tcW w:w="6594" w:type="dxa"/>
          </w:tcPr>
          <w:p w14:paraId="749A5DB1" w14:textId="18FF6144" w:rsidR="00CD4094" w:rsidRDefault="00CD4094" w:rsidP="000D6769">
            <w:r>
              <w:t>Advisory Committee on Medicines</w:t>
            </w:r>
          </w:p>
        </w:tc>
      </w:tr>
      <w:tr w:rsidR="0055166A" w14:paraId="1499DBFB" w14:textId="77777777" w:rsidTr="00EB66B6">
        <w:tc>
          <w:tcPr>
            <w:tcW w:w="1890" w:type="dxa"/>
          </w:tcPr>
          <w:p w14:paraId="08A6937D" w14:textId="77777777" w:rsidR="0055166A" w:rsidRDefault="0055166A" w:rsidP="000D6769">
            <w:pPr>
              <w:ind w:left="0" w:firstLine="164"/>
            </w:pPr>
            <w:r>
              <w:t>A</w:t>
            </w:r>
            <w:r w:rsidRPr="002F2961">
              <w:t>C</w:t>
            </w:r>
            <w:r>
              <w:t>R</w:t>
            </w:r>
          </w:p>
        </w:tc>
        <w:tc>
          <w:tcPr>
            <w:tcW w:w="6594" w:type="dxa"/>
          </w:tcPr>
          <w:p w14:paraId="7974E59E" w14:textId="77777777" w:rsidR="0055166A" w:rsidRDefault="0055166A" w:rsidP="000D6769">
            <w:r>
              <w:t>American College of Rheumatology</w:t>
            </w:r>
          </w:p>
        </w:tc>
      </w:tr>
      <w:tr w:rsidR="00F21111" w14:paraId="2F3EF609" w14:textId="77777777" w:rsidTr="00EB66B6">
        <w:tc>
          <w:tcPr>
            <w:tcW w:w="1890" w:type="dxa"/>
          </w:tcPr>
          <w:p w14:paraId="002102DA" w14:textId="323FB322" w:rsidR="00F21111" w:rsidRPr="00F21111" w:rsidRDefault="00F21111" w:rsidP="00BD0FFA">
            <w:r>
              <w:t>ACR20</w:t>
            </w:r>
          </w:p>
        </w:tc>
        <w:tc>
          <w:tcPr>
            <w:tcW w:w="6594" w:type="dxa"/>
          </w:tcPr>
          <w:p w14:paraId="0D7727CF" w14:textId="75B634FE" w:rsidR="00F21111" w:rsidRPr="00F21111" w:rsidRDefault="00F21111" w:rsidP="00F21111">
            <w:r>
              <w:t>20% improvement in American College of Rheumatology response criteria</w:t>
            </w:r>
          </w:p>
        </w:tc>
      </w:tr>
      <w:tr w:rsidR="00F21111" w14:paraId="1808354D" w14:textId="77777777" w:rsidTr="00EB66B6">
        <w:tc>
          <w:tcPr>
            <w:tcW w:w="1890" w:type="dxa"/>
          </w:tcPr>
          <w:p w14:paraId="69252028" w14:textId="50C7EFC0" w:rsidR="00F21111" w:rsidRPr="00F21111" w:rsidRDefault="00F21111" w:rsidP="00BD0FFA">
            <w:r>
              <w:t>ACR50</w:t>
            </w:r>
          </w:p>
        </w:tc>
        <w:tc>
          <w:tcPr>
            <w:tcW w:w="6594" w:type="dxa"/>
          </w:tcPr>
          <w:p w14:paraId="504F94B1" w14:textId="57A9DDE2" w:rsidR="00F21111" w:rsidRPr="00F21111" w:rsidRDefault="00F21111" w:rsidP="00F21111">
            <w:r>
              <w:t>50% improvement in American College of Rheumatology response criteria</w:t>
            </w:r>
          </w:p>
        </w:tc>
      </w:tr>
      <w:tr w:rsidR="00F21111" w14:paraId="0F61B3E9" w14:textId="77777777" w:rsidTr="00EB66B6">
        <w:tc>
          <w:tcPr>
            <w:tcW w:w="1890" w:type="dxa"/>
          </w:tcPr>
          <w:p w14:paraId="1781CEBD" w14:textId="21456EC5" w:rsidR="00F21111" w:rsidRPr="00F21111" w:rsidRDefault="00F21111" w:rsidP="00BD0FFA">
            <w:r>
              <w:t>ACR70</w:t>
            </w:r>
          </w:p>
        </w:tc>
        <w:tc>
          <w:tcPr>
            <w:tcW w:w="6594" w:type="dxa"/>
          </w:tcPr>
          <w:p w14:paraId="69E4F396" w14:textId="08FD992F" w:rsidR="00F21111" w:rsidRPr="00F21111" w:rsidRDefault="00F21111" w:rsidP="00F21111">
            <w:r>
              <w:t>70% improvement in American College of Rheumatology response criteria</w:t>
            </w:r>
          </w:p>
        </w:tc>
      </w:tr>
      <w:tr w:rsidR="0055166A" w14:paraId="3095EDAA" w14:textId="77777777" w:rsidTr="00EB66B6">
        <w:tc>
          <w:tcPr>
            <w:tcW w:w="1890" w:type="dxa"/>
          </w:tcPr>
          <w:p w14:paraId="6D98F024" w14:textId="77777777" w:rsidR="0055166A" w:rsidRDefault="0055166A" w:rsidP="000D6769">
            <w:r>
              <w:t>AE</w:t>
            </w:r>
          </w:p>
        </w:tc>
        <w:tc>
          <w:tcPr>
            <w:tcW w:w="6594" w:type="dxa"/>
          </w:tcPr>
          <w:p w14:paraId="1F418B9E" w14:textId="77777777" w:rsidR="0055166A" w:rsidRDefault="005468E6" w:rsidP="000D6769">
            <w:r>
              <w:t>Adverse e</w:t>
            </w:r>
            <w:r w:rsidR="0055166A">
              <w:t>vent</w:t>
            </w:r>
          </w:p>
        </w:tc>
      </w:tr>
      <w:tr w:rsidR="00D7064E" w14:paraId="34BF3A98" w14:textId="77777777" w:rsidTr="00EB66B6">
        <w:tc>
          <w:tcPr>
            <w:tcW w:w="1890" w:type="dxa"/>
          </w:tcPr>
          <w:p w14:paraId="6DDE3559" w14:textId="2737A6B3" w:rsidR="00D7064E" w:rsidRDefault="00D7064E" w:rsidP="000D6769">
            <w:r>
              <w:t>ALC</w:t>
            </w:r>
          </w:p>
        </w:tc>
        <w:tc>
          <w:tcPr>
            <w:tcW w:w="6594" w:type="dxa"/>
          </w:tcPr>
          <w:p w14:paraId="00B1816F" w14:textId="1D02D8F7" w:rsidR="00D7064E" w:rsidRDefault="00D7064E" w:rsidP="000D6769">
            <w:r>
              <w:t>Absolute lymphocyte count</w:t>
            </w:r>
          </w:p>
        </w:tc>
      </w:tr>
      <w:tr w:rsidR="00C20F9B" w14:paraId="447B4049" w14:textId="77777777" w:rsidTr="00EB66B6">
        <w:tc>
          <w:tcPr>
            <w:tcW w:w="1890" w:type="dxa"/>
          </w:tcPr>
          <w:p w14:paraId="02CB4E41" w14:textId="77777777" w:rsidR="00C20F9B" w:rsidRDefault="00C20F9B" w:rsidP="000D6769">
            <w:r w:rsidRPr="001D1AEA">
              <w:rPr>
                <w:lang w:eastAsia="ja-JP"/>
              </w:rPr>
              <w:t>ALT</w:t>
            </w:r>
          </w:p>
        </w:tc>
        <w:tc>
          <w:tcPr>
            <w:tcW w:w="6594" w:type="dxa"/>
          </w:tcPr>
          <w:p w14:paraId="4C85CFA1" w14:textId="77777777" w:rsidR="00C20F9B" w:rsidRDefault="00C20F9B" w:rsidP="00C20F9B">
            <w:r>
              <w:rPr>
                <w:lang w:eastAsia="ja-JP"/>
              </w:rPr>
              <w:t>A</w:t>
            </w:r>
            <w:r w:rsidRPr="001D1AEA">
              <w:rPr>
                <w:lang w:eastAsia="ja-JP"/>
              </w:rPr>
              <w:t>lanine am</w:t>
            </w:r>
            <w:r>
              <w:rPr>
                <w:lang w:eastAsia="ja-JP"/>
              </w:rPr>
              <w:t>inotransferase</w:t>
            </w:r>
          </w:p>
        </w:tc>
      </w:tr>
      <w:tr w:rsidR="00D7064E" w14:paraId="517D694C" w14:textId="77777777" w:rsidTr="00EB66B6">
        <w:tc>
          <w:tcPr>
            <w:tcW w:w="1890" w:type="dxa"/>
          </w:tcPr>
          <w:p w14:paraId="53CFCE2F" w14:textId="533D76FA" w:rsidR="00D7064E" w:rsidRPr="001D1AEA" w:rsidRDefault="00D7064E" w:rsidP="000D6769">
            <w:pPr>
              <w:rPr>
                <w:lang w:eastAsia="ja-JP"/>
              </w:rPr>
            </w:pPr>
            <w:r>
              <w:rPr>
                <w:lang w:eastAsia="ja-JP"/>
              </w:rPr>
              <w:t>ANC</w:t>
            </w:r>
          </w:p>
        </w:tc>
        <w:tc>
          <w:tcPr>
            <w:tcW w:w="6594" w:type="dxa"/>
          </w:tcPr>
          <w:p w14:paraId="6625C181" w14:textId="780A4403" w:rsidR="00D7064E" w:rsidRDefault="00D7064E" w:rsidP="00C20F9B">
            <w:pPr>
              <w:rPr>
                <w:lang w:eastAsia="ja-JP"/>
              </w:rPr>
            </w:pPr>
            <w:r>
              <w:rPr>
                <w:lang w:eastAsia="ja-JP"/>
              </w:rPr>
              <w:t>Absolute neutrophil count</w:t>
            </w:r>
          </w:p>
        </w:tc>
      </w:tr>
      <w:tr w:rsidR="00A9210D" w14:paraId="65E9B49D" w14:textId="77777777" w:rsidTr="00EB66B6">
        <w:tc>
          <w:tcPr>
            <w:tcW w:w="1890" w:type="dxa"/>
          </w:tcPr>
          <w:p w14:paraId="6744A161" w14:textId="51C2D6A2" w:rsidR="00A9210D" w:rsidRDefault="00A9210D" w:rsidP="000D6769">
            <w:pPr>
              <w:rPr>
                <w:lang w:eastAsia="ja-JP"/>
              </w:rPr>
            </w:pPr>
            <w:r>
              <w:rPr>
                <w:lang w:eastAsia="ja-JP"/>
              </w:rPr>
              <w:t>Anti-CCP</w:t>
            </w:r>
          </w:p>
        </w:tc>
        <w:tc>
          <w:tcPr>
            <w:tcW w:w="6594" w:type="dxa"/>
          </w:tcPr>
          <w:p w14:paraId="4EEFF07C" w14:textId="3AB0D866" w:rsidR="00A9210D" w:rsidRDefault="00A9210D" w:rsidP="00C20F9B">
            <w:pPr>
              <w:rPr>
                <w:lang w:eastAsia="ja-JP"/>
              </w:rPr>
            </w:pPr>
            <w:r>
              <w:rPr>
                <w:lang w:eastAsia="ja-JP"/>
              </w:rPr>
              <w:t xml:space="preserve">Anti-cyclic </w:t>
            </w:r>
            <w:proofErr w:type="spellStart"/>
            <w:r>
              <w:rPr>
                <w:lang w:eastAsia="ja-JP"/>
              </w:rPr>
              <w:t>citrullinated</w:t>
            </w:r>
            <w:proofErr w:type="spellEnd"/>
            <w:r>
              <w:rPr>
                <w:lang w:eastAsia="ja-JP"/>
              </w:rPr>
              <w:t xml:space="preserve"> peptide</w:t>
            </w:r>
          </w:p>
        </w:tc>
      </w:tr>
      <w:tr w:rsidR="00CD4094" w14:paraId="01EB23D5" w14:textId="77777777" w:rsidTr="00EB66B6">
        <w:tc>
          <w:tcPr>
            <w:tcW w:w="1890" w:type="dxa"/>
          </w:tcPr>
          <w:p w14:paraId="3EF2DA7D" w14:textId="34CA5D93" w:rsidR="00CD4094" w:rsidRDefault="00CD4094" w:rsidP="000D6769">
            <w:pPr>
              <w:rPr>
                <w:lang w:eastAsia="ja-JP"/>
              </w:rPr>
            </w:pPr>
            <w:r>
              <w:rPr>
                <w:lang w:eastAsia="ja-JP"/>
              </w:rPr>
              <w:t>ARTG</w:t>
            </w:r>
          </w:p>
        </w:tc>
        <w:tc>
          <w:tcPr>
            <w:tcW w:w="6594" w:type="dxa"/>
          </w:tcPr>
          <w:p w14:paraId="05B4BE09" w14:textId="527496E9" w:rsidR="00CD4094" w:rsidRDefault="00CD4094" w:rsidP="00C20F9B">
            <w:pPr>
              <w:rPr>
                <w:lang w:eastAsia="ja-JP"/>
              </w:rPr>
            </w:pPr>
            <w:r>
              <w:rPr>
                <w:lang w:eastAsia="ja-JP"/>
              </w:rPr>
              <w:t>Australian Register of Therapeutic Goods</w:t>
            </w:r>
          </w:p>
        </w:tc>
      </w:tr>
      <w:tr w:rsidR="00933259" w14:paraId="31DA4CEB" w14:textId="77777777" w:rsidTr="00EB66B6">
        <w:tc>
          <w:tcPr>
            <w:tcW w:w="1890" w:type="dxa"/>
          </w:tcPr>
          <w:p w14:paraId="65D1C7E1" w14:textId="1EC59F47" w:rsidR="00933259" w:rsidRDefault="00933259" w:rsidP="000D6769">
            <w:pPr>
              <w:rPr>
                <w:lang w:eastAsia="ja-JP"/>
              </w:rPr>
            </w:pPr>
            <w:r>
              <w:rPr>
                <w:lang w:eastAsia="ja-JP"/>
              </w:rPr>
              <w:t>ASA</w:t>
            </w:r>
          </w:p>
        </w:tc>
        <w:tc>
          <w:tcPr>
            <w:tcW w:w="6594" w:type="dxa"/>
          </w:tcPr>
          <w:p w14:paraId="3BEDEE43" w14:textId="5BF85B66" w:rsidR="00933259" w:rsidRDefault="00933259" w:rsidP="00C20F9B">
            <w:pPr>
              <w:rPr>
                <w:lang w:eastAsia="ja-JP"/>
              </w:rPr>
            </w:pPr>
            <w:r>
              <w:rPr>
                <w:lang w:eastAsia="ja-JP"/>
              </w:rPr>
              <w:t>Australian specific Annex</w:t>
            </w:r>
          </w:p>
        </w:tc>
      </w:tr>
      <w:tr w:rsidR="00933259" w14:paraId="165412FD" w14:textId="77777777" w:rsidTr="00EB66B6">
        <w:tc>
          <w:tcPr>
            <w:tcW w:w="1890" w:type="dxa"/>
          </w:tcPr>
          <w:p w14:paraId="4CE9D793" w14:textId="326935A0" w:rsidR="00933259" w:rsidRDefault="00933259" w:rsidP="000D6769">
            <w:pPr>
              <w:rPr>
                <w:lang w:eastAsia="ja-JP"/>
              </w:rPr>
            </w:pPr>
            <w:r>
              <w:rPr>
                <w:lang w:eastAsia="ja-JP"/>
              </w:rPr>
              <w:t>AST</w:t>
            </w:r>
          </w:p>
        </w:tc>
        <w:tc>
          <w:tcPr>
            <w:tcW w:w="6594" w:type="dxa"/>
          </w:tcPr>
          <w:p w14:paraId="42000888" w14:textId="369827D5" w:rsidR="00933259" w:rsidRDefault="00933259" w:rsidP="00C20F9B">
            <w:pPr>
              <w:rPr>
                <w:lang w:eastAsia="ja-JP"/>
              </w:rPr>
            </w:pPr>
            <w:r>
              <w:rPr>
                <w:lang w:eastAsia="ja-JP"/>
              </w:rPr>
              <w:t>Aspartate aminotransferase</w:t>
            </w:r>
          </w:p>
        </w:tc>
      </w:tr>
      <w:tr w:rsidR="0055166A" w14:paraId="3516FDFA" w14:textId="77777777" w:rsidTr="00EB66B6">
        <w:tc>
          <w:tcPr>
            <w:tcW w:w="1890" w:type="dxa"/>
          </w:tcPr>
          <w:p w14:paraId="475E1779" w14:textId="77777777" w:rsidR="0055166A" w:rsidRDefault="0055166A" w:rsidP="000D6769">
            <w:r>
              <w:rPr>
                <w:rFonts w:eastAsia="MS Minngs"/>
              </w:rPr>
              <w:t>AUC</w:t>
            </w:r>
          </w:p>
        </w:tc>
        <w:tc>
          <w:tcPr>
            <w:tcW w:w="6594" w:type="dxa"/>
          </w:tcPr>
          <w:p w14:paraId="7FB74675" w14:textId="77777777" w:rsidR="0055166A" w:rsidRDefault="0055166A" w:rsidP="000D6769">
            <w:r>
              <w:rPr>
                <w:rFonts w:eastAsia="MS Minngs"/>
              </w:rPr>
              <w:t xml:space="preserve">Area </w:t>
            </w:r>
            <w:r w:rsidR="005468E6" w:rsidRPr="0035696E">
              <w:rPr>
                <w:rFonts w:eastAsia="MS Minngs"/>
                <w:color w:val="auto"/>
              </w:rPr>
              <w:t>under</w:t>
            </w:r>
            <w:r w:rsidR="005468E6" w:rsidRPr="0035696E">
              <w:rPr>
                <w:rFonts w:cs="Arial"/>
                <w:color w:val="auto"/>
                <w:lang w:val="en-US"/>
              </w:rPr>
              <w:t xml:space="preserve"> concentration</w:t>
            </w:r>
            <w:r w:rsidRPr="0035696E">
              <w:rPr>
                <w:rFonts w:cs="Arial"/>
                <w:color w:val="auto"/>
                <w:lang w:val="en-US"/>
              </w:rPr>
              <w:t>-</w:t>
            </w:r>
            <w:r w:rsidR="000D6769" w:rsidRPr="0035696E">
              <w:rPr>
                <w:rFonts w:cs="Arial"/>
                <w:color w:val="auto"/>
                <w:lang w:val="en-US"/>
              </w:rPr>
              <w:t>t</w:t>
            </w:r>
            <w:r w:rsidRPr="0035696E">
              <w:rPr>
                <w:rFonts w:cs="Arial"/>
                <w:color w:val="auto"/>
                <w:lang w:val="en-US"/>
              </w:rPr>
              <w:t>ime curve over the dosing interval</w:t>
            </w:r>
          </w:p>
        </w:tc>
      </w:tr>
      <w:tr w:rsidR="00C20F9B" w14:paraId="6376D8CD" w14:textId="77777777" w:rsidTr="00EB66B6">
        <w:tc>
          <w:tcPr>
            <w:tcW w:w="1890" w:type="dxa"/>
          </w:tcPr>
          <w:p w14:paraId="4E1A22E1" w14:textId="77777777" w:rsidR="00C20F9B" w:rsidRDefault="00C20F9B" w:rsidP="000D6769">
            <w:pPr>
              <w:rPr>
                <w:rFonts w:eastAsia="MS Minngs"/>
              </w:rPr>
            </w:pPr>
            <w:r>
              <w:rPr>
                <w:rFonts w:eastAsia="MS Minngs"/>
              </w:rPr>
              <w:t>AST</w:t>
            </w:r>
          </w:p>
        </w:tc>
        <w:tc>
          <w:tcPr>
            <w:tcW w:w="6594" w:type="dxa"/>
          </w:tcPr>
          <w:p w14:paraId="5BB90161" w14:textId="77777777" w:rsidR="00C20F9B" w:rsidRDefault="00C20F9B" w:rsidP="000D6769">
            <w:pPr>
              <w:rPr>
                <w:rFonts w:eastAsia="MS Minngs"/>
              </w:rPr>
            </w:pPr>
            <w:r>
              <w:rPr>
                <w:lang w:eastAsia="ja-JP"/>
              </w:rPr>
              <w:t>Aspartate aminotransferase</w:t>
            </w:r>
          </w:p>
        </w:tc>
      </w:tr>
      <w:tr w:rsidR="00C20F9B" w14:paraId="0E69FEE8" w14:textId="77777777" w:rsidTr="00EB66B6">
        <w:tc>
          <w:tcPr>
            <w:tcW w:w="1890" w:type="dxa"/>
          </w:tcPr>
          <w:p w14:paraId="61682642" w14:textId="77777777" w:rsidR="00C20F9B" w:rsidRDefault="00C20F9B" w:rsidP="000D6769">
            <w:pPr>
              <w:rPr>
                <w:rFonts w:eastAsia="MS Minngs"/>
              </w:rPr>
            </w:pPr>
            <w:r>
              <w:rPr>
                <w:rFonts w:eastAsia="MS Minngs"/>
              </w:rPr>
              <w:t>BD</w:t>
            </w:r>
          </w:p>
        </w:tc>
        <w:tc>
          <w:tcPr>
            <w:tcW w:w="6594" w:type="dxa"/>
          </w:tcPr>
          <w:p w14:paraId="7390A07E" w14:textId="314DE2FD" w:rsidR="00C20F9B" w:rsidRDefault="00C20F9B" w:rsidP="000D6769">
            <w:pPr>
              <w:rPr>
                <w:rFonts w:eastAsia="MS Minngs"/>
              </w:rPr>
            </w:pPr>
            <w:r>
              <w:rPr>
                <w:rFonts w:eastAsia="MS Minngs"/>
              </w:rPr>
              <w:t>Twice daily</w:t>
            </w:r>
            <w:r w:rsidR="00D7064E">
              <w:rPr>
                <w:rFonts w:eastAsia="MS Minngs"/>
              </w:rPr>
              <w:t xml:space="preserve">, </w:t>
            </w:r>
            <w:r w:rsidR="00D7064E" w:rsidRPr="00D7064E">
              <w:rPr>
                <w:rFonts w:eastAsia="MS Minngs"/>
              </w:rPr>
              <w:t>Latin:</w:t>
            </w:r>
            <w:r w:rsidR="00D7064E" w:rsidRPr="00BD0FFA">
              <w:rPr>
                <w:rFonts w:eastAsia="MS Minngs"/>
                <w:i/>
              </w:rPr>
              <w:t xml:space="preserve"> </w:t>
            </w:r>
            <w:proofErr w:type="spellStart"/>
            <w:r w:rsidR="00D7064E" w:rsidRPr="00BD0FFA">
              <w:rPr>
                <w:rFonts w:eastAsia="MS Minngs"/>
                <w:i/>
              </w:rPr>
              <w:t>bis</w:t>
            </w:r>
            <w:proofErr w:type="spellEnd"/>
            <w:r w:rsidR="00D7064E" w:rsidRPr="00BD0FFA">
              <w:rPr>
                <w:rFonts w:eastAsia="MS Minngs"/>
                <w:i/>
              </w:rPr>
              <w:t xml:space="preserve"> in die</w:t>
            </w:r>
          </w:p>
        </w:tc>
      </w:tr>
      <w:tr w:rsidR="008F6BA6" w14:paraId="75FF77AF" w14:textId="77777777" w:rsidTr="00EB66B6">
        <w:tc>
          <w:tcPr>
            <w:tcW w:w="1890" w:type="dxa"/>
          </w:tcPr>
          <w:p w14:paraId="406F6D57" w14:textId="0D391643" w:rsidR="008F6BA6" w:rsidRDefault="008F6BA6" w:rsidP="000D6769">
            <w:proofErr w:type="spellStart"/>
            <w:r>
              <w:t>bDMARD</w:t>
            </w:r>
            <w:proofErr w:type="spellEnd"/>
          </w:p>
        </w:tc>
        <w:tc>
          <w:tcPr>
            <w:tcW w:w="6594" w:type="dxa"/>
          </w:tcPr>
          <w:p w14:paraId="0DC2673E" w14:textId="799D43B6" w:rsidR="008F6BA6" w:rsidRDefault="008F6BA6" w:rsidP="000D6769">
            <w:r>
              <w:t>Biologic</w:t>
            </w:r>
            <w:r w:rsidR="00BD0FFA">
              <w:t>al</w:t>
            </w:r>
            <w:r>
              <w:t xml:space="preserve"> </w:t>
            </w:r>
            <w:r w:rsidRPr="005468E6">
              <w:t>disease-</w:t>
            </w:r>
            <w:r>
              <w:t>modifying anti-rheumatic drug</w:t>
            </w:r>
            <w:r w:rsidR="00D7064E">
              <w:t>(</w:t>
            </w:r>
            <w:r>
              <w:t>s</w:t>
            </w:r>
            <w:r w:rsidR="00D7064E">
              <w:t>)</w:t>
            </w:r>
          </w:p>
        </w:tc>
      </w:tr>
      <w:tr w:rsidR="0055166A" w14:paraId="1E2C90F4" w14:textId="77777777" w:rsidTr="00EB66B6">
        <w:tc>
          <w:tcPr>
            <w:tcW w:w="1890" w:type="dxa"/>
          </w:tcPr>
          <w:p w14:paraId="1364CAF3" w14:textId="77777777" w:rsidR="0055166A" w:rsidRDefault="0055166A" w:rsidP="000D6769">
            <w:r>
              <w:t>BRCP</w:t>
            </w:r>
          </w:p>
        </w:tc>
        <w:tc>
          <w:tcPr>
            <w:tcW w:w="6594" w:type="dxa"/>
          </w:tcPr>
          <w:p w14:paraId="1CCA7664" w14:textId="77777777" w:rsidR="0055166A" w:rsidRDefault="0055166A" w:rsidP="000D6769">
            <w:r>
              <w:t xml:space="preserve">Breast </w:t>
            </w:r>
            <w:r w:rsidR="005468E6">
              <w:t>cancer resistance protein</w:t>
            </w:r>
          </w:p>
        </w:tc>
      </w:tr>
      <w:tr w:rsidR="0055166A" w14:paraId="4F241924" w14:textId="77777777" w:rsidTr="00EB66B6">
        <w:tc>
          <w:tcPr>
            <w:tcW w:w="1890" w:type="dxa"/>
          </w:tcPr>
          <w:p w14:paraId="2EC1A414" w14:textId="77777777" w:rsidR="0055166A" w:rsidRDefault="0055166A" w:rsidP="000D6769">
            <w:r>
              <w:t>CCP</w:t>
            </w:r>
          </w:p>
        </w:tc>
        <w:tc>
          <w:tcPr>
            <w:tcW w:w="6594" w:type="dxa"/>
          </w:tcPr>
          <w:p w14:paraId="55C05906" w14:textId="77777777" w:rsidR="0055166A" w:rsidRDefault="0055166A" w:rsidP="000D6769">
            <w:r>
              <w:t xml:space="preserve">Cyclic </w:t>
            </w:r>
            <w:proofErr w:type="spellStart"/>
            <w:r w:rsidR="005468E6">
              <w:t>citrullinated</w:t>
            </w:r>
            <w:proofErr w:type="spellEnd"/>
            <w:r w:rsidR="005468E6">
              <w:t xml:space="preserve"> peptide</w:t>
            </w:r>
          </w:p>
        </w:tc>
      </w:tr>
      <w:tr w:rsidR="0055166A" w14:paraId="56D1C7D9" w14:textId="77777777" w:rsidTr="00EB66B6">
        <w:tc>
          <w:tcPr>
            <w:tcW w:w="1890" w:type="dxa"/>
          </w:tcPr>
          <w:p w14:paraId="36E54B60" w14:textId="77777777" w:rsidR="0055166A" w:rsidRDefault="0055166A" w:rsidP="000D6769">
            <w:r>
              <w:t>CDAI</w:t>
            </w:r>
          </w:p>
        </w:tc>
        <w:tc>
          <w:tcPr>
            <w:tcW w:w="6594" w:type="dxa"/>
          </w:tcPr>
          <w:p w14:paraId="15897ECA" w14:textId="77777777" w:rsidR="0055166A" w:rsidRDefault="0055166A" w:rsidP="000D6769">
            <w:r>
              <w:t>Clinical Disease Activity Index</w:t>
            </w:r>
          </w:p>
        </w:tc>
      </w:tr>
      <w:tr w:rsidR="00726DDE" w14:paraId="107B6E3B" w14:textId="77777777" w:rsidTr="00EB66B6">
        <w:tc>
          <w:tcPr>
            <w:tcW w:w="1890" w:type="dxa"/>
          </w:tcPr>
          <w:p w14:paraId="48ECC013" w14:textId="77777777" w:rsidR="00726DDE" w:rsidRDefault="00726DDE" w:rsidP="000D6769">
            <w:r w:rsidRPr="00436FD3">
              <w:t>CHMP</w:t>
            </w:r>
          </w:p>
        </w:tc>
        <w:tc>
          <w:tcPr>
            <w:tcW w:w="6594" w:type="dxa"/>
          </w:tcPr>
          <w:p w14:paraId="3D91767D" w14:textId="5F0F9377" w:rsidR="00726DDE" w:rsidRDefault="00726DDE" w:rsidP="00726DDE">
            <w:r w:rsidRPr="00436FD3">
              <w:t>Committee for Medicinal Products for Human Use</w:t>
            </w:r>
            <w:r w:rsidR="00D7064E">
              <w:t xml:space="preserve"> (EU)</w:t>
            </w:r>
          </w:p>
        </w:tc>
      </w:tr>
      <w:tr w:rsidR="005A2D8F" w14:paraId="55A0A7E8" w14:textId="77777777" w:rsidTr="00EB66B6">
        <w:tc>
          <w:tcPr>
            <w:tcW w:w="1890" w:type="dxa"/>
          </w:tcPr>
          <w:p w14:paraId="1C08880A" w14:textId="0F565590" w:rsidR="005A2D8F" w:rsidRPr="00436FD3" w:rsidRDefault="005A2D8F" w:rsidP="000D6769">
            <w:r>
              <w:t>CPMP</w:t>
            </w:r>
          </w:p>
        </w:tc>
        <w:tc>
          <w:tcPr>
            <w:tcW w:w="6594" w:type="dxa"/>
          </w:tcPr>
          <w:p w14:paraId="0E57B3FD" w14:textId="3F598310" w:rsidR="005A2D8F" w:rsidRPr="00436FD3" w:rsidRDefault="005A2D8F" w:rsidP="00726DDE">
            <w:r w:rsidRPr="00436FD3">
              <w:t>Committee for Proprietary Medicinal Products</w:t>
            </w:r>
            <w:r>
              <w:t xml:space="preserve"> (EU)</w:t>
            </w:r>
          </w:p>
        </w:tc>
      </w:tr>
      <w:tr w:rsidR="0055166A" w14:paraId="3B677E44" w14:textId="77777777" w:rsidTr="00EB66B6">
        <w:tc>
          <w:tcPr>
            <w:tcW w:w="1890" w:type="dxa"/>
          </w:tcPr>
          <w:p w14:paraId="6A409896" w14:textId="77777777" w:rsidR="0055166A" w:rsidRDefault="005468E6" w:rsidP="000D6769">
            <w:r>
              <w:t>CI</w:t>
            </w:r>
          </w:p>
        </w:tc>
        <w:tc>
          <w:tcPr>
            <w:tcW w:w="6594" w:type="dxa"/>
          </w:tcPr>
          <w:p w14:paraId="4B2A9373" w14:textId="77777777" w:rsidR="0055166A" w:rsidRDefault="005468E6" w:rsidP="000D6769">
            <w:r>
              <w:t>Confidence i</w:t>
            </w:r>
            <w:r w:rsidR="0055166A" w:rsidRPr="002F2961">
              <w:t>nterval</w:t>
            </w:r>
          </w:p>
        </w:tc>
      </w:tr>
      <w:tr w:rsidR="0055166A" w14:paraId="3F56FF26" w14:textId="77777777" w:rsidTr="00EB66B6">
        <w:tc>
          <w:tcPr>
            <w:tcW w:w="1890" w:type="dxa"/>
          </w:tcPr>
          <w:p w14:paraId="0C63C83B" w14:textId="77777777" w:rsidR="0055166A" w:rsidRDefault="0055166A" w:rsidP="000D6769">
            <w:proofErr w:type="spellStart"/>
            <w:r>
              <w:rPr>
                <w:rFonts w:eastAsia="MS Minngs"/>
              </w:rPr>
              <w:lastRenderedPageBreak/>
              <w:t>C</w:t>
            </w:r>
            <w:r w:rsidRPr="007E2518">
              <w:rPr>
                <w:vertAlign w:val="subscript"/>
              </w:rPr>
              <w:t>max</w:t>
            </w:r>
            <w:proofErr w:type="spellEnd"/>
          </w:p>
        </w:tc>
        <w:tc>
          <w:tcPr>
            <w:tcW w:w="6594" w:type="dxa"/>
          </w:tcPr>
          <w:p w14:paraId="6B052485" w14:textId="77777777" w:rsidR="0055166A" w:rsidRDefault="0055166A" w:rsidP="000D6769">
            <w:r>
              <w:rPr>
                <w:rFonts w:eastAsia="MS Minngs"/>
              </w:rPr>
              <w:t>Maximum serum</w:t>
            </w:r>
            <w:r w:rsidR="0035696E">
              <w:rPr>
                <w:rFonts w:eastAsia="MS Minngs"/>
              </w:rPr>
              <w:t xml:space="preserve"> drug concentration</w:t>
            </w:r>
          </w:p>
        </w:tc>
      </w:tr>
      <w:tr w:rsidR="0035696E" w14:paraId="2499EADB" w14:textId="77777777" w:rsidTr="00EB66B6">
        <w:tc>
          <w:tcPr>
            <w:tcW w:w="1890" w:type="dxa"/>
          </w:tcPr>
          <w:p w14:paraId="07871FF6" w14:textId="77777777" w:rsidR="0035696E" w:rsidRDefault="0035696E" w:rsidP="000D6769">
            <w:pPr>
              <w:rPr>
                <w:rFonts w:eastAsia="MS Minngs"/>
              </w:rPr>
            </w:pPr>
            <w:r>
              <w:rPr>
                <w:rFonts w:eastAsia="MS Minngs"/>
              </w:rPr>
              <w:t>CMI</w:t>
            </w:r>
          </w:p>
        </w:tc>
        <w:tc>
          <w:tcPr>
            <w:tcW w:w="6594" w:type="dxa"/>
          </w:tcPr>
          <w:p w14:paraId="65E1DAF6" w14:textId="77777777" w:rsidR="0035696E" w:rsidRDefault="0035696E" w:rsidP="000D6769">
            <w:pPr>
              <w:rPr>
                <w:rFonts w:eastAsia="MS Minngs"/>
              </w:rPr>
            </w:pPr>
            <w:r>
              <w:rPr>
                <w:rFonts w:eastAsia="MS Minngs"/>
              </w:rPr>
              <w:t>Consumer Medicines Information</w:t>
            </w:r>
          </w:p>
        </w:tc>
      </w:tr>
      <w:tr w:rsidR="0035696E" w14:paraId="469E1619" w14:textId="77777777" w:rsidTr="00EB66B6">
        <w:tc>
          <w:tcPr>
            <w:tcW w:w="1890" w:type="dxa"/>
          </w:tcPr>
          <w:p w14:paraId="3FD3A515" w14:textId="77777777" w:rsidR="0035696E" w:rsidRDefault="0035696E" w:rsidP="000D6769">
            <w:pPr>
              <w:rPr>
                <w:rFonts w:eastAsia="MS Minngs"/>
              </w:rPr>
            </w:pPr>
            <w:r w:rsidRPr="00436FD3">
              <w:t>CNS</w:t>
            </w:r>
          </w:p>
        </w:tc>
        <w:tc>
          <w:tcPr>
            <w:tcW w:w="6594" w:type="dxa"/>
          </w:tcPr>
          <w:p w14:paraId="3570E215" w14:textId="77777777" w:rsidR="0035696E" w:rsidRDefault="0035696E" w:rsidP="0035696E">
            <w:pPr>
              <w:rPr>
                <w:rFonts w:eastAsia="MS Minngs"/>
              </w:rPr>
            </w:pPr>
            <w:r>
              <w:t>Central nervous system</w:t>
            </w:r>
          </w:p>
        </w:tc>
      </w:tr>
      <w:tr w:rsidR="0055166A" w14:paraId="44A761D2" w14:textId="77777777" w:rsidTr="00EB66B6">
        <w:tc>
          <w:tcPr>
            <w:tcW w:w="1890" w:type="dxa"/>
          </w:tcPr>
          <w:p w14:paraId="39C28816" w14:textId="77777777" w:rsidR="0055166A" w:rsidRDefault="0055166A" w:rsidP="000D6769">
            <w:r>
              <w:t>CPK</w:t>
            </w:r>
          </w:p>
        </w:tc>
        <w:tc>
          <w:tcPr>
            <w:tcW w:w="6594" w:type="dxa"/>
          </w:tcPr>
          <w:p w14:paraId="76EB8702" w14:textId="77777777" w:rsidR="0055166A" w:rsidRDefault="005468E6" w:rsidP="000D6769">
            <w:proofErr w:type="spellStart"/>
            <w:r>
              <w:t>Creatine</w:t>
            </w:r>
            <w:proofErr w:type="spellEnd"/>
            <w:r>
              <w:t xml:space="preserve"> phosphokinase</w:t>
            </w:r>
          </w:p>
        </w:tc>
      </w:tr>
      <w:tr w:rsidR="0055166A" w14:paraId="2CEDA7E8" w14:textId="77777777" w:rsidTr="00EB66B6">
        <w:tc>
          <w:tcPr>
            <w:tcW w:w="1890" w:type="dxa"/>
          </w:tcPr>
          <w:p w14:paraId="64608623" w14:textId="77777777" w:rsidR="0055166A" w:rsidRDefault="0055166A" w:rsidP="000D6769">
            <w:proofErr w:type="spellStart"/>
            <w:r>
              <w:t>CrCL</w:t>
            </w:r>
            <w:proofErr w:type="spellEnd"/>
          </w:p>
        </w:tc>
        <w:tc>
          <w:tcPr>
            <w:tcW w:w="6594" w:type="dxa"/>
          </w:tcPr>
          <w:p w14:paraId="6606C62D" w14:textId="77777777" w:rsidR="0055166A" w:rsidRDefault="0055166A" w:rsidP="000D6769">
            <w:r>
              <w:t xml:space="preserve">Creatinine </w:t>
            </w:r>
            <w:r w:rsidR="005468E6">
              <w:t>clearan</w:t>
            </w:r>
            <w:r>
              <w:t>ce</w:t>
            </w:r>
          </w:p>
        </w:tc>
      </w:tr>
      <w:tr w:rsidR="0055166A" w14:paraId="6D5B55C8" w14:textId="77777777" w:rsidTr="00EB66B6">
        <w:tc>
          <w:tcPr>
            <w:tcW w:w="1890" w:type="dxa"/>
          </w:tcPr>
          <w:p w14:paraId="344F36EA" w14:textId="77777777" w:rsidR="0055166A" w:rsidRDefault="0055166A" w:rsidP="000D6769">
            <w:r>
              <w:t>CRP</w:t>
            </w:r>
          </w:p>
        </w:tc>
        <w:tc>
          <w:tcPr>
            <w:tcW w:w="6594" w:type="dxa"/>
          </w:tcPr>
          <w:p w14:paraId="5DFA7B5C" w14:textId="77777777" w:rsidR="0055166A" w:rsidRDefault="0055166A" w:rsidP="000D6769">
            <w:r w:rsidRPr="002F2961">
              <w:t>C-</w:t>
            </w:r>
            <w:r w:rsidR="005468E6" w:rsidRPr="002F2961">
              <w:t>reactive protein</w:t>
            </w:r>
          </w:p>
        </w:tc>
      </w:tr>
      <w:tr w:rsidR="0055166A" w14:paraId="5D78C84F" w14:textId="77777777" w:rsidTr="00EB66B6">
        <w:tc>
          <w:tcPr>
            <w:tcW w:w="1890" w:type="dxa"/>
          </w:tcPr>
          <w:p w14:paraId="63F6BFEE" w14:textId="77777777" w:rsidR="0055166A" w:rsidRDefault="0055166A" w:rsidP="000D6769">
            <w:r>
              <w:t>CS</w:t>
            </w:r>
          </w:p>
        </w:tc>
        <w:tc>
          <w:tcPr>
            <w:tcW w:w="6594" w:type="dxa"/>
          </w:tcPr>
          <w:p w14:paraId="0C2E0B6B" w14:textId="53C538A4" w:rsidR="0055166A" w:rsidRDefault="0055166A" w:rsidP="000D6769">
            <w:r>
              <w:t>Corticosteroid</w:t>
            </w:r>
            <w:r w:rsidR="00D7064E">
              <w:t>(</w:t>
            </w:r>
            <w:r>
              <w:t>s</w:t>
            </w:r>
            <w:r w:rsidR="00D7064E">
              <w:t>)</w:t>
            </w:r>
          </w:p>
        </w:tc>
      </w:tr>
      <w:tr w:rsidR="005468E6" w14:paraId="4CD39F91" w14:textId="77777777" w:rsidTr="00EB66B6">
        <w:tc>
          <w:tcPr>
            <w:tcW w:w="1890" w:type="dxa"/>
          </w:tcPr>
          <w:p w14:paraId="7DA960A1" w14:textId="77777777" w:rsidR="005468E6" w:rsidRDefault="005468E6" w:rsidP="000D6769">
            <w:proofErr w:type="spellStart"/>
            <w:r w:rsidRPr="005468E6">
              <w:t>csDMARD</w:t>
            </w:r>
            <w:proofErr w:type="spellEnd"/>
          </w:p>
        </w:tc>
        <w:tc>
          <w:tcPr>
            <w:tcW w:w="6594" w:type="dxa"/>
          </w:tcPr>
          <w:p w14:paraId="65ECE9D6" w14:textId="2E4DE8F5" w:rsidR="005468E6" w:rsidRDefault="005468E6" w:rsidP="005468E6">
            <w:r>
              <w:t>C</w:t>
            </w:r>
            <w:r w:rsidRPr="005468E6">
              <w:t>onventional synthetic disease-</w:t>
            </w:r>
            <w:r>
              <w:t>modifying anti-rheumatic drug</w:t>
            </w:r>
            <w:r w:rsidR="00D7064E">
              <w:t>(</w:t>
            </w:r>
            <w:r>
              <w:t>s</w:t>
            </w:r>
            <w:r w:rsidR="00D7064E">
              <w:t>)</w:t>
            </w:r>
          </w:p>
        </w:tc>
      </w:tr>
      <w:tr w:rsidR="0055166A" w14:paraId="59B11F23" w14:textId="77777777" w:rsidTr="00EB66B6">
        <w:tc>
          <w:tcPr>
            <w:tcW w:w="1890" w:type="dxa"/>
          </w:tcPr>
          <w:p w14:paraId="6D9D5BEF" w14:textId="77777777" w:rsidR="0055166A" w:rsidRDefault="0055166A" w:rsidP="000D6769">
            <w:r>
              <w:t>CV</w:t>
            </w:r>
          </w:p>
        </w:tc>
        <w:tc>
          <w:tcPr>
            <w:tcW w:w="6594" w:type="dxa"/>
          </w:tcPr>
          <w:p w14:paraId="48DCCCFF" w14:textId="77777777" w:rsidR="0055166A" w:rsidRDefault="005468E6" w:rsidP="000D6769">
            <w:r>
              <w:t>Coefficient of v</w:t>
            </w:r>
            <w:r w:rsidR="0055166A">
              <w:t>ariation</w:t>
            </w:r>
          </w:p>
        </w:tc>
      </w:tr>
      <w:tr w:rsidR="0035696E" w14:paraId="16E0A5F8" w14:textId="77777777" w:rsidTr="00EB66B6">
        <w:tc>
          <w:tcPr>
            <w:tcW w:w="1890" w:type="dxa"/>
          </w:tcPr>
          <w:p w14:paraId="7B046D02" w14:textId="77777777" w:rsidR="0035696E" w:rsidRDefault="0035696E" w:rsidP="000D6769">
            <w:r>
              <w:t>CYP</w:t>
            </w:r>
          </w:p>
        </w:tc>
        <w:tc>
          <w:tcPr>
            <w:tcW w:w="6594" w:type="dxa"/>
          </w:tcPr>
          <w:p w14:paraId="73D6EA1F" w14:textId="77777777" w:rsidR="0035696E" w:rsidRDefault="0035696E" w:rsidP="000D6769">
            <w:r>
              <w:t>Cytochrome P450</w:t>
            </w:r>
          </w:p>
        </w:tc>
      </w:tr>
      <w:tr w:rsidR="0055166A" w14:paraId="12CA9EC3" w14:textId="77777777" w:rsidTr="00EB66B6">
        <w:tc>
          <w:tcPr>
            <w:tcW w:w="1890" w:type="dxa"/>
          </w:tcPr>
          <w:p w14:paraId="434BD490" w14:textId="77777777" w:rsidR="0055166A" w:rsidRDefault="0055166A" w:rsidP="000D6769">
            <w:r>
              <w:t>DAS</w:t>
            </w:r>
          </w:p>
        </w:tc>
        <w:tc>
          <w:tcPr>
            <w:tcW w:w="6594" w:type="dxa"/>
          </w:tcPr>
          <w:p w14:paraId="4F267E5D" w14:textId="77777777" w:rsidR="0055166A" w:rsidRDefault="0055166A" w:rsidP="000D6769">
            <w:r>
              <w:t>Disease Activity Score</w:t>
            </w:r>
          </w:p>
        </w:tc>
      </w:tr>
      <w:tr w:rsidR="00933259" w14:paraId="222D4BBA" w14:textId="77777777" w:rsidTr="00EB66B6">
        <w:tc>
          <w:tcPr>
            <w:tcW w:w="1890" w:type="dxa"/>
          </w:tcPr>
          <w:p w14:paraId="6640FAC8" w14:textId="3EBED5B8" w:rsidR="00933259" w:rsidRDefault="00933259" w:rsidP="000D6769">
            <w:r>
              <w:t>DLP</w:t>
            </w:r>
          </w:p>
        </w:tc>
        <w:tc>
          <w:tcPr>
            <w:tcW w:w="6594" w:type="dxa"/>
          </w:tcPr>
          <w:p w14:paraId="65E1CAC8" w14:textId="3A19C1B2" w:rsidR="00933259" w:rsidRDefault="00933259" w:rsidP="000D6769">
            <w:r>
              <w:t>Data lock point</w:t>
            </w:r>
          </w:p>
        </w:tc>
      </w:tr>
      <w:tr w:rsidR="0055166A" w14:paraId="6F6E52AF" w14:textId="77777777" w:rsidTr="00EB66B6">
        <w:tc>
          <w:tcPr>
            <w:tcW w:w="1890" w:type="dxa"/>
          </w:tcPr>
          <w:p w14:paraId="023964AD" w14:textId="77777777" w:rsidR="0055166A" w:rsidRDefault="0055166A" w:rsidP="000D6769">
            <w:pPr>
              <w:ind w:left="0" w:firstLine="164"/>
            </w:pPr>
            <w:r>
              <w:t>DMARD</w:t>
            </w:r>
          </w:p>
        </w:tc>
        <w:tc>
          <w:tcPr>
            <w:tcW w:w="6594" w:type="dxa"/>
          </w:tcPr>
          <w:p w14:paraId="6ED7FF69" w14:textId="7DEED2B2" w:rsidR="0055166A" w:rsidRDefault="0055166A" w:rsidP="000D6769">
            <w:r>
              <w:t xml:space="preserve">Disease </w:t>
            </w:r>
            <w:r w:rsidR="005468E6">
              <w:t>modifying anti-rheumatic drug</w:t>
            </w:r>
            <w:r w:rsidR="00D7064E">
              <w:t>(s)</w:t>
            </w:r>
          </w:p>
        </w:tc>
      </w:tr>
      <w:tr w:rsidR="0055166A" w14:paraId="7F86F456" w14:textId="77777777" w:rsidTr="00EB66B6">
        <w:tc>
          <w:tcPr>
            <w:tcW w:w="1890" w:type="dxa"/>
          </w:tcPr>
          <w:p w14:paraId="7666F7EF" w14:textId="77777777" w:rsidR="0055166A" w:rsidRDefault="0055166A" w:rsidP="000D6769">
            <w:r>
              <w:t>EAER</w:t>
            </w:r>
          </w:p>
        </w:tc>
        <w:tc>
          <w:tcPr>
            <w:tcW w:w="6594" w:type="dxa"/>
          </w:tcPr>
          <w:p w14:paraId="67428F79" w14:textId="77777777" w:rsidR="0055166A" w:rsidRDefault="0055166A" w:rsidP="000D6769">
            <w:r>
              <w:t xml:space="preserve">Exposure </w:t>
            </w:r>
            <w:r w:rsidR="005468E6">
              <w:t>adjusted event rate</w:t>
            </w:r>
          </w:p>
        </w:tc>
      </w:tr>
      <w:tr w:rsidR="001B164A" w14:paraId="5A0AB0D1" w14:textId="77777777" w:rsidTr="00EB66B6">
        <w:tc>
          <w:tcPr>
            <w:tcW w:w="1890" w:type="dxa"/>
          </w:tcPr>
          <w:p w14:paraId="383D91BC" w14:textId="672E2A60" w:rsidR="001B164A" w:rsidRDefault="001B164A" w:rsidP="000D6769">
            <w:r>
              <w:t>EAIR</w:t>
            </w:r>
          </w:p>
        </w:tc>
        <w:tc>
          <w:tcPr>
            <w:tcW w:w="6594" w:type="dxa"/>
          </w:tcPr>
          <w:p w14:paraId="2D0CAB0C" w14:textId="711C86A7" w:rsidR="001B164A" w:rsidRDefault="001B164A" w:rsidP="000D6769">
            <w:r>
              <w:t>Exposure adjusted incidence rate</w:t>
            </w:r>
          </w:p>
        </w:tc>
      </w:tr>
      <w:tr w:rsidR="0055166A" w14:paraId="149274AB" w14:textId="77777777" w:rsidTr="00EB66B6">
        <w:tc>
          <w:tcPr>
            <w:tcW w:w="1890" w:type="dxa"/>
          </w:tcPr>
          <w:p w14:paraId="77589035" w14:textId="77777777" w:rsidR="0055166A" w:rsidRDefault="0055166A" w:rsidP="000D6769">
            <w:r>
              <w:t>ELISA</w:t>
            </w:r>
          </w:p>
        </w:tc>
        <w:tc>
          <w:tcPr>
            <w:tcW w:w="6594" w:type="dxa"/>
          </w:tcPr>
          <w:p w14:paraId="1BA142F5" w14:textId="77777777" w:rsidR="0055166A" w:rsidRDefault="0055166A" w:rsidP="000D6769">
            <w:r>
              <w:t>Enzyme-</w:t>
            </w:r>
            <w:r w:rsidR="005468E6">
              <w:t>linked immunosorbent assay</w:t>
            </w:r>
          </w:p>
        </w:tc>
      </w:tr>
      <w:tr w:rsidR="00134C4F" w14:paraId="015DF035" w14:textId="77777777" w:rsidTr="00EB66B6">
        <w:tc>
          <w:tcPr>
            <w:tcW w:w="1890" w:type="dxa"/>
          </w:tcPr>
          <w:p w14:paraId="48C240EF" w14:textId="0BD4C9A5" w:rsidR="00134C4F" w:rsidRDefault="00134C4F" w:rsidP="000D6769">
            <w:r>
              <w:t>EMA</w:t>
            </w:r>
          </w:p>
        </w:tc>
        <w:tc>
          <w:tcPr>
            <w:tcW w:w="6594" w:type="dxa"/>
          </w:tcPr>
          <w:p w14:paraId="5F41FB98" w14:textId="7D486EBE" w:rsidR="00134C4F" w:rsidRDefault="00134C4F" w:rsidP="000D6769">
            <w:r>
              <w:t>European Medicines Agency (EU)</w:t>
            </w:r>
          </w:p>
        </w:tc>
      </w:tr>
      <w:tr w:rsidR="0055166A" w14:paraId="794DF5CC" w14:textId="77777777" w:rsidTr="00EB66B6">
        <w:tc>
          <w:tcPr>
            <w:tcW w:w="1890" w:type="dxa"/>
          </w:tcPr>
          <w:p w14:paraId="5192786C" w14:textId="77777777" w:rsidR="0055166A" w:rsidRDefault="0055166A" w:rsidP="000D6769">
            <w:r>
              <w:t>ER</w:t>
            </w:r>
          </w:p>
        </w:tc>
        <w:tc>
          <w:tcPr>
            <w:tcW w:w="6594" w:type="dxa"/>
          </w:tcPr>
          <w:p w14:paraId="7B2298D4" w14:textId="77777777" w:rsidR="0055166A" w:rsidRDefault="005468E6" w:rsidP="000D6769">
            <w:r>
              <w:t>Extended r</w:t>
            </w:r>
            <w:r w:rsidR="0055166A">
              <w:t>elease</w:t>
            </w:r>
          </w:p>
        </w:tc>
      </w:tr>
      <w:tr w:rsidR="0055166A" w14:paraId="312EC97E" w14:textId="77777777" w:rsidTr="00EB66B6">
        <w:tc>
          <w:tcPr>
            <w:tcW w:w="1890" w:type="dxa"/>
          </w:tcPr>
          <w:p w14:paraId="3EDB8BD2" w14:textId="77777777" w:rsidR="0055166A" w:rsidRDefault="0055166A" w:rsidP="000D6769">
            <w:r>
              <w:t>ES</w:t>
            </w:r>
          </w:p>
        </w:tc>
        <w:tc>
          <w:tcPr>
            <w:tcW w:w="6594" w:type="dxa"/>
          </w:tcPr>
          <w:p w14:paraId="078FC2BF" w14:textId="77777777" w:rsidR="0055166A" w:rsidRDefault="0055166A" w:rsidP="000D6769">
            <w:r>
              <w:t xml:space="preserve">Erosion </w:t>
            </w:r>
            <w:r w:rsidR="005468E6">
              <w:t>s</w:t>
            </w:r>
            <w:r>
              <w:t>core</w:t>
            </w:r>
          </w:p>
        </w:tc>
      </w:tr>
      <w:tr w:rsidR="0055166A" w14:paraId="7DE0CACA" w14:textId="77777777" w:rsidTr="00EB66B6">
        <w:tc>
          <w:tcPr>
            <w:tcW w:w="1890" w:type="dxa"/>
          </w:tcPr>
          <w:p w14:paraId="6AF4B1C6" w14:textId="77777777" w:rsidR="0055166A" w:rsidRDefault="0055166A" w:rsidP="000D6769">
            <w:r>
              <w:t>ESR</w:t>
            </w:r>
          </w:p>
        </w:tc>
        <w:tc>
          <w:tcPr>
            <w:tcW w:w="6594" w:type="dxa"/>
          </w:tcPr>
          <w:p w14:paraId="4854F250" w14:textId="7311DA71" w:rsidR="0055166A" w:rsidRDefault="0055166A" w:rsidP="000D6769">
            <w:r>
              <w:t xml:space="preserve">Erythrocyte </w:t>
            </w:r>
            <w:r w:rsidR="005468E6">
              <w:t>sedimentation rat</w:t>
            </w:r>
            <w:r w:rsidR="00A9210D">
              <w:t>e</w:t>
            </w:r>
          </w:p>
        </w:tc>
      </w:tr>
      <w:tr w:rsidR="00797229" w14:paraId="6809929E" w14:textId="77777777" w:rsidTr="00EB66B6">
        <w:tc>
          <w:tcPr>
            <w:tcW w:w="1890" w:type="dxa"/>
          </w:tcPr>
          <w:p w14:paraId="33D09E85" w14:textId="77777777" w:rsidR="00797229" w:rsidRDefault="00797229" w:rsidP="000D6769">
            <w:r>
              <w:t>EU</w:t>
            </w:r>
          </w:p>
        </w:tc>
        <w:tc>
          <w:tcPr>
            <w:tcW w:w="6594" w:type="dxa"/>
          </w:tcPr>
          <w:p w14:paraId="655E26F6" w14:textId="77777777" w:rsidR="00797229" w:rsidRDefault="00797229" w:rsidP="000D6769">
            <w:r>
              <w:t>European Union</w:t>
            </w:r>
          </w:p>
        </w:tc>
      </w:tr>
      <w:tr w:rsidR="0055166A" w14:paraId="637951EE" w14:textId="77777777" w:rsidTr="00EB66B6">
        <w:tc>
          <w:tcPr>
            <w:tcW w:w="1890" w:type="dxa"/>
          </w:tcPr>
          <w:p w14:paraId="524A9CC7" w14:textId="77777777" w:rsidR="0055166A" w:rsidRDefault="0055166A" w:rsidP="000D6769">
            <w:r>
              <w:t>EULAR</w:t>
            </w:r>
          </w:p>
        </w:tc>
        <w:tc>
          <w:tcPr>
            <w:tcW w:w="6594" w:type="dxa"/>
          </w:tcPr>
          <w:p w14:paraId="136D4EEB" w14:textId="77777777" w:rsidR="0055166A" w:rsidRDefault="0055166A" w:rsidP="000D6769">
            <w:r>
              <w:t>European League Against Rheumatism</w:t>
            </w:r>
          </w:p>
        </w:tc>
      </w:tr>
      <w:tr w:rsidR="0055166A" w14:paraId="11077613" w14:textId="77777777" w:rsidTr="00EB66B6">
        <w:tc>
          <w:tcPr>
            <w:tcW w:w="1890" w:type="dxa"/>
          </w:tcPr>
          <w:p w14:paraId="4048F905" w14:textId="77777777" w:rsidR="0055166A" w:rsidRDefault="0055166A" w:rsidP="000D6769">
            <w:r>
              <w:t>FAS</w:t>
            </w:r>
          </w:p>
        </w:tc>
        <w:tc>
          <w:tcPr>
            <w:tcW w:w="6594" w:type="dxa"/>
          </w:tcPr>
          <w:p w14:paraId="4A85FB53" w14:textId="77777777" w:rsidR="0055166A" w:rsidRDefault="0055166A" w:rsidP="000D6769">
            <w:r>
              <w:t xml:space="preserve">Full </w:t>
            </w:r>
            <w:r w:rsidR="005468E6">
              <w:t>analysis set</w:t>
            </w:r>
          </w:p>
        </w:tc>
      </w:tr>
      <w:tr w:rsidR="00134C4F" w14:paraId="5966A2B0" w14:textId="77777777" w:rsidTr="00EB66B6">
        <w:tc>
          <w:tcPr>
            <w:tcW w:w="1890" w:type="dxa"/>
          </w:tcPr>
          <w:p w14:paraId="31C7C409" w14:textId="517C0F94" w:rsidR="00134C4F" w:rsidRDefault="00134C4F" w:rsidP="000D6769">
            <w:r>
              <w:t>FDA</w:t>
            </w:r>
          </w:p>
        </w:tc>
        <w:tc>
          <w:tcPr>
            <w:tcW w:w="6594" w:type="dxa"/>
          </w:tcPr>
          <w:p w14:paraId="57B86E27" w14:textId="1F6E9236" w:rsidR="00134C4F" w:rsidRDefault="00134C4F" w:rsidP="000D6769">
            <w:r>
              <w:t>Food and Drug Administration (US)</w:t>
            </w:r>
          </w:p>
        </w:tc>
      </w:tr>
      <w:tr w:rsidR="0055166A" w14:paraId="2292D0A8" w14:textId="77777777" w:rsidTr="00EB66B6">
        <w:tc>
          <w:tcPr>
            <w:tcW w:w="1890" w:type="dxa"/>
          </w:tcPr>
          <w:p w14:paraId="66495EFD" w14:textId="77777777" w:rsidR="0055166A" w:rsidRDefault="00E35386" w:rsidP="000D6769">
            <w:r>
              <w:t>HAQ-DI</w:t>
            </w:r>
          </w:p>
        </w:tc>
        <w:tc>
          <w:tcPr>
            <w:tcW w:w="6594" w:type="dxa"/>
          </w:tcPr>
          <w:p w14:paraId="27CDF092" w14:textId="77777777" w:rsidR="0055166A" w:rsidRDefault="0055166A" w:rsidP="000D6769">
            <w:r>
              <w:t>Health Assessment Questionnaire – Disability Index</w:t>
            </w:r>
          </w:p>
        </w:tc>
      </w:tr>
      <w:tr w:rsidR="00933259" w14:paraId="15E2ECD8" w14:textId="77777777" w:rsidTr="00EB66B6">
        <w:tc>
          <w:tcPr>
            <w:tcW w:w="1890" w:type="dxa"/>
          </w:tcPr>
          <w:p w14:paraId="20C94CFE" w14:textId="3DA4E925" w:rsidR="00933259" w:rsidRDefault="00933259" w:rsidP="000D6769">
            <w:r>
              <w:lastRenderedPageBreak/>
              <w:t>HCP</w:t>
            </w:r>
          </w:p>
        </w:tc>
        <w:tc>
          <w:tcPr>
            <w:tcW w:w="6594" w:type="dxa"/>
          </w:tcPr>
          <w:p w14:paraId="659B679D" w14:textId="100E3238" w:rsidR="00933259" w:rsidRDefault="00933259" w:rsidP="000D6769">
            <w:r>
              <w:t>Healthcare professional</w:t>
            </w:r>
          </w:p>
        </w:tc>
      </w:tr>
      <w:tr w:rsidR="0055166A" w14:paraId="6BA8F319" w14:textId="77777777" w:rsidTr="00EB66B6">
        <w:tc>
          <w:tcPr>
            <w:tcW w:w="1890" w:type="dxa"/>
          </w:tcPr>
          <w:p w14:paraId="755B78AC" w14:textId="77777777" w:rsidR="0055166A" w:rsidRDefault="0055166A" w:rsidP="000D6769">
            <w:r>
              <w:t>HCQ</w:t>
            </w:r>
          </w:p>
        </w:tc>
        <w:tc>
          <w:tcPr>
            <w:tcW w:w="6594" w:type="dxa"/>
          </w:tcPr>
          <w:p w14:paraId="51314ECD" w14:textId="77777777" w:rsidR="0055166A" w:rsidRDefault="0055166A" w:rsidP="000D6769">
            <w:r>
              <w:t>Hydroxychloroquine</w:t>
            </w:r>
          </w:p>
        </w:tc>
      </w:tr>
      <w:tr w:rsidR="00933259" w14:paraId="6510AB4C" w14:textId="77777777" w:rsidTr="00EB66B6">
        <w:tc>
          <w:tcPr>
            <w:tcW w:w="1890" w:type="dxa"/>
          </w:tcPr>
          <w:p w14:paraId="337B0E52" w14:textId="4B886CC8" w:rsidR="00933259" w:rsidRDefault="00933259" w:rsidP="000D6769">
            <w:r>
              <w:t>HDL</w:t>
            </w:r>
          </w:p>
        </w:tc>
        <w:tc>
          <w:tcPr>
            <w:tcW w:w="6594" w:type="dxa"/>
          </w:tcPr>
          <w:p w14:paraId="12E1373C" w14:textId="4BC21D41" w:rsidR="00933259" w:rsidRDefault="00933259" w:rsidP="000D6769">
            <w:r>
              <w:t>High density lipoprotein</w:t>
            </w:r>
          </w:p>
        </w:tc>
      </w:tr>
      <w:tr w:rsidR="00E35386" w14:paraId="7ADB2219" w14:textId="77777777" w:rsidTr="00EB66B6">
        <w:tc>
          <w:tcPr>
            <w:tcW w:w="1890" w:type="dxa"/>
          </w:tcPr>
          <w:p w14:paraId="4B83041C" w14:textId="77777777" w:rsidR="00E35386" w:rsidRDefault="00E35386" w:rsidP="000D6769">
            <w:proofErr w:type="spellStart"/>
            <w:r>
              <w:t>hsCRP</w:t>
            </w:r>
            <w:proofErr w:type="spellEnd"/>
          </w:p>
        </w:tc>
        <w:tc>
          <w:tcPr>
            <w:tcW w:w="6594" w:type="dxa"/>
          </w:tcPr>
          <w:p w14:paraId="7C419417" w14:textId="77777777" w:rsidR="00E35386" w:rsidRDefault="00E35386" w:rsidP="000D6769">
            <w:r>
              <w:t xml:space="preserve">High sensitivity </w:t>
            </w:r>
            <w:r w:rsidRPr="002F2961">
              <w:t>C-reactive protein</w:t>
            </w:r>
          </w:p>
        </w:tc>
      </w:tr>
      <w:tr w:rsidR="00D405B4" w14:paraId="0F1AB9DC" w14:textId="77777777" w:rsidTr="00EB66B6">
        <w:tc>
          <w:tcPr>
            <w:tcW w:w="1890" w:type="dxa"/>
          </w:tcPr>
          <w:p w14:paraId="4A66A8FC" w14:textId="0F58F096" w:rsidR="00D405B4" w:rsidRDefault="00D405B4" w:rsidP="000D6769">
            <w:r>
              <w:t>ICH</w:t>
            </w:r>
          </w:p>
        </w:tc>
        <w:tc>
          <w:tcPr>
            <w:tcW w:w="6594" w:type="dxa"/>
          </w:tcPr>
          <w:p w14:paraId="5F6DB738" w14:textId="62125ECA" w:rsidR="00D405B4" w:rsidRDefault="00D405B4" w:rsidP="000D6769">
            <w:r>
              <w:t>International Council for Harmonisation</w:t>
            </w:r>
          </w:p>
        </w:tc>
      </w:tr>
      <w:tr w:rsidR="0055166A" w14:paraId="032030B2" w14:textId="77777777" w:rsidTr="00EB66B6">
        <w:tc>
          <w:tcPr>
            <w:tcW w:w="1890" w:type="dxa"/>
          </w:tcPr>
          <w:p w14:paraId="43B82114" w14:textId="77777777" w:rsidR="0055166A" w:rsidRDefault="0055166A" w:rsidP="000D6769">
            <w:r>
              <w:t>IL</w:t>
            </w:r>
          </w:p>
        </w:tc>
        <w:tc>
          <w:tcPr>
            <w:tcW w:w="6594" w:type="dxa"/>
          </w:tcPr>
          <w:p w14:paraId="09D9C9D2" w14:textId="67F8D76A" w:rsidR="0055166A" w:rsidRDefault="0055166A" w:rsidP="000D6769">
            <w:r>
              <w:t>Interleukin</w:t>
            </w:r>
            <w:r w:rsidR="0005668D">
              <w:t>(s)</w:t>
            </w:r>
          </w:p>
        </w:tc>
      </w:tr>
      <w:tr w:rsidR="0005668D" w14:paraId="35288833" w14:textId="77777777" w:rsidTr="00EB66B6">
        <w:tc>
          <w:tcPr>
            <w:tcW w:w="1890" w:type="dxa"/>
          </w:tcPr>
          <w:p w14:paraId="476D49A2" w14:textId="6EFDCD30" w:rsidR="0005668D" w:rsidRDefault="0005668D" w:rsidP="000D6769">
            <w:r>
              <w:t>IL-6</w:t>
            </w:r>
          </w:p>
        </w:tc>
        <w:tc>
          <w:tcPr>
            <w:tcW w:w="6594" w:type="dxa"/>
          </w:tcPr>
          <w:p w14:paraId="46AEA624" w14:textId="19B5A147" w:rsidR="0005668D" w:rsidRDefault="0005668D" w:rsidP="000D6769">
            <w:r>
              <w:t>Interleukin 6</w:t>
            </w:r>
          </w:p>
        </w:tc>
      </w:tr>
      <w:tr w:rsidR="00E87894" w14:paraId="7CE255CF" w14:textId="77777777" w:rsidTr="00EB66B6">
        <w:tc>
          <w:tcPr>
            <w:tcW w:w="1890" w:type="dxa"/>
          </w:tcPr>
          <w:p w14:paraId="0B92B179" w14:textId="1202E295" w:rsidR="00E87894" w:rsidRDefault="00E87894" w:rsidP="000D6769">
            <w:r>
              <w:t>IL-7</w:t>
            </w:r>
          </w:p>
        </w:tc>
        <w:tc>
          <w:tcPr>
            <w:tcW w:w="6594" w:type="dxa"/>
          </w:tcPr>
          <w:p w14:paraId="15AF3073" w14:textId="13BB35B0" w:rsidR="00E87894" w:rsidRDefault="00E87894" w:rsidP="000D6769">
            <w:r>
              <w:t>Interleukin 7</w:t>
            </w:r>
          </w:p>
        </w:tc>
      </w:tr>
      <w:tr w:rsidR="0055166A" w14:paraId="6A271638" w14:textId="77777777" w:rsidTr="00EB66B6">
        <w:tc>
          <w:tcPr>
            <w:tcW w:w="1890" w:type="dxa"/>
          </w:tcPr>
          <w:p w14:paraId="04F8C102" w14:textId="77777777" w:rsidR="0055166A" w:rsidRDefault="0055166A" w:rsidP="000D6769">
            <w:r>
              <w:t>Ig</w:t>
            </w:r>
          </w:p>
        </w:tc>
        <w:tc>
          <w:tcPr>
            <w:tcW w:w="6594" w:type="dxa"/>
          </w:tcPr>
          <w:p w14:paraId="561120E0" w14:textId="77777777" w:rsidR="0055166A" w:rsidRDefault="0055166A" w:rsidP="000D6769">
            <w:r>
              <w:t>Immunoglobulin</w:t>
            </w:r>
          </w:p>
        </w:tc>
      </w:tr>
      <w:tr w:rsidR="0055166A" w14:paraId="271687C0" w14:textId="77777777" w:rsidTr="00EB66B6">
        <w:tc>
          <w:tcPr>
            <w:tcW w:w="1890" w:type="dxa"/>
          </w:tcPr>
          <w:p w14:paraId="788C3FA0" w14:textId="77777777" w:rsidR="0055166A" w:rsidRDefault="0055166A" w:rsidP="000D6769">
            <w:r>
              <w:t>IR</w:t>
            </w:r>
          </w:p>
        </w:tc>
        <w:tc>
          <w:tcPr>
            <w:tcW w:w="6594" w:type="dxa"/>
          </w:tcPr>
          <w:p w14:paraId="3771E2CC" w14:textId="77777777" w:rsidR="0055166A" w:rsidRDefault="005468E6" w:rsidP="000D6769">
            <w:r>
              <w:t>Immediate r</w:t>
            </w:r>
            <w:r w:rsidR="0055166A">
              <w:t>elease</w:t>
            </w:r>
          </w:p>
        </w:tc>
      </w:tr>
      <w:tr w:rsidR="0055166A" w14:paraId="4CB43636" w14:textId="77777777" w:rsidTr="00EB66B6">
        <w:tc>
          <w:tcPr>
            <w:tcW w:w="1890" w:type="dxa"/>
          </w:tcPr>
          <w:p w14:paraId="266289D9" w14:textId="77777777" w:rsidR="0055166A" w:rsidRDefault="0055166A" w:rsidP="000D6769">
            <w:r>
              <w:t>JAK</w:t>
            </w:r>
          </w:p>
        </w:tc>
        <w:tc>
          <w:tcPr>
            <w:tcW w:w="6594" w:type="dxa"/>
          </w:tcPr>
          <w:p w14:paraId="2D4F0D0B" w14:textId="77777777" w:rsidR="0055166A" w:rsidRDefault="005468E6" w:rsidP="000D6769">
            <w:r>
              <w:t>Janus k</w:t>
            </w:r>
            <w:r w:rsidR="0055166A">
              <w:t>inase</w:t>
            </w:r>
          </w:p>
        </w:tc>
      </w:tr>
      <w:tr w:rsidR="005A2D8F" w14:paraId="72619A97" w14:textId="77777777" w:rsidTr="00EB66B6">
        <w:tc>
          <w:tcPr>
            <w:tcW w:w="1890" w:type="dxa"/>
          </w:tcPr>
          <w:p w14:paraId="622B9B4B" w14:textId="25748BB7" w:rsidR="005A2D8F" w:rsidRDefault="005A2D8F" w:rsidP="000D6769">
            <w:r>
              <w:t>JAK1</w:t>
            </w:r>
          </w:p>
        </w:tc>
        <w:tc>
          <w:tcPr>
            <w:tcW w:w="6594" w:type="dxa"/>
          </w:tcPr>
          <w:p w14:paraId="3DF16FFA" w14:textId="0320C4E0" w:rsidR="005A2D8F" w:rsidRDefault="005A2D8F" w:rsidP="000D6769">
            <w:r>
              <w:t>Janus kinase 1</w:t>
            </w:r>
          </w:p>
        </w:tc>
      </w:tr>
      <w:tr w:rsidR="0055166A" w14:paraId="0F0C90B0" w14:textId="77777777" w:rsidTr="00EB66B6">
        <w:tc>
          <w:tcPr>
            <w:tcW w:w="1890" w:type="dxa"/>
          </w:tcPr>
          <w:p w14:paraId="38909FF1" w14:textId="77777777" w:rsidR="0055166A" w:rsidRDefault="0055166A" w:rsidP="000D6769">
            <w:r>
              <w:t>JSN</w:t>
            </w:r>
          </w:p>
        </w:tc>
        <w:tc>
          <w:tcPr>
            <w:tcW w:w="6594" w:type="dxa"/>
          </w:tcPr>
          <w:p w14:paraId="1F54B0BA" w14:textId="77777777" w:rsidR="0055166A" w:rsidRDefault="0055166A" w:rsidP="000D6769">
            <w:r>
              <w:t xml:space="preserve">Joint </w:t>
            </w:r>
            <w:r w:rsidR="005468E6">
              <w:t>space narrowing</w:t>
            </w:r>
          </w:p>
        </w:tc>
      </w:tr>
      <w:tr w:rsidR="00933259" w14:paraId="35BF7A19" w14:textId="77777777" w:rsidTr="00EB66B6">
        <w:tc>
          <w:tcPr>
            <w:tcW w:w="1890" w:type="dxa"/>
          </w:tcPr>
          <w:p w14:paraId="2CD94ACA" w14:textId="0DBBF14B" w:rsidR="00933259" w:rsidRDefault="00933259" w:rsidP="000D6769">
            <w:r>
              <w:t>LDL</w:t>
            </w:r>
          </w:p>
        </w:tc>
        <w:tc>
          <w:tcPr>
            <w:tcW w:w="6594" w:type="dxa"/>
          </w:tcPr>
          <w:p w14:paraId="2716EE44" w14:textId="2C8C866C" w:rsidR="00933259" w:rsidRDefault="00933259" w:rsidP="000D6769">
            <w:r>
              <w:t>Low density lipoprotein</w:t>
            </w:r>
          </w:p>
        </w:tc>
      </w:tr>
      <w:tr w:rsidR="0055166A" w14:paraId="52F22FD0" w14:textId="77777777" w:rsidTr="00EB66B6">
        <w:tc>
          <w:tcPr>
            <w:tcW w:w="1890" w:type="dxa"/>
          </w:tcPr>
          <w:p w14:paraId="70175D7E" w14:textId="77777777" w:rsidR="0055166A" w:rsidRDefault="0055166A" w:rsidP="000D6769">
            <w:r>
              <w:t>LEF</w:t>
            </w:r>
          </w:p>
        </w:tc>
        <w:tc>
          <w:tcPr>
            <w:tcW w:w="6594" w:type="dxa"/>
          </w:tcPr>
          <w:p w14:paraId="4B6A9565" w14:textId="77777777" w:rsidR="0055166A" w:rsidRDefault="0055166A" w:rsidP="000D6769">
            <w:proofErr w:type="spellStart"/>
            <w:r>
              <w:t>Leflunomide</w:t>
            </w:r>
            <w:proofErr w:type="spellEnd"/>
          </w:p>
        </w:tc>
      </w:tr>
      <w:tr w:rsidR="0055166A" w14:paraId="77CE80BA" w14:textId="77777777" w:rsidTr="00EB66B6">
        <w:tc>
          <w:tcPr>
            <w:tcW w:w="1890" w:type="dxa"/>
          </w:tcPr>
          <w:p w14:paraId="30211C86" w14:textId="77777777" w:rsidR="0055166A" w:rsidRDefault="0055166A" w:rsidP="000D6769">
            <w:r>
              <w:t>LS</w:t>
            </w:r>
          </w:p>
        </w:tc>
        <w:tc>
          <w:tcPr>
            <w:tcW w:w="6594" w:type="dxa"/>
          </w:tcPr>
          <w:p w14:paraId="015011FB" w14:textId="0A013972" w:rsidR="0055166A" w:rsidRDefault="00C20F9B" w:rsidP="000D6769">
            <w:r>
              <w:t xml:space="preserve">Least </w:t>
            </w:r>
            <w:r w:rsidR="00D7064E">
              <w:t>s</w:t>
            </w:r>
            <w:r>
              <w:t>quares</w:t>
            </w:r>
          </w:p>
        </w:tc>
      </w:tr>
      <w:tr w:rsidR="00B04E16" w14:paraId="1B0FB537" w14:textId="77777777" w:rsidTr="00EB66B6">
        <w:tc>
          <w:tcPr>
            <w:tcW w:w="1890" w:type="dxa"/>
          </w:tcPr>
          <w:p w14:paraId="5C0B0AAD" w14:textId="44A7BF58" w:rsidR="00B04E16" w:rsidRDefault="00B04E16" w:rsidP="000D6769">
            <w:r>
              <w:t>M4</w:t>
            </w:r>
          </w:p>
        </w:tc>
        <w:tc>
          <w:tcPr>
            <w:tcW w:w="6594" w:type="dxa"/>
          </w:tcPr>
          <w:p w14:paraId="2EA56B3C" w14:textId="72646DEE" w:rsidR="00B04E16" w:rsidRDefault="00B04E16" w:rsidP="000D6769">
            <w:r>
              <w:t>Main human metabolite of upadacitinib</w:t>
            </w:r>
          </w:p>
        </w:tc>
      </w:tr>
      <w:tr w:rsidR="00C20F9B" w14:paraId="06A31C2C" w14:textId="77777777" w:rsidTr="00EB66B6">
        <w:tc>
          <w:tcPr>
            <w:tcW w:w="1890" w:type="dxa"/>
          </w:tcPr>
          <w:p w14:paraId="482D68C4" w14:textId="77777777" w:rsidR="00C20F9B" w:rsidRDefault="00C20F9B" w:rsidP="000D6769">
            <w:r w:rsidRPr="001D1AEA">
              <w:t>MACE</w:t>
            </w:r>
          </w:p>
        </w:tc>
        <w:tc>
          <w:tcPr>
            <w:tcW w:w="6594" w:type="dxa"/>
          </w:tcPr>
          <w:p w14:paraId="1118FCB3" w14:textId="77777777" w:rsidR="00C20F9B" w:rsidRDefault="00C20F9B" w:rsidP="00C20F9B">
            <w:r>
              <w:t>M</w:t>
            </w:r>
            <w:r w:rsidRPr="001D1AEA">
              <w:t>ajo</w:t>
            </w:r>
            <w:r>
              <w:t>r adverse cardiovascular events</w:t>
            </w:r>
          </w:p>
        </w:tc>
      </w:tr>
      <w:tr w:rsidR="0055166A" w14:paraId="5398CA47" w14:textId="77777777" w:rsidTr="00EB66B6">
        <w:tc>
          <w:tcPr>
            <w:tcW w:w="1890" w:type="dxa"/>
          </w:tcPr>
          <w:p w14:paraId="3A7C7FDA" w14:textId="77777777" w:rsidR="0055166A" w:rsidRDefault="0055166A" w:rsidP="000D6769">
            <w:proofErr w:type="spellStart"/>
            <w:r>
              <w:t>mITT</w:t>
            </w:r>
            <w:proofErr w:type="spellEnd"/>
          </w:p>
        </w:tc>
        <w:tc>
          <w:tcPr>
            <w:tcW w:w="6594" w:type="dxa"/>
          </w:tcPr>
          <w:p w14:paraId="5541AD0E" w14:textId="627F1BF5" w:rsidR="0055166A" w:rsidRDefault="00D7064E" w:rsidP="000D6769">
            <w:r>
              <w:t>M</w:t>
            </w:r>
            <w:r w:rsidR="0055166A">
              <w:t xml:space="preserve">odified </w:t>
            </w:r>
            <w:r w:rsidR="005468E6">
              <w:t>intention-to-treat</w:t>
            </w:r>
          </w:p>
        </w:tc>
      </w:tr>
      <w:tr w:rsidR="0055166A" w14:paraId="3F427AC5" w14:textId="77777777" w:rsidTr="00EB66B6">
        <w:tc>
          <w:tcPr>
            <w:tcW w:w="1890" w:type="dxa"/>
          </w:tcPr>
          <w:p w14:paraId="2794D79E" w14:textId="77777777" w:rsidR="0055166A" w:rsidRDefault="0055166A" w:rsidP="000D6769">
            <w:proofErr w:type="spellStart"/>
            <w:r>
              <w:t>mTSS</w:t>
            </w:r>
            <w:proofErr w:type="spellEnd"/>
          </w:p>
        </w:tc>
        <w:tc>
          <w:tcPr>
            <w:tcW w:w="6594" w:type="dxa"/>
          </w:tcPr>
          <w:p w14:paraId="1420895D" w14:textId="2D0FD8FB" w:rsidR="0055166A" w:rsidRDefault="00D7064E" w:rsidP="000D6769">
            <w:r>
              <w:t>M</w:t>
            </w:r>
            <w:r w:rsidR="0055166A">
              <w:t>odified Total Sharp Score</w:t>
            </w:r>
          </w:p>
        </w:tc>
      </w:tr>
      <w:tr w:rsidR="0055166A" w14:paraId="35C7FEFE" w14:textId="77777777" w:rsidTr="00EB66B6">
        <w:tc>
          <w:tcPr>
            <w:tcW w:w="1890" w:type="dxa"/>
          </w:tcPr>
          <w:p w14:paraId="746CA411" w14:textId="77777777" w:rsidR="0055166A" w:rsidRDefault="0055166A" w:rsidP="000D6769">
            <w:r>
              <w:t>MTX</w:t>
            </w:r>
          </w:p>
        </w:tc>
        <w:tc>
          <w:tcPr>
            <w:tcW w:w="6594" w:type="dxa"/>
          </w:tcPr>
          <w:p w14:paraId="06DF0B7A" w14:textId="77777777" w:rsidR="0055166A" w:rsidRDefault="0055166A" w:rsidP="000D6769">
            <w:r>
              <w:t>Methotrexate</w:t>
            </w:r>
          </w:p>
        </w:tc>
      </w:tr>
      <w:tr w:rsidR="0055166A" w14:paraId="1DDA0CF1" w14:textId="77777777" w:rsidTr="00EB66B6">
        <w:tc>
          <w:tcPr>
            <w:tcW w:w="1890" w:type="dxa"/>
          </w:tcPr>
          <w:p w14:paraId="548E2E8A" w14:textId="77777777" w:rsidR="0055166A" w:rsidRDefault="0055166A" w:rsidP="000D6769">
            <w:r>
              <w:t>NRI</w:t>
            </w:r>
          </w:p>
        </w:tc>
        <w:tc>
          <w:tcPr>
            <w:tcW w:w="6594" w:type="dxa"/>
          </w:tcPr>
          <w:p w14:paraId="6D9C3CEC" w14:textId="3D05219D" w:rsidR="0055166A" w:rsidRDefault="0055166A" w:rsidP="000D6769">
            <w:r>
              <w:t>Non-</w:t>
            </w:r>
            <w:r w:rsidR="00D7064E">
              <w:t>r</w:t>
            </w:r>
            <w:r>
              <w:t xml:space="preserve">esponder </w:t>
            </w:r>
            <w:r w:rsidR="00D7064E">
              <w:t>i</w:t>
            </w:r>
            <w:r>
              <w:t>mputation</w:t>
            </w:r>
          </w:p>
        </w:tc>
      </w:tr>
      <w:tr w:rsidR="0055166A" w14:paraId="30A64ED1" w14:textId="77777777" w:rsidTr="00EB66B6">
        <w:tc>
          <w:tcPr>
            <w:tcW w:w="1890" w:type="dxa"/>
          </w:tcPr>
          <w:p w14:paraId="512F3FE8" w14:textId="77777777" w:rsidR="0055166A" w:rsidRDefault="0055166A" w:rsidP="000D6769">
            <w:r>
              <w:t>NSAID</w:t>
            </w:r>
          </w:p>
        </w:tc>
        <w:tc>
          <w:tcPr>
            <w:tcW w:w="6594" w:type="dxa"/>
          </w:tcPr>
          <w:p w14:paraId="1CB396A1" w14:textId="63E828AC" w:rsidR="0055166A" w:rsidRDefault="0055166A" w:rsidP="000D6769">
            <w:r>
              <w:t>Non-</w:t>
            </w:r>
            <w:r w:rsidR="005468E6">
              <w:t>steroidal anti-inflammatory drug</w:t>
            </w:r>
            <w:r w:rsidR="00D7064E">
              <w:t>(s)</w:t>
            </w:r>
          </w:p>
        </w:tc>
      </w:tr>
      <w:tr w:rsidR="0055166A" w14:paraId="5185A4FB" w14:textId="77777777" w:rsidTr="00EB66B6">
        <w:tc>
          <w:tcPr>
            <w:tcW w:w="1890" w:type="dxa"/>
          </w:tcPr>
          <w:p w14:paraId="772A87D5" w14:textId="77777777" w:rsidR="0055166A" w:rsidRDefault="0055166A" w:rsidP="000D6769">
            <w:r>
              <w:t>OAT</w:t>
            </w:r>
          </w:p>
        </w:tc>
        <w:tc>
          <w:tcPr>
            <w:tcW w:w="6594" w:type="dxa"/>
          </w:tcPr>
          <w:p w14:paraId="35A9E367" w14:textId="77777777" w:rsidR="0055166A" w:rsidRDefault="0055166A" w:rsidP="000D6769">
            <w:r>
              <w:t xml:space="preserve">Organic </w:t>
            </w:r>
            <w:r w:rsidR="005468E6">
              <w:t>anion transporter</w:t>
            </w:r>
          </w:p>
        </w:tc>
      </w:tr>
      <w:tr w:rsidR="0055166A" w14:paraId="49E18315" w14:textId="77777777" w:rsidTr="00EB66B6">
        <w:tc>
          <w:tcPr>
            <w:tcW w:w="1890" w:type="dxa"/>
          </w:tcPr>
          <w:p w14:paraId="0F1724BA" w14:textId="77777777" w:rsidR="0055166A" w:rsidRDefault="0055166A" w:rsidP="000D6769">
            <w:r>
              <w:t>PBO</w:t>
            </w:r>
          </w:p>
        </w:tc>
        <w:tc>
          <w:tcPr>
            <w:tcW w:w="6594" w:type="dxa"/>
          </w:tcPr>
          <w:p w14:paraId="05E8AA7F" w14:textId="77777777" w:rsidR="0055166A" w:rsidRDefault="0055166A" w:rsidP="000D6769">
            <w:r>
              <w:t>Placebo</w:t>
            </w:r>
          </w:p>
        </w:tc>
      </w:tr>
      <w:tr w:rsidR="0055166A" w14:paraId="46E1369E" w14:textId="77777777" w:rsidTr="00EB66B6">
        <w:tc>
          <w:tcPr>
            <w:tcW w:w="1890" w:type="dxa"/>
          </w:tcPr>
          <w:p w14:paraId="6B6E9844" w14:textId="77777777" w:rsidR="0055166A" w:rsidRDefault="0035696E" w:rsidP="000D6769">
            <w:r>
              <w:t>PD</w:t>
            </w:r>
          </w:p>
        </w:tc>
        <w:tc>
          <w:tcPr>
            <w:tcW w:w="6594" w:type="dxa"/>
          </w:tcPr>
          <w:p w14:paraId="0CD4482A" w14:textId="5C6D3B6E" w:rsidR="0055166A" w:rsidRDefault="0055166A" w:rsidP="000D6769">
            <w:r w:rsidRPr="002F2961">
              <w:t>Pharmacodynamic</w:t>
            </w:r>
            <w:r w:rsidR="00D7064E">
              <w:t>(s)</w:t>
            </w:r>
          </w:p>
        </w:tc>
      </w:tr>
      <w:tr w:rsidR="0055166A" w14:paraId="16FC4843" w14:textId="77777777" w:rsidTr="00EB66B6">
        <w:tc>
          <w:tcPr>
            <w:tcW w:w="1890" w:type="dxa"/>
          </w:tcPr>
          <w:p w14:paraId="48F9308D" w14:textId="77777777" w:rsidR="0055166A" w:rsidRDefault="0055166A" w:rsidP="000D6769">
            <w:r>
              <w:lastRenderedPageBreak/>
              <w:t>P-</w:t>
            </w:r>
            <w:proofErr w:type="spellStart"/>
            <w:r>
              <w:t>gp</w:t>
            </w:r>
            <w:proofErr w:type="spellEnd"/>
          </w:p>
        </w:tc>
        <w:tc>
          <w:tcPr>
            <w:tcW w:w="6594" w:type="dxa"/>
          </w:tcPr>
          <w:p w14:paraId="1AC8734E" w14:textId="77777777" w:rsidR="0055166A" w:rsidRDefault="0055166A" w:rsidP="000D6769">
            <w:r>
              <w:t>P-glycoprotein</w:t>
            </w:r>
          </w:p>
        </w:tc>
      </w:tr>
      <w:tr w:rsidR="0055166A" w14:paraId="6423B159" w14:textId="77777777" w:rsidTr="00EB66B6">
        <w:tc>
          <w:tcPr>
            <w:tcW w:w="1890" w:type="dxa"/>
          </w:tcPr>
          <w:p w14:paraId="676CEC68" w14:textId="77777777" w:rsidR="0055166A" w:rsidRPr="002F2961" w:rsidRDefault="0055166A" w:rsidP="000D6769">
            <w:r>
              <w:t>PK</w:t>
            </w:r>
          </w:p>
        </w:tc>
        <w:tc>
          <w:tcPr>
            <w:tcW w:w="6594" w:type="dxa"/>
          </w:tcPr>
          <w:p w14:paraId="58B64937" w14:textId="658DC8D8" w:rsidR="0055166A" w:rsidRPr="002F2961" w:rsidRDefault="0055166A" w:rsidP="000D6769">
            <w:r>
              <w:t>Pharmacokinetic</w:t>
            </w:r>
            <w:r w:rsidR="00D7064E">
              <w:t>(s)</w:t>
            </w:r>
          </w:p>
        </w:tc>
      </w:tr>
      <w:tr w:rsidR="0035696E" w14:paraId="3E273343" w14:textId="77777777" w:rsidTr="00EB66B6">
        <w:tc>
          <w:tcPr>
            <w:tcW w:w="1890" w:type="dxa"/>
          </w:tcPr>
          <w:p w14:paraId="48579287" w14:textId="77777777" w:rsidR="0035696E" w:rsidRDefault="0035696E" w:rsidP="000D6769">
            <w:r>
              <w:t>PO</w:t>
            </w:r>
          </w:p>
        </w:tc>
        <w:tc>
          <w:tcPr>
            <w:tcW w:w="6594" w:type="dxa"/>
          </w:tcPr>
          <w:p w14:paraId="629D0DCC" w14:textId="77777777" w:rsidR="0035696E" w:rsidRDefault="0035696E" w:rsidP="000D6769">
            <w:r>
              <w:t xml:space="preserve">Orally, Latin: </w:t>
            </w:r>
            <w:r w:rsidRPr="0035696E">
              <w:rPr>
                <w:i/>
              </w:rPr>
              <w:t xml:space="preserve">per </w:t>
            </w:r>
            <w:proofErr w:type="spellStart"/>
            <w:r w:rsidRPr="0035696E">
              <w:rPr>
                <w:i/>
              </w:rPr>
              <w:t>os</w:t>
            </w:r>
            <w:proofErr w:type="spellEnd"/>
          </w:p>
        </w:tc>
      </w:tr>
      <w:tr w:rsidR="0055166A" w14:paraId="7007A313" w14:textId="77777777" w:rsidTr="00EB66B6">
        <w:tc>
          <w:tcPr>
            <w:tcW w:w="1890" w:type="dxa"/>
          </w:tcPr>
          <w:p w14:paraId="00E65741" w14:textId="77777777" w:rsidR="0055166A" w:rsidRDefault="0055166A" w:rsidP="000D6769">
            <w:r>
              <w:t>Pop PK</w:t>
            </w:r>
          </w:p>
        </w:tc>
        <w:tc>
          <w:tcPr>
            <w:tcW w:w="6594" w:type="dxa"/>
          </w:tcPr>
          <w:p w14:paraId="1FADF7C9" w14:textId="1409CFBE" w:rsidR="0055166A" w:rsidRDefault="005468E6" w:rsidP="000D6769">
            <w:r>
              <w:t>Population p</w:t>
            </w:r>
            <w:r w:rsidR="0055166A">
              <w:t>harmacokinetic</w:t>
            </w:r>
            <w:r w:rsidR="00D7064E">
              <w:t>(s)</w:t>
            </w:r>
          </w:p>
        </w:tc>
      </w:tr>
      <w:tr w:rsidR="0055166A" w14:paraId="559F5FB4" w14:textId="77777777" w:rsidTr="00EB66B6">
        <w:tc>
          <w:tcPr>
            <w:tcW w:w="1890" w:type="dxa"/>
          </w:tcPr>
          <w:p w14:paraId="7007F910" w14:textId="77777777" w:rsidR="0055166A" w:rsidRDefault="0055166A" w:rsidP="000D6769">
            <w:r>
              <w:t>PJP</w:t>
            </w:r>
          </w:p>
        </w:tc>
        <w:tc>
          <w:tcPr>
            <w:tcW w:w="6594" w:type="dxa"/>
          </w:tcPr>
          <w:p w14:paraId="7CEAC548" w14:textId="5D090DB2" w:rsidR="0055166A" w:rsidRDefault="0055166A" w:rsidP="000D6769">
            <w:r w:rsidRPr="00BD0FFA">
              <w:rPr>
                <w:i/>
              </w:rPr>
              <w:t xml:space="preserve">Pneumocystis </w:t>
            </w:r>
            <w:proofErr w:type="spellStart"/>
            <w:r w:rsidR="00D7064E" w:rsidRPr="00BD0FFA">
              <w:rPr>
                <w:i/>
              </w:rPr>
              <w:t>j</w:t>
            </w:r>
            <w:r w:rsidRPr="00BD0FFA">
              <w:rPr>
                <w:i/>
              </w:rPr>
              <w:t>iroveci</w:t>
            </w:r>
            <w:proofErr w:type="spellEnd"/>
            <w:r w:rsidRPr="002A3B67">
              <w:t> </w:t>
            </w:r>
            <w:r w:rsidR="00D7064E">
              <w:t>p</w:t>
            </w:r>
            <w:r w:rsidRPr="002A3B67">
              <w:t>neumonia</w:t>
            </w:r>
          </w:p>
        </w:tc>
      </w:tr>
      <w:tr w:rsidR="0055166A" w14:paraId="4C0E7A0C" w14:textId="77777777" w:rsidTr="00EB66B6">
        <w:tc>
          <w:tcPr>
            <w:tcW w:w="1890" w:type="dxa"/>
          </w:tcPr>
          <w:p w14:paraId="5E2762AB" w14:textId="77777777" w:rsidR="0055166A" w:rsidRDefault="0055166A" w:rsidP="000D6769">
            <w:r>
              <w:t>PP</w:t>
            </w:r>
          </w:p>
        </w:tc>
        <w:tc>
          <w:tcPr>
            <w:tcW w:w="6594" w:type="dxa"/>
          </w:tcPr>
          <w:p w14:paraId="280111A4" w14:textId="77777777" w:rsidR="0055166A" w:rsidRDefault="0055166A" w:rsidP="000D6769">
            <w:r>
              <w:t xml:space="preserve">Per </w:t>
            </w:r>
            <w:r w:rsidR="005468E6">
              <w:t>protoco</w:t>
            </w:r>
            <w:r>
              <w:t>l</w:t>
            </w:r>
          </w:p>
        </w:tc>
      </w:tr>
      <w:tr w:rsidR="0005668D" w14:paraId="0491B2E6" w14:textId="77777777" w:rsidTr="00EB66B6">
        <w:tc>
          <w:tcPr>
            <w:tcW w:w="1890" w:type="dxa"/>
          </w:tcPr>
          <w:p w14:paraId="79673574" w14:textId="6488CD29" w:rsidR="0005668D" w:rsidRDefault="0005668D" w:rsidP="000D6769">
            <w:r>
              <w:t>pSTAT3</w:t>
            </w:r>
          </w:p>
        </w:tc>
        <w:tc>
          <w:tcPr>
            <w:tcW w:w="6594" w:type="dxa"/>
          </w:tcPr>
          <w:p w14:paraId="077A9423" w14:textId="1DAD866B" w:rsidR="0005668D" w:rsidRDefault="0005668D" w:rsidP="000D6769">
            <w:r>
              <w:t>Phosp</w:t>
            </w:r>
            <w:r w:rsidR="00E87894">
              <w:t>horylated s</w:t>
            </w:r>
            <w:r w:rsidRPr="0005668D">
              <w:t>ignal transducer and activator of transcription 3</w:t>
            </w:r>
          </w:p>
        </w:tc>
      </w:tr>
      <w:tr w:rsidR="0055166A" w14:paraId="74838018" w14:textId="77777777" w:rsidTr="00EB66B6">
        <w:tc>
          <w:tcPr>
            <w:tcW w:w="1890" w:type="dxa"/>
          </w:tcPr>
          <w:p w14:paraId="626D0469" w14:textId="77777777" w:rsidR="0055166A" w:rsidRDefault="0055166A" w:rsidP="000D6769">
            <w:r>
              <w:t>PT</w:t>
            </w:r>
          </w:p>
        </w:tc>
        <w:tc>
          <w:tcPr>
            <w:tcW w:w="6594" w:type="dxa"/>
          </w:tcPr>
          <w:p w14:paraId="0B4F191F" w14:textId="78BA00BF" w:rsidR="0055166A" w:rsidRDefault="0055166A" w:rsidP="000D6769">
            <w:r>
              <w:t>Preferred Term</w:t>
            </w:r>
          </w:p>
        </w:tc>
      </w:tr>
      <w:tr w:rsidR="0055166A" w14:paraId="414CA9EA" w14:textId="77777777" w:rsidTr="00EB66B6">
        <w:tc>
          <w:tcPr>
            <w:tcW w:w="1890" w:type="dxa"/>
          </w:tcPr>
          <w:p w14:paraId="73D5FDA5" w14:textId="77777777" w:rsidR="0055166A" w:rsidRDefault="0055166A" w:rsidP="000D6769">
            <w:r>
              <w:t>PY</w:t>
            </w:r>
          </w:p>
        </w:tc>
        <w:tc>
          <w:tcPr>
            <w:tcW w:w="6594" w:type="dxa"/>
          </w:tcPr>
          <w:p w14:paraId="7370968E" w14:textId="77777777" w:rsidR="0055166A" w:rsidRDefault="005468E6" w:rsidP="000D6769">
            <w:r>
              <w:t>Patient-y</w:t>
            </w:r>
            <w:r w:rsidR="0055166A">
              <w:t>ears</w:t>
            </w:r>
          </w:p>
        </w:tc>
      </w:tr>
      <w:tr w:rsidR="0035696E" w14:paraId="3812C702" w14:textId="77777777" w:rsidTr="00EB66B6">
        <w:tc>
          <w:tcPr>
            <w:tcW w:w="1890" w:type="dxa"/>
          </w:tcPr>
          <w:p w14:paraId="351F583D" w14:textId="77777777" w:rsidR="0035696E" w:rsidRDefault="0035696E" w:rsidP="000D6769">
            <w:r>
              <w:t>QD</w:t>
            </w:r>
          </w:p>
        </w:tc>
        <w:tc>
          <w:tcPr>
            <w:tcW w:w="6594" w:type="dxa"/>
          </w:tcPr>
          <w:p w14:paraId="0E88FB06" w14:textId="351D4686" w:rsidR="0035696E" w:rsidRPr="00BD0FFA" w:rsidRDefault="0035696E" w:rsidP="00BD0FFA">
            <w:pPr>
              <w:ind w:right="0"/>
              <w:rPr>
                <w:i/>
              </w:rPr>
            </w:pPr>
            <w:r>
              <w:t>Once daily</w:t>
            </w:r>
            <w:r w:rsidR="00D7064E">
              <w:t xml:space="preserve">, Latin: </w:t>
            </w:r>
            <w:proofErr w:type="spellStart"/>
            <w:r w:rsidR="00D7064E">
              <w:rPr>
                <w:i/>
              </w:rPr>
              <w:t>quaque</w:t>
            </w:r>
            <w:proofErr w:type="spellEnd"/>
            <w:r w:rsidR="00D7064E">
              <w:rPr>
                <w:i/>
              </w:rPr>
              <w:t xml:space="preserve"> die</w:t>
            </w:r>
          </w:p>
        </w:tc>
      </w:tr>
      <w:tr w:rsidR="00B04E16" w14:paraId="189A5F6B" w14:textId="77777777" w:rsidTr="00EB66B6">
        <w:tc>
          <w:tcPr>
            <w:tcW w:w="1890" w:type="dxa"/>
          </w:tcPr>
          <w:p w14:paraId="66541097" w14:textId="754B41BE" w:rsidR="00B04E16" w:rsidRDefault="00B04E16" w:rsidP="000D6769">
            <w:r>
              <w:t>QR</w:t>
            </w:r>
          </w:p>
        </w:tc>
        <w:tc>
          <w:tcPr>
            <w:tcW w:w="6594" w:type="dxa"/>
          </w:tcPr>
          <w:p w14:paraId="420D704F" w14:textId="7B798CE0" w:rsidR="00B04E16" w:rsidRDefault="00B04E16" w:rsidP="00B04E16">
            <w:r>
              <w:t>Quick Response</w:t>
            </w:r>
          </w:p>
        </w:tc>
      </w:tr>
      <w:tr w:rsidR="00B04E16" w14:paraId="286CF226" w14:textId="77777777" w:rsidTr="00EB66B6">
        <w:tc>
          <w:tcPr>
            <w:tcW w:w="1890" w:type="dxa"/>
          </w:tcPr>
          <w:p w14:paraId="272B751F" w14:textId="76926023" w:rsidR="00B04E16" w:rsidRDefault="00B04E16" w:rsidP="000D6769">
            <w:proofErr w:type="spellStart"/>
            <w:r>
              <w:t>QTc</w:t>
            </w:r>
            <w:proofErr w:type="spellEnd"/>
          </w:p>
        </w:tc>
        <w:tc>
          <w:tcPr>
            <w:tcW w:w="6594" w:type="dxa"/>
          </w:tcPr>
          <w:p w14:paraId="4938F071" w14:textId="687F11BA" w:rsidR="00B04E16" w:rsidRDefault="00B04E16" w:rsidP="00B04E16">
            <w:r>
              <w:t>Cardiac QT interval corrected for heart rate</w:t>
            </w:r>
          </w:p>
        </w:tc>
      </w:tr>
      <w:tr w:rsidR="0055166A" w14:paraId="1537826C" w14:textId="77777777" w:rsidTr="00EB66B6">
        <w:tc>
          <w:tcPr>
            <w:tcW w:w="1890" w:type="dxa"/>
          </w:tcPr>
          <w:p w14:paraId="4369698C" w14:textId="77777777" w:rsidR="0055166A" w:rsidRDefault="0055166A" w:rsidP="000D6769">
            <w:r>
              <w:t>RA</w:t>
            </w:r>
          </w:p>
        </w:tc>
        <w:tc>
          <w:tcPr>
            <w:tcW w:w="6594" w:type="dxa"/>
          </w:tcPr>
          <w:p w14:paraId="3E030730" w14:textId="77777777" w:rsidR="0055166A" w:rsidRDefault="005468E6" w:rsidP="000D6769">
            <w:r>
              <w:t>Rheumatoid a</w:t>
            </w:r>
            <w:r w:rsidR="0055166A">
              <w:t>rthritis</w:t>
            </w:r>
          </w:p>
        </w:tc>
      </w:tr>
      <w:tr w:rsidR="0055166A" w14:paraId="74309D40" w14:textId="77777777" w:rsidTr="00EB66B6">
        <w:tc>
          <w:tcPr>
            <w:tcW w:w="1890" w:type="dxa"/>
          </w:tcPr>
          <w:p w14:paraId="0D9335BD" w14:textId="77777777" w:rsidR="0055166A" w:rsidRDefault="0055166A" w:rsidP="000D6769">
            <w:r>
              <w:t>RF</w:t>
            </w:r>
          </w:p>
        </w:tc>
        <w:tc>
          <w:tcPr>
            <w:tcW w:w="6594" w:type="dxa"/>
          </w:tcPr>
          <w:p w14:paraId="63815898" w14:textId="77777777" w:rsidR="0055166A" w:rsidRDefault="0055166A" w:rsidP="000D6769">
            <w:r>
              <w:t xml:space="preserve">Rheumatoid </w:t>
            </w:r>
            <w:r w:rsidR="005468E6">
              <w:t>f</w:t>
            </w:r>
            <w:r>
              <w:t>actor</w:t>
            </w:r>
          </w:p>
        </w:tc>
      </w:tr>
      <w:tr w:rsidR="00933259" w14:paraId="4CE4A0AD" w14:textId="77777777" w:rsidTr="00EB66B6">
        <w:tc>
          <w:tcPr>
            <w:tcW w:w="1890" w:type="dxa"/>
          </w:tcPr>
          <w:p w14:paraId="52AC2126" w14:textId="79F4E077" w:rsidR="00933259" w:rsidRDefault="00933259" w:rsidP="000D6769">
            <w:r>
              <w:t>RMP</w:t>
            </w:r>
          </w:p>
        </w:tc>
        <w:tc>
          <w:tcPr>
            <w:tcW w:w="6594" w:type="dxa"/>
          </w:tcPr>
          <w:p w14:paraId="30808114" w14:textId="42542A58" w:rsidR="00933259" w:rsidRDefault="00933259" w:rsidP="000D6769">
            <w:r>
              <w:t>Risk management plan</w:t>
            </w:r>
          </w:p>
        </w:tc>
      </w:tr>
      <w:tr w:rsidR="0055166A" w14:paraId="26C83BFE" w14:textId="77777777" w:rsidTr="00EB66B6">
        <w:tc>
          <w:tcPr>
            <w:tcW w:w="1890" w:type="dxa"/>
          </w:tcPr>
          <w:p w14:paraId="080D9EE2" w14:textId="77777777" w:rsidR="0055166A" w:rsidRDefault="0055166A" w:rsidP="000D6769">
            <w:r w:rsidRPr="002F2961">
              <w:t>SAE</w:t>
            </w:r>
          </w:p>
        </w:tc>
        <w:tc>
          <w:tcPr>
            <w:tcW w:w="6594" w:type="dxa"/>
          </w:tcPr>
          <w:p w14:paraId="0D94F6AE" w14:textId="77777777" w:rsidR="0055166A" w:rsidRDefault="0055166A" w:rsidP="000D6769">
            <w:r w:rsidRPr="002F2961">
              <w:t xml:space="preserve">Serious </w:t>
            </w:r>
            <w:r w:rsidR="005468E6">
              <w:t>a</w:t>
            </w:r>
            <w:r w:rsidR="005468E6" w:rsidRPr="002F2961">
              <w:t xml:space="preserve">dverse </w:t>
            </w:r>
            <w:r w:rsidR="005468E6">
              <w:t>e</w:t>
            </w:r>
            <w:r w:rsidR="005468E6" w:rsidRPr="002F2961">
              <w:t>vent</w:t>
            </w:r>
          </w:p>
        </w:tc>
      </w:tr>
      <w:tr w:rsidR="00E35386" w14:paraId="7384E218" w14:textId="77777777" w:rsidTr="00EB66B6">
        <w:tc>
          <w:tcPr>
            <w:tcW w:w="1890" w:type="dxa"/>
          </w:tcPr>
          <w:p w14:paraId="6AB23D63" w14:textId="77777777" w:rsidR="00E35386" w:rsidRPr="002F2961" w:rsidRDefault="00E35386" w:rsidP="000D6769">
            <w:r>
              <w:t>SC</w:t>
            </w:r>
          </w:p>
        </w:tc>
        <w:tc>
          <w:tcPr>
            <w:tcW w:w="6594" w:type="dxa"/>
          </w:tcPr>
          <w:p w14:paraId="52E9EF0F" w14:textId="77777777" w:rsidR="00E35386" w:rsidRPr="002F2961" w:rsidRDefault="00E35386" w:rsidP="000D6769">
            <w:r>
              <w:t>Subcutaneous</w:t>
            </w:r>
          </w:p>
        </w:tc>
      </w:tr>
      <w:tr w:rsidR="0055166A" w14:paraId="68D8CD35" w14:textId="77777777" w:rsidTr="00EB66B6">
        <w:tc>
          <w:tcPr>
            <w:tcW w:w="1890" w:type="dxa"/>
          </w:tcPr>
          <w:p w14:paraId="4BE2B625" w14:textId="77777777" w:rsidR="0055166A" w:rsidRPr="002F2961" w:rsidRDefault="0055166A" w:rsidP="000D6769">
            <w:r>
              <w:t>SD</w:t>
            </w:r>
          </w:p>
        </w:tc>
        <w:tc>
          <w:tcPr>
            <w:tcW w:w="6594" w:type="dxa"/>
          </w:tcPr>
          <w:p w14:paraId="537273FF" w14:textId="77777777" w:rsidR="0055166A" w:rsidRPr="002F2961" w:rsidRDefault="005468E6" w:rsidP="000D6769">
            <w:r>
              <w:t>Standard d</w:t>
            </w:r>
            <w:r w:rsidR="0055166A">
              <w:t>eviation</w:t>
            </w:r>
          </w:p>
        </w:tc>
      </w:tr>
      <w:tr w:rsidR="0055166A" w14:paraId="5877D534" w14:textId="77777777" w:rsidTr="00EB66B6">
        <w:tc>
          <w:tcPr>
            <w:tcW w:w="1890" w:type="dxa"/>
          </w:tcPr>
          <w:p w14:paraId="604566B5" w14:textId="77777777" w:rsidR="0055166A" w:rsidRDefault="0055166A" w:rsidP="000D6769">
            <w:r>
              <w:t>SDAI</w:t>
            </w:r>
          </w:p>
        </w:tc>
        <w:tc>
          <w:tcPr>
            <w:tcW w:w="6594" w:type="dxa"/>
          </w:tcPr>
          <w:p w14:paraId="618222A4" w14:textId="77777777" w:rsidR="0055166A" w:rsidRDefault="0055166A" w:rsidP="000D6769">
            <w:r>
              <w:t>Simplified Disease Activity Index</w:t>
            </w:r>
          </w:p>
        </w:tc>
      </w:tr>
      <w:tr w:rsidR="0055166A" w14:paraId="645A5DFF" w14:textId="77777777" w:rsidTr="00EB66B6">
        <w:tc>
          <w:tcPr>
            <w:tcW w:w="1890" w:type="dxa"/>
          </w:tcPr>
          <w:p w14:paraId="083B0DC0" w14:textId="77777777" w:rsidR="0055166A" w:rsidRDefault="0055166A" w:rsidP="000D6769">
            <w:r w:rsidRPr="002F2961">
              <w:t>SOC</w:t>
            </w:r>
          </w:p>
        </w:tc>
        <w:tc>
          <w:tcPr>
            <w:tcW w:w="6594" w:type="dxa"/>
          </w:tcPr>
          <w:p w14:paraId="5C8B3AC4" w14:textId="77777777" w:rsidR="0055166A" w:rsidRDefault="0055166A" w:rsidP="000D6769">
            <w:r w:rsidRPr="002F2961">
              <w:t>System Organ Class</w:t>
            </w:r>
          </w:p>
        </w:tc>
      </w:tr>
      <w:tr w:rsidR="0055166A" w14:paraId="770D8E43" w14:textId="77777777" w:rsidTr="00EB66B6">
        <w:tc>
          <w:tcPr>
            <w:tcW w:w="1890" w:type="dxa"/>
          </w:tcPr>
          <w:p w14:paraId="79D4F5F2" w14:textId="77777777" w:rsidR="0055166A" w:rsidRPr="002F2961" w:rsidRDefault="0055166A" w:rsidP="000D6769">
            <w:r>
              <w:t>SSZ</w:t>
            </w:r>
          </w:p>
        </w:tc>
        <w:tc>
          <w:tcPr>
            <w:tcW w:w="6594" w:type="dxa"/>
          </w:tcPr>
          <w:p w14:paraId="79EC3DD8" w14:textId="77777777" w:rsidR="0055166A" w:rsidRPr="002F2961" w:rsidRDefault="0055166A" w:rsidP="000D6769">
            <w:r>
              <w:t>Sulfasalazine</w:t>
            </w:r>
          </w:p>
        </w:tc>
      </w:tr>
      <w:tr w:rsidR="005468E6" w14:paraId="2EB81D91" w14:textId="77777777" w:rsidTr="00EB66B6">
        <w:tc>
          <w:tcPr>
            <w:tcW w:w="1890" w:type="dxa"/>
          </w:tcPr>
          <w:p w14:paraId="5E1797D9" w14:textId="77777777" w:rsidR="005468E6" w:rsidRDefault="005468E6" w:rsidP="000D6769">
            <w:r>
              <w:t>STAT</w:t>
            </w:r>
          </w:p>
        </w:tc>
        <w:tc>
          <w:tcPr>
            <w:tcW w:w="6594" w:type="dxa"/>
          </w:tcPr>
          <w:p w14:paraId="4A29553F" w14:textId="77777777" w:rsidR="005468E6" w:rsidRDefault="005468E6" w:rsidP="005468E6">
            <w:r>
              <w:t>Signal transducer and activator of transcription</w:t>
            </w:r>
          </w:p>
        </w:tc>
      </w:tr>
      <w:tr w:rsidR="0005668D" w14:paraId="41A33802" w14:textId="77777777" w:rsidTr="00EB66B6">
        <w:tc>
          <w:tcPr>
            <w:tcW w:w="1890" w:type="dxa"/>
          </w:tcPr>
          <w:p w14:paraId="49113593" w14:textId="2DA86B16" w:rsidR="0005668D" w:rsidRDefault="0005668D" w:rsidP="000D6769">
            <w:r>
              <w:t>STAT3</w:t>
            </w:r>
          </w:p>
        </w:tc>
        <w:tc>
          <w:tcPr>
            <w:tcW w:w="6594" w:type="dxa"/>
          </w:tcPr>
          <w:p w14:paraId="34412132" w14:textId="20DC522F" w:rsidR="0005668D" w:rsidRDefault="0005668D" w:rsidP="005468E6">
            <w:r w:rsidRPr="0005668D">
              <w:t>Signal transducer and activator of transcription 3</w:t>
            </w:r>
          </w:p>
        </w:tc>
      </w:tr>
      <w:tr w:rsidR="0055166A" w14:paraId="74E62FE8" w14:textId="77777777" w:rsidTr="00EB66B6">
        <w:tc>
          <w:tcPr>
            <w:tcW w:w="1890" w:type="dxa"/>
          </w:tcPr>
          <w:p w14:paraId="685308AF" w14:textId="77777777" w:rsidR="0055166A" w:rsidRDefault="0055166A" w:rsidP="000D6769">
            <w:r>
              <w:t>TB</w:t>
            </w:r>
          </w:p>
        </w:tc>
        <w:tc>
          <w:tcPr>
            <w:tcW w:w="6594" w:type="dxa"/>
          </w:tcPr>
          <w:p w14:paraId="54810694" w14:textId="77777777" w:rsidR="0055166A" w:rsidRDefault="0055166A" w:rsidP="000D6769">
            <w:r>
              <w:t>Tuberculosis</w:t>
            </w:r>
          </w:p>
        </w:tc>
      </w:tr>
      <w:tr w:rsidR="00E35386" w14:paraId="70AC4FF5" w14:textId="77777777" w:rsidTr="00EB66B6">
        <w:tc>
          <w:tcPr>
            <w:tcW w:w="1890" w:type="dxa"/>
          </w:tcPr>
          <w:p w14:paraId="3DC8D6CF" w14:textId="77777777" w:rsidR="00E35386" w:rsidRDefault="00E35386" w:rsidP="000D6769">
            <w:r>
              <w:rPr>
                <w:lang w:val="en-US"/>
              </w:rPr>
              <w:t>T</w:t>
            </w:r>
            <w:r>
              <w:rPr>
                <w:vertAlign w:val="subscript"/>
                <w:lang w:val="en-US"/>
              </w:rPr>
              <w:t>1/2</w:t>
            </w:r>
          </w:p>
        </w:tc>
        <w:tc>
          <w:tcPr>
            <w:tcW w:w="6594" w:type="dxa"/>
          </w:tcPr>
          <w:p w14:paraId="5CE5A308" w14:textId="3F27401F" w:rsidR="00E35386" w:rsidRDefault="00E35386" w:rsidP="00E35386">
            <w:r>
              <w:rPr>
                <w:lang w:val="en-US"/>
              </w:rPr>
              <w:t>Apparent terminal elimination</w:t>
            </w:r>
            <w:r w:rsidR="00D7064E">
              <w:rPr>
                <w:lang w:val="en-US"/>
              </w:rPr>
              <w:t>; elimination half life</w:t>
            </w:r>
          </w:p>
        </w:tc>
      </w:tr>
      <w:tr w:rsidR="0035696E" w14:paraId="027EB742" w14:textId="77777777" w:rsidTr="00EB66B6">
        <w:tc>
          <w:tcPr>
            <w:tcW w:w="1890" w:type="dxa"/>
          </w:tcPr>
          <w:p w14:paraId="1D8452FB" w14:textId="77777777" w:rsidR="0035696E" w:rsidRDefault="0035696E" w:rsidP="000D6769">
            <w:proofErr w:type="spellStart"/>
            <w:r>
              <w:lastRenderedPageBreak/>
              <w:t>T</w:t>
            </w:r>
            <w:r w:rsidRPr="0035696E">
              <w:rPr>
                <w:vertAlign w:val="subscript"/>
              </w:rPr>
              <w:t>max</w:t>
            </w:r>
            <w:proofErr w:type="spellEnd"/>
          </w:p>
        </w:tc>
        <w:tc>
          <w:tcPr>
            <w:tcW w:w="6594" w:type="dxa"/>
          </w:tcPr>
          <w:p w14:paraId="78702D17" w14:textId="77777777" w:rsidR="0035696E" w:rsidRDefault="0035696E" w:rsidP="000D6769">
            <w:r>
              <w:t>Time to maximum plasma concentration</w:t>
            </w:r>
          </w:p>
        </w:tc>
      </w:tr>
      <w:tr w:rsidR="0055166A" w14:paraId="6EC31D72" w14:textId="77777777" w:rsidTr="00EB66B6">
        <w:tc>
          <w:tcPr>
            <w:tcW w:w="1890" w:type="dxa"/>
          </w:tcPr>
          <w:p w14:paraId="524901AB" w14:textId="77777777" w:rsidR="0055166A" w:rsidRDefault="0055166A" w:rsidP="000D6769">
            <w:r>
              <w:t>TNF</w:t>
            </w:r>
          </w:p>
        </w:tc>
        <w:tc>
          <w:tcPr>
            <w:tcW w:w="6594" w:type="dxa"/>
          </w:tcPr>
          <w:p w14:paraId="55D1DAC8" w14:textId="77777777" w:rsidR="0055166A" w:rsidRDefault="0055166A" w:rsidP="000D6769">
            <w:r>
              <w:t xml:space="preserve">Tumour </w:t>
            </w:r>
            <w:r w:rsidR="005468E6">
              <w:t>necrosis factor</w:t>
            </w:r>
          </w:p>
        </w:tc>
      </w:tr>
      <w:tr w:rsidR="005468E6" w14:paraId="4E73BD79" w14:textId="77777777" w:rsidTr="00EB66B6">
        <w:tc>
          <w:tcPr>
            <w:tcW w:w="1890" w:type="dxa"/>
          </w:tcPr>
          <w:p w14:paraId="4E4D82BE" w14:textId="77777777" w:rsidR="005468E6" w:rsidRDefault="005468E6" w:rsidP="000D6769">
            <w:r>
              <w:t>TYK2</w:t>
            </w:r>
          </w:p>
        </w:tc>
        <w:tc>
          <w:tcPr>
            <w:tcW w:w="6594" w:type="dxa"/>
          </w:tcPr>
          <w:p w14:paraId="0E9D9542" w14:textId="77777777" w:rsidR="005468E6" w:rsidRDefault="005468E6" w:rsidP="005468E6">
            <w:r>
              <w:rPr>
                <w:lang w:eastAsia="ja-JP"/>
              </w:rPr>
              <w:t>Tyrosine kinase 2</w:t>
            </w:r>
          </w:p>
        </w:tc>
      </w:tr>
      <w:tr w:rsidR="0055166A" w14:paraId="1B1F7374" w14:textId="77777777" w:rsidTr="00EB66B6">
        <w:tc>
          <w:tcPr>
            <w:tcW w:w="1890" w:type="dxa"/>
          </w:tcPr>
          <w:p w14:paraId="4938A326" w14:textId="77777777" w:rsidR="0055166A" w:rsidRDefault="0055166A" w:rsidP="000D6769">
            <w:r>
              <w:t>ULN</w:t>
            </w:r>
          </w:p>
        </w:tc>
        <w:tc>
          <w:tcPr>
            <w:tcW w:w="6594" w:type="dxa"/>
          </w:tcPr>
          <w:p w14:paraId="1CD7BAA1" w14:textId="77777777" w:rsidR="0055166A" w:rsidRDefault="0055166A" w:rsidP="000D6769">
            <w:r>
              <w:t xml:space="preserve">Upper </w:t>
            </w:r>
            <w:r w:rsidR="005468E6">
              <w:t>limit of normal</w:t>
            </w:r>
          </w:p>
        </w:tc>
      </w:tr>
      <w:tr w:rsidR="00C20F9B" w14:paraId="55B095EC" w14:textId="77777777" w:rsidTr="00EB66B6">
        <w:tc>
          <w:tcPr>
            <w:tcW w:w="1890" w:type="dxa"/>
          </w:tcPr>
          <w:p w14:paraId="209CEF20" w14:textId="77777777" w:rsidR="00C20F9B" w:rsidRDefault="00C20F9B" w:rsidP="000D6769">
            <w:r>
              <w:t>URTI</w:t>
            </w:r>
          </w:p>
        </w:tc>
        <w:tc>
          <w:tcPr>
            <w:tcW w:w="6594" w:type="dxa"/>
          </w:tcPr>
          <w:p w14:paraId="3F8E6B21" w14:textId="77777777" w:rsidR="00C20F9B" w:rsidRDefault="00C20F9B" w:rsidP="000D6769">
            <w:r>
              <w:t>Upper respiratory tract infection</w:t>
            </w:r>
          </w:p>
        </w:tc>
      </w:tr>
      <w:tr w:rsidR="0035696E" w14:paraId="2CA6C952" w14:textId="77777777" w:rsidTr="00EB66B6">
        <w:tc>
          <w:tcPr>
            <w:tcW w:w="1890" w:type="dxa"/>
          </w:tcPr>
          <w:p w14:paraId="72745CC4" w14:textId="77777777" w:rsidR="0035696E" w:rsidRDefault="0035696E" w:rsidP="000D6769">
            <w:r>
              <w:t>USA</w:t>
            </w:r>
          </w:p>
        </w:tc>
        <w:tc>
          <w:tcPr>
            <w:tcW w:w="6594" w:type="dxa"/>
          </w:tcPr>
          <w:p w14:paraId="7517C9D4" w14:textId="77777777" w:rsidR="0035696E" w:rsidRDefault="0035696E" w:rsidP="000D6769">
            <w:r>
              <w:t>United States of America</w:t>
            </w:r>
          </w:p>
        </w:tc>
      </w:tr>
      <w:tr w:rsidR="0055166A" w14:paraId="16459627" w14:textId="77777777" w:rsidTr="00EB66B6">
        <w:tc>
          <w:tcPr>
            <w:tcW w:w="1890" w:type="dxa"/>
          </w:tcPr>
          <w:p w14:paraId="158619A5" w14:textId="77777777" w:rsidR="0055166A" w:rsidRDefault="0055166A" w:rsidP="000D6769">
            <w:r>
              <w:t>VAS</w:t>
            </w:r>
          </w:p>
        </w:tc>
        <w:tc>
          <w:tcPr>
            <w:tcW w:w="6594" w:type="dxa"/>
          </w:tcPr>
          <w:p w14:paraId="54929406" w14:textId="77777777" w:rsidR="0055166A" w:rsidRDefault="0055166A" w:rsidP="000D6769">
            <w:r>
              <w:t>Visual Analogue Scale</w:t>
            </w:r>
          </w:p>
        </w:tc>
      </w:tr>
      <w:tr w:rsidR="001B164A" w14:paraId="2CD4D32B" w14:textId="77777777" w:rsidTr="00EB66B6">
        <w:tc>
          <w:tcPr>
            <w:tcW w:w="1890" w:type="dxa"/>
          </w:tcPr>
          <w:p w14:paraId="37FE354A" w14:textId="7BB5E532" w:rsidR="001B164A" w:rsidRDefault="001B164A" w:rsidP="000D6769">
            <w:r>
              <w:t>VTE</w:t>
            </w:r>
          </w:p>
        </w:tc>
        <w:tc>
          <w:tcPr>
            <w:tcW w:w="6594" w:type="dxa"/>
          </w:tcPr>
          <w:p w14:paraId="2E4F21EA" w14:textId="7DA893E2" w:rsidR="001B164A" w:rsidRDefault="001B164A" w:rsidP="000D6769">
            <w:r>
              <w:t>Venous thromboembolism</w:t>
            </w:r>
          </w:p>
        </w:tc>
      </w:tr>
      <w:tr w:rsidR="0055166A" w14:paraId="3EEF88C5" w14:textId="77777777" w:rsidTr="00EB66B6">
        <w:tc>
          <w:tcPr>
            <w:tcW w:w="1890" w:type="dxa"/>
          </w:tcPr>
          <w:p w14:paraId="069E2632" w14:textId="77777777" w:rsidR="0055166A" w:rsidRDefault="0055166A" w:rsidP="000D6769">
            <w:r>
              <w:t>WPAI</w:t>
            </w:r>
          </w:p>
        </w:tc>
        <w:tc>
          <w:tcPr>
            <w:tcW w:w="6594" w:type="dxa"/>
          </w:tcPr>
          <w:p w14:paraId="7C2BFF56" w14:textId="77777777" w:rsidR="0055166A" w:rsidRDefault="0055166A" w:rsidP="000D6769">
            <w:r>
              <w:t xml:space="preserve">Work </w:t>
            </w:r>
            <w:r w:rsidR="005468E6">
              <w:t>productivity and activity impairment</w:t>
            </w:r>
          </w:p>
        </w:tc>
      </w:tr>
    </w:tbl>
    <w:p w14:paraId="065EB13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9C1D8BB" w14:textId="77777777" w:rsidR="008E7846" w:rsidRDefault="00F53C07" w:rsidP="008E7846">
      <w:pPr>
        <w:pStyle w:val="Heading2"/>
      </w:pPr>
      <w:bookmarkStart w:id="9" w:name="_Toc40171797"/>
      <w:r>
        <w:lastRenderedPageBreak/>
        <w:t>I.</w:t>
      </w:r>
      <w:r w:rsidR="008E7846">
        <w:t xml:space="preserve"> Introduction to product submission</w:t>
      </w:r>
      <w:bookmarkEnd w:id="3"/>
      <w:bookmarkEnd w:id="0"/>
      <w:bookmarkEnd w:id="9"/>
    </w:p>
    <w:p w14:paraId="1CA475E5" w14:textId="77777777" w:rsidR="008E7846" w:rsidRDefault="008E7846" w:rsidP="008E7846">
      <w:pPr>
        <w:pStyle w:val="Heading3"/>
        <w:rPr>
          <w:lang w:eastAsia="en-AU"/>
        </w:rPr>
      </w:pPr>
      <w:bookmarkStart w:id="10" w:name="_Toc247691502"/>
      <w:bookmarkStart w:id="11" w:name="_Toc314842483"/>
      <w:bookmarkStart w:id="12" w:name="_Toc40171798"/>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643FDE0" w14:textId="77777777" w:rsidTr="003735BC">
        <w:tc>
          <w:tcPr>
            <w:tcW w:w="2907" w:type="dxa"/>
          </w:tcPr>
          <w:p w14:paraId="6C4BA4A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CF9CD41" w14:textId="77777777" w:rsidR="008E7846" w:rsidRPr="003D1E62" w:rsidRDefault="008E7846" w:rsidP="00A45289">
            <w:r w:rsidRPr="003D1E62">
              <w:t xml:space="preserve">New </w:t>
            </w:r>
            <w:r w:rsidR="001B5C90">
              <w:t>c</w:t>
            </w:r>
            <w:r w:rsidRPr="003D1E62">
              <w:t xml:space="preserve">hemical </w:t>
            </w:r>
            <w:r w:rsidR="001B5C90">
              <w:t>e</w:t>
            </w:r>
            <w:r w:rsidR="00A45289">
              <w:t>ntity</w:t>
            </w:r>
          </w:p>
        </w:tc>
      </w:tr>
      <w:tr w:rsidR="008E7846" w:rsidRPr="003D1E62" w14:paraId="700A7BA7" w14:textId="77777777" w:rsidTr="003735BC">
        <w:tc>
          <w:tcPr>
            <w:tcW w:w="2907" w:type="dxa"/>
          </w:tcPr>
          <w:p w14:paraId="796F23E2" w14:textId="77777777" w:rsidR="008E7846" w:rsidRPr="003D1E62" w:rsidRDefault="008E7846" w:rsidP="003D1E62">
            <w:r w:rsidRPr="003D1E62">
              <w:rPr>
                <w:i/>
              </w:rPr>
              <w:t>Decision</w:t>
            </w:r>
            <w:r w:rsidRPr="003D1E62">
              <w:t>:</w:t>
            </w:r>
          </w:p>
        </w:tc>
        <w:tc>
          <w:tcPr>
            <w:tcW w:w="6307" w:type="dxa"/>
          </w:tcPr>
          <w:p w14:paraId="37C08711" w14:textId="77777777" w:rsidR="008E7846" w:rsidRPr="003D1E62" w:rsidRDefault="00A45289" w:rsidP="00A45289">
            <w:r>
              <w:t>Approved</w:t>
            </w:r>
          </w:p>
        </w:tc>
      </w:tr>
      <w:tr w:rsidR="008E7846" w:rsidRPr="003D1E62" w14:paraId="594D0D78" w14:textId="77777777" w:rsidTr="003735BC">
        <w:tc>
          <w:tcPr>
            <w:tcW w:w="2907" w:type="dxa"/>
          </w:tcPr>
          <w:p w14:paraId="5D36A5C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481F97E" w14:textId="77777777" w:rsidR="008E7846" w:rsidRPr="006B3283" w:rsidRDefault="00A45289" w:rsidP="001B5C90">
            <w:r w:rsidRPr="006B3283">
              <w:rPr>
                <w:rFonts w:eastAsia="Calibri"/>
              </w:rPr>
              <w:t>17 January 2020</w:t>
            </w:r>
          </w:p>
        </w:tc>
      </w:tr>
      <w:tr w:rsidR="00ED2922" w:rsidRPr="003D1E62" w14:paraId="4541E792" w14:textId="77777777" w:rsidTr="003735BC">
        <w:tc>
          <w:tcPr>
            <w:tcW w:w="2907" w:type="dxa"/>
          </w:tcPr>
          <w:p w14:paraId="7C0AA55C" w14:textId="77777777" w:rsidR="00ED2922" w:rsidRPr="00441C3F" w:rsidRDefault="00ED2922" w:rsidP="001B5C90">
            <w:pPr>
              <w:rPr>
                <w:i/>
              </w:rPr>
            </w:pPr>
            <w:r w:rsidRPr="00441C3F">
              <w:rPr>
                <w:i/>
              </w:rPr>
              <w:t>Date of entry onto ARTG</w:t>
            </w:r>
            <w:r w:rsidR="00500337">
              <w:rPr>
                <w:i/>
              </w:rPr>
              <w:t>:</w:t>
            </w:r>
          </w:p>
        </w:tc>
        <w:tc>
          <w:tcPr>
            <w:tcW w:w="6307" w:type="dxa"/>
          </w:tcPr>
          <w:p w14:paraId="3F76A26C" w14:textId="77777777" w:rsidR="00ED2922" w:rsidRPr="006B3283" w:rsidRDefault="00A45289" w:rsidP="00D153D8">
            <w:pPr>
              <w:rPr>
                <w:i/>
              </w:rPr>
            </w:pPr>
            <w:r w:rsidRPr="006B3283">
              <w:rPr>
                <w:rFonts w:eastAsia="Calibri"/>
              </w:rPr>
              <w:t>17 January 2020</w:t>
            </w:r>
          </w:p>
        </w:tc>
      </w:tr>
      <w:tr w:rsidR="00500337" w:rsidRPr="003D1E62" w14:paraId="7C694F22" w14:textId="77777777" w:rsidTr="003735BC">
        <w:tc>
          <w:tcPr>
            <w:tcW w:w="2907" w:type="dxa"/>
          </w:tcPr>
          <w:p w14:paraId="0C5D99D1" w14:textId="77777777" w:rsidR="00500337" w:rsidRPr="00441C3F" w:rsidRDefault="005468E6" w:rsidP="001B5C90">
            <w:pPr>
              <w:rPr>
                <w:i/>
              </w:rPr>
            </w:pPr>
            <w:r>
              <w:rPr>
                <w:i/>
              </w:rPr>
              <w:t>ARTG number</w:t>
            </w:r>
            <w:r w:rsidR="00500337">
              <w:rPr>
                <w:i/>
              </w:rPr>
              <w:t>:</w:t>
            </w:r>
          </w:p>
        </w:tc>
        <w:tc>
          <w:tcPr>
            <w:tcW w:w="6307" w:type="dxa"/>
          </w:tcPr>
          <w:p w14:paraId="7DE2AF3A" w14:textId="77777777" w:rsidR="00500337" w:rsidRPr="00441C3F" w:rsidRDefault="00A45289" w:rsidP="00EC463D">
            <w:r w:rsidRPr="00E151B3">
              <w:rPr>
                <w:rFonts w:eastAsia="Calibri"/>
              </w:rPr>
              <w:t>312687</w:t>
            </w:r>
          </w:p>
        </w:tc>
      </w:tr>
      <w:tr w:rsidR="003735BC" w:rsidRPr="003D1E62" w14:paraId="6D808E50" w14:textId="77777777" w:rsidTr="003735BC">
        <w:tc>
          <w:tcPr>
            <w:tcW w:w="2907" w:type="dxa"/>
          </w:tcPr>
          <w:p w14:paraId="6F0DD059"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7FFED00D" w14:textId="77777777" w:rsidR="003735BC" w:rsidRPr="00487162" w:rsidRDefault="00A45289" w:rsidP="00A45289">
            <w:r>
              <w:t>Yes</w:t>
            </w:r>
            <w:r w:rsidR="000D6769">
              <w:t xml:space="preserve">. </w:t>
            </w:r>
            <w:r w:rsidR="003735BC">
              <w:t xml:space="preserve">This product will remain in the scheme for 5 years, starting on the date the product is first supplied in </w:t>
            </w:r>
            <w:r>
              <w:t>Australia</w:t>
            </w:r>
          </w:p>
        </w:tc>
      </w:tr>
      <w:tr w:rsidR="008E7846" w:rsidRPr="00487162" w14:paraId="28220750" w14:textId="77777777" w:rsidTr="00BF1190">
        <w:tc>
          <w:tcPr>
            <w:tcW w:w="2907" w:type="dxa"/>
          </w:tcPr>
          <w:p w14:paraId="7A091147" w14:textId="77777777" w:rsidR="008E7846" w:rsidRPr="00487162" w:rsidRDefault="005468E6" w:rsidP="00E45619">
            <w:pPr>
              <w:rPr>
                <w:i/>
              </w:rPr>
            </w:pPr>
            <w:r>
              <w:rPr>
                <w:i/>
              </w:rPr>
              <w:t>Active ingredient</w:t>
            </w:r>
            <w:r w:rsidR="001B5C90">
              <w:rPr>
                <w:i/>
              </w:rPr>
              <w:t>:</w:t>
            </w:r>
          </w:p>
        </w:tc>
        <w:tc>
          <w:tcPr>
            <w:tcW w:w="6307" w:type="dxa"/>
          </w:tcPr>
          <w:p w14:paraId="48E8DAE3" w14:textId="77777777" w:rsidR="008E7846" w:rsidRPr="00487162" w:rsidRDefault="00A45289" w:rsidP="005468E6">
            <w:r>
              <w:t>Upadacitinib</w:t>
            </w:r>
          </w:p>
        </w:tc>
      </w:tr>
      <w:tr w:rsidR="008E7846" w:rsidRPr="00487162" w14:paraId="4818E4CB" w14:textId="77777777" w:rsidTr="00BF1190">
        <w:tc>
          <w:tcPr>
            <w:tcW w:w="2907" w:type="dxa"/>
          </w:tcPr>
          <w:p w14:paraId="3C7F6187" w14:textId="77777777" w:rsidR="008E7846" w:rsidRPr="00487162" w:rsidRDefault="008E7846" w:rsidP="001B5C90">
            <w:pPr>
              <w:rPr>
                <w:i/>
              </w:rPr>
            </w:pPr>
            <w:r w:rsidRPr="00487162">
              <w:rPr>
                <w:i/>
              </w:rPr>
              <w:t>Product</w:t>
            </w:r>
            <w:r w:rsidR="005468E6">
              <w:rPr>
                <w:i/>
              </w:rPr>
              <w:t xml:space="preserve"> name</w:t>
            </w:r>
            <w:r w:rsidR="001B5C90">
              <w:rPr>
                <w:i/>
              </w:rPr>
              <w:t>:</w:t>
            </w:r>
          </w:p>
        </w:tc>
        <w:tc>
          <w:tcPr>
            <w:tcW w:w="6307" w:type="dxa"/>
          </w:tcPr>
          <w:p w14:paraId="7DCD4D3C" w14:textId="77777777" w:rsidR="008E7846" w:rsidRPr="00487162" w:rsidRDefault="00A45289" w:rsidP="005468E6">
            <w:r>
              <w:t>Rinvoq</w:t>
            </w:r>
          </w:p>
        </w:tc>
      </w:tr>
      <w:tr w:rsidR="008E7846" w:rsidRPr="00487162" w14:paraId="1D7046DA" w14:textId="77777777" w:rsidTr="00BF1190">
        <w:tc>
          <w:tcPr>
            <w:tcW w:w="2907" w:type="dxa"/>
          </w:tcPr>
          <w:p w14:paraId="7E0E0C18"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BF2F870" w14:textId="77777777" w:rsidR="00A45289" w:rsidRPr="005C434C" w:rsidRDefault="00A45289" w:rsidP="005468E6">
            <w:pPr>
              <w:rPr>
                <w:lang w:val="es-ES"/>
              </w:rPr>
            </w:pPr>
            <w:proofErr w:type="spellStart"/>
            <w:r w:rsidRPr="005C434C">
              <w:rPr>
                <w:lang w:val="es-ES"/>
              </w:rPr>
              <w:t>AbbVie</w:t>
            </w:r>
            <w:proofErr w:type="spellEnd"/>
            <w:r w:rsidRPr="005C434C">
              <w:rPr>
                <w:lang w:val="es-ES"/>
              </w:rPr>
              <w:t xml:space="preserve"> </w:t>
            </w:r>
            <w:proofErr w:type="spellStart"/>
            <w:r w:rsidRPr="005C434C">
              <w:rPr>
                <w:lang w:val="es-ES"/>
              </w:rPr>
              <w:t>Pty</w:t>
            </w:r>
            <w:proofErr w:type="spellEnd"/>
            <w:r w:rsidRPr="005C434C">
              <w:rPr>
                <w:lang w:val="es-ES"/>
              </w:rPr>
              <w:t xml:space="preserve"> </w:t>
            </w:r>
            <w:proofErr w:type="spellStart"/>
            <w:r w:rsidRPr="005C434C">
              <w:rPr>
                <w:lang w:val="es-ES"/>
              </w:rPr>
              <w:t>Ltd</w:t>
            </w:r>
            <w:proofErr w:type="spellEnd"/>
            <w:r>
              <w:rPr>
                <w:lang w:val="es-ES"/>
              </w:rPr>
              <w:t>,</w:t>
            </w:r>
          </w:p>
          <w:p w14:paraId="3331ED7B" w14:textId="77777777" w:rsidR="008E7846" w:rsidRPr="00487162" w:rsidRDefault="00A45289" w:rsidP="005468E6">
            <w:r w:rsidRPr="005C434C">
              <w:rPr>
                <w:lang w:val="es-ES"/>
              </w:rPr>
              <w:t xml:space="preserve">241 </w:t>
            </w:r>
            <w:proofErr w:type="spellStart"/>
            <w:r w:rsidRPr="005C434C">
              <w:rPr>
                <w:lang w:val="es-ES"/>
              </w:rPr>
              <w:t>O’Riordan</w:t>
            </w:r>
            <w:proofErr w:type="spellEnd"/>
            <w:r w:rsidRPr="005C434C">
              <w:rPr>
                <w:lang w:val="es-ES"/>
              </w:rPr>
              <w:t xml:space="preserve"> </w:t>
            </w:r>
            <w:proofErr w:type="spellStart"/>
            <w:r w:rsidRPr="005C434C">
              <w:rPr>
                <w:lang w:val="es-ES"/>
              </w:rPr>
              <w:t>St</w:t>
            </w:r>
            <w:proofErr w:type="spellEnd"/>
            <w:r w:rsidRPr="005C434C">
              <w:rPr>
                <w:lang w:val="es-ES"/>
              </w:rPr>
              <w:t xml:space="preserve">, </w:t>
            </w:r>
            <w:proofErr w:type="spellStart"/>
            <w:r w:rsidRPr="005C434C">
              <w:rPr>
                <w:lang w:val="es-ES"/>
              </w:rPr>
              <w:t>Mascot</w:t>
            </w:r>
            <w:proofErr w:type="spellEnd"/>
            <w:r w:rsidRPr="005C434C">
              <w:rPr>
                <w:lang w:val="es-ES"/>
              </w:rPr>
              <w:t xml:space="preserve"> NSW 2020</w:t>
            </w:r>
          </w:p>
        </w:tc>
      </w:tr>
      <w:tr w:rsidR="008E7846" w:rsidRPr="00487162" w14:paraId="48E24B1B" w14:textId="77777777" w:rsidTr="00BF1190">
        <w:tc>
          <w:tcPr>
            <w:tcW w:w="2907" w:type="dxa"/>
          </w:tcPr>
          <w:p w14:paraId="775AD163" w14:textId="77777777" w:rsidR="008E7846" w:rsidRPr="00487162" w:rsidRDefault="005468E6" w:rsidP="00E45619">
            <w:pPr>
              <w:rPr>
                <w:i/>
              </w:rPr>
            </w:pPr>
            <w:r>
              <w:rPr>
                <w:i/>
              </w:rPr>
              <w:t>Dose form</w:t>
            </w:r>
            <w:r w:rsidR="001B5C90">
              <w:rPr>
                <w:i/>
              </w:rPr>
              <w:t>:</w:t>
            </w:r>
          </w:p>
        </w:tc>
        <w:tc>
          <w:tcPr>
            <w:tcW w:w="6307" w:type="dxa"/>
          </w:tcPr>
          <w:p w14:paraId="721FCC02" w14:textId="77777777" w:rsidR="008E7846" w:rsidRPr="00487162" w:rsidRDefault="00A45289" w:rsidP="005468E6">
            <w:r>
              <w:t>Modified release tablet</w:t>
            </w:r>
          </w:p>
        </w:tc>
      </w:tr>
      <w:tr w:rsidR="008E7846" w:rsidRPr="00487162" w14:paraId="165EF171" w14:textId="77777777" w:rsidTr="00BF1190">
        <w:tc>
          <w:tcPr>
            <w:tcW w:w="2907" w:type="dxa"/>
          </w:tcPr>
          <w:p w14:paraId="2C6837AE" w14:textId="77777777" w:rsidR="008E7846" w:rsidRPr="00487162" w:rsidRDefault="005468E6" w:rsidP="00E45619">
            <w:pPr>
              <w:rPr>
                <w:i/>
              </w:rPr>
            </w:pPr>
            <w:r>
              <w:rPr>
                <w:i/>
              </w:rPr>
              <w:t>Strength:</w:t>
            </w:r>
          </w:p>
        </w:tc>
        <w:tc>
          <w:tcPr>
            <w:tcW w:w="6307" w:type="dxa"/>
          </w:tcPr>
          <w:p w14:paraId="352CE521" w14:textId="77777777" w:rsidR="008E7846" w:rsidRPr="00487162" w:rsidRDefault="00A45289" w:rsidP="00E45619">
            <w:r>
              <w:rPr>
                <w:rFonts w:eastAsia="Calibri"/>
              </w:rPr>
              <w:t>15 mg</w:t>
            </w:r>
          </w:p>
        </w:tc>
      </w:tr>
      <w:tr w:rsidR="008E7846" w:rsidRPr="00487162" w14:paraId="58FA2CEB" w14:textId="77777777" w:rsidTr="00BF1190">
        <w:tc>
          <w:tcPr>
            <w:tcW w:w="2907" w:type="dxa"/>
          </w:tcPr>
          <w:p w14:paraId="53613658" w14:textId="77777777" w:rsidR="008E7846" w:rsidRPr="00487162" w:rsidRDefault="005468E6" w:rsidP="00E45619">
            <w:pPr>
              <w:rPr>
                <w:i/>
              </w:rPr>
            </w:pPr>
            <w:r>
              <w:rPr>
                <w:i/>
              </w:rPr>
              <w:t>Container</w:t>
            </w:r>
            <w:r w:rsidR="008E7846" w:rsidRPr="00487162">
              <w:rPr>
                <w:i/>
              </w:rPr>
              <w:t>:</w:t>
            </w:r>
          </w:p>
        </w:tc>
        <w:tc>
          <w:tcPr>
            <w:tcW w:w="6307" w:type="dxa"/>
          </w:tcPr>
          <w:p w14:paraId="536EB3F2" w14:textId="77777777" w:rsidR="008E7846" w:rsidRPr="00487162" w:rsidRDefault="00A45289" w:rsidP="00A45289">
            <w:r>
              <w:rPr>
                <w:rFonts w:eastAsia="Calibri"/>
              </w:rPr>
              <w:t>Blister pack</w:t>
            </w:r>
          </w:p>
        </w:tc>
      </w:tr>
      <w:tr w:rsidR="008E7846" w:rsidRPr="00487162" w14:paraId="3E57E179" w14:textId="77777777" w:rsidTr="00BF1190">
        <w:tc>
          <w:tcPr>
            <w:tcW w:w="2907" w:type="dxa"/>
          </w:tcPr>
          <w:p w14:paraId="109A23B1" w14:textId="77777777" w:rsidR="008E7846" w:rsidRPr="00487162" w:rsidRDefault="005468E6" w:rsidP="00E45619">
            <w:pPr>
              <w:rPr>
                <w:i/>
              </w:rPr>
            </w:pPr>
            <w:r>
              <w:rPr>
                <w:i/>
              </w:rPr>
              <w:t>Pack sizes</w:t>
            </w:r>
            <w:r w:rsidR="008E7846" w:rsidRPr="00487162">
              <w:rPr>
                <w:i/>
              </w:rPr>
              <w:t>:</w:t>
            </w:r>
          </w:p>
        </w:tc>
        <w:tc>
          <w:tcPr>
            <w:tcW w:w="6307" w:type="dxa"/>
          </w:tcPr>
          <w:p w14:paraId="0457FB7F" w14:textId="77777777" w:rsidR="008E7846" w:rsidRPr="00487162" w:rsidRDefault="00A45289" w:rsidP="00E45619">
            <w:r>
              <w:rPr>
                <w:lang w:eastAsia="en-AU"/>
              </w:rPr>
              <w:t>7 tablets (starter pack) and 28 tablets (monthly pack)</w:t>
            </w:r>
          </w:p>
        </w:tc>
      </w:tr>
      <w:tr w:rsidR="008E7846" w:rsidRPr="00487162" w14:paraId="16F960DC" w14:textId="77777777" w:rsidTr="00BF1190">
        <w:tc>
          <w:tcPr>
            <w:tcW w:w="2907" w:type="dxa"/>
          </w:tcPr>
          <w:p w14:paraId="4C71AA7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FA6347C" w14:textId="77777777" w:rsidR="00A45289" w:rsidRPr="006463FC" w:rsidRDefault="00A45289" w:rsidP="00124520">
            <w:pPr>
              <w:rPr>
                <w:i/>
              </w:rPr>
            </w:pPr>
            <w:r w:rsidRPr="006463FC">
              <w:rPr>
                <w:i/>
              </w:rPr>
              <w:t>Rinvoq is indicated for the treatment of moderate to severe active rheumatoid arthritis in adult patients who have responded inadequately to, or who are intolerant to, one or more disease-modifying anti-rheumatic drugs (DMARDs).</w:t>
            </w:r>
          </w:p>
          <w:p w14:paraId="66383FED" w14:textId="77777777" w:rsidR="008E7846" w:rsidRPr="00487162" w:rsidRDefault="00A45289" w:rsidP="00A45289">
            <w:pPr>
              <w:rPr>
                <w:rFonts w:eastAsia="MS Mincho"/>
                <w:lang w:eastAsia="ja-JP"/>
              </w:rPr>
            </w:pPr>
            <w:r w:rsidRPr="006463FC">
              <w:rPr>
                <w:i/>
              </w:rPr>
              <w:t>Rinvoq may be used as monotherapy or in combination with methotrexate or other conventional synthetic disease-modifying anti-rheumatic drugs (</w:t>
            </w:r>
            <w:proofErr w:type="spellStart"/>
            <w:r w:rsidRPr="006463FC">
              <w:rPr>
                <w:i/>
              </w:rPr>
              <w:t>csDMARDs</w:t>
            </w:r>
            <w:proofErr w:type="spellEnd"/>
            <w:r w:rsidRPr="006463FC">
              <w:rPr>
                <w:i/>
              </w:rPr>
              <w:t>).</w:t>
            </w:r>
          </w:p>
        </w:tc>
      </w:tr>
      <w:tr w:rsidR="008E7846" w:rsidRPr="00487162" w14:paraId="469476BE" w14:textId="77777777" w:rsidTr="00BF1190">
        <w:tc>
          <w:tcPr>
            <w:tcW w:w="2907" w:type="dxa"/>
          </w:tcPr>
          <w:p w14:paraId="780591C3" w14:textId="77777777" w:rsidR="008E7846" w:rsidRPr="00487162" w:rsidRDefault="005468E6" w:rsidP="00E45619">
            <w:pPr>
              <w:rPr>
                <w:i/>
              </w:rPr>
            </w:pPr>
            <w:r>
              <w:rPr>
                <w:i/>
              </w:rPr>
              <w:t>Route</w:t>
            </w:r>
            <w:r w:rsidR="008E7846" w:rsidRPr="00487162">
              <w:rPr>
                <w:i/>
              </w:rPr>
              <w:t xml:space="preserve"> of administration:</w:t>
            </w:r>
          </w:p>
        </w:tc>
        <w:tc>
          <w:tcPr>
            <w:tcW w:w="6307" w:type="dxa"/>
          </w:tcPr>
          <w:p w14:paraId="08B5EEBD" w14:textId="77777777" w:rsidR="008E7846" w:rsidRPr="00487162" w:rsidRDefault="00A45289" w:rsidP="00E45619">
            <w:r>
              <w:rPr>
                <w:rFonts w:eastAsia="Calibri"/>
              </w:rPr>
              <w:t>Oral</w:t>
            </w:r>
          </w:p>
        </w:tc>
      </w:tr>
      <w:tr w:rsidR="008E7846" w:rsidRPr="00487162" w14:paraId="01C190ED" w14:textId="77777777" w:rsidTr="00BF1190">
        <w:tc>
          <w:tcPr>
            <w:tcW w:w="2907" w:type="dxa"/>
          </w:tcPr>
          <w:p w14:paraId="489C25B3" w14:textId="77777777" w:rsidR="008E7846" w:rsidRPr="00487162" w:rsidRDefault="008E7846" w:rsidP="00E45619">
            <w:pPr>
              <w:rPr>
                <w:i/>
              </w:rPr>
            </w:pPr>
            <w:r w:rsidRPr="00487162">
              <w:rPr>
                <w:i/>
              </w:rPr>
              <w:t>Dosage:</w:t>
            </w:r>
          </w:p>
        </w:tc>
        <w:tc>
          <w:tcPr>
            <w:tcW w:w="6307" w:type="dxa"/>
          </w:tcPr>
          <w:p w14:paraId="295F133A" w14:textId="77777777" w:rsidR="00A45289" w:rsidRDefault="00A45289" w:rsidP="00A45289">
            <w:pPr>
              <w:rPr>
                <w:rFonts w:cs="Arial"/>
                <w:lang w:eastAsia="en-AU"/>
              </w:rPr>
            </w:pPr>
            <w:r>
              <w:rPr>
                <w:rFonts w:cs="Arial"/>
                <w:lang w:eastAsia="en-AU"/>
              </w:rPr>
              <w:t>Therapy with Rinvoq should be initiated and monitored by a rheumatologist or specialist physician with expertise in the management of rheumatoid arthritis.</w:t>
            </w:r>
          </w:p>
          <w:p w14:paraId="3F7171AF" w14:textId="77777777" w:rsidR="00A45289" w:rsidRDefault="00A45289" w:rsidP="00A45289">
            <w:pPr>
              <w:rPr>
                <w:rFonts w:cs="Arial"/>
                <w:lang w:eastAsia="en-AU"/>
              </w:rPr>
            </w:pPr>
            <w:r>
              <w:rPr>
                <w:rFonts w:cs="Arial"/>
                <w:lang w:eastAsia="en-AU"/>
              </w:rPr>
              <w:t>The recommended oral dose of Rinvoq is 15 mg once daily with or without food.</w:t>
            </w:r>
          </w:p>
          <w:p w14:paraId="7E2329B3" w14:textId="14A673E2" w:rsidR="00A45289" w:rsidRDefault="00A45289" w:rsidP="00A45289">
            <w:pPr>
              <w:rPr>
                <w:rFonts w:cs="Arial"/>
                <w:lang w:eastAsia="en-AU"/>
              </w:rPr>
            </w:pPr>
            <w:r>
              <w:rPr>
                <w:rFonts w:cs="Arial"/>
                <w:lang w:eastAsia="en-AU"/>
              </w:rPr>
              <w:t>Rinvoq should not be initiated in patients with an absolute lymphocyte count (ALC) less than 500 cells/mm</w:t>
            </w:r>
            <w:r>
              <w:rPr>
                <w:rFonts w:cs="Arial"/>
                <w:vertAlign w:val="superscript"/>
                <w:lang w:eastAsia="en-AU"/>
              </w:rPr>
              <w:t>3</w:t>
            </w:r>
            <w:r>
              <w:rPr>
                <w:rFonts w:cs="Arial"/>
                <w:lang w:eastAsia="en-AU"/>
              </w:rPr>
              <w:t>, an absolute neutrophil count (ANC) less than 1000 cells/mm</w:t>
            </w:r>
            <w:r>
              <w:rPr>
                <w:rFonts w:cs="Arial"/>
                <w:vertAlign w:val="superscript"/>
                <w:lang w:eastAsia="en-AU"/>
              </w:rPr>
              <w:t>3</w:t>
            </w:r>
            <w:r>
              <w:rPr>
                <w:rFonts w:cs="Arial"/>
                <w:lang w:eastAsia="en-AU"/>
              </w:rPr>
              <w:t xml:space="preserve"> or who have haemoglobin levels less than 8 g/</w:t>
            </w:r>
            <w:proofErr w:type="spellStart"/>
            <w:r>
              <w:rPr>
                <w:rFonts w:cs="Arial"/>
                <w:lang w:eastAsia="en-AU"/>
              </w:rPr>
              <w:t>dL</w:t>
            </w:r>
            <w:proofErr w:type="spellEnd"/>
            <w:r>
              <w:rPr>
                <w:rFonts w:cs="Arial"/>
                <w:lang w:eastAsia="en-AU"/>
              </w:rPr>
              <w:t xml:space="preserve"> (see Product Information Sections 4.4 </w:t>
            </w:r>
            <w:r w:rsidR="00D7064E">
              <w:rPr>
                <w:rFonts w:cs="Arial"/>
                <w:lang w:eastAsia="en-AU"/>
              </w:rPr>
              <w:t xml:space="preserve">Special Warnings And Precautions For Use </w:t>
            </w:r>
            <w:r>
              <w:rPr>
                <w:rFonts w:cs="Arial"/>
                <w:lang w:eastAsia="en-AU"/>
              </w:rPr>
              <w:t xml:space="preserve">and </w:t>
            </w:r>
            <w:r>
              <w:rPr>
                <w:rFonts w:cs="Arial"/>
                <w:lang w:eastAsia="en-AU"/>
              </w:rPr>
              <w:lastRenderedPageBreak/>
              <w:t>4.8</w:t>
            </w:r>
            <w:r w:rsidR="00D7064E">
              <w:rPr>
                <w:rFonts w:cs="Arial"/>
                <w:lang w:eastAsia="en-AU"/>
              </w:rPr>
              <w:t> Adverse Effects</w:t>
            </w:r>
            <w:r>
              <w:rPr>
                <w:rFonts w:cs="Arial"/>
                <w:lang w:eastAsia="en-AU"/>
              </w:rPr>
              <w:t>).</w:t>
            </w:r>
          </w:p>
          <w:p w14:paraId="2603C425" w14:textId="77777777" w:rsidR="00A45289" w:rsidRDefault="00A45289" w:rsidP="00A45289">
            <w:pPr>
              <w:rPr>
                <w:rFonts w:cs="Arial"/>
                <w:lang w:eastAsia="en-AU"/>
              </w:rPr>
            </w:pPr>
            <w:r>
              <w:rPr>
                <w:rFonts w:cs="Arial"/>
                <w:lang w:eastAsia="en-AU"/>
              </w:rPr>
              <w:t xml:space="preserve">Rinvoq may be used as monotherapy or in combination with methotrexate or other </w:t>
            </w:r>
            <w:proofErr w:type="spellStart"/>
            <w:r>
              <w:rPr>
                <w:rFonts w:cs="Arial"/>
                <w:lang w:eastAsia="en-AU"/>
              </w:rPr>
              <w:t>csDMARDs</w:t>
            </w:r>
            <w:proofErr w:type="spellEnd"/>
            <w:r>
              <w:rPr>
                <w:rFonts w:cs="Arial"/>
                <w:lang w:eastAsia="en-AU"/>
              </w:rPr>
              <w:t>.</w:t>
            </w:r>
          </w:p>
          <w:p w14:paraId="79888CB0" w14:textId="458820AC" w:rsidR="00A45289" w:rsidRDefault="00A45289" w:rsidP="00A45289">
            <w:pPr>
              <w:rPr>
                <w:rFonts w:cs="Arial"/>
                <w:lang w:eastAsia="en-AU"/>
              </w:rPr>
            </w:pPr>
            <w:r>
              <w:rPr>
                <w:rFonts w:cs="Arial"/>
                <w:lang w:eastAsia="en-AU"/>
              </w:rPr>
              <w:t xml:space="preserve">Combination with other </w:t>
            </w:r>
            <w:proofErr w:type="spellStart"/>
            <w:r w:rsidR="00D7064E">
              <w:rPr>
                <w:rFonts w:cs="Arial"/>
                <w:lang w:eastAsia="en-AU"/>
              </w:rPr>
              <w:t>janus</w:t>
            </w:r>
            <w:proofErr w:type="spellEnd"/>
            <w:r w:rsidR="00D7064E">
              <w:rPr>
                <w:rFonts w:cs="Arial"/>
                <w:lang w:eastAsia="en-AU"/>
              </w:rPr>
              <w:t xml:space="preserve"> kinase (</w:t>
            </w:r>
            <w:r>
              <w:rPr>
                <w:rFonts w:cs="Arial"/>
                <w:lang w:eastAsia="en-AU"/>
              </w:rPr>
              <w:t>JAK</w:t>
            </w:r>
            <w:r w:rsidR="00D7064E">
              <w:rPr>
                <w:rFonts w:cs="Arial"/>
                <w:lang w:eastAsia="en-AU"/>
              </w:rPr>
              <w:t>)</w:t>
            </w:r>
            <w:r>
              <w:rPr>
                <w:rFonts w:cs="Arial"/>
                <w:lang w:eastAsia="en-AU"/>
              </w:rPr>
              <w:t xml:space="preserve"> inhibitors or potent </w:t>
            </w:r>
            <w:proofErr w:type="spellStart"/>
            <w:r>
              <w:rPr>
                <w:rFonts w:cs="Arial"/>
                <w:lang w:eastAsia="en-AU"/>
              </w:rPr>
              <w:t>immunosuppressants</w:t>
            </w:r>
            <w:proofErr w:type="spellEnd"/>
            <w:r>
              <w:rPr>
                <w:rFonts w:cs="Arial"/>
                <w:lang w:eastAsia="en-AU"/>
              </w:rPr>
              <w:t xml:space="preserve"> has not been studied and is not recommended.</w:t>
            </w:r>
          </w:p>
          <w:p w14:paraId="068A468F" w14:textId="77777777" w:rsidR="008E7846" w:rsidRPr="00487162" w:rsidRDefault="00A45289" w:rsidP="00A45289">
            <w:r>
              <w:rPr>
                <w:rFonts w:eastAsia="Calibri"/>
              </w:rPr>
              <w:t xml:space="preserve">For further </w:t>
            </w:r>
            <w:r w:rsidR="00EB66B6">
              <w:rPr>
                <w:rFonts w:eastAsia="Calibri"/>
              </w:rPr>
              <w:t>information,</w:t>
            </w:r>
            <w:r>
              <w:rPr>
                <w:rFonts w:eastAsia="Calibri"/>
              </w:rPr>
              <w:t xml:space="preserve"> refer to the Product Information.</w:t>
            </w:r>
          </w:p>
        </w:tc>
      </w:tr>
    </w:tbl>
    <w:p w14:paraId="79E197AE" w14:textId="77777777" w:rsidR="008E7846" w:rsidRDefault="008E7846" w:rsidP="008E7846">
      <w:pPr>
        <w:pStyle w:val="Heading3"/>
      </w:pPr>
      <w:bookmarkStart w:id="13" w:name="_Toc247691503"/>
      <w:bookmarkStart w:id="14" w:name="_Toc314842484"/>
      <w:bookmarkStart w:id="15" w:name="_Toc40171799"/>
      <w:r>
        <w:lastRenderedPageBreak/>
        <w:t>Product background</w:t>
      </w:r>
      <w:bookmarkEnd w:id="13"/>
      <w:bookmarkEnd w:id="14"/>
      <w:bookmarkEnd w:id="15"/>
    </w:p>
    <w:p w14:paraId="5E84E845" w14:textId="77777777" w:rsidR="0055166A" w:rsidRDefault="00940A89" w:rsidP="00776389">
      <w:r w:rsidRPr="00940A89">
        <w:t xml:space="preserve">This AusPAR describes the application by </w:t>
      </w:r>
      <w:proofErr w:type="spellStart"/>
      <w:r w:rsidR="0035696E" w:rsidRPr="005C434C">
        <w:rPr>
          <w:lang w:val="es-ES"/>
        </w:rPr>
        <w:t>AbbVie</w:t>
      </w:r>
      <w:proofErr w:type="spellEnd"/>
      <w:r w:rsidR="0035696E" w:rsidRPr="005C434C">
        <w:rPr>
          <w:lang w:val="es-ES"/>
        </w:rPr>
        <w:t xml:space="preserve"> </w:t>
      </w:r>
      <w:proofErr w:type="spellStart"/>
      <w:r w:rsidR="0035696E" w:rsidRPr="005C434C">
        <w:rPr>
          <w:lang w:val="es-ES"/>
        </w:rPr>
        <w:t>Pty</w:t>
      </w:r>
      <w:proofErr w:type="spellEnd"/>
      <w:r w:rsidR="0035696E" w:rsidRPr="005C434C">
        <w:rPr>
          <w:lang w:val="es-ES"/>
        </w:rPr>
        <w:t xml:space="preserve"> </w:t>
      </w:r>
      <w:proofErr w:type="spellStart"/>
      <w:r w:rsidR="0035696E" w:rsidRPr="005C434C">
        <w:rPr>
          <w:lang w:val="es-ES"/>
        </w:rPr>
        <w:t>Ltd</w:t>
      </w:r>
      <w:proofErr w:type="spellEnd"/>
      <w:r w:rsidR="0035696E" w:rsidRPr="00940A89">
        <w:t xml:space="preserve"> </w:t>
      </w:r>
      <w:r w:rsidR="0035696E">
        <w:t>(</w:t>
      </w:r>
      <w:r w:rsidRPr="00940A89">
        <w:t>the sponsor</w:t>
      </w:r>
      <w:r w:rsidR="0035696E">
        <w:t>)</w:t>
      </w:r>
      <w:r w:rsidRPr="00940A89">
        <w:t xml:space="preserve"> to register </w:t>
      </w:r>
      <w:r w:rsidR="0055166A">
        <w:t>a new chemical entity, upadacitinib (Rinvoq), for the treatment of adult patients with rheumatoid arthritis</w:t>
      </w:r>
      <w:r w:rsidR="000D6769">
        <w:t xml:space="preserve"> as follows:</w:t>
      </w:r>
    </w:p>
    <w:p w14:paraId="2BCF8BCA" w14:textId="77777777" w:rsidR="0055166A" w:rsidRPr="00776389" w:rsidRDefault="0009021C" w:rsidP="00776389">
      <w:pPr>
        <w:ind w:left="720"/>
        <w:rPr>
          <w:i/>
        </w:rPr>
      </w:pPr>
      <w:r>
        <w:rPr>
          <w:i/>
        </w:rPr>
        <w:t>Rinvoq</w:t>
      </w:r>
      <w:r w:rsidR="0055166A" w:rsidRPr="00776389">
        <w:rPr>
          <w:i/>
        </w:rPr>
        <w:t xml:space="preserve"> is indicated for the treatment of moderate to severe active rheumatoid arthritis in adult patients who have responded inadequately to, or who are intolerant to one or more disease modifying anti-rheumatic drugs (DMARDs).</w:t>
      </w:r>
    </w:p>
    <w:p w14:paraId="54328D5D" w14:textId="77777777" w:rsidR="0055166A" w:rsidRDefault="0009021C" w:rsidP="00776389">
      <w:pPr>
        <w:ind w:left="720"/>
      </w:pPr>
      <w:r>
        <w:rPr>
          <w:i/>
        </w:rPr>
        <w:t xml:space="preserve">Rinvoq </w:t>
      </w:r>
      <w:r w:rsidR="0055166A" w:rsidRPr="00776389">
        <w:rPr>
          <w:i/>
        </w:rPr>
        <w:t>may be used as monotherapy or in combination with methotrexate or other conventional synthetic disease-modifying anti-rheumatic drugs (</w:t>
      </w:r>
      <w:proofErr w:type="spellStart"/>
      <w:r w:rsidR="0055166A" w:rsidRPr="00776389">
        <w:rPr>
          <w:i/>
        </w:rPr>
        <w:t>csDMARDs</w:t>
      </w:r>
      <w:proofErr w:type="spellEnd"/>
      <w:r w:rsidR="0055166A" w:rsidRPr="00776389">
        <w:rPr>
          <w:i/>
        </w:rPr>
        <w:t>).</w:t>
      </w:r>
    </w:p>
    <w:p w14:paraId="3265FF7A" w14:textId="77777777" w:rsidR="000D6769" w:rsidRDefault="00124520" w:rsidP="00776389">
      <w:bookmarkStart w:id="16" w:name="_Toc314842485"/>
      <w:bookmarkStart w:id="17" w:name="_Toc247691504"/>
      <w:r w:rsidRPr="00124520">
        <w:t>Upadacitinib is a selective and reversible inhibitor of</w:t>
      </w:r>
      <w:r w:rsidR="000D6769" w:rsidRPr="000D6769">
        <w:t xml:space="preserve"> </w:t>
      </w:r>
      <w:r w:rsidR="005468E6">
        <w:t>Janus k</w:t>
      </w:r>
      <w:r w:rsidR="000D6769">
        <w:t>inase 1 (</w:t>
      </w:r>
      <w:r w:rsidRPr="00124520">
        <w:t>JAK1</w:t>
      </w:r>
      <w:r w:rsidR="000D6769">
        <w:t>)</w:t>
      </w:r>
      <w:r w:rsidR="004A0AFF">
        <w:t>.</w:t>
      </w:r>
    </w:p>
    <w:p w14:paraId="0E06CB3B" w14:textId="2414442A" w:rsidR="000D6769" w:rsidRDefault="005A2D8F" w:rsidP="000D6769">
      <w:r>
        <w:t xml:space="preserve">Janus kinases (JAK) </w:t>
      </w:r>
      <w:r w:rsidR="000D6769">
        <w:t>are important intracellular enzymes that transmit cytokine or growth factor signals involved in a broad range of cellular processes including inflammatory responses, haematopoiesis and immune surveillance. They are involved in various diseases including haematological malignancies and autoimmune diseases such as rheumatoid arthritis.</w:t>
      </w:r>
    </w:p>
    <w:p w14:paraId="35AF5D18" w14:textId="1989E394" w:rsidR="000D6769" w:rsidRDefault="000D6769" w:rsidP="000D6769">
      <w:r>
        <w:t xml:space="preserve">The JAK family of enzymes contains four members, JAK1, JAK2, JAK3 and </w:t>
      </w:r>
      <w:r w:rsidR="005468E6">
        <w:rPr>
          <w:lang w:eastAsia="ja-JP"/>
        </w:rPr>
        <w:t>tyrosine kinase 2 (</w:t>
      </w:r>
      <w:r>
        <w:t>TYK2</w:t>
      </w:r>
      <w:r w:rsidR="005468E6">
        <w:t>)</w:t>
      </w:r>
      <w:r>
        <w:t xml:space="preserve"> </w:t>
      </w:r>
      <w:r w:rsidR="00EB66B6">
        <w:t>that</w:t>
      </w:r>
      <w:r>
        <w:t xml:space="preserve"> work in pairs to phosphorylate and activate signal transducers and activators of transcription (STAT). This phosphorylation, in turn, modulates gene expression and cellular function. JAK1 is important in inflammatory cytokine signals while JAK2 is important for red blood cell maturation and JAK3 signals play a role in immune surveillance and lymphocyte function.</w:t>
      </w:r>
    </w:p>
    <w:p w14:paraId="23932036" w14:textId="146EA617" w:rsidR="0055166A" w:rsidRPr="007173E8" w:rsidRDefault="00124520" w:rsidP="00776389">
      <w:r w:rsidRPr="007173E8">
        <w:t>Upadacitinib more potently inhibits JAK1 compared to JAK2 and JAK3</w:t>
      </w:r>
      <w:r w:rsidRPr="006B3283">
        <w:t>. In cellular potency assays that correlated with the in vivo pharmacodynamic responses, upadacitinib demonstrated 33 to 197 fold greater selectivity for JAK1-associated signalling over JAK2</w:t>
      </w:r>
      <w:r w:rsidR="005A2D8F">
        <w:noBreakHyphen/>
      </w:r>
      <w:r w:rsidRPr="006B3283">
        <w:t xml:space="preserve">JAK2 signalling. In </w:t>
      </w:r>
      <w:r w:rsidRPr="007173E8">
        <w:t>enzyme assays, upadacitinib had &gt; 50 fold selectivity for JAK1 over JAK3.</w:t>
      </w:r>
    </w:p>
    <w:p w14:paraId="5E477DD3" w14:textId="77777777" w:rsidR="0055166A" w:rsidRDefault="0055166A" w:rsidP="00776389">
      <w:r>
        <w:t xml:space="preserve">Rheumatoid arthritis (RA) is a chronic inflammatory autoimmune disease characterised by </w:t>
      </w:r>
      <w:proofErr w:type="spellStart"/>
      <w:r>
        <w:t>polyarticular</w:t>
      </w:r>
      <w:proofErr w:type="spellEnd"/>
      <w:r>
        <w:t xml:space="preserve"> inflammation of predominately small to medium sized joints in a symmetric pattern. The condition affects approximately 1% of the Australian population and its prevalence increases with age. The primary lesion is synovitis whereby immune cells invade the normally acellular synovium leading to the formation of inflammatory pannus. This hyperplastic invasive tissue causes cartilage breakdown, bony erosion and ultimately loss of function of the affected joints. Systemic involvement may also occur, and there is an increased risk of atherosclerosis, infection and lymphoma over time, particularly if the condition is insufficiently controlled.</w:t>
      </w:r>
    </w:p>
    <w:p w14:paraId="77B2E90E" w14:textId="792F5484" w:rsidR="0055166A" w:rsidRDefault="0055166A" w:rsidP="00776389">
      <w:pPr>
        <w:rPr>
          <w:lang w:eastAsia="ja-JP"/>
        </w:rPr>
      </w:pPr>
      <w:r>
        <w:t xml:space="preserve">The treatment of RA emphasises the importance of achieving clinical remission, or at least low disease activity, and in addition to treating the signs and symptoms of RA, an impact on inhibiting the structural bone damage of the condition is highly desirable. </w:t>
      </w:r>
      <w:r w:rsidR="005468E6">
        <w:t xml:space="preserve">Conventional synthetic </w:t>
      </w:r>
      <w:r w:rsidR="005468E6" w:rsidRPr="005468E6">
        <w:t>disease-modifying anti-rheumatic drugs (</w:t>
      </w:r>
      <w:proofErr w:type="spellStart"/>
      <w:r w:rsidR="005468E6" w:rsidRPr="005468E6">
        <w:t>csDMARDs</w:t>
      </w:r>
      <w:proofErr w:type="spellEnd"/>
      <w:r w:rsidR="005468E6">
        <w:t xml:space="preserve">; </w:t>
      </w:r>
      <w:r>
        <w:t>in particular, methotrexate</w:t>
      </w:r>
      <w:r w:rsidR="005A2D8F">
        <w:t xml:space="preserve"> </w:t>
      </w:r>
      <w:r w:rsidR="005A2D8F">
        <w:lastRenderedPageBreak/>
        <w:t>(MTX)</w:t>
      </w:r>
      <w:r>
        <w:t xml:space="preserve">), alone or in combination with each other, are the initial recommended treatments for RA. Biological </w:t>
      </w:r>
      <w:r w:rsidR="00726DDE" w:rsidRPr="005468E6">
        <w:t>disease-modifying anti-rheumatic drugs</w:t>
      </w:r>
      <w:r w:rsidR="00726DDE">
        <w:t xml:space="preserve"> (</w:t>
      </w:r>
      <w:proofErr w:type="spellStart"/>
      <w:r w:rsidR="005A2D8F">
        <w:t>b</w:t>
      </w:r>
      <w:r>
        <w:t>DMARDs</w:t>
      </w:r>
      <w:proofErr w:type="spellEnd"/>
      <w:r w:rsidR="00726DDE">
        <w:t>)</w:t>
      </w:r>
      <w:r>
        <w:t xml:space="preserve"> </w:t>
      </w:r>
      <w:r w:rsidR="00EB66B6">
        <w:t>either as add-on or as single</w:t>
      </w:r>
      <w:r>
        <w:t xml:space="preserve"> drug therapy is the next recommended line of therapy in active RA after </w:t>
      </w:r>
      <w:proofErr w:type="spellStart"/>
      <w:r w:rsidR="005A2D8F">
        <w:t>cs</w:t>
      </w:r>
      <w:r>
        <w:t>DMARD</w:t>
      </w:r>
      <w:proofErr w:type="spellEnd"/>
      <w:r>
        <w:t xml:space="preserve"> failure or intolerability. </w:t>
      </w:r>
      <w:r>
        <w:rPr>
          <w:lang w:eastAsia="ja-JP"/>
        </w:rPr>
        <w:t xml:space="preserve">Inhibition of JAK mediated pathways is an established treatment approach for adult RA patients with </w:t>
      </w:r>
      <w:r w:rsidR="00EB66B6">
        <w:rPr>
          <w:lang w:eastAsia="ja-JP"/>
        </w:rPr>
        <w:t>two</w:t>
      </w:r>
      <w:r>
        <w:rPr>
          <w:lang w:eastAsia="ja-JP"/>
        </w:rPr>
        <w:t xml:space="preserve"> current JAK inhibitors (</w:t>
      </w:r>
      <w:proofErr w:type="spellStart"/>
      <w:r>
        <w:rPr>
          <w:lang w:eastAsia="ja-JP"/>
        </w:rPr>
        <w:t>tofacitinib</w:t>
      </w:r>
      <w:proofErr w:type="spellEnd"/>
      <w:r>
        <w:rPr>
          <w:lang w:eastAsia="ja-JP"/>
        </w:rPr>
        <w:t xml:space="preserve"> and </w:t>
      </w:r>
      <w:proofErr w:type="spellStart"/>
      <w:r>
        <w:rPr>
          <w:lang w:eastAsia="ja-JP"/>
        </w:rPr>
        <w:t>baricitinib</w:t>
      </w:r>
      <w:proofErr w:type="spellEnd"/>
      <w:r>
        <w:rPr>
          <w:lang w:eastAsia="ja-JP"/>
        </w:rPr>
        <w:t>) approved in Australia for this indication.</w:t>
      </w:r>
      <w:r w:rsidR="004E3248">
        <w:rPr>
          <w:lang w:eastAsia="ja-JP"/>
        </w:rPr>
        <w:t xml:space="preserve"> </w:t>
      </w:r>
      <w:r>
        <w:rPr>
          <w:lang w:eastAsia="ja-JP"/>
        </w:rPr>
        <w:t>Upadacitinib is claimed to have greater affinity for the JAK1 isoform (</w:t>
      </w:r>
      <w:r w:rsidRPr="00726DDE">
        <w:rPr>
          <w:i/>
          <w:lang w:eastAsia="ja-JP"/>
        </w:rPr>
        <w:t>in vitro</w:t>
      </w:r>
      <w:r>
        <w:rPr>
          <w:lang w:eastAsia="ja-JP"/>
        </w:rPr>
        <w:t xml:space="preserve">) and less potency for the JAK2, JAK3 and </w:t>
      </w:r>
      <w:r w:rsidR="00726DDE">
        <w:rPr>
          <w:lang w:eastAsia="ja-JP"/>
        </w:rPr>
        <w:t>TYK2</w:t>
      </w:r>
      <w:r>
        <w:rPr>
          <w:lang w:eastAsia="ja-JP"/>
        </w:rPr>
        <w:t xml:space="preserve"> enzyme systems compared with less selective JAK inhibitors</w:t>
      </w:r>
      <w:r w:rsidR="004E3248">
        <w:rPr>
          <w:lang w:eastAsia="ja-JP"/>
        </w:rPr>
        <w:t xml:space="preserve"> such as</w:t>
      </w:r>
      <w:r>
        <w:rPr>
          <w:lang w:eastAsia="ja-JP"/>
        </w:rPr>
        <w:t xml:space="preserve"> </w:t>
      </w:r>
      <w:proofErr w:type="spellStart"/>
      <w:r>
        <w:rPr>
          <w:lang w:eastAsia="ja-JP"/>
        </w:rPr>
        <w:t>baricitinib</w:t>
      </w:r>
      <w:proofErr w:type="spellEnd"/>
      <w:r>
        <w:rPr>
          <w:lang w:eastAsia="ja-JP"/>
        </w:rPr>
        <w:t xml:space="preserve"> and </w:t>
      </w:r>
      <w:proofErr w:type="spellStart"/>
      <w:r>
        <w:rPr>
          <w:lang w:eastAsia="ja-JP"/>
        </w:rPr>
        <w:t>tofacitinib</w:t>
      </w:r>
      <w:proofErr w:type="spellEnd"/>
      <w:r>
        <w:rPr>
          <w:lang w:eastAsia="ja-JP"/>
        </w:rPr>
        <w:t>.</w:t>
      </w:r>
    </w:p>
    <w:p w14:paraId="25A3C363" w14:textId="77777777" w:rsidR="0055166A" w:rsidRDefault="0055166A" w:rsidP="00776389">
      <w:pPr>
        <w:rPr>
          <w:lang w:eastAsia="ja-JP"/>
        </w:rPr>
      </w:pPr>
      <w:r>
        <w:rPr>
          <w:lang w:eastAsia="ja-JP"/>
        </w:rPr>
        <w:t xml:space="preserve">The currently approved rheumatoid arthritis indications for </w:t>
      </w:r>
      <w:proofErr w:type="spellStart"/>
      <w:r>
        <w:rPr>
          <w:lang w:eastAsia="ja-JP"/>
        </w:rPr>
        <w:t>tofacitinib</w:t>
      </w:r>
      <w:proofErr w:type="spellEnd"/>
      <w:r>
        <w:rPr>
          <w:lang w:eastAsia="ja-JP"/>
        </w:rPr>
        <w:t xml:space="preserve"> and </w:t>
      </w:r>
      <w:proofErr w:type="spellStart"/>
      <w:r>
        <w:rPr>
          <w:lang w:eastAsia="ja-JP"/>
        </w:rPr>
        <w:t>baricitinib</w:t>
      </w:r>
      <w:proofErr w:type="spellEnd"/>
      <w:r>
        <w:rPr>
          <w:lang w:eastAsia="ja-JP"/>
        </w:rPr>
        <w:t xml:space="preserve"> in Australia are as follows:</w:t>
      </w:r>
    </w:p>
    <w:p w14:paraId="168B65D7" w14:textId="77777777" w:rsidR="0055166A" w:rsidRPr="00776389" w:rsidRDefault="0055166A" w:rsidP="00776389">
      <w:pPr>
        <w:ind w:left="720"/>
        <w:rPr>
          <w:i/>
          <w:lang w:eastAsia="ja-JP"/>
        </w:rPr>
      </w:pPr>
      <w:r w:rsidRPr="00776389">
        <w:rPr>
          <w:i/>
          <w:lang w:eastAsia="ja-JP"/>
        </w:rPr>
        <w:t>Tofacitinib</w:t>
      </w:r>
    </w:p>
    <w:p w14:paraId="7CCE9768" w14:textId="5F723366" w:rsidR="0055166A" w:rsidRPr="00776389" w:rsidRDefault="0055166A" w:rsidP="00776389">
      <w:pPr>
        <w:ind w:left="720"/>
        <w:rPr>
          <w:i/>
          <w:lang w:eastAsia="ja-JP"/>
        </w:rPr>
      </w:pPr>
      <w:r w:rsidRPr="00776389">
        <w:rPr>
          <w:i/>
          <w:sz w:val="23"/>
          <w:szCs w:val="23"/>
        </w:rPr>
        <w:t xml:space="preserve">Xeljanz is indicated for the treatment of moderate to severe active rheumatoid arthritis in adults who have had an inadequate response or are intolerant to methotrexate. </w:t>
      </w:r>
      <w:r w:rsidR="005A2D8F">
        <w:rPr>
          <w:i/>
          <w:sz w:val="23"/>
          <w:szCs w:val="23"/>
        </w:rPr>
        <w:t>Xeljanz</w:t>
      </w:r>
      <w:r w:rsidR="005A2D8F" w:rsidRPr="00776389">
        <w:rPr>
          <w:i/>
          <w:sz w:val="23"/>
          <w:szCs w:val="23"/>
        </w:rPr>
        <w:t xml:space="preserve"> </w:t>
      </w:r>
      <w:r w:rsidRPr="00776389">
        <w:rPr>
          <w:i/>
          <w:sz w:val="23"/>
          <w:szCs w:val="23"/>
        </w:rPr>
        <w:t xml:space="preserve">can be used alone or in combination with conventional synthetic disease-modifying </w:t>
      </w:r>
      <w:proofErr w:type="spellStart"/>
      <w:r w:rsidRPr="00776389">
        <w:rPr>
          <w:i/>
          <w:sz w:val="23"/>
          <w:szCs w:val="23"/>
        </w:rPr>
        <w:t>antirheumatic</w:t>
      </w:r>
      <w:proofErr w:type="spellEnd"/>
      <w:r w:rsidRPr="00776389">
        <w:rPr>
          <w:i/>
          <w:sz w:val="23"/>
          <w:szCs w:val="23"/>
        </w:rPr>
        <w:t xml:space="preserve"> drugs (DMARDs), including methotrexate.</w:t>
      </w:r>
    </w:p>
    <w:p w14:paraId="1C937ABA" w14:textId="77777777" w:rsidR="0055166A" w:rsidRPr="00776389" w:rsidRDefault="0055166A" w:rsidP="00776389">
      <w:pPr>
        <w:ind w:left="720"/>
        <w:rPr>
          <w:i/>
          <w:lang w:eastAsia="ja-JP"/>
        </w:rPr>
      </w:pPr>
      <w:proofErr w:type="spellStart"/>
      <w:r w:rsidRPr="00776389">
        <w:rPr>
          <w:i/>
          <w:lang w:eastAsia="ja-JP"/>
        </w:rPr>
        <w:t>Baricitinib</w:t>
      </w:r>
      <w:proofErr w:type="spellEnd"/>
    </w:p>
    <w:p w14:paraId="60D7F47B" w14:textId="77777777" w:rsidR="0055166A" w:rsidRPr="00776389" w:rsidRDefault="0055166A" w:rsidP="00776389">
      <w:pPr>
        <w:ind w:left="720"/>
        <w:rPr>
          <w:i/>
          <w:lang w:eastAsia="ja-JP"/>
        </w:rPr>
      </w:pPr>
      <w:proofErr w:type="spellStart"/>
      <w:r w:rsidRPr="00776389">
        <w:rPr>
          <w:i/>
          <w:lang w:eastAsia="ja-JP"/>
        </w:rPr>
        <w:t>Olumiant</w:t>
      </w:r>
      <w:proofErr w:type="spellEnd"/>
      <w:r w:rsidRPr="00776389">
        <w:rPr>
          <w:i/>
          <w:lang w:eastAsia="ja-JP"/>
        </w:rPr>
        <w:t xml:space="preserve"> is indicated for the treatment of moderate to severe active rheumatoid arthritis (RA) in adult patients who have responded inadequately, or who are intolerant, to one or more DMARDs. </w:t>
      </w:r>
    </w:p>
    <w:p w14:paraId="57CAF464" w14:textId="77777777" w:rsidR="004A0AFF" w:rsidRDefault="0055166A" w:rsidP="004A0AFF">
      <w:pPr>
        <w:ind w:left="720"/>
        <w:rPr>
          <w:i/>
          <w:lang w:eastAsia="ja-JP"/>
        </w:rPr>
      </w:pPr>
      <w:proofErr w:type="spellStart"/>
      <w:r w:rsidRPr="00776389">
        <w:rPr>
          <w:i/>
          <w:lang w:eastAsia="ja-JP"/>
        </w:rPr>
        <w:t>Olumiant</w:t>
      </w:r>
      <w:proofErr w:type="spellEnd"/>
      <w:r w:rsidRPr="00776389">
        <w:rPr>
          <w:i/>
          <w:lang w:eastAsia="ja-JP"/>
        </w:rPr>
        <w:t xml:space="preserve"> can be taken as monotherapy or in combination with </w:t>
      </w:r>
      <w:proofErr w:type="spellStart"/>
      <w:r w:rsidRPr="00776389">
        <w:rPr>
          <w:i/>
          <w:lang w:eastAsia="ja-JP"/>
        </w:rPr>
        <w:t>cDMARDs</w:t>
      </w:r>
      <w:proofErr w:type="spellEnd"/>
      <w:r w:rsidRPr="00776389">
        <w:rPr>
          <w:i/>
          <w:lang w:eastAsia="ja-JP"/>
        </w:rPr>
        <w:t>, including methotrexate (methotrexate).</w:t>
      </w:r>
    </w:p>
    <w:p w14:paraId="200E74C6" w14:textId="724DB7C2" w:rsidR="004A0AFF" w:rsidRPr="004E3248" w:rsidRDefault="004A0AFF" w:rsidP="004A0AFF">
      <w:r>
        <w:t xml:space="preserve">The proposed dose of Rinvoq is 15 mg once daily with or without food and the sponsor has requested that upadacitinib may be used as monotherapy or in combination with methotrexate or other </w:t>
      </w:r>
      <w:proofErr w:type="spellStart"/>
      <w:r w:rsidR="005A2D8F">
        <w:t>cs</w:t>
      </w:r>
      <w:r w:rsidRPr="004E3248">
        <w:t>DMARDs</w:t>
      </w:r>
      <w:proofErr w:type="spellEnd"/>
      <w:r w:rsidRPr="004E3248">
        <w:t>.</w:t>
      </w:r>
    </w:p>
    <w:p w14:paraId="65A29E9A" w14:textId="381E5AF0" w:rsidR="004A0AFF" w:rsidRDefault="004A0AFF" w:rsidP="004A0AFF">
      <w:r>
        <w:t xml:space="preserve">The submission is supported by five pivotal Phase III studies, including studies in methotrexate naïve subjects and subjects with prior treatment with </w:t>
      </w:r>
      <w:proofErr w:type="spellStart"/>
      <w:r>
        <w:t>csDMARDs</w:t>
      </w:r>
      <w:proofErr w:type="spellEnd"/>
      <w:r>
        <w:t xml:space="preserve"> and/or</w:t>
      </w:r>
      <w:r w:rsidR="00BD0FFA">
        <w:t xml:space="preserve"> </w:t>
      </w:r>
      <w:proofErr w:type="spellStart"/>
      <w:r w:rsidR="008F6BA6">
        <w:t>b</w:t>
      </w:r>
      <w:r w:rsidR="00DB0689">
        <w:t>DM</w:t>
      </w:r>
      <w:r w:rsidR="008F6BA6">
        <w:t>ARDs</w:t>
      </w:r>
      <w:proofErr w:type="spellEnd"/>
      <w:r>
        <w:t>. Two of the studies examined radiological outcomes and two of the studies were monotherapy studies with methotrexate as a comparator. One long-term</w:t>
      </w:r>
      <w:r w:rsidR="00DB0689">
        <w:t xml:space="preserve">, Phase II, </w:t>
      </w:r>
      <w:r>
        <w:t>safety study was also included along with a number of supportive and pharmacology studies.</w:t>
      </w:r>
    </w:p>
    <w:p w14:paraId="2AAB6F82" w14:textId="77777777" w:rsidR="008E7846" w:rsidRDefault="00386150" w:rsidP="00726DDE">
      <w:pPr>
        <w:pStyle w:val="Heading3"/>
      </w:pPr>
      <w:bookmarkStart w:id="18" w:name="_Toc40171800"/>
      <w:r w:rsidRPr="00124520">
        <w:t>Regulatory s</w:t>
      </w:r>
      <w:r w:rsidR="008E7846" w:rsidRPr="00124520">
        <w:t>tatus</w:t>
      </w:r>
      <w:bookmarkEnd w:id="16"/>
      <w:bookmarkEnd w:id="17"/>
      <w:bookmarkEnd w:id="18"/>
    </w:p>
    <w:p w14:paraId="0DE1A7D8" w14:textId="77777777" w:rsidR="0055166A" w:rsidRDefault="0055166A" w:rsidP="0055166A">
      <w:pPr>
        <w:rPr>
          <w:lang w:val="en-US"/>
        </w:rPr>
      </w:pPr>
      <w:r>
        <w:rPr>
          <w:lang w:val="en-US"/>
        </w:rPr>
        <w:t xml:space="preserve">Upadacitinib has not been previously registered or considered by </w:t>
      </w:r>
      <w:r w:rsidR="004E3248">
        <w:rPr>
          <w:lang w:val="en-US"/>
        </w:rPr>
        <w:t>the TGA</w:t>
      </w:r>
      <w:r>
        <w:rPr>
          <w:lang w:val="en-US"/>
        </w:rPr>
        <w:t>.</w:t>
      </w:r>
    </w:p>
    <w:p w14:paraId="24F0C63D" w14:textId="77777777" w:rsidR="0055166A" w:rsidRPr="00436FD3" w:rsidRDefault="00726DDE" w:rsidP="00776389">
      <w:r>
        <w:rPr>
          <w:lang w:val="en-US"/>
        </w:rPr>
        <w:t>At the time the submission was under consideration, upadacitinib was</w:t>
      </w:r>
      <w:r w:rsidR="0055166A">
        <w:rPr>
          <w:lang w:val="en-US"/>
        </w:rPr>
        <w:t xml:space="preserve"> currently registered in the </w:t>
      </w:r>
      <w:r w:rsidR="0035696E">
        <w:rPr>
          <w:lang w:val="en-US"/>
        </w:rPr>
        <w:t>United States of America (</w:t>
      </w:r>
      <w:r w:rsidR="0055166A">
        <w:rPr>
          <w:lang w:val="en-US"/>
        </w:rPr>
        <w:t>USA</w:t>
      </w:r>
      <w:r w:rsidR="0035696E">
        <w:rPr>
          <w:lang w:val="en-US"/>
        </w:rPr>
        <w:t>)</w:t>
      </w:r>
      <w:r w:rsidR="0055166A">
        <w:rPr>
          <w:lang w:val="en-US"/>
        </w:rPr>
        <w:t xml:space="preserve"> only (Aug</w:t>
      </w:r>
      <w:r w:rsidR="004E3248">
        <w:rPr>
          <w:lang w:val="en-US"/>
        </w:rPr>
        <w:t>ust</w:t>
      </w:r>
      <w:r>
        <w:rPr>
          <w:lang w:val="en-US"/>
        </w:rPr>
        <w:t xml:space="preserve"> 2019) and had</w:t>
      </w:r>
      <w:r w:rsidR="0055166A">
        <w:rPr>
          <w:lang w:val="en-US"/>
        </w:rPr>
        <w:t xml:space="preserve"> received a positive opinion </w:t>
      </w:r>
      <w:r w:rsidR="0055166A" w:rsidRPr="00436FD3">
        <w:t xml:space="preserve">from the </w:t>
      </w:r>
      <w:r w:rsidR="00436FD3" w:rsidRPr="00436FD3">
        <w:t>Committee for Medicinal Products for Human Use</w:t>
      </w:r>
      <w:r>
        <w:t xml:space="preserve"> (</w:t>
      </w:r>
      <w:r w:rsidRPr="00436FD3">
        <w:t>CHMP</w:t>
      </w:r>
      <w:r>
        <w:t>)</w:t>
      </w:r>
      <w:r w:rsidR="00436FD3" w:rsidRPr="00436FD3">
        <w:t>, formerly known as Committee for Proprietary Medicinal Products(</w:t>
      </w:r>
      <w:r>
        <w:t>CP</w:t>
      </w:r>
      <w:r w:rsidR="0055166A" w:rsidRPr="00436FD3">
        <w:t>MP</w:t>
      </w:r>
      <w:r w:rsidR="00436FD3" w:rsidRPr="00436FD3">
        <w:t>)</w:t>
      </w:r>
      <w:r w:rsidR="0055166A" w:rsidRPr="00436FD3">
        <w:t xml:space="preserve"> in the E</w:t>
      </w:r>
      <w:r w:rsidR="004E3248" w:rsidRPr="00436FD3">
        <w:t>uropean Union (E</w:t>
      </w:r>
      <w:r w:rsidR="0055166A" w:rsidRPr="00436FD3">
        <w:t>U</w:t>
      </w:r>
      <w:r w:rsidR="004E3248" w:rsidRPr="00436FD3">
        <w:t>)</w:t>
      </w:r>
      <w:r w:rsidR="0055166A" w:rsidRPr="00436FD3">
        <w:t xml:space="preserve"> (Oct</w:t>
      </w:r>
      <w:r w:rsidR="004E3248" w:rsidRPr="00436FD3">
        <w:t>ober</w:t>
      </w:r>
      <w:r w:rsidR="0055166A" w:rsidRPr="00436FD3">
        <w:t xml:space="preserve"> 2019). The application is under evaluation in Canada, Switzerland and New Zealand.</w:t>
      </w:r>
      <w:r w:rsidR="004E3248" w:rsidRPr="00436FD3">
        <w:t xml:space="preserve"> </w:t>
      </w:r>
      <w:r w:rsidR="0055166A" w:rsidRPr="00436FD3">
        <w:t>The approved indication in the USA and positi</w:t>
      </w:r>
      <w:r>
        <w:t>ve opinion in EU are as follows, below.</w:t>
      </w:r>
    </w:p>
    <w:p w14:paraId="43F1D18D" w14:textId="77777777" w:rsidR="0055166A" w:rsidRDefault="0055166A" w:rsidP="00726DDE">
      <w:pPr>
        <w:pStyle w:val="Heading4"/>
        <w:rPr>
          <w:lang w:val="en-US"/>
        </w:rPr>
      </w:pPr>
      <w:r>
        <w:rPr>
          <w:lang w:val="en-US"/>
        </w:rPr>
        <w:t>USA</w:t>
      </w:r>
    </w:p>
    <w:p w14:paraId="2F00DB53" w14:textId="77777777" w:rsidR="0055166A" w:rsidRPr="00776389" w:rsidRDefault="00726DDE" w:rsidP="00776389">
      <w:pPr>
        <w:ind w:left="567"/>
        <w:rPr>
          <w:i/>
        </w:rPr>
      </w:pPr>
      <w:r>
        <w:rPr>
          <w:i/>
        </w:rPr>
        <w:t>Rinvoq</w:t>
      </w:r>
      <w:r w:rsidR="0055166A" w:rsidRPr="00776389">
        <w:rPr>
          <w:i/>
        </w:rPr>
        <w:t xml:space="preserve"> (upadacitinib) is indicated for the treatment of adults with moderately to severely active rheumatoid arthritis who have had an inadequate response </w:t>
      </w:r>
      <w:r w:rsidR="004E3248">
        <w:rPr>
          <w:i/>
        </w:rPr>
        <w:t>or intolerance to methotrexate.</w:t>
      </w:r>
    </w:p>
    <w:p w14:paraId="4EEAD578" w14:textId="77777777" w:rsidR="0055166A" w:rsidRPr="00776389" w:rsidRDefault="0055166A" w:rsidP="00776389">
      <w:pPr>
        <w:ind w:left="567"/>
        <w:rPr>
          <w:i/>
        </w:rPr>
      </w:pPr>
      <w:r w:rsidRPr="00776389">
        <w:rPr>
          <w:i/>
        </w:rPr>
        <w:lastRenderedPageBreak/>
        <w:t xml:space="preserve">Limitation of Use: Use of </w:t>
      </w:r>
      <w:r w:rsidR="0009021C">
        <w:rPr>
          <w:i/>
        </w:rPr>
        <w:t>Rinvoq</w:t>
      </w:r>
      <w:r w:rsidR="004E3248">
        <w:rPr>
          <w:i/>
        </w:rPr>
        <w:t xml:space="preserve"> </w:t>
      </w:r>
      <w:r w:rsidRPr="00776389">
        <w:rPr>
          <w:i/>
        </w:rPr>
        <w:t xml:space="preserve">in combination with other JAK inhibitors, biologic DMARDs, or with potent </w:t>
      </w:r>
      <w:proofErr w:type="spellStart"/>
      <w:r w:rsidRPr="00776389">
        <w:rPr>
          <w:i/>
        </w:rPr>
        <w:t>immunosuppressants</w:t>
      </w:r>
      <w:proofErr w:type="spellEnd"/>
      <w:r w:rsidRPr="00776389">
        <w:rPr>
          <w:i/>
        </w:rPr>
        <w:t xml:space="preserve"> such as azathioprine and cyclosporine, is not recommended</w:t>
      </w:r>
      <w:r w:rsidR="004E3248">
        <w:rPr>
          <w:i/>
        </w:rPr>
        <w:t>.</w:t>
      </w:r>
    </w:p>
    <w:p w14:paraId="220C4007" w14:textId="77777777" w:rsidR="0055166A" w:rsidRDefault="0055166A" w:rsidP="00726DDE">
      <w:pPr>
        <w:pStyle w:val="Heading4"/>
        <w:rPr>
          <w:lang w:val="en-US"/>
        </w:rPr>
      </w:pPr>
      <w:r>
        <w:rPr>
          <w:lang w:val="en-US"/>
        </w:rPr>
        <w:t>European Union (CHMP opinion)</w:t>
      </w:r>
    </w:p>
    <w:p w14:paraId="4B010171" w14:textId="77777777" w:rsidR="0055166A" w:rsidRPr="00776389" w:rsidRDefault="0055166A" w:rsidP="00776389">
      <w:pPr>
        <w:ind w:left="567"/>
        <w:rPr>
          <w:i/>
          <w:lang w:val="en-US"/>
        </w:rPr>
      </w:pPr>
      <w:r w:rsidRPr="00776389">
        <w:rPr>
          <w:i/>
        </w:rPr>
        <w:t>Rinvoq is indicated for the treatment of moderate to severe active rheumatoid arthritis in adult patients who have responded inadequately to, or who are intolerant to one or more disease-modifying anti-rheumatic drugs (DMARDs). Rinvoq may be used as monotherapy or in combination with methotrexate.</w:t>
      </w:r>
    </w:p>
    <w:p w14:paraId="00A12F09" w14:textId="77777777" w:rsidR="008E7846" w:rsidRDefault="008E7846" w:rsidP="00940A89">
      <w:pPr>
        <w:pStyle w:val="Heading3"/>
      </w:pPr>
      <w:bookmarkStart w:id="19" w:name="_Toc247691505"/>
      <w:bookmarkStart w:id="20" w:name="_Toc314842486"/>
      <w:bookmarkStart w:id="21" w:name="_Toc40171801"/>
      <w:r>
        <w:t>Product Information</w:t>
      </w:r>
      <w:bookmarkEnd w:id="19"/>
      <w:bookmarkEnd w:id="20"/>
      <w:bookmarkEnd w:id="21"/>
    </w:p>
    <w:p w14:paraId="42961DB9"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13FF178E" w14:textId="77777777" w:rsidR="00500337" w:rsidRDefault="00500337" w:rsidP="00500337">
      <w:pPr>
        <w:pStyle w:val="Heading2"/>
      </w:pPr>
      <w:bookmarkStart w:id="24" w:name="_Toc504480011"/>
      <w:bookmarkStart w:id="25" w:name="_Toc40171802"/>
      <w:r>
        <w:t>II. Registration ti</w:t>
      </w:r>
      <w:r w:rsidR="00726DDE">
        <w:t>me</w:t>
      </w:r>
      <w:r>
        <w:t>line</w:t>
      </w:r>
      <w:bookmarkEnd w:id="24"/>
      <w:bookmarkEnd w:id="25"/>
    </w:p>
    <w:p w14:paraId="3C375D41" w14:textId="77777777" w:rsidR="00500337" w:rsidRDefault="00726DDE" w:rsidP="00776389">
      <w:r>
        <w:t>Table 1</w:t>
      </w:r>
      <w:r w:rsidR="00500337">
        <w:t xml:space="preserve"> captures the key steps and dates for this application and which are detailed and discussed in this AusPAR</w:t>
      </w:r>
      <w:r w:rsidR="004E3248">
        <w:t>.</w:t>
      </w:r>
    </w:p>
    <w:p w14:paraId="33016912" w14:textId="77777777" w:rsidR="00124520" w:rsidRDefault="00124520" w:rsidP="00776389">
      <w:r w:rsidRPr="00D75678">
        <w:t>The following table summarises the key steps and dates for this application.</w:t>
      </w:r>
    </w:p>
    <w:p w14:paraId="5828A4F0" w14:textId="77777777" w:rsidR="00124520" w:rsidRPr="006A58A8" w:rsidRDefault="00124520" w:rsidP="00124520">
      <w:pPr>
        <w:pStyle w:val="TableTitle"/>
      </w:pPr>
      <w:r w:rsidRPr="006A58A8">
        <w:t>Table 1</w:t>
      </w:r>
      <w:r w:rsidR="004E3248">
        <w:t>:</w:t>
      </w:r>
      <w:r w:rsidR="00776389">
        <w:t xml:space="preserve"> Timeline for Submission PM-2018</w:t>
      </w:r>
      <w:r w:rsidRPr="006A58A8">
        <w:t>-</w:t>
      </w:r>
      <w:r w:rsidR="00776389">
        <w:t>05603-1-3</w:t>
      </w:r>
    </w:p>
    <w:tbl>
      <w:tblPr>
        <w:tblStyle w:val="TableTGAblue1"/>
        <w:tblW w:w="8613" w:type="dxa"/>
        <w:tblLook w:val="04A0" w:firstRow="1" w:lastRow="0" w:firstColumn="1" w:lastColumn="0" w:noHBand="0" w:noVBand="1"/>
      </w:tblPr>
      <w:tblGrid>
        <w:gridCol w:w="6204"/>
        <w:gridCol w:w="2409"/>
      </w:tblGrid>
      <w:tr w:rsidR="00124520" w:rsidRPr="005A2D8F" w14:paraId="750378D5" w14:textId="77777777" w:rsidTr="00BD0FFA">
        <w:trPr>
          <w:cnfStyle w:val="100000000000" w:firstRow="1" w:lastRow="0" w:firstColumn="0" w:lastColumn="0" w:oddVBand="0" w:evenVBand="0" w:oddHBand="0" w:evenHBand="0" w:firstRowFirstColumn="0" w:firstRowLastColumn="0" w:lastRowFirstColumn="0" w:lastRowLastColumn="0"/>
          <w:cantSplit/>
        </w:trPr>
        <w:tc>
          <w:tcPr>
            <w:tcW w:w="6204" w:type="dxa"/>
          </w:tcPr>
          <w:p w14:paraId="2A4C7D61" w14:textId="77777777" w:rsidR="00124520" w:rsidRPr="005A2D8F" w:rsidRDefault="00124520" w:rsidP="00BD0FFA">
            <w:pPr>
              <w:rPr>
                <w:b w:val="0"/>
                <w:color w:val="auto"/>
                <w:szCs w:val="22"/>
                <w:lang w:eastAsia="en-US"/>
              </w:rPr>
            </w:pPr>
            <w:r w:rsidRPr="005A2D8F">
              <w:t>Description</w:t>
            </w:r>
          </w:p>
        </w:tc>
        <w:tc>
          <w:tcPr>
            <w:tcW w:w="2409" w:type="dxa"/>
          </w:tcPr>
          <w:p w14:paraId="5372C52F" w14:textId="77777777" w:rsidR="00124520" w:rsidRPr="005A2D8F" w:rsidRDefault="00124520" w:rsidP="00BD0FFA">
            <w:pPr>
              <w:rPr>
                <w:b w:val="0"/>
                <w:color w:val="auto"/>
                <w:szCs w:val="22"/>
                <w:lang w:eastAsia="en-US"/>
              </w:rPr>
            </w:pPr>
            <w:r w:rsidRPr="005A2D8F">
              <w:t>Date</w:t>
            </w:r>
          </w:p>
        </w:tc>
      </w:tr>
      <w:tr w:rsidR="00124520" w:rsidRPr="005A2D8F" w14:paraId="7BDE70F2" w14:textId="77777777" w:rsidTr="00BD0FFA">
        <w:tc>
          <w:tcPr>
            <w:tcW w:w="6204" w:type="dxa"/>
          </w:tcPr>
          <w:p w14:paraId="213F7EA3" w14:textId="77777777" w:rsidR="00124520" w:rsidRPr="00BD0FFA" w:rsidRDefault="00124520" w:rsidP="00BD0FFA">
            <w:r w:rsidRPr="00D405B4">
              <w:t>Submission dossier accepted and first round evaluation commenced</w:t>
            </w:r>
          </w:p>
        </w:tc>
        <w:tc>
          <w:tcPr>
            <w:tcW w:w="2409" w:type="dxa"/>
          </w:tcPr>
          <w:p w14:paraId="1BEA056A" w14:textId="77777777" w:rsidR="00124520" w:rsidRPr="00BD0FFA" w:rsidRDefault="00124520" w:rsidP="00BD0FFA">
            <w:r w:rsidRPr="00D405B4">
              <w:t>31 January 2019</w:t>
            </w:r>
          </w:p>
        </w:tc>
      </w:tr>
      <w:tr w:rsidR="00124520" w:rsidRPr="005A2D8F" w14:paraId="6A56A95C" w14:textId="77777777" w:rsidTr="00BD0FFA">
        <w:tc>
          <w:tcPr>
            <w:tcW w:w="6204" w:type="dxa"/>
          </w:tcPr>
          <w:p w14:paraId="1F9FF205" w14:textId="77777777" w:rsidR="00124520" w:rsidRPr="00BD0FFA" w:rsidRDefault="00124520" w:rsidP="00BD0FFA">
            <w:r w:rsidRPr="00D405B4">
              <w:t>First round evaluation completed</w:t>
            </w:r>
          </w:p>
        </w:tc>
        <w:tc>
          <w:tcPr>
            <w:tcW w:w="2409" w:type="dxa"/>
          </w:tcPr>
          <w:p w14:paraId="56147844" w14:textId="77777777" w:rsidR="00124520" w:rsidRPr="00BD0FFA" w:rsidRDefault="00124520" w:rsidP="00BD0FFA">
            <w:r w:rsidRPr="00D405B4">
              <w:t>1 August 2019</w:t>
            </w:r>
          </w:p>
        </w:tc>
      </w:tr>
      <w:tr w:rsidR="00124520" w:rsidRPr="005A2D8F" w14:paraId="418C82C4" w14:textId="77777777" w:rsidTr="00BD0FFA">
        <w:tc>
          <w:tcPr>
            <w:tcW w:w="6204" w:type="dxa"/>
          </w:tcPr>
          <w:p w14:paraId="19AC1467" w14:textId="77777777" w:rsidR="00124520" w:rsidRPr="00BD0FFA" w:rsidRDefault="00124520" w:rsidP="00BD0FFA">
            <w:r w:rsidRPr="00D405B4">
              <w:t>Sponsor provides responses on questions raised in first round evaluation</w:t>
            </w:r>
          </w:p>
        </w:tc>
        <w:tc>
          <w:tcPr>
            <w:tcW w:w="2409" w:type="dxa"/>
          </w:tcPr>
          <w:p w14:paraId="79976F0F" w14:textId="77777777" w:rsidR="00124520" w:rsidRPr="00BD0FFA" w:rsidRDefault="00124520" w:rsidP="00BD0FFA">
            <w:r w:rsidRPr="00D405B4">
              <w:t>30 August 2019</w:t>
            </w:r>
          </w:p>
        </w:tc>
      </w:tr>
      <w:tr w:rsidR="00124520" w:rsidRPr="005A2D8F" w14:paraId="57378FC4" w14:textId="77777777" w:rsidTr="00BD0FFA">
        <w:tc>
          <w:tcPr>
            <w:tcW w:w="6204" w:type="dxa"/>
          </w:tcPr>
          <w:p w14:paraId="46817DD5" w14:textId="77777777" w:rsidR="00124520" w:rsidRPr="00BD0FFA" w:rsidRDefault="00124520" w:rsidP="00BD0FFA">
            <w:r w:rsidRPr="00D405B4">
              <w:t>Second round evaluation completed</w:t>
            </w:r>
          </w:p>
        </w:tc>
        <w:tc>
          <w:tcPr>
            <w:tcW w:w="2409" w:type="dxa"/>
          </w:tcPr>
          <w:p w14:paraId="70C52C0B" w14:textId="77777777" w:rsidR="00124520" w:rsidRPr="00BD0FFA" w:rsidRDefault="00124520" w:rsidP="00BD0FFA">
            <w:r w:rsidRPr="00D405B4">
              <w:t>18 October 2019</w:t>
            </w:r>
          </w:p>
        </w:tc>
      </w:tr>
      <w:tr w:rsidR="00124520" w:rsidRPr="005A2D8F" w14:paraId="57F5969B" w14:textId="77777777" w:rsidTr="00BD0FFA">
        <w:tc>
          <w:tcPr>
            <w:tcW w:w="6204" w:type="dxa"/>
          </w:tcPr>
          <w:p w14:paraId="09933018" w14:textId="77777777" w:rsidR="00124520" w:rsidRPr="00BD0FFA" w:rsidRDefault="00124520" w:rsidP="00BD0FFA">
            <w:r w:rsidRPr="00D405B4">
              <w:t>Delegate’s Overall benefit-risk assessment and request for Advisory Committee advice</w:t>
            </w:r>
          </w:p>
        </w:tc>
        <w:tc>
          <w:tcPr>
            <w:tcW w:w="2409" w:type="dxa"/>
          </w:tcPr>
          <w:p w14:paraId="6EA8ACAF" w14:textId="77777777" w:rsidR="00124520" w:rsidRPr="00BD0FFA" w:rsidRDefault="00124520" w:rsidP="00BD0FFA">
            <w:r w:rsidRPr="00D405B4">
              <w:t>31 October 2019</w:t>
            </w:r>
          </w:p>
        </w:tc>
      </w:tr>
      <w:tr w:rsidR="00124520" w:rsidRPr="005A2D8F" w14:paraId="3D465607" w14:textId="77777777" w:rsidTr="00BD0FFA">
        <w:tc>
          <w:tcPr>
            <w:tcW w:w="6204" w:type="dxa"/>
          </w:tcPr>
          <w:p w14:paraId="039F9AD8" w14:textId="77777777" w:rsidR="00124520" w:rsidRPr="00BD0FFA" w:rsidRDefault="00124520" w:rsidP="00BD0FFA">
            <w:r w:rsidRPr="00D405B4">
              <w:t>Sponsor’s pre-Advisory Committee response</w:t>
            </w:r>
          </w:p>
        </w:tc>
        <w:tc>
          <w:tcPr>
            <w:tcW w:w="2409" w:type="dxa"/>
          </w:tcPr>
          <w:p w14:paraId="1D03FE7A" w14:textId="77777777" w:rsidR="00124520" w:rsidRPr="00BD0FFA" w:rsidRDefault="00124520" w:rsidP="00BD0FFA">
            <w:r w:rsidRPr="00D405B4">
              <w:t>13 November 2019</w:t>
            </w:r>
          </w:p>
        </w:tc>
      </w:tr>
      <w:tr w:rsidR="00124520" w:rsidRPr="005A2D8F" w14:paraId="31947B55" w14:textId="77777777" w:rsidTr="00BD0FFA">
        <w:tc>
          <w:tcPr>
            <w:tcW w:w="6204" w:type="dxa"/>
          </w:tcPr>
          <w:p w14:paraId="4E5F1DDD" w14:textId="77777777" w:rsidR="00124520" w:rsidRPr="00BD0FFA" w:rsidRDefault="00124520" w:rsidP="00BD0FFA">
            <w:r w:rsidRPr="00D405B4">
              <w:t>Advisory Committee meeting</w:t>
            </w:r>
          </w:p>
        </w:tc>
        <w:tc>
          <w:tcPr>
            <w:tcW w:w="2409" w:type="dxa"/>
          </w:tcPr>
          <w:p w14:paraId="32098087" w14:textId="77777777" w:rsidR="00124520" w:rsidRPr="00BD0FFA" w:rsidRDefault="00124520" w:rsidP="00BD0FFA">
            <w:r w:rsidRPr="00D405B4">
              <w:t>6 December 2019</w:t>
            </w:r>
          </w:p>
        </w:tc>
      </w:tr>
      <w:tr w:rsidR="00124520" w:rsidRPr="005A2D8F" w14:paraId="4C03DEDF" w14:textId="77777777" w:rsidTr="00BD0FFA">
        <w:tc>
          <w:tcPr>
            <w:tcW w:w="6204" w:type="dxa"/>
          </w:tcPr>
          <w:p w14:paraId="284C3FE0" w14:textId="77777777" w:rsidR="00124520" w:rsidRPr="00BD0FFA" w:rsidRDefault="00124520" w:rsidP="00BD0FFA">
            <w:r w:rsidRPr="00D405B4">
              <w:t>Registration decision (Outcome)</w:t>
            </w:r>
          </w:p>
        </w:tc>
        <w:tc>
          <w:tcPr>
            <w:tcW w:w="2409" w:type="dxa"/>
          </w:tcPr>
          <w:p w14:paraId="103B3F9B" w14:textId="77777777" w:rsidR="00124520" w:rsidRPr="00BD0FFA" w:rsidRDefault="00124520" w:rsidP="00BD0FFA">
            <w:r w:rsidRPr="00D405B4">
              <w:t>17 January 2020</w:t>
            </w:r>
          </w:p>
        </w:tc>
      </w:tr>
      <w:tr w:rsidR="00124520" w:rsidRPr="005A2D8F" w14:paraId="3B133DA6" w14:textId="77777777" w:rsidTr="00BD0FFA">
        <w:tc>
          <w:tcPr>
            <w:tcW w:w="6204" w:type="dxa"/>
          </w:tcPr>
          <w:p w14:paraId="4B89E861" w14:textId="6805E2F0" w:rsidR="00124520" w:rsidRPr="00BD0FFA" w:rsidRDefault="00124520" w:rsidP="00BD0FFA">
            <w:r w:rsidRPr="00D405B4">
              <w:t xml:space="preserve">Completion of administrative activities and registration on </w:t>
            </w:r>
            <w:r w:rsidR="005A2D8F" w:rsidRPr="00D405B4">
              <w:t xml:space="preserve">the </w:t>
            </w:r>
            <w:r w:rsidRPr="00D405B4">
              <w:t>ARTG</w:t>
            </w:r>
          </w:p>
        </w:tc>
        <w:tc>
          <w:tcPr>
            <w:tcW w:w="2409" w:type="dxa"/>
          </w:tcPr>
          <w:p w14:paraId="04A4A324" w14:textId="77777777" w:rsidR="00124520" w:rsidRPr="00BD0FFA" w:rsidRDefault="00124520" w:rsidP="00BD0FFA">
            <w:r w:rsidRPr="00D405B4">
              <w:t>17 January 2020</w:t>
            </w:r>
          </w:p>
        </w:tc>
      </w:tr>
      <w:tr w:rsidR="00124520" w:rsidRPr="005A2D8F" w14:paraId="397FD910" w14:textId="77777777" w:rsidTr="00BD0FFA">
        <w:tc>
          <w:tcPr>
            <w:tcW w:w="6204" w:type="dxa"/>
          </w:tcPr>
          <w:p w14:paraId="6C30CB2A" w14:textId="77777777" w:rsidR="00124520" w:rsidRPr="00BD0FFA" w:rsidRDefault="00124520" w:rsidP="00BD0FFA">
            <w:r w:rsidRPr="00D405B4">
              <w:t>Number of working days from submission dossier acceptance to registration decision*</w:t>
            </w:r>
          </w:p>
        </w:tc>
        <w:tc>
          <w:tcPr>
            <w:tcW w:w="2409" w:type="dxa"/>
          </w:tcPr>
          <w:p w14:paraId="26EEFD80" w14:textId="77777777" w:rsidR="00124520" w:rsidRPr="00BD0FFA" w:rsidRDefault="00124520" w:rsidP="00BD0FFA">
            <w:r w:rsidRPr="00D405B4">
              <w:t>221</w:t>
            </w:r>
          </w:p>
        </w:tc>
      </w:tr>
    </w:tbl>
    <w:p w14:paraId="78B7122D" w14:textId="77777777" w:rsidR="00124520" w:rsidRPr="00D75678" w:rsidRDefault="00124520" w:rsidP="00124520">
      <w:pPr>
        <w:pStyle w:val="TableDescription"/>
      </w:pPr>
      <w:r>
        <w:t>*</w:t>
      </w:r>
      <w:r w:rsidRPr="00BF3774">
        <w:t xml:space="preserve">Statutory </w:t>
      </w:r>
      <w:r>
        <w:t>timeframe for standard applications is 255 working days</w:t>
      </w:r>
    </w:p>
    <w:p w14:paraId="2241409C" w14:textId="4265CC94"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40171803"/>
      <w:bookmarkEnd w:id="22"/>
      <w:bookmarkEnd w:id="23"/>
      <w:bookmarkEnd w:id="1"/>
      <w:r>
        <w:lastRenderedPageBreak/>
        <w:t>I</w:t>
      </w:r>
      <w:r w:rsidR="00DA64CB">
        <w:t>I</w:t>
      </w:r>
      <w:r w:rsidR="008E7846">
        <w:t xml:space="preserve">I. </w:t>
      </w:r>
      <w:r w:rsidR="00726DDE">
        <w:t>Submission</w:t>
      </w:r>
      <w:r w:rsidR="00E843B8">
        <w:t xml:space="preserve">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3C5868AE" w14:textId="77777777" w:rsidR="008E7846" w:rsidRDefault="008E7846" w:rsidP="008E7846">
      <w:bookmarkStart w:id="31" w:name="_Toc247691528"/>
      <w:r>
        <w:t xml:space="preserve">The submission was summarised in the following </w:t>
      </w:r>
      <w:r w:rsidRPr="00EF5C48">
        <w:t xml:space="preserve">Delegate’s </w:t>
      </w:r>
      <w:r>
        <w:t>overview</w:t>
      </w:r>
      <w:r w:rsidRPr="00EF5C48">
        <w:t xml:space="preserve"> and recommendation</w:t>
      </w:r>
      <w:r w:rsidR="00726DDE">
        <w:t>s.</w:t>
      </w:r>
    </w:p>
    <w:p w14:paraId="26B4A40B" w14:textId="77777777" w:rsidR="00726DDE" w:rsidRDefault="00726DDE" w:rsidP="00726DDE">
      <w:r>
        <w:t>The following EU guideline adopted by the TGA is relevant to this submission, besides the general guidelines:</w:t>
      </w:r>
    </w:p>
    <w:p w14:paraId="7B0602C0" w14:textId="77777777" w:rsidR="00726DDE" w:rsidRDefault="00726DDE" w:rsidP="00726DDE">
      <w:pPr>
        <w:pStyle w:val="ListBullet"/>
      </w:pPr>
      <w:r>
        <w:t>CPMP/EWP/556/95 rev 1 Final: ‘Points to Consider on Clinical Investigation of Medicinal Products other than NSAIDs for the Treatment of Rheumatoid Arthritis’ (effective 29 January 2007).</w:t>
      </w:r>
    </w:p>
    <w:p w14:paraId="30A467E7" w14:textId="77777777" w:rsidR="008E7846" w:rsidRDefault="008E7846" w:rsidP="008E7846">
      <w:pPr>
        <w:pStyle w:val="Heading3"/>
      </w:pPr>
      <w:bookmarkStart w:id="32" w:name="_Toc314842511"/>
      <w:bookmarkStart w:id="33" w:name="_Toc40171804"/>
      <w:r>
        <w:t>Quality</w:t>
      </w:r>
      <w:bookmarkEnd w:id="31"/>
      <w:bookmarkEnd w:id="32"/>
      <w:bookmarkEnd w:id="33"/>
    </w:p>
    <w:p w14:paraId="2E32CEFA" w14:textId="76B73CD5" w:rsidR="004E3248" w:rsidRDefault="004E3248" w:rsidP="00776389">
      <w:r>
        <w:t xml:space="preserve">The quality </w:t>
      </w:r>
      <w:r w:rsidR="0055166A">
        <w:t>evaluator has recommended approval with respect to chemistry and manufacturing control.</w:t>
      </w:r>
      <w:r>
        <w:t xml:space="preserve"> </w:t>
      </w:r>
      <w:r w:rsidR="0055166A">
        <w:rPr>
          <w:szCs w:val="24"/>
        </w:rPr>
        <w:t>The starting materials and synthetic process are adequately controlled</w:t>
      </w:r>
      <w:r w:rsidR="0055166A" w:rsidRPr="00450068">
        <w:rPr>
          <w:szCs w:val="24"/>
        </w:rPr>
        <w:t>.</w:t>
      </w:r>
      <w:r w:rsidRPr="00450068">
        <w:rPr>
          <w:szCs w:val="24"/>
        </w:rPr>
        <w:t xml:space="preserve"> </w:t>
      </w:r>
      <w:r w:rsidR="0055166A" w:rsidRPr="00450068">
        <w:t xml:space="preserve">Upadacitinib is a synthetic substance with </w:t>
      </w:r>
      <w:r w:rsidRPr="00450068">
        <w:t>many</w:t>
      </w:r>
      <w:r w:rsidR="0055166A" w:rsidRPr="00450068">
        <w:t xml:space="preserve"> impurities identified, some of which are mutagenic.</w:t>
      </w:r>
      <w:r w:rsidRPr="00450068">
        <w:t xml:space="preserve"> </w:t>
      </w:r>
      <w:r w:rsidR="0055166A" w:rsidRPr="00436FD3">
        <w:t xml:space="preserve">In the final specifications, non-mutagenic impurities are controlled as per the </w:t>
      </w:r>
      <w:r w:rsidR="00436FD3" w:rsidRPr="00436FD3">
        <w:t>International Council for Harmonisation</w:t>
      </w:r>
      <w:r w:rsidR="00D405B4">
        <w:t xml:space="preserve"> (ICH)</w:t>
      </w:r>
      <w:r w:rsidR="00436FD3" w:rsidRPr="00436FD3">
        <w:t xml:space="preserve"> of Technical Requirements for Pharmaceuticals for Human Use</w:t>
      </w:r>
      <w:r w:rsidR="0055166A" w:rsidRPr="00436FD3">
        <w:t xml:space="preserve"> guideline</w:t>
      </w:r>
      <w:r w:rsidR="00D405B4">
        <w:t>s;</w:t>
      </w:r>
      <w:r w:rsidR="00D405B4">
        <w:rPr>
          <w:rStyle w:val="FootnoteReference"/>
        </w:rPr>
        <w:footnoteReference w:id="1"/>
      </w:r>
      <w:r w:rsidR="00D405B4">
        <w:rPr>
          <w:vertAlign w:val="superscript"/>
        </w:rPr>
        <w:t>,</w:t>
      </w:r>
      <w:r w:rsidR="00D405B4">
        <w:rPr>
          <w:rStyle w:val="FootnoteReference"/>
        </w:rPr>
        <w:footnoteReference w:id="2"/>
      </w:r>
      <w:r w:rsidR="0055166A" w:rsidRPr="00436FD3">
        <w:t xml:space="preserve"> and</w:t>
      </w:r>
      <w:r w:rsidR="0055166A">
        <w:t xml:space="preserve"> </w:t>
      </w:r>
      <w:r w:rsidR="000736B5">
        <w:t xml:space="preserve">other </w:t>
      </w:r>
      <w:r w:rsidR="0055166A">
        <w:t>mutagenic impurities are below the threshold of toxicological concern.</w:t>
      </w:r>
    </w:p>
    <w:p w14:paraId="6E3B204A" w14:textId="77777777" w:rsidR="004E3248" w:rsidRDefault="0055166A" w:rsidP="00776389">
      <w:pPr>
        <w:rPr>
          <w:szCs w:val="24"/>
        </w:rPr>
      </w:pPr>
      <w:r>
        <w:rPr>
          <w:szCs w:val="24"/>
        </w:rPr>
        <w:t>The drug substance specifications include appropriate tests and acceptable limits for appearance.</w:t>
      </w:r>
    </w:p>
    <w:p w14:paraId="6D529E0E" w14:textId="77777777" w:rsidR="004E3248" w:rsidRPr="00636954" w:rsidRDefault="0055166A" w:rsidP="00776389">
      <w:pPr>
        <w:rPr>
          <w:szCs w:val="24"/>
        </w:rPr>
      </w:pPr>
      <w:r>
        <w:rPr>
          <w:szCs w:val="24"/>
        </w:rPr>
        <w:t>The finished product is controlled using the finished product specifications. The specifications include appropriate tests and acceptable limits for appearance, identity, assay, uniformity of content and water content.</w:t>
      </w:r>
      <w:r w:rsidR="004E3248">
        <w:rPr>
          <w:szCs w:val="24"/>
        </w:rPr>
        <w:t xml:space="preserve"> </w:t>
      </w:r>
      <w:r>
        <w:t xml:space="preserve">Data was provided to support a shelf life of 24 </w:t>
      </w:r>
      <w:r>
        <w:rPr>
          <w:szCs w:val="24"/>
        </w:rPr>
        <w:t xml:space="preserve">months </w:t>
      </w:r>
      <w:r w:rsidRPr="007E41C3">
        <w:rPr>
          <w:szCs w:val="24"/>
        </w:rPr>
        <w:t>when stored below 30ºC.</w:t>
      </w:r>
    </w:p>
    <w:p w14:paraId="158683F0" w14:textId="6CA0BB8B" w:rsidR="004E3248" w:rsidRDefault="0055166A" w:rsidP="00776389">
      <w:pPr>
        <w:rPr>
          <w:szCs w:val="24"/>
        </w:rPr>
      </w:pPr>
      <w:r>
        <w:rPr>
          <w:szCs w:val="24"/>
        </w:rPr>
        <w:t>A bioequivalence study demonstrated acceptable bioequivalence for the 15</w:t>
      </w:r>
      <w:r w:rsidR="004E3248">
        <w:rPr>
          <w:szCs w:val="24"/>
        </w:rPr>
        <w:t xml:space="preserve"> </w:t>
      </w:r>
      <w:r>
        <w:rPr>
          <w:szCs w:val="24"/>
        </w:rPr>
        <w:t>mg tablet proposed for marketing and that used in the</w:t>
      </w:r>
      <w:r w:rsidR="004E3248">
        <w:rPr>
          <w:szCs w:val="24"/>
        </w:rPr>
        <w:t xml:space="preserve"> Phase III</w:t>
      </w:r>
      <w:r>
        <w:rPr>
          <w:szCs w:val="24"/>
        </w:rPr>
        <w:t xml:space="preserve"> clinical studies.</w:t>
      </w:r>
      <w:r w:rsidR="004E3248">
        <w:rPr>
          <w:szCs w:val="24"/>
        </w:rPr>
        <w:t xml:space="preserve"> </w:t>
      </w:r>
      <w:r>
        <w:rPr>
          <w:szCs w:val="24"/>
        </w:rPr>
        <w:t>A high fat meal increased bioavailability of a 30</w:t>
      </w:r>
      <w:r w:rsidR="004E3248">
        <w:rPr>
          <w:szCs w:val="24"/>
        </w:rPr>
        <w:t xml:space="preserve"> </w:t>
      </w:r>
      <w:r>
        <w:rPr>
          <w:szCs w:val="24"/>
        </w:rPr>
        <w:t xml:space="preserve">mg tablet by 30% </w:t>
      </w:r>
      <w:r w:rsidR="004E3248">
        <w:rPr>
          <w:szCs w:val="24"/>
        </w:rPr>
        <w:t xml:space="preserve">(area under the </w:t>
      </w:r>
      <w:r w:rsidR="00B04E16">
        <w:rPr>
          <w:szCs w:val="24"/>
        </w:rPr>
        <w:t xml:space="preserve">drug </w:t>
      </w:r>
      <w:r w:rsidR="004E3248">
        <w:rPr>
          <w:szCs w:val="24"/>
        </w:rPr>
        <w:t>concentration versus time curve (</w:t>
      </w:r>
      <w:r>
        <w:rPr>
          <w:szCs w:val="24"/>
        </w:rPr>
        <w:t>AUC</w:t>
      </w:r>
      <w:r w:rsidR="004E3248">
        <w:rPr>
          <w:szCs w:val="24"/>
        </w:rPr>
        <w:t>))</w:t>
      </w:r>
      <w:r>
        <w:rPr>
          <w:szCs w:val="24"/>
        </w:rPr>
        <w:t xml:space="preserve"> </w:t>
      </w:r>
      <w:r w:rsidR="00EB66B6">
        <w:rPr>
          <w:szCs w:val="24"/>
        </w:rPr>
        <w:t>however;</w:t>
      </w:r>
      <w:r>
        <w:rPr>
          <w:szCs w:val="24"/>
        </w:rPr>
        <w:t xml:space="preserve"> the sponsor is requesting administration with or without food (as approved in the USA).</w:t>
      </w:r>
    </w:p>
    <w:p w14:paraId="6480439C" w14:textId="4A022BC8" w:rsidR="0055166A" w:rsidRDefault="0055166A" w:rsidP="00776389">
      <w:pPr>
        <w:rPr>
          <w:szCs w:val="24"/>
        </w:rPr>
      </w:pPr>
      <w:proofErr w:type="spellStart"/>
      <w:r>
        <w:rPr>
          <w:szCs w:val="24"/>
        </w:rPr>
        <w:t>Hypromellose</w:t>
      </w:r>
      <w:proofErr w:type="spellEnd"/>
      <w:r>
        <w:rPr>
          <w:szCs w:val="24"/>
        </w:rPr>
        <w:t xml:space="preserve"> is used to provide the extended release properties of the dosage form with bioavailability of the extended release formulation being about 76% of the immediate release formulation.</w:t>
      </w:r>
      <w:r w:rsidR="004E3248">
        <w:rPr>
          <w:szCs w:val="24"/>
        </w:rPr>
        <w:t xml:space="preserve"> </w:t>
      </w:r>
      <w:r>
        <w:rPr>
          <w:szCs w:val="24"/>
        </w:rPr>
        <w:t xml:space="preserve">An immediate release formulation was used in the </w:t>
      </w:r>
      <w:r w:rsidR="004E3248">
        <w:rPr>
          <w:szCs w:val="24"/>
        </w:rPr>
        <w:t>P</w:t>
      </w:r>
      <w:r>
        <w:rPr>
          <w:szCs w:val="24"/>
        </w:rPr>
        <w:t xml:space="preserve">hase </w:t>
      </w:r>
      <w:r w:rsidR="004E3248">
        <w:rPr>
          <w:szCs w:val="24"/>
        </w:rPr>
        <w:t>II</w:t>
      </w:r>
      <w:r>
        <w:rPr>
          <w:szCs w:val="24"/>
        </w:rPr>
        <w:t xml:space="preserve"> studies.</w:t>
      </w:r>
      <w:r w:rsidR="004E3248">
        <w:rPr>
          <w:szCs w:val="24"/>
        </w:rPr>
        <w:t xml:space="preserve"> </w:t>
      </w:r>
      <w:r>
        <w:rPr>
          <w:szCs w:val="24"/>
        </w:rPr>
        <w:t xml:space="preserve">Upadacitinib showed no accumulation in plasma with multiple </w:t>
      </w:r>
      <w:r w:rsidR="004E3248">
        <w:rPr>
          <w:szCs w:val="24"/>
        </w:rPr>
        <w:t>once a day (</w:t>
      </w:r>
      <w:r>
        <w:rPr>
          <w:szCs w:val="24"/>
        </w:rPr>
        <w:t>QD</w:t>
      </w:r>
      <w:r w:rsidR="00054C2C">
        <w:rPr>
          <w:szCs w:val="24"/>
        </w:rPr>
        <w:t>)</w:t>
      </w:r>
      <w:r>
        <w:rPr>
          <w:szCs w:val="24"/>
        </w:rPr>
        <w:t xml:space="preserve"> dosing using the extended release formulation.</w:t>
      </w:r>
    </w:p>
    <w:p w14:paraId="27AEA512" w14:textId="77777777" w:rsidR="0055166A" w:rsidRDefault="0055166A" w:rsidP="00776389">
      <w:r>
        <w:t xml:space="preserve">There was some concern about the majority of the clinical batches not complying with the proposed dissolution </w:t>
      </w:r>
      <w:r w:rsidR="00EB66B6">
        <w:t>limits;</w:t>
      </w:r>
      <w:r>
        <w:t xml:space="preserve"> </w:t>
      </w:r>
      <w:r w:rsidR="00EB66B6">
        <w:t>however,</w:t>
      </w:r>
      <w:r>
        <w:t xml:space="preserve"> this has subsequently been resolved.</w:t>
      </w:r>
    </w:p>
    <w:p w14:paraId="71FF5E81" w14:textId="1A66689C" w:rsidR="0055166A" w:rsidRDefault="0055166A" w:rsidP="00776389">
      <w:r>
        <w:t xml:space="preserve">The carton labels are acceptable and include a </w:t>
      </w:r>
      <w:r w:rsidR="00B04E16">
        <w:t>Quick Response (</w:t>
      </w:r>
      <w:r>
        <w:t>QR</w:t>
      </w:r>
      <w:r w:rsidR="00B04E16">
        <w:t>)</w:t>
      </w:r>
      <w:r>
        <w:t xml:space="preserve"> </w:t>
      </w:r>
      <w:r w:rsidR="00EB66B6">
        <w:t>code that</w:t>
      </w:r>
      <w:r>
        <w:t xml:space="preserve"> links to the PI, </w:t>
      </w:r>
      <w:r w:rsidR="00054C2C">
        <w:t xml:space="preserve">Consumer Medicine Information (CMI) </w:t>
      </w:r>
      <w:r>
        <w:t>and a voluntary non-promotional enrolment page for a patient support program.</w:t>
      </w:r>
      <w:r w:rsidR="004E3248">
        <w:t xml:space="preserve"> </w:t>
      </w:r>
      <w:r>
        <w:t>This program provides access to medication management, health coaches for exercise, psychologists, counsellors, dietitians, or exercise physiologists.</w:t>
      </w:r>
      <w:r w:rsidR="004E3248">
        <w:t xml:space="preserve"> </w:t>
      </w:r>
      <w:r w:rsidR="00054C2C">
        <w:t>The sponsor</w:t>
      </w:r>
      <w:r>
        <w:t xml:space="preserve"> has full control over the content of the web address of the QR</w:t>
      </w:r>
      <w:r w:rsidR="00B04E16">
        <w:t> </w:t>
      </w:r>
      <w:r>
        <w:t>code, which is Australian owned.</w:t>
      </w:r>
      <w:r w:rsidR="004E3248">
        <w:t xml:space="preserve"> </w:t>
      </w:r>
      <w:r>
        <w:t>The website complies with the Therapeutic Goods Advertising Code or other legislative advertising requirements/restrictions.</w:t>
      </w:r>
    </w:p>
    <w:p w14:paraId="6CD97931" w14:textId="77777777" w:rsidR="008E7846" w:rsidRDefault="008E7846" w:rsidP="008E7846">
      <w:pPr>
        <w:pStyle w:val="Heading3"/>
      </w:pPr>
      <w:bookmarkStart w:id="34" w:name="_Toc314842512"/>
      <w:bookmarkStart w:id="35" w:name="_Toc40171805"/>
      <w:r>
        <w:lastRenderedPageBreak/>
        <w:t>Nonclinical</w:t>
      </w:r>
      <w:bookmarkEnd w:id="34"/>
      <w:bookmarkEnd w:id="35"/>
    </w:p>
    <w:p w14:paraId="6E0B303A" w14:textId="77777777" w:rsidR="00600913" w:rsidRDefault="0055166A" w:rsidP="00776389">
      <w:r>
        <w:t>The nonclinical evaluator has no objections on nonclinical grounds to the registration of upadacitinib for the proposed indication. No major deficiencies were identified in the submission.</w:t>
      </w:r>
    </w:p>
    <w:p w14:paraId="3E4622C6" w14:textId="3D6B6DBA" w:rsidR="00600913" w:rsidRDefault="0055166A" w:rsidP="00776389">
      <w:r>
        <w:rPr>
          <w:kern w:val="2"/>
        </w:rPr>
        <w:t xml:space="preserve">The pharmacology studies </w:t>
      </w:r>
      <w:r>
        <w:t xml:space="preserve">support the proposed monotherapy indication and proposed clinical dose. No </w:t>
      </w:r>
      <w:r w:rsidR="00600913">
        <w:t xml:space="preserve">nonclinical </w:t>
      </w:r>
      <w:r>
        <w:t xml:space="preserve">pharmacology studies to support the proposed combination therapy with other </w:t>
      </w:r>
      <w:proofErr w:type="spellStart"/>
      <w:r w:rsidR="00B04E16">
        <w:t>cs</w:t>
      </w:r>
      <w:r>
        <w:t>DMARDs</w:t>
      </w:r>
      <w:proofErr w:type="spellEnd"/>
      <w:r>
        <w:t xml:space="preserve"> were submitted.</w:t>
      </w:r>
      <w:r w:rsidR="004E3248">
        <w:t xml:space="preserve"> </w:t>
      </w:r>
      <w:r>
        <w:t>Upadacitinib displayed greater potency at JAK1 and its associated signalling pathways than other JAKs.</w:t>
      </w:r>
    </w:p>
    <w:p w14:paraId="23B0C998" w14:textId="52D07E6B" w:rsidR="00600913" w:rsidRDefault="0055166A" w:rsidP="00776389">
      <w:pPr>
        <w:rPr>
          <w:kern w:val="2"/>
        </w:rPr>
      </w:pPr>
      <w:r>
        <w:rPr>
          <w:kern w:val="2"/>
        </w:rPr>
        <w:t>No off-target effects were identified in adequately conducted secondary pharmacody</w:t>
      </w:r>
      <w:r w:rsidR="00600913">
        <w:rPr>
          <w:kern w:val="2"/>
        </w:rPr>
        <w:t>namics</w:t>
      </w:r>
      <w:r w:rsidR="00B04E16">
        <w:rPr>
          <w:kern w:val="2"/>
        </w:rPr>
        <w:t xml:space="preserve"> (PD)</w:t>
      </w:r>
      <w:r w:rsidR="00600913">
        <w:rPr>
          <w:kern w:val="2"/>
        </w:rPr>
        <w:t xml:space="preserve"> studies.</w:t>
      </w:r>
    </w:p>
    <w:p w14:paraId="50328085" w14:textId="2C7AB56B" w:rsidR="0055166A" w:rsidRDefault="0055166A" w:rsidP="00776389">
      <w:r>
        <w:t>Some effects associated with inhibition of JAK2 signalling (</w:t>
      </w:r>
      <w:r w:rsidR="00600913">
        <w:t>such as</w:t>
      </w:r>
      <w:r>
        <w:t xml:space="preserve"> effects on red blood cell parameters) may be seen during clinical use.</w:t>
      </w:r>
      <w:r w:rsidR="004E3248">
        <w:t xml:space="preserve"> </w:t>
      </w:r>
      <w:r>
        <w:t xml:space="preserve">Inhibitors/inducers of </w:t>
      </w:r>
      <w:r w:rsidR="00600913">
        <w:t xml:space="preserve">cytochrome P450 </w:t>
      </w:r>
      <w:r w:rsidR="00B04E16">
        <w:t>(CYP) isozyme</w:t>
      </w:r>
      <w:r w:rsidR="00600913">
        <w:t xml:space="preserve"> </w:t>
      </w:r>
      <w:r>
        <w:t>3A4, P</w:t>
      </w:r>
      <w:r>
        <w:noBreakHyphen/>
        <w:t>glycoprotein</w:t>
      </w:r>
      <w:r w:rsidR="00B04E16">
        <w:t xml:space="preserve"> (P-</w:t>
      </w:r>
      <w:proofErr w:type="spellStart"/>
      <w:r w:rsidR="00B04E16">
        <w:t>gp</w:t>
      </w:r>
      <w:proofErr w:type="spellEnd"/>
      <w:r w:rsidR="00B04E16">
        <w:t>)</w:t>
      </w:r>
      <w:r>
        <w:t xml:space="preserve"> </w:t>
      </w:r>
      <w:r w:rsidRPr="004E2B35">
        <w:t xml:space="preserve">and </w:t>
      </w:r>
      <w:r w:rsidR="0035696E" w:rsidRPr="004E2B35">
        <w:t>breast cancer resistance protein</w:t>
      </w:r>
      <w:r w:rsidR="0035696E">
        <w:rPr>
          <w:rFonts w:ascii="Arial" w:hAnsi="Arial" w:cs="Arial"/>
          <w:color w:val="222222"/>
          <w:shd w:val="clear" w:color="auto" w:fill="FFFFFF"/>
        </w:rPr>
        <w:t xml:space="preserve"> </w:t>
      </w:r>
      <w:r w:rsidR="00436FD3">
        <w:rPr>
          <w:rFonts w:ascii="Arial" w:hAnsi="Arial" w:cs="Arial"/>
          <w:color w:val="222222"/>
          <w:shd w:val="clear" w:color="auto" w:fill="FFFFFF"/>
        </w:rPr>
        <w:t>(</w:t>
      </w:r>
      <w:r w:rsidRPr="00436FD3">
        <w:t>BCRP</w:t>
      </w:r>
      <w:r w:rsidR="00436FD3">
        <w:t>)</w:t>
      </w:r>
      <w:r>
        <w:t xml:space="preserve"> may alter upadacitinib exposures.</w:t>
      </w:r>
      <w:r w:rsidR="004E3248">
        <w:t xml:space="preserve"> </w:t>
      </w:r>
      <w:r>
        <w:rPr>
          <w:kern w:val="2"/>
        </w:rPr>
        <w:t>Overall, the pharmacokinetic</w:t>
      </w:r>
      <w:r w:rsidR="00B04E16">
        <w:rPr>
          <w:kern w:val="2"/>
        </w:rPr>
        <w:t xml:space="preserve"> (PK)</w:t>
      </w:r>
      <w:r>
        <w:rPr>
          <w:kern w:val="2"/>
        </w:rPr>
        <w:t xml:space="preserve"> profile in animals was qualitatively similar to that of humans.</w:t>
      </w:r>
      <w:r w:rsidR="004E3248">
        <w:rPr>
          <w:kern w:val="2"/>
        </w:rPr>
        <w:t xml:space="preserve"> </w:t>
      </w:r>
      <w:r>
        <w:rPr>
          <w:kern w:val="2"/>
        </w:rPr>
        <w:t xml:space="preserve">Tissue distribution of upadacitinib was wide but penetration into brain and spinal cord was very limited. </w:t>
      </w:r>
      <w:r>
        <w:t>Retention in melanin-containing tissues was high in pigmented rats, but upadacitinib was not phototoxic. Upadacitinib was by far the dominant circulating species in humans and laboratory animals.</w:t>
      </w:r>
      <w:r>
        <w:rPr>
          <w:kern w:val="2"/>
        </w:rPr>
        <w:t xml:space="preserve"> </w:t>
      </w:r>
      <w:r w:rsidRPr="00436FD3">
        <w:rPr>
          <w:kern w:val="2"/>
        </w:rPr>
        <w:t>The main human metabolite (M4) is of low toxicological concern.</w:t>
      </w:r>
      <w:r w:rsidR="004E3248" w:rsidRPr="00436FD3">
        <w:rPr>
          <w:kern w:val="2"/>
        </w:rPr>
        <w:t xml:space="preserve"> </w:t>
      </w:r>
      <w:r w:rsidRPr="00436FD3">
        <w:rPr>
          <w:kern w:val="2"/>
        </w:rPr>
        <w:t>N</w:t>
      </w:r>
      <w:r w:rsidRPr="00436FD3">
        <w:t xml:space="preserve">o adverse effects on </w:t>
      </w:r>
      <w:proofErr w:type="spellStart"/>
      <w:r w:rsidRPr="00436FD3">
        <w:t>QTc</w:t>
      </w:r>
      <w:proofErr w:type="spellEnd"/>
      <w:r w:rsidR="00B04E16">
        <w:t>;</w:t>
      </w:r>
      <w:r w:rsidR="00436FD3" w:rsidRPr="00436FD3">
        <w:rPr>
          <w:rStyle w:val="FootnoteReference"/>
        </w:rPr>
        <w:footnoteReference w:id="3"/>
      </w:r>
      <w:r w:rsidRPr="00436FD3">
        <w:t xml:space="preserve"> interval or respiratory or </w:t>
      </w:r>
      <w:r w:rsidR="00123543" w:rsidRPr="00436FD3">
        <w:t>central nervous system (</w:t>
      </w:r>
      <w:r w:rsidRPr="00436FD3">
        <w:t>CNS</w:t>
      </w:r>
      <w:r w:rsidR="00123543" w:rsidRPr="00436FD3">
        <w:t>)</w:t>
      </w:r>
      <w:r w:rsidRPr="00436FD3">
        <w:t xml:space="preserve"> function are predicted during clinical use</w:t>
      </w:r>
      <w:r>
        <w:t>.</w:t>
      </w:r>
    </w:p>
    <w:p w14:paraId="3C793FEA" w14:textId="77777777" w:rsidR="00923425" w:rsidRPr="00436FD3" w:rsidRDefault="0055166A" w:rsidP="00776389">
      <w:pPr>
        <w:rPr>
          <w:kern w:val="2"/>
        </w:rPr>
      </w:pPr>
      <w:r>
        <w:t xml:space="preserve">The safety studies indicate the following as potentially clinically relevant: mild effects on blood pressure (decrease) and heart rate (increase), decreases in lymphocytes and immunosuppression with a consequent higher risk of infection </w:t>
      </w:r>
      <w:r w:rsidRPr="00436FD3">
        <w:t xml:space="preserve">and malignancies may be seen in patients, mild anaemia and </w:t>
      </w:r>
      <w:r w:rsidRPr="00436FD3">
        <w:rPr>
          <w:kern w:val="2"/>
        </w:rPr>
        <w:t>teratogenicity if used during pregnancy (Category D in pregnancy</w:t>
      </w:r>
      <w:bookmarkStart w:id="36" w:name="_Ref35964004"/>
      <w:r w:rsidR="0035696E">
        <w:rPr>
          <w:kern w:val="2"/>
        </w:rPr>
        <w:t>).</w:t>
      </w:r>
      <w:r w:rsidR="00436FD3" w:rsidRPr="00436FD3">
        <w:rPr>
          <w:rStyle w:val="FootnoteReference"/>
          <w:kern w:val="2"/>
        </w:rPr>
        <w:footnoteReference w:id="4"/>
      </w:r>
      <w:bookmarkEnd w:id="36"/>
    </w:p>
    <w:p w14:paraId="1295C66F" w14:textId="77777777" w:rsidR="00DC1948" w:rsidRPr="00DC1948" w:rsidRDefault="0055166A" w:rsidP="00776389">
      <w:r w:rsidRPr="00436FD3">
        <w:rPr>
          <w:kern w:val="2"/>
        </w:rPr>
        <w:t>Fertility was unaffected in rats and u</w:t>
      </w:r>
      <w:r w:rsidRPr="00436FD3">
        <w:t>padacitinib and/or its metabolites crossed</w:t>
      </w:r>
      <w:r>
        <w:t xml:space="preserve"> the placenta in rats and could be detected in </w:t>
      </w:r>
      <w:proofErr w:type="spellStart"/>
      <w:r>
        <w:t>fetal</w:t>
      </w:r>
      <w:proofErr w:type="spellEnd"/>
      <w:r>
        <w:t xml:space="preserve"> tissues. However, an increased incidence of resorptions, </w:t>
      </w:r>
      <w:r w:rsidR="00EB66B6">
        <w:t>post implantation</w:t>
      </w:r>
      <w:r>
        <w:t xml:space="preserve"> loss with reduced litter size and fewer viable embryos were observed in the fertility study at ≥</w:t>
      </w:r>
      <w:r w:rsidR="00923425">
        <w:t xml:space="preserve"> </w:t>
      </w:r>
      <w:r>
        <w:t xml:space="preserve">25 mg/kg/day </w:t>
      </w:r>
      <w:r w:rsidR="00923425">
        <w:t>orally (</w:t>
      </w:r>
      <w:r>
        <w:t>PO</w:t>
      </w:r>
      <w:r w:rsidR="00923425">
        <w:t>)</w:t>
      </w:r>
      <w:r>
        <w:t>. An increased incidence of preimplantation loss was seen at ≥</w:t>
      </w:r>
      <w:r w:rsidR="00923425">
        <w:t xml:space="preserve"> </w:t>
      </w:r>
      <w:r>
        <w:t>5 mg/kg/day PO.</w:t>
      </w:r>
      <w:r w:rsidR="004E3248">
        <w:t xml:space="preserve"> </w:t>
      </w:r>
      <w:r>
        <w:t>B</w:t>
      </w:r>
      <w:r>
        <w:rPr>
          <w:color w:val="000000"/>
        </w:rPr>
        <w:t xml:space="preserve">reast-fed infants are likely to be exposed to drug-related material following maternal exposure and breastfeeding is not recommended during treatment. </w:t>
      </w:r>
      <w:r>
        <w:rPr>
          <w:kern w:val="2"/>
        </w:rPr>
        <w:t xml:space="preserve">Upadacitinib was not mutagenic in the bacterial mutation assay or </w:t>
      </w:r>
      <w:proofErr w:type="spellStart"/>
      <w:r>
        <w:rPr>
          <w:kern w:val="2"/>
        </w:rPr>
        <w:t>clastogenic</w:t>
      </w:r>
      <w:proofErr w:type="spellEnd"/>
      <w:r>
        <w:rPr>
          <w:kern w:val="2"/>
        </w:rPr>
        <w:t xml:space="preserve"> </w:t>
      </w:r>
      <w:r w:rsidRPr="0035696E">
        <w:rPr>
          <w:i/>
          <w:kern w:val="2"/>
        </w:rPr>
        <w:t>in vitro</w:t>
      </w:r>
      <w:r w:rsidRPr="00923425">
        <w:rPr>
          <w:kern w:val="2"/>
        </w:rPr>
        <w:t xml:space="preserve"> (in human lymphocytes) or </w:t>
      </w:r>
      <w:r w:rsidRPr="0035696E">
        <w:rPr>
          <w:i/>
          <w:kern w:val="2"/>
        </w:rPr>
        <w:t>in vivo</w:t>
      </w:r>
      <w:r w:rsidRPr="00923425">
        <w:rPr>
          <w:kern w:val="2"/>
        </w:rPr>
        <w:t xml:space="preserve"> (in the rat micronucleus test).</w:t>
      </w:r>
      <w:r w:rsidR="004E3248" w:rsidRPr="00923425">
        <w:rPr>
          <w:kern w:val="2"/>
        </w:rPr>
        <w:t xml:space="preserve"> </w:t>
      </w:r>
      <w:r w:rsidRPr="00923425">
        <w:rPr>
          <w:kern w:val="2"/>
        </w:rPr>
        <w:t>While exposure</w:t>
      </w:r>
      <w:r>
        <w:rPr>
          <w:kern w:val="2"/>
        </w:rPr>
        <w:t>s were low, there was no evidence of carcinogenic potential in the combined set of studies.</w:t>
      </w:r>
    </w:p>
    <w:p w14:paraId="16EA3C4F" w14:textId="77777777" w:rsidR="008E7846" w:rsidRDefault="008E7846" w:rsidP="006C5007">
      <w:pPr>
        <w:pStyle w:val="Heading3"/>
        <w:pageBreakBefore/>
      </w:pPr>
      <w:bookmarkStart w:id="37" w:name="_Toc247691530"/>
      <w:bookmarkStart w:id="38" w:name="_Toc314842513"/>
      <w:bookmarkStart w:id="39" w:name="_Toc40171806"/>
      <w:r>
        <w:lastRenderedPageBreak/>
        <w:t>Clinical</w:t>
      </w:r>
      <w:bookmarkEnd w:id="37"/>
      <w:bookmarkEnd w:id="38"/>
      <w:bookmarkEnd w:id="39"/>
    </w:p>
    <w:p w14:paraId="33186E14" w14:textId="77777777" w:rsidR="0055166A" w:rsidRDefault="0055166A" w:rsidP="00776389">
      <w:r>
        <w:t>The clinical evaluator has recommended approval.</w:t>
      </w:r>
      <w:r w:rsidR="004E3248">
        <w:t xml:space="preserve"> </w:t>
      </w:r>
      <w:r w:rsidR="00923425">
        <w:t>The clinical dossier included</w:t>
      </w:r>
      <w:r>
        <w:t>:</w:t>
      </w:r>
    </w:p>
    <w:p w14:paraId="4B43C4C4" w14:textId="40E5EE0F" w:rsidR="0055166A" w:rsidRDefault="00BC4E2E" w:rsidP="00776389">
      <w:pPr>
        <w:pStyle w:val="ListBullet"/>
      </w:pPr>
      <w:r>
        <w:t>22</w:t>
      </w:r>
      <w:r w:rsidR="0055166A">
        <w:t xml:space="preserve"> clinical pharmacology studies</w:t>
      </w:r>
      <w:r>
        <w:t xml:space="preserve">, </w:t>
      </w:r>
      <w:proofErr w:type="spellStart"/>
      <w:r>
        <w:t>including</w:t>
      </w:r>
      <w:r w:rsidR="00923425">
        <w:t>pharmacokinetic</w:t>
      </w:r>
      <w:proofErr w:type="spellEnd"/>
      <w:r w:rsidR="00923425">
        <w:t xml:space="preserve"> (</w:t>
      </w:r>
      <w:r w:rsidR="0055166A">
        <w:t>PK</w:t>
      </w:r>
      <w:r w:rsidR="00923425">
        <w:t>)</w:t>
      </w:r>
      <w:r w:rsidR="0055166A">
        <w:t xml:space="preserve"> data from </w:t>
      </w:r>
      <w:r>
        <w:t>8</w:t>
      </w:r>
      <w:r w:rsidR="00B04E16">
        <w:t> </w:t>
      </w:r>
      <w:r>
        <w:t xml:space="preserve">Phase </w:t>
      </w:r>
      <w:r w:rsidR="00B04E16">
        <w:t>II and Phase III</w:t>
      </w:r>
      <w:r w:rsidR="00BD0FFA">
        <w:t xml:space="preserve"> </w:t>
      </w:r>
      <w:r w:rsidR="0055166A">
        <w:t>studies</w:t>
      </w:r>
      <w:r w:rsidR="0035696E">
        <w:t>,</w:t>
      </w:r>
    </w:p>
    <w:p w14:paraId="01E06255" w14:textId="652558D0" w:rsidR="0055166A" w:rsidRDefault="0055166A" w:rsidP="00776389">
      <w:pPr>
        <w:pStyle w:val="ListBullet"/>
      </w:pPr>
      <w:r>
        <w:t xml:space="preserve">2 combined population </w:t>
      </w:r>
      <w:r w:rsidR="00B04E16">
        <w:t>pharmacokinetic (Pop</w:t>
      </w:r>
      <w:r>
        <w:t>PK</w:t>
      </w:r>
      <w:r w:rsidR="00B04E16">
        <w:t>)</w:t>
      </w:r>
      <w:r>
        <w:t xml:space="preserve"> analyses</w:t>
      </w:r>
      <w:r w:rsidR="0035696E">
        <w:t>,</w:t>
      </w:r>
    </w:p>
    <w:p w14:paraId="1829032A" w14:textId="5E53E1C4" w:rsidR="0055166A" w:rsidRDefault="00AD63FB" w:rsidP="00776389">
      <w:pPr>
        <w:pStyle w:val="ListBullet"/>
      </w:pPr>
      <w:r>
        <w:t>3</w:t>
      </w:r>
      <w:r w:rsidR="0055166A">
        <w:t xml:space="preserve"> exposure response analyses</w:t>
      </w:r>
      <w:r w:rsidR="0035696E">
        <w:t>,</w:t>
      </w:r>
    </w:p>
    <w:p w14:paraId="786B2325" w14:textId="77777777" w:rsidR="0055166A" w:rsidRDefault="0055166A" w:rsidP="00776389">
      <w:pPr>
        <w:pStyle w:val="ListBullet"/>
      </w:pPr>
      <w:r>
        <w:t>5 pivotal</w:t>
      </w:r>
      <w:r w:rsidR="004E3248">
        <w:t xml:space="preserve"> Phase III</w:t>
      </w:r>
      <w:r>
        <w:t xml:space="preserve"> studies</w:t>
      </w:r>
      <w:r w:rsidR="0035696E">
        <w:t>,</w:t>
      </w:r>
    </w:p>
    <w:p w14:paraId="41303ED3" w14:textId="50C1FC8C" w:rsidR="0055166A" w:rsidRDefault="0055166A" w:rsidP="00776389">
      <w:pPr>
        <w:pStyle w:val="ListBullet"/>
      </w:pPr>
      <w:r>
        <w:t xml:space="preserve">2 supporting </w:t>
      </w:r>
      <w:r w:rsidR="00AC7651">
        <w:t xml:space="preserve">dose-ranging </w:t>
      </w:r>
      <w:r w:rsidR="00923425">
        <w:t>P</w:t>
      </w:r>
      <w:r>
        <w:t xml:space="preserve">hase </w:t>
      </w:r>
      <w:r w:rsidR="00923425">
        <w:t>II</w:t>
      </w:r>
      <w:r>
        <w:t xml:space="preserve"> studies, one ongoing long term </w:t>
      </w:r>
      <w:r w:rsidR="00AC7651">
        <w:t xml:space="preserve">Phase II </w:t>
      </w:r>
      <w:r>
        <w:t xml:space="preserve">extension study and one </w:t>
      </w:r>
      <w:r w:rsidR="00AC7651">
        <w:t xml:space="preserve">Phase </w:t>
      </w:r>
      <w:proofErr w:type="spellStart"/>
      <w:r w:rsidR="00B04E16">
        <w:t>II</w:t>
      </w:r>
      <w:r w:rsidR="00AC7651">
        <w:t>b</w:t>
      </w:r>
      <w:proofErr w:type="spellEnd"/>
      <w:r w:rsidR="00AC7651">
        <w:t>/</w:t>
      </w:r>
      <w:r w:rsidR="00B04E16">
        <w:t>III</w:t>
      </w:r>
      <w:r w:rsidR="00AC7651">
        <w:t xml:space="preserve"> </w:t>
      </w:r>
      <w:r>
        <w:t>study in Japanese patients</w:t>
      </w:r>
      <w:r w:rsidR="0035696E">
        <w:t>.</w:t>
      </w:r>
    </w:p>
    <w:p w14:paraId="72E6EC35" w14:textId="77777777" w:rsidR="0055166A" w:rsidRDefault="0055166A" w:rsidP="00776389">
      <w:r>
        <w:t>The following information is derived from the clinical evaluation report</w:t>
      </w:r>
      <w:r w:rsidR="0035696E">
        <w:t>.</w:t>
      </w:r>
    </w:p>
    <w:p w14:paraId="20009901" w14:textId="77777777" w:rsidR="0055166A" w:rsidRDefault="0055166A" w:rsidP="0055166A">
      <w:pPr>
        <w:pStyle w:val="Heading4"/>
      </w:pPr>
      <w:r>
        <w:t>Pharmacology</w:t>
      </w:r>
    </w:p>
    <w:p w14:paraId="51FA76A1" w14:textId="77777777" w:rsidR="0055166A" w:rsidRDefault="0055166A" w:rsidP="00776389">
      <w:r>
        <w:t>The pharmacology studies included 16 key studies (using immediate release (IR) and extended release (ER) formulations) and other studies that characterised the bioavailability of different upadacitinib formulations.</w:t>
      </w:r>
      <w:r w:rsidR="004E3248">
        <w:t xml:space="preserve"> </w:t>
      </w:r>
      <w:r>
        <w:t xml:space="preserve">The clinical studies also contributed </w:t>
      </w:r>
      <w:r w:rsidR="0035696E">
        <w:t>PK</w:t>
      </w:r>
      <w:r>
        <w:t xml:space="preserve"> data.</w:t>
      </w:r>
      <w:r w:rsidR="004E3248">
        <w:t xml:space="preserve"> </w:t>
      </w:r>
      <w:r>
        <w:t>Upada</w:t>
      </w:r>
      <w:r w:rsidR="00923425">
        <w:t>citinib was administered as an IR</w:t>
      </w:r>
      <w:r>
        <w:t xml:space="preserve"> capsule formulation in early Phase </w:t>
      </w:r>
      <w:r w:rsidR="00923425">
        <w:t>I</w:t>
      </w:r>
      <w:r>
        <w:t xml:space="preserve"> and RA Phase </w:t>
      </w:r>
      <w:r w:rsidR="00923425">
        <w:t>II</w:t>
      </w:r>
      <w:r>
        <w:t xml:space="preserve"> studies, and as an </w:t>
      </w:r>
      <w:r w:rsidR="00923425">
        <w:t>ER</w:t>
      </w:r>
      <w:r>
        <w:t xml:space="preserve"> once daily tablet formulation in the later studies and in the pivotal</w:t>
      </w:r>
      <w:r w:rsidR="004E3248">
        <w:t xml:space="preserve"> Phase III</w:t>
      </w:r>
      <w:r>
        <w:t xml:space="preserve"> studies.</w:t>
      </w:r>
      <w:r w:rsidR="004E3248">
        <w:t xml:space="preserve"> </w:t>
      </w:r>
      <w:r>
        <w:t xml:space="preserve">The pharmacology studies included healthy volunteers, patients with renal and hepatic impairment and </w:t>
      </w:r>
      <w:r w:rsidR="00EB66B6">
        <w:t>six</w:t>
      </w:r>
      <w:r>
        <w:t xml:space="preserve"> drug-drug interaction studies.</w:t>
      </w:r>
      <w:r w:rsidR="004E3248">
        <w:t xml:space="preserve"> </w:t>
      </w:r>
      <w:r>
        <w:t>Some of the key PK conclusions are:</w:t>
      </w:r>
    </w:p>
    <w:p w14:paraId="10A5F255" w14:textId="46C0B408" w:rsidR="0055166A" w:rsidRDefault="0055166A" w:rsidP="00776389">
      <w:pPr>
        <w:pStyle w:val="ListBullet"/>
        <w:rPr>
          <w:lang w:val="en-US"/>
        </w:rPr>
      </w:pPr>
      <w:r>
        <w:rPr>
          <w:lang w:val="en-US"/>
        </w:rPr>
        <w:t xml:space="preserve">Orally administered upadacitinib is rapidly absorbed with median </w:t>
      </w:r>
      <w:r w:rsidR="00923425">
        <w:rPr>
          <w:lang w:val="en-US"/>
        </w:rPr>
        <w:t>time to peak plasma concentration (</w:t>
      </w:r>
      <w:proofErr w:type="spellStart"/>
      <w:r>
        <w:rPr>
          <w:lang w:val="en-US"/>
        </w:rPr>
        <w:t>T</w:t>
      </w:r>
      <w:r>
        <w:rPr>
          <w:vertAlign w:val="subscript"/>
          <w:lang w:val="en-US"/>
        </w:rPr>
        <w:t>max</w:t>
      </w:r>
      <w:proofErr w:type="spellEnd"/>
      <w:r w:rsidR="00923425">
        <w:rPr>
          <w:lang w:val="en-US"/>
        </w:rPr>
        <w:t xml:space="preserve">) </w:t>
      </w:r>
      <w:r>
        <w:rPr>
          <w:lang w:val="en-US"/>
        </w:rPr>
        <w:t xml:space="preserve">of </w:t>
      </w:r>
      <w:r w:rsidR="00923425">
        <w:rPr>
          <w:lang w:val="en-US"/>
        </w:rPr>
        <w:t xml:space="preserve">approximately </w:t>
      </w:r>
      <w:r>
        <w:rPr>
          <w:lang w:val="en-US"/>
        </w:rPr>
        <w:t>1 hour and 2 hours under fasting and non</w:t>
      </w:r>
      <w:r w:rsidR="00F53301">
        <w:rPr>
          <w:lang w:val="en-US"/>
        </w:rPr>
        <w:noBreakHyphen/>
      </w:r>
      <w:r>
        <w:rPr>
          <w:lang w:val="en-US"/>
        </w:rPr>
        <w:t xml:space="preserve">fasting conditions </w:t>
      </w:r>
      <w:r w:rsidR="0035696E">
        <w:rPr>
          <w:lang w:val="en-US"/>
        </w:rPr>
        <w:t>(IR formulation), respectively.</w:t>
      </w:r>
    </w:p>
    <w:p w14:paraId="494E5350" w14:textId="77777777" w:rsidR="0055166A" w:rsidRDefault="0055166A" w:rsidP="00776389">
      <w:pPr>
        <w:pStyle w:val="ListBullet"/>
        <w:rPr>
          <w:lang w:val="en-US"/>
        </w:rPr>
      </w:pPr>
      <w:r>
        <w:rPr>
          <w:lang w:val="en-US"/>
        </w:rPr>
        <w:t>No absolute bioavailability has been conducted with upadacitinib, but the relative bioavailability of the ER formulation investigated in the</w:t>
      </w:r>
      <w:r w:rsidR="004E3248">
        <w:rPr>
          <w:lang w:val="en-US"/>
        </w:rPr>
        <w:t xml:space="preserve"> Phase III</w:t>
      </w:r>
      <w:r>
        <w:rPr>
          <w:lang w:val="en-US"/>
        </w:rPr>
        <w:t xml:space="preserve"> studies versus oral solution is 70%.</w:t>
      </w:r>
    </w:p>
    <w:p w14:paraId="5CDEF2E3" w14:textId="77777777" w:rsidR="0055166A" w:rsidRDefault="0055166A" w:rsidP="00776389">
      <w:pPr>
        <w:pStyle w:val="ListBullet"/>
        <w:rPr>
          <w:lang w:val="en-US"/>
        </w:rPr>
      </w:pPr>
      <w:r>
        <w:t>The relative bioavailability of the ER tablet formulation used in the</w:t>
      </w:r>
      <w:r w:rsidR="004E3248">
        <w:t xml:space="preserve"> Phase III</w:t>
      </w:r>
      <w:r>
        <w:t xml:space="preserve"> studies compared to the IR capsule formulation of upadacitinib assessed in the Phase </w:t>
      </w:r>
      <w:r w:rsidR="00C40180">
        <w:t>II</w:t>
      </w:r>
      <w:r>
        <w:t xml:space="preserve"> trials is 76%. In Study M15-878, the proposed commercial formulation of upadacitinib (ER18) achieved PK similarity margins with the ER tablets used in the pivotal</w:t>
      </w:r>
      <w:r w:rsidR="004E3248">
        <w:t xml:space="preserve"> Phase III</w:t>
      </w:r>
      <w:r>
        <w:t xml:space="preserve"> clinical trials.</w:t>
      </w:r>
    </w:p>
    <w:p w14:paraId="7018CB99" w14:textId="7948631E" w:rsidR="0055166A" w:rsidRDefault="0055166A" w:rsidP="00776389">
      <w:pPr>
        <w:pStyle w:val="ListBullet"/>
        <w:rPr>
          <w:lang w:val="en-US"/>
        </w:rPr>
      </w:pPr>
      <w:r>
        <w:rPr>
          <w:bCs/>
        </w:rPr>
        <w:t xml:space="preserve">Ingestion of upadacitinib </w:t>
      </w:r>
      <w:r>
        <w:t>following a high fat, high calorie meal compared to drug administration under fasted conditions</w:t>
      </w:r>
      <w:r w:rsidRPr="00436FD3">
        <w:t>,</w:t>
      </w:r>
      <w:r w:rsidRPr="00436FD3">
        <w:rPr>
          <w:bCs/>
        </w:rPr>
        <w:t xml:space="preserve"> results in an increase in upadacitinib </w:t>
      </w:r>
      <w:r w:rsidR="004E2B35">
        <w:rPr>
          <w:rFonts w:eastAsia="MS Minngs"/>
        </w:rPr>
        <w:t>m</w:t>
      </w:r>
      <w:r w:rsidR="00436FD3" w:rsidRPr="00436FD3">
        <w:rPr>
          <w:rFonts w:eastAsia="MS Minngs"/>
        </w:rPr>
        <w:t>aximum serum drug concentration (</w:t>
      </w:r>
      <w:proofErr w:type="spellStart"/>
      <w:r w:rsidRPr="00436FD3">
        <w:rPr>
          <w:bCs/>
        </w:rPr>
        <w:t>C</w:t>
      </w:r>
      <w:r w:rsidRPr="00436FD3">
        <w:rPr>
          <w:bCs/>
          <w:vertAlign w:val="subscript"/>
        </w:rPr>
        <w:t>max</w:t>
      </w:r>
      <w:proofErr w:type="spellEnd"/>
      <w:r w:rsidR="00436FD3" w:rsidRPr="00436FD3">
        <w:rPr>
          <w:bCs/>
        </w:rPr>
        <w:t>)</w:t>
      </w:r>
      <w:r w:rsidRPr="00436FD3">
        <w:rPr>
          <w:bCs/>
        </w:rPr>
        <w:t xml:space="preserve"> of 39% and an increase in AUC</w:t>
      </w:r>
      <w:r w:rsidRPr="00436FD3">
        <w:t xml:space="preserve"> of 29%. The sponsor asserts that the administration of upadacitinib</w:t>
      </w:r>
      <w:r>
        <w:t xml:space="preserve"> with meals is not associated with a clinically relevant effect on drug exposure and during the Phase </w:t>
      </w:r>
      <w:r w:rsidR="00C40180">
        <w:t>II</w:t>
      </w:r>
      <w:r w:rsidR="00F53301">
        <w:t xml:space="preserve"> and Phase </w:t>
      </w:r>
      <w:r w:rsidR="00C40180">
        <w:t>III</w:t>
      </w:r>
      <w:r>
        <w:t xml:space="preserve"> studies upadacitinib was taken without regard to meals.</w:t>
      </w:r>
    </w:p>
    <w:p w14:paraId="0247A452" w14:textId="77777777" w:rsidR="0055166A" w:rsidRDefault="0055166A" w:rsidP="00776389">
      <w:pPr>
        <w:pStyle w:val="ListBullet"/>
        <w:rPr>
          <w:lang w:val="en-US"/>
        </w:rPr>
      </w:pPr>
      <w:r>
        <w:t>Steady state is reached after the fourth dose of upadacitinib with minimal drug accumulation after multiple drug ingestion. Hence, multi-dose PK for upadacitinib is largely pre</w:t>
      </w:r>
      <w:r w:rsidR="00C40180">
        <w:t>dictable with single dose data.</w:t>
      </w:r>
    </w:p>
    <w:p w14:paraId="11779B75" w14:textId="4F29B655" w:rsidR="0055166A" w:rsidRDefault="0055166A" w:rsidP="00776389">
      <w:pPr>
        <w:pStyle w:val="ListBullet"/>
        <w:rPr>
          <w:lang w:val="en-US"/>
        </w:rPr>
      </w:pPr>
      <w:r>
        <w:t>Regarding dose proportionality, exposure to upadacitinib increases in a proportional mann</w:t>
      </w:r>
      <w:r w:rsidR="0035696E">
        <w:t xml:space="preserve">er </w:t>
      </w:r>
      <w:r w:rsidR="002732C1" w:rsidRPr="002732C1">
        <w:t>over all evaluated immediate- and extended-release dose ranges. This encompassed the daily dose range</w:t>
      </w:r>
      <w:r w:rsidR="002732C1">
        <w:t>s</w:t>
      </w:r>
      <w:r w:rsidR="002732C1" w:rsidRPr="002732C1">
        <w:t xml:space="preserve"> of 1 to 48 mg using the </w:t>
      </w:r>
      <w:r w:rsidR="00F53301">
        <w:t>IR</w:t>
      </w:r>
      <w:r w:rsidR="002732C1" w:rsidRPr="002732C1">
        <w:t xml:space="preserve"> formulation, and 7.5 to 45 mg using the </w:t>
      </w:r>
      <w:r w:rsidR="00F53301">
        <w:t>ER</w:t>
      </w:r>
      <w:r w:rsidR="002732C1" w:rsidRPr="002732C1">
        <w:t xml:space="preserve"> formulation.</w:t>
      </w:r>
    </w:p>
    <w:p w14:paraId="34939DCA" w14:textId="4A6CDC69" w:rsidR="0055166A" w:rsidRDefault="0055166A" w:rsidP="00776389">
      <w:pPr>
        <w:pStyle w:val="ListBullet"/>
        <w:rPr>
          <w:lang w:val="en-US"/>
        </w:rPr>
      </w:pPr>
      <w:r>
        <w:rPr>
          <w:lang w:val="en-US"/>
        </w:rPr>
        <w:lastRenderedPageBreak/>
        <w:t>Mean apparent volume of distribution at steady state after oral dosing with upadacitinib 15 mg and 30 mg ER formulation was 294 L (</w:t>
      </w:r>
      <w:r w:rsidR="00F53301">
        <w:rPr>
          <w:lang w:val="en-US"/>
        </w:rPr>
        <w:t>Pop</w:t>
      </w:r>
      <w:r>
        <w:rPr>
          <w:lang w:val="en-US"/>
        </w:rPr>
        <w:t xml:space="preserve">PK data). Upadacitinib is a substrate </w:t>
      </w:r>
      <w:r w:rsidRPr="0035696E">
        <w:rPr>
          <w:i/>
          <w:lang w:val="en-US"/>
        </w:rPr>
        <w:t>in vitro</w:t>
      </w:r>
      <w:r w:rsidR="009679B9">
        <w:rPr>
          <w:lang w:val="en-US"/>
        </w:rPr>
        <w:t xml:space="preserve"> for</w:t>
      </w:r>
      <w:r w:rsidR="00F53301" w:rsidDel="00F53301">
        <w:rPr>
          <w:lang w:val="en-US"/>
        </w:rPr>
        <w:t xml:space="preserve"> </w:t>
      </w:r>
      <w:r w:rsidR="0035696E">
        <w:rPr>
          <w:lang w:val="en-US"/>
        </w:rPr>
        <w:t>P-</w:t>
      </w:r>
      <w:proofErr w:type="spellStart"/>
      <w:r w:rsidR="0035696E">
        <w:rPr>
          <w:lang w:val="en-US"/>
        </w:rPr>
        <w:t>gp</w:t>
      </w:r>
      <w:proofErr w:type="spellEnd"/>
      <w:r w:rsidR="0035696E">
        <w:rPr>
          <w:lang w:val="en-US"/>
        </w:rPr>
        <w:t xml:space="preserve"> </w:t>
      </w:r>
      <w:r>
        <w:rPr>
          <w:lang w:val="en-US"/>
        </w:rPr>
        <w:t>and BRCP. Efflux transporters such as P-</w:t>
      </w:r>
      <w:proofErr w:type="spellStart"/>
      <w:r>
        <w:rPr>
          <w:lang w:val="en-US"/>
        </w:rPr>
        <w:t>gp</w:t>
      </w:r>
      <w:proofErr w:type="spellEnd"/>
      <w:r>
        <w:rPr>
          <w:lang w:val="en-US"/>
        </w:rPr>
        <w:t xml:space="preserve"> and BRCP, and their inhibitors are not anticipated to have clinically relevant effects on upadacitinib absorption or disposition.</w:t>
      </w:r>
    </w:p>
    <w:p w14:paraId="1E192766" w14:textId="77777777" w:rsidR="0055166A" w:rsidRDefault="0055166A" w:rsidP="00776389">
      <w:pPr>
        <w:pStyle w:val="ListBullet"/>
        <w:rPr>
          <w:lang w:val="en-US"/>
        </w:rPr>
      </w:pPr>
      <w:r>
        <w:rPr>
          <w:lang w:val="en-US"/>
        </w:rPr>
        <w:t>Upadacitinib is approximately 52% bound to human plasma proteins.</w:t>
      </w:r>
    </w:p>
    <w:p w14:paraId="460945CD" w14:textId="3796302B" w:rsidR="0055166A" w:rsidRDefault="0055166A" w:rsidP="00776389">
      <w:pPr>
        <w:pStyle w:val="ListBullet"/>
        <w:rPr>
          <w:lang w:val="en-US"/>
        </w:rPr>
      </w:pPr>
      <w:r>
        <w:rPr>
          <w:lang w:val="en-US"/>
        </w:rPr>
        <w:t xml:space="preserve">From the human </w:t>
      </w:r>
      <w:r w:rsidR="00CE00A3">
        <w:rPr>
          <w:lang w:val="en-US"/>
        </w:rPr>
        <w:t xml:space="preserve">radioactively labelled </w:t>
      </w:r>
      <w:r w:rsidR="004A0AFF">
        <w:rPr>
          <w:lang w:val="en-US"/>
        </w:rPr>
        <w:t>(</w:t>
      </w:r>
      <w:r>
        <w:rPr>
          <w:vertAlign w:val="superscript"/>
          <w:lang w:val="en-US"/>
        </w:rPr>
        <w:t>14</w:t>
      </w:r>
      <w:r w:rsidR="004A0AFF">
        <w:rPr>
          <w:lang w:val="en-US"/>
        </w:rPr>
        <w:t>C)</w:t>
      </w:r>
      <w:r>
        <w:rPr>
          <w:lang w:val="en-US"/>
        </w:rPr>
        <w:t xml:space="preserve"> Study M13-548, </w:t>
      </w:r>
      <w:r w:rsidR="00B46B0D">
        <w:rPr>
          <w:lang w:val="en-US"/>
        </w:rPr>
        <w:t>4</w:t>
      </w:r>
      <w:r w:rsidR="008648BA">
        <w:rPr>
          <w:lang w:val="en-US"/>
        </w:rPr>
        <w:t>3</w:t>
      </w:r>
      <w:r>
        <w:rPr>
          <w:lang w:val="en-US"/>
        </w:rPr>
        <w:t xml:space="preserve">% of upadacitinib is excreted in the urine (mainly as parent drug) and </w:t>
      </w:r>
      <w:r w:rsidR="00B46B0D">
        <w:rPr>
          <w:lang w:val="en-US"/>
        </w:rPr>
        <w:t>53</w:t>
      </w:r>
      <w:r>
        <w:rPr>
          <w:lang w:val="en-US"/>
        </w:rPr>
        <w:t xml:space="preserve">% is excreted in </w:t>
      </w:r>
      <w:proofErr w:type="spellStart"/>
      <w:r>
        <w:rPr>
          <w:lang w:val="en-US"/>
        </w:rPr>
        <w:t>faeces</w:t>
      </w:r>
      <w:proofErr w:type="spellEnd"/>
      <w:r>
        <w:rPr>
          <w:lang w:val="en-US"/>
        </w:rPr>
        <w:t xml:space="preserve">. There are no biologically active metabolites. </w:t>
      </w:r>
    </w:p>
    <w:p w14:paraId="6CC7A9D4" w14:textId="559B5189" w:rsidR="0055166A" w:rsidRDefault="0055166A" w:rsidP="00776389">
      <w:pPr>
        <w:pStyle w:val="ListBullet"/>
        <w:rPr>
          <w:lang w:val="en-US"/>
        </w:rPr>
      </w:pPr>
      <w:r>
        <w:rPr>
          <w:lang w:val="en-US"/>
        </w:rPr>
        <w:t xml:space="preserve">The mean apparent terminal elimination </w:t>
      </w:r>
      <w:r w:rsidR="00E35386">
        <w:rPr>
          <w:lang w:val="en-US"/>
        </w:rPr>
        <w:t>(</w:t>
      </w:r>
      <w:r w:rsidR="00F53301">
        <w:rPr>
          <w:lang w:val="en-US"/>
        </w:rPr>
        <w:t xml:space="preserve">elimination </w:t>
      </w:r>
      <w:proofErr w:type="spellStart"/>
      <w:r w:rsidR="00F53301">
        <w:rPr>
          <w:lang w:val="en-US"/>
        </w:rPr>
        <w:t>half life</w:t>
      </w:r>
      <w:proofErr w:type="spellEnd"/>
      <w:r w:rsidR="00F53301">
        <w:rPr>
          <w:lang w:val="en-US"/>
        </w:rPr>
        <w:t xml:space="preserve">; </w:t>
      </w:r>
      <w:r>
        <w:rPr>
          <w:lang w:val="en-US"/>
        </w:rPr>
        <w:t>T</w:t>
      </w:r>
      <w:r>
        <w:rPr>
          <w:vertAlign w:val="subscript"/>
          <w:lang w:val="en-US"/>
        </w:rPr>
        <w:t>1/2</w:t>
      </w:r>
      <w:r w:rsidR="00E35386">
        <w:rPr>
          <w:lang w:val="en-US"/>
        </w:rPr>
        <w:t>)</w:t>
      </w:r>
      <w:r>
        <w:rPr>
          <w:lang w:val="en-US"/>
        </w:rPr>
        <w:t xml:space="preserve"> of upadacitinib in the plasma ranges from 6</w:t>
      </w:r>
      <w:r w:rsidR="00F53301">
        <w:rPr>
          <w:lang w:val="en-US"/>
        </w:rPr>
        <w:t xml:space="preserve"> to </w:t>
      </w:r>
      <w:r>
        <w:rPr>
          <w:lang w:val="en-US"/>
        </w:rPr>
        <w:t xml:space="preserve">15 hours with a biphasic pattern of decline after reaching </w:t>
      </w:r>
      <w:proofErr w:type="spellStart"/>
      <w:r>
        <w:rPr>
          <w:lang w:val="en-US"/>
        </w:rPr>
        <w:t>C</w:t>
      </w:r>
      <w:r>
        <w:rPr>
          <w:vertAlign w:val="subscript"/>
          <w:lang w:val="en-US"/>
        </w:rPr>
        <w:t>max</w:t>
      </w:r>
      <w:proofErr w:type="spellEnd"/>
      <w:r>
        <w:rPr>
          <w:lang w:val="en-US"/>
        </w:rPr>
        <w:t>.</w:t>
      </w:r>
    </w:p>
    <w:p w14:paraId="42CB1A7C" w14:textId="77777777" w:rsidR="0055166A" w:rsidRDefault="0055166A" w:rsidP="00776389">
      <w:pPr>
        <w:pStyle w:val="ListBullet"/>
        <w:rPr>
          <w:lang w:val="en-US"/>
        </w:rPr>
      </w:pPr>
      <w:r>
        <w:rPr>
          <w:lang w:val="en-US"/>
        </w:rPr>
        <w:t xml:space="preserve">Upadacitinib metabolism is mediated by CYP3A4 with a potential </w:t>
      </w:r>
      <w:r w:rsidR="00CE00A3">
        <w:rPr>
          <w:lang w:val="en-US"/>
        </w:rPr>
        <w:t>minor contribution from CYP isozyme 2D6.</w:t>
      </w:r>
    </w:p>
    <w:p w14:paraId="207F1FE7" w14:textId="02CDBC8F" w:rsidR="009051D9" w:rsidRPr="009679B9" w:rsidRDefault="0055166A" w:rsidP="009679B9">
      <w:pPr>
        <w:pStyle w:val="ListBullet"/>
        <w:rPr>
          <w:lang w:val="en-US"/>
        </w:rPr>
      </w:pPr>
      <w:r>
        <w:rPr>
          <w:lang w:val="en-US"/>
        </w:rPr>
        <w:t>S</w:t>
      </w:r>
      <w:proofErr w:type="spellStart"/>
      <w:r>
        <w:rPr>
          <w:bCs/>
        </w:rPr>
        <w:t>ubjects</w:t>
      </w:r>
      <w:proofErr w:type="spellEnd"/>
      <w:r>
        <w:rPr>
          <w:bCs/>
        </w:rPr>
        <w:t xml:space="preserve"> with mild and moderate hepatic impairment compared to healthy volunteers with normal hepatic function have point estimates for upadacitinib AUC central values that are 28% and 24% higher, respectively, </w:t>
      </w:r>
      <w:r w:rsidR="00EB66B6">
        <w:rPr>
          <w:bCs/>
        </w:rPr>
        <w:t xml:space="preserve">than </w:t>
      </w:r>
      <w:r>
        <w:rPr>
          <w:bCs/>
        </w:rPr>
        <w:t>subjects with normal hepatic function (Study M13-539).</w:t>
      </w:r>
    </w:p>
    <w:p w14:paraId="02F56E02" w14:textId="6DF8403C" w:rsidR="0055166A" w:rsidRDefault="00987344" w:rsidP="009679B9">
      <w:pPr>
        <w:pStyle w:val="ListBullet"/>
        <w:rPr>
          <w:lang w:val="en-US"/>
        </w:rPr>
      </w:pPr>
      <w:r>
        <w:rPr>
          <w:lang w:val="en-US"/>
        </w:rPr>
        <w:t>S</w:t>
      </w:r>
      <w:proofErr w:type="spellStart"/>
      <w:r w:rsidRPr="00987344">
        <w:t>ubjects</w:t>
      </w:r>
      <w:proofErr w:type="spellEnd"/>
      <w:r w:rsidRPr="00987344">
        <w:t xml:space="preserve"> with mild renal impairment (</w:t>
      </w:r>
      <w:r w:rsidR="00F53301">
        <w:t>creatinine clearance (</w:t>
      </w:r>
      <w:proofErr w:type="spellStart"/>
      <w:r w:rsidRPr="00987344">
        <w:t>CrCL</w:t>
      </w:r>
      <w:proofErr w:type="spellEnd"/>
      <w:r w:rsidR="00F53301">
        <w:t>) of</w:t>
      </w:r>
      <w:r w:rsidRPr="00987344">
        <w:t xml:space="preserve"> 60 to 90 mL/min) have only small insignificant increases in AUC compared to those with normal renal function</w:t>
      </w:r>
      <w:r>
        <w:t xml:space="preserve"> (Study M13-551)</w:t>
      </w:r>
      <w:r w:rsidRPr="00987344">
        <w:t>. The PI notes the increase in AUC is 18%, 33% and 44% in subjects with mild, moderate and severe renal impairment compared with subjects with normal renal function.</w:t>
      </w:r>
      <w:r w:rsidRPr="00987344" w:rsidDel="00987344">
        <w:t xml:space="preserve"> </w:t>
      </w:r>
      <w:r w:rsidR="0055166A">
        <w:rPr>
          <w:lang w:val="en-US"/>
        </w:rPr>
        <w:t>The PK of upadacitinib does not appear to be substantially affected by age, ge</w:t>
      </w:r>
      <w:r w:rsidR="00CE00A3">
        <w:rPr>
          <w:lang w:val="en-US"/>
        </w:rPr>
        <w:t>nder, ethnicity or body weight.</w:t>
      </w:r>
    </w:p>
    <w:p w14:paraId="1C89F322" w14:textId="77777777" w:rsidR="0055166A" w:rsidRDefault="0055166A" w:rsidP="00776389">
      <w:pPr>
        <w:pStyle w:val="ListBullet"/>
        <w:rPr>
          <w:lang w:val="en-US"/>
        </w:rPr>
      </w:pPr>
      <w:r>
        <w:rPr>
          <w:lang w:val="en-US"/>
        </w:rPr>
        <w:t xml:space="preserve">The PK characteristics of upadacitinib in relation to </w:t>
      </w:r>
      <w:proofErr w:type="spellStart"/>
      <w:r>
        <w:rPr>
          <w:lang w:val="en-US"/>
        </w:rPr>
        <w:t>C</w:t>
      </w:r>
      <w:r>
        <w:rPr>
          <w:vertAlign w:val="subscript"/>
          <w:lang w:val="en-US"/>
        </w:rPr>
        <w:t>max</w:t>
      </w:r>
      <w:proofErr w:type="spellEnd"/>
      <w:r>
        <w:rPr>
          <w:lang w:val="en-US"/>
        </w:rPr>
        <w:t xml:space="preserve"> and AUC demonstrate low to moderate degrees of intra-subject and inter-subject variability across the tested dose range.</w:t>
      </w:r>
    </w:p>
    <w:p w14:paraId="73411FDD" w14:textId="77777777" w:rsidR="0055166A" w:rsidRDefault="0055166A" w:rsidP="00776389">
      <w:pPr>
        <w:pStyle w:val="ListBullet"/>
      </w:pPr>
      <w:r>
        <w:rPr>
          <w:lang w:val="en-US"/>
        </w:rPr>
        <w:t xml:space="preserve">A total of </w:t>
      </w:r>
      <w:r w:rsidR="00EB66B6">
        <w:rPr>
          <w:lang w:val="en-US"/>
        </w:rPr>
        <w:t>six</w:t>
      </w:r>
      <w:r>
        <w:rPr>
          <w:lang w:val="en-US"/>
        </w:rPr>
        <w:t xml:space="preserve"> </w:t>
      </w:r>
      <w:r w:rsidRPr="00E35386">
        <w:rPr>
          <w:i/>
          <w:lang w:val="en-US"/>
        </w:rPr>
        <w:t>in vivo</w:t>
      </w:r>
      <w:r>
        <w:rPr>
          <w:lang w:val="en-US"/>
        </w:rPr>
        <w:t xml:space="preserve"> drug-drug interaction studies in humans have been performed. The results indicate that upadacitinib did not appear to have clinically relevant effects on some concomitant medications or probe substrates although there were some </w:t>
      </w:r>
      <w:r w:rsidR="00E35386">
        <w:rPr>
          <w:lang w:val="en-US"/>
        </w:rPr>
        <w:t>PK</w:t>
      </w:r>
      <w:r>
        <w:rPr>
          <w:lang w:val="en-US"/>
        </w:rPr>
        <w:t xml:space="preserve"> change</w:t>
      </w:r>
      <w:r w:rsidR="00E35386">
        <w:rPr>
          <w:lang w:val="en-US"/>
        </w:rPr>
        <w:t>s (see Tables 3 and 4 from US Prescribing Information</w:t>
      </w:r>
      <w:r>
        <w:rPr>
          <w:lang w:val="en-US"/>
        </w:rPr>
        <w:t>)</w:t>
      </w:r>
      <w:r w:rsidR="00E35386">
        <w:rPr>
          <w:lang w:val="en-US"/>
        </w:rPr>
        <w:t>.</w:t>
      </w:r>
      <w:r w:rsidR="00E35386">
        <w:rPr>
          <w:rStyle w:val="FootnoteReference"/>
          <w:lang w:val="en-US"/>
        </w:rPr>
        <w:footnoteReference w:id="5"/>
      </w:r>
      <w:r w:rsidR="004E3248">
        <w:rPr>
          <w:lang w:val="en-US"/>
        </w:rPr>
        <w:t xml:space="preserve"> </w:t>
      </w:r>
      <w:r>
        <w:rPr>
          <w:lang w:val="en-US"/>
        </w:rPr>
        <w:t>Ketoconazole increases exposure to upadacitinib AUC by approximately 75% and rifampicin decreases upadacitinib AUC by 61%. No specific study has been conducted examining the concomitant ingestion of a drug that increases gastric pH (</w:t>
      </w:r>
      <w:r w:rsidR="00CE00A3">
        <w:rPr>
          <w:lang w:val="en-US"/>
        </w:rPr>
        <w:t>such as</w:t>
      </w:r>
      <w:r>
        <w:rPr>
          <w:lang w:val="en-US"/>
        </w:rPr>
        <w:t xml:space="preserve"> omeprazole) and its effect on the absorption kinetics of upadacitinib.</w:t>
      </w:r>
    </w:p>
    <w:p w14:paraId="24706131" w14:textId="432F4D98" w:rsidR="0055166A" w:rsidRDefault="0055166A" w:rsidP="00776389">
      <w:r>
        <w:t xml:space="preserve">Studies contributing pharmacodynamic </w:t>
      </w:r>
      <w:r w:rsidR="00E35386">
        <w:t xml:space="preserve">(PD) </w:t>
      </w:r>
      <w:r>
        <w:t>data include primary pharmacology for the effect on phosphorylated STAT formation, effect on QT interval</w:t>
      </w:r>
      <w:r w:rsidR="00F53301">
        <w:t>;</w:t>
      </w:r>
      <w:r w:rsidR="00F53301">
        <w:rPr>
          <w:rStyle w:val="FootnoteReference"/>
        </w:rPr>
        <w:footnoteReference w:id="6"/>
      </w:r>
      <w:r>
        <w:t xml:space="preserve"> effect on haematological parameters and population PD and PK-PD analyses.</w:t>
      </w:r>
      <w:r w:rsidR="004E3248">
        <w:t xml:space="preserve"> </w:t>
      </w:r>
      <w:r>
        <w:t>Some of the key conclusions on pharmacodynamics are:</w:t>
      </w:r>
    </w:p>
    <w:p w14:paraId="064D4AAE" w14:textId="541863E6" w:rsidR="0055166A" w:rsidRDefault="0055166A" w:rsidP="00776389">
      <w:pPr>
        <w:pStyle w:val="ListBullet"/>
      </w:pPr>
      <w:r>
        <w:t xml:space="preserve">Inhibition of the JAK-STAT pathway by </w:t>
      </w:r>
      <w:r w:rsidRPr="004E2B35">
        <w:t xml:space="preserve">upadacitinib is reversible in nature. The decrease in the </w:t>
      </w:r>
      <w:r w:rsidR="00CE00A3" w:rsidRPr="004E2B35">
        <w:t xml:space="preserve">interleukin 6 (IL-6) </w:t>
      </w:r>
      <w:r w:rsidRPr="004E2B35">
        <w:t xml:space="preserve">stimulated </w:t>
      </w:r>
      <w:r w:rsidR="0005668D">
        <w:t xml:space="preserve">phosphorylated signal transducer and activator of transcription 3 (pSTAT3) </w:t>
      </w:r>
      <w:r w:rsidRPr="004E2B35">
        <w:t>formation in response to single and multiple doses of upadacitinib therapy</w:t>
      </w:r>
      <w:r>
        <w:t xml:space="preserve"> was measured in </w:t>
      </w:r>
      <w:r w:rsidR="00EB66B6">
        <w:t>two</w:t>
      </w:r>
      <w:r>
        <w:t xml:space="preserve"> clinical pharmacology studies (Studies M13-401 and M13-845) as the primary PD</w:t>
      </w:r>
      <w:r w:rsidR="0005668D">
        <w:t> </w:t>
      </w:r>
      <w:r>
        <w:t xml:space="preserve">marker for JAK1 activity. The PD </w:t>
      </w:r>
      <w:r>
        <w:lastRenderedPageBreak/>
        <w:t xml:space="preserve">data from these </w:t>
      </w:r>
      <w:r w:rsidR="00EB66B6">
        <w:t>two</w:t>
      </w:r>
      <w:r>
        <w:t xml:space="preserve"> studies were consistent and showed a dose dependent inhibition of pSTAT3 formation in response to cytokine stimulation in the single dose range of 1 to 48 mg (Study M13-401), and with multiple twice daily doses of 3 to 24 mg for up to14 days (Study M13-845). The </w:t>
      </w:r>
      <w:r w:rsidR="00CE00A3">
        <w:t xml:space="preserve">clinical </w:t>
      </w:r>
      <w:r>
        <w:t>evaluator comments there is no evidence for a cumulative effect on cytokine stimulated pSTAT3 formation with r</w:t>
      </w:r>
      <w:r w:rsidR="00CE00A3">
        <w:t>epeated dosing of upadacitinib.</w:t>
      </w:r>
    </w:p>
    <w:p w14:paraId="5E369953" w14:textId="79A72485" w:rsidR="0055166A" w:rsidRPr="004E2B35" w:rsidRDefault="0055166A" w:rsidP="00776389">
      <w:pPr>
        <w:pStyle w:val="ListBullet"/>
      </w:pPr>
      <w:r>
        <w:t xml:space="preserve">The Phase </w:t>
      </w:r>
      <w:r w:rsidR="00CE00A3">
        <w:t>I</w:t>
      </w:r>
      <w:r>
        <w:t xml:space="preserve"> studies also examined the effect of upadacitinib upon </w:t>
      </w:r>
      <w:r w:rsidR="00CE00A3">
        <w:t>interleukin 7 (</w:t>
      </w:r>
      <w:r>
        <w:t>IL-7</w:t>
      </w:r>
      <w:r w:rsidR="00CE00A3">
        <w:t>)</w:t>
      </w:r>
      <w:r>
        <w:t xml:space="preserve"> induced STAT5 phosphorylation as a marker for JAK1/</w:t>
      </w:r>
      <w:r w:rsidR="00E87894">
        <w:t>JAK</w:t>
      </w:r>
      <w:r>
        <w:t>3 activity. In Study M13</w:t>
      </w:r>
      <w:r w:rsidR="00E87894">
        <w:noBreakHyphen/>
      </w:r>
      <w:r>
        <w:t xml:space="preserve">845, the 3 mg </w:t>
      </w:r>
      <w:r w:rsidRPr="004E2B35">
        <w:t xml:space="preserve">dose of upadacitinib (IR formulation) provided a similar mean maximal inhibition (at 1 hour) of IL-6-induced STAT3 phosphorylation to 5 mg of </w:t>
      </w:r>
      <w:proofErr w:type="spellStart"/>
      <w:r w:rsidRPr="004E2B35">
        <w:t>tofacitinib</w:t>
      </w:r>
      <w:proofErr w:type="spellEnd"/>
      <w:r w:rsidRPr="004E2B35">
        <w:t xml:space="preserve">, while a higher upadacitinib dose (12 mg) provided similar IL-7-induced phosphorylation to 5 mg dose of </w:t>
      </w:r>
      <w:proofErr w:type="spellStart"/>
      <w:r w:rsidRPr="004E2B35">
        <w:t>tofacitinib</w:t>
      </w:r>
      <w:proofErr w:type="spellEnd"/>
      <w:r w:rsidRPr="004E2B35">
        <w:t>.</w:t>
      </w:r>
    </w:p>
    <w:p w14:paraId="6FA4F41E" w14:textId="6B9F0F37" w:rsidR="0055166A" w:rsidRPr="004E2B35" w:rsidRDefault="0055166A" w:rsidP="00776389">
      <w:pPr>
        <w:pStyle w:val="ListBullet"/>
      </w:pPr>
      <w:r w:rsidRPr="004E2B35">
        <w:t xml:space="preserve">Although changes in </w:t>
      </w:r>
      <w:proofErr w:type="spellStart"/>
      <w:r w:rsidRPr="004E2B35">
        <w:t>pSTAT</w:t>
      </w:r>
      <w:proofErr w:type="spellEnd"/>
      <w:r w:rsidRPr="004E2B35">
        <w:t xml:space="preserve"> levels mirror the PK profile of upadacitinib, the PK/PD </w:t>
      </w:r>
      <w:r w:rsidRPr="00366C8F">
        <w:t xml:space="preserve">relationship is not direct for the clinical efficacy endpoints such as </w:t>
      </w:r>
      <w:r w:rsidR="004E2B35" w:rsidRPr="00366C8F">
        <w:t>American College of Rheumatology (</w:t>
      </w:r>
      <w:r w:rsidRPr="00366C8F">
        <w:t>ACR</w:t>
      </w:r>
      <w:r w:rsidR="004E2B35" w:rsidRPr="00366C8F">
        <w:t>)</w:t>
      </w:r>
      <w:r w:rsidR="00134C4F">
        <w:t xml:space="preserve"> response criteria</w:t>
      </w:r>
      <w:r w:rsidR="00E35386">
        <w:t>;</w:t>
      </w:r>
      <w:bookmarkStart w:id="40" w:name="_Ref38380199"/>
      <w:r w:rsidR="004E2B35" w:rsidRPr="00E35386">
        <w:rPr>
          <w:vertAlign w:val="superscript"/>
        </w:rPr>
        <w:footnoteReference w:id="7"/>
      </w:r>
      <w:bookmarkEnd w:id="40"/>
      <w:r w:rsidRPr="00E35386">
        <w:rPr>
          <w:vertAlign w:val="superscript"/>
        </w:rPr>
        <w:t xml:space="preserve"> </w:t>
      </w:r>
      <w:r w:rsidRPr="00366C8F">
        <w:t xml:space="preserve">and </w:t>
      </w:r>
      <w:r w:rsidR="004E2B35" w:rsidRPr="00366C8F">
        <w:t xml:space="preserve">Disease Activity Score 28 joints (DAS28) </w:t>
      </w:r>
      <w:r w:rsidRPr="00366C8F">
        <w:t>response</w:t>
      </w:r>
      <w:r w:rsidR="00E87894">
        <w:t>;</w:t>
      </w:r>
      <w:bookmarkStart w:id="41" w:name="_Ref38380443"/>
      <w:r w:rsidR="00E87894">
        <w:rPr>
          <w:rStyle w:val="FootnoteReference"/>
        </w:rPr>
        <w:footnoteReference w:id="8"/>
      </w:r>
      <w:bookmarkEnd w:id="41"/>
      <w:r w:rsidRPr="00366C8F">
        <w:t xml:space="preserve"> where there is a delay in any observable change. Therefore, the PK half-life does not translate into the efficacy PD half</w:t>
      </w:r>
      <w:r w:rsidRPr="004E2B35">
        <w:t>-life, and efficacy is more likely to relate to the daily average exp</w:t>
      </w:r>
      <w:r w:rsidR="00CE00A3" w:rsidRPr="004E2B35">
        <w:t>osure (or AUC) to upadacitinib.</w:t>
      </w:r>
    </w:p>
    <w:p w14:paraId="2636237A" w14:textId="77777777" w:rsidR="0055166A" w:rsidRPr="004E2B35" w:rsidRDefault="0055166A" w:rsidP="00776389">
      <w:pPr>
        <w:pStyle w:val="ListBullet"/>
      </w:pPr>
      <w:r w:rsidRPr="004E2B35">
        <w:t xml:space="preserve">Plasma exposure to upadacitinib in Japanese and Chinese subjects were 20% to 30% higher compared to Western subjects. A 25% increase in plasma exposure with upadacitinib 15 mg once daily therapy is predicted to have similar probability of decreases in haemoglobin, </w:t>
      </w:r>
      <w:proofErr w:type="spellStart"/>
      <w:r w:rsidRPr="004E2B35">
        <w:t>lymphop</w:t>
      </w:r>
      <w:r w:rsidR="00EB66B6" w:rsidRPr="004E2B35">
        <w:t>a</w:t>
      </w:r>
      <w:r w:rsidRPr="004E2B35">
        <w:t>enia</w:t>
      </w:r>
      <w:proofErr w:type="spellEnd"/>
      <w:r w:rsidRPr="004E2B35">
        <w:t xml:space="preserve"> (Grade 3 or higher) and/or serious infections to inter-subject variability with 15 mg once daily exposure.</w:t>
      </w:r>
    </w:p>
    <w:p w14:paraId="05FBCD79" w14:textId="43690C2B" w:rsidR="0055166A" w:rsidRPr="004E2B35" w:rsidRDefault="0055166A" w:rsidP="00776389">
      <w:pPr>
        <w:pStyle w:val="ListBullet"/>
      </w:pPr>
      <w:r w:rsidRPr="004E2B35">
        <w:t xml:space="preserve">Upadacitinib in </w:t>
      </w:r>
      <w:r w:rsidR="00134C4F">
        <w:t>IR</w:t>
      </w:r>
      <w:r w:rsidR="00C70099">
        <w:t xml:space="preserve"> </w:t>
      </w:r>
      <w:r w:rsidRPr="004E2B35">
        <w:t>daily doses up to 48 mg does</w:t>
      </w:r>
      <w:r>
        <w:t xml:space="preserve"> not cause any significant effects on cardiac repolarisation such as prolongation of the QT interval in normal healthy subjects.</w:t>
      </w:r>
      <w:r w:rsidR="004E3248">
        <w:t xml:space="preserve"> </w:t>
      </w:r>
      <w:r w:rsidR="00CE00A3" w:rsidRPr="004E2B35">
        <w:t xml:space="preserve">A </w:t>
      </w:r>
      <w:r w:rsidR="00134C4F">
        <w:t>t</w:t>
      </w:r>
      <w:r w:rsidRPr="004E2B35">
        <w:t xml:space="preserve">horough QT study was not required by the FDA or </w:t>
      </w:r>
      <w:r w:rsidR="004A0AFF">
        <w:t xml:space="preserve">the </w:t>
      </w:r>
      <w:r w:rsidR="004E2B35" w:rsidRPr="004E2B35">
        <w:t>European Medicines Agency (</w:t>
      </w:r>
      <w:r w:rsidRPr="004E2B35">
        <w:t>EMA</w:t>
      </w:r>
      <w:r w:rsidR="004E2B35" w:rsidRPr="004E2B35">
        <w:t>)</w:t>
      </w:r>
      <w:r w:rsidRPr="004E2B35">
        <w:t>.</w:t>
      </w:r>
    </w:p>
    <w:p w14:paraId="28065FBE" w14:textId="77777777" w:rsidR="0055166A" w:rsidRDefault="0055166A" w:rsidP="0055166A">
      <w:pPr>
        <w:pStyle w:val="Heading4"/>
      </w:pPr>
      <w:r>
        <w:t>Efficacy</w:t>
      </w:r>
    </w:p>
    <w:p w14:paraId="1793CC20" w14:textId="23B9EF08" w:rsidR="0055166A" w:rsidRDefault="0055166A" w:rsidP="00776389">
      <w:pPr>
        <w:rPr>
          <w:rFonts w:cs="TimesNewRoman"/>
          <w:color w:val="000000"/>
          <w:lang w:eastAsia="en-AU"/>
        </w:rPr>
      </w:pPr>
      <w:r>
        <w:rPr>
          <w:lang w:eastAsia="ja-JP"/>
        </w:rPr>
        <w:t xml:space="preserve">Upadacitinib was investigated in the Phase </w:t>
      </w:r>
      <w:r w:rsidR="00CE00A3">
        <w:rPr>
          <w:lang w:eastAsia="ja-JP"/>
        </w:rPr>
        <w:t>II</w:t>
      </w:r>
      <w:r>
        <w:rPr>
          <w:lang w:eastAsia="ja-JP"/>
        </w:rPr>
        <w:t xml:space="preserve"> program between 3 mg twice daily to 18 mg twice daily </w:t>
      </w:r>
      <w:r w:rsidR="008C0DB2">
        <w:rPr>
          <w:lang w:eastAsia="ja-JP"/>
        </w:rPr>
        <w:t xml:space="preserve">or 24 mg once daily </w:t>
      </w:r>
      <w:r>
        <w:rPr>
          <w:lang w:eastAsia="ja-JP"/>
        </w:rPr>
        <w:t xml:space="preserve">(using an IR tablet formulation). These trials supported the choice of the </w:t>
      </w:r>
      <w:r w:rsidR="00EB66B6">
        <w:rPr>
          <w:lang w:eastAsia="ja-JP"/>
        </w:rPr>
        <w:t>two</w:t>
      </w:r>
      <w:r>
        <w:rPr>
          <w:lang w:eastAsia="ja-JP"/>
        </w:rPr>
        <w:t xml:space="preserve"> </w:t>
      </w:r>
      <w:r w:rsidR="008C0DB2">
        <w:rPr>
          <w:lang w:eastAsia="ja-JP"/>
        </w:rPr>
        <w:t xml:space="preserve">daily </w:t>
      </w:r>
      <w:r>
        <w:rPr>
          <w:lang w:eastAsia="ja-JP"/>
        </w:rPr>
        <w:t>upadacitinib dose regimens (1</w:t>
      </w:r>
      <w:r w:rsidR="00CC02CF">
        <w:rPr>
          <w:lang w:eastAsia="ja-JP"/>
        </w:rPr>
        <w:t>5 mg</w:t>
      </w:r>
      <w:r>
        <w:rPr>
          <w:lang w:eastAsia="ja-JP"/>
        </w:rPr>
        <w:t xml:space="preserve"> and 3</w:t>
      </w:r>
      <w:r w:rsidR="00CC02CF">
        <w:rPr>
          <w:lang w:eastAsia="ja-JP"/>
        </w:rPr>
        <w:t>0 mg</w:t>
      </w:r>
      <w:r w:rsidR="008C0DB2">
        <w:rPr>
          <w:lang w:eastAsia="ja-JP"/>
        </w:rPr>
        <w:t xml:space="preserve"> extended release formulation</w:t>
      </w:r>
      <w:r>
        <w:rPr>
          <w:lang w:eastAsia="ja-JP"/>
        </w:rPr>
        <w:t>) for evaluation in the</w:t>
      </w:r>
      <w:r w:rsidR="004E3248">
        <w:rPr>
          <w:lang w:eastAsia="ja-JP"/>
        </w:rPr>
        <w:t xml:space="preserve"> Phase III</w:t>
      </w:r>
      <w:r>
        <w:rPr>
          <w:lang w:eastAsia="ja-JP"/>
        </w:rPr>
        <w:t xml:space="preserve"> program.</w:t>
      </w:r>
      <w:r w:rsidR="004E3248">
        <w:rPr>
          <w:lang w:eastAsia="ja-JP"/>
        </w:rPr>
        <w:t xml:space="preserve"> </w:t>
      </w:r>
      <w:r>
        <w:rPr>
          <w:rFonts w:cs="TimesNewRoman"/>
          <w:color w:val="000000"/>
          <w:lang w:eastAsia="en-AU"/>
        </w:rPr>
        <w:t xml:space="preserve">The totality of data supported the once daily administration of upadacitinib 15 mg (ER formulation) as the recommended dose. Additionally, upadacitinib 7.5 mg dose in </w:t>
      </w:r>
      <w:r w:rsidR="005873D4">
        <w:rPr>
          <w:rFonts w:cs="TimesNewRoman"/>
          <w:color w:val="000000"/>
          <w:lang w:eastAsia="en-AU"/>
        </w:rPr>
        <w:t xml:space="preserve">Japanese </w:t>
      </w:r>
      <w:r>
        <w:rPr>
          <w:rFonts w:cs="TimesNewRoman"/>
          <w:color w:val="000000"/>
          <w:lang w:eastAsia="en-AU"/>
        </w:rPr>
        <w:t>patients was on the plateau of the exposure response curve indicating that the 7.5 mg dose will be effective in some patients. Upadacitinib could be given orally with or without food in the pivotal</w:t>
      </w:r>
      <w:r w:rsidR="004E3248">
        <w:rPr>
          <w:rFonts w:cs="TimesNewRoman"/>
          <w:color w:val="000000"/>
          <w:lang w:eastAsia="en-AU"/>
        </w:rPr>
        <w:t xml:space="preserve"> Phase III</w:t>
      </w:r>
      <w:r w:rsidR="00CE00A3">
        <w:rPr>
          <w:rFonts w:cs="TimesNewRoman"/>
          <w:color w:val="000000"/>
          <w:lang w:eastAsia="en-AU"/>
        </w:rPr>
        <w:t xml:space="preserve"> studies.</w:t>
      </w:r>
    </w:p>
    <w:p w14:paraId="1C0AA1C6" w14:textId="77777777" w:rsidR="0055166A" w:rsidRDefault="0055166A" w:rsidP="00776389">
      <w:pPr>
        <w:pStyle w:val="Heading5"/>
        <w:rPr>
          <w:lang w:eastAsia="ja-JP"/>
        </w:rPr>
      </w:pPr>
      <w:r>
        <w:rPr>
          <w:lang w:eastAsia="ja-JP"/>
        </w:rPr>
        <w:lastRenderedPageBreak/>
        <w:t>Pivotal studies</w:t>
      </w:r>
    </w:p>
    <w:p w14:paraId="5EECDA9B" w14:textId="746B0B78" w:rsidR="0055166A" w:rsidRDefault="0055166A" w:rsidP="00776389">
      <w:pPr>
        <w:rPr>
          <w:lang w:eastAsia="ja-JP"/>
        </w:rPr>
      </w:pPr>
      <w:r>
        <w:rPr>
          <w:lang w:eastAsia="ja-JP"/>
        </w:rPr>
        <w:t>The 5</w:t>
      </w:r>
      <w:r w:rsidR="004E3248">
        <w:rPr>
          <w:lang w:eastAsia="ja-JP"/>
        </w:rPr>
        <w:t xml:space="preserve"> Phase III</w:t>
      </w:r>
      <w:r>
        <w:rPr>
          <w:lang w:eastAsia="ja-JP"/>
        </w:rPr>
        <w:t xml:space="preserve"> studies were designed to investigate the efficacy and safety of upadacitinib in different populations (methotrexate naive, </w:t>
      </w:r>
      <w:proofErr w:type="spellStart"/>
      <w:r w:rsidR="00134C4F">
        <w:rPr>
          <w:lang w:eastAsia="ja-JP"/>
        </w:rPr>
        <w:t>cs</w:t>
      </w:r>
      <w:r>
        <w:rPr>
          <w:lang w:eastAsia="ja-JP"/>
        </w:rPr>
        <w:t>DMARD</w:t>
      </w:r>
      <w:proofErr w:type="spellEnd"/>
      <w:r>
        <w:rPr>
          <w:lang w:eastAsia="ja-JP"/>
        </w:rPr>
        <w:t xml:space="preserve"> inadequate responders</w:t>
      </w:r>
      <w:r w:rsidR="00CE00A3">
        <w:rPr>
          <w:lang w:eastAsia="ja-JP"/>
        </w:rPr>
        <w:t>,</w:t>
      </w:r>
      <w:r>
        <w:rPr>
          <w:lang w:eastAsia="ja-JP"/>
        </w:rPr>
        <w:t xml:space="preserve"> and </w:t>
      </w:r>
      <w:proofErr w:type="spellStart"/>
      <w:r w:rsidR="00134C4F">
        <w:rPr>
          <w:lang w:eastAsia="ja-JP"/>
        </w:rPr>
        <w:t>b</w:t>
      </w:r>
      <w:r>
        <w:rPr>
          <w:lang w:eastAsia="ja-JP"/>
        </w:rPr>
        <w:t>DMARD</w:t>
      </w:r>
      <w:proofErr w:type="spellEnd"/>
      <w:r>
        <w:rPr>
          <w:lang w:eastAsia="ja-JP"/>
        </w:rPr>
        <w:t xml:space="preserve"> inadequate responders) at 2 </w:t>
      </w:r>
      <w:r w:rsidR="00EB66B6">
        <w:rPr>
          <w:lang w:eastAsia="ja-JP"/>
        </w:rPr>
        <w:t xml:space="preserve">different </w:t>
      </w:r>
      <w:r>
        <w:rPr>
          <w:lang w:eastAsia="ja-JP"/>
        </w:rPr>
        <w:t>dose levels (15</w:t>
      </w:r>
      <w:r w:rsidR="00134C4F">
        <w:rPr>
          <w:lang w:eastAsia="ja-JP"/>
        </w:rPr>
        <w:t> </w:t>
      </w:r>
      <w:r>
        <w:rPr>
          <w:lang w:eastAsia="ja-JP"/>
        </w:rPr>
        <w:t>mg and 30 mg once daily)</w:t>
      </w:r>
      <w:r w:rsidR="00076B9F">
        <w:rPr>
          <w:lang w:eastAsia="ja-JP"/>
        </w:rPr>
        <w:t>. Studies</w:t>
      </w:r>
      <w:r>
        <w:rPr>
          <w:lang w:eastAsia="ja-JP"/>
        </w:rPr>
        <w:t xml:space="preserve"> compared</w:t>
      </w:r>
      <w:r w:rsidR="00076B9F">
        <w:rPr>
          <w:lang w:eastAsia="ja-JP"/>
        </w:rPr>
        <w:t xml:space="preserve"> upadacitinib</w:t>
      </w:r>
      <w:r>
        <w:rPr>
          <w:lang w:eastAsia="ja-JP"/>
        </w:rPr>
        <w:t xml:space="preserve"> to 2 active comparators (oral methotrexate and 40</w:t>
      </w:r>
      <w:r w:rsidR="00CE00A3">
        <w:rPr>
          <w:lang w:eastAsia="ja-JP"/>
        </w:rPr>
        <w:t xml:space="preserve"> </w:t>
      </w:r>
      <w:r>
        <w:rPr>
          <w:lang w:eastAsia="ja-JP"/>
        </w:rPr>
        <w:t xml:space="preserve">mg </w:t>
      </w:r>
      <w:proofErr w:type="spellStart"/>
      <w:r>
        <w:rPr>
          <w:lang w:eastAsia="ja-JP"/>
        </w:rPr>
        <w:t>adalimumab</w:t>
      </w:r>
      <w:proofErr w:type="spellEnd"/>
      <w:r>
        <w:rPr>
          <w:lang w:eastAsia="ja-JP"/>
        </w:rPr>
        <w:t xml:space="preserve"> given fortnightly by </w:t>
      </w:r>
      <w:r w:rsidR="00CE00A3">
        <w:rPr>
          <w:lang w:eastAsia="ja-JP"/>
        </w:rPr>
        <w:t>subcutaneous (</w:t>
      </w:r>
      <w:r>
        <w:rPr>
          <w:lang w:eastAsia="ja-JP"/>
        </w:rPr>
        <w:t>SC</w:t>
      </w:r>
      <w:r w:rsidR="00CE00A3">
        <w:rPr>
          <w:lang w:eastAsia="ja-JP"/>
        </w:rPr>
        <w:t>)</w:t>
      </w:r>
      <w:r>
        <w:rPr>
          <w:lang w:eastAsia="ja-JP"/>
        </w:rPr>
        <w:t xml:space="preserve"> injection) or placebo. Three of the</w:t>
      </w:r>
      <w:r w:rsidR="004E3248">
        <w:rPr>
          <w:lang w:eastAsia="ja-JP"/>
        </w:rPr>
        <w:t xml:space="preserve"> Phase III</w:t>
      </w:r>
      <w:r>
        <w:rPr>
          <w:lang w:eastAsia="ja-JP"/>
        </w:rPr>
        <w:t xml:space="preserve"> studies were conducted in the </w:t>
      </w:r>
      <w:proofErr w:type="spellStart"/>
      <w:r w:rsidR="00134C4F">
        <w:rPr>
          <w:lang w:eastAsia="ja-JP"/>
        </w:rPr>
        <w:t>cs</w:t>
      </w:r>
      <w:r>
        <w:rPr>
          <w:lang w:eastAsia="ja-JP"/>
        </w:rPr>
        <w:t>DMARD</w:t>
      </w:r>
      <w:proofErr w:type="spellEnd"/>
      <w:r>
        <w:rPr>
          <w:lang w:eastAsia="ja-JP"/>
        </w:rPr>
        <w:t xml:space="preserve"> inadequate responder population, of which </w:t>
      </w:r>
      <w:r w:rsidR="00CE00A3">
        <w:rPr>
          <w:lang w:eastAsia="ja-JP"/>
        </w:rPr>
        <w:t>one</w:t>
      </w:r>
      <w:r>
        <w:rPr>
          <w:lang w:eastAsia="ja-JP"/>
        </w:rPr>
        <w:t xml:space="preserve"> study required patients to receive concomitant methotrexate as background therapy.</w:t>
      </w:r>
      <w:r w:rsidR="004E3248">
        <w:rPr>
          <w:lang w:eastAsia="ja-JP"/>
        </w:rPr>
        <w:t xml:space="preserve"> </w:t>
      </w:r>
      <w:r>
        <w:rPr>
          <w:lang w:eastAsia="ja-JP"/>
        </w:rPr>
        <w:t>The</w:t>
      </w:r>
      <w:r w:rsidR="004E3248">
        <w:rPr>
          <w:lang w:eastAsia="ja-JP"/>
        </w:rPr>
        <w:t xml:space="preserve"> Phase III</w:t>
      </w:r>
      <w:r>
        <w:rPr>
          <w:lang w:eastAsia="ja-JP"/>
        </w:rPr>
        <w:t xml:space="preserve"> studies are support</w:t>
      </w:r>
      <w:r w:rsidR="00CE00A3">
        <w:rPr>
          <w:lang w:eastAsia="ja-JP"/>
        </w:rPr>
        <w:t>ed for efficacy by two completed P</w:t>
      </w:r>
      <w:r>
        <w:rPr>
          <w:lang w:eastAsia="ja-JP"/>
        </w:rPr>
        <w:t xml:space="preserve">hase </w:t>
      </w:r>
      <w:r w:rsidR="00CE00A3">
        <w:rPr>
          <w:lang w:eastAsia="ja-JP"/>
        </w:rPr>
        <w:t>II</w:t>
      </w:r>
      <w:r>
        <w:rPr>
          <w:lang w:eastAsia="ja-JP"/>
        </w:rPr>
        <w:t xml:space="preserve"> studies and one supportive study in Japanese patients.</w:t>
      </w:r>
    </w:p>
    <w:p w14:paraId="3F8B568F" w14:textId="77777777" w:rsidR="0055166A" w:rsidRDefault="0055166A" w:rsidP="0055166A">
      <w:pPr>
        <w:rPr>
          <w:lang w:eastAsia="ja-JP"/>
        </w:rPr>
      </w:pPr>
      <w:r>
        <w:rPr>
          <w:lang w:eastAsia="ja-JP"/>
        </w:rPr>
        <w:t>A summary of the design of the</w:t>
      </w:r>
      <w:r w:rsidR="004E3248">
        <w:rPr>
          <w:lang w:eastAsia="ja-JP"/>
        </w:rPr>
        <w:t xml:space="preserve"> Phase III</w:t>
      </w:r>
      <w:r w:rsidR="00E35386">
        <w:rPr>
          <w:lang w:eastAsia="ja-JP"/>
        </w:rPr>
        <w:t xml:space="preserve"> studies is provided below in Table 2.</w:t>
      </w:r>
    </w:p>
    <w:p w14:paraId="5F847527" w14:textId="77777777" w:rsidR="0009021C" w:rsidRDefault="0009021C" w:rsidP="0009021C">
      <w:pPr>
        <w:pStyle w:val="TableTitle"/>
        <w:rPr>
          <w:lang w:eastAsia="ja-JP"/>
        </w:rPr>
      </w:pPr>
      <w:r w:rsidRPr="00366C8F">
        <w:rPr>
          <w:lang w:eastAsia="ja-JP"/>
        </w:rPr>
        <w:t>Table</w:t>
      </w:r>
      <w:r w:rsidR="00366C8F" w:rsidRPr="00366C8F">
        <w:rPr>
          <w:lang w:eastAsia="ja-JP"/>
        </w:rPr>
        <w:t xml:space="preserve"> 2:</w:t>
      </w:r>
      <w:r w:rsidRPr="00366C8F">
        <w:rPr>
          <w:lang w:eastAsia="ja-JP"/>
        </w:rPr>
        <w:t xml:space="preserve"> Summary</w:t>
      </w:r>
      <w:r>
        <w:rPr>
          <w:lang w:eastAsia="ja-JP"/>
        </w:rPr>
        <w:t xml:space="preserve"> of the design of the Phase III studies</w:t>
      </w:r>
    </w:p>
    <w:p w14:paraId="778F44C3" w14:textId="77777777" w:rsidR="0009021C" w:rsidRDefault="0009021C" w:rsidP="0055166A">
      <w:pPr>
        <w:rPr>
          <w:lang w:eastAsia="ja-JP"/>
        </w:rPr>
      </w:pPr>
      <w:r>
        <w:rPr>
          <w:noProof/>
          <w:lang w:eastAsia="en-AU"/>
        </w:rPr>
        <w:drawing>
          <wp:inline distT="0" distB="0" distL="0" distR="0" wp14:anchorId="600146BE" wp14:editId="2C03D266">
            <wp:extent cx="5513778" cy="6008488"/>
            <wp:effectExtent l="0" t="0" r="0" b="0"/>
            <wp:docPr id="1" name="Picture 1" descr="Summary of the design of the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515937" cy="6010841"/>
                    </a:xfrm>
                    <a:prstGeom prst="rect">
                      <a:avLst/>
                    </a:prstGeom>
                  </pic:spPr>
                </pic:pic>
              </a:graphicData>
            </a:graphic>
          </wp:inline>
        </w:drawing>
      </w:r>
    </w:p>
    <w:p w14:paraId="4E4DE6BF" w14:textId="6D5801A2" w:rsidR="0055166A" w:rsidRDefault="0055166A" w:rsidP="00776389">
      <w:r>
        <w:rPr>
          <w:lang w:eastAsia="ja-JP"/>
        </w:rPr>
        <w:t xml:space="preserve">All </w:t>
      </w:r>
      <w:r w:rsidR="00CC02CF">
        <w:rPr>
          <w:lang w:eastAsia="ja-JP"/>
        </w:rPr>
        <w:t>five</w:t>
      </w:r>
      <w:r>
        <w:rPr>
          <w:lang w:eastAsia="ja-JP"/>
        </w:rPr>
        <w:t xml:space="preserve"> of the pivotal</w:t>
      </w:r>
      <w:r w:rsidR="004E3248">
        <w:rPr>
          <w:lang w:eastAsia="ja-JP"/>
        </w:rPr>
        <w:t xml:space="preserve"> Phase III</w:t>
      </w:r>
      <w:r>
        <w:rPr>
          <w:lang w:eastAsia="ja-JP"/>
        </w:rPr>
        <w:t xml:space="preserve"> studies in this submission were multicentre, multinational, randomised, </w:t>
      </w:r>
      <w:r w:rsidR="00EB66B6">
        <w:rPr>
          <w:lang w:eastAsia="ja-JP"/>
        </w:rPr>
        <w:t>double blind</w:t>
      </w:r>
      <w:r>
        <w:rPr>
          <w:lang w:eastAsia="ja-JP"/>
        </w:rPr>
        <w:t xml:space="preserve">, active and/or placebo controlled trials conducted in adult subjects (in the outpatient or ambulatory care setting) with moderately to severely active </w:t>
      </w:r>
      <w:r>
        <w:rPr>
          <w:lang w:eastAsia="ja-JP"/>
        </w:rPr>
        <w:lastRenderedPageBreak/>
        <w:t>RA at baseline.</w:t>
      </w:r>
      <w:r w:rsidR="004E3248">
        <w:rPr>
          <w:lang w:eastAsia="ja-JP"/>
        </w:rPr>
        <w:t xml:space="preserve"> </w:t>
      </w:r>
      <w:r>
        <w:rPr>
          <w:lang w:eastAsia="ja-JP"/>
        </w:rPr>
        <w:t>All studies have a randomis</w:t>
      </w:r>
      <w:r w:rsidR="00CC02CF">
        <w:rPr>
          <w:lang w:eastAsia="ja-JP"/>
        </w:rPr>
        <w:t>ed controlled period and a</w:t>
      </w:r>
      <w:r w:rsidR="004C62BD">
        <w:rPr>
          <w:lang w:eastAsia="ja-JP"/>
        </w:rPr>
        <w:t>n ongoing</w:t>
      </w:r>
      <w:r w:rsidR="00CC02CF">
        <w:rPr>
          <w:lang w:eastAsia="ja-JP"/>
        </w:rPr>
        <w:t xml:space="preserve"> long-</w:t>
      </w:r>
      <w:r>
        <w:rPr>
          <w:lang w:eastAsia="ja-JP"/>
        </w:rPr>
        <w:t xml:space="preserve">term extension </w:t>
      </w:r>
      <w:r w:rsidR="00EB66B6">
        <w:rPr>
          <w:lang w:eastAsia="ja-JP"/>
        </w:rPr>
        <w:t>period</w:t>
      </w:r>
      <w:r w:rsidR="00FC3719">
        <w:rPr>
          <w:lang w:eastAsia="ja-JP"/>
        </w:rPr>
        <w:t>,</w:t>
      </w:r>
      <w:r w:rsidR="00EB66B6">
        <w:rPr>
          <w:lang w:eastAsia="ja-JP"/>
        </w:rPr>
        <w:t xml:space="preserve"> </w:t>
      </w:r>
      <w:r>
        <w:rPr>
          <w:lang w:eastAsia="ja-JP"/>
        </w:rPr>
        <w:t xml:space="preserve">for a total </w:t>
      </w:r>
      <w:r w:rsidR="00FC3719">
        <w:rPr>
          <w:lang w:eastAsia="ja-JP"/>
        </w:rPr>
        <w:t xml:space="preserve">study </w:t>
      </w:r>
      <w:r>
        <w:rPr>
          <w:lang w:eastAsia="ja-JP"/>
        </w:rPr>
        <w:t>duration of 5 years</w:t>
      </w:r>
      <w:r w:rsidR="003638CF">
        <w:rPr>
          <w:lang w:eastAsia="ja-JP"/>
        </w:rPr>
        <w:t xml:space="preserve"> each</w:t>
      </w:r>
      <w:r>
        <w:rPr>
          <w:lang w:eastAsia="ja-JP"/>
        </w:rPr>
        <w:t>.</w:t>
      </w:r>
      <w:r w:rsidR="004E3248">
        <w:rPr>
          <w:lang w:eastAsia="ja-JP"/>
        </w:rPr>
        <w:t xml:space="preserve"> </w:t>
      </w:r>
      <w:r>
        <w:rPr>
          <w:lang w:eastAsia="ja-JP"/>
        </w:rPr>
        <w:t xml:space="preserve">Subjects had a diagnosis of </w:t>
      </w:r>
      <w:r w:rsidR="00CC02CF">
        <w:rPr>
          <w:lang w:eastAsia="ja-JP"/>
        </w:rPr>
        <w:t>RA</w:t>
      </w:r>
      <w:r>
        <w:rPr>
          <w:lang w:eastAsia="ja-JP"/>
        </w:rPr>
        <w:t xml:space="preserve"> based on the </w:t>
      </w:r>
      <w:r>
        <w:t>American College of Rheumatology/European League Against Rheumatism (ACR/EULAR) 2010 Criteria for Classification of RA and had at least 6</w:t>
      </w:r>
      <w:r w:rsidR="00A9210D">
        <w:t> </w:t>
      </w:r>
      <w:r>
        <w:t>tender and swollen joints (of 68/66 joints examined) plus a high-sensitivity C-</w:t>
      </w:r>
      <w:r w:rsidR="00A9210D">
        <w:t>r</w:t>
      </w:r>
      <w:r w:rsidRPr="001D1AEA">
        <w:t xml:space="preserve">eactive </w:t>
      </w:r>
      <w:r w:rsidR="00A9210D">
        <w:t>p</w:t>
      </w:r>
      <w:r w:rsidRPr="001D1AEA">
        <w:t>rotein (</w:t>
      </w:r>
      <w:proofErr w:type="spellStart"/>
      <w:r w:rsidRPr="001D1AEA">
        <w:t>hsCRP</w:t>
      </w:r>
      <w:proofErr w:type="spellEnd"/>
      <w:r w:rsidRPr="001D1AEA">
        <w:t>) measurement</w:t>
      </w:r>
      <w:r w:rsidR="00927D27">
        <w:t xml:space="preserve"> ≥</w:t>
      </w:r>
      <w:r w:rsidR="00CC02CF" w:rsidRPr="00927D27">
        <w:t xml:space="preserve"> </w:t>
      </w:r>
      <w:r w:rsidRPr="001D1AEA">
        <w:t>3 mg/L (central lab</w:t>
      </w:r>
      <w:r w:rsidR="00A9210D">
        <w:t>oratory</w:t>
      </w:r>
      <w:r w:rsidRPr="001D1AEA">
        <w:t xml:space="preserve">) at screening (or qualifying </w:t>
      </w:r>
      <w:r w:rsidR="00A9210D">
        <w:t>C</w:t>
      </w:r>
      <w:r w:rsidR="00A9210D">
        <w:noBreakHyphen/>
        <w:t>reactive protein (</w:t>
      </w:r>
      <w:r w:rsidRPr="001D1AEA">
        <w:t>CRP</w:t>
      </w:r>
      <w:r w:rsidR="00A9210D">
        <w:t>)</w:t>
      </w:r>
      <w:r w:rsidRPr="001D1AEA">
        <w:t xml:space="preserve"> </w:t>
      </w:r>
      <w:r w:rsidR="00927D27">
        <w:t>≥</w:t>
      </w:r>
      <w:r w:rsidR="00927D27">
        <w:t xml:space="preserve"> </w:t>
      </w:r>
      <w:r w:rsidRPr="001D1AEA">
        <w:t>5</w:t>
      </w:r>
      <w:r w:rsidR="00CC02CF" w:rsidRPr="001D1AEA">
        <w:t xml:space="preserve"> </w:t>
      </w:r>
      <w:r w:rsidRPr="001D1AEA">
        <w:t>mg/L for X-ray</w:t>
      </w:r>
      <w:r w:rsidR="00A9210D">
        <w:t xml:space="preserve"> based</w:t>
      </w:r>
      <w:r w:rsidRPr="001D1AEA">
        <w:t xml:space="preserve"> Studies M13-545 and M14-465). In addition, to be eligible for inclusion in</w:t>
      </w:r>
      <w:r>
        <w:t xml:space="preserve"> Study M13-545, patients needed to have at least 1</w:t>
      </w:r>
      <w:r w:rsidR="00A9210D">
        <w:t> </w:t>
      </w:r>
      <w:r>
        <w:t xml:space="preserve">RA related bone erosion (by local reading), or in the absence of a documented bone erosion be positive for both </w:t>
      </w:r>
      <w:r w:rsidR="00E35386">
        <w:t xml:space="preserve">rheumatoid factor </w:t>
      </w:r>
      <w:r>
        <w:t xml:space="preserve">(RF) and anti-cyclic </w:t>
      </w:r>
      <w:proofErr w:type="spellStart"/>
      <w:r>
        <w:t>citrullinated</w:t>
      </w:r>
      <w:proofErr w:type="spellEnd"/>
      <w:r>
        <w:t xml:space="preserve"> peptide (anti-CCP) autoantibodies at screening.</w:t>
      </w:r>
      <w:r w:rsidR="004E3248">
        <w:t xml:space="preserve"> </w:t>
      </w:r>
      <w:r w:rsidR="00F00342">
        <w:t xml:space="preserve">In order to be eligible for inclusion in Study M14-465 patients needed to have at least 3 bone erosions on x-ray; or ≥ 1 bone erosion and a positive rheumatoid factor; or ≥ 1 bone erosion and a positive anti-cyclic </w:t>
      </w:r>
      <w:proofErr w:type="spellStart"/>
      <w:r w:rsidR="00F00342">
        <w:t>citrullinated</w:t>
      </w:r>
      <w:proofErr w:type="spellEnd"/>
      <w:r w:rsidR="00F00342">
        <w:t xml:space="preserve"> peptide autoantibody at screening. </w:t>
      </w:r>
      <w:r>
        <w:t xml:space="preserve">In all studies, subjects were allowed concomitant oral corticosteroids or </w:t>
      </w:r>
      <w:r w:rsidR="00EB66B6">
        <w:t>non-steroidal</w:t>
      </w:r>
      <w:r w:rsidR="00CC02CF">
        <w:t xml:space="preserve"> anti-inflammatory drugs (</w:t>
      </w:r>
      <w:r>
        <w:t>NSAIDs</w:t>
      </w:r>
      <w:r w:rsidR="00CC02CF">
        <w:t>)</w:t>
      </w:r>
      <w:r>
        <w:t xml:space="preserve"> provided the doses were stable.</w:t>
      </w:r>
    </w:p>
    <w:p w14:paraId="1D9A1B9C" w14:textId="2DA72823" w:rsidR="0055166A" w:rsidRDefault="0055166A" w:rsidP="00776389">
      <w:pPr>
        <w:rPr>
          <w:rFonts w:cs="TimesNewRoman"/>
          <w:color w:val="000000"/>
          <w:lang w:eastAsia="en-AU"/>
        </w:rPr>
      </w:pPr>
      <w:r>
        <w:t xml:space="preserve">The studies </w:t>
      </w:r>
      <w:r>
        <w:rPr>
          <w:rFonts w:cs="TimesNewRoman"/>
          <w:color w:val="000000"/>
          <w:lang w:eastAsia="en-AU"/>
        </w:rPr>
        <w:t>assessed signs and symptoms of RA, physical functioning and disability, health-related quality of life and progression of structural joint damage as assessed by X</w:t>
      </w:r>
      <w:r w:rsidR="00A9210D">
        <w:rPr>
          <w:rFonts w:cs="TimesNewRoman"/>
          <w:color w:val="000000"/>
          <w:lang w:eastAsia="en-AU"/>
        </w:rPr>
        <w:noBreakHyphen/>
      </w:r>
      <w:r>
        <w:rPr>
          <w:rFonts w:cs="TimesNewRoman"/>
          <w:color w:val="000000"/>
          <w:lang w:eastAsia="en-AU"/>
        </w:rPr>
        <w:t>rays.</w:t>
      </w:r>
      <w:r w:rsidR="004E3248">
        <w:rPr>
          <w:rFonts w:cs="TimesNewRoman"/>
          <w:color w:val="000000"/>
          <w:lang w:eastAsia="en-AU"/>
        </w:rPr>
        <w:t xml:space="preserve"> </w:t>
      </w:r>
      <w:r>
        <w:rPr>
          <w:rFonts w:cs="TimesNewRoman"/>
          <w:color w:val="000000"/>
          <w:lang w:eastAsia="en-AU"/>
        </w:rPr>
        <w:t>The primary efficacy endpoints were either ACR (</w:t>
      </w:r>
      <w:r w:rsidR="00A9210D">
        <w:rPr>
          <w:rFonts w:cs="TimesNewRoman"/>
          <w:color w:val="000000"/>
          <w:lang w:eastAsia="en-AU"/>
        </w:rPr>
        <w:t>ACR</w:t>
      </w:r>
      <w:r>
        <w:rPr>
          <w:rFonts w:cs="TimesNewRoman"/>
          <w:color w:val="000000"/>
          <w:lang w:eastAsia="en-AU"/>
        </w:rPr>
        <w:t xml:space="preserve">20 or </w:t>
      </w:r>
      <w:r w:rsidR="00A9210D">
        <w:rPr>
          <w:rFonts w:cs="TimesNewRoman"/>
          <w:color w:val="000000"/>
          <w:lang w:eastAsia="en-AU"/>
        </w:rPr>
        <w:t>ACR</w:t>
      </w:r>
      <w:r>
        <w:rPr>
          <w:rFonts w:cs="TimesNewRoman"/>
          <w:color w:val="000000"/>
          <w:lang w:eastAsia="en-AU"/>
        </w:rPr>
        <w:t>50)</w:t>
      </w:r>
      <w:r w:rsidR="00A9210D">
        <w:rPr>
          <w:rFonts w:cs="TimesNewRoman"/>
          <w:color w:val="000000"/>
          <w:lang w:eastAsia="en-AU"/>
        </w:rPr>
        <w:t>;</w:t>
      </w:r>
      <w:r w:rsidR="00A9210D" w:rsidRPr="009679B9">
        <w:rPr>
          <w:rFonts w:cs="TimesNewRoman"/>
          <w:color w:val="000000"/>
          <w:vertAlign w:val="superscript"/>
          <w:lang w:eastAsia="en-AU"/>
        </w:rPr>
        <w:fldChar w:fldCharType="begin"/>
      </w:r>
      <w:r w:rsidR="00A9210D" w:rsidRPr="009679B9">
        <w:rPr>
          <w:rFonts w:cs="TimesNewRoman"/>
          <w:color w:val="000000"/>
          <w:vertAlign w:val="superscript"/>
          <w:lang w:eastAsia="en-AU"/>
        </w:rPr>
        <w:instrText xml:space="preserve"> NOTEREF _Ref38380199 \h </w:instrText>
      </w:r>
      <w:r w:rsidR="00A9210D">
        <w:rPr>
          <w:rFonts w:cs="TimesNewRoman"/>
          <w:color w:val="000000"/>
          <w:vertAlign w:val="superscript"/>
          <w:lang w:eastAsia="en-AU"/>
        </w:rPr>
        <w:instrText xml:space="preserve"> \* MERGEFORMAT </w:instrText>
      </w:r>
      <w:r w:rsidR="00A9210D" w:rsidRPr="009679B9">
        <w:rPr>
          <w:rFonts w:cs="TimesNewRoman"/>
          <w:color w:val="000000"/>
          <w:vertAlign w:val="superscript"/>
          <w:lang w:eastAsia="en-AU"/>
        </w:rPr>
      </w:r>
      <w:r w:rsidR="00A9210D" w:rsidRPr="009679B9">
        <w:rPr>
          <w:rFonts w:cs="TimesNewRoman"/>
          <w:color w:val="000000"/>
          <w:vertAlign w:val="superscript"/>
          <w:lang w:eastAsia="en-AU"/>
        </w:rPr>
        <w:fldChar w:fldCharType="separate"/>
      </w:r>
      <w:r w:rsidR="00A9210D" w:rsidRPr="009679B9">
        <w:rPr>
          <w:rFonts w:cs="TimesNewRoman"/>
          <w:color w:val="000000"/>
          <w:vertAlign w:val="superscript"/>
          <w:lang w:eastAsia="en-AU"/>
        </w:rPr>
        <w:t>7</w:t>
      </w:r>
      <w:r w:rsidR="00A9210D" w:rsidRPr="009679B9">
        <w:rPr>
          <w:rFonts w:cs="TimesNewRoman"/>
          <w:color w:val="000000"/>
          <w:vertAlign w:val="superscript"/>
          <w:lang w:eastAsia="en-AU"/>
        </w:rPr>
        <w:fldChar w:fldCharType="end"/>
      </w:r>
      <w:r>
        <w:rPr>
          <w:rFonts w:cs="TimesNewRoman"/>
          <w:color w:val="000000"/>
          <w:lang w:eastAsia="en-AU"/>
        </w:rPr>
        <w:t xml:space="preserve"> for the US or complete remission or low diseas</w:t>
      </w:r>
      <w:r w:rsidR="001D1AEA">
        <w:rPr>
          <w:rFonts w:cs="TimesNewRoman"/>
          <w:color w:val="000000"/>
          <w:lang w:eastAsia="en-AU"/>
        </w:rPr>
        <w:t>e activity for the EU</w:t>
      </w:r>
      <w:r>
        <w:rPr>
          <w:rFonts w:cs="TimesNewRoman"/>
          <w:color w:val="000000"/>
          <w:lang w:eastAsia="en-AU"/>
        </w:rPr>
        <w:t>. The primary and ranked secondary efficacy endpoint</w:t>
      </w:r>
      <w:r w:rsidR="00E35386">
        <w:rPr>
          <w:rFonts w:cs="TimesNewRoman"/>
          <w:color w:val="000000"/>
          <w:lang w:eastAsia="en-AU"/>
        </w:rPr>
        <w:t>s are summarised by the sponsor in Table 3.</w:t>
      </w:r>
    </w:p>
    <w:p w14:paraId="3C21EA91" w14:textId="77777777" w:rsidR="0009021C" w:rsidRDefault="0009021C" w:rsidP="0009021C">
      <w:pPr>
        <w:pStyle w:val="TableTitle"/>
      </w:pPr>
      <w:r w:rsidRPr="00366C8F">
        <w:lastRenderedPageBreak/>
        <w:t xml:space="preserve">Table </w:t>
      </w:r>
      <w:r w:rsidR="00366C8F" w:rsidRPr="00366C8F">
        <w:t>3:</w:t>
      </w:r>
      <w:r w:rsidR="00366C8F">
        <w:t xml:space="preserve"> </w:t>
      </w:r>
      <w:r>
        <w:t xml:space="preserve">Summary of </w:t>
      </w:r>
      <w:r>
        <w:rPr>
          <w:rFonts w:cs="TimesNewRoman"/>
          <w:color w:val="000000"/>
          <w:lang w:eastAsia="en-AU"/>
        </w:rPr>
        <w:t>the primary and ranked secondary efficacy endpoints</w:t>
      </w:r>
    </w:p>
    <w:p w14:paraId="7C308DAB" w14:textId="77777777" w:rsidR="0055166A" w:rsidRDefault="0009021C" w:rsidP="0055166A">
      <w:pPr>
        <w:rPr>
          <w:lang w:eastAsia="ja-JP"/>
        </w:rPr>
      </w:pPr>
      <w:r>
        <w:rPr>
          <w:noProof/>
          <w:lang w:eastAsia="en-AU"/>
        </w:rPr>
        <w:drawing>
          <wp:inline distT="0" distB="0" distL="0" distR="0" wp14:anchorId="29AB51B2" wp14:editId="2E03C27B">
            <wp:extent cx="5400000" cy="6364800"/>
            <wp:effectExtent l="0" t="0" r="0" b="0"/>
            <wp:docPr id="27" name="Picture 27" descr="Summary of the primary and ranked second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400040" cy="6364847"/>
                    </a:xfrm>
                    <a:prstGeom prst="rect">
                      <a:avLst/>
                    </a:prstGeom>
                  </pic:spPr>
                </pic:pic>
              </a:graphicData>
            </a:graphic>
          </wp:inline>
        </w:drawing>
      </w:r>
    </w:p>
    <w:p w14:paraId="6DB7E6E2" w14:textId="6148A97F" w:rsidR="0055166A" w:rsidRDefault="00A9210D" w:rsidP="001D1AEA">
      <w:pPr>
        <w:pStyle w:val="TableDescription"/>
      </w:pPr>
      <w:r>
        <w:t xml:space="preserve">Note for Table 3: </w:t>
      </w:r>
      <w:r w:rsidR="0055166A">
        <w:t>The sponsor has advised</w:t>
      </w:r>
      <w:r w:rsidR="00CC02CF">
        <w:t xml:space="preserve"> of errors in the above table: S</w:t>
      </w:r>
      <w:r w:rsidR="0055166A">
        <w:t xml:space="preserve">tudy M13-542 should not include ACR50 and ACR70 and ACR20 at Week 1 as ranked secondary endpoints, footnote </w:t>
      </w:r>
      <w:r w:rsidR="004E3248">
        <w:t>‘</w:t>
      </w:r>
      <w:r w:rsidR="0055166A">
        <w:t>b</w:t>
      </w:r>
      <w:r w:rsidR="004E3248">
        <w:t>’</w:t>
      </w:r>
      <w:r w:rsidR="0055166A">
        <w:t xml:space="preserve"> for PMDA should be footnote </w:t>
      </w:r>
      <w:r w:rsidR="004E3248">
        <w:t>‘</w:t>
      </w:r>
      <w:r w:rsidR="0055166A">
        <w:t>c</w:t>
      </w:r>
      <w:r w:rsidR="004E3248">
        <w:t>’</w:t>
      </w:r>
      <w:r w:rsidR="00CC02CF">
        <w:t xml:space="preserve">, </w:t>
      </w:r>
      <w:r w:rsidR="00CC02CF" w:rsidRPr="001D1AEA">
        <w:t>S</w:t>
      </w:r>
      <w:r w:rsidR="0055166A" w:rsidRPr="001D1AEA">
        <w:t>tudy M14-465 should include an additional last</w:t>
      </w:r>
      <w:r w:rsidR="00CC02CF" w:rsidRPr="001D1AEA">
        <w:t xml:space="preserve"> ranked secondary endpoint at W</w:t>
      </w:r>
      <w:r w:rsidR="0055166A" w:rsidRPr="001D1AEA">
        <w:t xml:space="preserve">eek 12 for FDA of change in </w:t>
      </w:r>
      <w:r w:rsidR="001D1AEA" w:rsidRPr="001D1AEA">
        <w:t>Health Assessment Questionnaire without Disability Index (</w:t>
      </w:r>
      <w:r w:rsidR="0055166A" w:rsidRPr="001D1AEA">
        <w:t>HAQ-DI</w:t>
      </w:r>
      <w:r w:rsidR="001D1AEA" w:rsidRPr="001D1AEA">
        <w:t>)</w:t>
      </w:r>
      <w:r w:rsidR="0055166A" w:rsidRPr="001D1AEA">
        <w:t xml:space="preserve"> superiority of u</w:t>
      </w:r>
      <w:r w:rsidR="00CC02CF" w:rsidRPr="001D1AEA">
        <w:t xml:space="preserve">padacitinib versus </w:t>
      </w:r>
      <w:proofErr w:type="spellStart"/>
      <w:r w:rsidR="00CC02CF" w:rsidRPr="001D1AEA">
        <w:t>adalimumab</w:t>
      </w:r>
      <w:proofErr w:type="spellEnd"/>
      <w:r w:rsidR="00CC02CF" w:rsidRPr="001D1AEA">
        <w:t>, S</w:t>
      </w:r>
      <w:r w:rsidR="0055166A" w:rsidRPr="001D1AEA">
        <w:t xml:space="preserve">tudy M15-555 should change footnote </w:t>
      </w:r>
      <w:r w:rsidR="004E3248" w:rsidRPr="001D1AEA">
        <w:t>‘</w:t>
      </w:r>
      <w:r w:rsidR="0055166A" w:rsidRPr="001D1AEA">
        <w:t>a</w:t>
      </w:r>
      <w:r w:rsidR="004E3248" w:rsidRPr="001D1AEA">
        <w:t>’</w:t>
      </w:r>
      <w:r w:rsidR="0055166A" w:rsidRPr="001D1AEA">
        <w:t xml:space="preserve"> to </w:t>
      </w:r>
      <w:r w:rsidR="004E3248" w:rsidRPr="001D1AEA">
        <w:t>‘</w:t>
      </w:r>
      <w:r w:rsidR="0055166A" w:rsidRPr="001D1AEA">
        <w:t>b</w:t>
      </w:r>
      <w:r w:rsidR="004E3248" w:rsidRPr="001D1AEA">
        <w:t>’</w:t>
      </w:r>
      <w:r w:rsidR="0055166A" w:rsidRPr="001D1AEA">
        <w:t>.</w:t>
      </w:r>
    </w:p>
    <w:p w14:paraId="43215F6B" w14:textId="1D80F60C" w:rsidR="0055166A" w:rsidRDefault="0055166A" w:rsidP="0009021C">
      <w:r>
        <w:t>For each</w:t>
      </w:r>
      <w:r w:rsidR="004E3248">
        <w:t xml:space="preserve"> Phase III</w:t>
      </w:r>
      <w:r>
        <w:t xml:space="preserve"> study</w:t>
      </w:r>
      <w:r w:rsidR="00CC02CF">
        <w:t>,</w:t>
      </w:r>
      <w:r>
        <w:t xml:space="preserve"> the primary and ranked key secondary endpoints were multiplicity-adjusted for statistical testing</w:t>
      </w:r>
      <w:r w:rsidR="00CC02CF">
        <w:t>,</w:t>
      </w:r>
      <w:r>
        <w:t xml:space="preserve"> with strong control of the overall type I error rate at the 0.05 (2-sided) level using the graphical multiple testing procedure where 2</w:t>
      </w:r>
      <w:r w:rsidR="00A9210D">
        <w:t> </w:t>
      </w:r>
      <w:r>
        <w:t>doses of upadacitinib were tested (Studies M13-545, M13-549, M15-555 and M13-542) or the sequential testing approach where only upadacitinib 15 mg once daily was examined (Study M14-465). A full analysis set and per-protocol population w</w:t>
      </w:r>
      <w:r w:rsidR="00CC02CF">
        <w:t>as</w:t>
      </w:r>
      <w:r>
        <w:t xml:space="preserve"> defined for primary and key secondary efficacy endpoints.</w:t>
      </w:r>
      <w:r w:rsidR="004E3248">
        <w:t xml:space="preserve"> </w:t>
      </w:r>
      <w:r>
        <w:t>Study drug completion ranged from 85.1% to 95.2% in any treatment group at the visit for the primary analysis.</w:t>
      </w:r>
      <w:r w:rsidR="004E3248">
        <w:t xml:space="preserve"> </w:t>
      </w:r>
      <w:r>
        <w:t xml:space="preserve">The treatment </w:t>
      </w:r>
      <w:r>
        <w:lastRenderedPageBreak/>
        <w:t>groups across the five studies were generally balanced regarding demographic features and baseline disease characteristics.</w:t>
      </w:r>
    </w:p>
    <w:p w14:paraId="4FAE0E9A" w14:textId="0C8633BF" w:rsidR="00A9210D" w:rsidRDefault="0055166A" w:rsidP="009679B9">
      <w:pPr>
        <w:pStyle w:val="Heading6"/>
        <w:rPr>
          <w:lang w:eastAsia="ja-JP"/>
        </w:rPr>
      </w:pPr>
      <w:r>
        <w:rPr>
          <w:lang w:eastAsia="ja-JP"/>
        </w:rPr>
        <w:t xml:space="preserve">Study </w:t>
      </w:r>
      <w:r w:rsidR="00A9210D">
        <w:rPr>
          <w:lang w:eastAsia="ja-JP"/>
        </w:rPr>
        <w:t>M13-</w:t>
      </w:r>
      <w:r>
        <w:rPr>
          <w:lang w:eastAsia="ja-JP"/>
        </w:rPr>
        <w:t>545</w:t>
      </w:r>
    </w:p>
    <w:p w14:paraId="72565453" w14:textId="4AB8FEED" w:rsidR="00CC02CF" w:rsidRDefault="0055166A" w:rsidP="00776389">
      <w:pPr>
        <w:rPr>
          <w:lang w:eastAsia="ja-JP"/>
        </w:rPr>
      </w:pPr>
      <w:r>
        <w:rPr>
          <w:lang w:eastAsia="ja-JP"/>
        </w:rPr>
        <w:t>This is a monotherapy study in methotrexate naïve patients comparing 15</w:t>
      </w:r>
      <w:r w:rsidR="00CC02CF">
        <w:rPr>
          <w:lang w:eastAsia="ja-JP"/>
        </w:rPr>
        <w:t xml:space="preserve"> </w:t>
      </w:r>
      <w:r>
        <w:rPr>
          <w:lang w:eastAsia="ja-JP"/>
        </w:rPr>
        <w:t xml:space="preserve">mg and </w:t>
      </w:r>
      <w:r w:rsidR="00EB66B6">
        <w:rPr>
          <w:lang w:eastAsia="ja-JP"/>
        </w:rPr>
        <w:t>30 mg</w:t>
      </w:r>
      <w:r>
        <w:rPr>
          <w:lang w:eastAsia="ja-JP"/>
        </w:rPr>
        <w:t xml:space="preserve"> upadacitinib with methotrexate 2</w:t>
      </w:r>
      <w:r w:rsidR="00CC02CF">
        <w:rPr>
          <w:lang w:eastAsia="ja-JP"/>
        </w:rPr>
        <w:t>0 mg</w:t>
      </w:r>
      <w:r>
        <w:rPr>
          <w:lang w:eastAsia="ja-JP"/>
        </w:rPr>
        <w:t xml:space="preserve"> maximum/w</w:t>
      </w:r>
      <w:r w:rsidR="00CC02CF">
        <w:rPr>
          <w:lang w:eastAsia="ja-JP"/>
        </w:rPr>
        <w:t>ee</w:t>
      </w:r>
      <w:r>
        <w:rPr>
          <w:lang w:eastAsia="ja-JP"/>
        </w:rPr>
        <w:t>k for 48 controlled weeks in 947 patients.</w:t>
      </w:r>
      <w:r w:rsidR="004E3248">
        <w:rPr>
          <w:lang w:eastAsia="ja-JP"/>
        </w:rPr>
        <w:t xml:space="preserve"> </w:t>
      </w:r>
      <w:r w:rsidR="00CC02CF">
        <w:rPr>
          <w:lang w:eastAsia="ja-JP"/>
        </w:rPr>
        <w:t>The study report to W</w:t>
      </w:r>
      <w:r>
        <w:rPr>
          <w:lang w:eastAsia="ja-JP"/>
        </w:rPr>
        <w:t>eek 24 only was submitted.</w:t>
      </w:r>
      <w:r w:rsidR="004E3248">
        <w:rPr>
          <w:lang w:eastAsia="ja-JP"/>
        </w:rPr>
        <w:t xml:space="preserve"> </w:t>
      </w:r>
      <w:r w:rsidR="00CC02CF">
        <w:rPr>
          <w:lang w:eastAsia="ja-JP"/>
        </w:rPr>
        <w:t>From W</w:t>
      </w:r>
      <w:r>
        <w:rPr>
          <w:lang w:eastAsia="ja-JP"/>
        </w:rPr>
        <w:t>eek 26 onwards, subjects could receive rescue medication.</w:t>
      </w:r>
      <w:r w:rsidR="004E3248">
        <w:rPr>
          <w:lang w:eastAsia="ja-JP"/>
        </w:rPr>
        <w:t xml:space="preserve"> </w:t>
      </w:r>
      <w:r>
        <w:rPr>
          <w:lang w:eastAsia="ja-JP"/>
        </w:rPr>
        <w:t>This study included a lower dose of 7.5</w:t>
      </w:r>
      <w:r w:rsidR="00C20F9B">
        <w:rPr>
          <w:lang w:eastAsia="ja-JP"/>
        </w:rPr>
        <w:t> </w:t>
      </w:r>
      <w:r>
        <w:rPr>
          <w:lang w:eastAsia="ja-JP"/>
        </w:rPr>
        <w:t>mg for Japan.</w:t>
      </w:r>
    </w:p>
    <w:p w14:paraId="74EDE6CA" w14:textId="298C9A32" w:rsidR="0055166A" w:rsidRDefault="0055166A" w:rsidP="00C20F9B">
      <w:pPr>
        <w:rPr>
          <w:lang w:eastAsia="ja-JP"/>
        </w:rPr>
      </w:pPr>
      <w:r>
        <w:rPr>
          <w:lang w:eastAsia="ja-JP"/>
        </w:rPr>
        <w:t>The mean duration of rheumatoid arthritis was 2.7 years reflecting a cohort with recent onset disease and overall patients were consistent with severely active disease.</w:t>
      </w:r>
      <w:r w:rsidR="004E3248">
        <w:rPr>
          <w:lang w:eastAsia="ja-JP"/>
        </w:rPr>
        <w:t xml:space="preserve"> </w:t>
      </w:r>
      <w:r>
        <w:rPr>
          <w:lang w:eastAsia="ja-JP"/>
        </w:rPr>
        <w:t>The primary efficacy endpoint for the US was</w:t>
      </w:r>
      <w:r w:rsidR="00CC02CF">
        <w:rPr>
          <w:lang w:eastAsia="ja-JP"/>
        </w:rPr>
        <w:t xml:space="preserve"> ACR50</w:t>
      </w:r>
      <w:r w:rsidR="00A9210D">
        <w:rPr>
          <w:lang w:eastAsia="ja-JP"/>
        </w:rPr>
        <w:t>;</w:t>
      </w:r>
      <w:r w:rsidR="00A9210D" w:rsidRPr="009679B9">
        <w:rPr>
          <w:vertAlign w:val="superscript"/>
          <w:lang w:eastAsia="ja-JP"/>
        </w:rPr>
        <w:fldChar w:fldCharType="begin"/>
      </w:r>
      <w:r w:rsidR="00A9210D" w:rsidRPr="009679B9">
        <w:rPr>
          <w:vertAlign w:val="superscript"/>
          <w:lang w:eastAsia="ja-JP"/>
        </w:rPr>
        <w:instrText xml:space="preserve"> NOTEREF _Ref38380199 \h </w:instrText>
      </w:r>
      <w:r w:rsidR="00A9210D">
        <w:rPr>
          <w:vertAlign w:val="superscript"/>
          <w:lang w:eastAsia="ja-JP"/>
        </w:rPr>
        <w:instrText xml:space="preserve"> \* MERGEFORMAT </w:instrText>
      </w:r>
      <w:r w:rsidR="00A9210D" w:rsidRPr="009679B9">
        <w:rPr>
          <w:vertAlign w:val="superscript"/>
          <w:lang w:eastAsia="ja-JP"/>
        </w:rPr>
      </w:r>
      <w:r w:rsidR="00A9210D" w:rsidRPr="009679B9">
        <w:rPr>
          <w:vertAlign w:val="superscript"/>
          <w:lang w:eastAsia="ja-JP"/>
        </w:rPr>
        <w:fldChar w:fldCharType="separate"/>
      </w:r>
      <w:r w:rsidR="00A9210D" w:rsidRPr="009679B9">
        <w:rPr>
          <w:vertAlign w:val="superscript"/>
          <w:lang w:eastAsia="ja-JP"/>
        </w:rPr>
        <w:t>7</w:t>
      </w:r>
      <w:r w:rsidR="00A9210D" w:rsidRPr="009679B9">
        <w:rPr>
          <w:vertAlign w:val="superscript"/>
          <w:lang w:eastAsia="ja-JP"/>
        </w:rPr>
        <w:fldChar w:fldCharType="end"/>
      </w:r>
      <w:r w:rsidR="00CC02CF">
        <w:rPr>
          <w:lang w:eastAsia="ja-JP"/>
        </w:rPr>
        <w:t xml:space="preserve"> at W</w:t>
      </w:r>
      <w:r>
        <w:rPr>
          <w:lang w:eastAsia="ja-JP"/>
        </w:rPr>
        <w:t>eek 12 which showed 52.1% for 15</w:t>
      </w:r>
      <w:r w:rsidR="00C20F9B">
        <w:rPr>
          <w:lang w:eastAsia="ja-JP"/>
        </w:rPr>
        <w:t> </w:t>
      </w:r>
      <w:r>
        <w:rPr>
          <w:lang w:eastAsia="ja-JP"/>
        </w:rPr>
        <w:t>mg, 56.4% for 30</w:t>
      </w:r>
      <w:r w:rsidR="00CC02CF">
        <w:rPr>
          <w:lang w:eastAsia="ja-JP"/>
        </w:rPr>
        <w:t xml:space="preserve"> </w:t>
      </w:r>
      <w:r>
        <w:rPr>
          <w:lang w:eastAsia="ja-JP"/>
        </w:rPr>
        <w:t>mg and 28.3% for methotrexate (p</w:t>
      </w:r>
      <w:r w:rsidR="00C20F9B">
        <w:rPr>
          <w:lang w:eastAsia="ja-JP"/>
        </w:rPr>
        <w:t xml:space="preserve"> </w:t>
      </w:r>
      <w:r>
        <w:rPr>
          <w:lang w:eastAsia="ja-JP"/>
        </w:rPr>
        <w:t>&lt;</w:t>
      </w:r>
      <w:r w:rsidR="00C20F9B">
        <w:rPr>
          <w:lang w:eastAsia="ja-JP"/>
        </w:rPr>
        <w:t xml:space="preserve"> </w:t>
      </w:r>
      <w:r>
        <w:rPr>
          <w:lang w:eastAsia="ja-JP"/>
        </w:rPr>
        <w:t>0.001 for both upadacitinib groups v</w:t>
      </w:r>
      <w:r w:rsidR="00CC02CF">
        <w:rPr>
          <w:lang w:eastAsia="ja-JP"/>
        </w:rPr>
        <w:t>ersu</w:t>
      </w:r>
      <w:r>
        <w:rPr>
          <w:lang w:eastAsia="ja-JP"/>
        </w:rPr>
        <w:t>s methotrexate).</w:t>
      </w:r>
      <w:r w:rsidR="004E3248">
        <w:rPr>
          <w:lang w:eastAsia="ja-JP"/>
        </w:rPr>
        <w:t xml:space="preserve"> </w:t>
      </w:r>
      <w:r>
        <w:rPr>
          <w:lang w:eastAsia="ja-JP"/>
        </w:rPr>
        <w:t>The primary efficacy endpoint for the EU was complete remission (DAS28-CRP</w:t>
      </w:r>
      <w:r w:rsidR="00C20F9B">
        <w:rPr>
          <w:lang w:eastAsia="ja-JP"/>
        </w:rPr>
        <w:t xml:space="preserve"> </w:t>
      </w:r>
      <w:r>
        <w:rPr>
          <w:lang w:eastAsia="ja-JP"/>
        </w:rPr>
        <w:t>&lt;</w:t>
      </w:r>
      <w:r w:rsidR="00C20F9B">
        <w:rPr>
          <w:lang w:eastAsia="ja-JP"/>
        </w:rPr>
        <w:t xml:space="preserve"> 2.6)</w:t>
      </w:r>
      <w:r w:rsidR="00A9210D">
        <w:rPr>
          <w:lang w:eastAsia="ja-JP"/>
        </w:rPr>
        <w:t>;</w:t>
      </w:r>
      <w:r w:rsidR="00A9210D" w:rsidRPr="009679B9">
        <w:rPr>
          <w:vertAlign w:val="superscript"/>
          <w:lang w:eastAsia="ja-JP"/>
        </w:rPr>
        <w:fldChar w:fldCharType="begin"/>
      </w:r>
      <w:r w:rsidR="00A9210D" w:rsidRPr="009679B9">
        <w:rPr>
          <w:vertAlign w:val="superscript"/>
          <w:lang w:eastAsia="ja-JP"/>
        </w:rPr>
        <w:instrText xml:space="preserve"> NOTEREF _Ref38380443 \h </w:instrText>
      </w:r>
      <w:r w:rsidR="00A9210D">
        <w:rPr>
          <w:vertAlign w:val="superscript"/>
          <w:lang w:eastAsia="ja-JP"/>
        </w:rPr>
        <w:instrText xml:space="preserve"> \* MERGEFORMAT </w:instrText>
      </w:r>
      <w:r w:rsidR="00A9210D" w:rsidRPr="009679B9">
        <w:rPr>
          <w:vertAlign w:val="superscript"/>
          <w:lang w:eastAsia="ja-JP"/>
        </w:rPr>
      </w:r>
      <w:r w:rsidR="00A9210D" w:rsidRPr="009679B9">
        <w:rPr>
          <w:vertAlign w:val="superscript"/>
          <w:lang w:eastAsia="ja-JP"/>
        </w:rPr>
        <w:fldChar w:fldCharType="separate"/>
      </w:r>
      <w:r w:rsidR="00A9210D" w:rsidRPr="009679B9">
        <w:rPr>
          <w:vertAlign w:val="superscript"/>
          <w:lang w:eastAsia="ja-JP"/>
        </w:rPr>
        <w:t>8</w:t>
      </w:r>
      <w:r w:rsidR="00A9210D" w:rsidRPr="009679B9">
        <w:rPr>
          <w:vertAlign w:val="superscript"/>
          <w:lang w:eastAsia="ja-JP"/>
        </w:rPr>
        <w:fldChar w:fldCharType="end"/>
      </w:r>
      <w:r w:rsidR="00C20F9B">
        <w:rPr>
          <w:lang w:eastAsia="ja-JP"/>
        </w:rPr>
        <w:t xml:space="preserve"> at W</w:t>
      </w:r>
      <w:r>
        <w:rPr>
          <w:lang w:eastAsia="ja-JP"/>
        </w:rPr>
        <w:t>eek 24 which showed 48.3% for 15</w:t>
      </w:r>
      <w:r w:rsidR="00CC02CF">
        <w:rPr>
          <w:lang w:eastAsia="ja-JP"/>
        </w:rPr>
        <w:t xml:space="preserve"> </w:t>
      </w:r>
      <w:r>
        <w:rPr>
          <w:lang w:eastAsia="ja-JP"/>
        </w:rPr>
        <w:t>mg, 50.0% for 30</w:t>
      </w:r>
      <w:r w:rsidR="00C20F9B">
        <w:rPr>
          <w:lang w:eastAsia="ja-JP"/>
        </w:rPr>
        <w:t> </w:t>
      </w:r>
      <w:r>
        <w:rPr>
          <w:lang w:eastAsia="ja-JP"/>
        </w:rPr>
        <w:t>mg and 18.5% for methotrexate (p</w:t>
      </w:r>
      <w:r w:rsidR="00C20F9B">
        <w:rPr>
          <w:lang w:eastAsia="ja-JP"/>
        </w:rPr>
        <w:t xml:space="preserve"> </w:t>
      </w:r>
      <w:r>
        <w:rPr>
          <w:lang w:eastAsia="ja-JP"/>
        </w:rPr>
        <w:t>&lt;</w:t>
      </w:r>
      <w:r w:rsidR="00C20F9B">
        <w:rPr>
          <w:lang w:eastAsia="ja-JP"/>
        </w:rPr>
        <w:t xml:space="preserve"> </w:t>
      </w:r>
      <w:r>
        <w:rPr>
          <w:lang w:eastAsia="ja-JP"/>
        </w:rPr>
        <w:t>0.001 for both upadacitinib groups v</w:t>
      </w:r>
      <w:r w:rsidR="00CC02CF">
        <w:rPr>
          <w:lang w:eastAsia="ja-JP"/>
        </w:rPr>
        <w:t>ersu</w:t>
      </w:r>
      <w:r>
        <w:rPr>
          <w:lang w:eastAsia="ja-JP"/>
        </w:rPr>
        <w:t>s methotrexate).</w:t>
      </w:r>
      <w:r w:rsidR="004E3248">
        <w:rPr>
          <w:lang w:eastAsia="ja-JP"/>
        </w:rPr>
        <w:t xml:space="preserve"> </w:t>
      </w:r>
      <w:r>
        <w:rPr>
          <w:lang w:eastAsia="ja-JP"/>
        </w:rPr>
        <w:t>This study also examin</w:t>
      </w:r>
      <w:r w:rsidR="00CC02CF">
        <w:rPr>
          <w:lang w:eastAsia="ja-JP"/>
        </w:rPr>
        <w:t xml:space="preserve">ed radiological </w:t>
      </w:r>
      <w:r w:rsidR="00CC02CF" w:rsidRPr="001D1AEA">
        <w:rPr>
          <w:lang w:eastAsia="ja-JP"/>
        </w:rPr>
        <w:t>progression at W</w:t>
      </w:r>
      <w:r w:rsidRPr="001D1AEA">
        <w:rPr>
          <w:lang w:eastAsia="ja-JP"/>
        </w:rPr>
        <w:t>eek 24</w:t>
      </w:r>
      <w:r w:rsidR="00CC02CF" w:rsidRPr="001D1AEA">
        <w:rPr>
          <w:lang w:eastAsia="ja-JP"/>
        </w:rPr>
        <w:t>,</w:t>
      </w:r>
      <w:r w:rsidRPr="001D1AEA">
        <w:rPr>
          <w:lang w:eastAsia="ja-JP"/>
        </w:rPr>
        <w:t xml:space="preserve"> which showed </w:t>
      </w:r>
      <w:r w:rsidRPr="001D1AEA">
        <w:t xml:space="preserve">subjects treated with upadacitinib 15 mg and 30 mg had a statistically significantly smaller mean increase in </w:t>
      </w:r>
      <w:r w:rsidR="001D1AEA" w:rsidRPr="001D1AEA">
        <w:t>modified Total Sharp Score (</w:t>
      </w:r>
      <w:proofErr w:type="spellStart"/>
      <w:r w:rsidRPr="001D1AEA">
        <w:t>mTSS</w:t>
      </w:r>
      <w:proofErr w:type="spellEnd"/>
      <w:r w:rsidR="001D1AEA" w:rsidRPr="001D1AEA">
        <w:t>)</w:t>
      </w:r>
      <w:r w:rsidR="00C20F9B">
        <w:t xml:space="preserve"> from B</w:t>
      </w:r>
      <w:r w:rsidRPr="001D1AEA">
        <w:t>aseline compared with the methotrexate group. Both upadacitinib dose groups showed statistically significant improvement compared with methotrexate for all ran</w:t>
      </w:r>
      <w:r w:rsidR="00CC02CF" w:rsidRPr="001D1AEA">
        <w:t>ked key</w:t>
      </w:r>
      <w:r w:rsidR="00CC02CF">
        <w:t xml:space="preserve"> secondary endpoints at W</w:t>
      </w:r>
      <w:r>
        <w:t>eek 12 or 24.</w:t>
      </w:r>
    </w:p>
    <w:p w14:paraId="50E60ADA" w14:textId="39A609CE" w:rsidR="00A9210D" w:rsidRDefault="0055166A" w:rsidP="009679B9">
      <w:pPr>
        <w:pStyle w:val="Heading6"/>
        <w:rPr>
          <w:lang w:eastAsia="ja-JP"/>
        </w:rPr>
      </w:pPr>
      <w:r>
        <w:rPr>
          <w:lang w:eastAsia="ja-JP"/>
        </w:rPr>
        <w:t xml:space="preserve">Study </w:t>
      </w:r>
      <w:r w:rsidR="00A9210D">
        <w:rPr>
          <w:lang w:eastAsia="ja-JP"/>
        </w:rPr>
        <w:t>M13-</w:t>
      </w:r>
      <w:r>
        <w:rPr>
          <w:lang w:eastAsia="ja-JP"/>
        </w:rPr>
        <w:t>549</w:t>
      </w:r>
    </w:p>
    <w:p w14:paraId="65BBD049" w14:textId="3198057A" w:rsidR="0055166A" w:rsidRDefault="0055166A" w:rsidP="00776389">
      <w:pPr>
        <w:rPr>
          <w:lang w:eastAsia="ja-JP"/>
        </w:rPr>
      </w:pPr>
      <w:r>
        <w:rPr>
          <w:lang w:eastAsia="ja-JP"/>
        </w:rPr>
        <w:t xml:space="preserve">This is a study in </w:t>
      </w:r>
      <w:proofErr w:type="spellStart"/>
      <w:r>
        <w:rPr>
          <w:lang w:eastAsia="ja-JP"/>
        </w:rPr>
        <w:t>csDMARD</w:t>
      </w:r>
      <w:proofErr w:type="spellEnd"/>
      <w:r>
        <w:rPr>
          <w:lang w:eastAsia="ja-JP"/>
        </w:rPr>
        <w:t xml:space="preserve"> inadequate responders on a background of </w:t>
      </w:r>
      <w:proofErr w:type="spellStart"/>
      <w:r>
        <w:rPr>
          <w:lang w:eastAsia="ja-JP"/>
        </w:rPr>
        <w:t>csDMARDs</w:t>
      </w:r>
      <w:proofErr w:type="spellEnd"/>
      <w:r>
        <w:rPr>
          <w:lang w:eastAsia="ja-JP"/>
        </w:rPr>
        <w:t xml:space="preserve"> comparing 1</w:t>
      </w:r>
      <w:r w:rsidR="00CC02CF">
        <w:rPr>
          <w:lang w:eastAsia="ja-JP"/>
        </w:rPr>
        <w:t>5 mg</w:t>
      </w:r>
      <w:r>
        <w:rPr>
          <w:lang w:eastAsia="ja-JP"/>
        </w:rPr>
        <w:t xml:space="preserve"> and 3</w:t>
      </w:r>
      <w:r w:rsidR="00CC02CF">
        <w:rPr>
          <w:lang w:eastAsia="ja-JP"/>
        </w:rPr>
        <w:t>0 mg</w:t>
      </w:r>
      <w:r>
        <w:rPr>
          <w:lang w:eastAsia="ja-JP"/>
        </w:rPr>
        <w:t xml:space="preserve"> upadacitinib with placebo for 12 controlled weeks in 661 patients. The mean duration of rheumatoid arthritis was 7.3 years reflecting established disease and overall patients were consistent with moderately </w:t>
      </w:r>
      <w:r w:rsidR="00C20F9B">
        <w:rPr>
          <w:lang w:eastAsia="ja-JP"/>
        </w:rPr>
        <w:t>to severely active disease. At B</w:t>
      </w:r>
      <w:r>
        <w:rPr>
          <w:lang w:eastAsia="ja-JP"/>
        </w:rPr>
        <w:t xml:space="preserve">aseline, 60.5% were taking methotrexate alone, 20.5% were taking methotrexate and another </w:t>
      </w:r>
      <w:proofErr w:type="spellStart"/>
      <w:r>
        <w:rPr>
          <w:lang w:eastAsia="ja-JP"/>
        </w:rPr>
        <w:t>csDMARD</w:t>
      </w:r>
      <w:proofErr w:type="spellEnd"/>
      <w:r>
        <w:rPr>
          <w:lang w:eastAsia="ja-JP"/>
        </w:rPr>
        <w:t xml:space="preserve"> and 19% were taking a </w:t>
      </w:r>
      <w:proofErr w:type="spellStart"/>
      <w:r>
        <w:rPr>
          <w:lang w:eastAsia="ja-JP"/>
        </w:rPr>
        <w:t>csDMARD</w:t>
      </w:r>
      <w:proofErr w:type="spellEnd"/>
      <w:r>
        <w:rPr>
          <w:lang w:eastAsia="ja-JP"/>
        </w:rPr>
        <w:t xml:space="preserve"> other than methotrexate.</w:t>
      </w:r>
      <w:r w:rsidR="004E3248">
        <w:rPr>
          <w:lang w:eastAsia="ja-JP"/>
        </w:rPr>
        <w:t xml:space="preserve"> </w:t>
      </w:r>
      <w:r>
        <w:rPr>
          <w:lang w:eastAsia="ja-JP"/>
        </w:rPr>
        <w:t>The mean weekly dose of methotrexate was 16.7</w:t>
      </w:r>
      <w:r w:rsidR="00CC02CF">
        <w:rPr>
          <w:lang w:eastAsia="ja-JP"/>
        </w:rPr>
        <w:t xml:space="preserve"> </w:t>
      </w:r>
      <w:r>
        <w:rPr>
          <w:lang w:eastAsia="ja-JP"/>
        </w:rPr>
        <w:t>mg.</w:t>
      </w:r>
      <w:r w:rsidR="004E3248">
        <w:rPr>
          <w:lang w:eastAsia="ja-JP"/>
        </w:rPr>
        <w:t xml:space="preserve"> </w:t>
      </w:r>
      <w:r>
        <w:rPr>
          <w:lang w:eastAsia="ja-JP"/>
        </w:rPr>
        <w:t>The primary efficacy en</w:t>
      </w:r>
      <w:r w:rsidR="00CC02CF">
        <w:rPr>
          <w:lang w:eastAsia="ja-JP"/>
        </w:rPr>
        <w:t>dpoint for the US was ACR20</w:t>
      </w:r>
      <w:r w:rsidR="00A9210D">
        <w:rPr>
          <w:lang w:eastAsia="ja-JP"/>
        </w:rPr>
        <w:t>;</w:t>
      </w:r>
      <w:r w:rsidR="00A9210D" w:rsidRPr="009679B9">
        <w:rPr>
          <w:vertAlign w:val="superscript"/>
          <w:lang w:eastAsia="ja-JP"/>
        </w:rPr>
        <w:fldChar w:fldCharType="begin"/>
      </w:r>
      <w:r w:rsidR="00A9210D" w:rsidRPr="009679B9">
        <w:rPr>
          <w:vertAlign w:val="superscript"/>
          <w:lang w:eastAsia="ja-JP"/>
        </w:rPr>
        <w:instrText xml:space="preserve"> NOTEREF _Ref38380199 \h </w:instrText>
      </w:r>
      <w:r w:rsidR="00A9210D">
        <w:rPr>
          <w:vertAlign w:val="superscript"/>
          <w:lang w:eastAsia="ja-JP"/>
        </w:rPr>
        <w:instrText xml:space="preserve"> \* MERGEFORMAT </w:instrText>
      </w:r>
      <w:r w:rsidR="00A9210D" w:rsidRPr="009679B9">
        <w:rPr>
          <w:vertAlign w:val="superscript"/>
          <w:lang w:eastAsia="ja-JP"/>
        </w:rPr>
      </w:r>
      <w:r w:rsidR="00A9210D" w:rsidRPr="009679B9">
        <w:rPr>
          <w:vertAlign w:val="superscript"/>
          <w:lang w:eastAsia="ja-JP"/>
        </w:rPr>
        <w:fldChar w:fldCharType="separate"/>
      </w:r>
      <w:r w:rsidR="00A9210D" w:rsidRPr="009679B9">
        <w:rPr>
          <w:vertAlign w:val="superscript"/>
          <w:lang w:eastAsia="ja-JP"/>
        </w:rPr>
        <w:t>7</w:t>
      </w:r>
      <w:r w:rsidR="00A9210D" w:rsidRPr="009679B9">
        <w:rPr>
          <w:vertAlign w:val="superscript"/>
          <w:lang w:eastAsia="ja-JP"/>
        </w:rPr>
        <w:fldChar w:fldCharType="end"/>
      </w:r>
      <w:r w:rsidR="00CC02CF">
        <w:rPr>
          <w:lang w:eastAsia="ja-JP"/>
        </w:rPr>
        <w:t xml:space="preserve"> at W</w:t>
      </w:r>
      <w:r>
        <w:rPr>
          <w:lang w:eastAsia="ja-JP"/>
        </w:rPr>
        <w:t>eek 12 which showed 63.8% for 1</w:t>
      </w:r>
      <w:r w:rsidR="00CC02CF">
        <w:rPr>
          <w:lang w:eastAsia="ja-JP"/>
        </w:rPr>
        <w:t>5 mg</w:t>
      </w:r>
      <w:r>
        <w:rPr>
          <w:lang w:eastAsia="ja-JP"/>
        </w:rPr>
        <w:t>, 66.2% for 3</w:t>
      </w:r>
      <w:r w:rsidR="00C20F9B">
        <w:rPr>
          <w:lang w:eastAsia="ja-JP"/>
        </w:rPr>
        <w:t>0 </w:t>
      </w:r>
      <w:r w:rsidR="00CC02CF">
        <w:rPr>
          <w:lang w:eastAsia="ja-JP"/>
        </w:rPr>
        <w:t>mg</w:t>
      </w:r>
      <w:r>
        <w:rPr>
          <w:lang w:eastAsia="ja-JP"/>
        </w:rPr>
        <w:t xml:space="preserve"> v</w:t>
      </w:r>
      <w:r w:rsidR="00CC02CF">
        <w:rPr>
          <w:lang w:eastAsia="ja-JP"/>
        </w:rPr>
        <w:t>ersu</w:t>
      </w:r>
      <w:r>
        <w:rPr>
          <w:lang w:eastAsia="ja-JP"/>
        </w:rPr>
        <w:t>s 35.7% for placebo (p</w:t>
      </w:r>
      <w:r w:rsidR="00C20F9B">
        <w:rPr>
          <w:lang w:eastAsia="ja-JP"/>
        </w:rPr>
        <w:t xml:space="preserve"> </w:t>
      </w:r>
      <w:r>
        <w:rPr>
          <w:lang w:eastAsia="ja-JP"/>
        </w:rPr>
        <w:t>&lt;</w:t>
      </w:r>
      <w:r w:rsidR="00C20F9B">
        <w:rPr>
          <w:lang w:eastAsia="ja-JP"/>
        </w:rPr>
        <w:t xml:space="preserve"> </w:t>
      </w:r>
      <w:r>
        <w:rPr>
          <w:lang w:eastAsia="ja-JP"/>
        </w:rPr>
        <w:t>0.001 for both upadacitinib groups v</w:t>
      </w:r>
      <w:r w:rsidR="00CC02CF">
        <w:rPr>
          <w:lang w:eastAsia="ja-JP"/>
        </w:rPr>
        <w:t>ersu</w:t>
      </w:r>
      <w:r>
        <w:rPr>
          <w:lang w:eastAsia="ja-JP"/>
        </w:rPr>
        <w:t>s placebo).</w:t>
      </w:r>
      <w:r w:rsidR="004E3248">
        <w:rPr>
          <w:lang w:eastAsia="ja-JP"/>
        </w:rPr>
        <w:t xml:space="preserve"> </w:t>
      </w:r>
      <w:r>
        <w:rPr>
          <w:lang w:eastAsia="ja-JP"/>
        </w:rPr>
        <w:t>The primary efficacy endpoint for the EU was low disea</w:t>
      </w:r>
      <w:r w:rsidR="00CC02CF">
        <w:rPr>
          <w:lang w:eastAsia="ja-JP"/>
        </w:rPr>
        <w:t>se activity (DAS28-CRP</w:t>
      </w:r>
      <w:r w:rsidR="00C20F9B">
        <w:rPr>
          <w:lang w:eastAsia="ja-JP"/>
        </w:rPr>
        <w:t xml:space="preserve"> </w:t>
      </w:r>
      <w:r w:rsidR="00CC02CF">
        <w:rPr>
          <w:lang w:eastAsia="ja-JP"/>
        </w:rPr>
        <w:t>≤</w:t>
      </w:r>
      <w:r w:rsidR="00C20F9B">
        <w:rPr>
          <w:lang w:eastAsia="ja-JP"/>
        </w:rPr>
        <w:t xml:space="preserve"> </w:t>
      </w:r>
      <w:r w:rsidR="00CC02CF">
        <w:rPr>
          <w:lang w:eastAsia="ja-JP"/>
        </w:rPr>
        <w:t>3.2)</w:t>
      </w:r>
      <w:r w:rsidR="00A9210D">
        <w:rPr>
          <w:lang w:eastAsia="ja-JP"/>
        </w:rPr>
        <w:t>;</w:t>
      </w:r>
      <w:r w:rsidR="00A9210D" w:rsidRPr="009679B9">
        <w:rPr>
          <w:vertAlign w:val="superscript"/>
          <w:lang w:eastAsia="ja-JP"/>
        </w:rPr>
        <w:fldChar w:fldCharType="begin"/>
      </w:r>
      <w:r w:rsidR="00A9210D" w:rsidRPr="009679B9">
        <w:rPr>
          <w:vertAlign w:val="superscript"/>
          <w:lang w:eastAsia="ja-JP"/>
        </w:rPr>
        <w:instrText xml:space="preserve"> NOTEREF _Ref38380443 \h </w:instrText>
      </w:r>
      <w:r w:rsidR="00A9210D">
        <w:rPr>
          <w:vertAlign w:val="superscript"/>
          <w:lang w:eastAsia="ja-JP"/>
        </w:rPr>
        <w:instrText xml:space="preserve"> \* MERGEFORMAT </w:instrText>
      </w:r>
      <w:r w:rsidR="00A9210D" w:rsidRPr="009679B9">
        <w:rPr>
          <w:vertAlign w:val="superscript"/>
          <w:lang w:eastAsia="ja-JP"/>
        </w:rPr>
      </w:r>
      <w:r w:rsidR="00A9210D" w:rsidRPr="009679B9">
        <w:rPr>
          <w:vertAlign w:val="superscript"/>
          <w:lang w:eastAsia="ja-JP"/>
        </w:rPr>
        <w:fldChar w:fldCharType="separate"/>
      </w:r>
      <w:r w:rsidR="003F1408">
        <w:rPr>
          <w:vertAlign w:val="superscript"/>
          <w:lang w:eastAsia="ja-JP"/>
        </w:rPr>
        <w:t>8</w:t>
      </w:r>
      <w:r w:rsidR="00A9210D" w:rsidRPr="009679B9">
        <w:rPr>
          <w:vertAlign w:val="superscript"/>
          <w:lang w:eastAsia="ja-JP"/>
        </w:rPr>
        <w:fldChar w:fldCharType="end"/>
      </w:r>
      <w:r w:rsidR="00CC02CF">
        <w:rPr>
          <w:lang w:eastAsia="ja-JP"/>
        </w:rPr>
        <w:t xml:space="preserve"> at W</w:t>
      </w:r>
      <w:r>
        <w:rPr>
          <w:lang w:eastAsia="ja-JP"/>
        </w:rPr>
        <w:t>eek 12 which showed 48.4% for 1</w:t>
      </w:r>
      <w:r w:rsidR="00CC02CF">
        <w:rPr>
          <w:lang w:eastAsia="ja-JP"/>
        </w:rPr>
        <w:t>5 mg</w:t>
      </w:r>
      <w:r>
        <w:rPr>
          <w:lang w:eastAsia="ja-JP"/>
        </w:rPr>
        <w:t>, 47.9% for 3</w:t>
      </w:r>
      <w:r w:rsidR="00CC02CF">
        <w:rPr>
          <w:lang w:eastAsia="ja-JP"/>
        </w:rPr>
        <w:t>0 mg</w:t>
      </w:r>
      <w:r>
        <w:rPr>
          <w:lang w:eastAsia="ja-JP"/>
        </w:rPr>
        <w:t xml:space="preserve"> and 17.2% for placebo (p</w:t>
      </w:r>
      <w:r w:rsidR="00C20F9B">
        <w:rPr>
          <w:lang w:eastAsia="ja-JP"/>
        </w:rPr>
        <w:t> </w:t>
      </w:r>
      <w:r>
        <w:rPr>
          <w:lang w:eastAsia="ja-JP"/>
        </w:rPr>
        <w:t>&lt;</w:t>
      </w:r>
      <w:r w:rsidR="00C20F9B">
        <w:rPr>
          <w:lang w:eastAsia="ja-JP"/>
        </w:rPr>
        <w:t> </w:t>
      </w:r>
      <w:r>
        <w:rPr>
          <w:lang w:eastAsia="ja-JP"/>
        </w:rPr>
        <w:t>0.001 for both upadacitinib groups v</w:t>
      </w:r>
      <w:r w:rsidR="00CC02CF">
        <w:rPr>
          <w:lang w:eastAsia="ja-JP"/>
        </w:rPr>
        <w:t>ersu</w:t>
      </w:r>
      <w:r>
        <w:rPr>
          <w:lang w:eastAsia="ja-JP"/>
        </w:rPr>
        <w:t>s placebo).</w:t>
      </w:r>
      <w:r w:rsidR="004E3248">
        <w:rPr>
          <w:lang w:eastAsia="ja-JP"/>
        </w:rPr>
        <w:t xml:space="preserve"> </w:t>
      </w:r>
      <w:r>
        <w:t>Both upadacitinib dose groups showed statistically significant improvement compared with control therapy for all ran</w:t>
      </w:r>
      <w:r w:rsidR="00CC02CF">
        <w:t>ked key secondary endpoints at W</w:t>
      </w:r>
      <w:r>
        <w:t>eek 12.</w:t>
      </w:r>
    </w:p>
    <w:p w14:paraId="31D2E566" w14:textId="6B7ED8C5" w:rsidR="00A9210D" w:rsidRDefault="0055166A" w:rsidP="009679B9">
      <w:pPr>
        <w:pStyle w:val="Heading6"/>
        <w:rPr>
          <w:lang w:eastAsia="ja-JP"/>
        </w:rPr>
      </w:pPr>
      <w:r>
        <w:rPr>
          <w:lang w:eastAsia="ja-JP"/>
        </w:rPr>
        <w:t xml:space="preserve">Study </w:t>
      </w:r>
      <w:r w:rsidR="00D368BC">
        <w:rPr>
          <w:lang w:eastAsia="ja-JP"/>
        </w:rPr>
        <w:t>M14</w:t>
      </w:r>
      <w:r w:rsidR="00A9210D">
        <w:rPr>
          <w:lang w:eastAsia="ja-JP"/>
        </w:rPr>
        <w:t>-</w:t>
      </w:r>
      <w:r>
        <w:rPr>
          <w:lang w:eastAsia="ja-JP"/>
        </w:rPr>
        <w:t>465</w:t>
      </w:r>
    </w:p>
    <w:p w14:paraId="713278ED" w14:textId="572C73A6" w:rsidR="0055166A" w:rsidRDefault="0055166A" w:rsidP="00776389">
      <w:pPr>
        <w:rPr>
          <w:lang w:eastAsia="ja-JP"/>
        </w:rPr>
      </w:pPr>
      <w:r>
        <w:rPr>
          <w:lang w:eastAsia="ja-JP"/>
        </w:rPr>
        <w:t>This is a study in methotrexate inadequate responders on a background of methotrexate (mean baseline weekly dose of 17</w:t>
      </w:r>
      <w:r w:rsidR="00CC02CF">
        <w:rPr>
          <w:lang w:eastAsia="ja-JP"/>
        </w:rPr>
        <w:t xml:space="preserve"> </w:t>
      </w:r>
      <w:r>
        <w:rPr>
          <w:lang w:eastAsia="ja-JP"/>
        </w:rPr>
        <w:t>mg) comparing 1</w:t>
      </w:r>
      <w:r w:rsidR="00CC02CF">
        <w:rPr>
          <w:lang w:eastAsia="ja-JP"/>
        </w:rPr>
        <w:t>5 mg</w:t>
      </w:r>
      <w:r>
        <w:rPr>
          <w:lang w:eastAsia="ja-JP"/>
        </w:rPr>
        <w:t xml:space="preserve"> upadacitinib with placebo and </w:t>
      </w:r>
      <w:proofErr w:type="spellStart"/>
      <w:r>
        <w:rPr>
          <w:lang w:eastAsia="ja-JP"/>
        </w:rPr>
        <w:t>adalimumab</w:t>
      </w:r>
      <w:proofErr w:type="spellEnd"/>
      <w:r>
        <w:rPr>
          <w:lang w:eastAsia="ja-JP"/>
        </w:rPr>
        <w:t xml:space="preserve"> 4</w:t>
      </w:r>
      <w:r w:rsidR="00CC02CF">
        <w:rPr>
          <w:lang w:eastAsia="ja-JP"/>
        </w:rPr>
        <w:t>0 mg</w:t>
      </w:r>
      <w:r>
        <w:rPr>
          <w:lang w:eastAsia="ja-JP"/>
        </w:rPr>
        <w:t xml:space="preserve"> every other week for 26 weeks placebo controlled period and 48</w:t>
      </w:r>
      <w:r w:rsidR="00A9210D">
        <w:rPr>
          <w:lang w:eastAsia="ja-JP"/>
        </w:rPr>
        <w:t> </w:t>
      </w:r>
      <w:r>
        <w:rPr>
          <w:lang w:eastAsia="ja-JP"/>
        </w:rPr>
        <w:t xml:space="preserve">weeks </w:t>
      </w:r>
      <w:proofErr w:type="spellStart"/>
      <w:r>
        <w:rPr>
          <w:lang w:eastAsia="ja-JP"/>
        </w:rPr>
        <w:t>adalimumab</w:t>
      </w:r>
      <w:proofErr w:type="spellEnd"/>
      <w:r>
        <w:rPr>
          <w:lang w:eastAsia="ja-JP"/>
        </w:rPr>
        <w:t xml:space="preserve"> controlled period in 1629 patients. </w:t>
      </w:r>
      <w:r w:rsidR="00CC02CF">
        <w:t>At W</w:t>
      </w:r>
      <w:r>
        <w:t>eek 26, all subjects receiving placebo were switched to upadacitinib 15 mg once daily regardless of response.</w:t>
      </w:r>
      <w:r w:rsidR="004E3248">
        <w:t xml:space="preserve"> </w:t>
      </w:r>
      <w:r w:rsidR="00B90009">
        <w:rPr>
          <w:lang w:eastAsia="ja-JP"/>
        </w:rPr>
        <w:t>The study report to W</w:t>
      </w:r>
      <w:r>
        <w:rPr>
          <w:lang w:eastAsia="ja-JP"/>
        </w:rPr>
        <w:t>eek 26 was submitted.</w:t>
      </w:r>
      <w:r w:rsidR="004E3248">
        <w:rPr>
          <w:lang w:eastAsia="ja-JP"/>
        </w:rPr>
        <w:t xml:space="preserve"> </w:t>
      </w:r>
      <w:r>
        <w:rPr>
          <w:lang w:eastAsia="ja-JP"/>
        </w:rPr>
        <w:t>The mean duration of rheumatoid arthritis was 8.2 years reflecting established disease and overall patients were consistent with severely active disease. The primary efficacy en</w:t>
      </w:r>
      <w:r w:rsidR="00B90009">
        <w:rPr>
          <w:lang w:eastAsia="ja-JP"/>
        </w:rPr>
        <w:t>dpoint for the US was ACR20</w:t>
      </w:r>
      <w:r w:rsidR="00A9210D">
        <w:rPr>
          <w:lang w:eastAsia="ja-JP"/>
        </w:rPr>
        <w:t>;</w:t>
      </w:r>
      <w:r w:rsidR="00A9210D" w:rsidRPr="009679B9">
        <w:rPr>
          <w:vertAlign w:val="superscript"/>
          <w:lang w:eastAsia="ja-JP"/>
        </w:rPr>
        <w:fldChar w:fldCharType="begin"/>
      </w:r>
      <w:r w:rsidR="00A9210D" w:rsidRPr="009679B9">
        <w:rPr>
          <w:vertAlign w:val="superscript"/>
          <w:lang w:eastAsia="ja-JP"/>
        </w:rPr>
        <w:instrText xml:space="preserve"> NOTEREF _Ref38380199 \h </w:instrText>
      </w:r>
      <w:r w:rsidR="00A9210D">
        <w:rPr>
          <w:vertAlign w:val="superscript"/>
          <w:lang w:eastAsia="ja-JP"/>
        </w:rPr>
        <w:instrText xml:space="preserve"> \* MERGEFORMAT </w:instrText>
      </w:r>
      <w:r w:rsidR="00A9210D" w:rsidRPr="009679B9">
        <w:rPr>
          <w:vertAlign w:val="superscript"/>
          <w:lang w:eastAsia="ja-JP"/>
        </w:rPr>
      </w:r>
      <w:r w:rsidR="00A9210D" w:rsidRPr="009679B9">
        <w:rPr>
          <w:vertAlign w:val="superscript"/>
          <w:lang w:eastAsia="ja-JP"/>
        </w:rPr>
        <w:fldChar w:fldCharType="separate"/>
      </w:r>
      <w:r w:rsidR="00A9210D" w:rsidRPr="009679B9">
        <w:rPr>
          <w:vertAlign w:val="superscript"/>
          <w:lang w:eastAsia="ja-JP"/>
        </w:rPr>
        <w:t>7</w:t>
      </w:r>
      <w:r w:rsidR="00A9210D" w:rsidRPr="009679B9">
        <w:rPr>
          <w:vertAlign w:val="superscript"/>
          <w:lang w:eastAsia="ja-JP"/>
        </w:rPr>
        <w:fldChar w:fldCharType="end"/>
      </w:r>
      <w:r w:rsidR="00B90009">
        <w:rPr>
          <w:lang w:eastAsia="ja-JP"/>
        </w:rPr>
        <w:t xml:space="preserve"> at W</w:t>
      </w:r>
      <w:r>
        <w:rPr>
          <w:lang w:eastAsia="ja-JP"/>
        </w:rPr>
        <w:t>eek 12 which showed 70.5% for 1</w:t>
      </w:r>
      <w:r w:rsidR="00CC02CF">
        <w:rPr>
          <w:lang w:eastAsia="ja-JP"/>
        </w:rPr>
        <w:t>5 mg</w:t>
      </w:r>
      <w:r>
        <w:rPr>
          <w:lang w:eastAsia="ja-JP"/>
        </w:rPr>
        <w:t xml:space="preserve"> </w:t>
      </w:r>
      <w:r w:rsidR="00EB66B6">
        <w:rPr>
          <w:lang w:eastAsia="ja-JP"/>
        </w:rPr>
        <w:t>v</w:t>
      </w:r>
      <w:r w:rsidR="00B90009">
        <w:rPr>
          <w:lang w:eastAsia="ja-JP"/>
        </w:rPr>
        <w:t>ersu</w:t>
      </w:r>
      <w:r>
        <w:rPr>
          <w:lang w:eastAsia="ja-JP"/>
        </w:rPr>
        <w:t>s 36.4% for placebo (p</w:t>
      </w:r>
      <w:r w:rsidR="00C20F9B">
        <w:rPr>
          <w:lang w:eastAsia="ja-JP"/>
        </w:rPr>
        <w:t xml:space="preserve"> </w:t>
      </w:r>
      <w:r>
        <w:rPr>
          <w:lang w:eastAsia="ja-JP"/>
        </w:rPr>
        <w:t>&lt;</w:t>
      </w:r>
      <w:r w:rsidR="00C20F9B">
        <w:rPr>
          <w:lang w:eastAsia="ja-JP"/>
        </w:rPr>
        <w:t xml:space="preserve"> </w:t>
      </w:r>
      <w:r>
        <w:rPr>
          <w:lang w:eastAsia="ja-JP"/>
        </w:rPr>
        <w:t>0.001).</w:t>
      </w:r>
      <w:r w:rsidR="004E3248">
        <w:rPr>
          <w:lang w:eastAsia="ja-JP"/>
        </w:rPr>
        <w:t xml:space="preserve"> </w:t>
      </w:r>
      <w:r>
        <w:rPr>
          <w:lang w:eastAsia="ja-JP"/>
        </w:rPr>
        <w:t>The primary efficacy endpoint for the EU was complet</w:t>
      </w:r>
      <w:r w:rsidR="00B90009">
        <w:rPr>
          <w:lang w:eastAsia="ja-JP"/>
        </w:rPr>
        <w:t>e remission (DAS28-CRP</w:t>
      </w:r>
      <w:r w:rsidR="00C20F9B">
        <w:rPr>
          <w:lang w:eastAsia="ja-JP"/>
        </w:rPr>
        <w:t xml:space="preserve"> </w:t>
      </w:r>
      <w:r w:rsidR="00B90009">
        <w:rPr>
          <w:lang w:eastAsia="ja-JP"/>
        </w:rPr>
        <w:t>&lt;</w:t>
      </w:r>
      <w:r w:rsidR="00C20F9B">
        <w:rPr>
          <w:lang w:eastAsia="ja-JP"/>
        </w:rPr>
        <w:t xml:space="preserve"> </w:t>
      </w:r>
      <w:r w:rsidR="00B90009">
        <w:rPr>
          <w:lang w:eastAsia="ja-JP"/>
        </w:rPr>
        <w:t>2.6)</w:t>
      </w:r>
      <w:r w:rsidR="00A9210D">
        <w:rPr>
          <w:lang w:eastAsia="ja-JP"/>
        </w:rPr>
        <w:t>;</w:t>
      </w:r>
      <w:r w:rsidR="00A9210D" w:rsidRPr="009679B9">
        <w:rPr>
          <w:vertAlign w:val="superscript"/>
          <w:lang w:eastAsia="ja-JP"/>
        </w:rPr>
        <w:fldChar w:fldCharType="begin"/>
      </w:r>
      <w:r w:rsidR="00A9210D" w:rsidRPr="009679B9">
        <w:rPr>
          <w:vertAlign w:val="superscript"/>
          <w:lang w:eastAsia="ja-JP"/>
        </w:rPr>
        <w:instrText xml:space="preserve"> NOTEREF _Ref38380443 \h </w:instrText>
      </w:r>
      <w:r w:rsidR="00A9210D">
        <w:rPr>
          <w:vertAlign w:val="superscript"/>
          <w:lang w:eastAsia="ja-JP"/>
        </w:rPr>
        <w:instrText xml:space="preserve"> \* MERGEFORMAT </w:instrText>
      </w:r>
      <w:r w:rsidR="00A9210D" w:rsidRPr="009679B9">
        <w:rPr>
          <w:vertAlign w:val="superscript"/>
          <w:lang w:eastAsia="ja-JP"/>
        </w:rPr>
      </w:r>
      <w:r w:rsidR="00A9210D" w:rsidRPr="009679B9">
        <w:rPr>
          <w:vertAlign w:val="superscript"/>
          <w:lang w:eastAsia="ja-JP"/>
        </w:rPr>
        <w:fldChar w:fldCharType="separate"/>
      </w:r>
      <w:r w:rsidR="00A9210D" w:rsidRPr="009679B9">
        <w:rPr>
          <w:vertAlign w:val="superscript"/>
          <w:lang w:eastAsia="ja-JP"/>
        </w:rPr>
        <w:t>8</w:t>
      </w:r>
      <w:r w:rsidR="00A9210D" w:rsidRPr="009679B9">
        <w:rPr>
          <w:vertAlign w:val="superscript"/>
          <w:lang w:eastAsia="ja-JP"/>
        </w:rPr>
        <w:fldChar w:fldCharType="end"/>
      </w:r>
      <w:r w:rsidR="00B90009">
        <w:rPr>
          <w:lang w:eastAsia="ja-JP"/>
        </w:rPr>
        <w:t xml:space="preserve"> at W</w:t>
      </w:r>
      <w:r>
        <w:rPr>
          <w:lang w:eastAsia="ja-JP"/>
        </w:rPr>
        <w:t>eek 12 which showed 28.7% for 1</w:t>
      </w:r>
      <w:r w:rsidR="00CC02CF">
        <w:rPr>
          <w:lang w:eastAsia="ja-JP"/>
        </w:rPr>
        <w:t>5 mg</w:t>
      </w:r>
      <w:r>
        <w:rPr>
          <w:lang w:eastAsia="ja-JP"/>
        </w:rPr>
        <w:t xml:space="preserve"> and 6.1% for placebo.</w:t>
      </w:r>
      <w:r w:rsidR="004E3248">
        <w:rPr>
          <w:lang w:eastAsia="ja-JP"/>
        </w:rPr>
        <w:t xml:space="preserve"> </w:t>
      </w:r>
      <w:r>
        <w:t>For all ranked key secondary endpoints that compared upadacitinib to pl</w:t>
      </w:r>
      <w:r w:rsidR="00B90009">
        <w:t>acebo at W</w:t>
      </w:r>
      <w:r>
        <w:t>eek 12, a statistically significant improvement with upadacitinib treatment was observed.</w:t>
      </w:r>
      <w:r w:rsidR="004E3248">
        <w:t xml:space="preserve"> </w:t>
      </w:r>
      <w:r>
        <w:t xml:space="preserve">For all radiographic endpoints, the upadacitinib group had statistically significantly less X-ray progression </w:t>
      </w:r>
      <w:r w:rsidR="00B90009">
        <w:t xml:space="preserve">compared to </w:t>
      </w:r>
      <w:r w:rsidR="00B90009">
        <w:lastRenderedPageBreak/>
        <w:t>the placebo arm at W</w:t>
      </w:r>
      <w:r>
        <w:t>eek 26</w:t>
      </w:r>
      <w:r>
        <w:rPr>
          <w:lang w:eastAsia="ja-JP"/>
        </w:rPr>
        <w:t>.</w:t>
      </w:r>
      <w:r w:rsidR="004E3248">
        <w:rPr>
          <w:lang w:eastAsia="ja-JP"/>
        </w:rPr>
        <w:t xml:space="preserve"> </w:t>
      </w:r>
      <w:r w:rsidR="00B90009">
        <w:t>At W</w:t>
      </w:r>
      <w:r>
        <w:t xml:space="preserve">eek 12, a numerically greater percentage of subjects </w:t>
      </w:r>
      <w:r w:rsidRPr="001D1AEA">
        <w:t xml:space="preserve">treated with upadacitinib achieved ACR50 response (45.2%) compared with </w:t>
      </w:r>
      <w:proofErr w:type="spellStart"/>
      <w:r w:rsidRPr="001D1AEA">
        <w:t>adalimumab</w:t>
      </w:r>
      <w:proofErr w:type="spellEnd"/>
      <w:r w:rsidRPr="001D1AEA">
        <w:t xml:space="preserve"> (29.1%) with the treatment related difference being 16.1% (95% </w:t>
      </w:r>
      <w:r w:rsidR="00A9210D">
        <w:t>c</w:t>
      </w:r>
      <w:r w:rsidR="001D1AEA" w:rsidRPr="001D1AEA">
        <w:t xml:space="preserve">onfidence </w:t>
      </w:r>
      <w:r w:rsidR="00A9210D">
        <w:t>i</w:t>
      </w:r>
      <w:r w:rsidR="001D1AEA" w:rsidRPr="001D1AEA">
        <w:t>nterval (</w:t>
      </w:r>
      <w:r w:rsidRPr="001D1AEA">
        <w:t>CI</w:t>
      </w:r>
      <w:r w:rsidR="001D1AEA" w:rsidRPr="001D1AEA">
        <w:t>)</w:t>
      </w:r>
      <w:r w:rsidRPr="001D1AEA">
        <w:t xml:space="preserve"> 9.9, 22.3), meeting the non-inferiority and superiority requirements.</w:t>
      </w:r>
    </w:p>
    <w:p w14:paraId="2ADE0A5C" w14:textId="7CB09BF7" w:rsidR="00A9210D" w:rsidRDefault="0055166A" w:rsidP="009679B9">
      <w:pPr>
        <w:pStyle w:val="Heading6"/>
      </w:pPr>
      <w:r>
        <w:t xml:space="preserve">Study </w:t>
      </w:r>
      <w:r w:rsidR="00D368BC">
        <w:t>M15</w:t>
      </w:r>
      <w:r w:rsidR="00A9210D">
        <w:t>-</w:t>
      </w:r>
      <w:r>
        <w:t>555</w:t>
      </w:r>
    </w:p>
    <w:p w14:paraId="38561854" w14:textId="13CA4FD1" w:rsidR="0055166A" w:rsidRPr="00776389" w:rsidRDefault="0055166A" w:rsidP="0009021C">
      <w:r w:rsidRPr="00776389">
        <w:t>This is a monotherapy study in methotrexate inadequate responders comparing 1</w:t>
      </w:r>
      <w:r w:rsidR="00CC02CF">
        <w:t>5 mg</w:t>
      </w:r>
      <w:r w:rsidRPr="00776389">
        <w:t xml:space="preserve"> and 3</w:t>
      </w:r>
      <w:r w:rsidR="00CC02CF">
        <w:t>0 mg</w:t>
      </w:r>
      <w:r w:rsidRPr="00776389">
        <w:t xml:space="preserve"> upadacitinib with continuing methotrexate (mean weekly dose of 16.7</w:t>
      </w:r>
      <w:r w:rsidR="00B90009">
        <w:t xml:space="preserve"> </w:t>
      </w:r>
      <w:r w:rsidRPr="00776389">
        <w:t>mg) for 14 controlled weeks in 648 patients.</w:t>
      </w:r>
      <w:r w:rsidR="004E3248">
        <w:t xml:space="preserve"> </w:t>
      </w:r>
      <w:r w:rsidRPr="00776389">
        <w:t>The mean duration of rheumatoid arthritis was 6.6 years reflecting established disease and overall patients were consistent with severely active disease. The primary efficacy en</w:t>
      </w:r>
      <w:r w:rsidR="00B90009">
        <w:t>dpoint for the US was ACR20</w:t>
      </w:r>
      <w:r w:rsidR="00A9210D">
        <w:t>;</w:t>
      </w:r>
      <w:r w:rsidR="00A9210D" w:rsidRPr="009679B9">
        <w:rPr>
          <w:vertAlign w:val="superscript"/>
        </w:rPr>
        <w:fldChar w:fldCharType="begin"/>
      </w:r>
      <w:r w:rsidR="00A9210D" w:rsidRPr="009679B9">
        <w:rPr>
          <w:vertAlign w:val="superscript"/>
        </w:rPr>
        <w:instrText xml:space="preserve"> NOTEREF _Ref38380199 \h </w:instrText>
      </w:r>
      <w:r w:rsidR="00A9210D">
        <w:rPr>
          <w:vertAlign w:val="superscript"/>
        </w:rPr>
        <w:instrText xml:space="preserve"> \* MERGEFORMAT </w:instrText>
      </w:r>
      <w:r w:rsidR="00A9210D" w:rsidRPr="009679B9">
        <w:rPr>
          <w:vertAlign w:val="superscript"/>
        </w:rPr>
      </w:r>
      <w:r w:rsidR="00A9210D" w:rsidRPr="009679B9">
        <w:rPr>
          <w:vertAlign w:val="superscript"/>
        </w:rPr>
        <w:fldChar w:fldCharType="separate"/>
      </w:r>
      <w:r w:rsidR="00A9210D" w:rsidRPr="009679B9">
        <w:rPr>
          <w:vertAlign w:val="superscript"/>
        </w:rPr>
        <w:t>7</w:t>
      </w:r>
      <w:r w:rsidR="00A9210D" w:rsidRPr="009679B9">
        <w:rPr>
          <w:vertAlign w:val="superscript"/>
        </w:rPr>
        <w:fldChar w:fldCharType="end"/>
      </w:r>
      <w:r w:rsidR="00B90009">
        <w:t xml:space="preserve"> at W</w:t>
      </w:r>
      <w:r w:rsidRPr="00776389">
        <w:t>eek 14 which showed 67.7% for 1</w:t>
      </w:r>
      <w:r w:rsidR="00CC02CF">
        <w:t>5 mg</w:t>
      </w:r>
      <w:r w:rsidRPr="00776389">
        <w:t xml:space="preserve"> and 71.2% for 3</w:t>
      </w:r>
      <w:r w:rsidR="00CC02CF">
        <w:t>0 mg</w:t>
      </w:r>
      <w:r w:rsidRPr="00776389">
        <w:t xml:space="preserve"> v</w:t>
      </w:r>
      <w:r w:rsidR="00B90009">
        <w:t>ersu</w:t>
      </w:r>
      <w:r w:rsidRPr="00776389">
        <w:t>s 41.2% for continued methotrexate (p</w:t>
      </w:r>
      <w:r w:rsidR="00C20F9B">
        <w:t xml:space="preserve"> </w:t>
      </w:r>
      <w:r w:rsidRPr="00776389">
        <w:t>&lt;</w:t>
      </w:r>
      <w:r w:rsidR="00C20F9B">
        <w:t xml:space="preserve"> </w:t>
      </w:r>
      <w:r w:rsidRPr="00776389">
        <w:t>0.001 for both upadacitinib groups</w:t>
      </w:r>
      <w:r w:rsidR="00B90009">
        <w:t xml:space="preserve"> versus </w:t>
      </w:r>
      <w:r w:rsidRPr="00776389">
        <w:t>methotrexate).</w:t>
      </w:r>
      <w:r w:rsidR="004E3248">
        <w:t xml:space="preserve"> </w:t>
      </w:r>
      <w:r w:rsidRPr="00776389">
        <w:t>The primary efficacy endpoint for the EU was low disea</w:t>
      </w:r>
      <w:r w:rsidR="00B90009">
        <w:t>se activity (DAS28-CRP</w:t>
      </w:r>
      <w:r w:rsidR="00C20F9B">
        <w:t xml:space="preserve"> </w:t>
      </w:r>
      <w:r w:rsidR="00B90009">
        <w:t>≤</w:t>
      </w:r>
      <w:r w:rsidR="00C20F9B">
        <w:t xml:space="preserve"> </w:t>
      </w:r>
      <w:r w:rsidR="00B90009">
        <w:t>3.2)</w:t>
      </w:r>
      <w:r w:rsidR="00A9210D">
        <w:t>;</w:t>
      </w:r>
      <w:r w:rsidR="00A9210D" w:rsidRPr="009679B9">
        <w:rPr>
          <w:vertAlign w:val="superscript"/>
        </w:rPr>
        <w:fldChar w:fldCharType="begin"/>
      </w:r>
      <w:r w:rsidR="00A9210D" w:rsidRPr="009679B9">
        <w:rPr>
          <w:vertAlign w:val="superscript"/>
        </w:rPr>
        <w:instrText xml:space="preserve"> NOTEREF _Ref38380443 \h </w:instrText>
      </w:r>
      <w:r w:rsidR="00A9210D">
        <w:rPr>
          <w:vertAlign w:val="superscript"/>
        </w:rPr>
        <w:instrText xml:space="preserve"> \* MERGEFORMAT </w:instrText>
      </w:r>
      <w:r w:rsidR="00A9210D" w:rsidRPr="009679B9">
        <w:rPr>
          <w:vertAlign w:val="superscript"/>
        </w:rPr>
      </w:r>
      <w:r w:rsidR="00A9210D" w:rsidRPr="009679B9">
        <w:rPr>
          <w:vertAlign w:val="superscript"/>
        </w:rPr>
        <w:fldChar w:fldCharType="separate"/>
      </w:r>
      <w:r w:rsidR="00A9210D" w:rsidRPr="009679B9">
        <w:rPr>
          <w:vertAlign w:val="superscript"/>
        </w:rPr>
        <w:t>8</w:t>
      </w:r>
      <w:r w:rsidR="00A9210D" w:rsidRPr="009679B9">
        <w:rPr>
          <w:vertAlign w:val="superscript"/>
        </w:rPr>
        <w:fldChar w:fldCharType="end"/>
      </w:r>
      <w:r w:rsidR="00B90009">
        <w:t xml:space="preserve"> at W</w:t>
      </w:r>
      <w:r w:rsidRPr="00776389">
        <w:t>eek 14 which showed 44.7% for 1</w:t>
      </w:r>
      <w:r w:rsidR="00CC02CF">
        <w:t>5 mg</w:t>
      </w:r>
      <w:r w:rsidRPr="00776389">
        <w:t xml:space="preserve"> and 53.0% for 3</w:t>
      </w:r>
      <w:r w:rsidR="00CC02CF">
        <w:t>0 mg</w:t>
      </w:r>
      <w:r w:rsidRPr="00776389">
        <w:t xml:space="preserve"> v</w:t>
      </w:r>
      <w:r w:rsidR="00B90009">
        <w:t>ersu</w:t>
      </w:r>
      <w:r w:rsidRPr="00776389">
        <w:t>s 19.4% for continued methotrexate (p</w:t>
      </w:r>
      <w:r w:rsidR="00C20F9B">
        <w:t xml:space="preserve"> </w:t>
      </w:r>
      <w:r w:rsidRPr="00776389">
        <w:t>&lt;</w:t>
      </w:r>
      <w:r w:rsidR="00C20F9B">
        <w:t xml:space="preserve"> </w:t>
      </w:r>
      <w:r w:rsidRPr="00776389">
        <w:t>0.001 for both upadacitinib groups</w:t>
      </w:r>
      <w:r w:rsidR="00B90009">
        <w:t xml:space="preserve"> versus </w:t>
      </w:r>
      <w:r w:rsidRPr="00776389">
        <w:t>methotrexate).</w:t>
      </w:r>
      <w:r w:rsidR="004E3248">
        <w:t xml:space="preserve"> </w:t>
      </w:r>
      <w:r w:rsidRPr="00776389">
        <w:t>Both upadacitinib dose groups showed statistically significant improvement compared with continued methotrexate therapy for all ran</w:t>
      </w:r>
      <w:r w:rsidR="00B90009">
        <w:t>ked key secondary endpoints at W</w:t>
      </w:r>
      <w:r w:rsidRPr="00776389">
        <w:t>eek 14.</w:t>
      </w:r>
    </w:p>
    <w:p w14:paraId="6D83CF97" w14:textId="7D653E8F" w:rsidR="00A9210D" w:rsidRDefault="0055166A" w:rsidP="009679B9">
      <w:pPr>
        <w:pStyle w:val="Heading6"/>
        <w:rPr>
          <w:lang w:eastAsia="ja-JP"/>
        </w:rPr>
      </w:pPr>
      <w:r>
        <w:rPr>
          <w:lang w:eastAsia="ja-JP"/>
        </w:rPr>
        <w:t xml:space="preserve">Study </w:t>
      </w:r>
      <w:r w:rsidR="00A9210D">
        <w:rPr>
          <w:lang w:eastAsia="ja-JP"/>
        </w:rPr>
        <w:t>M13-</w:t>
      </w:r>
      <w:r>
        <w:rPr>
          <w:lang w:eastAsia="ja-JP"/>
        </w:rPr>
        <w:t>542</w:t>
      </w:r>
    </w:p>
    <w:p w14:paraId="59F02EA6" w14:textId="65BBCF3D" w:rsidR="0055166A" w:rsidRPr="00776389" w:rsidRDefault="0055166A" w:rsidP="0009021C">
      <w:r w:rsidRPr="00776389">
        <w:t xml:space="preserve">This is a study in </w:t>
      </w:r>
      <w:proofErr w:type="spellStart"/>
      <w:r w:rsidR="00A9210D">
        <w:t>b</w:t>
      </w:r>
      <w:r w:rsidRPr="00776389">
        <w:t>DMARD</w:t>
      </w:r>
      <w:proofErr w:type="spellEnd"/>
      <w:r w:rsidRPr="00776389">
        <w:t xml:space="preserve"> inadequate responders on a background of </w:t>
      </w:r>
      <w:proofErr w:type="spellStart"/>
      <w:r w:rsidRPr="00776389">
        <w:t>csDMARDs</w:t>
      </w:r>
      <w:proofErr w:type="spellEnd"/>
      <w:r w:rsidRPr="00776389">
        <w:t xml:space="preserve"> comparing 1</w:t>
      </w:r>
      <w:r w:rsidR="00CC02CF">
        <w:t>5 mg</w:t>
      </w:r>
      <w:r w:rsidRPr="00776389">
        <w:t xml:space="preserve"> and 3</w:t>
      </w:r>
      <w:r w:rsidR="00CC02CF">
        <w:t>0 mg</w:t>
      </w:r>
      <w:r w:rsidRPr="00776389">
        <w:t xml:space="preserve"> upadacitinib with placebo for 12 controll</w:t>
      </w:r>
      <w:r w:rsidR="00B90009">
        <w:t>ed weeks in 499 patients. From W</w:t>
      </w:r>
      <w:r w:rsidRPr="00776389">
        <w:t>eek 12, placebo patients were switched to either 1</w:t>
      </w:r>
      <w:r w:rsidR="00CC02CF">
        <w:t>5 mg</w:t>
      </w:r>
      <w:r w:rsidRPr="00776389">
        <w:t xml:space="preserve"> or 3</w:t>
      </w:r>
      <w:r w:rsidR="00CC02CF">
        <w:t>0 mg</w:t>
      </w:r>
      <w:r w:rsidRPr="00776389">
        <w:t xml:space="preserve"> upadacitinib.</w:t>
      </w:r>
      <w:r w:rsidR="004E3248">
        <w:t xml:space="preserve"> </w:t>
      </w:r>
      <w:r w:rsidRPr="00776389">
        <w:t>The mean duration of rheumatoid arthritis was 13.2 years reflecting established refractory disease and overall patients were consistent with severely active disease.</w:t>
      </w:r>
      <w:r w:rsidR="004E3248">
        <w:t xml:space="preserve"> </w:t>
      </w:r>
      <w:r w:rsidR="00C20F9B">
        <w:t>At B</w:t>
      </w:r>
      <w:r w:rsidRPr="00776389">
        <w:t xml:space="preserve">aseline, 73.8% were taking methotrexate alone, 9.5% were taking methotrexate and another </w:t>
      </w:r>
      <w:proofErr w:type="spellStart"/>
      <w:r w:rsidRPr="00776389">
        <w:t>csDMARD</w:t>
      </w:r>
      <w:proofErr w:type="spellEnd"/>
      <w:r w:rsidRPr="00776389">
        <w:t xml:space="preserve"> and 16.6% were taking a </w:t>
      </w:r>
      <w:proofErr w:type="spellStart"/>
      <w:r w:rsidRPr="00776389">
        <w:t>csDMARD</w:t>
      </w:r>
      <w:proofErr w:type="spellEnd"/>
      <w:r w:rsidRPr="00776389">
        <w:t xml:space="preserve"> other than methotrexate.</w:t>
      </w:r>
      <w:r w:rsidR="004E3248">
        <w:t xml:space="preserve"> </w:t>
      </w:r>
      <w:r w:rsidRPr="00776389">
        <w:t>The mean weekly dose of methotrexate was 16.7</w:t>
      </w:r>
      <w:r w:rsidR="00B90009">
        <w:t xml:space="preserve"> </w:t>
      </w:r>
      <w:r w:rsidRPr="00776389">
        <w:t>mg.</w:t>
      </w:r>
      <w:r w:rsidR="004E3248">
        <w:t xml:space="preserve"> </w:t>
      </w:r>
      <w:r w:rsidRPr="00776389">
        <w:t>The primary efficacy en</w:t>
      </w:r>
      <w:r w:rsidR="00B90009">
        <w:t>dpoint for the US was ACR20</w:t>
      </w:r>
      <w:r w:rsidR="00A9210D">
        <w:t>;</w:t>
      </w:r>
      <w:r w:rsidR="00A9210D" w:rsidRPr="009679B9">
        <w:rPr>
          <w:vertAlign w:val="superscript"/>
        </w:rPr>
        <w:fldChar w:fldCharType="begin"/>
      </w:r>
      <w:r w:rsidR="00A9210D" w:rsidRPr="009679B9">
        <w:rPr>
          <w:vertAlign w:val="superscript"/>
        </w:rPr>
        <w:instrText xml:space="preserve"> NOTEREF _Ref38380199 \h </w:instrText>
      </w:r>
      <w:r w:rsidR="00A9210D">
        <w:rPr>
          <w:vertAlign w:val="superscript"/>
        </w:rPr>
        <w:instrText xml:space="preserve"> \* MERGEFORMAT </w:instrText>
      </w:r>
      <w:r w:rsidR="00A9210D" w:rsidRPr="009679B9">
        <w:rPr>
          <w:vertAlign w:val="superscript"/>
        </w:rPr>
      </w:r>
      <w:r w:rsidR="00A9210D" w:rsidRPr="009679B9">
        <w:rPr>
          <w:vertAlign w:val="superscript"/>
        </w:rPr>
        <w:fldChar w:fldCharType="separate"/>
      </w:r>
      <w:r w:rsidR="00A9210D" w:rsidRPr="009679B9">
        <w:rPr>
          <w:vertAlign w:val="superscript"/>
        </w:rPr>
        <w:t>7</w:t>
      </w:r>
      <w:r w:rsidR="00A9210D" w:rsidRPr="009679B9">
        <w:rPr>
          <w:vertAlign w:val="superscript"/>
        </w:rPr>
        <w:fldChar w:fldCharType="end"/>
      </w:r>
      <w:r w:rsidR="00B90009">
        <w:t xml:space="preserve"> at W</w:t>
      </w:r>
      <w:r w:rsidRPr="00776389">
        <w:t>eek 12 which showed 64.6% for 1</w:t>
      </w:r>
      <w:r w:rsidR="00CC02CF">
        <w:t>5 mg</w:t>
      </w:r>
      <w:r w:rsidRPr="00776389">
        <w:t xml:space="preserve"> and 56.4% for 3</w:t>
      </w:r>
      <w:r w:rsidR="00CC02CF">
        <w:t>0 mg</w:t>
      </w:r>
      <w:r w:rsidR="00B90009">
        <w:t xml:space="preserve"> versus </w:t>
      </w:r>
      <w:r w:rsidRPr="00776389">
        <w:t>28.4% for placebo (p</w:t>
      </w:r>
      <w:r w:rsidR="00C20F9B">
        <w:t xml:space="preserve"> </w:t>
      </w:r>
      <w:r w:rsidRPr="00776389">
        <w:t>&lt;</w:t>
      </w:r>
      <w:r w:rsidR="00C20F9B">
        <w:t xml:space="preserve"> </w:t>
      </w:r>
      <w:r w:rsidRPr="00776389">
        <w:t>0.001 for both upadacitinib groups</w:t>
      </w:r>
      <w:r w:rsidR="00B90009">
        <w:t xml:space="preserve"> versus </w:t>
      </w:r>
      <w:r w:rsidRPr="00776389">
        <w:t>placebo).</w:t>
      </w:r>
      <w:r w:rsidR="004E3248">
        <w:t xml:space="preserve"> </w:t>
      </w:r>
      <w:r w:rsidRPr="00776389">
        <w:t>The primary efficacy endpoint for the EU was low disea</w:t>
      </w:r>
      <w:r w:rsidR="00B90009">
        <w:t>se activity (DAS28</w:t>
      </w:r>
      <w:r w:rsidR="00A9210D">
        <w:noBreakHyphen/>
      </w:r>
      <w:r w:rsidR="00B90009">
        <w:t>CRP</w:t>
      </w:r>
      <w:r w:rsidR="00A9210D">
        <w:t> </w:t>
      </w:r>
      <w:r w:rsidR="00B90009">
        <w:t>≤</w:t>
      </w:r>
      <w:r w:rsidR="00A9210D">
        <w:t> </w:t>
      </w:r>
      <w:r w:rsidR="00B90009">
        <w:t>3.2)</w:t>
      </w:r>
      <w:r w:rsidR="00A9210D">
        <w:t>;</w:t>
      </w:r>
      <w:r w:rsidR="00A9210D" w:rsidRPr="009679B9">
        <w:rPr>
          <w:vertAlign w:val="superscript"/>
        </w:rPr>
        <w:fldChar w:fldCharType="begin"/>
      </w:r>
      <w:r w:rsidR="00A9210D" w:rsidRPr="009679B9">
        <w:rPr>
          <w:vertAlign w:val="superscript"/>
        </w:rPr>
        <w:instrText xml:space="preserve"> NOTEREF _Ref38380443 \h </w:instrText>
      </w:r>
      <w:r w:rsidR="00A9210D">
        <w:rPr>
          <w:vertAlign w:val="superscript"/>
        </w:rPr>
        <w:instrText xml:space="preserve"> \* MERGEFORMAT </w:instrText>
      </w:r>
      <w:r w:rsidR="00A9210D" w:rsidRPr="009679B9">
        <w:rPr>
          <w:vertAlign w:val="superscript"/>
        </w:rPr>
      </w:r>
      <w:r w:rsidR="00A9210D" w:rsidRPr="009679B9">
        <w:rPr>
          <w:vertAlign w:val="superscript"/>
        </w:rPr>
        <w:fldChar w:fldCharType="separate"/>
      </w:r>
      <w:r w:rsidR="00A9210D" w:rsidRPr="009679B9">
        <w:rPr>
          <w:vertAlign w:val="superscript"/>
        </w:rPr>
        <w:t>8</w:t>
      </w:r>
      <w:r w:rsidR="00A9210D" w:rsidRPr="009679B9">
        <w:rPr>
          <w:vertAlign w:val="superscript"/>
        </w:rPr>
        <w:fldChar w:fldCharType="end"/>
      </w:r>
      <w:r w:rsidR="00B90009">
        <w:t xml:space="preserve"> at W</w:t>
      </w:r>
      <w:r w:rsidRPr="00776389">
        <w:t>eek 12 which showed 43.3% for 1</w:t>
      </w:r>
      <w:r w:rsidR="00CC02CF">
        <w:t>5 mg</w:t>
      </w:r>
      <w:r w:rsidRPr="00776389">
        <w:t xml:space="preserve"> and 42.4% for 3</w:t>
      </w:r>
      <w:r w:rsidR="00CC02CF">
        <w:t>0 mg</w:t>
      </w:r>
      <w:r w:rsidR="00B90009">
        <w:t xml:space="preserve"> versus </w:t>
      </w:r>
      <w:r w:rsidRPr="00776389">
        <w:t>14.2% for placebo (p</w:t>
      </w:r>
      <w:r w:rsidR="00C20F9B">
        <w:t> </w:t>
      </w:r>
      <w:r w:rsidRPr="00776389">
        <w:t>&lt;</w:t>
      </w:r>
      <w:r w:rsidR="00C20F9B">
        <w:t> </w:t>
      </w:r>
      <w:r w:rsidRPr="00776389">
        <w:t>0.001 for both upadacitinib groups</w:t>
      </w:r>
      <w:r w:rsidR="00B90009">
        <w:t xml:space="preserve"> versus </w:t>
      </w:r>
      <w:r w:rsidRPr="00776389">
        <w:t>placebo).</w:t>
      </w:r>
      <w:r w:rsidR="004E3248">
        <w:t xml:space="preserve"> </w:t>
      </w:r>
      <w:r w:rsidRPr="00776389">
        <w:t>Both upadacitinib dose groups showed statistically significant improvement compared with control therapy for all ran</w:t>
      </w:r>
      <w:r w:rsidR="00B90009">
        <w:t>ked key secondary endpoints at W</w:t>
      </w:r>
      <w:r w:rsidRPr="00776389">
        <w:t>eek 12</w:t>
      </w:r>
      <w:r w:rsidR="00EB66B6">
        <w:t>,</w:t>
      </w:r>
      <w:r w:rsidRPr="00776389">
        <w:t xml:space="preserve"> exc</w:t>
      </w:r>
      <w:r w:rsidR="00B90009">
        <w:t>ept for ACR70 response rate at W</w:t>
      </w:r>
      <w:r w:rsidRPr="00776389">
        <w:t>eek 12</w:t>
      </w:r>
      <w:r w:rsidR="00EB66B6">
        <w:t>,</w:t>
      </w:r>
      <w:r w:rsidRPr="00776389">
        <w:t xml:space="preserve"> in the upadacitinib 15 mg group.</w:t>
      </w:r>
    </w:p>
    <w:p w14:paraId="6E3A71DD" w14:textId="77777777" w:rsidR="0055166A" w:rsidRDefault="0055166A" w:rsidP="00776389">
      <w:pPr>
        <w:pStyle w:val="Heading5"/>
      </w:pPr>
      <w:r>
        <w:t>Other studies</w:t>
      </w:r>
    </w:p>
    <w:p w14:paraId="3ABE82EF" w14:textId="78CEFD3A" w:rsidR="00D368BC" w:rsidRDefault="0055166A" w:rsidP="009679B9">
      <w:pPr>
        <w:pStyle w:val="Heading6"/>
      </w:pPr>
      <w:r>
        <w:t xml:space="preserve">Study </w:t>
      </w:r>
      <w:r w:rsidR="00D368BC">
        <w:t>M13-</w:t>
      </w:r>
      <w:r>
        <w:t>537</w:t>
      </w:r>
    </w:p>
    <w:p w14:paraId="532F2A23" w14:textId="29768831" w:rsidR="0055166A" w:rsidRPr="00776389" w:rsidRDefault="0055166A" w:rsidP="0009021C">
      <w:r w:rsidRPr="00776389">
        <w:t>This is a multicentre, multinational, randomised, double blind, placebo</w:t>
      </w:r>
      <w:r w:rsidR="00B90009">
        <w:t xml:space="preserve"> controlled dose ranging Phase II</w:t>
      </w:r>
      <w:r w:rsidRPr="00776389">
        <w:t xml:space="preserve"> study in 300 adult subjects for 12 weeks with moderately to severely active rheumatoid arthritis who had an inadequate response to methotrexate and who were naïve to biological therapy.</w:t>
      </w:r>
      <w:r w:rsidR="004E3248">
        <w:t xml:space="preserve"> </w:t>
      </w:r>
      <w:r w:rsidR="00B90009">
        <w:t>After W</w:t>
      </w:r>
      <w:r w:rsidRPr="00776389">
        <w:t>eek 12, subjects could enter an open label extension</w:t>
      </w:r>
      <w:r w:rsidR="009679B9">
        <w:t xml:space="preserve"> </w:t>
      </w:r>
      <w:r w:rsidR="00995C5A">
        <w:t>study</w:t>
      </w:r>
      <w:r w:rsidRPr="00776389">
        <w:t>.</w:t>
      </w:r>
      <w:r w:rsidR="004E3248">
        <w:t xml:space="preserve"> </w:t>
      </w:r>
      <w:r w:rsidRPr="00776389">
        <w:t xml:space="preserve">Subjects were randomly assigned in an equal ratio to 1 of 6 treatment arms: placebo tablets twice daily, or upadacitinib </w:t>
      </w:r>
      <w:r w:rsidR="00B90009">
        <w:t>IR</w:t>
      </w:r>
      <w:r w:rsidRPr="00776389">
        <w:t xml:space="preserve"> formulation tablets 3 mg twice daily, 6 mg twice daily, 12 </w:t>
      </w:r>
      <w:r w:rsidRPr="001D1AEA">
        <w:t>mg twice daily, 18 mg twice daily or 24 mg once daily.</w:t>
      </w:r>
      <w:r w:rsidR="004E3248" w:rsidRPr="001D1AEA">
        <w:t xml:space="preserve"> </w:t>
      </w:r>
      <w:r w:rsidRPr="001D1AEA">
        <w:t>Subjects were to be maintained on pre-existing stable d</w:t>
      </w:r>
      <w:r w:rsidR="00C20F9B">
        <w:t>oses of NSAID</w:t>
      </w:r>
      <w:r w:rsidR="00D368BC">
        <w:t>s</w:t>
      </w:r>
      <w:r w:rsidR="00C20F9B">
        <w:t>, methotrexate 7.5</w:t>
      </w:r>
      <w:r w:rsidR="00D368BC">
        <w:t> </w:t>
      </w:r>
      <w:r w:rsidR="00C20F9B">
        <w:t xml:space="preserve">to </w:t>
      </w:r>
      <w:r w:rsidRPr="001D1AEA">
        <w:t xml:space="preserve">25 mg/week and low dose </w:t>
      </w:r>
      <w:r w:rsidR="00C20F9B">
        <w:t>c</w:t>
      </w:r>
      <w:r w:rsidR="001D1AEA" w:rsidRPr="001D1AEA">
        <w:t>orticosteroids (</w:t>
      </w:r>
      <w:r w:rsidRPr="001D1AEA">
        <w:t>CS</w:t>
      </w:r>
      <w:r w:rsidR="001D1AEA" w:rsidRPr="001D1AEA">
        <w:t>)</w:t>
      </w:r>
      <w:r w:rsidRPr="00776389">
        <w:t xml:space="preserve"> during the study.</w:t>
      </w:r>
      <w:r w:rsidR="004E3248">
        <w:t xml:space="preserve"> </w:t>
      </w:r>
      <w:r w:rsidR="00C20F9B">
        <w:t>At B</w:t>
      </w:r>
      <w:r w:rsidRPr="00776389">
        <w:t>aseline, all subjects were taking methotrexate.</w:t>
      </w:r>
      <w:r w:rsidR="004E3248">
        <w:t xml:space="preserve"> </w:t>
      </w:r>
      <w:r w:rsidR="00EB66B6">
        <w:t>Some 91%</w:t>
      </w:r>
      <w:r w:rsidR="00B0450C">
        <w:t xml:space="preserve"> of subjects</w:t>
      </w:r>
      <w:r w:rsidR="00EB66B6">
        <w:t xml:space="preserve"> completed the 12 </w:t>
      </w:r>
      <w:r w:rsidRPr="00776389">
        <w:t>week study.</w:t>
      </w:r>
      <w:r w:rsidR="004E3248">
        <w:t xml:space="preserve"> </w:t>
      </w:r>
      <w:r w:rsidRPr="00776389">
        <w:t xml:space="preserve">The primary efficacy endpoint was the proportion of patients in each treatment arm </w:t>
      </w:r>
      <w:r w:rsidR="00B90009">
        <w:t>who achieved ACR20 response at W</w:t>
      </w:r>
      <w:r w:rsidRPr="00776389">
        <w:t>eek 12</w:t>
      </w:r>
      <w:r w:rsidR="00B90009">
        <w:t>,</w:t>
      </w:r>
      <w:r w:rsidRPr="00776389">
        <w:t xml:space="preserve"> using the </w:t>
      </w:r>
      <w:proofErr w:type="spellStart"/>
      <w:r w:rsidRPr="00776389">
        <w:t>mITT</w:t>
      </w:r>
      <w:proofErr w:type="spellEnd"/>
      <w:r w:rsidRPr="00776389">
        <w:t xml:space="preserve"> population which showed 81.6% in the upadacitinib 12 mg twice daily and 24 mg once daily groups, 76.6% in the upadacitinib 18 mg twice daily arm, 73.5% in the upadacitinib 6</w:t>
      </w:r>
      <w:r w:rsidR="00D368BC">
        <w:t> </w:t>
      </w:r>
      <w:r w:rsidRPr="00776389">
        <w:t>mg twice daily group and 64.6% in the upadacitinib 3</w:t>
      </w:r>
      <w:r w:rsidR="00D368BC">
        <w:t xml:space="preserve"> </w:t>
      </w:r>
      <w:r w:rsidRPr="00776389">
        <w:t xml:space="preserve">mg twice daily arm compared with 50.0% in the control group. The pairwise comparison </w:t>
      </w:r>
      <w:r w:rsidRPr="00776389">
        <w:lastRenderedPageBreak/>
        <w:t>of each upadacitinib dose group versus</w:t>
      </w:r>
      <w:r w:rsidR="00B90009">
        <w:t xml:space="preserve"> placebo for ACR20 response at W</w:t>
      </w:r>
      <w:r w:rsidRPr="00776389">
        <w:t>eek 12 was statistically significant (p</w:t>
      </w:r>
      <w:r w:rsidR="00C20F9B">
        <w:t xml:space="preserve"> </w:t>
      </w:r>
      <w:r w:rsidRPr="00776389">
        <w:t>&lt;</w:t>
      </w:r>
      <w:r w:rsidR="00C20F9B">
        <w:t xml:space="preserve"> </w:t>
      </w:r>
      <w:r w:rsidRPr="00776389">
        <w:t>0.05) for all upadacitinib dose groups except 3 mg twice daily.</w:t>
      </w:r>
    </w:p>
    <w:p w14:paraId="032045E8" w14:textId="48005BAB" w:rsidR="00D368BC" w:rsidRDefault="0055166A" w:rsidP="009679B9">
      <w:pPr>
        <w:pStyle w:val="Heading6"/>
      </w:pPr>
      <w:r>
        <w:t xml:space="preserve">Study </w:t>
      </w:r>
      <w:r w:rsidR="00D368BC">
        <w:t>M13-</w:t>
      </w:r>
      <w:r>
        <w:t>550</w:t>
      </w:r>
    </w:p>
    <w:p w14:paraId="53706E7C" w14:textId="5DE621BF" w:rsidR="0055166A" w:rsidRDefault="0055166A" w:rsidP="0009021C">
      <w:r w:rsidRPr="00776389">
        <w:t xml:space="preserve">This is a multicentre, multinational, randomised, double-blind, placebo-controlled, dose ranging, parallel group Phase </w:t>
      </w:r>
      <w:r w:rsidR="00B90009">
        <w:t>II</w:t>
      </w:r>
      <w:r w:rsidRPr="00776389">
        <w:t xml:space="preserve"> trial in 276 adult subjects for 12 weeks with moderately to </w:t>
      </w:r>
      <w:r w:rsidRPr="001D1AEA">
        <w:t>severely active RA who had an inadequate response to or who were intolerant of anti-TNF th</w:t>
      </w:r>
      <w:r w:rsidR="00B90009" w:rsidRPr="001D1AEA">
        <w:t>erapy. After W</w:t>
      </w:r>
      <w:r w:rsidRPr="001D1AEA">
        <w:t>eek 12, subjects could enter an open label extension period.</w:t>
      </w:r>
      <w:r w:rsidR="004E3248" w:rsidRPr="001D1AEA">
        <w:t xml:space="preserve"> </w:t>
      </w:r>
      <w:r w:rsidRPr="001D1AEA">
        <w:t>Subjects</w:t>
      </w:r>
      <w:r w:rsidRPr="00776389">
        <w:t xml:space="preserve"> were randomly assigned in an equal ratio to 1 of 5 treatment arms: placebo tablets twice daily, or upadacitinib immediate release formulation tablets 3 mg twice daily, 6 mg twice daily, 12 mg twice daily or 18 mg twice daily.</w:t>
      </w:r>
      <w:r w:rsidR="004E3248">
        <w:t xml:space="preserve"> </w:t>
      </w:r>
      <w:r w:rsidRPr="00776389">
        <w:t>Subjects were to be maintained on pre-existing stable doses of NSAID</w:t>
      </w:r>
      <w:r w:rsidR="00D368BC">
        <w:t>s</w:t>
      </w:r>
      <w:r w:rsidRPr="00776389">
        <w:t>, methotrexate 7.5</w:t>
      </w:r>
      <w:r w:rsidR="00D368BC">
        <w:t xml:space="preserve"> to </w:t>
      </w:r>
      <w:r w:rsidRPr="00776389">
        <w:t>25 mg/week and low dose CS during the study.</w:t>
      </w:r>
      <w:r w:rsidR="004E3248">
        <w:t xml:space="preserve"> </w:t>
      </w:r>
      <w:r w:rsidR="00EB66B6">
        <w:t xml:space="preserve">Some </w:t>
      </w:r>
      <w:r w:rsidRPr="00776389">
        <w:t>88% completed the 12</w:t>
      </w:r>
      <w:r w:rsidR="00EB66B6">
        <w:t xml:space="preserve"> </w:t>
      </w:r>
      <w:r w:rsidRPr="00776389">
        <w:t>week study.</w:t>
      </w:r>
      <w:r w:rsidR="004E3248">
        <w:t xml:space="preserve"> </w:t>
      </w:r>
      <w:r w:rsidRPr="00776389">
        <w:t xml:space="preserve">The primary efficacy endpoint was the proportion of patients in each treatment arm </w:t>
      </w:r>
      <w:r w:rsidR="00B90009">
        <w:t>who achieved ACR20 response at W</w:t>
      </w:r>
      <w:r w:rsidRPr="00776389">
        <w:t xml:space="preserve">eek 12 using the </w:t>
      </w:r>
      <w:proofErr w:type="spellStart"/>
      <w:r w:rsidRPr="00776389">
        <w:t>mITT</w:t>
      </w:r>
      <w:proofErr w:type="spellEnd"/>
      <w:r w:rsidRPr="00776389">
        <w:t xml:space="preserve"> population which showed 70.9% in the upadacitinib 18 mg twice daily group, 72.7% in the upadacitinib 12 mg twice daily arm, 63.5% in the upadacitinib 6 mg twice daily group and 55.6% in the upadacitinib 3 mg twice daily arm compared with 35.2% in the control group. The pairwise comparison of each upadacitinib dose group versus</w:t>
      </w:r>
      <w:r w:rsidR="00B90009">
        <w:t xml:space="preserve"> placebo for ACR20 response at W</w:t>
      </w:r>
      <w:r w:rsidRPr="00776389">
        <w:t>eek 12 was statistically significant (p</w:t>
      </w:r>
      <w:r w:rsidR="00C20F9B">
        <w:t xml:space="preserve"> </w:t>
      </w:r>
      <w:r w:rsidRPr="00776389">
        <w:t>&lt;</w:t>
      </w:r>
      <w:r w:rsidR="00C20F9B">
        <w:t xml:space="preserve"> </w:t>
      </w:r>
      <w:r w:rsidRPr="00776389">
        <w:t>0.05) for all upadacitinib dose groups except 3 mg twice daily.</w:t>
      </w:r>
    </w:p>
    <w:p w14:paraId="7EEA3D00" w14:textId="6AE127FD" w:rsidR="00D368BC" w:rsidRDefault="0055166A" w:rsidP="009679B9">
      <w:pPr>
        <w:pStyle w:val="Heading6"/>
      </w:pPr>
      <w:r>
        <w:t xml:space="preserve">Study </w:t>
      </w:r>
      <w:r w:rsidR="00D368BC">
        <w:t>MI3-</w:t>
      </w:r>
      <w:r>
        <w:t>66</w:t>
      </w:r>
      <w:r w:rsidR="00D368BC">
        <w:t>3</w:t>
      </w:r>
    </w:p>
    <w:p w14:paraId="1B4B68DC" w14:textId="4A9B93A1" w:rsidR="002714BF" w:rsidRDefault="00B90009" w:rsidP="00AB4A87">
      <w:r>
        <w:t xml:space="preserve">This is a Phase </w:t>
      </w:r>
      <w:proofErr w:type="spellStart"/>
      <w:r>
        <w:t>IIb</w:t>
      </w:r>
      <w:proofErr w:type="spellEnd"/>
      <w:r>
        <w:t>/III</w:t>
      </w:r>
      <w:r w:rsidR="0055166A" w:rsidRPr="00776389">
        <w:t xml:space="preserve"> randomised, </w:t>
      </w:r>
      <w:r w:rsidR="00EB66B6" w:rsidRPr="00776389">
        <w:t>double blind</w:t>
      </w:r>
      <w:r w:rsidR="0055166A" w:rsidRPr="00776389">
        <w:t xml:space="preserve">, placebo-controlled, dose response, parallel group trial in 197 Japanese subjects with moderately to severely active RA who were receiving a stable dose of </w:t>
      </w:r>
      <w:proofErr w:type="spellStart"/>
      <w:r w:rsidR="00D368BC">
        <w:t>cs</w:t>
      </w:r>
      <w:r w:rsidR="0055166A" w:rsidRPr="00776389">
        <w:t>DMARD</w:t>
      </w:r>
      <w:r w:rsidR="00D368BC">
        <w:t>s</w:t>
      </w:r>
      <w:proofErr w:type="spellEnd"/>
      <w:r w:rsidR="0055166A" w:rsidRPr="00776389">
        <w:t xml:space="preserve"> and had an inadequate response to that therapy.</w:t>
      </w:r>
      <w:r w:rsidR="004E3248">
        <w:t xml:space="preserve"> </w:t>
      </w:r>
      <w:r w:rsidR="0055166A" w:rsidRPr="00776389">
        <w:t xml:space="preserve">The study consisted of a 12 week controlled period (Period 1) followed by a blinded </w:t>
      </w:r>
      <w:r w:rsidR="00EB66B6" w:rsidRPr="00776389">
        <w:t>long-term</w:t>
      </w:r>
      <w:r w:rsidR="0055166A" w:rsidRPr="00776389">
        <w:t xml:space="preserve"> extension phase until regulatory approval in Japan.</w:t>
      </w:r>
      <w:r w:rsidR="004E3248">
        <w:t xml:space="preserve"> </w:t>
      </w:r>
      <w:r w:rsidR="0055166A" w:rsidRPr="00776389">
        <w:t>The submiss</w:t>
      </w:r>
      <w:r>
        <w:t>ion contained efficacy data to W</w:t>
      </w:r>
      <w:r w:rsidR="0055166A" w:rsidRPr="00776389">
        <w:t>eek 60 in 156 subjects.</w:t>
      </w:r>
      <w:r w:rsidR="004E3248">
        <w:t xml:space="preserve"> </w:t>
      </w:r>
      <w:r w:rsidR="0055166A" w:rsidRPr="00776389">
        <w:t>Subjects were randomly assigned in a 3:3:3:1:1:1 ratio to 1 of 6 treatment arms: upadacitinib 7.5 mg once daily, 15</w:t>
      </w:r>
      <w:r w:rsidR="00D368BC">
        <w:t> </w:t>
      </w:r>
      <w:r w:rsidR="0055166A" w:rsidRPr="00776389">
        <w:t xml:space="preserve">mg once daily or </w:t>
      </w:r>
      <w:r w:rsidR="00AB4A87">
        <w:t>30</w:t>
      </w:r>
      <w:r w:rsidR="0055166A" w:rsidRPr="00776389">
        <w:t xml:space="preserve"> mg </w:t>
      </w:r>
      <w:r w:rsidR="00AB4A87">
        <w:t xml:space="preserve">once </w:t>
      </w:r>
      <w:r w:rsidR="0055166A" w:rsidRPr="00776389">
        <w:t>daily for Period 1 (and to receive the same treatment in Period 2), or placebo in Period 1 followed by upadacitinib 7.5 mg once daily, 15 mg once daily or 30 mg once daily in Period 2 (</w:t>
      </w:r>
      <w:r>
        <w:t>that is,</w:t>
      </w:r>
      <w:r w:rsidR="0055166A" w:rsidRPr="00776389">
        <w:t xml:space="preserve"> upadacitinib therapy in Period 2 was assigned according to </w:t>
      </w:r>
      <w:r w:rsidR="00C20F9B">
        <w:t>pre-specified randomisation at B</w:t>
      </w:r>
      <w:r w:rsidR="0055166A" w:rsidRPr="001D1AEA">
        <w:t>aseline).</w:t>
      </w:r>
      <w:r w:rsidR="004E3248" w:rsidRPr="001D1AEA">
        <w:t xml:space="preserve"> </w:t>
      </w:r>
      <w:r w:rsidR="0055166A" w:rsidRPr="001D1AEA">
        <w:t xml:space="preserve">Subjects were to be maintained on pre-existing stable doses (for at least 4 </w:t>
      </w:r>
      <w:r w:rsidR="00C20F9B">
        <w:t xml:space="preserve">weeks) of </w:t>
      </w:r>
      <w:proofErr w:type="spellStart"/>
      <w:r w:rsidR="00AB4A87">
        <w:t>csDMARDs</w:t>
      </w:r>
      <w:proofErr w:type="spellEnd"/>
      <w:r w:rsidR="00AB4A87">
        <w:t xml:space="preserve">, </w:t>
      </w:r>
      <w:r w:rsidR="00C20F9B">
        <w:t>NSAID</w:t>
      </w:r>
      <w:r w:rsidR="00AB4A87">
        <w:t>s</w:t>
      </w:r>
      <w:r w:rsidR="00C20F9B">
        <w:t xml:space="preserve">, methotrexate 4 to </w:t>
      </w:r>
      <w:r w:rsidR="0055166A" w:rsidRPr="001D1AEA">
        <w:t xml:space="preserve">16 mg/week, </w:t>
      </w:r>
      <w:proofErr w:type="spellStart"/>
      <w:r w:rsidR="00C20F9B">
        <w:t>l</w:t>
      </w:r>
      <w:r w:rsidR="001D1AEA" w:rsidRPr="001D1AEA">
        <w:t>eflunomide</w:t>
      </w:r>
      <w:proofErr w:type="spellEnd"/>
      <w:r w:rsidR="001D1AEA" w:rsidRPr="001D1AEA">
        <w:t xml:space="preserve"> (</w:t>
      </w:r>
      <w:r w:rsidR="0055166A" w:rsidRPr="001D1AEA">
        <w:t>LEF</w:t>
      </w:r>
      <w:r w:rsidR="001D1AEA" w:rsidRPr="001D1AEA">
        <w:t>)</w:t>
      </w:r>
      <w:r w:rsidR="00C20F9B">
        <w:t xml:space="preserve"> 10 to </w:t>
      </w:r>
      <w:r w:rsidR="0055166A" w:rsidRPr="001D1AEA">
        <w:t xml:space="preserve">20 mg/day, </w:t>
      </w:r>
      <w:r w:rsidR="00C20F9B">
        <w:t>s</w:t>
      </w:r>
      <w:r w:rsidR="001D1AEA" w:rsidRPr="001D1AEA">
        <w:t>ulfasalazine (</w:t>
      </w:r>
      <w:r w:rsidR="0055166A" w:rsidRPr="001D1AEA">
        <w:t>SSZ</w:t>
      </w:r>
      <w:r w:rsidR="001D1AEA" w:rsidRPr="001D1AEA">
        <w:t>)</w:t>
      </w:r>
      <w:r w:rsidR="0055166A" w:rsidRPr="001D1AEA">
        <w:t xml:space="preserve"> up to 3 g daily, </w:t>
      </w:r>
      <w:r w:rsidR="00C20F9B">
        <w:t>h</w:t>
      </w:r>
      <w:r w:rsidR="001D1AEA" w:rsidRPr="001D1AEA">
        <w:t>ydroxychloroquine (</w:t>
      </w:r>
      <w:r w:rsidR="0055166A" w:rsidRPr="001D1AEA">
        <w:t>HCQ</w:t>
      </w:r>
      <w:r w:rsidR="001D1AEA" w:rsidRPr="001D1AEA">
        <w:t>)</w:t>
      </w:r>
      <w:r w:rsidR="0055166A" w:rsidRPr="001D1AEA">
        <w:t xml:space="preserve"> and low dose CS during the study (initial 24</w:t>
      </w:r>
      <w:r w:rsidR="00D368BC">
        <w:t> </w:t>
      </w:r>
      <w:r w:rsidR="0055166A" w:rsidRPr="001D1AEA">
        <w:t>weeks).</w:t>
      </w:r>
      <w:r w:rsidR="00AB4A87">
        <w:t xml:space="preserve"> At B</w:t>
      </w:r>
      <w:r w:rsidR="00AB4A87" w:rsidRPr="00776389">
        <w:t xml:space="preserve">aseline, 60.4% of all enrolled subjects were taking methotrexate alone and another 23.4% were taking methotrexate with other </w:t>
      </w:r>
      <w:proofErr w:type="spellStart"/>
      <w:r w:rsidR="00D368BC">
        <w:t>cs</w:t>
      </w:r>
      <w:r w:rsidR="00AB4A87" w:rsidRPr="00776389">
        <w:t>DMARD</w:t>
      </w:r>
      <w:r w:rsidR="00D368BC">
        <w:t>s</w:t>
      </w:r>
      <w:proofErr w:type="spellEnd"/>
      <w:r w:rsidR="00AB4A87" w:rsidRPr="00776389">
        <w:t>.</w:t>
      </w:r>
      <w:r w:rsidR="00AB4A87">
        <w:t xml:space="preserve"> </w:t>
      </w:r>
      <w:r w:rsidR="0055166A" w:rsidRPr="001D1AEA">
        <w:t>94.9% completed Period 1.</w:t>
      </w:r>
    </w:p>
    <w:p w14:paraId="37028349" w14:textId="45047D8E" w:rsidR="002714BF" w:rsidRDefault="0055166A" w:rsidP="0009021C">
      <w:r w:rsidRPr="00776389">
        <w:t>16.6% have discontinued treatment in Period 2 at a higher incidence in the upadacitinib 30 mg once daily group (25.0%) compared to the upadacitinib 7.5 mg once daily arm (12.3%) and the upadacitinib 15 mg once daily group (12.9%). The most common reason for discontinuation in Period 2 is adverse events.</w:t>
      </w:r>
      <w:r w:rsidR="004E3248">
        <w:t xml:space="preserve"> </w:t>
      </w:r>
    </w:p>
    <w:p w14:paraId="7673464E" w14:textId="77777777" w:rsidR="0055166A" w:rsidRPr="00776389" w:rsidRDefault="0055166A" w:rsidP="0009021C">
      <w:r w:rsidRPr="00776389">
        <w:t>The primary efficacy</w:t>
      </w:r>
      <w:r w:rsidR="002714BF">
        <w:t xml:space="preserve"> endpoint of ACR20 response at W</w:t>
      </w:r>
      <w:r w:rsidRPr="00776389">
        <w:t>eek 12 was 75.5% in the upadacitinib 7.5 mg once daily group, 83.7% in the upadacitinib 15 mg once daily arm, 80.0% in the upadacitinib 30 mg once daily group compared with 42.9% in the control group. The pairwise comparison of each upadacitinib dose group versus</w:t>
      </w:r>
      <w:r w:rsidR="002714BF">
        <w:t xml:space="preserve"> placebo for ACR20 response at W</w:t>
      </w:r>
      <w:r w:rsidRPr="00776389">
        <w:t>eek 12 was statistically significant (p</w:t>
      </w:r>
      <w:r w:rsidR="00C20F9B">
        <w:t xml:space="preserve"> </w:t>
      </w:r>
      <w:r w:rsidRPr="00776389">
        <w:t>&lt;</w:t>
      </w:r>
      <w:r w:rsidR="00C20F9B">
        <w:t xml:space="preserve"> </w:t>
      </w:r>
      <w:r w:rsidRPr="00776389">
        <w:t>0.001) for all upadacitinib dose groups.</w:t>
      </w:r>
      <w:r w:rsidR="004E3248">
        <w:t xml:space="preserve"> </w:t>
      </w:r>
      <w:r w:rsidRPr="00776389">
        <w:t>For subjects who contin</w:t>
      </w:r>
      <w:r w:rsidR="002714BF">
        <w:t>ued on upadacitinib through to W</w:t>
      </w:r>
      <w:r w:rsidRPr="00776389">
        <w:t xml:space="preserve">eek 60, the rates of ACR20/50/70 response showed improvement, </w:t>
      </w:r>
      <w:r w:rsidR="002714BF">
        <w:t>which was most marked up until W</w:t>
      </w:r>
      <w:r w:rsidRPr="00776389">
        <w:t>eek 24 and t</w:t>
      </w:r>
      <w:r w:rsidR="002714BF">
        <w:t>hen plateaued somewhat between W</w:t>
      </w:r>
      <w:r w:rsidRPr="00776389">
        <w:t xml:space="preserve">eeks 24 and 60. For example, </w:t>
      </w:r>
      <w:r w:rsidR="002714BF">
        <w:t>the rates of ACR50 response at W</w:t>
      </w:r>
      <w:r w:rsidRPr="00776389">
        <w:t>eek 60 ranged from 66.7% to 86.0% in the continuous upadacitinib dose groups (versus 41.7% to</w:t>
      </w:r>
      <w:r w:rsidR="002714BF">
        <w:t xml:space="preserve"> 66.7% at Week 12; and 60.0% to 76.1% at W</w:t>
      </w:r>
      <w:r w:rsidRPr="00776389">
        <w:t>eek 24).</w:t>
      </w:r>
    </w:p>
    <w:p w14:paraId="3F5D26C8" w14:textId="77777777" w:rsidR="0055166A" w:rsidRDefault="0055166A" w:rsidP="0055166A">
      <w:pPr>
        <w:pStyle w:val="Heading4"/>
      </w:pPr>
      <w:r>
        <w:lastRenderedPageBreak/>
        <w:t>Safety</w:t>
      </w:r>
    </w:p>
    <w:p w14:paraId="73A597A7" w14:textId="41AF6076" w:rsidR="0055166A" w:rsidRDefault="0055166A" w:rsidP="0009021C">
      <w:pPr>
        <w:rPr>
          <w:lang w:eastAsia="en-AU"/>
        </w:rPr>
      </w:pPr>
      <w:r>
        <w:rPr>
          <w:lang w:eastAsia="en-AU"/>
        </w:rPr>
        <w:t>Studies M13-545, M14-465 and M15-555 ha</w:t>
      </w:r>
      <w:r w:rsidR="002714BF">
        <w:rPr>
          <w:lang w:eastAsia="en-AU"/>
        </w:rPr>
        <w:t>ve collected safety data up to W</w:t>
      </w:r>
      <w:r w:rsidR="003F1408">
        <w:rPr>
          <w:lang w:eastAsia="en-AU"/>
        </w:rPr>
        <w:t>eek 48</w:t>
      </w:r>
      <w:r w:rsidR="00997969">
        <w:rPr>
          <w:lang w:eastAsia="en-AU"/>
        </w:rPr>
        <w:t xml:space="preserve"> and through cut-off date</w:t>
      </w:r>
      <w:r>
        <w:rPr>
          <w:lang w:eastAsia="en-AU"/>
        </w:rPr>
        <w:t>, while Studies M13-549 and M13-542 have presented saf</w:t>
      </w:r>
      <w:r w:rsidR="002714BF">
        <w:rPr>
          <w:lang w:eastAsia="en-AU"/>
        </w:rPr>
        <w:t>ety information obtained up to W</w:t>
      </w:r>
      <w:r>
        <w:rPr>
          <w:lang w:eastAsia="en-AU"/>
        </w:rPr>
        <w:t>eek 60</w:t>
      </w:r>
      <w:r w:rsidR="00997969">
        <w:rPr>
          <w:lang w:eastAsia="en-AU"/>
        </w:rPr>
        <w:t xml:space="preserve"> and through cut-off date</w:t>
      </w:r>
      <w:r>
        <w:rPr>
          <w:lang w:eastAsia="en-AU"/>
        </w:rPr>
        <w:t>. In addition to t</w:t>
      </w:r>
      <w:r w:rsidR="002714BF">
        <w:rPr>
          <w:lang w:eastAsia="en-AU"/>
        </w:rPr>
        <w:t>he above studies and Phase II</w:t>
      </w:r>
      <w:r>
        <w:rPr>
          <w:lang w:eastAsia="en-AU"/>
        </w:rPr>
        <w:t xml:space="preserve"> studies, </w:t>
      </w:r>
      <w:r w:rsidRPr="004A0AFF">
        <w:rPr>
          <w:lang w:eastAsia="en-AU"/>
        </w:rPr>
        <w:t xml:space="preserve">Study </w:t>
      </w:r>
      <w:r w:rsidR="00D368BC">
        <w:rPr>
          <w:lang w:eastAsia="en-AU"/>
        </w:rPr>
        <w:t>M13-</w:t>
      </w:r>
      <w:r w:rsidRPr="004A0AFF">
        <w:rPr>
          <w:lang w:eastAsia="en-AU"/>
        </w:rPr>
        <w:t>538</w:t>
      </w:r>
      <w:r>
        <w:rPr>
          <w:lang w:eastAsia="en-AU"/>
        </w:rPr>
        <w:t xml:space="preserve"> was submitted</w:t>
      </w:r>
      <w:r w:rsidR="002714BF">
        <w:rPr>
          <w:lang w:eastAsia="en-AU"/>
        </w:rPr>
        <w:t>,</w:t>
      </w:r>
      <w:r>
        <w:rPr>
          <w:lang w:eastAsia="en-AU"/>
        </w:rPr>
        <w:t xml:space="preserve"> which included open label extension data f</w:t>
      </w:r>
      <w:r w:rsidR="002714BF">
        <w:rPr>
          <w:lang w:eastAsia="en-AU"/>
        </w:rPr>
        <w:t>rom subjects who completed the P</w:t>
      </w:r>
      <w:r>
        <w:rPr>
          <w:lang w:eastAsia="en-AU"/>
        </w:rPr>
        <w:t xml:space="preserve">hase </w:t>
      </w:r>
      <w:r w:rsidR="002714BF">
        <w:rPr>
          <w:lang w:eastAsia="en-AU"/>
        </w:rPr>
        <w:t>II</w:t>
      </w:r>
      <w:r>
        <w:rPr>
          <w:lang w:eastAsia="en-AU"/>
        </w:rPr>
        <w:t xml:space="preserve"> dose ranging </w:t>
      </w:r>
      <w:r w:rsidR="00D368BC">
        <w:rPr>
          <w:lang w:eastAsia="en-AU"/>
        </w:rPr>
        <w:t>S</w:t>
      </w:r>
      <w:r>
        <w:rPr>
          <w:lang w:eastAsia="en-AU"/>
        </w:rPr>
        <w:t xml:space="preserve">tudies </w:t>
      </w:r>
      <w:r w:rsidR="00D368BC">
        <w:rPr>
          <w:lang w:eastAsia="en-AU"/>
        </w:rPr>
        <w:t>M13</w:t>
      </w:r>
      <w:r w:rsidR="00D368BC">
        <w:rPr>
          <w:lang w:eastAsia="en-AU"/>
        </w:rPr>
        <w:noBreakHyphen/>
      </w:r>
      <w:r>
        <w:rPr>
          <w:lang w:eastAsia="en-AU"/>
        </w:rPr>
        <w:t xml:space="preserve">550 and </w:t>
      </w:r>
      <w:r w:rsidR="00D368BC">
        <w:rPr>
          <w:lang w:eastAsia="en-AU"/>
        </w:rPr>
        <w:t>M13-</w:t>
      </w:r>
      <w:r>
        <w:rPr>
          <w:lang w:eastAsia="en-AU"/>
        </w:rPr>
        <w:t>537.</w:t>
      </w:r>
      <w:r w:rsidR="004E3248">
        <w:rPr>
          <w:lang w:eastAsia="en-AU"/>
        </w:rPr>
        <w:t xml:space="preserve"> </w:t>
      </w:r>
      <w:r w:rsidR="002714BF">
        <w:rPr>
          <w:lang w:eastAsia="en-AU"/>
        </w:rPr>
        <w:t>Subjects were also switched at W</w:t>
      </w:r>
      <w:r>
        <w:rPr>
          <w:lang w:eastAsia="en-AU"/>
        </w:rPr>
        <w:t>eek 72 or later in this study to either 1</w:t>
      </w:r>
      <w:r w:rsidR="00CC02CF">
        <w:rPr>
          <w:lang w:eastAsia="en-AU"/>
        </w:rPr>
        <w:t>5 mg</w:t>
      </w:r>
      <w:r>
        <w:rPr>
          <w:lang w:eastAsia="en-AU"/>
        </w:rPr>
        <w:t xml:space="preserve"> or 3</w:t>
      </w:r>
      <w:r w:rsidR="00CC02CF">
        <w:rPr>
          <w:lang w:eastAsia="en-AU"/>
        </w:rPr>
        <w:t>0 mg</w:t>
      </w:r>
      <w:r>
        <w:rPr>
          <w:lang w:eastAsia="en-AU"/>
        </w:rPr>
        <w:t xml:space="preserve"> once daily from their original 6</w:t>
      </w:r>
      <w:r w:rsidR="002714BF">
        <w:rPr>
          <w:lang w:eastAsia="en-AU"/>
        </w:rPr>
        <w:t xml:space="preserve"> </w:t>
      </w:r>
      <w:r>
        <w:rPr>
          <w:lang w:eastAsia="en-AU"/>
        </w:rPr>
        <w:t xml:space="preserve">mg </w:t>
      </w:r>
      <w:r w:rsidR="002714BF">
        <w:rPr>
          <w:lang w:eastAsia="en-AU"/>
        </w:rPr>
        <w:t>twice a day (</w:t>
      </w:r>
      <w:r>
        <w:rPr>
          <w:lang w:eastAsia="en-AU"/>
        </w:rPr>
        <w:t>BD</w:t>
      </w:r>
      <w:r w:rsidR="002714BF">
        <w:rPr>
          <w:lang w:eastAsia="en-AU"/>
        </w:rPr>
        <w:t>)</w:t>
      </w:r>
      <w:r>
        <w:rPr>
          <w:lang w:eastAsia="en-AU"/>
        </w:rPr>
        <w:t xml:space="preserve"> </w:t>
      </w:r>
      <w:r w:rsidR="00D368BC">
        <w:rPr>
          <w:lang w:eastAsia="en-AU"/>
        </w:rPr>
        <w:t>IR</w:t>
      </w:r>
      <w:r>
        <w:rPr>
          <w:lang w:eastAsia="en-AU"/>
        </w:rPr>
        <w:t xml:space="preserve"> or 12</w:t>
      </w:r>
      <w:r w:rsidR="002714BF">
        <w:rPr>
          <w:lang w:eastAsia="en-AU"/>
        </w:rPr>
        <w:t xml:space="preserve"> </w:t>
      </w:r>
      <w:r>
        <w:rPr>
          <w:lang w:eastAsia="en-AU"/>
        </w:rPr>
        <w:t xml:space="preserve">mg BD </w:t>
      </w:r>
      <w:r w:rsidR="00D368BC">
        <w:rPr>
          <w:lang w:eastAsia="en-AU"/>
        </w:rPr>
        <w:t>IR</w:t>
      </w:r>
      <w:r>
        <w:rPr>
          <w:lang w:eastAsia="en-AU"/>
        </w:rPr>
        <w:t xml:space="preserve"> formulations receptively.</w:t>
      </w:r>
      <w:r w:rsidR="004E3248">
        <w:rPr>
          <w:lang w:eastAsia="en-AU"/>
        </w:rPr>
        <w:t xml:space="preserve"> </w:t>
      </w:r>
      <w:r>
        <w:rPr>
          <w:lang w:eastAsia="en-AU"/>
        </w:rPr>
        <w:t xml:space="preserve">Safety </w:t>
      </w:r>
      <w:r w:rsidR="002714BF">
        <w:rPr>
          <w:lang w:eastAsia="en-AU"/>
        </w:rPr>
        <w:t>data from this study was up to W</w:t>
      </w:r>
      <w:r>
        <w:rPr>
          <w:lang w:eastAsia="en-AU"/>
        </w:rPr>
        <w:t xml:space="preserve">eek 144 </w:t>
      </w:r>
      <w:r w:rsidR="00997969">
        <w:rPr>
          <w:lang w:eastAsia="en-AU"/>
        </w:rPr>
        <w:t xml:space="preserve">and through </w:t>
      </w:r>
      <w:r>
        <w:rPr>
          <w:lang w:eastAsia="en-AU"/>
        </w:rPr>
        <w:t>cut-off</w:t>
      </w:r>
      <w:r w:rsidR="00997969">
        <w:rPr>
          <w:lang w:eastAsia="en-AU"/>
        </w:rPr>
        <w:t xml:space="preserve"> date</w:t>
      </w:r>
      <w:r>
        <w:rPr>
          <w:lang w:eastAsia="en-AU"/>
        </w:rPr>
        <w:t>.</w:t>
      </w:r>
      <w:r w:rsidR="004E3248">
        <w:rPr>
          <w:lang w:eastAsia="en-AU"/>
        </w:rPr>
        <w:t xml:space="preserve"> </w:t>
      </w:r>
      <w:r>
        <w:rPr>
          <w:lang w:eastAsia="en-AU"/>
        </w:rPr>
        <w:t>Safety data from t</w:t>
      </w:r>
      <w:r w:rsidR="002714BF">
        <w:rPr>
          <w:lang w:eastAsia="en-AU"/>
        </w:rPr>
        <w:t>he Japanese extension study to W</w:t>
      </w:r>
      <w:r>
        <w:rPr>
          <w:lang w:eastAsia="en-AU"/>
        </w:rPr>
        <w:t xml:space="preserve">eek 60 </w:t>
      </w:r>
      <w:r w:rsidR="00997969">
        <w:rPr>
          <w:lang w:eastAsia="en-AU"/>
        </w:rPr>
        <w:t xml:space="preserve">and through cut-off date </w:t>
      </w:r>
      <w:r>
        <w:rPr>
          <w:lang w:eastAsia="en-AU"/>
        </w:rPr>
        <w:t>was also provided.</w:t>
      </w:r>
    </w:p>
    <w:p w14:paraId="32B7C912" w14:textId="77777777" w:rsidR="0055166A" w:rsidRDefault="0055166A" w:rsidP="0009021C">
      <w:pPr>
        <w:rPr>
          <w:lang w:eastAsia="ja-JP"/>
        </w:rPr>
      </w:pPr>
      <w:r>
        <w:rPr>
          <w:lang w:eastAsia="ja-JP"/>
        </w:rPr>
        <w:t xml:space="preserve">As of the data cut-off date for this submission, a total of 4443 subjects have received at least </w:t>
      </w:r>
      <w:r w:rsidR="00CC5278">
        <w:rPr>
          <w:lang w:eastAsia="ja-JP"/>
        </w:rPr>
        <w:t>one</w:t>
      </w:r>
      <w:r>
        <w:rPr>
          <w:lang w:eastAsia="ja-JP"/>
        </w:rPr>
        <w:t xml:space="preserve"> dose of upadacitinib in the Phase </w:t>
      </w:r>
      <w:r w:rsidR="002714BF">
        <w:rPr>
          <w:lang w:eastAsia="ja-JP"/>
        </w:rPr>
        <w:t>II or III</w:t>
      </w:r>
      <w:r>
        <w:rPr>
          <w:lang w:eastAsia="ja-JP"/>
        </w:rPr>
        <w:t xml:space="preserve"> studies, for a mean 432.7 days.</w:t>
      </w:r>
      <w:r w:rsidR="004E3248">
        <w:rPr>
          <w:lang w:eastAsia="ja-JP"/>
        </w:rPr>
        <w:t xml:space="preserve"> </w:t>
      </w:r>
      <w:r>
        <w:rPr>
          <w:lang w:eastAsia="ja-JP"/>
        </w:rPr>
        <w:t>For subjects with RA, enrolled in the pivotal</w:t>
      </w:r>
      <w:r w:rsidR="004E3248">
        <w:rPr>
          <w:lang w:eastAsia="ja-JP"/>
        </w:rPr>
        <w:t xml:space="preserve"> Phase III</w:t>
      </w:r>
      <w:r>
        <w:rPr>
          <w:lang w:eastAsia="ja-JP"/>
        </w:rPr>
        <w:t xml:space="preserve"> studies, a total of 2630 patients have received at least </w:t>
      </w:r>
      <w:r w:rsidR="00CC5278">
        <w:rPr>
          <w:lang w:eastAsia="ja-JP"/>
        </w:rPr>
        <w:t>one</w:t>
      </w:r>
      <w:r>
        <w:rPr>
          <w:lang w:eastAsia="ja-JP"/>
        </w:rPr>
        <w:t xml:space="preserve"> dose of upadacitinib 15 mg once daily for a mean of 368.7 days. Of these subjects, 1607 (61.1%) received upadacitinib 15 mg once daily treatment for at least 48 weeks.</w:t>
      </w:r>
    </w:p>
    <w:p w14:paraId="4FA9847D" w14:textId="131A9F43" w:rsidR="0055166A" w:rsidRDefault="0055166A" w:rsidP="0009021C">
      <w:r>
        <w:t xml:space="preserve">Compared to placebo, a numerically higher incidence of overall </w:t>
      </w:r>
      <w:r w:rsidR="000E7F12">
        <w:t>adverse events (</w:t>
      </w:r>
      <w:r>
        <w:t>AEs</w:t>
      </w:r>
      <w:r w:rsidR="000E7F12">
        <w:t>)</w:t>
      </w:r>
      <w:r>
        <w:t xml:space="preserve"> (1</w:t>
      </w:r>
      <w:r w:rsidR="00CC02CF">
        <w:t>5</w:t>
      </w:r>
      <w:r w:rsidR="00D368BC">
        <w:t> </w:t>
      </w:r>
      <w:r w:rsidR="00CC02CF">
        <w:t>mg</w:t>
      </w:r>
      <w:r>
        <w:t>: 56%</w:t>
      </w:r>
      <w:r w:rsidR="00B90009">
        <w:t xml:space="preserve"> versus </w:t>
      </w:r>
      <w:r>
        <w:t>48.4% placebo controlled period), treatment related AEs (1</w:t>
      </w:r>
      <w:r w:rsidR="00CC02CF">
        <w:t>5 mg</w:t>
      </w:r>
      <w:r>
        <w:t>: 26.6%</w:t>
      </w:r>
      <w:r w:rsidR="00B90009">
        <w:t xml:space="preserve"> versus </w:t>
      </w:r>
      <w:r>
        <w:t>20.2% placebo controlled period) and AEs resulting in permanent treatment discontinuation were observed with upadacitinib treatment.</w:t>
      </w:r>
      <w:r w:rsidR="004E3248">
        <w:t xml:space="preserve"> </w:t>
      </w:r>
      <w:r>
        <w:t xml:space="preserve">Some of the AE types (mainly, various laboratory abnormalities including increased serum </w:t>
      </w:r>
      <w:proofErr w:type="spellStart"/>
      <w:r w:rsidR="00C20F9B">
        <w:t>creatine</w:t>
      </w:r>
      <w:proofErr w:type="spellEnd"/>
      <w:r w:rsidR="00C20F9B">
        <w:t xml:space="preserve"> phosphokinase </w:t>
      </w:r>
      <w:r w:rsidR="001D1AEA">
        <w:t>(</w:t>
      </w:r>
      <w:r>
        <w:t>CPK</w:t>
      </w:r>
      <w:r w:rsidR="001D1AEA">
        <w:t>)</w:t>
      </w:r>
      <w:r>
        <w:t xml:space="preserve"> and </w:t>
      </w:r>
      <w:proofErr w:type="spellStart"/>
      <w:r w:rsidR="00E12904">
        <w:t>neutropaenia</w:t>
      </w:r>
      <w:proofErr w:type="spellEnd"/>
      <w:r>
        <w:t xml:space="preserve">) occurred </w:t>
      </w:r>
      <w:r w:rsidR="00E12904">
        <w:t>with</w:t>
      </w:r>
      <w:r>
        <w:t xml:space="preserve"> a higher incidence in the higher dose upadacitinib treatment cohort (30 mg once daily versus 15 mg once daily). Infection</w:t>
      </w:r>
      <w:r w:rsidR="00655D77">
        <w:t>s</w:t>
      </w:r>
      <w:r>
        <w:t xml:space="preserve"> </w:t>
      </w:r>
      <w:r w:rsidR="00655D77">
        <w:t>were</w:t>
      </w:r>
      <w:r>
        <w:t xml:space="preserve"> the most common AE</w:t>
      </w:r>
      <w:r w:rsidR="00655D77">
        <w:t>s</w:t>
      </w:r>
      <w:r>
        <w:t xml:space="preserve"> recognised with upadacitinib and these occurred at a higher frequency with upadacitinib treatment (both dose regimens) versus control therapy during the true placebo-control</w:t>
      </w:r>
      <w:r w:rsidR="00C20F9B">
        <w:t xml:space="preserve">led treatment periods (first 12 to </w:t>
      </w:r>
      <w:r>
        <w:t>24 weeks for the pivotal</w:t>
      </w:r>
      <w:r w:rsidR="004E3248">
        <w:t xml:space="preserve"> Phase III</w:t>
      </w:r>
      <w:r>
        <w:t xml:space="preserve"> trials), </w:t>
      </w:r>
      <w:r w:rsidR="000E7F12">
        <w:t>for example,</w:t>
      </w:r>
      <w:r>
        <w:t xml:space="preserve"> Infections and infestations: 27.2%</w:t>
      </w:r>
      <w:r w:rsidR="00655D77">
        <w:t xml:space="preserve"> 15 mg</w:t>
      </w:r>
      <w:r w:rsidR="00B90009">
        <w:t xml:space="preserve"> versus </w:t>
      </w:r>
      <w:r>
        <w:t xml:space="preserve">20.6% placebo. The majority of infections were mild in severity, self-limiting, and were predominately either </w:t>
      </w:r>
      <w:r w:rsidR="000E7F12">
        <w:t>upper respiratory tract infection (</w:t>
      </w:r>
      <w:r>
        <w:t>URTI</w:t>
      </w:r>
      <w:r w:rsidR="000E7F12">
        <w:t>)</w:t>
      </w:r>
      <w:r>
        <w:t xml:space="preserve">, urinary tract infection or </w:t>
      </w:r>
      <w:proofErr w:type="spellStart"/>
      <w:r>
        <w:t>nasopharyngitis</w:t>
      </w:r>
      <w:proofErr w:type="spellEnd"/>
      <w:r>
        <w:t>. The use of concurrent methotrexate did not appear to increase the overall risk of AEs as well as infection related AEs. Nausea (often in the absence of other gastrointestinal symptoms) was more commonly reported with upadacitinib 15 mg/day therapy versus placebo, and approximately half of all cases occurred within 4 weeks of commencing treatment.</w:t>
      </w:r>
    </w:p>
    <w:p w14:paraId="354C9E28" w14:textId="77777777" w:rsidR="0055166A" w:rsidRDefault="0055166A" w:rsidP="00776389">
      <w:pPr>
        <w:rPr>
          <w:lang w:eastAsia="ja-JP"/>
        </w:rPr>
      </w:pPr>
      <w:r>
        <w:rPr>
          <w:lang w:eastAsia="ja-JP"/>
        </w:rPr>
        <w:t>The most common AEs that occurred in ≥</w:t>
      </w:r>
      <w:r w:rsidR="00C20F9B">
        <w:rPr>
          <w:lang w:eastAsia="ja-JP"/>
        </w:rPr>
        <w:t xml:space="preserve"> </w:t>
      </w:r>
      <w:r>
        <w:rPr>
          <w:lang w:eastAsia="ja-JP"/>
        </w:rPr>
        <w:t xml:space="preserve">2% of subjects in any treatment group in the placebo controlled analysis set (Studies M13-549, M14-465 and M13-542) are </w:t>
      </w:r>
      <w:r w:rsidR="00E669A5">
        <w:rPr>
          <w:lang w:eastAsia="ja-JP"/>
        </w:rPr>
        <w:t xml:space="preserve">described </w:t>
      </w:r>
      <w:r>
        <w:rPr>
          <w:lang w:eastAsia="ja-JP"/>
        </w:rPr>
        <w:t>in the table</w:t>
      </w:r>
      <w:r w:rsidR="00E669A5">
        <w:rPr>
          <w:lang w:eastAsia="ja-JP"/>
        </w:rPr>
        <w:t xml:space="preserve"> below</w:t>
      </w:r>
      <w:r w:rsidR="00C20F9B">
        <w:rPr>
          <w:lang w:eastAsia="ja-JP"/>
        </w:rPr>
        <w:t>.</w:t>
      </w:r>
    </w:p>
    <w:p w14:paraId="575C29D7" w14:textId="2DE01F38" w:rsidR="00776389" w:rsidRDefault="00776389" w:rsidP="00776389">
      <w:pPr>
        <w:pStyle w:val="TableTitle"/>
        <w:rPr>
          <w:lang w:eastAsia="ja-JP"/>
        </w:rPr>
      </w:pPr>
      <w:r w:rsidRPr="00366C8F">
        <w:rPr>
          <w:lang w:eastAsia="ja-JP"/>
        </w:rPr>
        <w:lastRenderedPageBreak/>
        <w:t xml:space="preserve">Table </w:t>
      </w:r>
      <w:r w:rsidR="00366C8F" w:rsidRPr="00366C8F">
        <w:rPr>
          <w:lang w:eastAsia="ja-JP"/>
        </w:rPr>
        <w:t>4</w:t>
      </w:r>
      <w:r w:rsidR="00383185">
        <w:rPr>
          <w:lang w:eastAsia="ja-JP"/>
        </w:rPr>
        <w:t>: M</w:t>
      </w:r>
      <w:r w:rsidRPr="00366C8F">
        <w:rPr>
          <w:lang w:eastAsia="ja-JP"/>
        </w:rPr>
        <w:t>ost</w:t>
      </w:r>
      <w:r>
        <w:rPr>
          <w:lang w:eastAsia="ja-JP"/>
        </w:rPr>
        <w:t xml:space="preserve"> common </w:t>
      </w:r>
      <w:r w:rsidR="00D368BC">
        <w:rPr>
          <w:lang w:eastAsia="ja-JP"/>
        </w:rPr>
        <w:t xml:space="preserve">adverse events </w:t>
      </w:r>
      <w:r>
        <w:rPr>
          <w:lang w:eastAsia="ja-JP"/>
        </w:rPr>
        <w:t>that occurred in ≥</w:t>
      </w:r>
      <w:r w:rsidR="00C20F9B">
        <w:rPr>
          <w:lang w:eastAsia="ja-JP"/>
        </w:rPr>
        <w:t xml:space="preserve"> </w:t>
      </w:r>
      <w:r>
        <w:rPr>
          <w:lang w:eastAsia="ja-JP"/>
        </w:rPr>
        <w:t>2% of subjects in any treatment group in the placebo controlled analysis set (Studies M13-549, M14</w:t>
      </w:r>
      <w:r w:rsidR="00D368BC">
        <w:rPr>
          <w:lang w:eastAsia="ja-JP"/>
        </w:rPr>
        <w:noBreakHyphen/>
      </w:r>
      <w:r>
        <w:rPr>
          <w:lang w:eastAsia="ja-JP"/>
        </w:rPr>
        <w:t>465 and M13</w:t>
      </w:r>
      <w:r w:rsidR="00D368BC">
        <w:rPr>
          <w:lang w:eastAsia="ja-JP"/>
        </w:rPr>
        <w:noBreakHyphen/>
      </w:r>
      <w:r>
        <w:rPr>
          <w:lang w:eastAsia="ja-JP"/>
        </w:rPr>
        <w:t>542)</w:t>
      </w:r>
    </w:p>
    <w:p w14:paraId="05BDF79F" w14:textId="77777777" w:rsidR="0055166A" w:rsidRDefault="0055166A" w:rsidP="00776389">
      <w:r>
        <w:rPr>
          <w:noProof/>
          <w:lang w:eastAsia="en-AU"/>
        </w:rPr>
        <w:drawing>
          <wp:inline distT="0" distB="0" distL="0" distR="0" wp14:anchorId="76D4F75C" wp14:editId="6A5E41B5">
            <wp:extent cx="5106604" cy="3160800"/>
            <wp:effectExtent l="0" t="0" r="0" b="1905"/>
            <wp:docPr id="19" name="Picture 19" descr="Most common AEs that occurred in ≥2% of subjects in any treatment group in the placebo controlled analysis set (Studies M13-549, M14-465 and M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8012" cy="3161671"/>
                    </a:xfrm>
                    <a:prstGeom prst="rect">
                      <a:avLst/>
                    </a:prstGeom>
                    <a:noFill/>
                    <a:ln>
                      <a:noFill/>
                    </a:ln>
                  </pic:spPr>
                </pic:pic>
              </a:graphicData>
            </a:graphic>
          </wp:inline>
        </w:drawing>
      </w:r>
    </w:p>
    <w:p w14:paraId="63D1526C" w14:textId="46490278" w:rsidR="0055166A" w:rsidRDefault="0055166A" w:rsidP="00776389">
      <w:pPr>
        <w:rPr>
          <w:lang w:eastAsia="ja-JP"/>
        </w:rPr>
      </w:pPr>
      <w:r>
        <w:rPr>
          <w:lang w:eastAsia="ja-JP"/>
        </w:rPr>
        <w:t>The treatment related AEs most frequently associated with upadacitinib 15 mg therapy in the placebo controlled set (</w:t>
      </w:r>
      <w:r w:rsidR="00927D27">
        <w:t>≥</w:t>
      </w:r>
      <w:r w:rsidR="00E669A5" w:rsidRPr="00927D27">
        <w:rPr>
          <w:lang w:eastAsia="ja-JP"/>
        </w:rPr>
        <w:t xml:space="preserve"> </w:t>
      </w:r>
      <w:r>
        <w:rPr>
          <w:lang w:eastAsia="ja-JP"/>
        </w:rPr>
        <w:t xml:space="preserve">1% frequency) were leukopenia, </w:t>
      </w:r>
      <w:proofErr w:type="spellStart"/>
      <w:r w:rsidR="00E12904">
        <w:rPr>
          <w:lang w:eastAsia="ja-JP"/>
        </w:rPr>
        <w:t>neutropaenia</w:t>
      </w:r>
      <w:proofErr w:type="spellEnd"/>
      <w:r>
        <w:rPr>
          <w:lang w:eastAsia="ja-JP"/>
        </w:rPr>
        <w:t xml:space="preserve">, diarrhoea, nausea, bronchitis, </w:t>
      </w:r>
      <w:proofErr w:type="spellStart"/>
      <w:r>
        <w:rPr>
          <w:lang w:eastAsia="ja-JP"/>
        </w:rPr>
        <w:t>nasopharyngitis</w:t>
      </w:r>
      <w:proofErr w:type="spellEnd"/>
      <w:r>
        <w:rPr>
          <w:lang w:eastAsia="ja-JP"/>
        </w:rPr>
        <w:t xml:space="preserve">, URTI, urinary tract infection, </w:t>
      </w:r>
      <w:r w:rsidRPr="001D1AEA">
        <w:rPr>
          <w:lang w:eastAsia="ja-JP"/>
        </w:rPr>
        <w:t xml:space="preserve">raised </w:t>
      </w:r>
      <w:r w:rsidR="00E669A5" w:rsidRPr="001D1AEA">
        <w:rPr>
          <w:lang w:eastAsia="ja-JP"/>
        </w:rPr>
        <w:t>aspartate aminotransferase (</w:t>
      </w:r>
      <w:r w:rsidRPr="001D1AEA">
        <w:rPr>
          <w:lang w:eastAsia="ja-JP"/>
        </w:rPr>
        <w:t>AST</w:t>
      </w:r>
      <w:r w:rsidR="00E669A5" w:rsidRPr="001D1AEA">
        <w:rPr>
          <w:lang w:eastAsia="ja-JP"/>
        </w:rPr>
        <w:t>)</w:t>
      </w:r>
      <w:r w:rsidRPr="001D1AEA">
        <w:rPr>
          <w:lang w:eastAsia="ja-JP"/>
        </w:rPr>
        <w:t xml:space="preserve"> and </w:t>
      </w:r>
      <w:r w:rsidR="00E669A5" w:rsidRPr="001D1AEA">
        <w:rPr>
          <w:lang w:eastAsia="ja-JP"/>
        </w:rPr>
        <w:t>alanine aminotransferase (</w:t>
      </w:r>
      <w:r w:rsidRPr="001D1AEA">
        <w:rPr>
          <w:lang w:eastAsia="ja-JP"/>
        </w:rPr>
        <w:t>ALT</w:t>
      </w:r>
      <w:r w:rsidR="00E669A5" w:rsidRPr="001D1AEA">
        <w:rPr>
          <w:lang w:eastAsia="ja-JP"/>
        </w:rPr>
        <w:t>)</w:t>
      </w:r>
      <w:r w:rsidRPr="001D1AEA">
        <w:rPr>
          <w:lang w:eastAsia="ja-JP"/>
        </w:rPr>
        <w:t>, increased serum CPK level and headache.</w:t>
      </w:r>
    </w:p>
    <w:p w14:paraId="7053D3E5" w14:textId="77777777" w:rsidR="0055166A" w:rsidRDefault="0055166A" w:rsidP="00776389">
      <w:pPr>
        <w:rPr>
          <w:lang w:eastAsia="ja-JP"/>
        </w:rPr>
      </w:pPr>
      <w:r>
        <w:t xml:space="preserve">In the methotrexate controlled set up to 3 months, </w:t>
      </w:r>
      <w:r>
        <w:rPr>
          <w:lang w:eastAsia="ja-JP"/>
        </w:rPr>
        <w:t xml:space="preserve">the most common types of AEs by </w:t>
      </w:r>
      <w:r w:rsidR="00C20F9B">
        <w:rPr>
          <w:lang w:eastAsia="ja-JP"/>
        </w:rPr>
        <w:t xml:space="preserve">Preferred Term </w:t>
      </w:r>
      <w:r w:rsidR="00E669A5">
        <w:rPr>
          <w:lang w:eastAsia="ja-JP"/>
        </w:rPr>
        <w:t>(</w:t>
      </w:r>
      <w:r w:rsidRPr="00E669A5">
        <w:rPr>
          <w:lang w:eastAsia="ja-JP"/>
        </w:rPr>
        <w:t>PT</w:t>
      </w:r>
      <w:r w:rsidR="00E669A5">
        <w:rPr>
          <w:lang w:eastAsia="ja-JP"/>
        </w:rPr>
        <w:t>)</w:t>
      </w:r>
      <w:r>
        <w:rPr>
          <w:lang w:eastAsia="ja-JP"/>
        </w:rPr>
        <w:t xml:space="preserve"> (≥</w:t>
      </w:r>
      <w:r w:rsidR="00E669A5">
        <w:rPr>
          <w:lang w:eastAsia="ja-JP"/>
        </w:rPr>
        <w:t xml:space="preserve"> </w:t>
      </w:r>
      <w:r>
        <w:rPr>
          <w:lang w:eastAsia="ja-JP"/>
        </w:rPr>
        <w:t>3% of subjects) reported with upadacitinib 15 mg/day monotherapy were urinary tract infection (4.3%), URTI (3.2%) and nausea (3.2%). In the upadacitinib 30 mg monotherapy arm, the most common AEs reported were increased blood CPK levels (4.9%), urinary tract infection (4.2%), URTI (3.6%) and headache (3.2%). In the methotrexate group, the most common AEs reported were URTI (4.3%), worsening of RA (3.4%) and urinary tract infection (3.2%). The most common types of AEs were generally comparable between upadacitinib and methotrexate with the exception of increased blood CPK level.</w:t>
      </w:r>
    </w:p>
    <w:p w14:paraId="5AF4F026" w14:textId="2CC4F585" w:rsidR="0055166A" w:rsidRDefault="0055166A" w:rsidP="00776389">
      <w:pPr>
        <w:rPr>
          <w:lang w:eastAsia="ja-JP"/>
        </w:rPr>
      </w:pPr>
      <w:r>
        <w:rPr>
          <w:lang w:eastAsia="ja-JP"/>
        </w:rPr>
        <w:t>In the long-term</w:t>
      </w:r>
      <w:r w:rsidR="004E3248">
        <w:rPr>
          <w:lang w:eastAsia="ja-JP"/>
        </w:rPr>
        <w:t xml:space="preserve"> </w:t>
      </w:r>
      <w:r w:rsidR="00D368BC">
        <w:rPr>
          <w:lang w:eastAsia="ja-JP"/>
        </w:rPr>
        <w:t>a</w:t>
      </w:r>
      <w:r w:rsidR="00CC3894">
        <w:rPr>
          <w:lang w:eastAsia="ja-JP"/>
        </w:rPr>
        <w:t xml:space="preserve">ny </w:t>
      </w:r>
      <w:r w:rsidR="004E3248">
        <w:rPr>
          <w:lang w:eastAsia="ja-JP"/>
        </w:rPr>
        <w:t>Phase III</w:t>
      </w:r>
      <w:r w:rsidR="00551D69">
        <w:rPr>
          <w:lang w:eastAsia="ja-JP"/>
        </w:rPr>
        <w:t xml:space="preserve"> upadacitinib 15 mg analysis set</w:t>
      </w:r>
      <w:r>
        <w:rPr>
          <w:lang w:eastAsia="ja-JP"/>
        </w:rPr>
        <w:t>, the most common AEs considered related to study drug (≥</w:t>
      </w:r>
      <w:r w:rsidR="00E669A5">
        <w:rPr>
          <w:lang w:eastAsia="ja-JP"/>
        </w:rPr>
        <w:t xml:space="preserve"> </w:t>
      </w:r>
      <w:r>
        <w:rPr>
          <w:lang w:eastAsia="ja-JP"/>
        </w:rPr>
        <w:t xml:space="preserve">1.0 per 100 </w:t>
      </w:r>
      <w:r w:rsidR="00E669A5">
        <w:rPr>
          <w:lang w:eastAsia="ja-JP"/>
        </w:rPr>
        <w:t>patient years (</w:t>
      </w:r>
      <w:r>
        <w:rPr>
          <w:lang w:eastAsia="ja-JP"/>
        </w:rPr>
        <w:t>PY</w:t>
      </w:r>
      <w:r w:rsidR="00E669A5">
        <w:rPr>
          <w:lang w:eastAsia="ja-JP"/>
        </w:rPr>
        <w:t>)</w:t>
      </w:r>
      <w:r>
        <w:rPr>
          <w:lang w:eastAsia="ja-JP"/>
        </w:rPr>
        <w:t>) were similar to those in the placebo controlled dataset</w:t>
      </w:r>
      <w:r w:rsidR="00B374DD">
        <w:rPr>
          <w:lang w:eastAsia="ja-JP"/>
        </w:rPr>
        <w:t xml:space="preserve"> (</w:t>
      </w:r>
      <w:r w:rsidR="00D368BC">
        <w:rPr>
          <w:lang w:eastAsia="ja-JP"/>
        </w:rPr>
        <w:t>events</w:t>
      </w:r>
      <w:r w:rsidR="00B374DD">
        <w:rPr>
          <w:lang w:eastAsia="ja-JP"/>
        </w:rPr>
        <w:t>/100</w:t>
      </w:r>
      <w:r w:rsidR="009679B9">
        <w:rPr>
          <w:lang w:eastAsia="ja-JP"/>
        </w:rPr>
        <w:t xml:space="preserve"> </w:t>
      </w:r>
      <w:r w:rsidR="00B374DD">
        <w:rPr>
          <w:lang w:eastAsia="ja-JP"/>
        </w:rPr>
        <w:t>PY)</w:t>
      </w:r>
      <w:r w:rsidR="00E669A5">
        <w:rPr>
          <w:lang w:eastAsia="ja-JP"/>
        </w:rPr>
        <w:t>:</w:t>
      </w:r>
      <w:r>
        <w:rPr>
          <w:lang w:eastAsia="ja-JP"/>
        </w:rPr>
        <w:t xml:space="preserve"> anaemia (1.7), leukopenia (2.5), </w:t>
      </w:r>
      <w:proofErr w:type="spellStart"/>
      <w:r>
        <w:rPr>
          <w:lang w:eastAsia="ja-JP"/>
        </w:rPr>
        <w:t>lymphop</w:t>
      </w:r>
      <w:r w:rsidR="00CC5278">
        <w:rPr>
          <w:lang w:eastAsia="ja-JP"/>
        </w:rPr>
        <w:t>a</w:t>
      </w:r>
      <w:r>
        <w:rPr>
          <w:lang w:eastAsia="ja-JP"/>
        </w:rPr>
        <w:t>enia</w:t>
      </w:r>
      <w:proofErr w:type="spellEnd"/>
      <w:r>
        <w:rPr>
          <w:lang w:eastAsia="ja-JP"/>
        </w:rPr>
        <w:t xml:space="preserve"> (1.3), </w:t>
      </w:r>
      <w:proofErr w:type="spellStart"/>
      <w:r w:rsidR="00E12904">
        <w:rPr>
          <w:lang w:eastAsia="ja-JP"/>
        </w:rPr>
        <w:t>neutropaenia</w:t>
      </w:r>
      <w:proofErr w:type="spellEnd"/>
      <w:r>
        <w:rPr>
          <w:lang w:eastAsia="ja-JP"/>
        </w:rPr>
        <w:t xml:space="preserve"> (2.3), nausea (2.0), bronchitis (2.5), herpes zoster infection (2.8), influenza </w:t>
      </w:r>
      <w:r w:rsidR="00B374DD">
        <w:rPr>
          <w:lang w:eastAsia="ja-JP"/>
        </w:rPr>
        <w:t>(1.1)</w:t>
      </w:r>
      <w:r>
        <w:rPr>
          <w:lang w:eastAsia="ja-JP"/>
        </w:rPr>
        <w:t xml:space="preserve">, latent </w:t>
      </w:r>
      <w:r w:rsidR="00E669A5">
        <w:rPr>
          <w:lang w:eastAsia="ja-JP"/>
        </w:rPr>
        <w:t>tuberculosis (</w:t>
      </w:r>
      <w:r>
        <w:rPr>
          <w:lang w:eastAsia="ja-JP"/>
        </w:rPr>
        <w:t>TB</w:t>
      </w:r>
      <w:r w:rsidR="00E669A5">
        <w:rPr>
          <w:lang w:eastAsia="ja-JP"/>
        </w:rPr>
        <w:t>)</w:t>
      </w:r>
      <w:r>
        <w:rPr>
          <w:lang w:eastAsia="ja-JP"/>
        </w:rPr>
        <w:t xml:space="preserve"> (1.0), </w:t>
      </w:r>
      <w:proofErr w:type="spellStart"/>
      <w:r>
        <w:rPr>
          <w:lang w:eastAsia="ja-JP"/>
        </w:rPr>
        <w:t>nasopharyngitis</w:t>
      </w:r>
      <w:proofErr w:type="spellEnd"/>
      <w:r>
        <w:rPr>
          <w:lang w:eastAsia="ja-JP"/>
        </w:rPr>
        <w:t xml:space="preserve"> (3.5), oral herpes (1.1), pneumonia (1.5), sinusitis (1.6), URTI (5.3), urinary tract infection (4.4), ALT</w:t>
      </w:r>
      <w:r w:rsidR="008C12DA">
        <w:rPr>
          <w:lang w:eastAsia="ja-JP"/>
        </w:rPr>
        <w:t xml:space="preserve"> increased</w:t>
      </w:r>
      <w:r>
        <w:rPr>
          <w:lang w:eastAsia="ja-JP"/>
        </w:rPr>
        <w:t xml:space="preserve"> </w:t>
      </w:r>
      <w:r w:rsidR="00B374DD">
        <w:rPr>
          <w:lang w:eastAsia="ja-JP"/>
        </w:rPr>
        <w:t xml:space="preserve">(4.6), </w:t>
      </w:r>
      <w:r>
        <w:rPr>
          <w:lang w:eastAsia="ja-JP"/>
        </w:rPr>
        <w:t>AST</w:t>
      </w:r>
      <w:r w:rsidR="008C12DA">
        <w:rPr>
          <w:lang w:eastAsia="ja-JP"/>
        </w:rPr>
        <w:t xml:space="preserve"> increased</w:t>
      </w:r>
      <w:r>
        <w:rPr>
          <w:lang w:eastAsia="ja-JP"/>
        </w:rPr>
        <w:t xml:space="preserve"> (</w:t>
      </w:r>
      <w:r w:rsidR="00B374DD">
        <w:rPr>
          <w:lang w:eastAsia="ja-JP"/>
        </w:rPr>
        <w:t>3.4</w:t>
      </w:r>
      <w:r>
        <w:rPr>
          <w:lang w:eastAsia="ja-JP"/>
        </w:rPr>
        <w:t>), increased blood CPK level (4.6)</w:t>
      </w:r>
      <w:r w:rsidR="009679B9">
        <w:rPr>
          <w:lang w:eastAsia="ja-JP"/>
        </w:rPr>
        <w:t>,</w:t>
      </w:r>
      <w:r>
        <w:rPr>
          <w:lang w:eastAsia="ja-JP"/>
        </w:rPr>
        <w:t xml:space="preserve"> </w:t>
      </w:r>
      <w:r w:rsidRPr="008C12DA">
        <w:rPr>
          <w:lang w:eastAsia="ja-JP"/>
        </w:rPr>
        <w:t>and elevated serum lipid levels (4.4%).</w:t>
      </w:r>
    </w:p>
    <w:p w14:paraId="01ADDAAB" w14:textId="0045CCEF" w:rsidR="0055166A" w:rsidRDefault="0055166A" w:rsidP="00776389">
      <w:r>
        <w:rPr>
          <w:lang w:eastAsia="ja-JP"/>
        </w:rPr>
        <w:t>The types of AEs observed in the long-term Any RA upadacitinib exposure dataset are consistent with that recorded in the</w:t>
      </w:r>
      <w:r w:rsidR="004E3248">
        <w:rPr>
          <w:lang w:eastAsia="ja-JP"/>
        </w:rPr>
        <w:t xml:space="preserve"> Phase III</w:t>
      </w:r>
      <w:r>
        <w:rPr>
          <w:lang w:eastAsia="ja-JP"/>
        </w:rPr>
        <w:t xml:space="preserve"> upadacitinib analysis set. Infections were the most common types of AEs in the long-term treatment analysis and generally occurred at a higher frequency in the higher upadacitinib dose group.</w:t>
      </w:r>
      <w:r w:rsidR="004E3248">
        <w:rPr>
          <w:lang w:eastAsia="ja-JP"/>
        </w:rPr>
        <w:t xml:space="preserve"> </w:t>
      </w:r>
      <w:r>
        <w:rPr>
          <w:lang w:eastAsia="ja-JP"/>
        </w:rPr>
        <w:t>Herpetic infection was also more common with higher dose upadacitinib therapy</w:t>
      </w:r>
      <w:r w:rsidR="00E669A5">
        <w:rPr>
          <w:lang w:eastAsia="ja-JP"/>
        </w:rPr>
        <w:t>:</w:t>
      </w:r>
      <w:r>
        <w:rPr>
          <w:lang w:eastAsia="ja-JP"/>
        </w:rPr>
        <w:t xml:space="preserve"> zoster affected 3.</w:t>
      </w:r>
      <w:r w:rsidR="009E3921">
        <w:rPr>
          <w:lang w:eastAsia="ja-JP"/>
        </w:rPr>
        <w:t>9</w:t>
      </w:r>
      <w:r w:rsidR="00D368BC">
        <w:rPr>
          <w:lang w:eastAsia="ja-JP"/>
        </w:rPr>
        <w:t xml:space="preserve"> events</w:t>
      </w:r>
      <w:r w:rsidR="009E3921">
        <w:rPr>
          <w:lang w:eastAsia="ja-JP"/>
        </w:rPr>
        <w:t>/100</w:t>
      </w:r>
      <w:r w:rsidR="00D368BC">
        <w:rPr>
          <w:lang w:eastAsia="ja-JP"/>
        </w:rPr>
        <w:t xml:space="preserve"> </w:t>
      </w:r>
      <w:r w:rsidR="009E3921">
        <w:rPr>
          <w:lang w:eastAsia="ja-JP"/>
        </w:rPr>
        <w:t>PY</w:t>
      </w:r>
      <w:r>
        <w:rPr>
          <w:lang w:eastAsia="ja-JP"/>
        </w:rPr>
        <w:t xml:space="preserve"> of 15 mg treated subjects versus 6.</w:t>
      </w:r>
      <w:r w:rsidR="009E3921">
        <w:rPr>
          <w:lang w:eastAsia="ja-JP"/>
        </w:rPr>
        <w:t>5</w:t>
      </w:r>
      <w:r w:rsidR="00D368BC">
        <w:rPr>
          <w:lang w:eastAsia="ja-JP"/>
        </w:rPr>
        <w:t xml:space="preserve"> events</w:t>
      </w:r>
      <w:r w:rsidR="009E3921">
        <w:rPr>
          <w:lang w:eastAsia="ja-JP"/>
        </w:rPr>
        <w:t>/100</w:t>
      </w:r>
      <w:r w:rsidR="009679B9">
        <w:rPr>
          <w:lang w:eastAsia="ja-JP"/>
        </w:rPr>
        <w:t xml:space="preserve"> </w:t>
      </w:r>
      <w:r w:rsidR="009E3921">
        <w:rPr>
          <w:lang w:eastAsia="ja-JP"/>
        </w:rPr>
        <w:t>PY</w:t>
      </w:r>
      <w:r>
        <w:rPr>
          <w:lang w:eastAsia="ja-JP"/>
        </w:rPr>
        <w:t xml:space="preserve"> of 30 mg patients, and oral herpes infection affected 1.7</w:t>
      </w:r>
      <w:r w:rsidR="00D368BC">
        <w:rPr>
          <w:lang w:eastAsia="ja-JP"/>
        </w:rPr>
        <w:t xml:space="preserve"> events</w:t>
      </w:r>
      <w:r w:rsidR="009E3921">
        <w:rPr>
          <w:lang w:eastAsia="ja-JP"/>
        </w:rPr>
        <w:t>/100</w:t>
      </w:r>
      <w:r w:rsidR="00D368BC">
        <w:rPr>
          <w:lang w:eastAsia="ja-JP"/>
        </w:rPr>
        <w:t xml:space="preserve"> </w:t>
      </w:r>
      <w:r w:rsidR="009E3921">
        <w:rPr>
          <w:lang w:eastAsia="ja-JP"/>
        </w:rPr>
        <w:t>PY</w:t>
      </w:r>
      <w:r>
        <w:rPr>
          <w:lang w:eastAsia="ja-JP"/>
        </w:rPr>
        <w:t xml:space="preserve"> of 15 mg treated subjects versus 3.</w:t>
      </w:r>
      <w:r w:rsidR="009E3921">
        <w:rPr>
          <w:lang w:eastAsia="ja-JP"/>
        </w:rPr>
        <w:t>0</w:t>
      </w:r>
      <w:r w:rsidR="00D368BC">
        <w:rPr>
          <w:lang w:eastAsia="ja-JP"/>
        </w:rPr>
        <w:t> events </w:t>
      </w:r>
      <w:r w:rsidR="009E3921">
        <w:rPr>
          <w:lang w:eastAsia="ja-JP"/>
        </w:rPr>
        <w:t>/100</w:t>
      </w:r>
      <w:r w:rsidR="00D368BC">
        <w:rPr>
          <w:lang w:eastAsia="ja-JP"/>
        </w:rPr>
        <w:t> </w:t>
      </w:r>
      <w:r w:rsidR="009E3921">
        <w:rPr>
          <w:lang w:eastAsia="ja-JP"/>
        </w:rPr>
        <w:t>PY</w:t>
      </w:r>
      <w:r>
        <w:rPr>
          <w:lang w:eastAsia="ja-JP"/>
        </w:rPr>
        <w:t xml:space="preserve"> of 30 mg </w:t>
      </w:r>
      <w:r>
        <w:rPr>
          <w:lang w:eastAsia="ja-JP"/>
        </w:rPr>
        <w:lastRenderedPageBreak/>
        <w:t>patients. However, cases of latent TB were of similar incidence w</w:t>
      </w:r>
      <w:r w:rsidR="00E669A5">
        <w:rPr>
          <w:lang w:eastAsia="ja-JP"/>
        </w:rPr>
        <w:t>ith both upadacitinib regimens.</w:t>
      </w:r>
    </w:p>
    <w:p w14:paraId="05AA8514" w14:textId="2FB83B2E" w:rsidR="0055166A" w:rsidRDefault="0055166A" w:rsidP="0009021C">
      <w:r>
        <w:t xml:space="preserve">In the placebo controlled analysis set, </w:t>
      </w:r>
      <w:r w:rsidRPr="004A0AFF">
        <w:rPr>
          <w:i/>
        </w:rPr>
        <w:t>permanent discontinuation</w:t>
      </w:r>
      <w:r>
        <w:t xml:space="preserve"> from treatment due to AEs occurred at a higher frequency with upadacitinib 15 mg/day (</w:t>
      </w:r>
      <w:r w:rsidR="00D368BC">
        <w:t>exposure adjusted event rate</w:t>
      </w:r>
      <w:r w:rsidR="001D1AEA">
        <w:t xml:space="preserve"> (</w:t>
      </w:r>
      <w:r>
        <w:t>EAER</w:t>
      </w:r>
      <w:r w:rsidR="001D1AEA">
        <w:t>)</w:t>
      </w:r>
      <w:r>
        <w:t xml:space="preserve"> of 16.2 per 100 PY) versus placebo (EAER of 10.9 per 100 PY). </w:t>
      </w:r>
      <w:r w:rsidR="00BF23B5">
        <w:t xml:space="preserve">Compared to methotrexate and placebo, there was no specific type of AE for more patients ceasing upadacitinib 15 mg/day. Treatment cessation rates were higher with upadacitinib 30 mg/day versus 15 mg/day, mainly due to a higher occurrence of severe infection with the higher dose upadacitinib regimen. </w:t>
      </w:r>
      <w:r w:rsidR="00AC3365">
        <w:t>T</w:t>
      </w:r>
      <w:r>
        <w:t>he rate of treatment discontinuation with</w:t>
      </w:r>
      <w:r w:rsidR="001C1628">
        <w:t xml:space="preserve"> </w:t>
      </w:r>
      <w:r w:rsidR="00D13004">
        <w:t xml:space="preserve">long term exposure to </w:t>
      </w:r>
      <w:r>
        <w:t xml:space="preserve">upadacitinib was comparable to methotrexate (EAER of 8.9 per 100 PY) and slightly lower than that observed with </w:t>
      </w:r>
      <w:proofErr w:type="spellStart"/>
      <w:r>
        <w:t>adalimumab</w:t>
      </w:r>
      <w:proofErr w:type="spellEnd"/>
      <w:r>
        <w:t xml:space="preserve">. In the long term any RA upadacitinib set, </w:t>
      </w:r>
      <w:r>
        <w:rPr>
          <w:lang w:eastAsia="ja-JP"/>
        </w:rPr>
        <w:t>the EAERs of AEs leading to drug discontinuation were lower in the upadacitinib 6 mg twice daily/15 mg once daily cohort (8.2 per 100 PY) compared to the higher dose group of 12 mg twice daily/30 mg once daily (13.3 per 100 PY).</w:t>
      </w:r>
    </w:p>
    <w:p w14:paraId="79BFF129" w14:textId="4302241D" w:rsidR="0055166A" w:rsidRDefault="0055166A" w:rsidP="00776389">
      <w:r>
        <w:t xml:space="preserve">In the integrated safety dataset populations, there was an increased incidence of </w:t>
      </w:r>
      <w:r w:rsidRPr="00E669A5">
        <w:rPr>
          <w:i/>
        </w:rPr>
        <w:t>serious infection</w:t>
      </w:r>
      <w:r>
        <w:t xml:space="preserve"> with upadacitinib versus placebo and methotrexate. The risk of serious infection with upadacitinib 15 mg once daily compared to </w:t>
      </w:r>
      <w:proofErr w:type="spellStart"/>
      <w:r>
        <w:t>adalimumab</w:t>
      </w:r>
      <w:proofErr w:type="spellEnd"/>
      <w:r>
        <w:t xml:space="preserve"> is similar. </w:t>
      </w:r>
      <w:r>
        <w:rPr>
          <w:lang w:eastAsia="ja-JP"/>
        </w:rPr>
        <w:t>In the placebo controlled periods of the</w:t>
      </w:r>
      <w:r w:rsidR="004E3248">
        <w:rPr>
          <w:lang w:eastAsia="ja-JP"/>
        </w:rPr>
        <w:t xml:space="preserve"> Phase III</w:t>
      </w:r>
      <w:r>
        <w:rPr>
          <w:lang w:eastAsia="ja-JP"/>
        </w:rPr>
        <w:t xml:space="preserve"> studies, the proportion of subjects experiencing </w:t>
      </w:r>
      <w:r w:rsidRPr="00E669A5">
        <w:rPr>
          <w:i/>
          <w:lang w:eastAsia="ja-JP"/>
        </w:rPr>
        <w:t>opportunistic infection</w:t>
      </w:r>
      <w:r>
        <w:rPr>
          <w:lang w:eastAsia="ja-JP"/>
        </w:rPr>
        <w:t xml:space="preserve"> </w:t>
      </w:r>
      <w:r w:rsidRPr="001D1AEA">
        <w:rPr>
          <w:lang w:eastAsia="ja-JP"/>
        </w:rPr>
        <w:t>were EAERs of 1.2 per 100</w:t>
      </w:r>
      <w:r>
        <w:rPr>
          <w:lang w:eastAsia="ja-JP"/>
        </w:rPr>
        <w:t xml:space="preserve"> PY placebo and </w:t>
      </w:r>
      <w:r w:rsidR="001C1628">
        <w:rPr>
          <w:lang w:eastAsia="ja-JP"/>
        </w:rPr>
        <w:t xml:space="preserve">2.3 </w:t>
      </w:r>
      <w:r>
        <w:rPr>
          <w:lang w:eastAsia="ja-JP"/>
        </w:rPr>
        <w:t>per 100 PY upadacitinib 15 mg, but higher in subjects receiving upadacitinib 30 mg once daily (EAER of 7.1 per 100 PY). In the long-term datasets, the same trend continued, driven mainly by a higher rate of mucosal candida infections on 30 mg. In the 6</w:t>
      </w:r>
      <w:r w:rsidR="00E669A5">
        <w:rPr>
          <w:lang w:eastAsia="ja-JP"/>
        </w:rPr>
        <w:t xml:space="preserve"> </w:t>
      </w:r>
      <w:r>
        <w:rPr>
          <w:lang w:eastAsia="ja-JP"/>
        </w:rPr>
        <w:t xml:space="preserve">month and long-term controlled analysis sets, the rate of opportunistic infection was similar between methotrexate, </w:t>
      </w:r>
      <w:proofErr w:type="spellStart"/>
      <w:r>
        <w:rPr>
          <w:lang w:eastAsia="ja-JP"/>
        </w:rPr>
        <w:t>adalimumab</w:t>
      </w:r>
      <w:proofErr w:type="spellEnd"/>
      <w:r>
        <w:rPr>
          <w:lang w:eastAsia="ja-JP"/>
        </w:rPr>
        <w:t xml:space="preserve"> and upadacitinib 15 mg once daily (EAERs of </w:t>
      </w:r>
      <w:r w:rsidR="00E669A5">
        <w:rPr>
          <w:lang w:eastAsia="ja-JP"/>
        </w:rPr>
        <w:t>≥</w:t>
      </w:r>
      <w:r w:rsidR="00E669A5">
        <w:rPr>
          <w:u w:val="single"/>
          <w:lang w:eastAsia="ja-JP"/>
        </w:rPr>
        <w:t xml:space="preserve"> </w:t>
      </w:r>
      <w:r>
        <w:rPr>
          <w:lang w:eastAsia="ja-JP"/>
        </w:rPr>
        <w:t>1.8 per 100</w:t>
      </w:r>
      <w:r w:rsidR="001B164A">
        <w:rPr>
          <w:lang w:eastAsia="ja-JP"/>
        </w:rPr>
        <w:t> </w:t>
      </w:r>
      <w:r>
        <w:rPr>
          <w:lang w:eastAsia="ja-JP"/>
        </w:rPr>
        <w:t xml:space="preserve">PY). </w:t>
      </w:r>
      <w:r>
        <w:t>In the long-term safety population</w:t>
      </w:r>
      <w:r w:rsidR="00E669A5">
        <w:t>,</w:t>
      </w:r>
      <w:r w:rsidR="005E0625">
        <w:t xml:space="preserve"> </w:t>
      </w:r>
      <w:r w:rsidR="00CC5278">
        <w:t>cases of PJP</w:t>
      </w:r>
      <w:r w:rsidR="00501723">
        <w:rPr>
          <w:rStyle w:val="FootnoteReference"/>
        </w:rPr>
        <w:footnoteReference w:id="9"/>
      </w:r>
      <w:r w:rsidR="00CC5278">
        <w:t xml:space="preserve"> and subjects</w:t>
      </w:r>
      <w:r>
        <w:t xml:space="preserve"> experienced disseminated cutaneous or opht</w:t>
      </w:r>
      <w:r w:rsidR="00E669A5">
        <w:t>halmic herpes zoster infection.</w:t>
      </w:r>
    </w:p>
    <w:p w14:paraId="539398C3" w14:textId="6A7D1A3F" w:rsidR="0055166A" w:rsidRDefault="0055166A" w:rsidP="00776389">
      <w:r>
        <w:t xml:space="preserve">During extended follow-up, 5 upadacitinib treated patients recorded </w:t>
      </w:r>
      <w:r w:rsidR="00E669A5">
        <w:rPr>
          <w:i/>
        </w:rPr>
        <w:t>TB</w:t>
      </w:r>
      <w:r>
        <w:t xml:space="preserve"> infection </w:t>
      </w:r>
      <w:r w:rsidR="00BA13BF">
        <w:t>(&lt;</w:t>
      </w:r>
      <w:r w:rsidR="001B164A">
        <w:t> </w:t>
      </w:r>
      <w:r w:rsidR="00BA13BF">
        <w:t>0.1</w:t>
      </w:r>
      <w:r w:rsidR="001B164A">
        <w:t> events</w:t>
      </w:r>
      <w:r w:rsidR="00BA13BF">
        <w:t>/100</w:t>
      </w:r>
      <w:r w:rsidR="001B164A">
        <w:t xml:space="preserve"> </w:t>
      </w:r>
      <w:r w:rsidR="00BA13BF">
        <w:t xml:space="preserve">PY) </w:t>
      </w:r>
      <w:r>
        <w:t xml:space="preserve">in the upadacitinib clinical study program along with one subject treated with </w:t>
      </w:r>
      <w:proofErr w:type="spellStart"/>
      <w:r>
        <w:t>adalimumab</w:t>
      </w:r>
      <w:proofErr w:type="spellEnd"/>
      <w:r>
        <w:t xml:space="preserve">. All observed TB cases occurred in countries where TB is prevalent, and the sponsor has included a warning about the risk of TB and screening pre-treatment in the proposed PI. However, there was an increased risk of </w:t>
      </w:r>
      <w:r w:rsidRPr="00E669A5">
        <w:rPr>
          <w:i/>
        </w:rPr>
        <w:t>herpes zoster and oral herpes</w:t>
      </w:r>
      <w:r>
        <w:t xml:space="preserve"> viral infections with upadacitinib versus placebo. </w:t>
      </w:r>
      <w:r>
        <w:rPr>
          <w:lang w:eastAsia="ja-JP"/>
        </w:rPr>
        <w:t>The EAER of herpes zoster (serious and non-serious) in the upadacitinib 15 mg once daily group was 3.7 per 100 PY in the</w:t>
      </w:r>
      <w:r w:rsidR="004E3248">
        <w:rPr>
          <w:lang w:eastAsia="ja-JP"/>
        </w:rPr>
        <w:t xml:space="preserve"> Phase III</w:t>
      </w:r>
      <w:r>
        <w:rPr>
          <w:lang w:eastAsia="ja-JP"/>
        </w:rPr>
        <w:t xml:space="preserve"> studies. In the 5</w:t>
      </w:r>
      <w:r w:rsidR="004E3248">
        <w:rPr>
          <w:lang w:eastAsia="ja-JP"/>
        </w:rPr>
        <w:t xml:space="preserve"> Phase III</w:t>
      </w:r>
      <w:r>
        <w:rPr>
          <w:lang w:eastAsia="ja-JP"/>
        </w:rPr>
        <w:t xml:space="preserve"> trials, a total of 90 upadacitinib 15 mg treated subjects (3.7% of 2630) experienced 99 herpes zoster AEs.</w:t>
      </w:r>
      <w:r w:rsidR="004E3248">
        <w:rPr>
          <w:lang w:eastAsia="ja-JP"/>
        </w:rPr>
        <w:t xml:space="preserve"> </w:t>
      </w:r>
      <w:r>
        <w:t>An upadacitinib dose effect was observed for the risk of herpes zoster infection. The majority of herpetic infections were rated as mild or moderate in severity</w:t>
      </w:r>
      <w:r w:rsidR="00E669A5">
        <w:t>,</w:t>
      </w:r>
      <w:r>
        <w:t xml:space="preserve"> and responded to standard treatment.</w:t>
      </w:r>
    </w:p>
    <w:p w14:paraId="60584A87" w14:textId="4115098E" w:rsidR="0055166A" w:rsidRDefault="0055166A" w:rsidP="00776389">
      <w:r>
        <w:t xml:space="preserve">A total of 40 </w:t>
      </w:r>
      <w:r w:rsidRPr="00E669A5">
        <w:rPr>
          <w:i/>
        </w:rPr>
        <w:t>deaths</w:t>
      </w:r>
      <w:r>
        <w:t xml:space="preserve"> (33 in upadacitinib treated </w:t>
      </w:r>
      <w:r w:rsidRPr="001D1AEA">
        <w:t xml:space="preserve">subjects) </w:t>
      </w:r>
      <w:r w:rsidR="00C20F9B">
        <w:t>have been reported in the Phase </w:t>
      </w:r>
      <w:r w:rsidR="00E669A5" w:rsidRPr="001D1AEA">
        <w:t>II</w:t>
      </w:r>
      <w:r w:rsidRPr="001D1AEA">
        <w:t>/</w:t>
      </w:r>
      <w:r w:rsidR="00E669A5" w:rsidRPr="001D1AEA">
        <w:t>III</w:t>
      </w:r>
      <w:r w:rsidRPr="001D1AEA">
        <w:t xml:space="preserve"> studies as of the data cut-off date, including 11 </w:t>
      </w:r>
      <w:r w:rsidR="001D1AEA" w:rsidRPr="001D1AEA">
        <w:t>major adverse cardiovascular events (</w:t>
      </w:r>
      <w:r w:rsidRPr="001D1AEA">
        <w:t>MACE</w:t>
      </w:r>
      <w:r w:rsidR="001D1AEA" w:rsidRPr="001D1AEA">
        <w:t>)</w:t>
      </w:r>
      <w:r w:rsidRPr="001D1AEA">
        <w:t xml:space="preserve"> and 7 cancer related deaths in upadacitinib treated subjects.</w:t>
      </w:r>
      <w:r w:rsidR="004E3248" w:rsidRPr="001D1AEA">
        <w:t xml:space="preserve"> </w:t>
      </w:r>
      <w:r w:rsidRPr="001D1AEA">
        <w:t>Mortality rates and the causes of death were similar between upadacitinib</w:t>
      </w:r>
      <w:r>
        <w:t xml:space="preserve"> and placebo, or comparator therapies (methotrexate and </w:t>
      </w:r>
      <w:proofErr w:type="spellStart"/>
      <w:r>
        <w:t>adalimumab</w:t>
      </w:r>
      <w:proofErr w:type="spellEnd"/>
      <w:r>
        <w:t>) in relatively short-term treatment follow-up (up to 2 years).</w:t>
      </w:r>
    </w:p>
    <w:p w14:paraId="5F1C5A36" w14:textId="78F884D9" w:rsidR="009121C2" w:rsidRDefault="009121C2" w:rsidP="00776389">
      <w:r>
        <w:t xml:space="preserve">A total of 79 subjects across all groups recorded treatment-emergent malignancy including 71 subjects treated with upadacitinib, 3 patients receiving </w:t>
      </w:r>
      <w:proofErr w:type="spellStart"/>
      <w:r>
        <w:t>adalimumab</w:t>
      </w:r>
      <w:proofErr w:type="spellEnd"/>
      <w:r>
        <w:t>, 3</w:t>
      </w:r>
      <w:r w:rsidR="001B164A">
        <w:t> </w:t>
      </w:r>
      <w:r>
        <w:t>subjects in the methotrexate alone cohort and 2 placebo treated subjects. A total of 4</w:t>
      </w:r>
      <w:r w:rsidR="001B164A">
        <w:t> </w:t>
      </w:r>
      <w:r>
        <w:t>subjects (EAIR of &lt; 0.1 per 100 PY) developed lymphoproliferative malignancy (excluding the 2 additional cases in the Japanese Study M14-663).</w:t>
      </w:r>
    </w:p>
    <w:p w14:paraId="36300724" w14:textId="073F6832" w:rsidR="0055166A" w:rsidRDefault="0055166A" w:rsidP="00776389">
      <w:pPr>
        <w:pStyle w:val="ListBullet"/>
      </w:pPr>
      <w:r>
        <w:lastRenderedPageBreak/>
        <w:t>In the placebo controlled set, there were two deaths on placebo, none on 1</w:t>
      </w:r>
      <w:r w:rsidR="00CC02CF">
        <w:t>5 mg</w:t>
      </w:r>
      <w:r>
        <w:t xml:space="preserve"> and one on 3</w:t>
      </w:r>
      <w:r w:rsidR="00CC02CF">
        <w:t>0 mg</w:t>
      </w:r>
      <w:r>
        <w:t>.</w:t>
      </w:r>
      <w:r w:rsidR="004E3248">
        <w:t xml:space="preserve"> </w:t>
      </w:r>
      <w:r w:rsidRPr="00E669A5">
        <w:rPr>
          <w:i/>
        </w:rPr>
        <w:t>Malignancies</w:t>
      </w:r>
      <w:r>
        <w:t xml:space="preserve"> were reported in 6 subjects </w:t>
      </w:r>
      <w:r w:rsidR="00E669A5">
        <w:t>;</w:t>
      </w:r>
      <w:r>
        <w:t xml:space="preserve"> 2 subjects (0.2%) in the placebo group, 1 patient (0.1</w:t>
      </w:r>
      <w:r w:rsidRPr="0068691E">
        <w:t>%) in the upadacitinib 15 mg cohort and in 3 subjects (0.8%) in the 30 mg group.</w:t>
      </w:r>
      <w:r w:rsidR="004E3248" w:rsidRPr="0068691E">
        <w:t xml:space="preserve"> </w:t>
      </w:r>
      <w:r w:rsidRPr="0068691E">
        <w:t xml:space="preserve">For malignancies other than non-melanoma skin cancers, the short term </w:t>
      </w:r>
      <w:r w:rsidR="001D1AEA" w:rsidRPr="0068691E">
        <w:t xml:space="preserve">exposure-adjusted incidence rates </w:t>
      </w:r>
      <w:r w:rsidR="0068691E" w:rsidRPr="0068691E">
        <w:t>(</w:t>
      </w:r>
      <w:r w:rsidRPr="0068691E">
        <w:t>EAIRs</w:t>
      </w:r>
      <w:r w:rsidR="0068691E" w:rsidRPr="0068691E">
        <w:t>)</w:t>
      </w:r>
      <w:r w:rsidRPr="0068691E">
        <w:t xml:space="preserve"> were 0.4 per 100 PY, 1.2 per 100 PY for upadacitinib 15 mg and 3.5 per 100 PY for upadacitinib 30 mg.</w:t>
      </w:r>
      <w:r w:rsidR="004E3248" w:rsidRPr="0068691E">
        <w:t xml:space="preserve"> </w:t>
      </w:r>
      <w:r w:rsidRPr="0068691E">
        <w:t xml:space="preserve">The percentage of subjects experiencing </w:t>
      </w:r>
      <w:r w:rsidR="00E669A5" w:rsidRPr="0068691E">
        <w:t>serious adverse</w:t>
      </w:r>
      <w:r w:rsidR="00E669A5">
        <w:t xml:space="preserve"> events (</w:t>
      </w:r>
      <w:r w:rsidRPr="00C20F9B">
        <w:t>SAEs</w:t>
      </w:r>
      <w:r w:rsidR="00E669A5" w:rsidRPr="004E6DCC">
        <w:t>)</w:t>
      </w:r>
      <w:r>
        <w:t xml:space="preserve"> was higher in the upadacitinib 15 mg group (3.4%) compared with placebo group (1.8%).</w:t>
      </w:r>
    </w:p>
    <w:p w14:paraId="6B8ED1B5" w14:textId="3058C0DC" w:rsidR="0055166A" w:rsidRDefault="0055166A" w:rsidP="00776389">
      <w:pPr>
        <w:pStyle w:val="ListBullet"/>
      </w:pPr>
      <w:r>
        <w:t>In the methotrexate controlled set, up to 3 months, a total of 5 deaths were reported</w:t>
      </w:r>
      <w:r w:rsidR="004E6DCC">
        <w:t>;</w:t>
      </w:r>
      <w:r>
        <w:t xml:space="preserve"> 3 subjects (0.6%) in the upadacitinib 30 mg group (1 sudden death and 2 serious infection), and 1 each in the other 2 treatment arms (0.2% for upadacitinib 15 mg and the methotrexate group). The deaths in the methotrexate and upadacitinib 15 mg groups were a consequence of myocardial infarction.</w:t>
      </w:r>
      <w:r w:rsidR="004E3248">
        <w:t xml:space="preserve"> </w:t>
      </w:r>
      <w:r>
        <w:t>A total of 5 malignancies were reported</w:t>
      </w:r>
      <w:r w:rsidR="004E6DCC">
        <w:t>;</w:t>
      </w:r>
      <w:r>
        <w:t xml:space="preserve"> 3 subjects (0.6%) in the upadacitinib 15 mg group, none in the upadacitinib 30 mg arm and 2 subjects (0.4%) in the methotrexate group.</w:t>
      </w:r>
      <w:r w:rsidR="004E3248">
        <w:t xml:space="preserve"> </w:t>
      </w:r>
      <w:r>
        <w:t>The percentage of subjects with SAEs was comparable among the groups</w:t>
      </w:r>
      <w:r w:rsidR="004E6DCC">
        <w:t>;</w:t>
      </w:r>
      <w:r>
        <w:t xml:space="preserve"> 3.0% in the upadacitinib 15 mg group, 3.6% in the upadacitinib 30 mg arm and 2.3% in the methotrexate group.</w:t>
      </w:r>
    </w:p>
    <w:p w14:paraId="61100097" w14:textId="5B5A55FA" w:rsidR="0055166A" w:rsidRDefault="0055166A" w:rsidP="00776389">
      <w:pPr>
        <w:pStyle w:val="ListBullet"/>
      </w:pPr>
      <w:r>
        <w:t xml:space="preserve">In the </w:t>
      </w:r>
      <w:r w:rsidR="00CC5278">
        <w:t>long-term</w:t>
      </w:r>
      <w:r w:rsidR="004E6DCC">
        <w:t xml:space="preserve"> A</w:t>
      </w:r>
      <w:r>
        <w:t xml:space="preserve">ny RA upadacitinib set, the EAIR of treatment emergent death was 0.4 per 100 PY in the upadacitinib 15 mg once daily group and 0.8 per 100 PY in the upadacitinib 30 mg once daily cohort. There were also 4 deaths in patients treated with </w:t>
      </w:r>
      <w:proofErr w:type="spellStart"/>
      <w:r>
        <w:t>adalimumab</w:t>
      </w:r>
      <w:proofErr w:type="spellEnd"/>
      <w:r>
        <w:t xml:space="preserve"> (3 were treatment emergent), 2 treatment emergent deaths in the placebo cohort and 1 treatment emergent mortality in a methotrexate treated subject.</w:t>
      </w:r>
      <w:r w:rsidR="004E3248">
        <w:t xml:space="preserve"> </w:t>
      </w:r>
      <w:r>
        <w:t xml:space="preserve">Of the 25 treatment emergent deaths reported in upadacitinib treated subjects across the global Phase </w:t>
      </w:r>
      <w:r w:rsidR="004E6DCC">
        <w:t>II</w:t>
      </w:r>
      <w:r>
        <w:t>/</w:t>
      </w:r>
      <w:r w:rsidR="004E6DCC">
        <w:t>III</w:t>
      </w:r>
      <w:r>
        <w:t xml:space="preserve"> studies, 11 (44%) were MACE (as per central adjudication). All fatal MACE episodes occurred in subjects with underlying or known pre-existing atherosclerotic disease risk factors.</w:t>
      </w:r>
      <w:r w:rsidR="004E3248">
        <w:t xml:space="preserve"> </w:t>
      </w:r>
      <w:r>
        <w:t>The EAERs of SAEs were 14.4 per 100 PY (14.4%) in the upadacitinib 6 mg twice daily/15 mg once daily cohort, and higher at 21.0 per 100 PY in the upadacitinib 12 mg twice daily/30 mg once daily group. The types of SAEs observed in the long-term Any RA upadacitinib exposure dataset are consistent with that recorded in the</w:t>
      </w:r>
      <w:r w:rsidR="004E3248">
        <w:t xml:space="preserve"> Phase III</w:t>
      </w:r>
      <w:r>
        <w:t xml:space="preserve"> upadacitinib analysis set.</w:t>
      </w:r>
    </w:p>
    <w:p w14:paraId="3DF39A2A" w14:textId="77777777" w:rsidR="0055166A" w:rsidRDefault="0055166A" w:rsidP="00776389">
      <w:r>
        <w:rPr>
          <w:lang w:eastAsia="ja-JP"/>
        </w:rPr>
        <w:t>In the combined</w:t>
      </w:r>
      <w:r w:rsidR="004E3248">
        <w:rPr>
          <w:lang w:eastAsia="ja-JP"/>
        </w:rPr>
        <w:t xml:space="preserve"> Phase III</w:t>
      </w:r>
      <w:r>
        <w:rPr>
          <w:lang w:eastAsia="ja-JP"/>
        </w:rPr>
        <w:t xml:space="preserve"> Study dataset, the EAIR of </w:t>
      </w:r>
      <w:r w:rsidRPr="004E6DCC">
        <w:rPr>
          <w:i/>
          <w:lang w:eastAsia="ja-JP"/>
        </w:rPr>
        <w:t>MACE</w:t>
      </w:r>
      <w:r>
        <w:rPr>
          <w:lang w:eastAsia="ja-JP"/>
        </w:rPr>
        <w:t xml:space="preserve"> for upadacitinib 15 mg once daily therapy was 0.6 per 100 PY.</w:t>
      </w:r>
      <w:r w:rsidR="004E3248">
        <w:rPr>
          <w:lang w:eastAsia="ja-JP"/>
        </w:rPr>
        <w:t xml:space="preserve"> </w:t>
      </w:r>
      <w:r>
        <w:t xml:space="preserve">The </w:t>
      </w:r>
      <w:r w:rsidR="004E6DCC">
        <w:t xml:space="preserve">clinical </w:t>
      </w:r>
      <w:r>
        <w:t>evaluator commented that the rate of MACE in the RA dataset is within expectations for the treatment population and the types of MACE observed did not identify any specific safety signals with upadacitinib.</w:t>
      </w:r>
      <w:r w:rsidR="004E3248">
        <w:t xml:space="preserve"> </w:t>
      </w:r>
      <w:r>
        <w:rPr>
          <w:lang w:eastAsia="ja-JP"/>
        </w:rPr>
        <w:t xml:space="preserve">The long-term EAIR of MACE in the upadacitinib 15 mg group was similar to the </w:t>
      </w:r>
      <w:proofErr w:type="spellStart"/>
      <w:r>
        <w:rPr>
          <w:lang w:eastAsia="ja-JP"/>
        </w:rPr>
        <w:t>adalimumab</w:t>
      </w:r>
      <w:proofErr w:type="spellEnd"/>
      <w:r>
        <w:rPr>
          <w:lang w:eastAsia="ja-JP"/>
        </w:rPr>
        <w:t xml:space="preserve"> and methotrexate groups.</w:t>
      </w:r>
    </w:p>
    <w:p w14:paraId="456E1A05" w14:textId="77777777" w:rsidR="0055166A" w:rsidRDefault="0055166A" w:rsidP="00776389">
      <w:pPr>
        <w:rPr>
          <w:lang w:eastAsia="ja-JP"/>
        </w:rPr>
      </w:pPr>
      <w:r>
        <w:rPr>
          <w:lang w:eastAsia="ja-JP"/>
        </w:rPr>
        <w:t>Data pooled across the global</w:t>
      </w:r>
      <w:r w:rsidR="004E3248">
        <w:rPr>
          <w:lang w:eastAsia="ja-JP"/>
        </w:rPr>
        <w:t xml:space="preserve"> Phase III</w:t>
      </w:r>
      <w:r>
        <w:rPr>
          <w:lang w:eastAsia="ja-JP"/>
        </w:rPr>
        <w:t xml:space="preserve"> studies, showed that upadacitinib therapy did not appear to be associated with an increased EAIR for </w:t>
      </w:r>
      <w:r w:rsidRPr="004E6DCC">
        <w:rPr>
          <w:i/>
          <w:lang w:eastAsia="ja-JP"/>
        </w:rPr>
        <w:t>venous thromboembolism</w:t>
      </w:r>
      <w:r>
        <w:rPr>
          <w:b/>
          <w:lang w:eastAsia="ja-JP"/>
        </w:rPr>
        <w:t xml:space="preserve"> </w:t>
      </w:r>
      <w:r>
        <w:rPr>
          <w:lang w:eastAsia="ja-JP"/>
        </w:rPr>
        <w:t>compared with comparators</w:t>
      </w:r>
      <w:r>
        <w:rPr>
          <w:b/>
          <w:lang w:eastAsia="ja-JP"/>
        </w:rPr>
        <w:t xml:space="preserve"> </w:t>
      </w:r>
      <w:r>
        <w:rPr>
          <w:lang w:eastAsia="ja-JP"/>
        </w:rPr>
        <w:t>long term but there is some variability short term</w:t>
      </w:r>
      <w:r w:rsidR="004E6DCC">
        <w:rPr>
          <w:lang w:eastAsia="ja-JP"/>
        </w:rPr>
        <w:t xml:space="preserve"> (see Table </w:t>
      </w:r>
      <w:r w:rsidR="00056524">
        <w:rPr>
          <w:lang w:eastAsia="ja-JP"/>
        </w:rPr>
        <w:t xml:space="preserve">5 </w:t>
      </w:r>
      <w:r w:rsidR="004E6DCC">
        <w:rPr>
          <w:lang w:eastAsia="ja-JP"/>
        </w:rPr>
        <w:t>below).</w:t>
      </w:r>
    </w:p>
    <w:p w14:paraId="2BE906B6" w14:textId="59BF7113" w:rsidR="0055166A" w:rsidRDefault="00776389" w:rsidP="00776389">
      <w:pPr>
        <w:pStyle w:val="TableTitle"/>
        <w:rPr>
          <w:lang w:eastAsia="ja-JP"/>
        </w:rPr>
      </w:pPr>
      <w:r w:rsidRPr="00366C8F">
        <w:rPr>
          <w:lang w:eastAsia="ja-JP"/>
        </w:rPr>
        <w:t xml:space="preserve">Table </w:t>
      </w:r>
      <w:r w:rsidR="00366C8F" w:rsidRPr="00366C8F">
        <w:rPr>
          <w:lang w:eastAsia="ja-JP"/>
        </w:rPr>
        <w:t>5</w:t>
      </w:r>
      <w:r w:rsidRPr="00366C8F">
        <w:rPr>
          <w:lang w:eastAsia="ja-JP"/>
        </w:rPr>
        <w:t xml:space="preserve">: </w:t>
      </w:r>
      <w:r w:rsidR="0055166A" w:rsidRPr="00366C8F">
        <w:rPr>
          <w:lang w:eastAsia="ja-JP"/>
        </w:rPr>
        <w:t>Adjudicated</w:t>
      </w:r>
      <w:r w:rsidR="0055166A">
        <w:rPr>
          <w:lang w:eastAsia="ja-JP"/>
        </w:rPr>
        <w:t xml:space="preserve"> VTE with </w:t>
      </w:r>
      <w:r w:rsidR="001B164A">
        <w:rPr>
          <w:lang w:eastAsia="ja-JP"/>
        </w:rPr>
        <w:t>s</w:t>
      </w:r>
      <w:r w:rsidR="0055166A">
        <w:rPr>
          <w:lang w:eastAsia="ja-JP"/>
        </w:rPr>
        <w:t xml:space="preserve">hort </w:t>
      </w:r>
      <w:r w:rsidR="001B164A">
        <w:rPr>
          <w:lang w:eastAsia="ja-JP"/>
        </w:rPr>
        <w:t>t</w:t>
      </w:r>
      <w:r w:rsidR="0055166A">
        <w:rPr>
          <w:lang w:eastAsia="ja-JP"/>
        </w:rPr>
        <w:t xml:space="preserve">erm </w:t>
      </w:r>
      <w:r w:rsidR="001B164A">
        <w:rPr>
          <w:lang w:eastAsia="ja-JP"/>
        </w:rPr>
        <w:t>e</w:t>
      </w:r>
      <w:r w:rsidR="0055166A">
        <w:rPr>
          <w:lang w:eastAsia="ja-JP"/>
        </w:rPr>
        <w:t>xposure in</w:t>
      </w:r>
      <w:r w:rsidR="004E3248">
        <w:rPr>
          <w:lang w:eastAsia="ja-JP"/>
        </w:rPr>
        <w:t xml:space="preserve"> Phase III</w:t>
      </w:r>
      <w:r w:rsidR="0055166A">
        <w:rPr>
          <w:lang w:eastAsia="ja-JP"/>
        </w:rPr>
        <w:t xml:space="preserve"> </w:t>
      </w:r>
      <w:r w:rsidR="001B164A">
        <w:rPr>
          <w:lang w:eastAsia="ja-JP"/>
        </w:rPr>
        <w:t>s</w:t>
      </w:r>
      <w:r w:rsidR="0055166A">
        <w:rPr>
          <w:lang w:eastAsia="ja-JP"/>
        </w:rPr>
        <w:t xml:space="preserve">tudy </w:t>
      </w:r>
      <w:r w:rsidR="001B164A">
        <w:rPr>
          <w:lang w:eastAsia="ja-JP"/>
        </w:rPr>
        <w:t>d</w:t>
      </w:r>
      <w:r w:rsidR="0055166A">
        <w:rPr>
          <w:lang w:eastAsia="ja-JP"/>
        </w:rPr>
        <w:t>ataset</w:t>
      </w:r>
    </w:p>
    <w:p w14:paraId="25B3463E" w14:textId="77777777" w:rsidR="0055166A" w:rsidRDefault="0055166A" w:rsidP="0055166A">
      <w:pPr>
        <w:autoSpaceDE w:val="0"/>
        <w:autoSpaceDN w:val="0"/>
        <w:adjustRightInd w:val="0"/>
        <w:spacing w:before="0" w:after="0" w:line="240" w:lineRule="auto"/>
        <w:rPr>
          <w:lang w:eastAsia="ja-JP"/>
        </w:rPr>
      </w:pPr>
      <w:r>
        <w:rPr>
          <w:noProof/>
          <w:lang w:eastAsia="en-AU"/>
        </w:rPr>
        <w:drawing>
          <wp:inline distT="0" distB="0" distL="0" distR="0" wp14:anchorId="3F26F5C9" wp14:editId="023071AD">
            <wp:extent cx="5306400" cy="1467081"/>
            <wp:effectExtent l="0" t="0" r="8890" b="0"/>
            <wp:docPr id="18" name="Picture 18" descr="Adjudicated VTE with Short Term Exposure in Phase III Study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7863" cy="1467485"/>
                    </a:xfrm>
                    <a:prstGeom prst="rect">
                      <a:avLst/>
                    </a:prstGeom>
                    <a:noFill/>
                    <a:ln>
                      <a:noFill/>
                    </a:ln>
                  </pic:spPr>
                </pic:pic>
              </a:graphicData>
            </a:graphic>
          </wp:inline>
        </w:drawing>
      </w:r>
    </w:p>
    <w:p w14:paraId="699A6EFE" w14:textId="1D952CCF" w:rsidR="0055166A" w:rsidRDefault="00776389" w:rsidP="00776389">
      <w:pPr>
        <w:pStyle w:val="TableTitle"/>
        <w:rPr>
          <w:lang w:eastAsia="ja-JP"/>
        </w:rPr>
      </w:pPr>
      <w:r w:rsidRPr="00366C8F">
        <w:rPr>
          <w:lang w:eastAsia="ja-JP"/>
        </w:rPr>
        <w:lastRenderedPageBreak/>
        <w:t xml:space="preserve">Table </w:t>
      </w:r>
      <w:r w:rsidR="00366C8F" w:rsidRPr="00366C8F">
        <w:rPr>
          <w:lang w:eastAsia="ja-JP"/>
        </w:rPr>
        <w:t>6</w:t>
      </w:r>
      <w:r w:rsidR="00366C8F">
        <w:rPr>
          <w:lang w:eastAsia="ja-JP"/>
        </w:rPr>
        <w:t xml:space="preserve">: </w:t>
      </w:r>
      <w:r w:rsidR="0055166A">
        <w:rPr>
          <w:lang w:eastAsia="ja-JP"/>
        </w:rPr>
        <w:t xml:space="preserve">Adjudicated VTE with </w:t>
      </w:r>
      <w:r w:rsidR="001B164A">
        <w:rPr>
          <w:lang w:eastAsia="ja-JP"/>
        </w:rPr>
        <w:t>l</w:t>
      </w:r>
      <w:r w:rsidR="0055166A">
        <w:rPr>
          <w:lang w:eastAsia="ja-JP"/>
        </w:rPr>
        <w:t xml:space="preserve">ong </w:t>
      </w:r>
      <w:r w:rsidR="001B164A">
        <w:rPr>
          <w:lang w:eastAsia="ja-JP"/>
        </w:rPr>
        <w:t>t</w:t>
      </w:r>
      <w:r w:rsidR="0055166A">
        <w:rPr>
          <w:lang w:eastAsia="ja-JP"/>
        </w:rPr>
        <w:t xml:space="preserve">erm </w:t>
      </w:r>
      <w:r w:rsidR="001B164A">
        <w:rPr>
          <w:lang w:eastAsia="ja-JP"/>
        </w:rPr>
        <w:t>e</w:t>
      </w:r>
      <w:r w:rsidR="0055166A">
        <w:rPr>
          <w:lang w:eastAsia="ja-JP"/>
        </w:rPr>
        <w:t>xposure in</w:t>
      </w:r>
      <w:r w:rsidR="004E3248">
        <w:rPr>
          <w:lang w:eastAsia="ja-JP"/>
        </w:rPr>
        <w:t xml:space="preserve"> Phase III</w:t>
      </w:r>
      <w:r w:rsidR="00366C8F">
        <w:rPr>
          <w:lang w:eastAsia="ja-JP"/>
        </w:rPr>
        <w:t xml:space="preserve"> </w:t>
      </w:r>
      <w:r w:rsidR="001B164A">
        <w:rPr>
          <w:lang w:eastAsia="ja-JP"/>
        </w:rPr>
        <w:t>s</w:t>
      </w:r>
      <w:r w:rsidR="00366C8F">
        <w:rPr>
          <w:lang w:eastAsia="ja-JP"/>
        </w:rPr>
        <w:t xml:space="preserve">tudy </w:t>
      </w:r>
      <w:r w:rsidR="001B164A">
        <w:rPr>
          <w:lang w:eastAsia="ja-JP"/>
        </w:rPr>
        <w:t>d</w:t>
      </w:r>
      <w:r w:rsidR="00366C8F">
        <w:rPr>
          <w:lang w:eastAsia="ja-JP"/>
        </w:rPr>
        <w:t>ataset</w:t>
      </w:r>
    </w:p>
    <w:p w14:paraId="64A1087F" w14:textId="55976E71" w:rsidR="0055166A" w:rsidRDefault="0055166A" w:rsidP="00C20F9B">
      <w:r>
        <w:rPr>
          <w:noProof/>
          <w:lang w:eastAsia="en-AU"/>
        </w:rPr>
        <w:drawing>
          <wp:inline distT="0" distB="0" distL="0" distR="0" wp14:anchorId="7CDDAC6E" wp14:editId="2E360371">
            <wp:extent cx="5306400" cy="1149668"/>
            <wp:effectExtent l="0" t="0" r="0" b="0"/>
            <wp:docPr id="17" name="Picture 17" descr="Adjudicated VTE with Long Term Exposure in Phase III Study Data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7863" cy="1149985"/>
                    </a:xfrm>
                    <a:prstGeom prst="rect">
                      <a:avLst/>
                    </a:prstGeom>
                    <a:noFill/>
                    <a:ln>
                      <a:noFill/>
                    </a:ln>
                  </pic:spPr>
                </pic:pic>
              </a:graphicData>
            </a:graphic>
          </wp:inline>
        </w:drawing>
      </w:r>
      <w:r>
        <w:rPr>
          <w:lang w:eastAsia="ja-JP"/>
        </w:rPr>
        <w:t xml:space="preserve">In the any RA upadacitinib analysis set, 9 subjects (0.2 per 100 PY) experienced </w:t>
      </w:r>
      <w:r w:rsidRPr="004E6DCC">
        <w:rPr>
          <w:i/>
          <w:lang w:eastAsia="ja-JP"/>
        </w:rPr>
        <w:t>gastrointestinal perforation</w:t>
      </w:r>
      <w:r>
        <w:rPr>
          <w:lang w:eastAsia="ja-JP"/>
        </w:rPr>
        <w:t xml:space="preserve"> including 5 subjects continuou</w:t>
      </w:r>
      <w:r w:rsidR="00C20F9B">
        <w:rPr>
          <w:lang w:eastAsia="ja-JP"/>
        </w:rPr>
        <w:t>sly treated with upadacitinib 6 </w:t>
      </w:r>
      <w:r>
        <w:rPr>
          <w:lang w:eastAsia="ja-JP"/>
        </w:rPr>
        <w:t>mg twice daily/15 mg once daily and 4 subjects continu</w:t>
      </w:r>
      <w:r w:rsidR="00C20F9B">
        <w:rPr>
          <w:lang w:eastAsia="ja-JP"/>
        </w:rPr>
        <w:t>ously treated with upadacitinib </w:t>
      </w:r>
      <w:r>
        <w:rPr>
          <w:lang w:eastAsia="ja-JP"/>
        </w:rPr>
        <w:t>12 m</w:t>
      </w:r>
      <w:r w:rsidR="005E0625">
        <w:rPr>
          <w:lang w:eastAsia="ja-JP"/>
        </w:rPr>
        <w:t>g twice daily/30 mg once daily.</w:t>
      </w:r>
      <w:r w:rsidR="006E71D6">
        <w:rPr>
          <w:rStyle w:val="FootnoteReference"/>
          <w:lang w:eastAsia="ja-JP"/>
        </w:rPr>
        <w:footnoteReference w:id="10"/>
      </w:r>
      <w:r>
        <w:rPr>
          <w:lang w:eastAsia="ja-JP"/>
        </w:rPr>
        <w:t xml:space="preserve">There were no gastrointestinal perforation </w:t>
      </w:r>
      <w:r w:rsidR="005E5D41">
        <w:rPr>
          <w:lang w:eastAsia="ja-JP"/>
        </w:rPr>
        <w:t xml:space="preserve">AEs </w:t>
      </w:r>
      <w:r>
        <w:rPr>
          <w:lang w:eastAsia="ja-JP"/>
        </w:rPr>
        <w:t xml:space="preserve">identified in subjects who received placebo, methotrexate or </w:t>
      </w:r>
      <w:proofErr w:type="spellStart"/>
      <w:r>
        <w:rPr>
          <w:lang w:eastAsia="ja-JP"/>
        </w:rPr>
        <w:t>adalimumab</w:t>
      </w:r>
      <w:proofErr w:type="spellEnd"/>
      <w:r>
        <w:rPr>
          <w:lang w:eastAsia="ja-JP"/>
        </w:rPr>
        <w:t>.</w:t>
      </w:r>
    </w:p>
    <w:p w14:paraId="10CFE481" w14:textId="05102815" w:rsidR="0055166A" w:rsidRDefault="0055166A" w:rsidP="00C20F9B">
      <w:pPr>
        <w:rPr>
          <w:lang w:eastAsia="ja-JP"/>
        </w:rPr>
      </w:pPr>
      <w:r>
        <w:rPr>
          <w:lang w:eastAsia="ja-JP"/>
        </w:rPr>
        <w:t xml:space="preserve">In the placebo controlled analysis set, the incidence of </w:t>
      </w:r>
      <w:r w:rsidRPr="004E6DCC">
        <w:rPr>
          <w:i/>
          <w:lang w:eastAsia="ja-JP"/>
        </w:rPr>
        <w:t>hepatic</w:t>
      </w:r>
      <w:r>
        <w:rPr>
          <w:lang w:eastAsia="ja-JP"/>
        </w:rPr>
        <w:t xml:space="preserve"> AEs (two thirds of which were asymptomatic serum transaminase elevations) was comparable between the upadacitinib 15 mg group (4.4%) and placebo arm (3.6%). Some patients developed markedly abnormal liver function test results (</w:t>
      </w:r>
      <w:r w:rsidR="005E5D41" w:rsidRPr="005E5D41">
        <w:rPr>
          <w:lang w:eastAsia="ja-JP"/>
        </w:rPr>
        <w:t>≥</w:t>
      </w:r>
      <w:r w:rsidR="00C20F9B">
        <w:rPr>
          <w:lang w:eastAsia="ja-JP"/>
        </w:rPr>
        <w:t xml:space="preserve"> </w:t>
      </w:r>
      <w:r>
        <w:rPr>
          <w:lang w:eastAsia="ja-JP"/>
        </w:rPr>
        <w:t xml:space="preserve">5 x </w:t>
      </w:r>
      <w:r w:rsidR="004E6DCC">
        <w:rPr>
          <w:lang w:eastAsia="ja-JP"/>
        </w:rPr>
        <w:t>upper limit of normal (</w:t>
      </w:r>
      <w:r>
        <w:rPr>
          <w:lang w:eastAsia="ja-JP"/>
        </w:rPr>
        <w:t>ULN</w:t>
      </w:r>
      <w:r w:rsidR="004E6DCC">
        <w:rPr>
          <w:lang w:eastAsia="ja-JP"/>
        </w:rPr>
        <w:t>)</w:t>
      </w:r>
      <w:r>
        <w:rPr>
          <w:lang w:eastAsia="ja-JP"/>
        </w:rPr>
        <w:t xml:space="preserve"> in AST/ALT and/or serum bilirubin </w:t>
      </w:r>
      <w:r w:rsidR="00927D27">
        <w:t>≥</w:t>
      </w:r>
      <w:r w:rsidR="00927D27">
        <w:t xml:space="preserve"> </w:t>
      </w:r>
      <w:r>
        <w:rPr>
          <w:lang w:eastAsia="ja-JP"/>
        </w:rPr>
        <w:t xml:space="preserve">2 x ULN), but none of these events were consistent with upadacitinib induced liver injury. As expected, hepatic AEs were slightly more frequent in the methotrexate treatment population versus upadacitinib 15 mg once daily, but less frequent in those receiving </w:t>
      </w:r>
      <w:proofErr w:type="spellStart"/>
      <w:r>
        <w:rPr>
          <w:lang w:eastAsia="ja-JP"/>
        </w:rPr>
        <w:t>adalimumab</w:t>
      </w:r>
      <w:proofErr w:type="spellEnd"/>
      <w:r>
        <w:rPr>
          <w:lang w:eastAsia="ja-JP"/>
        </w:rPr>
        <w:t>.</w:t>
      </w:r>
      <w:r w:rsidR="004E3248">
        <w:rPr>
          <w:lang w:eastAsia="ja-JP"/>
        </w:rPr>
        <w:t xml:space="preserve"> </w:t>
      </w:r>
      <w:r w:rsidR="004E6DCC">
        <w:rPr>
          <w:lang w:eastAsia="ja-JP"/>
        </w:rPr>
        <w:t xml:space="preserve">In the </w:t>
      </w:r>
      <w:r w:rsidR="00E12904">
        <w:rPr>
          <w:lang w:eastAsia="ja-JP"/>
        </w:rPr>
        <w:t>long-term</w:t>
      </w:r>
      <w:r w:rsidR="004E6DCC">
        <w:rPr>
          <w:lang w:eastAsia="ja-JP"/>
        </w:rPr>
        <w:t xml:space="preserve"> A</w:t>
      </w:r>
      <w:r>
        <w:rPr>
          <w:lang w:eastAsia="ja-JP"/>
        </w:rPr>
        <w:t>ny RA upadacitinib set, 1.8% were identified as experiencing ALT (50 subjects) or AST elevations (31 subjects) ≥</w:t>
      </w:r>
      <w:r w:rsidR="001B164A">
        <w:rPr>
          <w:lang w:eastAsia="ja-JP"/>
        </w:rPr>
        <w:t> </w:t>
      </w:r>
      <w:r>
        <w:rPr>
          <w:lang w:eastAsia="ja-JP"/>
        </w:rPr>
        <w:t>5</w:t>
      </w:r>
      <w:r w:rsidR="001B164A">
        <w:rPr>
          <w:lang w:eastAsia="ja-JP"/>
        </w:rPr>
        <w:t> </w:t>
      </w:r>
      <w:r>
        <w:rPr>
          <w:lang w:eastAsia="ja-JP"/>
        </w:rPr>
        <w:t>× ULN or total bilirubin elevations ≥ 2 × ULN (20 subjects) during treatment with upadacitinib. There did not appear to be a dose-relationship or discernible pattern in time to peak transaminase values. Most transaminase elevations resolved or were resolving regardless of whether upadacitinib was continued. Of the 78 subjects, most were concomitantly taking methotrexate, NSAID</w:t>
      </w:r>
      <w:r w:rsidR="001B164A">
        <w:rPr>
          <w:lang w:eastAsia="ja-JP"/>
        </w:rPr>
        <w:t>s</w:t>
      </w:r>
      <w:r>
        <w:rPr>
          <w:lang w:eastAsia="ja-JP"/>
        </w:rPr>
        <w:t xml:space="preserve"> or isoniazid at </w:t>
      </w:r>
      <w:r w:rsidRPr="0068691E">
        <w:rPr>
          <w:lang w:eastAsia="ja-JP"/>
        </w:rPr>
        <w:t xml:space="preserve">the time of the transaminase or bilirubin elevation. Three cases met biochemical criteria for </w:t>
      </w:r>
      <w:proofErr w:type="spellStart"/>
      <w:r w:rsidRPr="0068691E">
        <w:rPr>
          <w:lang w:eastAsia="ja-JP"/>
        </w:rPr>
        <w:t>Hy's</w:t>
      </w:r>
      <w:proofErr w:type="spellEnd"/>
      <w:r w:rsidRPr="0068691E">
        <w:rPr>
          <w:lang w:eastAsia="ja-JP"/>
        </w:rPr>
        <w:t xml:space="preserve"> Law</w:t>
      </w:r>
      <w:r w:rsidR="00093889">
        <w:rPr>
          <w:lang w:eastAsia="ja-JP"/>
        </w:rPr>
        <w:t>,</w:t>
      </w:r>
      <w:r w:rsidR="0068691E" w:rsidRPr="0068691E">
        <w:rPr>
          <w:rStyle w:val="FootnoteReference"/>
          <w:lang w:eastAsia="ja-JP"/>
        </w:rPr>
        <w:footnoteReference w:id="11"/>
      </w:r>
      <w:r w:rsidRPr="0068691E">
        <w:rPr>
          <w:lang w:eastAsia="ja-JP"/>
        </w:rPr>
        <w:t xml:space="preserve"> but the </w:t>
      </w:r>
      <w:r w:rsidR="004E6DCC" w:rsidRPr="0068691E">
        <w:rPr>
          <w:lang w:eastAsia="ja-JP"/>
        </w:rPr>
        <w:t xml:space="preserve">clinical </w:t>
      </w:r>
      <w:r w:rsidRPr="0068691E">
        <w:rPr>
          <w:lang w:eastAsia="ja-JP"/>
        </w:rPr>
        <w:t>evaluator considered none were consistent with probable drug induced</w:t>
      </w:r>
      <w:r>
        <w:rPr>
          <w:lang w:eastAsia="ja-JP"/>
        </w:rPr>
        <w:t xml:space="preserve"> liver injury attributable to upadacitinib.</w:t>
      </w:r>
    </w:p>
    <w:p w14:paraId="127DDFB7" w14:textId="77777777" w:rsidR="0055166A" w:rsidRDefault="0055166A" w:rsidP="00776389">
      <w:pPr>
        <w:rPr>
          <w:lang w:eastAsia="ja-JP"/>
        </w:rPr>
      </w:pPr>
      <w:r>
        <w:t xml:space="preserve">Small mean increases in serum </w:t>
      </w:r>
      <w:r w:rsidRPr="004E6DCC">
        <w:rPr>
          <w:i/>
        </w:rPr>
        <w:t>creatinine</w:t>
      </w:r>
      <w:r>
        <w:t xml:space="preserve"> values were also observed </w:t>
      </w:r>
      <w:r w:rsidR="004E6DCC">
        <w:t>with upadacitinib therapy, but G</w:t>
      </w:r>
      <w:r>
        <w:t>rade 2 or higher elevations in serum creatinine were rarely observed.</w:t>
      </w:r>
      <w:r w:rsidR="004E3248">
        <w:t xml:space="preserve"> </w:t>
      </w:r>
      <w:r>
        <w:rPr>
          <w:lang w:eastAsia="ja-JP"/>
        </w:rPr>
        <w:t xml:space="preserve">The rates of renal dysfunction AEs were low and similar in upadacitinib 15 mg once daily, placebo, methotrexate and </w:t>
      </w:r>
      <w:proofErr w:type="spellStart"/>
      <w:r>
        <w:rPr>
          <w:lang w:eastAsia="ja-JP"/>
        </w:rPr>
        <w:t>adalimumab</w:t>
      </w:r>
      <w:proofErr w:type="spellEnd"/>
      <w:r>
        <w:rPr>
          <w:lang w:eastAsia="ja-JP"/>
        </w:rPr>
        <w:t xml:space="preserve"> groups. In the long-term analysis sets, there were </w:t>
      </w:r>
      <w:r w:rsidR="008D4BF8">
        <w:rPr>
          <w:lang w:eastAsia="ja-JP"/>
        </w:rPr>
        <w:t xml:space="preserve">three </w:t>
      </w:r>
      <w:r>
        <w:rPr>
          <w:lang w:eastAsia="ja-JP"/>
        </w:rPr>
        <w:t xml:space="preserve">SAEs of renal dysfunction and none of the SAEs </w:t>
      </w:r>
      <w:r w:rsidR="005E5D41">
        <w:rPr>
          <w:lang w:eastAsia="ja-JP"/>
        </w:rPr>
        <w:t>was</w:t>
      </w:r>
      <w:r>
        <w:rPr>
          <w:lang w:eastAsia="ja-JP"/>
        </w:rPr>
        <w:t xml:space="preserve"> attributed to upadacitinib.</w:t>
      </w:r>
    </w:p>
    <w:p w14:paraId="01FC2176" w14:textId="77777777" w:rsidR="0055166A" w:rsidRDefault="0055166A" w:rsidP="00776389">
      <w:pPr>
        <w:rPr>
          <w:lang w:eastAsia="ja-JP"/>
        </w:rPr>
      </w:pPr>
      <w:r>
        <w:rPr>
          <w:lang w:eastAsia="ja-JP"/>
        </w:rPr>
        <w:t>In the placebo controlled period of the</w:t>
      </w:r>
      <w:r w:rsidR="004E3248">
        <w:rPr>
          <w:lang w:eastAsia="ja-JP"/>
        </w:rPr>
        <w:t xml:space="preserve"> Phase III</w:t>
      </w:r>
      <w:r>
        <w:rPr>
          <w:lang w:eastAsia="ja-JP"/>
        </w:rPr>
        <w:t xml:space="preserve"> studies, small mean changes in </w:t>
      </w:r>
      <w:r w:rsidRPr="0049029C">
        <w:rPr>
          <w:i/>
          <w:lang w:eastAsia="ja-JP"/>
        </w:rPr>
        <w:t>haemoglobin</w:t>
      </w:r>
      <w:r>
        <w:rPr>
          <w:lang w:eastAsia="ja-JP"/>
        </w:rPr>
        <w:t xml:space="preserve"> values were similarly observed with upadacitinib 15 mg once daily and placebo therapy. This cha</w:t>
      </w:r>
      <w:r w:rsidR="0049029C">
        <w:rPr>
          <w:lang w:eastAsia="ja-JP"/>
        </w:rPr>
        <w:t>nge remained stable through to W</w:t>
      </w:r>
      <w:r>
        <w:rPr>
          <w:lang w:eastAsia="ja-JP"/>
        </w:rPr>
        <w:t>eek 12.</w:t>
      </w:r>
      <w:r w:rsidR="004E3248">
        <w:rPr>
          <w:lang w:eastAsia="ja-JP"/>
        </w:rPr>
        <w:t xml:space="preserve"> </w:t>
      </w:r>
      <w:r>
        <w:rPr>
          <w:lang w:eastAsia="ja-JP"/>
        </w:rPr>
        <w:t>In the placebo controlled period of the</w:t>
      </w:r>
      <w:r w:rsidR="004E3248">
        <w:rPr>
          <w:lang w:eastAsia="ja-JP"/>
        </w:rPr>
        <w:t xml:space="preserve"> Phase III</w:t>
      </w:r>
      <w:r w:rsidR="0049029C">
        <w:rPr>
          <w:lang w:eastAsia="ja-JP"/>
        </w:rPr>
        <w:t xml:space="preserve"> studies, Grade 2, Grade 3 and G</w:t>
      </w:r>
      <w:r>
        <w:rPr>
          <w:lang w:eastAsia="ja-JP"/>
        </w:rPr>
        <w:t xml:space="preserve">rade 4 decreases in </w:t>
      </w:r>
      <w:r w:rsidRPr="0049029C">
        <w:rPr>
          <w:i/>
          <w:lang w:eastAsia="ja-JP"/>
        </w:rPr>
        <w:t>neutrophil</w:t>
      </w:r>
      <w:r>
        <w:rPr>
          <w:lang w:eastAsia="ja-JP"/>
        </w:rPr>
        <w:t xml:space="preserve"> count were observed more frequently in the upadacitinib 15 mg and 30 mg therapy as compared to placebo. In addition, </w:t>
      </w:r>
      <w:r w:rsidR="0049029C">
        <w:rPr>
          <w:lang w:eastAsia="ja-JP"/>
        </w:rPr>
        <w:t>two</w:t>
      </w:r>
      <w:r>
        <w:rPr>
          <w:lang w:eastAsia="ja-JP"/>
        </w:rPr>
        <w:t xml:space="preserve"> subjects treated wit</w:t>
      </w:r>
      <w:r w:rsidR="0049029C">
        <w:rPr>
          <w:lang w:eastAsia="ja-JP"/>
        </w:rPr>
        <w:t>h upadacitinib 15 mg developed G</w:t>
      </w:r>
      <w:r>
        <w:rPr>
          <w:lang w:eastAsia="ja-JP"/>
        </w:rPr>
        <w:t xml:space="preserve">rade 4 </w:t>
      </w:r>
      <w:proofErr w:type="spellStart"/>
      <w:r w:rsidR="00E12904">
        <w:rPr>
          <w:lang w:eastAsia="ja-JP"/>
        </w:rPr>
        <w:t>neutropaenia</w:t>
      </w:r>
      <w:proofErr w:type="spellEnd"/>
      <w:r>
        <w:t>.</w:t>
      </w:r>
      <w:r w:rsidR="004E3248">
        <w:t xml:space="preserve"> </w:t>
      </w:r>
      <w:r>
        <w:rPr>
          <w:lang w:eastAsia="ja-JP"/>
        </w:rPr>
        <w:t xml:space="preserve">Across the Phase </w:t>
      </w:r>
      <w:r w:rsidR="0049029C">
        <w:rPr>
          <w:lang w:eastAsia="ja-JP"/>
        </w:rPr>
        <w:t>II</w:t>
      </w:r>
      <w:r>
        <w:rPr>
          <w:lang w:eastAsia="ja-JP"/>
        </w:rPr>
        <w:t xml:space="preserve"> and </w:t>
      </w:r>
      <w:r w:rsidR="0049029C">
        <w:rPr>
          <w:lang w:eastAsia="ja-JP"/>
        </w:rPr>
        <w:t>III</w:t>
      </w:r>
      <w:r>
        <w:rPr>
          <w:lang w:eastAsia="ja-JP"/>
        </w:rPr>
        <w:t xml:space="preserve"> RA studies, 0.3% of upadacitinib treated subjects discontinued due to anaemia. In the long-term analyses, the EAIR of </w:t>
      </w:r>
      <w:proofErr w:type="spellStart"/>
      <w:r w:rsidR="00E12904">
        <w:rPr>
          <w:lang w:eastAsia="ja-JP"/>
        </w:rPr>
        <w:t>neutropaenia</w:t>
      </w:r>
      <w:proofErr w:type="spellEnd"/>
      <w:r>
        <w:rPr>
          <w:lang w:eastAsia="ja-JP"/>
        </w:rPr>
        <w:t xml:space="preserve"> was lower in the upadacitinib 15 mg group (3.1 per 100 PY) than in the 30 mg cohort (6.8 per 100 PY). Among all subjects who received upadacitinib in the </w:t>
      </w:r>
      <w:r>
        <w:rPr>
          <w:lang w:eastAsia="ja-JP"/>
        </w:rPr>
        <w:lastRenderedPageBreak/>
        <w:t xml:space="preserve">Phase </w:t>
      </w:r>
      <w:r w:rsidR="0049029C">
        <w:rPr>
          <w:lang w:eastAsia="ja-JP"/>
        </w:rPr>
        <w:t>II</w:t>
      </w:r>
      <w:r>
        <w:rPr>
          <w:lang w:eastAsia="ja-JP"/>
        </w:rPr>
        <w:t xml:space="preserve"> and </w:t>
      </w:r>
      <w:r w:rsidR="0049029C">
        <w:rPr>
          <w:lang w:eastAsia="ja-JP"/>
        </w:rPr>
        <w:t>III</w:t>
      </w:r>
      <w:r>
        <w:rPr>
          <w:lang w:eastAsia="ja-JP"/>
        </w:rPr>
        <w:t xml:space="preserve"> RA studies, &lt;</w:t>
      </w:r>
      <w:r w:rsidR="00093889">
        <w:rPr>
          <w:lang w:eastAsia="ja-JP"/>
        </w:rPr>
        <w:t xml:space="preserve"> </w:t>
      </w:r>
      <w:r>
        <w:rPr>
          <w:lang w:eastAsia="ja-JP"/>
        </w:rPr>
        <w:t xml:space="preserve">0.1% discontinued upadacitinib due to </w:t>
      </w:r>
      <w:proofErr w:type="spellStart"/>
      <w:r w:rsidR="00E12904">
        <w:rPr>
          <w:lang w:eastAsia="ja-JP"/>
        </w:rPr>
        <w:t>neutropaenia</w:t>
      </w:r>
      <w:proofErr w:type="spellEnd"/>
      <w:r>
        <w:rPr>
          <w:lang w:eastAsia="ja-JP"/>
        </w:rPr>
        <w:t xml:space="preserve"> and t</w:t>
      </w:r>
      <w:r w:rsidR="0049029C">
        <w:rPr>
          <w:lang w:eastAsia="ja-JP"/>
        </w:rPr>
        <w:t>he percentage of subjects with G</w:t>
      </w:r>
      <w:r>
        <w:rPr>
          <w:lang w:eastAsia="ja-JP"/>
        </w:rPr>
        <w:t>rade 4 (&lt;</w:t>
      </w:r>
      <w:r w:rsidR="00093889">
        <w:rPr>
          <w:lang w:eastAsia="ja-JP"/>
        </w:rPr>
        <w:t xml:space="preserve"> </w:t>
      </w:r>
      <w:r>
        <w:rPr>
          <w:lang w:eastAsia="ja-JP"/>
        </w:rPr>
        <w:t xml:space="preserve">0.5 </w:t>
      </w:r>
      <w:r w:rsidR="0049029C">
        <w:rPr>
          <w:lang w:eastAsia="ja-JP"/>
        </w:rPr>
        <w:t>x</w:t>
      </w:r>
      <w:r>
        <w:rPr>
          <w:lang w:eastAsia="ja-JP"/>
        </w:rPr>
        <w:t xml:space="preserve"> 10</w:t>
      </w:r>
      <w:r>
        <w:rPr>
          <w:vertAlign w:val="superscript"/>
          <w:lang w:eastAsia="ja-JP"/>
        </w:rPr>
        <w:t>9</w:t>
      </w:r>
      <w:r>
        <w:rPr>
          <w:lang w:eastAsia="ja-JP"/>
        </w:rPr>
        <w:t xml:space="preserve">/L) </w:t>
      </w:r>
      <w:proofErr w:type="spellStart"/>
      <w:r w:rsidR="00E12904">
        <w:rPr>
          <w:lang w:eastAsia="ja-JP"/>
        </w:rPr>
        <w:t>neutropaenia</w:t>
      </w:r>
      <w:proofErr w:type="spellEnd"/>
      <w:r>
        <w:rPr>
          <w:lang w:eastAsia="ja-JP"/>
        </w:rPr>
        <w:t xml:space="preserve"> was 0.3% in the upadacitinib 15 mg group.</w:t>
      </w:r>
    </w:p>
    <w:p w14:paraId="409C6543" w14:textId="608A1DA8" w:rsidR="0055166A" w:rsidRDefault="0055166A" w:rsidP="00776389">
      <w:pPr>
        <w:rPr>
          <w:lang w:eastAsia="ja-JP"/>
        </w:rPr>
      </w:pPr>
      <w:r>
        <w:t xml:space="preserve">Increases in serum </w:t>
      </w:r>
      <w:r w:rsidRPr="0049029C">
        <w:rPr>
          <w:i/>
        </w:rPr>
        <w:t>CPK</w:t>
      </w:r>
      <w:r>
        <w:t xml:space="preserve"> values were observed with upadacitinib in the RA treatment studies. </w:t>
      </w:r>
      <w:r>
        <w:rPr>
          <w:lang w:eastAsia="ja-JP"/>
        </w:rPr>
        <w:t>In the placebo controlled analysis set, a greater mean increase in ser</w:t>
      </w:r>
      <w:r w:rsidR="0049029C">
        <w:rPr>
          <w:lang w:eastAsia="ja-JP"/>
        </w:rPr>
        <w:t>um CPK levels from baseline to W</w:t>
      </w:r>
      <w:r>
        <w:rPr>
          <w:lang w:eastAsia="ja-JP"/>
        </w:rPr>
        <w:t>eek 12 was observed for subjects receiving upadacitinib 15 mg compared with placebo (59.7 U/L versus 1.9 U/L). The mean increases in serum CPK peaked at 2 to 4 weeks of treatment, then plate</w:t>
      </w:r>
      <w:r w:rsidR="0049029C">
        <w:rPr>
          <w:lang w:eastAsia="ja-JP"/>
        </w:rPr>
        <w:t>aued and remained stable until W</w:t>
      </w:r>
      <w:r>
        <w:rPr>
          <w:lang w:eastAsia="ja-JP"/>
        </w:rPr>
        <w:t>eek 12. T</w:t>
      </w:r>
      <w:r w:rsidR="0049029C">
        <w:rPr>
          <w:lang w:eastAsia="ja-JP"/>
        </w:rPr>
        <w:t>he proportion of subjects with G</w:t>
      </w:r>
      <w:r>
        <w:rPr>
          <w:lang w:eastAsia="ja-JP"/>
        </w:rPr>
        <w:t>rade 2 (2.8% with upadacitinib</w:t>
      </w:r>
      <w:r w:rsidR="0049029C">
        <w:rPr>
          <w:lang w:eastAsia="ja-JP"/>
        </w:rPr>
        <w:t xml:space="preserve"> versus 0.6% with placebo) and G</w:t>
      </w:r>
      <w:r>
        <w:rPr>
          <w:lang w:eastAsia="ja-JP"/>
        </w:rPr>
        <w:t>rade 3 CPK increases (0.8% with upadacitinib versus 0.3% with placebo) was higher in the upadacitinib 15 mg group than the placebo arm. For subjects receiving upadacitinib 15 mg, 2 (0</w:t>
      </w:r>
      <w:r w:rsidR="0049029C">
        <w:rPr>
          <w:lang w:eastAsia="ja-JP"/>
        </w:rPr>
        <w:t>.2%) subjects had asymptomatic G</w:t>
      </w:r>
      <w:r>
        <w:rPr>
          <w:lang w:eastAsia="ja-JP"/>
        </w:rPr>
        <w:t>rade 4 increases in serum CPK levels compared with no subjects in the placebo arm. In the long-term</w:t>
      </w:r>
      <w:r w:rsidR="004E3248">
        <w:rPr>
          <w:lang w:eastAsia="ja-JP"/>
        </w:rPr>
        <w:t xml:space="preserve"> Phase III</w:t>
      </w:r>
      <w:r>
        <w:rPr>
          <w:lang w:eastAsia="ja-JP"/>
        </w:rPr>
        <w:t xml:space="preserve"> trial analysis set, m</w:t>
      </w:r>
      <w:r w:rsidR="0049029C">
        <w:rPr>
          <w:lang w:eastAsia="ja-JP"/>
        </w:rPr>
        <w:t xml:space="preserve">ean increases from </w:t>
      </w:r>
      <w:r w:rsidR="00933259">
        <w:rPr>
          <w:lang w:eastAsia="ja-JP"/>
        </w:rPr>
        <w:t>B</w:t>
      </w:r>
      <w:r w:rsidR="0049029C">
        <w:rPr>
          <w:lang w:eastAsia="ja-JP"/>
        </w:rPr>
        <w:t>aseline to W</w:t>
      </w:r>
      <w:r>
        <w:rPr>
          <w:lang w:eastAsia="ja-JP"/>
        </w:rPr>
        <w:t>eek 84 in serum CPK values were higher in the upadacitinib 30 mg group (133.1 U/L) compared with the upadacitinib 15 mg arm (101.7 U/L).</w:t>
      </w:r>
    </w:p>
    <w:p w14:paraId="4AE59A6D" w14:textId="7516B79C" w:rsidR="0055166A" w:rsidRDefault="0055166A" w:rsidP="00776389">
      <w:r>
        <w:rPr>
          <w:lang w:eastAsia="ja-JP"/>
        </w:rPr>
        <w:t xml:space="preserve">In the placebo controlled period, upadacitinib 15 mg once daily treatment resulted in a small mean increase in total serum </w:t>
      </w:r>
      <w:r w:rsidRPr="002522CB">
        <w:rPr>
          <w:i/>
          <w:lang w:eastAsia="ja-JP"/>
        </w:rPr>
        <w:t>cholesterol</w:t>
      </w:r>
      <w:r>
        <w:rPr>
          <w:lang w:eastAsia="ja-JP"/>
        </w:rPr>
        <w:t xml:space="preserve">, </w:t>
      </w:r>
      <w:r w:rsidR="002522CB">
        <w:rPr>
          <w:lang w:eastAsia="ja-JP"/>
        </w:rPr>
        <w:t>low density lip</w:t>
      </w:r>
      <w:r w:rsidR="00933259">
        <w:rPr>
          <w:lang w:eastAsia="ja-JP"/>
        </w:rPr>
        <w:t>oprotein</w:t>
      </w:r>
      <w:r w:rsidR="002522CB">
        <w:rPr>
          <w:lang w:eastAsia="ja-JP"/>
        </w:rPr>
        <w:t xml:space="preserve"> (</w:t>
      </w:r>
      <w:r>
        <w:rPr>
          <w:lang w:eastAsia="ja-JP"/>
        </w:rPr>
        <w:t>LDL</w:t>
      </w:r>
      <w:r w:rsidR="002522CB">
        <w:rPr>
          <w:lang w:eastAsia="ja-JP"/>
        </w:rPr>
        <w:t>)</w:t>
      </w:r>
      <w:r w:rsidR="00933259">
        <w:rPr>
          <w:lang w:eastAsia="ja-JP"/>
        </w:rPr>
        <w:t xml:space="preserve"> </w:t>
      </w:r>
      <w:r>
        <w:rPr>
          <w:lang w:eastAsia="ja-JP"/>
        </w:rPr>
        <w:t xml:space="preserve">cholesterol, </w:t>
      </w:r>
      <w:r w:rsidR="002522CB">
        <w:rPr>
          <w:lang w:eastAsia="ja-JP"/>
        </w:rPr>
        <w:t>high density lip</w:t>
      </w:r>
      <w:r w:rsidR="00933259">
        <w:rPr>
          <w:lang w:eastAsia="ja-JP"/>
        </w:rPr>
        <w:t>oprotein</w:t>
      </w:r>
      <w:r w:rsidR="002522CB">
        <w:rPr>
          <w:lang w:eastAsia="ja-JP"/>
        </w:rPr>
        <w:t xml:space="preserve"> (</w:t>
      </w:r>
      <w:r>
        <w:rPr>
          <w:lang w:eastAsia="ja-JP"/>
        </w:rPr>
        <w:t>HDL</w:t>
      </w:r>
      <w:r w:rsidR="002522CB">
        <w:rPr>
          <w:lang w:eastAsia="ja-JP"/>
        </w:rPr>
        <w:t>)</w:t>
      </w:r>
      <w:r w:rsidR="00933259">
        <w:rPr>
          <w:lang w:eastAsia="ja-JP"/>
        </w:rPr>
        <w:t xml:space="preserve"> </w:t>
      </w:r>
      <w:r>
        <w:rPr>
          <w:lang w:eastAsia="ja-JP"/>
        </w:rPr>
        <w:t>cholesterol and serum triglyceride</w:t>
      </w:r>
      <w:r w:rsidR="00933259">
        <w:rPr>
          <w:lang w:eastAsia="ja-JP"/>
        </w:rPr>
        <w:t>s</w:t>
      </w:r>
      <w:r>
        <w:rPr>
          <w:lang w:eastAsia="ja-JP"/>
        </w:rPr>
        <w:t xml:space="preserve">. The mean changes from </w:t>
      </w:r>
      <w:r w:rsidR="00933259">
        <w:rPr>
          <w:lang w:eastAsia="ja-JP"/>
        </w:rPr>
        <w:t>B</w:t>
      </w:r>
      <w:r>
        <w:rPr>
          <w:lang w:eastAsia="ja-JP"/>
        </w:rPr>
        <w:t>aseline in LDL and HD</w:t>
      </w:r>
      <w:r w:rsidR="002522CB">
        <w:rPr>
          <w:lang w:eastAsia="ja-JP"/>
        </w:rPr>
        <w:t>L cholesterol levels peaked by W</w:t>
      </w:r>
      <w:r>
        <w:rPr>
          <w:lang w:eastAsia="ja-JP"/>
        </w:rPr>
        <w:t>eek 8 of therapy,</w:t>
      </w:r>
      <w:r w:rsidR="002522CB">
        <w:rPr>
          <w:lang w:eastAsia="ja-JP"/>
        </w:rPr>
        <w:t xml:space="preserve"> and then plateaued through to W</w:t>
      </w:r>
      <w:r>
        <w:rPr>
          <w:lang w:eastAsia="ja-JP"/>
        </w:rPr>
        <w:t xml:space="preserve">eek 84. Upadacitinib 30 mg therapy showed a dose related increase in lipids. </w:t>
      </w:r>
      <w:r>
        <w:t>The long-term clinical consequences of altered lipid profiles associated wit</w:t>
      </w:r>
      <w:r w:rsidR="002522CB">
        <w:t>h upadacitinib remains unknown.</w:t>
      </w:r>
    </w:p>
    <w:p w14:paraId="65622555" w14:textId="77777777" w:rsidR="0055166A" w:rsidRPr="0055166A" w:rsidRDefault="0055166A" w:rsidP="00776389">
      <w:r>
        <w:rPr>
          <w:lang w:eastAsia="ja-JP"/>
        </w:rPr>
        <w:t>In the</w:t>
      </w:r>
      <w:r w:rsidR="004E3248">
        <w:rPr>
          <w:lang w:eastAsia="ja-JP"/>
        </w:rPr>
        <w:t xml:space="preserve"> Phase III</w:t>
      </w:r>
      <w:r>
        <w:rPr>
          <w:lang w:eastAsia="ja-JP"/>
        </w:rPr>
        <w:t xml:space="preserve"> upadacitinib analysis set, the percentage of subjects with </w:t>
      </w:r>
      <w:r w:rsidRPr="002522CB">
        <w:rPr>
          <w:i/>
          <w:lang w:eastAsia="ja-JP"/>
        </w:rPr>
        <w:t>weight</w:t>
      </w:r>
      <w:r>
        <w:rPr>
          <w:lang w:eastAsia="ja-JP"/>
        </w:rPr>
        <w:t xml:space="preserve"> increase and weight decrease was 22.4% and 6.3%, respectively. The percentages of subjects who experienced increases in systolic and diastolic </w:t>
      </w:r>
      <w:r w:rsidRPr="002522CB">
        <w:rPr>
          <w:i/>
          <w:lang w:eastAsia="ja-JP"/>
        </w:rPr>
        <w:t>blood pressure</w:t>
      </w:r>
      <w:r>
        <w:rPr>
          <w:lang w:eastAsia="ja-JP"/>
        </w:rPr>
        <w:t xml:space="preserve"> were similar between upadacitinib 15 mg therapy and comparator treatments (methotrexate and </w:t>
      </w:r>
      <w:proofErr w:type="spellStart"/>
      <w:r>
        <w:rPr>
          <w:lang w:eastAsia="ja-JP"/>
        </w:rPr>
        <w:t>adalimumab</w:t>
      </w:r>
      <w:proofErr w:type="spellEnd"/>
      <w:r>
        <w:rPr>
          <w:lang w:eastAsia="ja-JP"/>
        </w:rPr>
        <w:t>) across the various analysis data sets for both short-term treatment and long-term exposure.</w:t>
      </w:r>
    </w:p>
    <w:p w14:paraId="013F10A3" w14:textId="77777777" w:rsidR="008E7846" w:rsidRDefault="00386150" w:rsidP="007B6132">
      <w:pPr>
        <w:pStyle w:val="Heading3"/>
        <w:rPr>
          <w:lang w:eastAsia="en-AU"/>
        </w:rPr>
      </w:pPr>
      <w:bookmarkStart w:id="42" w:name="_Toc314842514"/>
      <w:bookmarkStart w:id="43" w:name="_Toc40171807"/>
      <w:r>
        <w:rPr>
          <w:lang w:eastAsia="en-AU"/>
        </w:rPr>
        <w:t>Risk m</w:t>
      </w:r>
      <w:r w:rsidR="008E7846">
        <w:rPr>
          <w:lang w:eastAsia="en-AU"/>
        </w:rPr>
        <w:t xml:space="preserve">anagement </w:t>
      </w:r>
      <w:r>
        <w:rPr>
          <w:lang w:eastAsia="en-AU"/>
        </w:rPr>
        <w:t>p</w:t>
      </w:r>
      <w:r w:rsidR="008E7846">
        <w:rPr>
          <w:lang w:eastAsia="en-AU"/>
        </w:rPr>
        <w:t>lan</w:t>
      </w:r>
      <w:bookmarkEnd w:id="42"/>
      <w:bookmarkEnd w:id="43"/>
    </w:p>
    <w:p w14:paraId="6B6E0020" w14:textId="77777777" w:rsidR="00A45289" w:rsidRPr="002A2150" w:rsidRDefault="00A45289" w:rsidP="00776389">
      <w:pPr>
        <w:pStyle w:val="ListBullet"/>
        <w:rPr>
          <w:kern w:val="16"/>
        </w:rPr>
      </w:pPr>
      <w:r>
        <w:t>The sponsor</w:t>
      </w:r>
      <w:r w:rsidRPr="006C5935">
        <w:t xml:space="preserve"> submitted core </w:t>
      </w:r>
      <w:r w:rsidR="002522CB">
        <w:t xml:space="preserve">risk </w:t>
      </w:r>
      <w:r w:rsidR="005E5D41">
        <w:t>management</w:t>
      </w:r>
      <w:r w:rsidR="002522CB">
        <w:t xml:space="preserve"> plan (</w:t>
      </w:r>
      <w:r w:rsidRPr="006C5935">
        <w:t>RMP</w:t>
      </w:r>
      <w:r w:rsidR="002522CB">
        <w:t>)</w:t>
      </w:r>
      <w:r w:rsidRPr="006C5935">
        <w:t xml:space="preserve"> version 1.0 (dated December 2018; </w:t>
      </w:r>
      <w:r w:rsidR="002522CB">
        <w:t>data lock point (</w:t>
      </w:r>
      <w:r w:rsidRPr="006C5935">
        <w:t>DLP</w:t>
      </w:r>
      <w:r w:rsidR="002522CB">
        <w:t>)</w:t>
      </w:r>
      <w:r w:rsidRPr="006C5935">
        <w:t xml:space="preserve"> 13 September 2018) and </w:t>
      </w:r>
      <w:r w:rsidR="00093889">
        <w:t>Australian s</w:t>
      </w:r>
      <w:r w:rsidR="002522CB">
        <w:t>pecific Annex (</w:t>
      </w:r>
      <w:r w:rsidRPr="006C5935">
        <w:t>ASA</w:t>
      </w:r>
      <w:r w:rsidR="002522CB">
        <w:t>)</w:t>
      </w:r>
      <w:r w:rsidRPr="006C5935">
        <w:t xml:space="preserve"> version 1.0 (dated December 2018) in support of this application at </w:t>
      </w:r>
      <w:r w:rsidR="004A0AFF">
        <w:t>the first round evaluation</w:t>
      </w:r>
      <w:r w:rsidRPr="006C5935">
        <w:t xml:space="preserve">. In its </w:t>
      </w:r>
      <w:r w:rsidR="002522CB">
        <w:t>response to the TGA’s request for further information, t</w:t>
      </w:r>
      <w:r w:rsidRPr="006C5935">
        <w:t>he sponsor has provided updated core RMP version 1.1 (dated July 2019; DLP 13 September 2018) and ASA version 1.1 (dated August 2019).</w:t>
      </w:r>
    </w:p>
    <w:p w14:paraId="7607AD54" w14:textId="77777777" w:rsidR="00A45289" w:rsidRPr="003B44C1" w:rsidRDefault="004A0AFF" w:rsidP="00776389">
      <w:pPr>
        <w:pStyle w:val="ListBullet"/>
        <w:rPr>
          <w:kern w:val="16"/>
        </w:rPr>
      </w:pPr>
      <w:r>
        <w:t>The s</w:t>
      </w:r>
      <w:r w:rsidR="00A45289">
        <w:t xml:space="preserve">ponsor has </w:t>
      </w:r>
      <w:r>
        <w:t xml:space="preserve">also </w:t>
      </w:r>
      <w:r w:rsidR="00A45289">
        <w:t>provided EU-RMP version 1.6 (dated October 2019; DLP 13 September 2018) and ASA version 1.3 (dated November 2019) along with Australian adapted additional risk minimisation materials (H</w:t>
      </w:r>
      <w:r w:rsidR="002522CB">
        <w:t>ealthCare Professional (H</w:t>
      </w:r>
      <w:r w:rsidR="00A45289">
        <w:t>CP</w:t>
      </w:r>
      <w:r w:rsidR="002522CB">
        <w:t>)</w:t>
      </w:r>
      <w:r w:rsidR="00A45289">
        <w:t xml:space="preserve"> Educational Brochure and Patient Alert Card) for review</w:t>
      </w:r>
      <w:r w:rsidR="002522CB">
        <w:t>.</w:t>
      </w:r>
    </w:p>
    <w:p w14:paraId="1F9175DD" w14:textId="77777777" w:rsidR="00A45289" w:rsidRPr="006C5935" w:rsidRDefault="00A45289" w:rsidP="00776389">
      <w:pPr>
        <w:pStyle w:val="ListBullet"/>
        <w:rPr>
          <w:kern w:val="16"/>
        </w:rPr>
      </w:pPr>
      <w:r>
        <w:t xml:space="preserve">In its response to the </w:t>
      </w:r>
      <w:r w:rsidRPr="0068691E">
        <w:t xml:space="preserve">recommendations made by the TGA, the sponsor has updated the HCP educational brochure and </w:t>
      </w:r>
      <w:r w:rsidR="0068691E" w:rsidRPr="0068691E">
        <w:t>Patient Alert Card (</w:t>
      </w:r>
      <w:r w:rsidRPr="0068691E">
        <w:t>PAC</w:t>
      </w:r>
      <w:r w:rsidR="0068691E" w:rsidRPr="0068691E">
        <w:t>)</w:t>
      </w:r>
      <w:r w:rsidRPr="0068691E">
        <w:t xml:space="preserve"> and submitted these as part of ASA version 1.4 (dated November 2019).</w:t>
      </w:r>
    </w:p>
    <w:p w14:paraId="2A636CFD" w14:textId="77777777" w:rsidR="00A45289" w:rsidRDefault="00A45289" w:rsidP="00776389">
      <w:pPr>
        <w:pStyle w:val="ListBullet"/>
      </w:pPr>
      <w:r w:rsidRPr="006C5935">
        <w:lastRenderedPageBreak/>
        <w:t>The sponsor has proposed the following summary of safety concerns and their associated risk monitoring and mitigation strategies</w:t>
      </w:r>
      <w:r w:rsidR="00093889">
        <w:t>, as summarised below in Table 7.</w:t>
      </w:r>
      <w:r w:rsidR="00124520">
        <w:rPr>
          <w:rStyle w:val="FootnoteReference"/>
        </w:rPr>
        <w:footnoteReference w:id="12"/>
      </w:r>
    </w:p>
    <w:p w14:paraId="4358E73F" w14:textId="77777777" w:rsidR="0009021C" w:rsidRPr="006C5935" w:rsidRDefault="0009021C" w:rsidP="0009021C">
      <w:pPr>
        <w:pStyle w:val="TableTitle"/>
      </w:pPr>
      <w:r w:rsidRPr="00366C8F">
        <w:t xml:space="preserve">Table </w:t>
      </w:r>
      <w:r w:rsidR="00366C8F" w:rsidRPr="00366C8F">
        <w:t xml:space="preserve">7: </w:t>
      </w:r>
      <w:r w:rsidRPr="00366C8F">
        <w:t>Sponsor’s</w:t>
      </w:r>
      <w:r>
        <w:t xml:space="preserve"> summary of ongoing safety concerns</w:t>
      </w:r>
    </w:p>
    <w:tbl>
      <w:tblPr>
        <w:tblStyle w:val="TableTGAblue"/>
        <w:tblW w:w="5000" w:type="pct"/>
        <w:tblLook w:val="04A0" w:firstRow="1" w:lastRow="0" w:firstColumn="1" w:lastColumn="0" w:noHBand="0" w:noVBand="1"/>
      </w:tblPr>
      <w:tblGrid>
        <w:gridCol w:w="1406"/>
        <w:gridCol w:w="3001"/>
        <w:gridCol w:w="1306"/>
        <w:gridCol w:w="1284"/>
        <w:gridCol w:w="935"/>
        <w:gridCol w:w="788"/>
      </w:tblGrid>
      <w:tr w:rsidR="00A45289" w:rsidRPr="006C5935" w14:paraId="4B7040C9" w14:textId="77777777" w:rsidTr="003F1408">
        <w:trPr>
          <w:cnfStyle w:val="100000000000" w:firstRow="1" w:lastRow="0" w:firstColumn="0" w:lastColumn="0" w:oddVBand="0" w:evenVBand="0" w:oddHBand="0" w:evenHBand="0" w:firstRowFirstColumn="0" w:firstRowLastColumn="0" w:lastRowFirstColumn="0" w:lastRowLastColumn="0"/>
          <w:trHeight w:val="131"/>
        </w:trPr>
        <w:tc>
          <w:tcPr>
            <w:tcW w:w="2527" w:type="pct"/>
            <w:gridSpan w:val="2"/>
            <w:vMerge w:val="restart"/>
          </w:tcPr>
          <w:p w14:paraId="44AC44B6" w14:textId="77777777" w:rsidR="00A45289" w:rsidRPr="00776389" w:rsidRDefault="00A45289" w:rsidP="005E0625">
            <w:pPr>
              <w:ind w:left="0" w:right="0"/>
              <w:rPr>
                <w:b w:val="0"/>
                <w:sz w:val="20"/>
                <w:szCs w:val="20"/>
              </w:rPr>
            </w:pPr>
            <w:r w:rsidRPr="00776389">
              <w:rPr>
                <w:sz w:val="20"/>
                <w:szCs w:val="20"/>
              </w:rPr>
              <w:t>Summary of safety concerns</w:t>
            </w:r>
          </w:p>
        </w:tc>
        <w:tc>
          <w:tcPr>
            <w:tcW w:w="1485" w:type="pct"/>
            <w:gridSpan w:val="2"/>
          </w:tcPr>
          <w:p w14:paraId="1FD4D861" w14:textId="77777777" w:rsidR="00A45289" w:rsidRPr="00776389" w:rsidRDefault="00A45289" w:rsidP="005E0625">
            <w:pPr>
              <w:ind w:left="0" w:right="0"/>
              <w:rPr>
                <w:b w:val="0"/>
                <w:sz w:val="20"/>
                <w:szCs w:val="20"/>
              </w:rPr>
            </w:pPr>
            <w:r w:rsidRPr="00776389">
              <w:rPr>
                <w:sz w:val="20"/>
                <w:szCs w:val="20"/>
              </w:rPr>
              <w:t>Pharmacovigilance</w:t>
            </w:r>
          </w:p>
        </w:tc>
        <w:tc>
          <w:tcPr>
            <w:tcW w:w="988" w:type="pct"/>
            <w:gridSpan w:val="2"/>
          </w:tcPr>
          <w:p w14:paraId="437DC80C" w14:textId="77777777" w:rsidR="00A45289" w:rsidRPr="00776389" w:rsidRDefault="00A45289" w:rsidP="005E0625">
            <w:pPr>
              <w:ind w:left="0" w:right="0"/>
              <w:rPr>
                <w:b w:val="0"/>
                <w:sz w:val="20"/>
                <w:szCs w:val="20"/>
              </w:rPr>
            </w:pPr>
            <w:r w:rsidRPr="00776389">
              <w:rPr>
                <w:sz w:val="20"/>
                <w:szCs w:val="20"/>
              </w:rPr>
              <w:t>Risk Minimisation</w:t>
            </w:r>
          </w:p>
        </w:tc>
      </w:tr>
      <w:tr w:rsidR="00A45289" w:rsidRPr="006C5935" w14:paraId="7E50BFA6" w14:textId="77777777" w:rsidTr="003F1408">
        <w:trPr>
          <w:trHeight w:val="150"/>
        </w:trPr>
        <w:tc>
          <w:tcPr>
            <w:tcW w:w="2527" w:type="pct"/>
            <w:gridSpan w:val="2"/>
            <w:vMerge/>
          </w:tcPr>
          <w:p w14:paraId="2C72435A" w14:textId="77777777" w:rsidR="00A45289" w:rsidRPr="00776389" w:rsidRDefault="00A45289" w:rsidP="005E0625">
            <w:pPr>
              <w:ind w:left="0" w:right="0"/>
              <w:rPr>
                <w:sz w:val="20"/>
                <w:szCs w:val="20"/>
              </w:rPr>
            </w:pPr>
          </w:p>
        </w:tc>
        <w:tc>
          <w:tcPr>
            <w:tcW w:w="749" w:type="pct"/>
          </w:tcPr>
          <w:p w14:paraId="368E8F7D" w14:textId="77777777" w:rsidR="00A45289" w:rsidRPr="00776389" w:rsidRDefault="00A45289" w:rsidP="005E0625">
            <w:pPr>
              <w:ind w:left="0" w:right="0"/>
              <w:rPr>
                <w:sz w:val="20"/>
                <w:szCs w:val="20"/>
              </w:rPr>
            </w:pPr>
            <w:r w:rsidRPr="00776389">
              <w:rPr>
                <w:sz w:val="20"/>
                <w:szCs w:val="20"/>
              </w:rPr>
              <w:t>Routine</w:t>
            </w:r>
            <w:r w:rsidR="00124520" w:rsidRPr="00776389">
              <w:rPr>
                <w:sz w:val="20"/>
                <w:szCs w:val="20"/>
              </w:rPr>
              <w:t xml:space="preserve"> (R)</w:t>
            </w:r>
          </w:p>
        </w:tc>
        <w:tc>
          <w:tcPr>
            <w:tcW w:w="736" w:type="pct"/>
          </w:tcPr>
          <w:p w14:paraId="1623864E" w14:textId="77777777" w:rsidR="00A45289" w:rsidRPr="00776389" w:rsidRDefault="00A45289" w:rsidP="005E0625">
            <w:pPr>
              <w:ind w:left="0" w:right="0"/>
              <w:rPr>
                <w:sz w:val="20"/>
                <w:szCs w:val="20"/>
              </w:rPr>
            </w:pPr>
            <w:r w:rsidRPr="00776389">
              <w:rPr>
                <w:sz w:val="20"/>
                <w:szCs w:val="20"/>
              </w:rPr>
              <w:t>Additional</w:t>
            </w:r>
            <w:r w:rsidR="00124520" w:rsidRPr="00776389">
              <w:rPr>
                <w:sz w:val="20"/>
                <w:szCs w:val="20"/>
              </w:rPr>
              <w:t xml:space="preserve"> (A)</w:t>
            </w:r>
          </w:p>
        </w:tc>
        <w:tc>
          <w:tcPr>
            <w:tcW w:w="536" w:type="pct"/>
          </w:tcPr>
          <w:p w14:paraId="6BE41448" w14:textId="77777777" w:rsidR="00A45289" w:rsidRPr="00776389" w:rsidRDefault="00A45289" w:rsidP="005E0625">
            <w:pPr>
              <w:ind w:left="0" w:right="0"/>
              <w:rPr>
                <w:sz w:val="20"/>
                <w:szCs w:val="20"/>
              </w:rPr>
            </w:pPr>
            <w:r w:rsidRPr="00776389">
              <w:rPr>
                <w:sz w:val="20"/>
                <w:szCs w:val="20"/>
              </w:rPr>
              <w:t>R</w:t>
            </w:r>
          </w:p>
        </w:tc>
        <w:tc>
          <w:tcPr>
            <w:tcW w:w="452" w:type="pct"/>
          </w:tcPr>
          <w:p w14:paraId="27EB05F8" w14:textId="77777777" w:rsidR="00A45289" w:rsidRPr="00776389" w:rsidRDefault="00A45289" w:rsidP="005E0625">
            <w:pPr>
              <w:ind w:left="0" w:right="0"/>
              <w:rPr>
                <w:sz w:val="20"/>
                <w:szCs w:val="20"/>
              </w:rPr>
            </w:pPr>
            <w:r w:rsidRPr="00776389">
              <w:rPr>
                <w:sz w:val="20"/>
                <w:szCs w:val="20"/>
              </w:rPr>
              <w:t>A</w:t>
            </w:r>
          </w:p>
        </w:tc>
      </w:tr>
      <w:tr w:rsidR="00A45289" w:rsidRPr="006C5935" w14:paraId="3A88B93F" w14:textId="77777777" w:rsidTr="003F1408">
        <w:trPr>
          <w:trHeight w:val="137"/>
        </w:trPr>
        <w:tc>
          <w:tcPr>
            <w:tcW w:w="806" w:type="pct"/>
            <w:vMerge w:val="restart"/>
          </w:tcPr>
          <w:p w14:paraId="7AD54B39" w14:textId="77777777" w:rsidR="00A45289" w:rsidRPr="00776389" w:rsidRDefault="00A45289" w:rsidP="005E0625">
            <w:pPr>
              <w:ind w:left="0" w:right="0"/>
              <w:rPr>
                <w:sz w:val="20"/>
                <w:szCs w:val="20"/>
              </w:rPr>
            </w:pPr>
            <w:r w:rsidRPr="00776389">
              <w:rPr>
                <w:sz w:val="20"/>
                <w:szCs w:val="20"/>
              </w:rPr>
              <w:t>Important identified risks</w:t>
            </w:r>
          </w:p>
        </w:tc>
        <w:tc>
          <w:tcPr>
            <w:tcW w:w="1721" w:type="pct"/>
          </w:tcPr>
          <w:p w14:paraId="63B3B6BA" w14:textId="77777777" w:rsidR="00A45289" w:rsidRPr="00776389" w:rsidRDefault="00A45289" w:rsidP="005E0625">
            <w:pPr>
              <w:ind w:left="0" w:right="0"/>
              <w:rPr>
                <w:sz w:val="20"/>
                <w:szCs w:val="20"/>
              </w:rPr>
            </w:pPr>
            <w:r w:rsidRPr="00776389">
              <w:rPr>
                <w:sz w:val="20"/>
                <w:szCs w:val="20"/>
              </w:rPr>
              <w:t>Serious and opportunistic infections including TB</w:t>
            </w:r>
          </w:p>
        </w:tc>
        <w:tc>
          <w:tcPr>
            <w:tcW w:w="749" w:type="pct"/>
          </w:tcPr>
          <w:p w14:paraId="0075E281"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1</w:t>
            </w:r>
          </w:p>
        </w:tc>
        <w:tc>
          <w:tcPr>
            <w:tcW w:w="736" w:type="pct"/>
          </w:tcPr>
          <w:p w14:paraId="457F15AD"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 xml:space="preserve">2, 3, 4 </w:t>
            </w:r>
          </w:p>
        </w:tc>
        <w:tc>
          <w:tcPr>
            <w:tcW w:w="536" w:type="pct"/>
          </w:tcPr>
          <w:p w14:paraId="376F6B23"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486DE220"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5, 6</w:t>
            </w:r>
          </w:p>
        </w:tc>
      </w:tr>
      <w:tr w:rsidR="00A45289" w:rsidRPr="006C5935" w14:paraId="4EA88A8D" w14:textId="77777777" w:rsidTr="003F1408">
        <w:trPr>
          <w:trHeight w:val="187"/>
        </w:trPr>
        <w:tc>
          <w:tcPr>
            <w:tcW w:w="806" w:type="pct"/>
            <w:vMerge/>
          </w:tcPr>
          <w:p w14:paraId="2A3774A3" w14:textId="77777777" w:rsidR="00A45289" w:rsidRPr="00776389" w:rsidRDefault="00A45289" w:rsidP="005E0625">
            <w:pPr>
              <w:ind w:left="0" w:right="0"/>
              <w:rPr>
                <w:sz w:val="20"/>
                <w:szCs w:val="20"/>
              </w:rPr>
            </w:pPr>
          </w:p>
        </w:tc>
        <w:tc>
          <w:tcPr>
            <w:tcW w:w="1721" w:type="pct"/>
          </w:tcPr>
          <w:p w14:paraId="2C826762" w14:textId="77777777" w:rsidR="00A45289" w:rsidRPr="00776389" w:rsidRDefault="00A45289" w:rsidP="005E0625">
            <w:pPr>
              <w:ind w:left="0" w:right="0"/>
              <w:rPr>
                <w:sz w:val="20"/>
                <w:szCs w:val="20"/>
              </w:rPr>
            </w:pPr>
            <w:r w:rsidRPr="00776389">
              <w:rPr>
                <w:sz w:val="20"/>
                <w:szCs w:val="20"/>
              </w:rPr>
              <w:t>Herpes zoster</w:t>
            </w:r>
          </w:p>
        </w:tc>
        <w:tc>
          <w:tcPr>
            <w:tcW w:w="749" w:type="pct"/>
          </w:tcPr>
          <w:p w14:paraId="21C4F019"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1</w:t>
            </w:r>
          </w:p>
        </w:tc>
        <w:tc>
          <w:tcPr>
            <w:tcW w:w="736" w:type="pct"/>
          </w:tcPr>
          <w:p w14:paraId="1B3BAC3A"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2, 3, 4</w:t>
            </w:r>
          </w:p>
        </w:tc>
        <w:tc>
          <w:tcPr>
            <w:tcW w:w="536" w:type="pct"/>
          </w:tcPr>
          <w:p w14:paraId="5B4AE8F0"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63D71E0B"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5, 6</w:t>
            </w:r>
          </w:p>
        </w:tc>
      </w:tr>
      <w:tr w:rsidR="00A45289" w:rsidRPr="006C5935" w14:paraId="222E8E5C" w14:textId="77777777" w:rsidTr="003F1408">
        <w:trPr>
          <w:trHeight w:val="159"/>
        </w:trPr>
        <w:tc>
          <w:tcPr>
            <w:tcW w:w="806" w:type="pct"/>
            <w:vMerge w:val="restart"/>
          </w:tcPr>
          <w:p w14:paraId="32D8150C" w14:textId="77777777" w:rsidR="00A45289" w:rsidRPr="00776389" w:rsidRDefault="00A45289" w:rsidP="005E0625">
            <w:pPr>
              <w:ind w:left="0" w:right="0"/>
              <w:rPr>
                <w:sz w:val="20"/>
                <w:szCs w:val="20"/>
              </w:rPr>
            </w:pPr>
            <w:r w:rsidRPr="00776389">
              <w:rPr>
                <w:sz w:val="20"/>
                <w:szCs w:val="20"/>
              </w:rPr>
              <w:t>Important potential risks</w:t>
            </w:r>
          </w:p>
        </w:tc>
        <w:tc>
          <w:tcPr>
            <w:tcW w:w="1721" w:type="pct"/>
          </w:tcPr>
          <w:p w14:paraId="26AC2E53" w14:textId="77777777" w:rsidR="00A45289" w:rsidRPr="00776389" w:rsidRDefault="00A45289" w:rsidP="005E0625">
            <w:pPr>
              <w:ind w:left="0" w:right="0"/>
              <w:rPr>
                <w:sz w:val="20"/>
                <w:szCs w:val="20"/>
              </w:rPr>
            </w:pPr>
            <w:r w:rsidRPr="00776389">
              <w:rPr>
                <w:sz w:val="20"/>
                <w:szCs w:val="20"/>
              </w:rPr>
              <w:t xml:space="preserve">Malignancies </w:t>
            </w:r>
          </w:p>
        </w:tc>
        <w:tc>
          <w:tcPr>
            <w:tcW w:w="749" w:type="pct"/>
          </w:tcPr>
          <w:p w14:paraId="3679EC23"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1</w:t>
            </w:r>
          </w:p>
        </w:tc>
        <w:tc>
          <w:tcPr>
            <w:tcW w:w="736" w:type="pct"/>
          </w:tcPr>
          <w:p w14:paraId="7E64C737"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2, 3</w:t>
            </w:r>
          </w:p>
        </w:tc>
        <w:tc>
          <w:tcPr>
            <w:tcW w:w="536" w:type="pct"/>
          </w:tcPr>
          <w:p w14:paraId="7B3B7446"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32E8A5D4" w14:textId="77777777" w:rsidR="00A45289" w:rsidRPr="00776389" w:rsidRDefault="00A45289" w:rsidP="005E0625">
            <w:pPr>
              <w:ind w:left="0" w:right="0"/>
              <w:rPr>
                <w:sz w:val="20"/>
                <w:szCs w:val="20"/>
                <w:vertAlign w:val="superscript"/>
              </w:rPr>
            </w:pPr>
            <w:r w:rsidRPr="00776389">
              <w:rPr>
                <w:sz w:val="20"/>
                <w:szCs w:val="20"/>
              </w:rPr>
              <w:t>–</w:t>
            </w:r>
          </w:p>
        </w:tc>
      </w:tr>
      <w:tr w:rsidR="00A45289" w:rsidRPr="006C5935" w14:paraId="300DE447" w14:textId="77777777" w:rsidTr="003F1408">
        <w:trPr>
          <w:trHeight w:val="122"/>
        </w:trPr>
        <w:tc>
          <w:tcPr>
            <w:tcW w:w="806" w:type="pct"/>
            <w:vMerge/>
          </w:tcPr>
          <w:p w14:paraId="6F1818D0" w14:textId="77777777" w:rsidR="00A45289" w:rsidRPr="00776389" w:rsidRDefault="00A45289" w:rsidP="005E0625">
            <w:pPr>
              <w:ind w:left="0" w:right="0"/>
              <w:rPr>
                <w:sz w:val="20"/>
                <w:szCs w:val="20"/>
              </w:rPr>
            </w:pPr>
          </w:p>
        </w:tc>
        <w:tc>
          <w:tcPr>
            <w:tcW w:w="1721" w:type="pct"/>
          </w:tcPr>
          <w:p w14:paraId="0A7CE903" w14:textId="77777777" w:rsidR="00A45289" w:rsidRPr="00776389" w:rsidRDefault="00A45289" w:rsidP="005E0625">
            <w:pPr>
              <w:ind w:left="0" w:right="0"/>
              <w:rPr>
                <w:sz w:val="20"/>
                <w:szCs w:val="20"/>
              </w:rPr>
            </w:pPr>
            <w:r w:rsidRPr="00776389">
              <w:rPr>
                <w:sz w:val="20"/>
                <w:szCs w:val="20"/>
              </w:rPr>
              <w:t>Major adverse cardiovascular event (MACE)</w:t>
            </w:r>
          </w:p>
        </w:tc>
        <w:tc>
          <w:tcPr>
            <w:tcW w:w="749" w:type="pct"/>
          </w:tcPr>
          <w:p w14:paraId="7503DEE5"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1</w:t>
            </w:r>
          </w:p>
        </w:tc>
        <w:tc>
          <w:tcPr>
            <w:tcW w:w="736" w:type="pct"/>
          </w:tcPr>
          <w:p w14:paraId="308AE9FC"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2, 3, 4</w:t>
            </w:r>
          </w:p>
        </w:tc>
        <w:tc>
          <w:tcPr>
            <w:tcW w:w="536" w:type="pct"/>
          </w:tcPr>
          <w:p w14:paraId="5C3F2683"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7DB551BE"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5, 6</w:t>
            </w:r>
          </w:p>
        </w:tc>
      </w:tr>
      <w:tr w:rsidR="00A45289" w:rsidRPr="006C5935" w14:paraId="579D2651" w14:textId="77777777" w:rsidTr="003F1408">
        <w:trPr>
          <w:trHeight w:val="122"/>
        </w:trPr>
        <w:tc>
          <w:tcPr>
            <w:tcW w:w="806" w:type="pct"/>
            <w:vMerge/>
          </w:tcPr>
          <w:p w14:paraId="1FFB542F" w14:textId="77777777" w:rsidR="00A45289" w:rsidRPr="00776389" w:rsidRDefault="00A45289" w:rsidP="005E0625">
            <w:pPr>
              <w:ind w:left="0" w:right="0"/>
              <w:rPr>
                <w:sz w:val="20"/>
                <w:szCs w:val="20"/>
              </w:rPr>
            </w:pPr>
          </w:p>
        </w:tc>
        <w:tc>
          <w:tcPr>
            <w:tcW w:w="1721" w:type="pct"/>
          </w:tcPr>
          <w:p w14:paraId="07D94121" w14:textId="77777777" w:rsidR="00A45289" w:rsidRPr="00776389" w:rsidRDefault="00A45289" w:rsidP="005E0625">
            <w:pPr>
              <w:ind w:left="0" w:right="0"/>
              <w:rPr>
                <w:sz w:val="20"/>
                <w:szCs w:val="20"/>
              </w:rPr>
            </w:pPr>
            <w:r w:rsidRPr="00776389">
              <w:rPr>
                <w:sz w:val="20"/>
                <w:szCs w:val="20"/>
              </w:rPr>
              <w:t>VTEs (deep venous thrombosis and pulmonary embolus)</w:t>
            </w:r>
          </w:p>
        </w:tc>
        <w:tc>
          <w:tcPr>
            <w:tcW w:w="749" w:type="pct"/>
          </w:tcPr>
          <w:p w14:paraId="34A44F5A"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1</w:t>
            </w:r>
          </w:p>
        </w:tc>
        <w:tc>
          <w:tcPr>
            <w:tcW w:w="736" w:type="pct"/>
          </w:tcPr>
          <w:p w14:paraId="1E850AA9" w14:textId="212F7F42"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2, 3</w:t>
            </w:r>
            <w:r w:rsidR="00886D40">
              <w:rPr>
                <w:sz w:val="20"/>
                <w:szCs w:val="20"/>
                <w:vertAlign w:val="superscript"/>
              </w:rPr>
              <w:t>, 4</w:t>
            </w:r>
          </w:p>
        </w:tc>
        <w:tc>
          <w:tcPr>
            <w:tcW w:w="536" w:type="pct"/>
          </w:tcPr>
          <w:p w14:paraId="70F6BC80"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44AA62CD" w14:textId="6F551C22" w:rsidR="00A45289" w:rsidRPr="00776389" w:rsidRDefault="00886D40" w:rsidP="005E0625">
            <w:pPr>
              <w:ind w:left="0" w:right="0"/>
              <w:rPr>
                <w:sz w:val="20"/>
                <w:szCs w:val="20"/>
                <w:vertAlign w:val="superscript"/>
              </w:rPr>
            </w:pPr>
            <w:r w:rsidRPr="00776389">
              <w:rPr>
                <w:sz w:val="20"/>
                <w:szCs w:val="20"/>
              </w:rPr>
              <w:sym w:font="Wingdings" w:char="F0FC"/>
            </w:r>
            <w:r w:rsidRPr="00776389">
              <w:rPr>
                <w:sz w:val="20"/>
                <w:szCs w:val="20"/>
                <w:vertAlign w:val="superscript"/>
              </w:rPr>
              <w:t>5, 6</w:t>
            </w:r>
          </w:p>
        </w:tc>
      </w:tr>
      <w:tr w:rsidR="00A45289" w:rsidRPr="006C5935" w14:paraId="0D9B7620" w14:textId="77777777" w:rsidTr="003F1408">
        <w:trPr>
          <w:trHeight w:val="122"/>
        </w:trPr>
        <w:tc>
          <w:tcPr>
            <w:tcW w:w="806" w:type="pct"/>
            <w:vMerge/>
          </w:tcPr>
          <w:p w14:paraId="42D3D515" w14:textId="77777777" w:rsidR="00A45289" w:rsidRPr="00776389" w:rsidRDefault="00A45289" w:rsidP="005E0625">
            <w:pPr>
              <w:ind w:left="0" w:right="0"/>
              <w:rPr>
                <w:sz w:val="20"/>
                <w:szCs w:val="20"/>
              </w:rPr>
            </w:pPr>
          </w:p>
        </w:tc>
        <w:tc>
          <w:tcPr>
            <w:tcW w:w="1721" w:type="pct"/>
          </w:tcPr>
          <w:p w14:paraId="53A2506F" w14:textId="77777777" w:rsidR="00A45289" w:rsidRPr="00776389" w:rsidRDefault="00A45289" w:rsidP="005E0625">
            <w:pPr>
              <w:ind w:left="0" w:right="0"/>
              <w:rPr>
                <w:sz w:val="20"/>
                <w:szCs w:val="20"/>
              </w:rPr>
            </w:pPr>
            <w:r w:rsidRPr="00776389">
              <w:rPr>
                <w:sz w:val="20"/>
                <w:szCs w:val="20"/>
              </w:rPr>
              <w:t>Gastrointestinal perforation</w:t>
            </w:r>
          </w:p>
        </w:tc>
        <w:tc>
          <w:tcPr>
            <w:tcW w:w="749" w:type="pct"/>
          </w:tcPr>
          <w:p w14:paraId="14F488F2" w14:textId="77777777" w:rsidR="00A45289" w:rsidRPr="00776389" w:rsidRDefault="00A45289" w:rsidP="005E0625">
            <w:pPr>
              <w:ind w:left="0" w:right="0"/>
              <w:rPr>
                <w:sz w:val="20"/>
                <w:szCs w:val="20"/>
              </w:rPr>
            </w:pPr>
            <w:r w:rsidRPr="00776389">
              <w:rPr>
                <w:sz w:val="20"/>
                <w:szCs w:val="20"/>
              </w:rPr>
              <w:sym w:font="Wingdings" w:char="F0FC"/>
            </w:r>
          </w:p>
        </w:tc>
        <w:tc>
          <w:tcPr>
            <w:tcW w:w="736" w:type="pct"/>
          </w:tcPr>
          <w:p w14:paraId="04365E7F"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2, 3</w:t>
            </w:r>
          </w:p>
        </w:tc>
        <w:tc>
          <w:tcPr>
            <w:tcW w:w="536" w:type="pct"/>
          </w:tcPr>
          <w:p w14:paraId="34D3D28E"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3D414FB4" w14:textId="77777777" w:rsidR="00A45289" w:rsidRPr="00776389" w:rsidRDefault="00A45289" w:rsidP="005E0625">
            <w:pPr>
              <w:ind w:left="0" w:right="0"/>
              <w:rPr>
                <w:sz w:val="20"/>
                <w:szCs w:val="20"/>
                <w:vertAlign w:val="superscript"/>
              </w:rPr>
            </w:pPr>
            <w:r w:rsidRPr="00776389">
              <w:rPr>
                <w:sz w:val="20"/>
                <w:szCs w:val="20"/>
              </w:rPr>
              <w:t>–</w:t>
            </w:r>
          </w:p>
        </w:tc>
      </w:tr>
      <w:tr w:rsidR="00A45289" w:rsidRPr="006C5935" w14:paraId="7C742AC6" w14:textId="77777777" w:rsidTr="003F1408">
        <w:trPr>
          <w:trHeight w:val="122"/>
        </w:trPr>
        <w:tc>
          <w:tcPr>
            <w:tcW w:w="806" w:type="pct"/>
            <w:vMerge/>
          </w:tcPr>
          <w:p w14:paraId="200F52EA" w14:textId="77777777" w:rsidR="00A45289" w:rsidRPr="00776389" w:rsidRDefault="00A45289" w:rsidP="005E0625">
            <w:pPr>
              <w:ind w:left="0" w:right="0"/>
              <w:rPr>
                <w:sz w:val="20"/>
                <w:szCs w:val="20"/>
              </w:rPr>
            </w:pPr>
          </w:p>
        </w:tc>
        <w:tc>
          <w:tcPr>
            <w:tcW w:w="1721" w:type="pct"/>
          </w:tcPr>
          <w:p w14:paraId="06EC91B6" w14:textId="77777777" w:rsidR="00A45289" w:rsidRPr="00776389" w:rsidRDefault="00A45289" w:rsidP="005E0625">
            <w:pPr>
              <w:ind w:left="0" w:right="0"/>
              <w:rPr>
                <w:sz w:val="20"/>
                <w:szCs w:val="20"/>
              </w:rPr>
            </w:pPr>
            <w:r w:rsidRPr="00776389">
              <w:rPr>
                <w:sz w:val="20"/>
                <w:szCs w:val="20"/>
              </w:rPr>
              <w:t>Drug-induced liver injury (DILI)</w:t>
            </w:r>
          </w:p>
        </w:tc>
        <w:tc>
          <w:tcPr>
            <w:tcW w:w="749" w:type="pct"/>
          </w:tcPr>
          <w:p w14:paraId="3C9E9729" w14:textId="77777777" w:rsidR="00A45289" w:rsidRPr="00776389" w:rsidRDefault="00A45289" w:rsidP="005E0625">
            <w:pPr>
              <w:ind w:left="0" w:right="0"/>
              <w:rPr>
                <w:sz w:val="20"/>
                <w:szCs w:val="20"/>
              </w:rPr>
            </w:pPr>
            <w:r w:rsidRPr="00776389">
              <w:rPr>
                <w:sz w:val="20"/>
                <w:szCs w:val="20"/>
              </w:rPr>
              <w:sym w:font="Wingdings" w:char="F0FC"/>
            </w:r>
          </w:p>
        </w:tc>
        <w:tc>
          <w:tcPr>
            <w:tcW w:w="736" w:type="pct"/>
          </w:tcPr>
          <w:p w14:paraId="2B19C189"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2, 3</w:t>
            </w:r>
          </w:p>
        </w:tc>
        <w:tc>
          <w:tcPr>
            <w:tcW w:w="536" w:type="pct"/>
          </w:tcPr>
          <w:p w14:paraId="16225CBE"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3F4CB2CD" w14:textId="77777777" w:rsidR="00A45289" w:rsidRPr="00776389" w:rsidRDefault="00A45289" w:rsidP="005E0625">
            <w:pPr>
              <w:ind w:left="0" w:right="0"/>
              <w:rPr>
                <w:sz w:val="20"/>
                <w:szCs w:val="20"/>
                <w:vertAlign w:val="superscript"/>
              </w:rPr>
            </w:pPr>
            <w:r w:rsidRPr="00776389">
              <w:rPr>
                <w:sz w:val="20"/>
                <w:szCs w:val="20"/>
              </w:rPr>
              <w:t>–</w:t>
            </w:r>
          </w:p>
        </w:tc>
      </w:tr>
      <w:tr w:rsidR="00A45289" w:rsidRPr="006C5935" w14:paraId="49C1BFF6" w14:textId="77777777" w:rsidTr="003F1408">
        <w:trPr>
          <w:trHeight w:val="112"/>
        </w:trPr>
        <w:tc>
          <w:tcPr>
            <w:tcW w:w="806" w:type="pct"/>
            <w:vMerge/>
          </w:tcPr>
          <w:p w14:paraId="0F99F900" w14:textId="77777777" w:rsidR="00A45289" w:rsidRPr="00776389" w:rsidRDefault="00A45289" w:rsidP="005E0625">
            <w:pPr>
              <w:ind w:left="0" w:right="0"/>
              <w:rPr>
                <w:sz w:val="20"/>
                <w:szCs w:val="20"/>
              </w:rPr>
            </w:pPr>
          </w:p>
        </w:tc>
        <w:tc>
          <w:tcPr>
            <w:tcW w:w="1721" w:type="pct"/>
          </w:tcPr>
          <w:p w14:paraId="20F22D46" w14:textId="77777777" w:rsidR="00A45289" w:rsidRPr="00776389" w:rsidRDefault="00A45289" w:rsidP="005E0625">
            <w:pPr>
              <w:ind w:left="0" w:right="0"/>
              <w:rPr>
                <w:sz w:val="20"/>
                <w:szCs w:val="20"/>
              </w:rPr>
            </w:pPr>
            <w:r w:rsidRPr="00776389">
              <w:rPr>
                <w:sz w:val="20"/>
                <w:szCs w:val="20"/>
              </w:rPr>
              <w:t>Foetal malformation following exposure in utero</w:t>
            </w:r>
          </w:p>
        </w:tc>
        <w:tc>
          <w:tcPr>
            <w:tcW w:w="749" w:type="pct"/>
          </w:tcPr>
          <w:p w14:paraId="05BF99B8"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1</w:t>
            </w:r>
          </w:p>
        </w:tc>
        <w:tc>
          <w:tcPr>
            <w:tcW w:w="736" w:type="pct"/>
          </w:tcPr>
          <w:p w14:paraId="2278DFAB"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3,4</w:t>
            </w:r>
          </w:p>
        </w:tc>
        <w:tc>
          <w:tcPr>
            <w:tcW w:w="536" w:type="pct"/>
          </w:tcPr>
          <w:p w14:paraId="122962F7"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58C647EA" w14:textId="58714467" w:rsidR="00A45289" w:rsidRPr="00776389" w:rsidRDefault="00A45289" w:rsidP="005E0625">
            <w:pPr>
              <w:ind w:left="0" w:right="0"/>
              <w:rPr>
                <w:sz w:val="20"/>
                <w:szCs w:val="20"/>
                <w:vertAlign w:val="superscript"/>
              </w:rPr>
            </w:pPr>
            <w:r w:rsidRPr="00776389">
              <w:rPr>
                <w:sz w:val="20"/>
                <w:szCs w:val="20"/>
              </w:rPr>
              <w:sym w:font="Wingdings" w:char="F0FC"/>
            </w:r>
            <w:r w:rsidR="005E0625">
              <w:rPr>
                <w:sz w:val="20"/>
                <w:szCs w:val="20"/>
                <w:vertAlign w:val="superscript"/>
              </w:rPr>
              <w:t>5,</w:t>
            </w:r>
            <w:r w:rsidRPr="00776389">
              <w:rPr>
                <w:sz w:val="20"/>
                <w:szCs w:val="20"/>
                <w:vertAlign w:val="superscript"/>
              </w:rPr>
              <w:t>6</w:t>
            </w:r>
          </w:p>
        </w:tc>
      </w:tr>
      <w:tr w:rsidR="00A45289" w:rsidRPr="006C5935" w14:paraId="70B63FD3" w14:textId="77777777" w:rsidTr="003F1408">
        <w:trPr>
          <w:trHeight w:val="178"/>
        </w:trPr>
        <w:tc>
          <w:tcPr>
            <w:tcW w:w="806" w:type="pct"/>
            <w:vMerge w:val="restart"/>
          </w:tcPr>
          <w:p w14:paraId="28EE260C" w14:textId="77777777" w:rsidR="00A45289" w:rsidRPr="00776389" w:rsidRDefault="00A45289" w:rsidP="005E0625">
            <w:pPr>
              <w:ind w:left="0" w:right="0"/>
              <w:rPr>
                <w:sz w:val="20"/>
                <w:szCs w:val="20"/>
              </w:rPr>
            </w:pPr>
            <w:r w:rsidRPr="00776389">
              <w:rPr>
                <w:sz w:val="20"/>
                <w:szCs w:val="20"/>
              </w:rPr>
              <w:t>Missing information</w:t>
            </w:r>
          </w:p>
        </w:tc>
        <w:tc>
          <w:tcPr>
            <w:tcW w:w="1721" w:type="pct"/>
          </w:tcPr>
          <w:p w14:paraId="5336607E" w14:textId="77777777" w:rsidR="00A45289" w:rsidRPr="00776389" w:rsidRDefault="00A45289" w:rsidP="005E0625">
            <w:pPr>
              <w:ind w:left="0" w:right="0"/>
              <w:rPr>
                <w:sz w:val="20"/>
                <w:szCs w:val="20"/>
              </w:rPr>
            </w:pPr>
            <w:r w:rsidRPr="00776389">
              <w:rPr>
                <w:sz w:val="20"/>
                <w:szCs w:val="20"/>
              </w:rPr>
              <w:t>Use in very elderly (≥ 75 years of age)</w:t>
            </w:r>
          </w:p>
        </w:tc>
        <w:tc>
          <w:tcPr>
            <w:tcW w:w="749" w:type="pct"/>
          </w:tcPr>
          <w:p w14:paraId="68209C36" w14:textId="77777777" w:rsidR="00A45289" w:rsidRPr="00776389" w:rsidRDefault="00A45289" w:rsidP="005E0625">
            <w:pPr>
              <w:ind w:left="0" w:right="0"/>
              <w:rPr>
                <w:sz w:val="20"/>
                <w:szCs w:val="20"/>
              </w:rPr>
            </w:pPr>
            <w:r w:rsidRPr="00776389">
              <w:rPr>
                <w:sz w:val="20"/>
                <w:szCs w:val="20"/>
              </w:rPr>
              <w:sym w:font="Wingdings" w:char="F0FC"/>
            </w:r>
          </w:p>
        </w:tc>
        <w:tc>
          <w:tcPr>
            <w:tcW w:w="736" w:type="pct"/>
          </w:tcPr>
          <w:p w14:paraId="4615A6AC"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2</w:t>
            </w:r>
          </w:p>
        </w:tc>
        <w:tc>
          <w:tcPr>
            <w:tcW w:w="536" w:type="pct"/>
          </w:tcPr>
          <w:p w14:paraId="47A7F345"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112C6F4B" w14:textId="77777777" w:rsidR="00A45289" w:rsidRPr="00776389" w:rsidRDefault="00A45289" w:rsidP="005E0625">
            <w:pPr>
              <w:ind w:left="0" w:right="0"/>
              <w:rPr>
                <w:sz w:val="20"/>
                <w:szCs w:val="20"/>
                <w:vertAlign w:val="superscript"/>
              </w:rPr>
            </w:pPr>
            <w:r w:rsidRPr="00776389">
              <w:rPr>
                <w:sz w:val="20"/>
                <w:szCs w:val="20"/>
              </w:rPr>
              <w:t>–</w:t>
            </w:r>
          </w:p>
        </w:tc>
      </w:tr>
      <w:tr w:rsidR="00A45289" w:rsidRPr="006C5935" w14:paraId="26E73865" w14:textId="77777777" w:rsidTr="003F1408">
        <w:trPr>
          <w:trHeight w:val="103"/>
        </w:trPr>
        <w:tc>
          <w:tcPr>
            <w:tcW w:w="806" w:type="pct"/>
            <w:vMerge/>
          </w:tcPr>
          <w:p w14:paraId="1ABB689B" w14:textId="77777777" w:rsidR="00A45289" w:rsidRPr="006C5935" w:rsidRDefault="00A45289" w:rsidP="005E0625">
            <w:pPr>
              <w:pStyle w:val="Tabletext"/>
              <w:ind w:left="0" w:right="0"/>
            </w:pPr>
          </w:p>
        </w:tc>
        <w:tc>
          <w:tcPr>
            <w:tcW w:w="1721" w:type="pct"/>
          </w:tcPr>
          <w:p w14:paraId="22A8CBF7" w14:textId="77777777" w:rsidR="00A45289" w:rsidRPr="00776389" w:rsidRDefault="00A45289" w:rsidP="005E0625">
            <w:pPr>
              <w:ind w:left="0" w:right="0"/>
              <w:rPr>
                <w:sz w:val="20"/>
                <w:szCs w:val="20"/>
              </w:rPr>
            </w:pPr>
            <w:r w:rsidRPr="00776389">
              <w:rPr>
                <w:sz w:val="20"/>
                <w:szCs w:val="20"/>
              </w:rPr>
              <w:t>Effect on vaccination efficacy</w:t>
            </w:r>
          </w:p>
        </w:tc>
        <w:tc>
          <w:tcPr>
            <w:tcW w:w="749" w:type="pct"/>
          </w:tcPr>
          <w:p w14:paraId="40A58B69" w14:textId="77777777" w:rsidR="00A45289" w:rsidRPr="00776389" w:rsidRDefault="00A45289" w:rsidP="005E0625">
            <w:pPr>
              <w:ind w:left="0" w:right="0"/>
              <w:rPr>
                <w:sz w:val="20"/>
                <w:szCs w:val="20"/>
                <w:vertAlign w:val="superscript"/>
              </w:rPr>
            </w:pPr>
            <w:r w:rsidRPr="00776389">
              <w:rPr>
                <w:sz w:val="20"/>
                <w:szCs w:val="20"/>
              </w:rPr>
              <w:sym w:font="Wingdings" w:char="F0FC"/>
            </w:r>
          </w:p>
        </w:tc>
        <w:tc>
          <w:tcPr>
            <w:tcW w:w="736" w:type="pct"/>
          </w:tcPr>
          <w:p w14:paraId="29E21C54" w14:textId="77777777" w:rsidR="00A45289" w:rsidRPr="00776389" w:rsidRDefault="00A45289" w:rsidP="005E0625">
            <w:pPr>
              <w:ind w:left="0" w:right="0"/>
              <w:rPr>
                <w:sz w:val="20"/>
                <w:szCs w:val="20"/>
                <w:vertAlign w:val="superscript"/>
              </w:rPr>
            </w:pPr>
            <w:r w:rsidRPr="00776389">
              <w:rPr>
                <w:sz w:val="20"/>
                <w:szCs w:val="20"/>
              </w:rPr>
              <w:sym w:font="Wingdings" w:char="F0FC"/>
            </w:r>
            <w:r w:rsidRPr="00776389">
              <w:rPr>
                <w:sz w:val="20"/>
                <w:szCs w:val="20"/>
                <w:vertAlign w:val="superscript"/>
              </w:rPr>
              <w:t>7</w:t>
            </w:r>
          </w:p>
        </w:tc>
        <w:tc>
          <w:tcPr>
            <w:tcW w:w="536" w:type="pct"/>
          </w:tcPr>
          <w:p w14:paraId="62658C8B"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6CCD9C04" w14:textId="77777777" w:rsidR="00A45289" w:rsidRPr="00776389" w:rsidRDefault="00A45289" w:rsidP="005E0625">
            <w:pPr>
              <w:ind w:left="0" w:right="0"/>
              <w:rPr>
                <w:sz w:val="20"/>
                <w:szCs w:val="20"/>
                <w:vertAlign w:val="superscript"/>
              </w:rPr>
            </w:pPr>
            <w:r w:rsidRPr="00776389">
              <w:rPr>
                <w:sz w:val="20"/>
                <w:szCs w:val="20"/>
              </w:rPr>
              <w:t>–</w:t>
            </w:r>
          </w:p>
        </w:tc>
      </w:tr>
      <w:tr w:rsidR="00A45289" w:rsidRPr="006C5935" w14:paraId="35BAAD1C" w14:textId="77777777" w:rsidTr="003F1408">
        <w:trPr>
          <w:trHeight w:val="103"/>
        </w:trPr>
        <w:tc>
          <w:tcPr>
            <w:tcW w:w="806" w:type="pct"/>
            <w:vMerge/>
          </w:tcPr>
          <w:p w14:paraId="0F6B46BF" w14:textId="77777777" w:rsidR="00A45289" w:rsidRPr="006C5935" w:rsidRDefault="00A45289" w:rsidP="005E0625">
            <w:pPr>
              <w:pStyle w:val="Tabletext"/>
              <w:ind w:left="0" w:right="0"/>
            </w:pPr>
          </w:p>
        </w:tc>
        <w:tc>
          <w:tcPr>
            <w:tcW w:w="1721" w:type="pct"/>
          </w:tcPr>
          <w:p w14:paraId="2185CEE0" w14:textId="77777777" w:rsidR="00A45289" w:rsidRPr="00776389" w:rsidRDefault="00A45289" w:rsidP="005E0625">
            <w:pPr>
              <w:ind w:left="0" w:right="0"/>
              <w:rPr>
                <w:sz w:val="20"/>
                <w:szCs w:val="20"/>
              </w:rPr>
            </w:pPr>
            <w:r w:rsidRPr="00776389">
              <w:rPr>
                <w:sz w:val="20"/>
                <w:szCs w:val="20"/>
              </w:rPr>
              <w:t>Use in patients with evidence of untreated chronic infection with hepatitis B or hepatitis C</w:t>
            </w:r>
          </w:p>
        </w:tc>
        <w:tc>
          <w:tcPr>
            <w:tcW w:w="749" w:type="pct"/>
          </w:tcPr>
          <w:p w14:paraId="255E37C6" w14:textId="77777777" w:rsidR="00A45289" w:rsidRPr="00776389" w:rsidRDefault="00A45289" w:rsidP="005E0625">
            <w:pPr>
              <w:ind w:left="0" w:right="0"/>
              <w:rPr>
                <w:sz w:val="20"/>
                <w:szCs w:val="20"/>
              </w:rPr>
            </w:pPr>
            <w:r w:rsidRPr="00776389">
              <w:rPr>
                <w:sz w:val="20"/>
                <w:szCs w:val="20"/>
              </w:rPr>
              <w:sym w:font="Wingdings" w:char="F0FC"/>
            </w:r>
          </w:p>
        </w:tc>
        <w:tc>
          <w:tcPr>
            <w:tcW w:w="736" w:type="pct"/>
          </w:tcPr>
          <w:p w14:paraId="2A8E7CF3"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2</w:t>
            </w:r>
          </w:p>
        </w:tc>
        <w:tc>
          <w:tcPr>
            <w:tcW w:w="536" w:type="pct"/>
          </w:tcPr>
          <w:p w14:paraId="375C3DD6"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68BD0020" w14:textId="77777777" w:rsidR="00A45289" w:rsidRPr="00776389" w:rsidRDefault="00A45289" w:rsidP="005E0625">
            <w:pPr>
              <w:ind w:left="0" w:right="0"/>
              <w:rPr>
                <w:sz w:val="20"/>
                <w:szCs w:val="20"/>
                <w:vertAlign w:val="superscript"/>
              </w:rPr>
            </w:pPr>
            <w:r w:rsidRPr="00776389">
              <w:rPr>
                <w:sz w:val="20"/>
                <w:szCs w:val="20"/>
              </w:rPr>
              <w:t>–</w:t>
            </w:r>
          </w:p>
        </w:tc>
      </w:tr>
      <w:tr w:rsidR="00A45289" w:rsidRPr="006C5935" w14:paraId="7C54C936" w14:textId="77777777" w:rsidTr="003F1408">
        <w:trPr>
          <w:trHeight w:val="103"/>
        </w:trPr>
        <w:tc>
          <w:tcPr>
            <w:tcW w:w="806" w:type="pct"/>
            <w:vMerge/>
          </w:tcPr>
          <w:p w14:paraId="558FCAB6" w14:textId="77777777" w:rsidR="00A45289" w:rsidRPr="006C5935" w:rsidRDefault="00A45289" w:rsidP="005E0625">
            <w:pPr>
              <w:pStyle w:val="Tabletext"/>
              <w:ind w:left="0" w:right="0"/>
            </w:pPr>
          </w:p>
        </w:tc>
        <w:tc>
          <w:tcPr>
            <w:tcW w:w="1721" w:type="pct"/>
          </w:tcPr>
          <w:p w14:paraId="08608329" w14:textId="77777777" w:rsidR="00A45289" w:rsidRPr="00776389" w:rsidRDefault="00A45289" w:rsidP="005E0625">
            <w:pPr>
              <w:ind w:left="0" w:right="0"/>
              <w:rPr>
                <w:sz w:val="20"/>
                <w:szCs w:val="20"/>
              </w:rPr>
            </w:pPr>
            <w:r w:rsidRPr="00776389">
              <w:rPr>
                <w:sz w:val="20"/>
                <w:szCs w:val="20"/>
              </w:rPr>
              <w:t>Use in patients with severe hepatic impairment</w:t>
            </w:r>
          </w:p>
        </w:tc>
        <w:tc>
          <w:tcPr>
            <w:tcW w:w="749" w:type="pct"/>
          </w:tcPr>
          <w:p w14:paraId="7994639A" w14:textId="77777777" w:rsidR="00A45289" w:rsidRPr="00776389" w:rsidRDefault="00A45289" w:rsidP="005E0625">
            <w:pPr>
              <w:ind w:left="0" w:right="0"/>
              <w:rPr>
                <w:sz w:val="20"/>
                <w:szCs w:val="20"/>
              </w:rPr>
            </w:pPr>
            <w:r w:rsidRPr="00776389">
              <w:rPr>
                <w:sz w:val="20"/>
                <w:szCs w:val="20"/>
              </w:rPr>
              <w:sym w:font="Wingdings" w:char="F0FC"/>
            </w:r>
          </w:p>
        </w:tc>
        <w:tc>
          <w:tcPr>
            <w:tcW w:w="736" w:type="pct"/>
          </w:tcPr>
          <w:p w14:paraId="4CBE157D"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2</w:t>
            </w:r>
          </w:p>
        </w:tc>
        <w:tc>
          <w:tcPr>
            <w:tcW w:w="536" w:type="pct"/>
          </w:tcPr>
          <w:p w14:paraId="334B30B5"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6698507D" w14:textId="77777777" w:rsidR="00A45289" w:rsidRPr="00776389" w:rsidRDefault="00A45289" w:rsidP="005E0625">
            <w:pPr>
              <w:ind w:left="0" w:right="0"/>
              <w:rPr>
                <w:sz w:val="20"/>
                <w:szCs w:val="20"/>
                <w:vertAlign w:val="superscript"/>
              </w:rPr>
            </w:pPr>
            <w:r w:rsidRPr="00776389">
              <w:rPr>
                <w:sz w:val="20"/>
                <w:szCs w:val="20"/>
              </w:rPr>
              <w:t>–</w:t>
            </w:r>
          </w:p>
        </w:tc>
      </w:tr>
      <w:tr w:rsidR="00A45289" w:rsidRPr="006C5935" w14:paraId="5A113CA2" w14:textId="77777777" w:rsidTr="003F1408">
        <w:trPr>
          <w:trHeight w:val="103"/>
        </w:trPr>
        <w:tc>
          <w:tcPr>
            <w:tcW w:w="806" w:type="pct"/>
            <w:vMerge/>
          </w:tcPr>
          <w:p w14:paraId="5BB81BD8" w14:textId="77777777" w:rsidR="00A45289" w:rsidRPr="006C5935" w:rsidRDefault="00A45289" w:rsidP="005E0625">
            <w:pPr>
              <w:pStyle w:val="Tabletext"/>
              <w:ind w:left="0" w:right="0"/>
            </w:pPr>
          </w:p>
        </w:tc>
        <w:tc>
          <w:tcPr>
            <w:tcW w:w="1721" w:type="pct"/>
          </w:tcPr>
          <w:p w14:paraId="411117CB" w14:textId="77777777" w:rsidR="00A45289" w:rsidRPr="00776389" w:rsidRDefault="00A45289" w:rsidP="005E0625">
            <w:pPr>
              <w:ind w:left="0" w:right="0"/>
              <w:rPr>
                <w:sz w:val="20"/>
                <w:szCs w:val="20"/>
              </w:rPr>
            </w:pPr>
            <w:r w:rsidRPr="00776389">
              <w:rPr>
                <w:sz w:val="20"/>
                <w:szCs w:val="20"/>
              </w:rPr>
              <w:t>Long term safety</w:t>
            </w:r>
          </w:p>
        </w:tc>
        <w:tc>
          <w:tcPr>
            <w:tcW w:w="749" w:type="pct"/>
          </w:tcPr>
          <w:p w14:paraId="47CA96EB" w14:textId="56B7FA63" w:rsidR="00A45289" w:rsidRPr="00776389" w:rsidRDefault="00A45289" w:rsidP="005E0625">
            <w:pPr>
              <w:ind w:left="0" w:right="0"/>
              <w:rPr>
                <w:sz w:val="20"/>
                <w:szCs w:val="20"/>
                <w:vertAlign w:val="superscript"/>
              </w:rPr>
            </w:pPr>
            <w:r w:rsidRPr="00776389">
              <w:rPr>
                <w:sz w:val="20"/>
                <w:szCs w:val="20"/>
              </w:rPr>
              <w:sym w:font="Wingdings" w:char="F0FC"/>
            </w:r>
          </w:p>
        </w:tc>
        <w:tc>
          <w:tcPr>
            <w:tcW w:w="736" w:type="pct"/>
          </w:tcPr>
          <w:p w14:paraId="420C9CD9"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2,3</w:t>
            </w:r>
          </w:p>
        </w:tc>
        <w:tc>
          <w:tcPr>
            <w:tcW w:w="536" w:type="pct"/>
          </w:tcPr>
          <w:p w14:paraId="78EA04C0"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44C5245F" w14:textId="77777777" w:rsidR="00A45289" w:rsidRPr="00776389" w:rsidRDefault="00A45289" w:rsidP="005E0625">
            <w:pPr>
              <w:ind w:left="0" w:right="0"/>
              <w:rPr>
                <w:sz w:val="20"/>
                <w:szCs w:val="20"/>
              </w:rPr>
            </w:pPr>
            <w:r w:rsidRPr="00776389">
              <w:rPr>
                <w:sz w:val="20"/>
                <w:szCs w:val="20"/>
              </w:rPr>
              <w:t>–</w:t>
            </w:r>
          </w:p>
        </w:tc>
      </w:tr>
      <w:tr w:rsidR="00A45289" w:rsidRPr="006C5935" w14:paraId="2B5B3E1A" w14:textId="77777777" w:rsidTr="003F1408">
        <w:trPr>
          <w:trHeight w:val="140"/>
        </w:trPr>
        <w:tc>
          <w:tcPr>
            <w:tcW w:w="806" w:type="pct"/>
            <w:vMerge/>
          </w:tcPr>
          <w:p w14:paraId="624FF0CF" w14:textId="77777777" w:rsidR="00A45289" w:rsidRPr="006C5935" w:rsidRDefault="00A45289" w:rsidP="005E0625">
            <w:pPr>
              <w:pStyle w:val="Tabletext"/>
              <w:ind w:left="0" w:right="0"/>
            </w:pPr>
          </w:p>
        </w:tc>
        <w:tc>
          <w:tcPr>
            <w:tcW w:w="1721" w:type="pct"/>
          </w:tcPr>
          <w:p w14:paraId="2FD62CDC" w14:textId="77777777" w:rsidR="00A45289" w:rsidRPr="00776389" w:rsidRDefault="00A45289" w:rsidP="005E0625">
            <w:pPr>
              <w:ind w:left="0" w:right="0"/>
              <w:rPr>
                <w:sz w:val="20"/>
                <w:szCs w:val="20"/>
              </w:rPr>
            </w:pPr>
            <w:r w:rsidRPr="00776389">
              <w:rPr>
                <w:sz w:val="20"/>
                <w:szCs w:val="20"/>
              </w:rPr>
              <w:t>Use in patients with severe renal impairment</w:t>
            </w:r>
          </w:p>
        </w:tc>
        <w:tc>
          <w:tcPr>
            <w:tcW w:w="749" w:type="pct"/>
          </w:tcPr>
          <w:p w14:paraId="4683D0D5" w14:textId="77777777" w:rsidR="00A45289" w:rsidRPr="00776389" w:rsidRDefault="00A45289" w:rsidP="005E0625">
            <w:pPr>
              <w:ind w:left="0" w:right="0"/>
              <w:rPr>
                <w:sz w:val="20"/>
                <w:szCs w:val="20"/>
              </w:rPr>
            </w:pPr>
            <w:r w:rsidRPr="00776389">
              <w:rPr>
                <w:sz w:val="20"/>
                <w:szCs w:val="20"/>
              </w:rPr>
              <w:sym w:font="Wingdings" w:char="F0FC"/>
            </w:r>
          </w:p>
        </w:tc>
        <w:tc>
          <w:tcPr>
            <w:tcW w:w="736" w:type="pct"/>
          </w:tcPr>
          <w:p w14:paraId="49EF5E36" w14:textId="77777777" w:rsidR="00A45289" w:rsidRPr="00776389" w:rsidRDefault="00A45289" w:rsidP="005E0625">
            <w:pPr>
              <w:ind w:left="0" w:right="0"/>
              <w:rPr>
                <w:sz w:val="20"/>
                <w:szCs w:val="20"/>
              </w:rPr>
            </w:pPr>
            <w:r w:rsidRPr="00776389">
              <w:rPr>
                <w:sz w:val="20"/>
                <w:szCs w:val="20"/>
              </w:rPr>
              <w:sym w:font="Wingdings" w:char="F0FC"/>
            </w:r>
            <w:r w:rsidRPr="00776389">
              <w:rPr>
                <w:sz w:val="20"/>
                <w:szCs w:val="20"/>
                <w:vertAlign w:val="superscript"/>
              </w:rPr>
              <w:t>2</w:t>
            </w:r>
          </w:p>
        </w:tc>
        <w:tc>
          <w:tcPr>
            <w:tcW w:w="536" w:type="pct"/>
          </w:tcPr>
          <w:p w14:paraId="7EFE077E" w14:textId="77777777" w:rsidR="00A45289" w:rsidRPr="00776389" w:rsidRDefault="00A45289" w:rsidP="005E0625">
            <w:pPr>
              <w:ind w:left="0" w:right="0"/>
              <w:rPr>
                <w:sz w:val="20"/>
                <w:szCs w:val="20"/>
              </w:rPr>
            </w:pPr>
            <w:r w:rsidRPr="00776389">
              <w:rPr>
                <w:sz w:val="20"/>
                <w:szCs w:val="20"/>
              </w:rPr>
              <w:sym w:font="Wingdings" w:char="F0FC"/>
            </w:r>
          </w:p>
        </w:tc>
        <w:tc>
          <w:tcPr>
            <w:tcW w:w="452" w:type="pct"/>
          </w:tcPr>
          <w:p w14:paraId="727270B8" w14:textId="77777777" w:rsidR="00A45289" w:rsidRPr="00776389" w:rsidRDefault="00A45289" w:rsidP="005E0625">
            <w:pPr>
              <w:ind w:left="0" w:right="0"/>
              <w:rPr>
                <w:sz w:val="20"/>
                <w:szCs w:val="20"/>
                <w:vertAlign w:val="superscript"/>
              </w:rPr>
            </w:pPr>
            <w:r w:rsidRPr="00776389">
              <w:rPr>
                <w:sz w:val="20"/>
                <w:szCs w:val="20"/>
              </w:rPr>
              <w:t>–</w:t>
            </w:r>
          </w:p>
        </w:tc>
      </w:tr>
    </w:tbl>
    <w:p w14:paraId="666A3DA4" w14:textId="582F2E6D" w:rsidR="00A45289" w:rsidRDefault="00A45289" w:rsidP="002522CB">
      <w:pPr>
        <w:pStyle w:val="TableDescription"/>
      </w:pPr>
      <w:r w:rsidRPr="006C5935">
        <w:rPr>
          <w:vertAlign w:val="superscript"/>
        </w:rPr>
        <w:t xml:space="preserve">1 </w:t>
      </w:r>
      <w:r w:rsidRPr="006C5935">
        <w:t>Specific adverse r</w:t>
      </w:r>
      <w:r w:rsidR="00093889">
        <w:t>eaction follow-up questionnaire.</w:t>
      </w:r>
      <w:r w:rsidRPr="006C5935">
        <w:rPr>
          <w:vertAlign w:val="superscript"/>
        </w:rPr>
        <w:t>2</w:t>
      </w:r>
      <w:r w:rsidR="00093889">
        <w:t xml:space="preserve"> Long-term cohort studies. </w:t>
      </w:r>
      <w:r w:rsidRPr="006C5935">
        <w:rPr>
          <w:vertAlign w:val="superscript"/>
        </w:rPr>
        <w:t xml:space="preserve">3 </w:t>
      </w:r>
      <w:r w:rsidRPr="006C5935">
        <w:t xml:space="preserve">Long-term extensions of </w:t>
      </w:r>
      <w:r w:rsidR="004A1AEF">
        <w:t>P</w:t>
      </w:r>
      <w:r w:rsidRPr="006C5935">
        <w:t>hase III cli</w:t>
      </w:r>
      <w:r w:rsidR="00093889">
        <w:t xml:space="preserve">nical trials. </w:t>
      </w:r>
      <w:r w:rsidRPr="006C5935">
        <w:rPr>
          <w:vertAlign w:val="superscript"/>
        </w:rPr>
        <w:t>4</w:t>
      </w:r>
      <w:r w:rsidRPr="006C5935">
        <w:t xml:space="preserve">Evaluate effectiveness of the </w:t>
      </w:r>
      <w:proofErr w:type="spellStart"/>
      <w:r w:rsidRPr="006C5935">
        <w:t>aRMMs</w:t>
      </w:r>
      <w:proofErr w:type="spellEnd"/>
      <w:r w:rsidRPr="006C5935">
        <w:t xml:space="preserve"> in improving the awaren</w:t>
      </w:r>
      <w:r w:rsidR="00093889">
        <w:t xml:space="preserve">ess and education of physicians. </w:t>
      </w:r>
      <w:r w:rsidRPr="006C5935">
        <w:rPr>
          <w:vertAlign w:val="superscript"/>
        </w:rPr>
        <w:t xml:space="preserve">5 </w:t>
      </w:r>
      <w:r w:rsidRPr="006C5935">
        <w:t>He</w:t>
      </w:r>
      <w:r w:rsidR="00093889">
        <w:t xml:space="preserve">althcare professional education. </w:t>
      </w:r>
      <w:r w:rsidRPr="006C5935">
        <w:rPr>
          <w:vertAlign w:val="superscript"/>
        </w:rPr>
        <w:t xml:space="preserve">6 </w:t>
      </w:r>
      <w:r w:rsidR="00093889">
        <w:t xml:space="preserve">Patient alert card. </w:t>
      </w:r>
      <w:r w:rsidRPr="006C5935">
        <w:rPr>
          <w:vertAlign w:val="superscript"/>
        </w:rPr>
        <w:t>7</w:t>
      </w:r>
      <w:r w:rsidRPr="006C5935">
        <w:t xml:space="preserve">Vaccination </w:t>
      </w:r>
      <w:proofErr w:type="spellStart"/>
      <w:r w:rsidRPr="006C5935">
        <w:t>substudy</w:t>
      </w:r>
      <w:proofErr w:type="spellEnd"/>
    </w:p>
    <w:p w14:paraId="14CBA063" w14:textId="4D586BEC" w:rsidR="0055166A" w:rsidRDefault="0055166A" w:rsidP="00776389">
      <w:r>
        <w:t>The proposed pharmacovigilance plan through routine and additional pharmacovigilance activities is considered acceptable. The proposed risk minimisation plan through routine and additional risk minimisation measures is generally acceptable.</w:t>
      </w:r>
      <w:r w:rsidR="004E3248">
        <w:t xml:space="preserve"> </w:t>
      </w:r>
      <w:r>
        <w:t>The sponsor will supply a patient alert card to prescribers and make it available as a printable version on its website.</w:t>
      </w:r>
    </w:p>
    <w:p w14:paraId="62D4A757" w14:textId="77777777" w:rsidR="0055166A" w:rsidRDefault="0055166A" w:rsidP="00776389">
      <w:r>
        <w:t xml:space="preserve">All recommendations made in the </w:t>
      </w:r>
      <w:r w:rsidR="002522CB">
        <w:t>second round evaluation</w:t>
      </w:r>
      <w:r>
        <w:t xml:space="preserve"> report have been resolved with the RMP section and there are no outstanding RMP recommendations.</w:t>
      </w:r>
    </w:p>
    <w:p w14:paraId="1324A959" w14:textId="77777777" w:rsidR="0055166A" w:rsidRDefault="0055166A" w:rsidP="00776389">
      <w:r>
        <w:t>However, the RMP evaluator had concerns about the lack of information on MACE in the PI.</w:t>
      </w:r>
      <w:r w:rsidR="004E3248">
        <w:t xml:space="preserve"> </w:t>
      </w:r>
      <w:r>
        <w:t>The sponsor is proposing to use additional risk minimisation activity for education on MACE for HCPs but is not including this information in the proposed PI.</w:t>
      </w:r>
      <w:r w:rsidR="004E3248">
        <w:t xml:space="preserve"> </w:t>
      </w:r>
      <w:r>
        <w:t>The evaluator comments that the sponsor states that there will be further evaluation of MACE through long-term safety studies and that the Australian PI will be updated if MACE is confirmed as a risk. The RMP evaluator considered this acceptable at this point as MACE is still being evaluated with post-market monitoring to provide evidence, and the sponsor has committed to updating the PI if required.</w:t>
      </w:r>
    </w:p>
    <w:p w14:paraId="00816EAA" w14:textId="77777777" w:rsidR="008E7846" w:rsidRDefault="00AA0ED0" w:rsidP="008E7846">
      <w:pPr>
        <w:pStyle w:val="Heading3"/>
      </w:pPr>
      <w:bookmarkStart w:id="44" w:name="_Toc247691531"/>
      <w:bookmarkStart w:id="45" w:name="_Toc314842515"/>
      <w:bookmarkStart w:id="46" w:name="_Toc196046505"/>
      <w:bookmarkStart w:id="47" w:name="_Toc196046949"/>
      <w:bookmarkStart w:id="48" w:name="_Toc40171808"/>
      <w:r>
        <w:t>Risk-benefit a</w:t>
      </w:r>
      <w:r w:rsidR="008E7846">
        <w:t>nalysis</w:t>
      </w:r>
      <w:bookmarkEnd w:id="44"/>
      <w:bookmarkEnd w:id="45"/>
      <w:bookmarkEnd w:id="48"/>
    </w:p>
    <w:p w14:paraId="007F0D22" w14:textId="53BA7FE5" w:rsidR="00D23139" w:rsidRDefault="00F618DB" w:rsidP="00D23139">
      <w:pPr>
        <w:pStyle w:val="Heading4"/>
      </w:pPr>
      <w:r>
        <w:t>Delegate’s considerations</w:t>
      </w:r>
    </w:p>
    <w:p w14:paraId="25278C9F" w14:textId="77777777" w:rsidR="0055166A" w:rsidRDefault="00093889" w:rsidP="0055166A">
      <w:pPr>
        <w:pStyle w:val="Heading4"/>
        <w:jc w:val="both"/>
      </w:pPr>
      <w:r>
        <w:t>Benefit/r</w:t>
      </w:r>
      <w:r w:rsidR="0055166A">
        <w:t>isk</w:t>
      </w:r>
    </w:p>
    <w:p w14:paraId="794A88BC" w14:textId="55C560EC" w:rsidR="0055166A" w:rsidRPr="00776389" w:rsidRDefault="0055166A" w:rsidP="00776389">
      <w:r w:rsidRPr="00776389">
        <w:t>Upadacitinib is the third JAK inhibitor for rheumatoid arthritis.</w:t>
      </w:r>
      <w:r w:rsidR="004E3248">
        <w:t xml:space="preserve"> </w:t>
      </w:r>
      <w:r w:rsidRPr="00776389">
        <w:t xml:space="preserve">The sponsor has submitted a development program that includes monotherapy and combination therapy with </w:t>
      </w:r>
      <w:proofErr w:type="spellStart"/>
      <w:r w:rsidRPr="00776389">
        <w:t>csDMARDs</w:t>
      </w:r>
      <w:proofErr w:type="spellEnd"/>
      <w:r w:rsidRPr="00776389">
        <w:t xml:space="preserve"> in the setting of inadequate control with </w:t>
      </w:r>
      <w:proofErr w:type="spellStart"/>
      <w:r w:rsidR="00933259">
        <w:t>cs</w:t>
      </w:r>
      <w:r w:rsidRPr="00776389">
        <w:t>DMARDs</w:t>
      </w:r>
      <w:proofErr w:type="spellEnd"/>
      <w:r w:rsidRPr="00776389">
        <w:t xml:space="preserve"> (mainly methotrexate), inadequate control with biological therapies and methotrexate naïve patients. Upadacitinib was also compared with methotrexate and </w:t>
      </w:r>
      <w:proofErr w:type="spellStart"/>
      <w:r w:rsidRPr="00776389">
        <w:t>adalimumab</w:t>
      </w:r>
      <w:proofErr w:type="spellEnd"/>
      <w:r w:rsidRPr="00776389">
        <w:t xml:space="preserve">. The doses of concomitant background treatment with </w:t>
      </w:r>
      <w:proofErr w:type="spellStart"/>
      <w:r w:rsidR="00933259">
        <w:t>cs</w:t>
      </w:r>
      <w:r w:rsidRPr="00776389">
        <w:t>DMARD</w:t>
      </w:r>
      <w:proofErr w:type="spellEnd"/>
      <w:r w:rsidRPr="00776389">
        <w:t xml:space="preserve"> therapy (predominately methotrexate) were mostly consistent with contemporary clinical practice in Australia, however, this may reflect sub-optimal practice.</w:t>
      </w:r>
      <w:r w:rsidR="004E3248">
        <w:t xml:space="preserve"> </w:t>
      </w:r>
      <w:r w:rsidRPr="00776389">
        <w:t xml:space="preserve">The sponsor has requested the indication include use as monotherapy or with other </w:t>
      </w:r>
      <w:proofErr w:type="spellStart"/>
      <w:r w:rsidRPr="00776389">
        <w:t>csDMARDs</w:t>
      </w:r>
      <w:proofErr w:type="spellEnd"/>
      <w:r w:rsidRPr="00776389">
        <w:t xml:space="preserve"> including methotrexate, which is supported by the submitted studies.</w:t>
      </w:r>
      <w:r w:rsidR="004E3248">
        <w:t xml:space="preserve"> </w:t>
      </w:r>
      <w:r w:rsidR="005E5D41" w:rsidRPr="00776389">
        <w:t>Overall,</w:t>
      </w:r>
      <w:r w:rsidRPr="00776389">
        <w:t xml:space="preserve"> the submission appears to generally adhere to the adopted EU guideline on rheumatoid arthritis.</w:t>
      </w:r>
      <w:r w:rsidR="004E3248">
        <w:t xml:space="preserve"> </w:t>
      </w:r>
      <w:r w:rsidRPr="00776389">
        <w:t xml:space="preserve">There are some caveats to the generalisability of the treatment population, </w:t>
      </w:r>
      <w:r w:rsidR="002522CB">
        <w:t>for example,</w:t>
      </w:r>
      <w:r w:rsidRPr="00776389">
        <w:t xml:space="preserve"> all the studies excluded patients who were at a significant risk of infection or malignancy, or who had various abnormal laboratory results at baseline (</w:t>
      </w:r>
      <w:r w:rsidR="002522CB">
        <w:t>for example,</w:t>
      </w:r>
      <w:r w:rsidRPr="00776389">
        <w:t xml:space="preserve"> abnormal haematology or liver function tests).</w:t>
      </w:r>
    </w:p>
    <w:p w14:paraId="3B6C851A" w14:textId="77777777" w:rsidR="0055166A" w:rsidRPr="00776389" w:rsidRDefault="0055166A" w:rsidP="00776389">
      <w:r w:rsidRPr="00776389">
        <w:t>Data from the five pivotal</w:t>
      </w:r>
      <w:r w:rsidR="004E3248">
        <w:t xml:space="preserve"> Phase III</w:t>
      </w:r>
      <w:r w:rsidRPr="00776389">
        <w:t xml:space="preserve"> studies that are ongoing have demonstrated statistically significant efficacy for upadacitinib in adults with moderately to severely active rheumatoid arthritis a</w:t>
      </w:r>
      <w:r w:rsidR="00093889">
        <w:t xml:space="preserve">cross the short-medium term (12 to </w:t>
      </w:r>
      <w:r w:rsidRPr="00776389">
        <w:t>24 weeks).</w:t>
      </w:r>
      <w:r w:rsidR="004E3248">
        <w:t xml:space="preserve"> </w:t>
      </w:r>
      <w:r w:rsidRPr="00776389">
        <w:t>The clinical study report for study 663 from J</w:t>
      </w:r>
      <w:r w:rsidR="002522CB">
        <w:t>apan included efficacy data to W</w:t>
      </w:r>
      <w:r w:rsidRPr="00776389">
        <w:t>eek 60 in 156 patients demonstrating a maintenance of effect in patients responding and tolerating the medicine.</w:t>
      </w:r>
      <w:r w:rsidR="004E3248">
        <w:t xml:space="preserve"> </w:t>
      </w:r>
      <w:r w:rsidRPr="00776389">
        <w:t xml:space="preserve">The evaluator also comments that the clinical efficacy data available up to 60 weeks in </w:t>
      </w:r>
      <w:r w:rsidRPr="00776389">
        <w:lastRenderedPageBreak/>
        <w:t>Studies M13-549 and M13-542 indicate that the majority of responding patients appear to maintain their treatment related benefit with continued upadacitinib.</w:t>
      </w:r>
      <w:r w:rsidRPr="002522CB">
        <w:rPr>
          <w:vertAlign w:val="superscript"/>
        </w:rPr>
        <w:footnoteReference w:id="13"/>
      </w:r>
      <w:r w:rsidR="004E3248">
        <w:t xml:space="preserve"> </w:t>
      </w:r>
      <w:r w:rsidR="005E5D41" w:rsidRPr="00776389">
        <w:t>However,</w:t>
      </w:r>
      <w:r w:rsidRPr="00776389">
        <w:t xml:space="preserve"> the sponsor is requested to clarify this </w:t>
      </w:r>
      <w:r w:rsidR="005E5D41" w:rsidRPr="00776389">
        <w:t>longer-term</w:t>
      </w:r>
      <w:r w:rsidRPr="00776389">
        <w:t xml:space="preserve"> data and provide an update from these ongoing studies.</w:t>
      </w:r>
    </w:p>
    <w:p w14:paraId="4D3B0EC9" w14:textId="77777777" w:rsidR="0055166A" w:rsidRPr="00776389" w:rsidRDefault="0055166A" w:rsidP="00776389">
      <w:r w:rsidRPr="00776389">
        <w:t>The current submission for upadacitinib contains X-ray data up until 48 weeks of therapy.</w:t>
      </w:r>
      <w:r w:rsidR="004E3248">
        <w:t xml:space="preserve"> </w:t>
      </w:r>
      <w:r w:rsidRPr="00776389">
        <w:t>Radiographic data from two studies were supportive but unclear as to their clinical relevance at this stage given the limited duration of the data and not meeting the minimum two years expected.</w:t>
      </w:r>
      <w:r w:rsidR="004E3248">
        <w:t xml:space="preserve"> </w:t>
      </w:r>
      <w:r w:rsidRPr="00776389">
        <w:t>Upadacitinib had statistically significantly less X-ray progression compared to placebo</w:t>
      </w:r>
      <w:r w:rsidR="002522CB">
        <w:t xml:space="preserve"> and methotrexate treatment at W</w:t>
      </w:r>
      <w:r w:rsidRPr="00776389">
        <w:t>eek</w:t>
      </w:r>
      <w:r w:rsidR="002522CB">
        <w:t>s</w:t>
      </w:r>
      <w:r w:rsidRPr="00776389">
        <w:t xml:space="preserve"> 24-26 and radiographic benefit with upadacitinib therapy was similar to that observed with </w:t>
      </w:r>
      <w:proofErr w:type="spellStart"/>
      <w:r w:rsidRPr="00776389">
        <w:t>adalimumab</w:t>
      </w:r>
      <w:proofErr w:type="spellEnd"/>
      <w:r w:rsidRPr="00776389">
        <w:t>.</w:t>
      </w:r>
    </w:p>
    <w:p w14:paraId="6DB314C7" w14:textId="77777777" w:rsidR="0055166A" w:rsidRPr="00776389" w:rsidRDefault="0055166A" w:rsidP="00776389">
      <w:r w:rsidRPr="00776389">
        <w:t xml:space="preserve">Both </w:t>
      </w:r>
      <w:r w:rsidR="002522CB">
        <w:t>ER</w:t>
      </w:r>
      <w:r w:rsidRPr="00776389">
        <w:t xml:space="preserve"> doses of upadacitinib are similarly efficacious and an integrated analysis of the</w:t>
      </w:r>
      <w:r w:rsidR="004E3248">
        <w:t xml:space="preserve"> Phase III</w:t>
      </w:r>
      <w:r w:rsidRPr="00776389">
        <w:t xml:space="preserve"> studies showed that 3</w:t>
      </w:r>
      <w:r w:rsidR="00CC02CF">
        <w:t>0 mg</w:t>
      </w:r>
      <w:r w:rsidRPr="00776389">
        <w:t xml:space="preserve"> once daily does not consistently offer a meaningful improvement over 1</w:t>
      </w:r>
      <w:r w:rsidR="00CC02CF">
        <w:t>5 mg</w:t>
      </w:r>
      <w:r w:rsidRPr="00776389">
        <w:t xml:space="preserve"> once daily.</w:t>
      </w:r>
    </w:p>
    <w:p w14:paraId="0A30F561" w14:textId="7A31EFB7" w:rsidR="0055166A" w:rsidRPr="00776389" w:rsidRDefault="0055166A" w:rsidP="00776389">
      <w:r w:rsidRPr="00776389">
        <w:t>The safety data indicate that upadacitinib has an acceptable overall safety profile in the short-medium term for the treatment of adult patients with moderately to severely active RA. The risk profile of upadacitinib is based on a total of 4443 upadacitinib-treated patients with RA involved in the clinical study program, of which 2972 patients were exposed to upadacitinib for at least 1 year.</w:t>
      </w:r>
      <w:r w:rsidR="004E3248">
        <w:t xml:space="preserve"> </w:t>
      </w:r>
      <w:r w:rsidRPr="00776389">
        <w:t>All five of the</w:t>
      </w:r>
      <w:r w:rsidR="004E3248">
        <w:t xml:space="preserve"> Phase III</w:t>
      </w:r>
      <w:r w:rsidRPr="00776389">
        <w:t xml:space="preserve"> studies are ongoing with up to 5-year data expected upon completion.</w:t>
      </w:r>
      <w:r w:rsidR="004E3248">
        <w:t xml:space="preserve"> </w:t>
      </w:r>
      <w:r w:rsidRPr="00776389">
        <w:t>However, there are limited long-term safety data in the current submission to assess the risk of some types of AEs such as malignancy and MACE.</w:t>
      </w:r>
      <w:r w:rsidR="004E3248">
        <w:t xml:space="preserve"> </w:t>
      </w:r>
      <w:r w:rsidRPr="00776389">
        <w:t>From the assessment of the safety dataset, there are some significant safety concerns with upadacitinib therapy including the risk of infection, opportunistic infection (</w:t>
      </w:r>
      <w:r w:rsidR="002522CB">
        <w:t>such as</w:t>
      </w:r>
      <w:r w:rsidRPr="00776389">
        <w:t xml:space="preserve"> oral herpes zoster infection and TB), increased serum CPK values, anaemia, </w:t>
      </w:r>
      <w:proofErr w:type="spellStart"/>
      <w:r w:rsidR="00E12904">
        <w:t>neutropaenia</w:t>
      </w:r>
      <w:proofErr w:type="spellEnd"/>
      <w:r w:rsidRPr="00776389">
        <w:t xml:space="preserve">, </w:t>
      </w:r>
      <w:proofErr w:type="spellStart"/>
      <w:r w:rsidRPr="00776389">
        <w:t>lymphopaenia</w:t>
      </w:r>
      <w:proofErr w:type="spellEnd"/>
      <w:r w:rsidRPr="00776389">
        <w:t>, abnormal liver function tests (raised serum transaminases) and dyslipidaemia. Gastrointestinal perforations and thromboses were also observed.</w:t>
      </w:r>
      <w:r w:rsidR="004E3248">
        <w:t xml:space="preserve"> </w:t>
      </w:r>
      <w:r w:rsidRPr="00776389">
        <w:t>The clinical evaluator comments that malignancy represents a risk but there is no clear evidence that upadacitinib confers an increased risk for certain types of malignancies such as non-melanoma skin cancer and lymphoma in the current dataset.</w:t>
      </w:r>
      <w:r w:rsidR="004E3248">
        <w:t xml:space="preserve"> </w:t>
      </w:r>
      <w:r w:rsidRPr="00776389">
        <w:t xml:space="preserve">Nevertheless, significant pharmacovigilance will be required for serious and opportunistic infections, MACE and </w:t>
      </w:r>
      <w:r w:rsidRPr="0068691E">
        <w:t>malignancy (particularly, non-melanoma skin cancers and lymphoma).</w:t>
      </w:r>
      <w:r w:rsidR="004E3248" w:rsidRPr="0068691E">
        <w:t xml:space="preserve"> </w:t>
      </w:r>
      <w:r w:rsidRPr="0068691E">
        <w:t>Upadacitinib is a Category D</w:t>
      </w:r>
      <w:r w:rsidR="00093889">
        <w:t>;</w:t>
      </w:r>
      <w:r w:rsidR="0068691E" w:rsidRPr="0068691E">
        <w:rPr>
          <w:vertAlign w:val="superscript"/>
        </w:rPr>
        <w:fldChar w:fldCharType="begin"/>
      </w:r>
      <w:r w:rsidR="0068691E" w:rsidRPr="0068691E">
        <w:rPr>
          <w:vertAlign w:val="superscript"/>
        </w:rPr>
        <w:instrText xml:space="preserve"> NOTEREF _Ref35964004 \h  \* MERGEFORMAT </w:instrText>
      </w:r>
      <w:r w:rsidR="0068691E" w:rsidRPr="0068691E">
        <w:rPr>
          <w:vertAlign w:val="superscript"/>
        </w:rPr>
      </w:r>
      <w:r w:rsidR="0068691E" w:rsidRPr="0068691E">
        <w:rPr>
          <w:vertAlign w:val="superscript"/>
        </w:rPr>
        <w:fldChar w:fldCharType="separate"/>
      </w:r>
      <w:r w:rsidR="00093889">
        <w:rPr>
          <w:vertAlign w:val="superscript"/>
        </w:rPr>
        <w:t>2</w:t>
      </w:r>
      <w:r w:rsidR="0068691E" w:rsidRPr="0068691E">
        <w:rPr>
          <w:vertAlign w:val="superscript"/>
        </w:rPr>
        <w:fldChar w:fldCharType="end"/>
      </w:r>
      <w:r w:rsidRPr="0068691E">
        <w:t xml:space="preserve"> drug in pregnancy.</w:t>
      </w:r>
      <w:r w:rsidR="004E3248" w:rsidRPr="0068691E">
        <w:t xml:space="preserve"> </w:t>
      </w:r>
      <w:r w:rsidRPr="0068691E">
        <w:t>Clinically relevant drug interactions have been observed with ketoconazole</w:t>
      </w:r>
      <w:r w:rsidRPr="00776389">
        <w:t xml:space="preserve"> and rifampicin.</w:t>
      </w:r>
    </w:p>
    <w:p w14:paraId="1342510C" w14:textId="0876A975" w:rsidR="0055166A" w:rsidRPr="00776389" w:rsidRDefault="0055166A" w:rsidP="00776389">
      <w:r w:rsidRPr="00776389">
        <w:t xml:space="preserve">The </w:t>
      </w:r>
      <w:r w:rsidR="002522CB">
        <w:t xml:space="preserve">clinical </w:t>
      </w:r>
      <w:r w:rsidRPr="00776389">
        <w:t>evaluator noted that higher rates of AEs of special interest were recorded in subjects treated with versus without concomitant corticosteroids in the upadacitinib 15</w:t>
      </w:r>
      <w:r w:rsidR="00933259">
        <w:t> </w:t>
      </w:r>
      <w:r w:rsidRPr="00776389">
        <w:t xml:space="preserve">mg arm for serious infection, anaemia, </w:t>
      </w:r>
      <w:proofErr w:type="spellStart"/>
      <w:r w:rsidRPr="00776389">
        <w:t>lymphopaenia</w:t>
      </w:r>
      <w:proofErr w:type="spellEnd"/>
      <w:r w:rsidRPr="00776389">
        <w:t xml:space="preserve"> and herpes zoster.</w:t>
      </w:r>
      <w:r w:rsidR="004E3248">
        <w:t xml:space="preserve"> </w:t>
      </w:r>
      <w:r w:rsidRPr="00776389">
        <w:t xml:space="preserve">With long-term exposure, the rates of AEs of special </w:t>
      </w:r>
      <w:r w:rsidRPr="0068691E">
        <w:t>interest were</w:t>
      </w:r>
      <w:r w:rsidR="002522CB" w:rsidRPr="0068691E">
        <w:t>;</w:t>
      </w:r>
      <w:r w:rsidRPr="0068691E">
        <w:t xml:space="preserve"> </w:t>
      </w:r>
      <w:proofErr w:type="spellStart"/>
      <w:r w:rsidRPr="0068691E">
        <w:t>lymphopenia</w:t>
      </w:r>
      <w:proofErr w:type="spellEnd"/>
      <w:r w:rsidRPr="0068691E">
        <w:t xml:space="preserve">, active/latent TB, adjudicated MACE (0.9% versus 0.4%) and adjudicated </w:t>
      </w:r>
      <w:r w:rsidR="0068691E">
        <w:t>v</w:t>
      </w:r>
      <w:r w:rsidR="0068691E" w:rsidRPr="0068691E">
        <w:t>enous thromboembolism (VTE) </w:t>
      </w:r>
      <w:r w:rsidRPr="0068691E">
        <w:t xml:space="preserve">(0.8% versus 0.4%), which had higher rates in subjects receiving concomitant CS. The evaluator commented that evaluation of the safety data for subjects receiving methotrexate or </w:t>
      </w:r>
      <w:proofErr w:type="spellStart"/>
      <w:r w:rsidRPr="0068691E">
        <w:t>adalimumab</w:t>
      </w:r>
      <w:proofErr w:type="spellEnd"/>
      <w:r w:rsidRPr="0068691E">
        <w:t>, with</w:t>
      </w:r>
      <w:r w:rsidRPr="00776389">
        <w:t xml:space="preserve"> or without concomitant CS showed a similar trend as upadacitinib 15 mg once daily therapy.</w:t>
      </w:r>
    </w:p>
    <w:p w14:paraId="722C05C9" w14:textId="1732B5EF" w:rsidR="0055166A" w:rsidRPr="00776389" w:rsidRDefault="0055166A" w:rsidP="00776389">
      <w:r w:rsidRPr="00776389">
        <w:t>A total of 40 deaths (33 in upadacitinib treated subjects) have been reported in the Phase</w:t>
      </w:r>
      <w:r w:rsidR="00933259">
        <w:t> </w:t>
      </w:r>
      <w:r w:rsidR="001A5092">
        <w:t>II/III</w:t>
      </w:r>
      <w:r w:rsidRPr="00776389">
        <w:t xml:space="preserve"> studies as of the data cut-off date. The </w:t>
      </w:r>
      <w:r w:rsidR="001A5092">
        <w:t xml:space="preserve">clinical </w:t>
      </w:r>
      <w:r w:rsidRPr="00776389">
        <w:t>evaluator commented that mortality rates and the causes of death were similar between upadacitinib and placebo, or comparator therapies in relatively short-term treatment follow-up.</w:t>
      </w:r>
      <w:r w:rsidR="004E3248">
        <w:t xml:space="preserve"> </w:t>
      </w:r>
      <w:r w:rsidRPr="00776389">
        <w:t xml:space="preserve">In the long term any </w:t>
      </w:r>
      <w:r w:rsidRPr="00776389">
        <w:lastRenderedPageBreak/>
        <w:t>RA upadacitinib set, the EAIR of treatment emergent death was 0.4 per 100 PY in the upadacitinib 15 mg once daily group but higher at 0.8 per 100 PY in the upadacitinib 30</w:t>
      </w:r>
      <w:r w:rsidR="00933259">
        <w:t> </w:t>
      </w:r>
      <w:r w:rsidRPr="00776389">
        <w:t>mg once daily group.</w:t>
      </w:r>
    </w:p>
    <w:p w14:paraId="1DE6D45A" w14:textId="77777777" w:rsidR="0055166A" w:rsidRPr="00776389" w:rsidRDefault="0055166A" w:rsidP="00776389">
      <w:r w:rsidRPr="00776389">
        <w:t>The RMP and ASA have been accepted by the RMP evaluator</w:t>
      </w:r>
      <w:r w:rsidR="005E5D41">
        <w:t>,</w:t>
      </w:r>
      <w:r w:rsidRPr="00776389">
        <w:t xml:space="preserve"> and the outstanding issues are now considered resolved.</w:t>
      </w:r>
      <w:r w:rsidR="004E3248">
        <w:t xml:space="preserve"> </w:t>
      </w:r>
      <w:r w:rsidRPr="00776389">
        <w:t xml:space="preserve">The sponsor has agreed to include information on thromboses in both the PI and CMI, however this should be expanded. The RMP evaluator has accepted the sponsor’s response that further evaluation of MACE will occur through </w:t>
      </w:r>
      <w:r w:rsidR="005E5D41" w:rsidRPr="00776389">
        <w:t>long-term</w:t>
      </w:r>
      <w:r w:rsidRPr="00776389">
        <w:t xml:space="preserve"> safety studies and the PI will then be updated if MACE is confirmed as a risk.</w:t>
      </w:r>
      <w:r w:rsidR="004E3248">
        <w:t xml:space="preserve"> </w:t>
      </w:r>
      <w:r w:rsidRPr="00776389">
        <w:t>The sponsor has included it as an important potential risk in the RMP.</w:t>
      </w:r>
    </w:p>
    <w:p w14:paraId="3B6D3C90" w14:textId="05923052" w:rsidR="0055166A" w:rsidRPr="00776389" w:rsidRDefault="0055166A" w:rsidP="00776389">
      <w:r w:rsidRPr="00776389">
        <w:t xml:space="preserve">The US </w:t>
      </w:r>
      <w:r w:rsidR="00CD4094">
        <w:t>Prescribing Information</w:t>
      </w:r>
      <w:r w:rsidRPr="00776389">
        <w:t xml:space="preserve"> includes a Boxed Warning about serious infections, malignancy and thrombosis </w:t>
      </w:r>
      <w:r w:rsidR="005E5D41" w:rsidRPr="00776389">
        <w:t>however,</w:t>
      </w:r>
      <w:r w:rsidRPr="00776389">
        <w:t xml:space="preserve"> the Australian PI does not.</w:t>
      </w:r>
      <w:r w:rsidR="004E3248">
        <w:t xml:space="preserve"> </w:t>
      </w:r>
      <w:r w:rsidRPr="00776389">
        <w:t xml:space="preserve">The Australian PIs for </w:t>
      </w:r>
      <w:proofErr w:type="spellStart"/>
      <w:r w:rsidRPr="00776389">
        <w:t>tofacitinib</w:t>
      </w:r>
      <w:proofErr w:type="spellEnd"/>
      <w:r w:rsidRPr="00776389">
        <w:t xml:space="preserve"> and </w:t>
      </w:r>
      <w:proofErr w:type="spellStart"/>
      <w:r w:rsidRPr="00776389">
        <w:t>baricitinib</w:t>
      </w:r>
      <w:proofErr w:type="spellEnd"/>
      <w:r w:rsidRPr="00776389">
        <w:t xml:space="preserve"> also do not include Boxed Warnings on these issues.</w:t>
      </w:r>
      <w:r w:rsidR="004E3248">
        <w:t xml:space="preserve"> </w:t>
      </w:r>
      <w:r w:rsidRPr="00776389">
        <w:t>Given the other two JAK inhibitors approved for rheumatoid arthritis do not include a Boxed Warning then it appears reasonable to not require one for upadacitinib, however the sponsor should ensure that all of the content of the US Boxed Warning is included in the Warnings and Precautions section of the PI.</w:t>
      </w:r>
    </w:p>
    <w:p w14:paraId="68B93F2B" w14:textId="5A1C15CE" w:rsidR="0055166A" w:rsidRPr="00776389" w:rsidRDefault="001A5092" w:rsidP="00776389">
      <w:r>
        <w:t>The clinical evaluator considered S</w:t>
      </w:r>
      <w:r w:rsidR="0055166A" w:rsidRPr="00776389">
        <w:t>tudy M13-545 (recent disease onset, DMARD naïve population) to have an unclear benefit-risk balance with upadacitinib (</w:t>
      </w:r>
      <w:r>
        <w:t>that is,</w:t>
      </w:r>
      <w:r w:rsidR="0055166A" w:rsidRPr="00776389">
        <w:t xml:space="preserve"> better clinical efficacy but at the cost of increased </w:t>
      </w:r>
      <w:r w:rsidR="00A554AE" w:rsidRPr="00776389">
        <w:t>side effects</w:t>
      </w:r>
      <w:r w:rsidR="0055166A" w:rsidRPr="00776389">
        <w:t xml:space="preserve"> compared to methotrexate).</w:t>
      </w:r>
      <w:r w:rsidR="004E3248">
        <w:t xml:space="preserve"> </w:t>
      </w:r>
      <w:r w:rsidR="0055166A" w:rsidRPr="00776389">
        <w:t xml:space="preserve">The </w:t>
      </w:r>
      <w:r>
        <w:t xml:space="preserve">clinical </w:t>
      </w:r>
      <w:r w:rsidR="0055166A" w:rsidRPr="00776389">
        <w:t>evaluator commented that the choice of comparator is sub-optimal and has limited external validity since patients at high risk of disease progression should be treated with higher doses of methotrexate (20</w:t>
      </w:r>
      <w:r w:rsidR="00CD4094">
        <w:t xml:space="preserve"> to </w:t>
      </w:r>
      <w:r w:rsidR="0055166A" w:rsidRPr="00776389">
        <w:t xml:space="preserve">25 mg/week), often in combination with other </w:t>
      </w:r>
      <w:proofErr w:type="spellStart"/>
      <w:r w:rsidR="00CD4094">
        <w:t>cs</w:t>
      </w:r>
      <w:r w:rsidR="0055166A" w:rsidRPr="00776389">
        <w:t>DMARD</w:t>
      </w:r>
      <w:proofErr w:type="spellEnd"/>
      <w:r w:rsidR="0055166A" w:rsidRPr="00776389">
        <w:t xml:space="preserve"> therapies if insufficient clinical response cannot be achieved with methotrexate monotherapy.</w:t>
      </w:r>
      <w:r w:rsidR="004E3248">
        <w:t xml:space="preserve"> </w:t>
      </w:r>
      <w:r w:rsidR="0055166A" w:rsidRPr="00776389">
        <w:t>In response to the clinical evaluation report, the sponsor has updated the indication to reflect second line treatment in patients who have responded inadequately to, or who are intolerant to one or more DMARDs.</w:t>
      </w:r>
      <w:r w:rsidR="004E3248">
        <w:t xml:space="preserve"> </w:t>
      </w:r>
      <w:r w:rsidR="0055166A" w:rsidRPr="00776389">
        <w:t>This is acceptable given the data and consistent with other JAK inhibitors currently registered in Australia for rheumatoid arthritis.</w:t>
      </w:r>
    </w:p>
    <w:p w14:paraId="25B9532D" w14:textId="77777777" w:rsidR="0055166A" w:rsidRPr="00776389" w:rsidRDefault="0055166A" w:rsidP="00776389">
      <w:r w:rsidRPr="00776389">
        <w:t xml:space="preserve">The </w:t>
      </w:r>
      <w:r w:rsidR="001A5092">
        <w:t xml:space="preserve">clinical </w:t>
      </w:r>
      <w:r w:rsidRPr="00776389">
        <w:t>evaluator has requested that upadacitinib should only be initiated and monitored by a rheumatologist or specialist physician with expertise in the management of rheumatoid arthritis, which the sponsor has agreed and included a statement in the PI.</w:t>
      </w:r>
    </w:p>
    <w:p w14:paraId="51B8B72B" w14:textId="77777777" w:rsidR="0055166A" w:rsidRPr="00776389" w:rsidRDefault="0055166A" w:rsidP="00776389">
      <w:r w:rsidRPr="00776389">
        <w:t xml:space="preserve">The sponsor has included a QR </w:t>
      </w:r>
      <w:r w:rsidR="00A554AE" w:rsidRPr="00776389">
        <w:t>code that</w:t>
      </w:r>
      <w:r w:rsidRPr="00776389">
        <w:t xml:space="preserve"> includes a link to a patient support program.</w:t>
      </w:r>
      <w:r w:rsidR="004E3248">
        <w:t xml:space="preserve"> </w:t>
      </w:r>
      <w:r w:rsidRPr="00776389">
        <w:t>This should comply with the Code of Conduct requirements.</w:t>
      </w:r>
    </w:p>
    <w:p w14:paraId="3657D3F3" w14:textId="77777777" w:rsidR="0055166A" w:rsidRDefault="001A5092" w:rsidP="0055166A">
      <w:pPr>
        <w:pStyle w:val="Heading4"/>
        <w:jc w:val="both"/>
      </w:pPr>
      <w:r>
        <w:t>Data deficiencies and o</w:t>
      </w:r>
      <w:r w:rsidR="00093889">
        <w:t>utstanding i</w:t>
      </w:r>
      <w:r w:rsidR="0055166A">
        <w:t>ssues</w:t>
      </w:r>
    </w:p>
    <w:p w14:paraId="626AD742" w14:textId="77777777" w:rsidR="0055166A" w:rsidRDefault="0055166A" w:rsidP="00776389">
      <w:r>
        <w:t>Upadacitinib has not been studied in patients with severe hepatic impairment (use is not recommended in the PI), end stage renal disease, &lt;</w:t>
      </w:r>
      <w:r w:rsidR="00093889">
        <w:t xml:space="preserve"> </w:t>
      </w:r>
      <w:r>
        <w:t>18 years of age, significant organ dysfunction, those at risk of reactivated TB, pregnant/lactating women and concurrent administration with other biological DMARDs.</w:t>
      </w:r>
      <w:r w:rsidR="004E3248">
        <w:t xml:space="preserve"> </w:t>
      </w:r>
      <w:r>
        <w:t>Based on the mechanism of action of JAK inhibition, co-administration of upadacitinib with other biological DMARD therapy or other JAK inhibitors is not recommended.</w:t>
      </w:r>
      <w:r w:rsidR="004E3248">
        <w:t xml:space="preserve"> </w:t>
      </w:r>
      <w:r>
        <w:t>There were no studies examining live vaccines.</w:t>
      </w:r>
    </w:p>
    <w:p w14:paraId="37D0F1D8" w14:textId="77777777" w:rsidR="0055166A" w:rsidRDefault="0055166A" w:rsidP="00776389">
      <w:r>
        <w:t xml:space="preserve">Further data are required to confirm the risk benefit in DMARD naive patients with early disease and </w:t>
      </w:r>
      <w:r w:rsidR="00A554AE">
        <w:t>longer-term</w:t>
      </w:r>
      <w:r>
        <w:t xml:space="preserve"> safety data are required to characterise the risk of some adverse events such as malignancy and major adverse cardiovascular events.</w:t>
      </w:r>
    </w:p>
    <w:p w14:paraId="65DAB067" w14:textId="5A0273C6" w:rsidR="0055166A" w:rsidRDefault="0055166A" w:rsidP="00776389">
      <w:pPr>
        <w:rPr>
          <w:lang w:eastAsia="ja-JP"/>
        </w:rPr>
      </w:pPr>
      <w:r>
        <w:t xml:space="preserve">The clinical evaluator raised concerns that the RMP did not adequately cover </w:t>
      </w:r>
      <w:r>
        <w:rPr>
          <w:lang w:eastAsia="ja-JP"/>
        </w:rPr>
        <w:t xml:space="preserve">various blood test abnormalities such as anaemia, </w:t>
      </w:r>
      <w:proofErr w:type="spellStart"/>
      <w:r>
        <w:rPr>
          <w:lang w:eastAsia="ja-JP"/>
        </w:rPr>
        <w:t>neutrop</w:t>
      </w:r>
      <w:r w:rsidR="00E12904">
        <w:rPr>
          <w:lang w:eastAsia="ja-JP"/>
        </w:rPr>
        <w:t>a</w:t>
      </w:r>
      <w:r>
        <w:rPr>
          <w:lang w:eastAsia="ja-JP"/>
        </w:rPr>
        <w:t>enia</w:t>
      </w:r>
      <w:proofErr w:type="spellEnd"/>
      <w:r>
        <w:rPr>
          <w:lang w:eastAsia="ja-JP"/>
        </w:rPr>
        <w:t xml:space="preserve"> and </w:t>
      </w:r>
      <w:proofErr w:type="spellStart"/>
      <w:r>
        <w:rPr>
          <w:lang w:eastAsia="ja-JP"/>
        </w:rPr>
        <w:t>lymphop</w:t>
      </w:r>
      <w:r w:rsidR="00CD4094">
        <w:rPr>
          <w:lang w:eastAsia="ja-JP"/>
        </w:rPr>
        <w:t>a</w:t>
      </w:r>
      <w:r>
        <w:rPr>
          <w:lang w:eastAsia="ja-JP"/>
        </w:rPr>
        <w:t>enia</w:t>
      </w:r>
      <w:proofErr w:type="spellEnd"/>
      <w:r w:rsidR="00E12904">
        <w:rPr>
          <w:lang w:eastAsia="ja-JP"/>
        </w:rPr>
        <w:t xml:space="preserve"> or</w:t>
      </w:r>
      <w:r>
        <w:rPr>
          <w:lang w:eastAsia="ja-JP"/>
        </w:rPr>
        <w:t xml:space="preserve"> increases in serum </w:t>
      </w:r>
      <w:r w:rsidR="00CD4094">
        <w:rPr>
          <w:lang w:eastAsia="ja-JP"/>
        </w:rPr>
        <w:t>CPK</w:t>
      </w:r>
      <w:r>
        <w:rPr>
          <w:lang w:eastAsia="ja-JP"/>
        </w:rPr>
        <w:t xml:space="preserve"> levels.</w:t>
      </w:r>
      <w:r w:rsidR="004E3248">
        <w:rPr>
          <w:lang w:eastAsia="ja-JP"/>
        </w:rPr>
        <w:t xml:space="preserve"> </w:t>
      </w:r>
      <w:r>
        <w:rPr>
          <w:lang w:eastAsia="ja-JP"/>
        </w:rPr>
        <w:t>The sponsor commented that many of the above laboratory AEs are of limited impact and that there is no evidence of a clear link between many of the laboratory test abnormalities and adverse clinical sequelae (</w:t>
      </w:r>
      <w:r w:rsidR="001A5092">
        <w:rPr>
          <w:lang w:eastAsia="ja-JP"/>
        </w:rPr>
        <w:t>for example,</w:t>
      </w:r>
      <w:r>
        <w:rPr>
          <w:lang w:eastAsia="ja-JP"/>
        </w:rPr>
        <w:t xml:space="preserve"> </w:t>
      </w:r>
      <w:proofErr w:type="spellStart"/>
      <w:r w:rsidR="00E12904">
        <w:rPr>
          <w:lang w:eastAsia="ja-JP"/>
        </w:rPr>
        <w:t>neutropaenia</w:t>
      </w:r>
      <w:proofErr w:type="spellEnd"/>
      <w:r>
        <w:rPr>
          <w:lang w:eastAsia="ja-JP"/>
        </w:rPr>
        <w:t xml:space="preserve"> and </w:t>
      </w:r>
      <w:proofErr w:type="spellStart"/>
      <w:r>
        <w:rPr>
          <w:lang w:eastAsia="ja-JP"/>
        </w:rPr>
        <w:t>lymphopenia</w:t>
      </w:r>
      <w:proofErr w:type="spellEnd"/>
      <w:r>
        <w:rPr>
          <w:lang w:eastAsia="ja-JP"/>
        </w:rPr>
        <w:t xml:space="preserve"> with infections).</w:t>
      </w:r>
      <w:r w:rsidR="004E3248">
        <w:rPr>
          <w:lang w:eastAsia="ja-JP"/>
        </w:rPr>
        <w:t xml:space="preserve"> </w:t>
      </w:r>
      <w:r>
        <w:rPr>
          <w:lang w:eastAsia="ja-JP"/>
        </w:rPr>
        <w:t xml:space="preserve">The sponsor also commented that the CHMP has agreed to </w:t>
      </w:r>
      <w:r>
        <w:rPr>
          <w:lang w:eastAsia="ja-JP"/>
        </w:rPr>
        <w:lastRenderedPageBreak/>
        <w:t xml:space="preserve">include </w:t>
      </w:r>
      <w:proofErr w:type="spellStart"/>
      <w:r>
        <w:rPr>
          <w:lang w:eastAsia="ja-JP"/>
        </w:rPr>
        <w:t>lymphopenia</w:t>
      </w:r>
      <w:proofErr w:type="spellEnd"/>
      <w:r>
        <w:rPr>
          <w:lang w:eastAsia="ja-JP"/>
        </w:rPr>
        <w:t xml:space="preserve">, decreased haemoglobin and </w:t>
      </w:r>
      <w:proofErr w:type="spellStart"/>
      <w:r w:rsidR="00E12904">
        <w:rPr>
          <w:lang w:eastAsia="ja-JP"/>
        </w:rPr>
        <w:t>neutropaenia</w:t>
      </w:r>
      <w:proofErr w:type="spellEnd"/>
      <w:r>
        <w:rPr>
          <w:lang w:eastAsia="ja-JP"/>
        </w:rPr>
        <w:t xml:space="preserve"> as risks not considered important.</w:t>
      </w:r>
      <w:r w:rsidR="004E3248">
        <w:rPr>
          <w:lang w:eastAsia="ja-JP"/>
        </w:rPr>
        <w:t xml:space="preserve"> </w:t>
      </w:r>
      <w:r>
        <w:rPr>
          <w:lang w:eastAsia="ja-JP"/>
        </w:rPr>
        <w:t>However, these are all identified in the PI as adverse events with upadacitinib treatment and that there are specific dose interruptions recommended for patients with low neutrophil counts, low lymphocyte counts and low haemoglobin.</w:t>
      </w:r>
      <w:r w:rsidR="004E3248">
        <w:rPr>
          <w:lang w:eastAsia="ja-JP"/>
        </w:rPr>
        <w:t xml:space="preserve"> </w:t>
      </w:r>
      <w:r>
        <w:rPr>
          <w:lang w:eastAsia="ja-JP"/>
        </w:rPr>
        <w:t>Given these three are known risks that require dose interruptions then further consideration should be given to including them in the RMP.</w:t>
      </w:r>
    </w:p>
    <w:p w14:paraId="11AE3D75" w14:textId="77777777" w:rsidR="0055166A" w:rsidRDefault="0055166A" w:rsidP="0055166A">
      <w:pPr>
        <w:pStyle w:val="Heading4"/>
      </w:pPr>
      <w:r>
        <w:t>Summary of issues</w:t>
      </w:r>
    </w:p>
    <w:p w14:paraId="64786367" w14:textId="77777777" w:rsidR="0055166A" w:rsidRDefault="0055166A" w:rsidP="0055166A">
      <w:pPr>
        <w:rPr>
          <w:rFonts w:asciiTheme="minorHAnsi" w:hAnsiTheme="minorHAnsi"/>
          <w:lang w:eastAsia="en-AU"/>
        </w:rPr>
      </w:pPr>
      <w:r>
        <w:rPr>
          <w:rFonts w:asciiTheme="minorHAnsi" w:hAnsiTheme="minorHAnsi"/>
          <w:lang w:eastAsia="en-AU"/>
        </w:rPr>
        <w:t>The primary issues with this submission are as follows:</w:t>
      </w:r>
    </w:p>
    <w:p w14:paraId="798A6591" w14:textId="77777777" w:rsidR="0055166A" w:rsidRDefault="0055166A" w:rsidP="001A5092">
      <w:pPr>
        <w:pStyle w:val="Numberbullet0"/>
        <w:rPr>
          <w:lang w:eastAsia="en-AU"/>
        </w:rPr>
      </w:pPr>
      <w:r>
        <w:rPr>
          <w:lang w:eastAsia="en-AU"/>
        </w:rPr>
        <w:t>Upadacitinib studies have identified significant safety concerns including serious infections, herpes zoster and oral herpes, opportunistic infections, haematological abnormalities, dyslipidaemia, raised CPK, raised transaminases and gastrointestinal perforations.</w:t>
      </w:r>
      <w:r w:rsidR="004E3248">
        <w:rPr>
          <w:lang w:eastAsia="en-AU"/>
        </w:rPr>
        <w:t xml:space="preserve"> </w:t>
      </w:r>
      <w:r>
        <w:rPr>
          <w:lang w:eastAsia="en-AU"/>
        </w:rPr>
        <w:t xml:space="preserve">There is also limited </w:t>
      </w:r>
      <w:r w:rsidR="00E12904">
        <w:rPr>
          <w:lang w:eastAsia="en-AU"/>
        </w:rPr>
        <w:t>long-term</w:t>
      </w:r>
      <w:r>
        <w:rPr>
          <w:lang w:eastAsia="en-AU"/>
        </w:rPr>
        <w:t xml:space="preserve"> safety data to characterise the potential for some risks such as malignancy and MACE.</w:t>
      </w:r>
    </w:p>
    <w:p w14:paraId="4D67753E" w14:textId="77777777" w:rsidR="0055166A" w:rsidRDefault="0055166A" w:rsidP="001A5092">
      <w:pPr>
        <w:pStyle w:val="Numberbullet0"/>
        <w:rPr>
          <w:lang w:eastAsia="en-AU"/>
        </w:rPr>
      </w:pPr>
      <w:r>
        <w:rPr>
          <w:lang w:eastAsia="en-AU"/>
        </w:rPr>
        <w:t>Thromboses have occurred in patients with JAK inhibitors including upadacitinib.</w:t>
      </w:r>
      <w:r w:rsidR="004E3248">
        <w:rPr>
          <w:lang w:eastAsia="en-AU"/>
        </w:rPr>
        <w:t xml:space="preserve"> </w:t>
      </w:r>
      <w:r>
        <w:rPr>
          <w:lang w:eastAsia="en-AU"/>
        </w:rPr>
        <w:t>The submitted data do not appear to demonstrate a clear increased risk long term but this less clear short term compared with placebo and methotrexate.</w:t>
      </w:r>
    </w:p>
    <w:p w14:paraId="1509B83F" w14:textId="1375AE30" w:rsidR="0055166A" w:rsidRDefault="0055166A" w:rsidP="001A5092">
      <w:pPr>
        <w:pStyle w:val="Numberbullet0"/>
        <w:rPr>
          <w:lang w:eastAsia="en-AU"/>
        </w:rPr>
      </w:pPr>
      <w:r>
        <w:rPr>
          <w:lang w:eastAsia="en-AU"/>
        </w:rPr>
        <w:t xml:space="preserve">Gastrointestinal perforations were reported in patients on upadacitinib compared with none in subjects on placebo, methotrexate or </w:t>
      </w:r>
      <w:proofErr w:type="spellStart"/>
      <w:r>
        <w:rPr>
          <w:lang w:eastAsia="en-AU"/>
        </w:rPr>
        <w:t>adalimumab</w:t>
      </w:r>
      <w:proofErr w:type="spellEnd"/>
      <w:r>
        <w:rPr>
          <w:lang w:eastAsia="en-AU"/>
        </w:rPr>
        <w:t>.</w:t>
      </w:r>
      <w:r w:rsidR="004E3248">
        <w:rPr>
          <w:lang w:eastAsia="en-AU"/>
        </w:rPr>
        <w:t xml:space="preserve"> </w:t>
      </w:r>
      <w:r>
        <w:rPr>
          <w:lang w:eastAsia="en-AU"/>
        </w:rPr>
        <w:t>The US P</w:t>
      </w:r>
      <w:r w:rsidR="00CD4094">
        <w:rPr>
          <w:lang w:eastAsia="en-AU"/>
        </w:rPr>
        <w:t>rescribing Information</w:t>
      </w:r>
      <w:r>
        <w:rPr>
          <w:lang w:eastAsia="en-AU"/>
        </w:rPr>
        <w:t xml:space="preserve"> includes a warning on gastrointestinal perforation but the proposed Australian PI does not.</w:t>
      </w:r>
    </w:p>
    <w:p w14:paraId="30EE11DE" w14:textId="0BAE6338" w:rsidR="0055166A" w:rsidRDefault="0055166A" w:rsidP="001A5092">
      <w:pPr>
        <w:pStyle w:val="Numberbullet0"/>
        <w:rPr>
          <w:lang w:eastAsia="en-AU"/>
        </w:rPr>
      </w:pPr>
      <w:r>
        <w:rPr>
          <w:lang w:eastAsia="en-AU"/>
        </w:rPr>
        <w:t>The US P</w:t>
      </w:r>
      <w:r w:rsidR="00CD4094">
        <w:rPr>
          <w:lang w:eastAsia="en-AU"/>
        </w:rPr>
        <w:t>rescribing Information</w:t>
      </w:r>
      <w:r>
        <w:rPr>
          <w:lang w:eastAsia="en-AU"/>
        </w:rPr>
        <w:t xml:space="preserve"> includes a Boxed Warning on the risks of serious infections, malignancies and thromboses </w:t>
      </w:r>
      <w:r w:rsidR="00E12904">
        <w:rPr>
          <w:lang w:eastAsia="en-AU"/>
        </w:rPr>
        <w:t>however,</w:t>
      </w:r>
      <w:r>
        <w:rPr>
          <w:lang w:eastAsia="en-AU"/>
        </w:rPr>
        <w:t xml:space="preserve"> a similar Boxed Warning is not proposed for the Australian PI.</w:t>
      </w:r>
      <w:r w:rsidR="004E3248">
        <w:rPr>
          <w:lang w:eastAsia="en-AU"/>
        </w:rPr>
        <w:t xml:space="preserve"> </w:t>
      </w:r>
      <w:r w:rsidR="00E12904">
        <w:rPr>
          <w:lang w:eastAsia="en-AU"/>
        </w:rPr>
        <w:t xml:space="preserve">Neither the </w:t>
      </w:r>
      <w:proofErr w:type="spellStart"/>
      <w:r w:rsidR="00E12904">
        <w:rPr>
          <w:lang w:eastAsia="en-AU"/>
        </w:rPr>
        <w:t>tofacitinib</w:t>
      </w:r>
      <w:proofErr w:type="spellEnd"/>
      <w:r w:rsidR="00E12904">
        <w:rPr>
          <w:lang w:eastAsia="en-AU"/>
        </w:rPr>
        <w:t xml:space="preserve"> nor</w:t>
      </w:r>
      <w:r>
        <w:rPr>
          <w:lang w:eastAsia="en-AU"/>
        </w:rPr>
        <w:t xml:space="preserve"> </w:t>
      </w:r>
      <w:proofErr w:type="spellStart"/>
      <w:r>
        <w:rPr>
          <w:lang w:eastAsia="en-AU"/>
        </w:rPr>
        <w:t>baricitinib</w:t>
      </w:r>
      <w:proofErr w:type="spellEnd"/>
      <w:r>
        <w:rPr>
          <w:lang w:eastAsia="en-AU"/>
        </w:rPr>
        <w:t xml:space="preserve"> PIs include a Boxed Warning in Australia although they do describe these potential risks in their Warnings and Precautions sections of their PIs.</w:t>
      </w:r>
    </w:p>
    <w:p w14:paraId="38304857" w14:textId="77777777" w:rsidR="00D23139" w:rsidRDefault="00D23139" w:rsidP="00D23139">
      <w:pPr>
        <w:pStyle w:val="Heading4"/>
      </w:pPr>
      <w:r w:rsidRPr="00D23139">
        <w:t>Proposed action</w:t>
      </w:r>
    </w:p>
    <w:p w14:paraId="2F541184" w14:textId="77777777" w:rsidR="0055166A" w:rsidRDefault="0055166A" w:rsidP="00776389">
      <w:pPr>
        <w:rPr>
          <w:lang w:val="en-US"/>
        </w:rPr>
      </w:pPr>
      <w:r>
        <w:t xml:space="preserve">Pending advice from </w:t>
      </w:r>
      <w:r w:rsidR="001A5092">
        <w:t>the Advisory Committee on Medicines (</w:t>
      </w:r>
      <w:r>
        <w:t>ACM</w:t>
      </w:r>
      <w:r w:rsidR="001A5092">
        <w:t>)</w:t>
      </w:r>
      <w:r>
        <w:t xml:space="preserve"> and the sponsor’s Pre-ACM R</w:t>
      </w:r>
      <w:r w:rsidR="001A5092">
        <w:t>esponse, the D</w:t>
      </w:r>
      <w:r>
        <w:t xml:space="preserve">elegate </w:t>
      </w:r>
      <w:r>
        <w:rPr>
          <w:lang w:val="en-US"/>
        </w:rPr>
        <w:t>considers the benefit/risk profile to be positive and recommends approval for the indication:</w:t>
      </w:r>
    </w:p>
    <w:p w14:paraId="4730BB9C" w14:textId="77777777" w:rsidR="0055166A" w:rsidRPr="00776389" w:rsidRDefault="0009021C" w:rsidP="00776389">
      <w:pPr>
        <w:ind w:left="720"/>
        <w:rPr>
          <w:i/>
        </w:rPr>
      </w:pPr>
      <w:r>
        <w:rPr>
          <w:i/>
        </w:rPr>
        <w:t>Rinvoq</w:t>
      </w:r>
      <w:r w:rsidR="004E3248">
        <w:rPr>
          <w:i/>
        </w:rPr>
        <w:t xml:space="preserve"> </w:t>
      </w:r>
      <w:r w:rsidR="0055166A" w:rsidRPr="00776389">
        <w:rPr>
          <w:i/>
        </w:rPr>
        <w:t>is indicated for the treatment of moderate to severe active rheumatoid arthritis in adult patients who have responded inadequately to, or who are intolerant to one or more disease modifying anti-rheumatic drugs (DMARDs).</w:t>
      </w:r>
    </w:p>
    <w:p w14:paraId="339A3487" w14:textId="77777777" w:rsidR="0055166A" w:rsidRPr="00776389" w:rsidRDefault="0009021C" w:rsidP="00776389">
      <w:pPr>
        <w:ind w:left="720"/>
        <w:rPr>
          <w:i/>
        </w:rPr>
      </w:pPr>
      <w:r>
        <w:rPr>
          <w:i/>
        </w:rPr>
        <w:t>Rinvoq</w:t>
      </w:r>
      <w:r w:rsidR="004E3248">
        <w:rPr>
          <w:i/>
        </w:rPr>
        <w:t xml:space="preserve"> </w:t>
      </w:r>
      <w:r w:rsidR="0055166A" w:rsidRPr="00776389">
        <w:rPr>
          <w:i/>
        </w:rPr>
        <w:t>may be used as monotherapy or in combination with methotrexate or other conventional synthetic disease-modifying anti-rheumatic drugs (</w:t>
      </w:r>
      <w:proofErr w:type="spellStart"/>
      <w:r w:rsidR="0055166A" w:rsidRPr="00776389">
        <w:rPr>
          <w:i/>
        </w:rPr>
        <w:t>csDMARDs</w:t>
      </w:r>
      <w:proofErr w:type="spellEnd"/>
      <w:r w:rsidR="0055166A" w:rsidRPr="00776389">
        <w:rPr>
          <w:i/>
        </w:rPr>
        <w:t>).</w:t>
      </w:r>
    </w:p>
    <w:p w14:paraId="3DDDE540" w14:textId="77777777" w:rsidR="00D23139" w:rsidRDefault="00A22D57" w:rsidP="00D23139">
      <w:pPr>
        <w:pStyle w:val="Heading4"/>
      </w:pPr>
      <w:r>
        <w:t>Request for AC</w:t>
      </w:r>
      <w:r w:rsidR="00D23139" w:rsidRPr="00D23139">
        <w:t>M advice</w:t>
      </w:r>
    </w:p>
    <w:p w14:paraId="04B0A9A9" w14:textId="77777777" w:rsidR="0055166A" w:rsidRDefault="0055166A" w:rsidP="0055166A">
      <w:pPr>
        <w:rPr>
          <w:rFonts w:asciiTheme="minorHAnsi" w:hAnsiTheme="minorHAnsi"/>
          <w:lang w:eastAsia="en-AU"/>
        </w:rPr>
      </w:pPr>
      <w:r>
        <w:rPr>
          <w:rFonts w:asciiTheme="minorHAnsi" w:hAnsiTheme="minorHAnsi"/>
          <w:lang w:eastAsia="en-AU"/>
        </w:rPr>
        <w:t>The committee is requested to provide advice on the following specific issues:</w:t>
      </w:r>
    </w:p>
    <w:p w14:paraId="086970F8" w14:textId="77777777" w:rsidR="0055166A" w:rsidRDefault="0055166A" w:rsidP="001A5092">
      <w:pPr>
        <w:pStyle w:val="Numberbullet0"/>
        <w:numPr>
          <w:ilvl w:val="0"/>
          <w:numId w:val="40"/>
        </w:numPr>
        <w:rPr>
          <w:lang w:eastAsia="en-AU"/>
        </w:rPr>
      </w:pPr>
      <w:r>
        <w:rPr>
          <w:lang w:eastAsia="en-AU"/>
        </w:rPr>
        <w:t>What are ACMs comments on the safety profile of upadacitinib and have these been adequately described in the PI?</w:t>
      </w:r>
      <w:r w:rsidR="004E3248">
        <w:rPr>
          <w:lang w:eastAsia="en-AU"/>
        </w:rPr>
        <w:t xml:space="preserve"> </w:t>
      </w:r>
      <w:r>
        <w:rPr>
          <w:lang w:eastAsia="en-AU"/>
        </w:rPr>
        <w:t>Is information required on the potential for MACE at this stage?</w:t>
      </w:r>
    </w:p>
    <w:p w14:paraId="501F92E4" w14:textId="77777777" w:rsidR="0055166A" w:rsidRDefault="0055166A" w:rsidP="001A5092">
      <w:pPr>
        <w:pStyle w:val="Numberbullet0"/>
        <w:rPr>
          <w:lang w:eastAsia="en-AU"/>
        </w:rPr>
      </w:pPr>
      <w:r>
        <w:rPr>
          <w:lang w:eastAsia="en-AU"/>
        </w:rPr>
        <w:t>What are ACMs comments on the potential risk of thromboses and is the proposed information in the PI adequate?</w:t>
      </w:r>
    </w:p>
    <w:p w14:paraId="66530287" w14:textId="10D4711C" w:rsidR="0055166A" w:rsidRDefault="0055166A" w:rsidP="001A5092">
      <w:pPr>
        <w:pStyle w:val="Numberbullet0"/>
        <w:rPr>
          <w:lang w:eastAsia="en-AU"/>
        </w:rPr>
      </w:pPr>
      <w:r>
        <w:rPr>
          <w:lang w:eastAsia="en-AU"/>
        </w:rPr>
        <w:t xml:space="preserve">What are ACMs comments on the potential risk of gastrointestinal perforations and should the PI include a warning similar to the US </w:t>
      </w:r>
      <w:r w:rsidR="00CD4094">
        <w:rPr>
          <w:lang w:eastAsia="en-AU"/>
        </w:rPr>
        <w:t>Prescribing Information</w:t>
      </w:r>
      <w:r>
        <w:rPr>
          <w:lang w:eastAsia="en-AU"/>
        </w:rPr>
        <w:t>?</w:t>
      </w:r>
    </w:p>
    <w:p w14:paraId="1994DCBF" w14:textId="77777777" w:rsidR="0055166A" w:rsidRDefault="0055166A" w:rsidP="001A5092">
      <w:pPr>
        <w:pStyle w:val="Numberbullet0"/>
        <w:rPr>
          <w:lang w:eastAsia="en-AU"/>
        </w:rPr>
      </w:pPr>
      <w:r>
        <w:rPr>
          <w:lang w:eastAsia="en-AU"/>
        </w:rPr>
        <w:lastRenderedPageBreak/>
        <w:t>What are ACMs comments on the need for a Boxed Warning given the other JAK inhibitors do not include a Boxed Warning in Australia?</w:t>
      </w:r>
    </w:p>
    <w:p w14:paraId="7EE54DD8" w14:textId="77777777" w:rsidR="00456765" w:rsidRPr="00456765" w:rsidRDefault="0055166A" w:rsidP="0055166A">
      <w:r>
        <w:rPr>
          <w:rFonts w:asciiTheme="minorHAnsi" w:hAnsiTheme="minorHAnsi"/>
          <w:lang w:eastAsia="en-AU"/>
        </w:rPr>
        <w:t>The committee is also requested to provide advice on any other issues that it thinks may be relevant to a decision on whether or not to approve this application.</w:t>
      </w:r>
    </w:p>
    <w:p w14:paraId="3DE85C18" w14:textId="77777777" w:rsidR="008E7846" w:rsidRDefault="008E7846" w:rsidP="008E7846">
      <w:pPr>
        <w:pStyle w:val="Heading4"/>
      </w:pPr>
      <w:r>
        <w:t>Advisory Committee Considerations</w:t>
      </w:r>
      <w:r w:rsidR="00456765">
        <w:rPr>
          <w:rStyle w:val="FootnoteReference"/>
        </w:rPr>
        <w:footnoteReference w:id="14"/>
      </w:r>
    </w:p>
    <w:p w14:paraId="1621CBAE" w14:textId="77777777" w:rsidR="008E7846" w:rsidRDefault="00456765" w:rsidP="00776389">
      <w:r w:rsidRPr="00456765">
        <w:t>The ACM, having considered the evaluations and the Delegate’s overview, as well as the sponsor’s response to these documents, advised the following:</w:t>
      </w:r>
    </w:p>
    <w:p w14:paraId="298F8636" w14:textId="77777777" w:rsidR="00124520" w:rsidRDefault="00124520" w:rsidP="00776389">
      <w:r w:rsidRPr="003F4481">
        <w:t xml:space="preserve">The </w:t>
      </w:r>
      <w:r>
        <w:t>ACM</w:t>
      </w:r>
      <w:r w:rsidRPr="003F4481">
        <w:t xml:space="preserve"> considered the referral for advice from the TGA </w:t>
      </w:r>
      <w:r>
        <w:t>D</w:t>
      </w:r>
      <w:r w:rsidRPr="003F4481">
        <w:t xml:space="preserve">elegate in relation to the </w:t>
      </w:r>
      <w:r w:rsidRPr="00CE78B4">
        <w:t xml:space="preserve">submission </w:t>
      </w:r>
      <w:r>
        <w:t xml:space="preserve">to register </w:t>
      </w:r>
      <w:r w:rsidR="0009021C">
        <w:rPr>
          <w:noProof/>
        </w:rPr>
        <w:t>Rinvoq</w:t>
      </w:r>
      <w:r w:rsidR="004E3248">
        <w:rPr>
          <w:noProof/>
        </w:rPr>
        <w:t xml:space="preserve"> </w:t>
      </w:r>
      <w:r>
        <w:rPr>
          <w:noProof/>
        </w:rPr>
        <w:t>film-coated modified release tablets</w:t>
      </w:r>
      <w:r w:rsidRPr="00CE78B4">
        <w:t xml:space="preserve">, containing </w:t>
      </w:r>
      <w:r>
        <w:rPr>
          <w:noProof/>
        </w:rPr>
        <w:t>15 mg</w:t>
      </w:r>
      <w:r w:rsidRPr="00CE78B4">
        <w:t xml:space="preserve"> of </w:t>
      </w:r>
      <w:r>
        <w:rPr>
          <w:noProof/>
        </w:rPr>
        <w:t>upadacitinib</w:t>
      </w:r>
      <w:r w:rsidRPr="00CE78B4">
        <w:t>.</w:t>
      </w:r>
    </w:p>
    <w:p w14:paraId="021CA1B5" w14:textId="77777777" w:rsidR="00124520" w:rsidRDefault="00124520" w:rsidP="00776389">
      <w:r w:rsidRPr="007E73DB">
        <w:t xml:space="preserve">The </w:t>
      </w:r>
      <w:r w:rsidRPr="00C12AE4">
        <w:t xml:space="preserve">ACM considered this product to have an </w:t>
      </w:r>
      <w:r w:rsidRPr="001E4AEE">
        <w:t>overall positive</w:t>
      </w:r>
      <w:r w:rsidRPr="00C12AE4">
        <w:t xml:space="preserve"> benefit-risk profile</w:t>
      </w:r>
      <w:r>
        <w:t xml:space="preserve"> for the proposed indication:</w:t>
      </w:r>
    </w:p>
    <w:p w14:paraId="1F74594C" w14:textId="77777777" w:rsidR="00124520" w:rsidRPr="00776389" w:rsidRDefault="004E3248" w:rsidP="00776389">
      <w:pPr>
        <w:ind w:left="720"/>
        <w:rPr>
          <w:i/>
          <w:noProof/>
        </w:rPr>
      </w:pPr>
      <w:r>
        <w:rPr>
          <w:i/>
        </w:rPr>
        <w:t>‘</w:t>
      </w:r>
      <w:r w:rsidR="0009021C">
        <w:rPr>
          <w:i/>
          <w:noProof/>
        </w:rPr>
        <w:t>Rinvoq</w:t>
      </w:r>
      <w:r>
        <w:rPr>
          <w:i/>
          <w:noProof/>
        </w:rPr>
        <w:t xml:space="preserve"> </w:t>
      </w:r>
      <w:r w:rsidR="00124520" w:rsidRPr="00776389">
        <w:rPr>
          <w:i/>
          <w:noProof/>
        </w:rPr>
        <w:t>is indicated for the treatment of moderate to severe active rheumatoid arthritis in adult patients who have responded inadequately to, or who are intolerant to one or more disease modifying anti-rheumatic drugs (DMARDs).</w:t>
      </w:r>
    </w:p>
    <w:p w14:paraId="4D928975" w14:textId="77777777" w:rsidR="00124520" w:rsidRPr="00776389" w:rsidRDefault="0009021C" w:rsidP="00776389">
      <w:pPr>
        <w:ind w:left="720"/>
        <w:rPr>
          <w:i/>
        </w:rPr>
      </w:pPr>
      <w:r>
        <w:rPr>
          <w:i/>
          <w:noProof/>
        </w:rPr>
        <w:t>Rinvoq</w:t>
      </w:r>
      <w:r w:rsidR="004E3248">
        <w:rPr>
          <w:i/>
          <w:noProof/>
        </w:rPr>
        <w:t xml:space="preserve"> </w:t>
      </w:r>
      <w:r w:rsidR="00124520" w:rsidRPr="00776389">
        <w:rPr>
          <w:i/>
          <w:noProof/>
        </w:rPr>
        <w:t>may be used as monotherapy or in combination with methotrexate or other conventional synthetic disease-modifying anti-rheumatic drugs (csDMARDs).</w:t>
      </w:r>
      <w:r w:rsidR="004E3248">
        <w:rPr>
          <w:i/>
        </w:rPr>
        <w:t>’</w:t>
      </w:r>
    </w:p>
    <w:p w14:paraId="09B03DFA" w14:textId="53B75667" w:rsidR="00124520" w:rsidRPr="00AE4E2E" w:rsidRDefault="00A27E90" w:rsidP="00E843B8">
      <w:pPr>
        <w:pStyle w:val="Heading5"/>
      </w:pPr>
      <w:r>
        <w:t>Specific a</w:t>
      </w:r>
      <w:r w:rsidR="00124520" w:rsidRPr="00AE4E2E">
        <w:t>dvice</w:t>
      </w:r>
    </w:p>
    <w:p w14:paraId="49464595" w14:textId="77777777" w:rsidR="00124520" w:rsidRPr="003B7154" w:rsidRDefault="00124520" w:rsidP="00124520">
      <w:r w:rsidRPr="003B7154">
        <w:t>The ACM advised the following in response to the Delegate’s specific request for advice:</w:t>
      </w:r>
    </w:p>
    <w:p w14:paraId="27E853F3" w14:textId="77777777" w:rsidR="00124520" w:rsidRPr="001A5092" w:rsidRDefault="00124520" w:rsidP="001A5092">
      <w:pPr>
        <w:pStyle w:val="Numberbullet0"/>
        <w:numPr>
          <w:ilvl w:val="0"/>
          <w:numId w:val="41"/>
        </w:numPr>
        <w:rPr>
          <w:i/>
          <w:noProof/>
        </w:rPr>
      </w:pPr>
      <w:r w:rsidRPr="001A5092">
        <w:rPr>
          <w:i/>
          <w:noProof/>
        </w:rPr>
        <w:t>What are ACM’s comments on the safety profile of upadacitinib and have these been adequately described in the PI? Is information required on the potential for MACE at this stage?</w:t>
      </w:r>
    </w:p>
    <w:p w14:paraId="16E95D8F" w14:textId="712B7766" w:rsidR="00124520" w:rsidRPr="00D1486F" w:rsidRDefault="00124520" w:rsidP="001A5092">
      <w:pPr>
        <w:rPr>
          <w:noProof/>
        </w:rPr>
      </w:pPr>
      <w:r>
        <w:rPr>
          <w:noProof/>
        </w:rPr>
        <w:t xml:space="preserve">The ACM was of the view that the safety profile of upadacitinib was similar to that of other products within the same class, and was adequately characterised within the product information document. The ACM agreed that the occurrence of </w:t>
      </w:r>
      <w:r w:rsidR="00093889">
        <w:rPr>
          <w:noProof/>
        </w:rPr>
        <w:t>MACE</w:t>
      </w:r>
      <w:r>
        <w:rPr>
          <w:noProof/>
        </w:rPr>
        <w:t xml:space="preserve"> would need to be monitored vigilantly, but was of the view that no evidence was currently present to suggest that upadacitinib contributed to or caused an early increased risk of MACE. The ACM was satisfied that these risks were effectively addressed in the proposed risk management plan.</w:t>
      </w:r>
    </w:p>
    <w:p w14:paraId="11B6E6FB" w14:textId="77777777" w:rsidR="00124520" w:rsidRPr="001A5092" w:rsidRDefault="00124520" w:rsidP="001A5092">
      <w:pPr>
        <w:pStyle w:val="Numberbullet0"/>
        <w:rPr>
          <w:i/>
          <w:noProof/>
        </w:rPr>
      </w:pPr>
      <w:r w:rsidRPr="001A5092">
        <w:rPr>
          <w:i/>
          <w:noProof/>
        </w:rPr>
        <w:t>What are ACM’s comments on the potential risk of thromboses and is the proposed information in the PI adequate?</w:t>
      </w:r>
    </w:p>
    <w:p w14:paraId="30C7EF38" w14:textId="3C50E26F" w:rsidR="00124520" w:rsidRDefault="00124520" w:rsidP="001A5092">
      <w:pPr>
        <w:rPr>
          <w:noProof/>
        </w:rPr>
      </w:pPr>
      <w:r>
        <w:rPr>
          <w:noProof/>
        </w:rPr>
        <w:t xml:space="preserve">The ACM advised that current evidence does not indicate a significant safety risk in relation to thromboses and that therefore the information in the proposed product information regarding VTE is appropriate. The ACM noted recent concerns relating to an increased risk of VTE in relation to another drug in the same class, and agreed that the </w:t>
      </w:r>
      <w:r>
        <w:rPr>
          <w:noProof/>
        </w:rPr>
        <w:lastRenderedPageBreak/>
        <w:t>incidence of VTE should be carefully monitored as proposed in the risk management plan, without need for additional measures or warnings at this stage.</w:t>
      </w:r>
      <w:r w:rsidR="006417A7">
        <w:rPr>
          <w:rStyle w:val="FootnoteReference"/>
          <w:noProof/>
        </w:rPr>
        <w:footnoteReference w:id="15"/>
      </w:r>
    </w:p>
    <w:p w14:paraId="01310E7D" w14:textId="4FDBBE0F" w:rsidR="00124520" w:rsidRPr="001A5092" w:rsidRDefault="00124520" w:rsidP="001A5092">
      <w:pPr>
        <w:pStyle w:val="Numberbullet0"/>
        <w:rPr>
          <w:i/>
          <w:noProof/>
        </w:rPr>
      </w:pPr>
      <w:r w:rsidRPr="001A5092">
        <w:rPr>
          <w:i/>
          <w:noProof/>
        </w:rPr>
        <w:t>What are ACM’s comments on the potential risk of gastrointestinal perforations and should the PI include a warning similar to the US P</w:t>
      </w:r>
      <w:r w:rsidR="00CD4094">
        <w:rPr>
          <w:i/>
          <w:noProof/>
        </w:rPr>
        <w:t>rescribing Information</w:t>
      </w:r>
      <w:r w:rsidRPr="001A5092">
        <w:rPr>
          <w:i/>
          <w:noProof/>
        </w:rPr>
        <w:t>I?</w:t>
      </w:r>
    </w:p>
    <w:p w14:paraId="52058E67" w14:textId="77777777" w:rsidR="00124520" w:rsidRDefault="00124520" w:rsidP="001A5092">
      <w:pPr>
        <w:rPr>
          <w:noProof/>
        </w:rPr>
      </w:pPr>
      <w:r>
        <w:rPr>
          <w:noProof/>
        </w:rPr>
        <w:t>The ACM was of the view that as the incidence of gastrointestinal ulceration and perforation was low, the most appropriate course of action would be to monitor cautiously. A specific warning in the product information is not required at present. The ACM considered the suggestion of a causal relationship between upadacitinib use and ulceration or perforation, but was of the view that this was unlikely, and may have been confounded by concomitant use of non steroidal anti inflammatory drugs, which are a common treatment modality for inflammatory and/or arthritic conditions.</w:t>
      </w:r>
    </w:p>
    <w:p w14:paraId="3A34D9B7" w14:textId="77777777" w:rsidR="00124520" w:rsidRPr="001A5092" w:rsidRDefault="00124520" w:rsidP="001A5092">
      <w:pPr>
        <w:pStyle w:val="Numberbullet0"/>
        <w:rPr>
          <w:i/>
          <w:noProof/>
        </w:rPr>
      </w:pPr>
      <w:r w:rsidRPr="001A5092">
        <w:rPr>
          <w:i/>
          <w:noProof/>
        </w:rPr>
        <w:t>What are ACMs comments on the need for a Boxed Warning given the other JAK inhibitors do not include a Boxed Warning in Australia?</w:t>
      </w:r>
    </w:p>
    <w:p w14:paraId="18910DAF" w14:textId="77777777" w:rsidR="00124520" w:rsidRPr="00AE4E2E" w:rsidRDefault="00124520" w:rsidP="001A5092">
      <w:pPr>
        <w:rPr>
          <w:noProof/>
        </w:rPr>
      </w:pPr>
      <w:r>
        <w:rPr>
          <w:noProof/>
        </w:rPr>
        <w:t>The ACM advised that as neither of the previous JAK inhibitors contain a Boxed Warning and current evidence suggests a similar safety profile for upadacitinib, then a Boxed Warning for upadacitinib is not required at the present time.</w:t>
      </w:r>
    </w:p>
    <w:p w14:paraId="0FC6C200" w14:textId="77777777" w:rsidR="00124520" w:rsidRPr="001A5092" w:rsidRDefault="00124520" w:rsidP="001A5092">
      <w:pPr>
        <w:pStyle w:val="Numberbullet0"/>
        <w:rPr>
          <w:i/>
          <w:noProof/>
        </w:rPr>
      </w:pPr>
      <w:r w:rsidRPr="001A5092">
        <w:rPr>
          <w:i/>
          <w:noProof/>
        </w:rPr>
        <w:t>The committee is also requested to provide advice on any other issues that it thinks may be relevant to a decision on whether or not to approve this application</w:t>
      </w:r>
    </w:p>
    <w:p w14:paraId="570D4228" w14:textId="77777777" w:rsidR="00124520" w:rsidRPr="00AE4E2E" w:rsidRDefault="00124520" w:rsidP="0055166A">
      <w:pPr>
        <w:pStyle w:val="ListBullet"/>
        <w:numPr>
          <w:ilvl w:val="0"/>
          <w:numId w:val="0"/>
        </w:numPr>
        <w:spacing w:before="0" w:after="200" w:line="240" w:lineRule="auto"/>
        <w:ind w:left="425"/>
        <w:contextualSpacing/>
        <w:rPr>
          <w:rFonts w:eastAsia="Times New Roman"/>
          <w:noProof/>
          <w:szCs w:val="20"/>
        </w:rPr>
      </w:pPr>
      <w:r>
        <w:rPr>
          <w:rFonts w:eastAsia="Times New Roman"/>
          <w:noProof/>
          <w:szCs w:val="20"/>
        </w:rPr>
        <w:t>Nil.</w:t>
      </w:r>
    </w:p>
    <w:p w14:paraId="32AFCF4D" w14:textId="1D43BD25" w:rsidR="001A5092" w:rsidRDefault="00E843B8" w:rsidP="00E843B8">
      <w:pPr>
        <w:pStyle w:val="Heading5"/>
      </w:pPr>
      <w:r>
        <w:t>General a</w:t>
      </w:r>
      <w:r w:rsidR="00124520" w:rsidRPr="001A5092">
        <w:t>dvice</w:t>
      </w:r>
    </w:p>
    <w:p w14:paraId="1DB07D7D" w14:textId="77777777" w:rsidR="00124520" w:rsidRPr="00042A8D" w:rsidRDefault="00124520" w:rsidP="001A5092">
      <w:r>
        <w:t>Nil.</w:t>
      </w:r>
    </w:p>
    <w:p w14:paraId="16CAE6F3" w14:textId="77777777" w:rsidR="008E7846" w:rsidRPr="002E238E" w:rsidRDefault="008E7846" w:rsidP="008E7846">
      <w:pPr>
        <w:pStyle w:val="Heading3"/>
      </w:pPr>
      <w:bookmarkStart w:id="49" w:name="_Toc247691532"/>
      <w:bookmarkStart w:id="50" w:name="_Toc314842516"/>
      <w:bookmarkStart w:id="51" w:name="_Toc40171809"/>
      <w:bookmarkEnd w:id="29"/>
      <w:bookmarkEnd w:id="46"/>
      <w:bookmarkEnd w:id="47"/>
      <w:r>
        <w:t>Outcome</w:t>
      </w:r>
      <w:bookmarkEnd w:id="49"/>
      <w:bookmarkEnd w:id="50"/>
      <w:bookmarkEnd w:id="51"/>
    </w:p>
    <w:p w14:paraId="010AB725" w14:textId="46B97157" w:rsidR="00D23139" w:rsidRPr="00D23139" w:rsidRDefault="00D23139" w:rsidP="00776389">
      <w:bookmarkStart w:id="52" w:name="_Toc247691533"/>
      <w:bookmarkStart w:id="53" w:name="_Toc314842517"/>
      <w:r w:rsidRPr="00D23139">
        <w:t xml:space="preserve">Based on a review of quality, safety and efficacy, </w:t>
      </w:r>
      <w:r w:rsidR="00CD4094">
        <w:t xml:space="preserve">the </w:t>
      </w:r>
      <w:r w:rsidRPr="00D23139">
        <w:t xml:space="preserve">TGA approved </w:t>
      </w:r>
      <w:r w:rsidR="00124520">
        <w:t>the registration of R</w:t>
      </w:r>
      <w:r w:rsidR="00124520">
        <w:rPr>
          <w:rFonts w:eastAsia="Calibri"/>
        </w:rPr>
        <w:t xml:space="preserve">invoq </w:t>
      </w:r>
      <w:r w:rsidR="00CD4094">
        <w:rPr>
          <w:rFonts w:eastAsia="Calibri"/>
        </w:rPr>
        <w:t>u</w:t>
      </w:r>
      <w:r w:rsidR="00124520">
        <w:rPr>
          <w:rFonts w:eastAsia="Calibri"/>
        </w:rPr>
        <w:t>padacitinib 15 mg modified release tablet for oral administration</w:t>
      </w:r>
      <w:r w:rsidRPr="00D23139">
        <w:t>, indicated for:</w:t>
      </w:r>
    </w:p>
    <w:p w14:paraId="1320C921" w14:textId="77777777" w:rsidR="00124520" w:rsidRDefault="00124520" w:rsidP="00124520">
      <w:pPr>
        <w:ind w:left="720"/>
        <w:rPr>
          <w:i/>
        </w:rPr>
      </w:pPr>
      <w:r>
        <w:rPr>
          <w:i/>
        </w:rPr>
        <w:t>Rinvoq is indicated for the treatment of moderate to severe active rheumatoid arthritis in adult patients who have responded inadequately to, or who are intolerant to, one or more disease-modifying anti-rheumatic drugs (DMARDs).</w:t>
      </w:r>
    </w:p>
    <w:p w14:paraId="6BD0C3CA" w14:textId="77777777" w:rsidR="00D23139" w:rsidRPr="00D23139" w:rsidRDefault="00124520" w:rsidP="00124520">
      <w:pPr>
        <w:ind w:left="720"/>
      </w:pPr>
      <w:r>
        <w:rPr>
          <w:i/>
        </w:rPr>
        <w:t>Rinvoq may be used as monotherapy or in combination with methotrexate or other conventional synthetic disease-modifying anti-rheumatic drugs (</w:t>
      </w:r>
      <w:proofErr w:type="spellStart"/>
      <w:r>
        <w:rPr>
          <w:i/>
        </w:rPr>
        <w:t>csDMARDs</w:t>
      </w:r>
      <w:proofErr w:type="spellEnd"/>
      <w:r>
        <w:rPr>
          <w:i/>
        </w:rPr>
        <w:t>).</w:t>
      </w:r>
    </w:p>
    <w:p w14:paraId="42F408B1" w14:textId="77777777" w:rsidR="00D23139" w:rsidRPr="00D23139" w:rsidRDefault="00D23139" w:rsidP="00D23139">
      <w:pPr>
        <w:pStyle w:val="Heading4"/>
      </w:pPr>
      <w:r w:rsidRPr="00D23139">
        <w:t>Specific conditions of registration applying to these goods</w:t>
      </w:r>
    </w:p>
    <w:p w14:paraId="26FE4A8A" w14:textId="77777777" w:rsidR="00124520" w:rsidRPr="00595FC2" w:rsidRDefault="00124520" w:rsidP="00124520">
      <w:pPr>
        <w:pStyle w:val="ListBullet"/>
      </w:pPr>
      <w:r w:rsidRPr="00595FC2">
        <w:t xml:space="preserve">Rinvoq (upadacitinib) is to be included in the Black </w:t>
      </w:r>
      <w:r>
        <w:t xml:space="preserve">Triangle Scheme. The Product Information (PI) and Consumer Medicines Information (CMI) </w:t>
      </w:r>
      <w:r w:rsidRPr="00595FC2">
        <w:t xml:space="preserve">for Rinvoq must include the black triangle symbol </w:t>
      </w:r>
      <w:r>
        <w:t xml:space="preserve">and mandatory accompanying text </w:t>
      </w:r>
      <w:r w:rsidRPr="00595FC2">
        <w:t>for five years, which starts from the date that the sponso</w:t>
      </w:r>
      <w:r>
        <w:t xml:space="preserve">r notifies the TGA of supply of </w:t>
      </w:r>
      <w:r w:rsidRPr="00595FC2">
        <w:t>the product.</w:t>
      </w:r>
    </w:p>
    <w:p w14:paraId="047E5A9E" w14:textId="77777777" w:rsidR="00124520" w:rsidRPr="00595FC2" w:rsidRDefault="00124520" w:rsidP="00124520">
      <w:pPr>
        <w:pStyle w:val="ListBullet"/>
      </w:pPr>
      <w:r w:rsidRPr="00595FC2">
        <w:t>The Rinvoq E</w:t>
      </w:r>
      <w:r>
        <w:t xml:space="preserve">uropean </w:t>
      </w:r>
      <w:r w:rsidRPr="00595FC2">
        <w:t>U</w:t>
      </w:r>
      <w:r>
        <w:t>nion</w:t>
      </w:r>
      <w:r w:rsidRPr="00595FC2">
        <w:t>-Risk Management Plan (</w:t>
      </w:r>
      <w:r>
        <w:t>EU-</w:t>
      </w:r>
      <w:r w:rsidRPr="00595FC2">
        <w:t>RMP) (versio</w:t>
      </w:r>
      <w:r>
        <w:t xml:space="preserve">n 1.6, dated October 2019, data </w:t>
      </w:r>
      <w:r w:rsidRPr="00595FC2">
        <w:t>lock point 13 September 2018), with Australian Sp</w:t>
      </w:r>
      <w:r>
        <w:t xml:space="preserve">ecific Annex (version 1.4, dated </w:t>
      </w:r>
      <w:r w:rsidRPr="00595FC2">
        <w:t>November 2019), included with submission PM-201</w:t>
      </w:r>
      <w:r>
        <w:t xml:space="preserve">8-05603-1-3, and any subsequent </w:t>
      </w:r>
      <w:r w:rsidRPr="00595FC2">
        <w:t>revisions, as agreed with the TGA will be implemented in Australia.</w:t>
      </w:r>
    </w:p>
    <w:p w14:paraId="7E6701A3" w14:textId="77777777" w:rsidR="00124520" w:rsidRDefault="00124520" w:rsidP="00124520">
      <w:pPr>
        <w:pStyle w:val="ListBullet"/>
        <w:numPr>
          <w:ilvl w:val="0"/>
          <w:numId w:val="0"/>
        </w:numPr>
        <w:ind w:left="360"/>
      </w:pPr>
      <w:r w:rsidRPr="00595FC2">
        <w:lastRenderedPageBreak/>
        <w:t>An obligatory component of risk management plan</w:t>
      </w:r>
      <w:r>
        <w:t xml:space="preserve">s is routine pharmacovigilance. </w:t>
      </w:r>
      <w:r w:rsidRPr="00595FC2">
        <w:t>Routine pharmacovigilance includes the submission of</w:t>
      </w:r>
      <w:r>
        <w:t xml:space="preserve"> periodic safety update reports </w:t>
      </w:r>
      <w:r w:rsidRPr="00595FC2">
        <w:t>(PSURs).</w:t>
      </w:r>
    </w:p>
    <w:p w14:paraId="50B6CACB" w14:textId="77777777" w:rsidR="00124520" w:rsidRDefault="00124520" w:rsidP="00124520">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0F8E9BE6" w14:textId="77777777" w:rsidR="00124520" w:rsidRDefault="00124520" w:rsidP="00124520">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6CFF8B56" w14:textId="77777777" w:rsidR="00124520" w:rsidRDefault="00124520" w:rsidP="00124520">
      <w:pPr>
        <w:pStyle w:val="ListBullet"/>
      </w:pPr>
      <w:r>
        <w:t>The final study reports for the following studies must be submitted to the TGA, as soon as possible after completion, for evaluation as Category 1 submission(s):</w:t>
      </w:r>
    </w:p>
    <w:p w14:paraId="229158B5" w14:textId="77777777" w:rsidR="00124520" w:rsidRDefault="00124520" w:rsidP="00124520">
      <w:pPr>
        <w:pStyle w:val="ListBullet2"/>
      </w:pPr>
      <w:r>
        <w:t>MI3-545</w:t>
      </w:r>
    </w:p>
    <w:p w14:paraId="3D04D1F9" w14:textId="77777777" w:rsidR="00124520" w:rsidRDefault="00124520" w:rsidP="00124520">
      <w:pPr>
        <w:pStyle w:val="ListBullet2"/>
      </w:pPr>
      <w:r>
        <w:t>MI3-549</w:t>
      </w:r>
    </w:p>
    <w:p w14:paraId="7CF81C76" w14:textId="77777777" w:rsidR="00124520" w:rsidRDefault="00124520" w:rsidP="00124520">
      <w:pPr>
        <w:pStyle w:val="ListBullet2"/>
      </w:pPr>
      <w:r>
        <w:t>MI4-465</w:t>
      </w:r>
    </w:p>
    <w:p w14:paraId="5568E75B" w14:textId="77777777" w:rsidR="00124520" w:rsidRDefault="00124520" w:rsidP="00124520">
      <w:pPr>
        <w:pStyle w:val="ListBullet2"/>
      </w:pPr>
      <w:r>
        <w:t>MI5-555</w:t>
      </w:r>
    </w:p>
    <w:p w14:paraId="34807E14" w14:textId="77777777" w:rsidR="00124520" w:rsidRPr="00595FC2" w:rsidRDefault="00124520" w:rsidP="00124520">
      <w:pPr>
        <w:pStyle w:val="ListBullet2"/>
      </w:pPr>
      <w:r>
        <w:t>MI3-542</w:t>
      </w:r>
    </w:p>
    <w:p w14:paraId="40718DF2" w14:textId="77777777" w:rsidR="008E7846" w:rsidRDefault="00A80B5B" w:rsidP="00D23139">
      <w:pPr>
        <w:pStyle w:val="Heading2"/>
      </w:pPr>
      <w:bookmarkStart w:id="54" w:name="_Toc40171810"/>
      <w:r>
        <w:t xml:space="preserve">Attachment 1. </w:t>
      </w:r>
      <w:r w:rsidR="008E7846">
        <w:t xml:space="preserve">Product </w:t>
      </w:r>
      <w:r w:rsidR="00AA0ED0">
        <w:t>I</w:t>
      </w:r>
      <w:r w:rsidR="008E7846">
        <w:t>nformation</w:t>
      </w:r>
      <w:bookmarkEnd w:id="52"/>
      <w:bookmarkEnd w:id="53"/>
      <w:bookmarkEnd w:id="54"/>
    </w:p>
    <w:p w14:paraId="5F5F5E18" w14:textId="77777777" w:rsidR="00291957" w:rsidRDefault="006136D7" w:rsidP="00291957">
      <w:pPr>
        <w:rPr>
          <w:lang w:eastAsia="ja-JP"/>
        </w:rPr>
      </w:pPr>
      <w:r w:rsidRPr="002B3624">
        <w:t xml:space="preserve">The </w:t>
      </w:r>
      <w:r>
        <w:t>PI</w:t>
      </w:r>
      <w:r w:rsidRPr="002B3624">
        <w:t xml:space="preserve"> for </w:t>
      </w:r>
      <w:r w:rsidR="00124520">
        <w:rPr>
          <w:rFonts w:eastAsia="Calibri"/>
        </w:rPr>
        <w:t xml:space="preserve">Rinvoq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4" w:history="1">
        <w:r w:rsidR="007C6B9B" w:rsidRPr="007C6B9B">
          <w:rPr>
            <w:rStyle w:val="Hyperlink"/>
          </w:rPr>
          <w:t>https://www.tga.gov.au/product-information-pi</w:t>
        </w:r>
      </w:hyperlink>
      <w:r w:rsidR="001A5092">
        <w:t>&gt;.</w:t>
      </w:r>
    </w:p>
    <w:p w14:paraId="68A9AF1C" w14:textId="77777777"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F1A693D" w14:textId="77777777" w:rsidTr="00A05FA4">
        <w:trPr>
          <w:trHeight w:hRule="exact" w:val="704"/>
        </w:trPr>
        <w:tc>
          <w:tcPr>
            <w:tcW w:w="9175" w:type="dxa"/>
          </w:tcPr>
          <w:p w14:paraId="50AFB0B1" w14:textId="77777777" w:rsidR="001C32CD" w:rsidRPr="00487162" w:rsidRDefault="001C32CD" w:rsidP="00A05FA4">
            <w:pPr>
              <w:pStyle w:val="TGASignoff"/>
            </w:pPr>
            <w:r w:rsidRPr="00487162">
              <w:lastRenderedPageBreak/>
              <w:t>Therapeutic Goods Administration</w:t>
            </w:r>
          </w:p>
        </w:tc>
      </w:tr>
      <w:tr w:rsidR="001C32CD" w:rsidRPr="004C239D" w14:paraId="0C4E7699" w14:textId="77777777" w:rsidTr="00A05FA4">
        <w:trPr>
          <w:trHeight w:val="1221"/>
        </w:trPr>
        <w:tc>
          <w:tcPr>
            <w:tcW w:w="9175" w:type="dxa"/>
            <w:tcMar>
              <w:top w:w="28" w:type="dxa"/>
            </w:tcMar>
          </w:tcPr>
          <w:p w14:paraId="33443B6D" w14:textId="77777777" w:rsidR="001C32CD" w:rsidRPr="00487162" w:rsidRDefault="001C32CD" w:rsidP="00A05FA4">
            <w:pPr>
              <w:pStyle w:val="Address"/>
            </w:pPr>
            <w:r w:rsidRPr="00487162">
              <w:t>PO Box 100 Woden ACT 2606 Australia</w:t>
            </w:r>
          </w:p>
          <w:p w14:paraId="5BA89E96" w14:textId="77777777" w:rsidR="001C32CD" w:rsidRPr="00487162" w:rsidRDefault="001C32CD" w:rsidP="00A05FA4">
            <w:pPr>
              <w:pStyle w:val="Address"/>
            </w:pPr>
            <w:r w:rsidRPr="00487162">
              <w:t xml:space="preserve">Email: </w:t>
            </w:r>
            <w:hyperlink r:id="rId29" w:history="1">
              <w:r w:rsidRPr="004C239D">
                <w:rPr>
                  <w:rStyle w:val="Hyperlink"/>
                </w:rPr>
                <w:t>info@tga.gov.au</w:t>
              </w:r>
            </w:hyperlink>
            <w:r w:rsidR="004E3248">
              <w:t xml:space="preserve"> </w:t>
            </w:r>
            <w:r w:rsidRPr="00487162">
              <w:t>Phone: 1800 020 653</w:t>
            </w:r>
            <w:r w:rsidR="004E3248">
              <w:t xml:space="preserve"> </w:t>
            </w:r>
            <w:r w:rsidRPr="00487162">
              <w:t>Fax: 02 6232 8605</w:t>
            </w:r>
          </w:p>
          <w:p w14:paraId="6ED8C019" w14:textId="77777777" w:rsidR="001C32CD" w:rsidRPr="004C239D" w:rsidRDefault="006C5007"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14:paraId="39287445" w14:textId="77777777"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B0486" w16cex:dateUtc="2020-04-10T19:43:00Z"/>
  <w16cex:commentExtensible w16cex:durableId="222DB1C8" w16cex:dateUtc="2020-03-31T17:10:00Z"/>
  <w16cex:commentExtensible w16cex:durableId="222DB122" w16cex:dateUtc="2020-03-31T17:08:00Z"/>
  <w16cex:commentExtensible w16cex:durableId="222DB3F0" w16cex:dateUtc="2020-03-31T17:20:00Z"/>
  <w16cex:commentExtensible w16cex:durableId="222C549D" w16cex:dateUtc="2020-03-30T16:21:00Z"/>
  <w16cex:commentExtensible w16cex:durableId="222C54E0" w16cex:dateUtc="2020-03-30T16:22:00Z"/>
  <w16cex:commentExtensible w16cex:durableId="223089F9" w16cex:dateUtc="2020-04-02T20:57:00Z"/>
  <w16cex:commentExtensible w16cex:durableId="22308AD9" w16cex:dateUtc="2020-04-02T21:01:00Z"/>
  <w16cex:commentExtensible w16cex:durableId="222F3DAC" w16cex:dateUtc="2020-04-01T21:19:00Z"/>
  <w16cex:commentExtensible w16cex:durableId="22308C8A" w16cex:dateUtc="2020-04-02T21:08:00Z"/>
  <w16cex:commentExtensible w16cex:durableId="223090EC" w16cex:dateUtc="2020-04-02T21:27:00Z"/>
  <w16cex:commentExtensible w16cex:durableId="22302A67" w16cex:dateUtc="2020-04-02T14:09:00Z"/>
  <w16cex:commentExtensible w16cex:durableId="223AD22B" w16cex:dateUtc="2020-04-10T16:08:00Z"/>
  <w16cex:commentExtensible w16cex:durableId="2230D7FB" w16cex:dateUtc="2020-04-03T02:30:00Z"/>
  <w16cex:commentExtensible w16cex:durableId="223AD333" w16cex:dateUtc="2020-04-10T16:12:00Z"/>
  <w16cex:commentExtensible w16cex:durableId="223AF8DC" w16cex:dateUtc="2020-04-10T18:53:00Z"/>
  <w16cex:commentExtensible w16cex:durableId="2230AF26" w16cex:dateUtc="2020-04-02T23:36:00Z"/>
  <w16cex:commentExtensible w16cex:durableId="222DBDAB" w16cex:dateUtc="2020-03-31T18:01:00Z"/>
  <w16cex:commentExtensible w16cex:durableId="222DBDD4" w16cex:dateUtc="2020-03-31T18:02:00Z"/>
  <w16cex:commentExtensible w16cex:durableId="222DBE2C" w16cex:dateUtc="2020-03-31T18:03:00Z"/>
  <w16cex:commentExtensible w16cex:durableId="223AD4EC" w16cex:dateUtc="2020-04-10T16:20:00Z"/>
  <w16cex:commentExtensible w16cex:durableId="222DBF4C" w16cex:dateUtc="2020-03-31T18:08:00Z"/>
  <w16cex:commentExtensible w16cex:durableId="222DDF9F" w16cex:dateUtc="2020-03-31T20:26:00Z"/>
  <w16cex:commentExtensible w16cex:durableId="222DE051" w16cex:dateUtc="2020-03-31T20:29:00Z"/>
  <w16cex:commentExtensible w16cex:durableId="222DE5B2" w16cex:dateUtc="2020-03-31T20:52:00Z"/>
  <w16cex:commentExtensible w16cex:durableId="222DF2DC" w16cex:dateUtc="2020-03-31T21:48:00Z"/>
  <w16cex:commentExtensible w16cex:durableId="222DE901" w16cex:dateUtc="2020-03-31T21:06:00Z"/>
  <w16cex:commentExtensible w16cex:durableId="222F4A88" w16cex:dateUtc="2020-04-01T22:14:00Z"/>
  <w16cex:commentExtensible w16cex:durableId="2231C687" w16cex:dateUtc="2020-04-03T19:28:00Z"/>
  <w16cex:commentExtensible w16cex:durableId="2231CD64" w16cex:dateUtc="2020-04-03T19:57:00Z"/>
  <w16cex:commentExtensible w16cex:durableId="222F5241" w16cex:dateUtc="2020-04-01T22:47:00Z"/>
  <w16cex:commentExtensible w16cex:durableId="222F52FA" w16cex:dateUtc="2020-04-01T22:50:00Z"/>
  <w16cex:commentExtensible w16cex:durableId="222F5683" w16cex:dateUtc="2020-04-01T23:05:00Z"/>
  <w16cex:commentExtensible w16cex:durableId="223AD527" w16cex:dateUtc="2020-04-10T16:21:00Z"/>
  <w16cex:commentExtensible w16cex:durableId="222DFA22" w16cex:dateUtc="2020-03-31T22:19:00Z"/>
  <w16cex:commentExtensible w16cex:durableId="222DFAE8" w16cex:dateUtc="2020-03-31T22:22:00Z"/>
  <w16cex:commentExtensible w16cex:durableId="223AD564" w16cex:dateUtc="2020-04-10T16:22:00Z"/>
  <w16cex:commentExtensible w16cex:durableId="222F5B0A" w16cex:dateUtc="2020-04-01T23:25:00Z"/>
  <w16cex:commentExtensible w16cex:durableId="222DFBEB" w16cex:dateUtc="2020-03-31T22:27:00Z"/>
  <w16cex:commentExtensible w16cex:durableId="222DFC07" w16cex:dateUtc="2020-03-31T22:27:00Z"/>
  <w16cex:commentExtensible w16cex:durableId="2230C34F" w16cex:dateUtc="2020-04-03T01:02:00Z"/>
  <w16cex:commentExtensible w16cex:durableId="223AD584" w16cex:dateUtc="2020-04-10T16:22:00Z"/>
  <w16cex:commentExtensible w16cex:durableId="2230C879" w16cex:dateUtc="2020-04-03T01:24:00Z"/>
  <w16cex:commentExtensible w16cex:durableId="2230C9EC" w16cex:dateUtc="2020-04-03T01:30:00Z"/>
  <w16cex:commentExtensible w16cex:durableId="223AD92C" w16cex:dateUtc="2020-04-10T16:38:00Z"/>
  <w16cex:commentExtensible w16cex:durableId="223AFBC2" w16cex:dateUtc="2020-04-10T19:05:00Z"/>
  <w16cex:commentExtensible w16cex:durableId="2230CB3A" w16cex:dateUtc="2020-04-03T01:36:00Z"/>
  <w16cex:commentExtensible w16cex:durableId="2230CCDA" w16cex:dateUtc="2020-04-03T01:43:00Z"/>
  <w16cex:commentExtensible w16cex:durableId="223ADB66" w16cex:dateUtc="2020-04-10T16:47:00Z"/>
  <w16cex:commentExtensible w16cex:durableId="2230CE29" w16cex:dateUtc="2020-04-03T01:48:00Z"/>
  <w16cex:commentExtensible w16cex:durableId="2231D758" w16cex:dateUtc="2020-04-03T20:40:00Z"/>
  <w16cex:commentExtensible w16cex:durableId="222DC683" w16cex:dateUtc="2020-03-31T18:39:00Z"/>
  <w16cex:commentExtensible w16cex:durableId="223ADBAE" w16cex:dateUtc="2020-04-10T16:49:00Z"/>
  <w16cex:commentExtensible w16cex:durableId="223174C6" w16cex:dateUtc="2020-04-03T13:39:00Z"/>
  <w16cex:commentExtensible w16cex:durableId="223174CB" w16cex:dateUtc="2020-04-03T13:39:00Z"/>
  <w16cex:commentExtensible w16cex:durableId="2231740F" w16cex:dateUtc="2020-04-03T13:36:00Z"/>
  <w16cex:commentExtensible w16cex:durableId="22319B82" w16cex:dateUtc="2020-04-03T16:24:00Z"/>
  <w16cex:commentExtensible w16cex:durableId="223ADBE6" w16cex:dateUtc="2020-04-10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3164EA" w16cid:durableId="223B0486"/>
  <w16cid:commentId w16cid:paraId="6AF9A7A1" w16cid:durableId="222DB1C8"/>
  <w16cid:commentId w16cid:paraId="0027AD60" w16cid:durableId="223ACECA"/>
  <w16cid:commentId w16cid:paraId="68B467A8" w16cid:durableId="222DB122"/>
  <w16cid:commentId w16cid:paraId="5C3C69B0" w16cid:durableId="223ACECC"/>
  <w16cid:commentId w16cid:paraId="38EED9D2" w16cid:durableId="222DB3F0"/>
  <w16cid:commentId w16cid:paraId="538F490E" w16cid:durableId="223ACECE"/>
  <w16cid:commentId w16cid:paraId="04855A26" w16cid:durableId="222C549D"/>
  <w16cid:commentId w16cid:paraId="5507F7C4" w16cid:durableId="223ACED0"/>
  <w16cid:commentId w16cid:paraId="0773713E" w16cid:durableId="222C54E0"/>
  <w16cid:commentId w16cid:paraId="790171E7" w16cid:durableId="223ACED2"/>
  <w16cid:commentId w16cid:paraId="197F11A8" w16cid:durableId="223089F9"/>
  <w16cid:commentId w16cid:paraId="24C2A49A" w16cid:durableId="223ACED4"/>
  <w16cid:commentId w16cid:paraId="604EADFA" w16cid:durableId="22308AD9"/>
  <w16cid:commentId w16cid:paraId="4022B8CC" w16cid:durableId="223ACED6"/>
  <w16cid:commentId w16cid:paraId="0911F865" w16cid:durableId="222F3DAC"/>
  <w16cid:commentId w16cid:paraId="601C2F6D" w16cid:durableId="223ACED8"/>
  <w16cid:commentId w16cid:paraId="08983BE1" w16cid:durableId="22308C8A"/>
  <w16cid:commentId w16cid:paraId="0EED2F7B" w16cid:durableId="223ACEDA"/>
  <w16cid:commentId w16cid:paraId="5888CB1D" w16cid:durableId="223090EC"/>
  <w16cid:commentId w16cid:paraId="6FC3901F" w16cid:durableId="223ACEDC"/>
  <w16cid:commentId w16cid:paraId="1C0DB442" w16cid:durableId="22302A67"/>
  <w16cid:commentId w16cid:paraId="3169C7B1" w16cid:durableId="223ACEDE"/>
  <w16cid:commentId w16cid:paraId="47843820" w16cid:durableId="223AD22B"/>
  <w16cid:commentId w16cid:paraId="31DEECC5" w16cid:durableId="2230D7FB"/>
  <w16cid:commentId w16cid:paraId="2A82E775" w16cid:durableId="223ACEE0"/>
  <w16cid:commentId w16cid:paraId="48CF2BE6" w16cid:durableId="223AD333"/>
  <w16cid:commentId w16cid:paraId="47F7A51A" w16cid:durableId="223AF8DC"/>
  <w16cid:commentId w16cid:paraId="5E27B883" w16cid:durableId="2230AF26"/>
  <w16cid:commentId w16cid:paraId="0BAD407E" w16cid:durableId="223ACEE2"/>
  <w16cid:commentId w16cid:paraId="4E6CF7B0" w16cid:durableId="222DBDAB"/>
  <w16cid:commentId w16cid:paraId="579E333C" w16cid:durableId="223ACEE4"/>
  <w16cid:commentId w16cid:paraId="20E69D4F" w16cid:durableId="222DBDD4"/>
  <w16cid:commentId w16cid:paraId="770E9917" w16cid:durableId="223ACEE6"/>
  <w16cid:commentId w16cid:paraId="78C38FC5" w16cid:durableId="222DBE2C"/>
  <w16cid:commentId w16cid:paraId="3F8A7BC6" w16cid:durableId="223ACEE8"/>
  <w16cid:commentId w16cid:paraId="0F11F226" w16cid:durableId="223AD4EC"/>
  <w16cid:commentId w16cid:paraId="7AAEB52E" w16cid:durableId="222DBF4C"/>
  <w16cid:commentId w16cid:paraId="54B6A3DC" w16cid:durableId="223ACEEA"/>
  <w16cid:commentId w16cid:paraId="698BC0B7" w16cid:durableId="222DDF9F"/>
  <w16cid:commentId w16cid:paraId="73138F96" w16cid:durableId="223ACEEC"/>
  <w16cid:commentId w16cid:paraId="71FFCB01" w16cid:durableId="222DE051"/>
  <w16cid:commentId w16cid:paraId="4BD709B2" w16cid:durableId="223ACEEE"/>
  <w16cid:commentId w16cid:paraId="7F24932F" w16cid:durableId="222DE5B2"/>
  <w16cid:commentId w16cid:paraId="7388FEA0" w16cid:durableId="223ACEF0"/>
  <w16cid:commentId w16cid:paraId="3D5B1BA6" w16cid:durableId="222DF2DC"/>
  <w16cid:commentId w16cid:paraId="6491D7F2" w16cid:durableId="223ACEF2"/>
  <w16cid:commentId w16cid:paraId="72B8A236" w16cid:durableId="222DE901"/>
  <w16cid:commentId w16cid:paraId="20100D7B" w16cid:durableId="223ACEF4"/>
  <w16cid:commentId w16cid:paraId="17954B9C" w16cid:durableId="222F4A88"/>
  <w16cid:commentId w16cid:paraId="32ACA6C9" w16cid:durableId="223ACEF6"/>
  <w16cid:commentId w16cid:paraId="3B99E5C7" w16cid:durableId="2231C687"/>
  <w16cid:commentId w16cid:paraId="5FBC13E3" w16cid:durableId="223ACEF8"/>
  <w16cid:commentId w16cid:paraId="18C1E142" w16cid:durableId="2231CD64"/>
  <w16cid:commentId w16cid:paraId="32CF5B8A" w16cid:durableId="223ACEFA"/>
  <w16cid:commentId w16cid:paraId="2E7F43EB" w16cid:durableId="222F5241"/>
  <w16cid:commentId w16cid:paraId="2FDC0817" w16cid:durableId="223ACEFC"/>
  <w16cid:commentId w16cid:paraId="48BA9EC1" w16cid:durableId="222F52FA"/>
  <w16cid:commentId w16cid:paraId="12A395B6" w16cid:durableId="223ACEFE"/>
  <w16cid:commentId w16cid:paraId="0FD7A49A" w16cid:durableId="223ACEFF"/>
  <w16cid:commentId w16cid:paraId="0CFDCED4" w16cid:durableId="222F5683"/>
  <w16cid:commentId w16cid:paraId="02D50FA4" w16cid:durableId="223ACF01"/>
  <w16cid:commentId w16cid:paraId="5E988A0C" w16cid:durableId="223AD527"/>
  <w16cid:commentId w16cid:paraId="5D589CB0" w16cid:durableId="222DFA22"/>
  <w16cid:commentId w16cid:paraId="5A7B420C" w16cid:durableId="222DFAE8"/>
  <w16cid:commentId w16cid:paraId="749F512E" w16cid:durableId="223ACF04"/>
  <w16cid:commentId w16cid:paraId="5D05A727" w16cid:durableId="223AD564"/>
  <w16cid:commentId w16cid:paraId="5DAD02E3" w16cid:durableId="223ACF05"/>
  <w16cid:commentId w16cid:paraId="180B6A4D" w16cid:durableId="222F5B0A"/>
  <w16cid:commentId w16cid:paraId="3A838060" w16cid:durableId="223ACF07"/>
  <w16cid:commentId w16cid:paraId="2AADEF5A" w16cid:durableId="222DFBEB"/>
  <w16cid:commentId w16cid:paraId="000A951F" w16cid:durableId="223ACF09"/>
  <w16cid:commentId w16cid:paraId="685B997C" w16cid:durableId="222DFC07"/>
  <w16cid:commentId w16cid:paraId="7C122797" w16cid:durableId="223ACF0B"/>
  <w16cid:commentId w16cid:paraId="5964683F" w16cid:durableId="2230C34F"/>
  <w16cid:commentId w16cid:paraId="495C9E73" w16cid:durableId="223ACF0D"/>
  <w16cid:commentId w16cid:paraId="5076FE10" w16cid:durableId="223AD584"/>
  <w16cid:commentId w16cid:paraId="0987FC36" w16cid:durableId="2230C879"/>
  <w16cid:commentId w16cid:paraId="645909F8" w16cid:durableId="223ACF0F"/>
  <w16cid:commentId w16cid:paraId="14CE500A" w16cid:durableId="2230C9EC"/>
  <w16cid:commentId w16cid:paraId="14C15A10" w16cid:durableId="223ACF11"/>
  <w16cid:commentId w16cid:paraId="16698800" w16cid:durableId="223AD92C"/>
  <w16cid:commentId w16cid:paraId="6F7925C4" w16cid:durableId="223AFBC2"/>
  <w16cid:commentId w16cid:paraId="31A6D84C" w16cid:durableId="2230CB3A"/>
  <w16cid:commentId w16cid:paraId="4B169B35" w16cid:durableId="223ACF13"/>
  <w16cid:commentId w16cid:paraId="29B9E170" w16cid:durableId="2230CCDA"/>
  <w16cid:commentId w16cid:paraId="026C3600" w16cid:durableId="223ACF15"/>
  <w16cid:commentId w16cid:paraId="10E7E850" w16cid:durableId="223ADB66"/>
  <w16cid:commentId w16cid:paraId="3AC3E5ED" w16cid:durableId="2230CE29"/>
  <w16cid:commentId w16cid:paraId="6D07E8F9" w16cid:durableId="223ACF17"/>
  <w16cid:commentId w16cid:paraId="503D0547" w16cid:durableId="2231D758"/>
  <w16cid:commentId w16cid:paraId="3E735811" w16cid:durableId="223ACF19"/>
  <w16cid:commentId w16cid:paraId="6AC9A9EE" w16cid:durableId="223ACF1A"/>
  <w16cid:commentId w16cid:paraId="5EB2E508" w16cid:durableId="222DC683"/>
  <w16cid:commentId w16cid:paraId="751B1B48" w16cid:durableId="223ACF1C"/>
  <w16cid:commentId w16cid:paraId="3B1DA752" w16cid:durableId="223ADBAE"/>
  <w16cid:commentId w16cid:paraId="29D49E80" w16cid:durableId="223174C6"/>
  <w16cid:commentId w16cid:paraId="1438783B" w16cid:durableId="223ACF1E"/>
  <w16cid:commentId w16cid:paraId="67694976" w16cid:durableId="223174CB"/>
  <w16cid:commentId w16cid:paraId="123A0E5E" w16cid:durableId="223ACF20"/>
  <w16cid:commentId w16cid:paraId="1F2DE445" w16cid:durableId="2231740F"/>
  <w16cid:commentId w16cid:paraId="092145E5" w16cid:durableId="223ACF22"/>
  <w16cid:commentId w16cid:paraId="5841479B" w16cid:durableId="22319B82"/>
  <w16cid:commentId w16cid:paraId="3D0FC10C" w16cid:durableId="223ACF24"/>
  <w16cid:commentId w16cid:paraId="6F8510DC" w16cid:durableId="223ADB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25B5D" w14:textId="77777777" w:rsidR="006C5007" w:rsidRDefault="006C5007" w:rsidP="00C40A36">
      <w:pPr>
        <w:spacing w:after="0"/>
      </w:pPr>
      <w:r>
        <w:separator/>
      </w:r>
    </w:p>
  </w:endnote>
  <w:endnote w:type="continuationSeparator" w:id="0">
    <w:p w14:paraId="3D22E685" w14:textId="77777777" w:rsidR="006C5007" w:rsidRDefault="006C500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6D1D9" w14:textId="77777777" w:rsidR="006C5007" w:rsidRDefault="006C5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C5007" w:rsidRPr="00A45289" w14:paraId="69929AB6" w14:textId="77777777" w:rsidTr="00DB750B">
      <w:trPr>
        <w:trHeight w:val="269"/>
      </w:trPr>
      <w:tc>
        <w:tcPr>
          <w:tcW w:w="7371" w:type="dxa"/>
          <w:tcMar>
            <w:top w:w="142" w:type="dxa"/>
            <w:bottom w:w="0" w:type="dxa"/>
          </w:tcMar>
        </w:tcPr>
        <w:p w14:paraId="4B67030A" w14:textId="7BA70A66" w:rsidR="006C5007" w:rsidRDefault="006C5007" w:rsidP="00A45289">
          <w:pPr>
            <w:pStyle w:val="Footer"/>
          </w:pPr>
          <w:r w:rsidRPr="005468E6">
            <w:t xml:space="preserve">AusPAR - RINVOQ - upadacitinib - </w:t>
          </w:r>
          <w:r>
            <w:t xml:space="preserve">AbbVie </w:t>
          </w:r>
          <w:r w:rsidRPr="005468E6">
            <w:t>Pty Ltd - PM-2018-05603-1-3</w:t>
          </w:r>
        </w:p>
        <w:p w14:paraId="49EC8108" w14:textId="77232863" w:rsidR="006C5007" w:rsidRPr="00A45289" w:rsidRDefault="006C5007" w:rsidP="000C0D4B">
          <w:pPr>
            <w:pStyle w:val="Footer"/>
          </w:pPr>
          <w:r>
            <w:t>FINAL 24 April 2020</w:t>
          </w:r>
        </w:p>
      </w:tc>
      <w:tc>
        <w:tcPr>
          <w:tcW w:w="1490" w:type="dxa"/>
          <w:tcMar>
            <w:top w:w="142" w:type="dxa"/>
            <w:bottom w:w="0" w:type="dxa"/>
          </w:tcMar>
        </w:tcPr>
        <w:p w14:paraId="111EE70D" w14:textId="29EEE428" w:rsidR="006C5007" w:rsidRPr="00A45289" w:rsidRDefault="006C5007" w:rsidP="00A45289">
          <w:pPr>
            <w:pStyle w:val="Footer"/>
          </w:pPr>
          <w:r w:rsidRPr="00A45289">
            <w:t xml:space="preserve">Page </w:t>
          </w:r>
          <w:r w:rsidRPr="00A45289">
            <w:fldChar w:fldCharType="begin"/>
          </w:r>
          <w:r w:rsidRPr="00A45289">
            <w:instrText xml:space="preserve"> PAGE  \* Arabic </w:instrText>
          </w:r>
          <w:r w:rsidRPr="00A45289">
            <w:fldChar w:fldCharType="separate"/>
          </w:r>
          <w:r w:rsidR="00F618DB">
            <w:rPr>
              <w:noProof/>
            </w:rPr>
            <w:t>21</w:t>
          </w:r>
          <w:r w:rsidRPr="00A45289">
            <w:fldChar w:fldCharType="end"/>
          </w:r>
          <w:r w:rsidRPr="00A45289">
            <w:t xml:space="preserve"> of </w:t>
          </w:r>
          <w:fldSimple w:instr=" NUMPAGES  \* Arabic ">
            <w:r w:rsidR="00F618DB">
              <w:rPr>
                <w:noProof/>
              </w:rPr>
              <w:t>38</w:t>
            </w:r>
          </w:fldSimple>
        </w:p>
      </w:tc>
    </w:tr>
  </w:tbl>
  <w:p w14:paraId="384632C7" w14:textId="77777777" w:rsidR="006C5007" w:rsidRPr="00A45289" w:rsidRDefault="006C5007" w:rsidP="00A452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944FF" w14:textId="77777777" w:rsidR="006C5007" w:rsidRDefault="006C50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C5007" w:rsidRPr="00487162" w14:paraId="149B83D0" w14:textId="77777777" w:rsidTr="00E45619">
      <w:trPr>
        <w:trHeight w:val="269"/>
      </w:trPr>
      <w:tc>
        <w:tcPr>
          <w:tcW w:w="4519" w:type="dxa"/>
          <w:tcBorders>
            <w:top w:val="single" w:sz="4" w:space="0" w:color="auto"/>
          </w:tcBorders>
          <w:tcMar>
            <w:top w:w="142" w:type="dxa"/>
            <w:bottom w:w="0" w:type="dxa"/>
          </w:tcMar>
        </w:tcPr>
        <w:p w14:paraId="1DCE2CF1" w14:textId="77777777" w:rsidR="006C5007" w:rsidRPr="00487162" w:rsidRDefault="006C5007" w:rsidP="00FE1DEE">
          <w:pPr>
            <w:pStyle w:val="Footer"/>
          </w:pPr>
          <w:r w:rsidRPr="00487162">
            <w:t>Document title, Part #, Section # - Section title</w:t>
          </w:r>
        </w:p>
        <w:p w14:paraId="099ED187" w14:textId="77777777" w:rsidR="006C5007" w:rsidRPr="00487162" w:rsidRDefault="006C5007" w:rsidP="00FE1DEE">
          <w:pPr>
            <w:pStyle w:val="Footer"/>
          </w:pPr>
          <w:r w:rsidRPr="00487162">
            <w:t>V1.0 October 2010</w:t>
          </w:r>
        </w:p>
      </w:tc>
      <w:tc>
        <w:tcPr>
          <w:tcW w:w="4342" w:type="dxa"/>
          <w:tcBorders>
            <w:top w:val="single" w:sz="4" w:space="0" w:color="auto"/>
          </w:tcBorders>
          <w:tcMar>
            <w:top w:w="142" w:type="dxa"/>
            <w:bottom w:w="0" w:type="dxa"/>
          </w:tcMar>
        </w:tcPr>
        <w:p w14:paraId="2CD8CF75" w14:textId="77777777" w:rsidR="006C5007" w:rsidRPr="00487162" w:rsidRDefault="006C500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2D1C80E8" w14:textId="77777777" w:rsidR="006C5007" w:rsidRDefault="006C50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BEF83" w14:textId="77777777" w:rsidR="006C5007" w:rsidRPr="001C32CD" w:rsidRDefault="006C5007"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C5007" w14:paraId="5D2E374C" w14:textId="77777777" w:rsidTr="0010601F">
      <w:trPr>
        <w:trHeight w:val="108"/>
      </w:trPr>
      <w:tc>
        <w:tcPr>
          <w:tcW w:w="8875" w:type="dxa"/>
          <w:gridSpan w:val="2"/>
          <w:tcBorders>
            <w:bottom w:val="single" w:sz="4" w:space="0" w:color="auto"/>
          </w:tcBorders>
          <w:tcMar>
            <w:right w:w="284" w:type="dxa"/>
          </w:tcMar>
        </w:tcPr>
        <w:p w14:paraId="3BC3669D" w14:textId="77777777" w:rsidR="006C5007" w:rsidRDefault="006C5007" w:rsidP="006E08B3">
          <w:pPr>
            <w:pStyle w:val="Heading3"/>
          </w:pPr>
          <w:r>
            <w:t>Copyright</w:t>
          </w:r>
        </w:p>
        <w:p w14:paraId="524472B2" w14:textId="77777777" w:rsidR="006C5007" w:rsidRDefault="006C5007" w:rsidP="006E08B3">
          <w:r>
            <w:rPr>
              <w:rFonts w:cs="Arial"/>
            </w:rPr>
            <w:t>©</w:t>
          </w:r>
          <w:r>
            <w:t xml:space="preserve"> Commonwealth of Australia [add year]</w:t>
          </w:r>
        </w:p>
        <w:p w14:paraId="26F0F274" w14:textId="77777777" w:rsidR="006C5007" w:rsidRDefault="006C5007" w:rsidP="006E08B3"/>
        <w:p w14:paraId="0492132D" w14:textId="77777777" w:rsidR="006C5007" w:rsidRDefault="006C500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2F66050" w14:textId="77777777" w:rsidR="006C5007" w:rsidRDefault="006C5007" w:rsidP="006E08B3"/>
        <w:p w14:paraId="70D9DB64" w14:textId="77777777" w:rsidR="006C5007" w:rsidRDefault="006C5007" w:rsidP="006E08B3">
          <w:pPr>
            <w:pStyle w:val="Heading3"/>
          </w:pPr>
          <w:r>
            <w:t>Confidentiality</w:t>
          </w:r>
        </w:p>
        <w:p w14:paraId="70C26EC1" w14:textId="77777777" w:rsidR="006C5007" w:rsidRDefault="006C500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E1FE3D0" w14:textId="77777777" w:rsidR="006C5007" w:rsidRDefault="006C5007" w:rsidP="006E08B3"/>
        <w:p w14:paraId="58738C96" w14:textId="77777777" w:rsidR="006C5007" w:rsidRDefault="006C5007" w:rsidP="006E08B3">
          <w:r>
            <w:t>For submission made by individuals, all personal details, other than your name, will be removed from your submission before it is published on the TGA’s Internet site.</w:t>
          </w:r>
        </w:p>
        <w:p w14:paraId="63E5313A" w14:textId="77777777" w:rsidR="006C5007" w:rsidRDefault="006C5007" w:rsidP="006E08B3"/>
        <w:p w14:paraId="6A9E7CFF" w14:textId="77777777" w:rsidR="006C5007" w:rsidRDefault="006C500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C5007" w14:paraId="419BD266" w14:textId="77777777" w:rsidTr="0010601F">
      <w:trPr>
        <w:trHeight w:val="417"/>
      </w:trPr>
      <w:tc>
        <w:tcPr>
          <w:tcW w:w="4519" w:type="dxa"/>
          <w:tcBorders>
            <w:top w:val="single" w:sz="4" w:space="0" w:color="auto"/>
          </w:tcBorders>
          <w:tcMar>
            <w:top w:w="142" w:type="dxa"/>
            <w:bottom w:w="0" w:type="dxa"/>
          </w:tcMar>
        </w:tcPr>
        <w:p w14:paraId="510C57B1" w14:textId="77777777" w:rsidR="006C5007" w:rsidRDefault="006C5007" w:rsidP="006E08B3">
          <w:r>
            <w:t>Document title, Part #, Section # - Section title</w:t>
          </w:r>
        </w:p>
        <w:p w14:paraId="618D0F85" w14:textId="77777777" w:rsidR="006C5007" w:rsidRDefault="006C5007" w:rsidP="006E08B3">
          <w:r>
            <w:t>V1.0 October 2010</w:t>
          </w:r>
        </w:p>
      </w:tc>
      <w:tc>
        <w:tcPr>
          <w:tcW w:w="4356" w:type="dxa"/>
          <w:tcBorders>
            <w:top w:val="single" w:sz="4" w:space="0" w:color="auto"/>
          </w:tcBorders>
          <w:tcMar>
            <w:top w:w="142" w:type="dxa"/>
            <w:bottom w:w="0" w:type="dxa"/>
          </w:tcMar>
        </w:tcPr>
        <w:p w14:paraId="7B994292" w14:textId="77777777" w:rsidR="006C5007" w:rsidRDefault="006C500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11E37A89" w14:textId="77777777" w:rsidR="006C5007" w:rsidRDefault="006C500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C23D7" w14:textId="77777777" w:rsidR="006C5007" w:rsidRDefault="006C5007" w:rsidP="00C40A36">
      <w:pPr>
        <w:spacing w:after="0"/>
      </w:pPr>
      <w:r>
        <w:separator/>
      </w:r>
    </w:p>
  </w:footnote>
  <w:footnote w:type="continuationSeparator" w:id="0">
    <w:p w14:paraId="7EA7A7EE" w14:textId="77777777" w:rsidR="006C5007" w:rsidRDefault="006C5007" w:rsidP="00C40A36">
      <w:pPr>
        <w:spacing w:after="0"/>
      </w:pPr>
      <w:r>
        <w:continuationSeparator/>
      </w:r>
    </w:p>
  </w:footnote>
  <w:footnote w:id="1">
    <w:p w14:paraId="51A243AC" w14:textId="2698A4E5" w:rsidR="006C5007" w:rsidRPr="00E843B8" w:rsidRDefault="006C5007" w:rsidP="00D405B4">
      <w:pPr>
        <w:pStyle w:val="FootnoteText"/>
        <w:rPr>
          <w:lang w:val="en-GB"/>
        </w:rPr>
      </w:pPr>
      <w:r>
        <w:rPr>
          <w:rStyle w:val="FootnoteReference"/>
        </w:rPr>
        <w:footnoteRef/>
      </w:r>
      <w:r>
        <w:t xml:space="preserve"> </w:t>
      </w:r>
      <w:r>
        <w:rPr>
          <w:lang w:val="en-GB"/>
        </w:rPr>
        <w:t>ICH Q3A (R6): International Council on Harmonisation,</w:t>
      </w:r>
      <w:r w:rsidRPr="00D405B4">
        <w:rPr>
          <w:lang w:val="en-GB"/>
        </w:rPr>
        <w:t xml:space="preserve"> </w:t>
      </w:r>
      <w:r>
        <w:rPr>
          <w:lang w:val="en-GB"/>
        </w:rPr>
        <w:t>Harmonised G</w:t>
      </w:r>
      <w:r w:rsidRPr="00D405B4">
        <w:rPr>
          <w:lang w:val="en-GB"/>
        </w:rPr>
        <w:t>uideline</w:t>
      </w:r>
      <w:r>
        <w:rPr>
          <w:lang w:val="en-GB"/>
        </w:rPr>
        <w:t>; I</w:t>
      </w:r>
      <w:r w:rsidRPr="00D405B4">
        <w:rPr>
          <w:lang w:val="en-GB"/>
        </w:rPr>
        <w:t>mpurities: guideline for residual solvents</w:t>
      </w:r>
      <w:r>
        <w:rPr>
          <w:lang w:val="en-GB"/>
        </w:rPr>
        <w:t xml:space="preserve">. </w:t>
      </w:r>
      <w:r w:rsidRPr="00D405B4">
        <w:rPr>
          <w:lang w:val="en-GB"/>
        </w:rPr>
        <w:t>Adopted on 20 October 2016</w:t>
      </w:r>
      <w:r>
        <w:rPr>
          <w:lang w:val="en-GB"/>
        </w:rPr>
        <w:t>.</w:t>
      </w:r>
    </w:p>
  </w:footnote>
  <w:footnote w:id="2">
    <w:p w14:paraId="6F20EB8A" w14:textId="14ADDA69" w:rsidR="006C5007" w:rsidRPr="00B04E16" w:rsidRDefault="006C5007" w:rsidP="00B04E16">
      <w:pPr>
        <w:pStyle w:val="FootnoteText"/>
      </w:pPr>
      <w:r>
        <w:rPr>
          <w:rStyle w:val="FootnoteReference"/>
        </w:rPr>
        <w:footnoteRef/>
      </w:r>
      <w:r>
        <w:t xml:space="preserve"> ICH M7 (R1): </w:t>
      </w:r>
      <w:r>
        <w:rPr>
          <w:lang w:val="en-GB"/>
        </w:rPr>
        <w:t>International Council on Harmonisation,</w:t>
      </w:r>
      <w:r w:rsidRPr="00D405B4">
        <w:rPr>
          <w:lang w:val="en-GB"/>
        </w:rPr>
        <w:t xml:space="preserve"> </w:t>
      </w:r>
      <w:r>
        <w:rPr>
          <w:lang w:val="en-GB"/>
        </w:rPr>
        <w:t>Harmonised G</w:t>
      </w:r>
      <w:r w:rsidRPr="00D405B4">
        <w:rPr>
          <w:lang w:val="en-GB"/>
        </w:rPr>
        <w:t>uideline</w:t>
      </w:r>
      <w:r>
        <w:t>; Assessment and control of DNA reactive (mutagenic) impurities in pharmaceuticals to limit potential carcinogenic risk. Current Step 4 version dated 31 March 2017.</w:t>
      </w:r>
    </w:p>
  </w:footnote>
  <w:footnote w:id="3">
    <w:p w14:paraId="123981FC" w14:textId="77777777" w:rsidR="006C5007" w:rsidRPr="00436FD3" w:rsidRDefault="006C5007" w:rsidP="00436FD3">
      <w:pPr>
        <w:shd w:val="clear" w:color="auto" w:fill="FFFFFF"/>
        <w:spacing w:before="0" w:after="0" w:line="240" w:lineRule="auto"/>
        <w:rPr>
          <w:rStyle w:val="FootnoteTextChar"/>
          <w:lang w:eastAsia="en-AU"/>
        </w:rPr>
      </w:pPr>
      <w:r>
        <w:rPr>
          <w:rStyle w:val="FootnoteReference"/>
        </w:rPr>
        <w:footnoteRef/>
      </w:r>
      <w:r w:rsidRPr="00436FD3">
        <w:rPr>
          <w:rStyle w:val="FootnoteTextChar"/>
          <w:lang w:eastAsia="en-AU"/>
        </w:rPr>
        <w:t>The corrected QT interval (</w:t>
      </w:r>
      <w:proofErr w:type="spellStart"/>
      <w:r w:rsidRPr="00436FD3">
        <w:rPr>
          <w:rStyle w:val="FootnoteTextChar"/>
          <w:lang w:eastAsia="en-AU"/>
        </w:rPr>
        <w:t>QTc</w:t>
      </w:r>
      <w:proofErr w:type="spellEnd"/>
      <w:r w:rsidRPr="00436FD3">
        <w:rPr>
          <w:rStyle w:val="FootnoteTextChar"/>
          <w:lang w:eastAsia="en-AU"/>
        </w:rPr>
        <w:t>) estimates the QT interval at a standard heart rate.</w:t>
      </w:r>
      <w:r w:rsidRPr="00436FD3">
        <w:rPr>
          <w:rStyle w:val="FootnoteTextChar"/>
        </w:rPr>
        <w:t xml:space="preserve"> </w:t>
      </w:r>
      <w:r w:rsidRPr="00436FD3">
        <w:rPr>
          <w:rStyle w:val="FootnoteTextChar"/>
          <w:lang w:eastAsia="en-AU"/>
        </w:rPr>
        <w:t>This allows comparison of QT values over time at different heart rates and improves detection of patients at increased risk of arrhythmias.</w:t>
      </w:r>
    </w:p>
  </w:footnote>
  <w:footnote w:id="4">
    <w:p w14:paraId="433C56B8" w14:textId="77777777" w:rsidR="006C5007" w:rsidRPr="00436FD3" w:rsidRDefault="006C5007">
      <w:pPr>
        <w:pStyle w:val="FootnoteText"/>
      </w:pPr>
      <w:r>
        <w:rPr>
          <w:rStyle w:val="FootnoteReference"/>
        </w:rPr>
        <w:footnoteRef/>
      </w:r>
      <w:r>
        <w:t xml:space="preserve"> </w:t>
      </w:r>
      <w:r w:rsidRPr="00436FD3">
        <w:t xml:space="preserve">Pregnancy category D: Have caused, are suspected to have caused or may be expected to cause, an increased incidence of human </w:t>
      </w:r>
      <w:proofErr w:type="spellStart"/>
      <w:r w:rsidRPr="00436FD3">
        <w:t>fetal</w:t>
      </w:r>
      <w:proofErr w:type="spellEnd"/>
      <w:r w:rsidRPr="00436FD3">
        <w:t xml:space="preserve"> malformations or irreversible damage. These drugs may also have adverse pharmacological effects.</w:t>
      </w:r>
    </w:p>
  </w:footnote>
  <w:footnote w:id="5">
    <w:p w14:paraId="7CD7B731" w14:textId="14B1FF72" w:rsidR="006C5007" w:rsidRDefault="006C5007">
      <w:pPr>
        <w:pStyle w:val="FootnoteText"/>
      </w:pPr>
      <w:r>
        <w:rPr>
          <w:rStyle w:val="FootnoteReference"/>
        </w:rPr>
        <w:footnoteRef/>
      </w:r>
      <w:r>
        <w:t xml:space="preserve"> United States Prescribing Information for Rinvoq (upadacitinib), extended-release tablets, first approved 16 August 2019.</w:t>
      </w:r>
    </w:p>
  </w:footnote>
  <w:footnote w:id="6">
    <w:p w14:paraId="3A1D43AC" w14:textId="765C570A" w:rsidR="006C5007" w:rsidRPr="00E843B8" w:rsidRDefault="006C5007">
      <w:pPr>
        <w:pStyle w:val="FootnoteText"/>
        <w:rPr>
          <w:lang w:val="en-GB"/>
        </w:rPr>
      </w:pPr>
      <w:r>
        <w:rPr>
          <w:rStyle w:val="FootnoteReference"/>
        </w:rPr>
        <w:footnoteRef/>
      </w:r>
      <w:r>
        <w:t xml:space="preserve"> </w:t>
      </w:r>
      <w:r w:rsidRPr="000F1877">
        <w:t>The QT interval is the time from the start of the Q</w:t>
      </w:r>
      <w:r>
        <w:t>RS</w:t>
      </w:r>
      <w:r w:rsidRPr="000F1877">
        <w:t xml:space="preserve"> wave</w:t>
      </w:r>
      <w:r>
        <w:t xml:space="preserve"> complex</w:t>
      </w:r>
      <w:r w:rsidRPr="000F1877">
        <w:t xml:space="preserve"> to the end of the</w:t>
      </w:r>
      <w:r>
        <w:t xml:space="preserve"> corresponding</w:t>
      </w:r>
      <w:r w:rsidRPr="000F1877">
        <w:t xml:space="preserve"> T wave. It </w:t>
      </w:r>
      <w:r>
        <w:t xml:space="preserve">approximates to </w:t>
      </w:r>
      <w:r w:rsidRPr="000F1877">
        <w:t xml:space="preserve">the time taken for ventricular depolarisation and repolarisation, </w:t>
      </w:r>
      <w:r>
        <w:t>that is to say, the</w:t>
      </w:r>
      <w:r w:rsidRPr="000F1877">
        <w:t xml:space="preserve"> period of ventricular systole from ventricular </w:t>
      </w:r>
      <w:proofErr w:type="spellStart"/>
      <w:r w:rsidRPr="000F1877">
        <w:t>isovolumetric</w:t>
      </w:r>
      <w:proofErr w:type="spellEnd"/>
      <w:r w:rsidRPr="000F1877">
        <w:t xml:space="preserve"> contraction to </w:t>
      </w:r>
      <w:proofErr w:type="spellStart"/>
      <w:r w:rsidRPr="000F1877">
        <w:t>isovolumetric</w:t>
      </w:r>
      <w:proofErr w:type="spellEnd"/>
      <w:r w:rsidRPr="000F1877">
        <w:t xml:space="preserve"> relaxation.</w:t>
      </w:r>
    </w:p>
  </w:footnote>
  <w:footnote w:id="7">
    <w:p w14:paraId="7A9BD7A5" w14:textId="330CEF56" w:rsidR="006C5007" w:rsidRPr="004E2B35" w:rsidRDefault="006C5007">
      <w:pPr>
        <w:pStyle w:val="FootnoteText"/>
      </w:pPr>
      <w:r>
        <w:rPr>
          <w:rStyle w:val="FootnoteReference"/>
        </w:rPr>
        <w:footnoteRef/>
      </w:r>
      <w:r>
        <w:t xml:space="preserve"> The </w:t>
      </w:r>
      <w:r w:rsidRPr="004E2B35">
        <w:t>ACR</w:t>
      </w:r>
      <w:r>
        <w:t xml:space="preserve"> response criteria</w:t>
      </w:r>
      <w:r w:rsidRPr="004E2B35">
        <w:t xml:space="preserve"> score is a </w:t>
      </w:r>
      <w:r>
        <w:t>composite</w:t>
      </w:r>
      <w:r w:rsidRPr="004E2B35">
        <w:t xml:space="preserve"> measure </w:t>
      </w:r>
      <w:r>
        <w:t xml:space="preserve">of </w:t>
      </w:r>
      <w:r>
        <w:rPr>
          <w:lang w:val="en"/>
        </w:rPr>
        <w:t>improvement in the number of tender and number of swollen joints, and an improvement in three of the following five criteria: patient global assessment, physician global assessment, functional ability measure, visual analog pain scale, and erythrocyte sedimentation rate (ESR) or C-reactive protein (CRP).</w:t>
      </w:r>
      <w:r>
        <w:t xml:space="preserve">It was developed and validated by the </w:t>
      </w:r>
      <w:r w:rsidRPr="004E2B35">
        <w:t>American College of Rheumatology. </w:t>
      </w:r>
      <w:r>
        <w:t xml:space="preserve"> The ACR score is reported as percentage improvement, comparing rheumatoid arthritis disease activity at two discrete time points (usually Baseline and a specified post-Baseline time point comparison). A ACR20/ACR50/ACR70 response is ≥ 20%/50%/70% improvement respectively, with ACR50 responders also being ACR20 responders, and ACR70 responders also being both ACR20 and ACR50 responders.</w:t>
      </w:r>
    </w:p>
  </w:footnote>
  <w:footnote w:id="8">
    <w:p w14:paraId="0BAFF06E" w14:textId="3F8E4EC5" w:rsidR="006C5007" w:rsidRPr="00E87894" w:rsidRDefault="006C5007" w:rsidP="00E87894">
      <w:pPr>
        <w:pStyle w:val="FootnoteText"/>
      </w:pPr>
      <w:r>
        <w:rPr>
          <w:rStyle w:val="FootnoteReference"/>
        </w:rPr>
        <w:footnoteRef/>
      </w:r>
      <w:r>
        <w:t xml:space="preserve"> The DAS28 (Disease Activity Score 28) is a system developed and validated by the EULAR (European League Against Rheumatism) to measure the progress and improvement of rheumatoid arthritis. Calculation of a DAS28 score involves the combination of an examination of 28 specified joints for</w:t>
      </w:r>
      <w:r w:rsidRPr="00E87894">
        <w:t xml:space="preserve"> tenderness upon touching and swelling</w:t>
      </w:r>
      <w:r>
        <w:t>,</w:t>
      </w:r>
      <w:r w:rsidRPr="00E87894">
        <w:t xml:space="preserve"> the erythrocyte sedimentation rate</w:t>
      </w:r>
      <w:r>
        <w:t xml:space="preserve"> (ESR)</w:t>
      </w:r>
      <w:r w:rsidRPr="00E87894">
        <w:t xml:space="preserve"> </w:t>
      </w:r>
      <w:r>
        <w:t>via blood sample, and the patient’s</w:t>
      </w:r>
      <w:r w:rsidRPr="00E87894">
        <w:t xml:space="preserve"> subjective assessment of disease activity during the preceding 7 days on a scale</w:t>
      </w:r>
      <w:r>
        <w:t xml:space="preserve"> between 0 (‘no activity’)and 100 (‘highest activity possible’. DAS28 is often used in clinical trials for the development of RA. DAS28 values range from 2.0 to 10.0; higher values mean a higher disease activity.</w:t>
      </w:r>
    </w:p>
  </w:footnote>
  <w:footnote w:id="9">
    <w:p w14:paraId="3934D55C" w14:textId="319667E8" w:rsidR="006C5007" w:rsidRDefault="006C5007">
      <w:pPr>
        <w:pStyle w:val="FootnoteText"/>
      </w:pPr>
      <w:r>
        <w:rPr>
          <w:rStyle w:val="FootnoteReference"/>
        </w:rPr>
        <w:footnoteRef/>
      </w:r>
      <w:r>
        <w:t xml:space="preserve"> Two cases reported in subjects with TE opportunistic infections excluding oral and oropharyngeal candidiasis (Summary of Clinical Safety Table 134).</w:t>
      </w:r>
    </w:p>
  </w:footnote>
  <w:footnote w:id="10">
    <w:p w14:paraId="2B552645" w14:textId="38B4550C" w:rsidR="006C5007" w:rsidRDefault="006C5007">
      <w:pPr>
        <w:pStyle w:val="FootnoteText"/>
      </w:pPr>
      <w:r>
        <w:rPr>
          <w:rStyle w:val="FootnoteReference"/>
        </w:rPr>
        <w:footnoteRef/>
      </w:r>
      <w:r>
        <w:t xml:space="preserve"> Sponsor comment: </w:t>
      </w:r>
      <w:r>
        <w:rPr>
          <w:lang w:eastAsia="ja-JP"/>
        </w:rPr>
        <w:t xml:space="preserve">Based on a comprehensive medical review of the 9 events identified, 6 events were considered treatment emergent adverse events of GI perforation (0.1 events/100 PY, 6 events per 5263.5 PY).  Of the 6 events, 3 subjects were on concomitant </w:t>
      </w:r>
      <w:proofErr w:type="spellStart"/>
      <w:r>
        <w:rPr>
          <w:lang w:eastAsia="ja-JP"/>
        </w:rPr>
        <w:t>csDMARDs</w:t>
      </w:r>
      <w:proofErr w:type="spellEnd"/>
      <w:r>
        <w:rPr>
          <w:lang w:eastAsia="ja-JP"/>
        </w:rPr>
        <w:t xml:space="preserve"> and 2 were on concomitant steroids.</w:t>
      </w:r>
    </w:p>
  </w:footnote>
  <w:footnote w:id="11">
    <w:p w14:paraId="47ACD717" w14:textId="501E3AB3" w:rsidR="006C5007" w:rsidRPr="0068691E" w:rsidRDefault="006C5007">
      <w:pPr>
        <w:pStyle w:val="FootnoteText"/>
      </w:pPr>
      <w:r>
        <w:rPr>
          <w:rStyle w:val="FootnoteReference"/>
        </w:rPr>
        <w:footnoteRef/>
      </w:r>
      <w:r>
        <w:t xml:space="preserve"> </w:t>
      </w:r>
      <w:proofErr w:type="spellStart"/>
      <w:r>
        <w:t>Hy’s</w:t>
      </w:r>
      <w:proofErr w:type="spellEnd"/>
      <w:r>
        <w:t xml:space="preserve"> Law: Evidence of hepatocellular injury with a rise in ALT and/or AST &gt; 3 x ULN and total bilirubin &gt; 2 x ULN, and no other reason to explain rise in aminotransferases and total bilirubin. </w:t>
      </w:r>
      <w:proofErr w:type="spellStart"/>
      <w:r w:rsidRPr="0068691E">
        <w:t>Hy's</w:t>
      </w:r>
      <w:proofErr w:type="spellEnd"/>
      <w:r w:rsidRPr="0068691E">
        <w:t xml:space="preserve"> law is a rule of thumb that a patient is at high risk of a fatal drug-induced liver injury if given a medication that causes hepatocellular injury with jaundice.</w:t>
      </w:r>
    </w:p>
  </w:footnote>
  <w:footnote w:id="12">
    <w:p w14:paraId="4CC47AD3" w14:textId="77777777" w:rsidR="006C5007" w:rsidRDefault="006C5007" w:rsidP="00124520">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28A8D8F4" w14:textId="77777777" w:rsidR="006C5007" w:rsidRDefault="006C5007" w:rsidP="00124520">
      <w:pPr>
        <w:pStyle w:val="FootnoteText"/>
      </w:pPr>
      <w:r w:rsidRPr="00F12492">
        <w:rPr>
          <w:i/>
        </w:rPr>
        <w:t>Routine pharmacovigilance</w:t>
      </w:r>
      <w:r>
        <w:t xml:space="preserve"> practices involve the following activities:</w:t>
      </w:r>
    </w:p>
    <w:p w14:paraId="7097DC7C" w14:textId="77777777" w:rsidR="006C5007" w:rsidRDefault="006C5007" w:rsidP="00124520">
      <w:pPr>
        <w:pStyle w:val="FootnoteText"/>
        <w:numPr>
          <w:ilvl w:val="0"/>
          <w:numId w:val="28"/>
        </w:numPr>
      </w:pPr>
      <w:r>
        <w:t>All suspected adverse reactions that are reported to the personnel of the company are collected and collated in an accessible manner;</w:t>
      </w:r>
    </w:p>
    <w:p w14:paraId="0CF264B4" w14:textId="77777777" w:rsidR="006C5007" w:rsidRDefault="006C5007" w:rsidP="00124520">
      <w:pPr>
        <w:pStyle w:val="FootnoteText"/>
        <w:numPr>
          <w:ilvl w:val="0"/>
          <w:numId w:val="28"/>
        </w:numPr>
      </w:pPr>
      <w:r>
        <w:t>Reporting to regulatory authorities;</w:t>
      </w:r>
    </w:p>
    <w:p w14:paraId="4A0E1758" w14:textId="77777777" w:rsidR="006C5007" w:rsidRDefault="006C5007" w:rsidP="00124520">
      <w:pPr>
        <w:pStyle w:val="FootnoteText"/>
        <w:numPr>
          <w:ilvl w:val="0"/>
          <w:numId w:val="28"/>
        </w:numPr>
      </w:pPr>
      <w:r>
        <w:t xml:space="preserve">Continuous monitoring of the safety profiles of approved products including signal detection and updating of </w:t>
      </w:r>
      <w:proofErr w:type="spellStart"/>
      <w:r>
        <w:t>labeling</w:t>
      </w:r>
      <w:proofErr w:type="spellEnd"/>
      <w:r>
        <w:t>;</w:t>
      </w:r>
    </w:p>
    <w:p w14:paraId="19A26F86" w14:textId="77777777" w:rsidR="006C5007" w:rsidRDefault="006C5007" w:rsidP="00124520">
      <w:pPr>
        <w:pStyle w:val="FootnoteText"/>
        <w:numPr>
          <w:ilvl w:val="0"/>
          <w:numId w:val="28"/>
        </w:numPr>
      </w:pPr>
      <w:r>
        <w:t>Submission of PSURs;</w:t>
      </w:r>
    </w:p>
    <w:p w14:paraId="079D3862" w14:textId="77777777" w:rsidR="006C5007" w:rsidRPr="00124520" w:rsidRDefault="006C5007" w:rsidP="00124520">
      <w:pPr>
        <w:pStyle w:val="FootnoteText"/>
        <w:numPr>
          <w:ilvl w:val="0"/>
          <w:numId w:val="28"/>
        </w:numPr>
        <w:rPr>
          <w:lang w:val="en-US"/>
        </w:rPr>
      </w:pPr>
      <w:r>
        <w:t>Meeting other local regulatory agency requirements.</w:t>
      </w:r>
    </w:p>
  </w:footnote>
  <w:footnote w:id="13">
    <w:p w14:paraId="3588ACC4" w14:textId="4C79FFBF" w:rsidR="006C5007" w:rsidRDefault="006C5007" w:rsidP="0055166A">
      <w:pPr>
        <w:pStyle w:val="FootnoteText"/>
      </w:pPr>
      <w:r>
        <w:rPr>
          <w:rStyle w:val="FootnoteReference"/>
        </w:rPr>
        <w:footnoteRef/>
      </w:r>
      <w:r>
        <w:t xml:space="preserve"> The submitted clinical study reports for the pivotal Phase III studies included data up to Week 26 for efficacy, however the sponsor’s clinical overview and integrated summary of efficacy refers to data up to Weeks 48 to60. For Study M13-545, the results to week 60 note: ‘Through data cut-off date of 16 August 2018 and data are subject to change when all subjects have completed Week 48 or otherwise prematurely discontinued study.’ The sponsor is requested to clarify this information.</w:t>
      </w:r>
    </w:p>
  </w:footnote>
  <w:footnote w:id="14">
    <w:p w14:paraId="5758B8A3" w14:textId="77777777" w:rsidR="006C5007" w:rsidRDefault="006C5007"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1B03277" w14:textId="77777777" w:rsidR="006C5007" w:rsidRPr="00456765" w:rsidRDefault="006C5007"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15">
    <w:p w14:paraId="060B8DB3" w14:textId="6456946B" w:rsidR="006C5007" w:rsidRDefault="006C5007">
      <w:pPr>
        <w:pStyle w:val="FootnoteText"/>
      </w:pPr>
      <w:r>
        <w:rPr>
          <w:rStyle w:val="FootnoteReference"/>
        </w:rPr>
        <w:footnoteRef/>
      </w:r>
      <w:r>
        <w:t xml:space="preserve"> Sponsor clarification: </w:t>
      </w:r>
      <w:r>
        <w:rPr>
          <w:noProof/>
        </w:rPr>
        <w:t>VTE should be carefully monitored as proposed in the risk management plan EU-RMP v1.6), including needs for additional measures, but no warnings at this stage.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CABDC" w14:textId="77777777" w:rsidR="006C5007" w:rsidRDefault="006C50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6693" w14:textId="77777777" w:rsidR="006C5007" w:rsidRDefault="006C5007"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EB35A" w14:textId="77777777" w:rsidR="006C5007" w:rsidRDefault="006C5007" w:rsidP="001A5092">
    <w:r w:rsidRPr="00347824">
      <w:rPr>
        <w:noProof/>
        <w:lang w:eastAsia="en-AU"/>
      </w:rPr>
      <w:drawing>
        <wp:anchor distT="0" distB="0" distL="114300" distR="114300" simplePos="0" relativeHeight="251659264" behindDoc="1" locked="0" layoutInCell="1" allowOverlap="1" wp14:anchorId="31B148FA" wp14:editId="794975CF">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5E635" w14:textId="77777777" w:rsidR="006C5007" w:rsidRDefault="006C50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7ED07" w14:textId="77777777" w:rsidR="006C5007" w:rsidRDefault="006C500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735DC" w14:textId="77777777" w:rsidR="006C5007" w:rsidRDefault="006C5007">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A96DE" w14:textId="77777777" w:rsidR="006C5007" w:rsidRDefault="006C500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8AF71" w14:textId="77777777" w:rsidR="006C5007" w:rsidRDefault="006C5007"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270C4" w14:textId="77777777" w:rsidR="006C5007" w:rsidRDefault="006C5007" w:rsidP="006E08B3">
    <w:r>
      <w:t>Therapeutic Goods Administration</w:t>
    </w:r>
  </w:p>
  <w:p w14:paraId="06ECFB7A" w14:textId="77777777" w:rsidR="006C5007" w:rsidRDefault="006C500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289AE432"/>
    <w:styleLink w:val="ListBullets"/>
    <w:lvl w:ilvl="0">
      <w:start w:val="1"/>
      <w:numFmt w:val="bullet"/>
      <w:pStyle w:val="ListBullet"/>
      <w:lvlText w:val="•"/>
      <w:lvlJc w:val="left"/>
      <w:pPr>
        <w:ind w:left="360" w:hanging="360"/>
      </w:pPr>
      <w:rPr>
        <w:rFonts w:ascii="Cambria" w:hAnsi="Cambria" w:hint="default"/>
        <w:color w:val="auto"/>
        <w:sz w:val="20"/>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C3430E7"/>
    <w:multiLevelType w:val="hybridMultilevel"/>
    <w:tmpl w:val="8A78A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2F25616"/>
    <w:multiLevelType w:val="hybridMultilevel"/>
    <w:tmpl w:val="FF2E3AF2"/>
    <w:lvl w:ilvl="0" w:tplc="00703CC4">
      <w:start w:val="1"/>
      <w:numFmt w:val="bullet"/>
      <w:lvlText w:val=""/>
      <w:lvlJc w:val="left"/>
      <w:pPr>
        <w:ind w:left="720" w:hanging="360"/>
      </w:pPr>
      <w:rPr>
        <w:rFonts w:ascii="Symbol" w:hAnsi="Symbol" w:hint="default"/>
      </w:rPr>
    </w:lvl>
    <w:lvl w:ilvl="1" w:tplc="7E1C8F9E" w:tentative="1">
      <w:start w:val="1"/>
      <w:numFmt w:val="bullet"/>
      <w:lvlText w:val="o"/>
      <w:lvlJc w:val="left"/>
      <w:pPr>
        <w:ind w:left="1440" w:hanging="360"/>
      </w:pPr>
      <w:rPr>
        <w:rFonts w:ascii="Courier New" w:hAnsi="Courier New" w:cs="Courier New" w:hint="default"/>
      </w:rPr>
    </w:lvl>
    <w:lvl w:ilvl="2" w:tplc="486235EE" w:tentative="1">
      <w:start w:val="1"/>
      <w:numFmt w:val="bullet"/>
      <w:lvlText w:val=""/>
      <w:lvlJc w:val="left"/>
      <w:pPr>
        <w:ind w:left="2160" w:hanging="360"/>
      </w:pPr>
      <w:rPr>
        <w:rFonts w:ascii="Wingdings" w:hAnsi="Wingdings" w:hint="default"/>
      </w:rPr>
    </w:lvl>
    <w:lvl w:ilvl="3" w:tplc="3E443516" w:tentative="1">
      <w:start w:val="1"/>
      <w:numFmt w:val="bullet"/>
      <w:lvlText w:val=""/>
      <w:lvlJc w:val="left"/>
      <w:pPr>
        <w:ind w:left="2880" w:hanging="360"/>
      </w:pPr>
      <w:rPr>
        <w:rFonts w:ascii="Symbol" w:hAnsi="Symbol" w:hint="default"/>
      </w:rPr>
    </w:lvl>
    <w:lvl w:ilvl="4" w:tplc="0A70EB86" w:tentative="1">
      <w:start w:val="1"/>
      <w:numFmt w:val="bullet"/>
      <w:lvlText w:val="o"/>
      <w:lvlJc w:val="left"/>
      <w:pPr>
        <w:ind w:left="3600" w:hanging="360"/>
      </w:pPr>
      <w:rPr>
        <w:rFonts w:ascii="Courier New" w:hAnsi="Courier New" w:cs="Courier New" w:hint="default"/>
      </w:rPr>
    </w:lvl>
    <w:lvl w:ilvl="5" w:tplc="016CE0A4" w:tentative="1">
      <w:start w:val="1"/>
      <w:numFmt w:val="bullet"/>
      <w:lvlText w:val=""/>
      <w:lvlJc w:val="left"/>
      <w:pPr>
        <w:ind w:left="4320" w:hanging="360"/>
      </w:pPr>
      <w:rPr>
        <w:rFonts w:ascii="Wingdings" w:hAnsi="Wingdings" w:hint="default"/>
      </w:rPr>
    </w:lvl>
    <w:lvl w:ilvl="6" w:tplc="9A229C4C" w:tentative="1">
      <w:start w:val="1"/>
      <w:numFmt w:val="bullet"/>
      <w:lvlText w:val=""/>
      <w:lvlJc w:val="left"/>
      <w:pPr>
        <w:ind w:left="5040" w:hanging="360"/>
      </w:pPr>
      <w:rPr>
        <w:rFonts w:ascii="Symbol" w:hAnsi="Symbol" w:hint="default"/>
      </w:rPr>
    </w:lvl>
    <w:lvl w:ilvl="7" w:tplc="B8088CF8" w:tentative="1">
      <w:start w:val="1"/>
      <w:numFmt w:val="bullet"/>
      <w:lvlText w:val="o"/>
      <w:lvlJc w:val="left"/>
      <w:pPr>
        <w:ind w:left="5760" w:hanging="360"/>
      </w:pPr>
      <w:rPr>
        <w:rFonts w:ascii="Courier New" w:hAnsi="Courier New" w:cs="Courier New" w:hint="default"/>
      </w:rPr>
    </w:lvl>
    <w:lvl w:ilvl="8" w:tplc="78C4722E" w:tentative="1">
      <w:start w:val="1"/>
      <w:numFmt w:val="bullet"/>
      <w:lvlText w:val=""/>
      <w:lvlJc w:val="left"/>
      <w:pPr>
        <w:ind w:left="6480" w:hanging="360"/>
      </w:pPr>
      <w:rPr>
        <w:rFonts w:ascii="Wingdings" w:hAnsi="Wingdings" w:hint="default"/>
      </w:rPr>
    </w:lvl>
  </w:abstractNum>
  <w:abstractNum w:abstractNumId="9" w15:restartNumberingAfterBreak="0">
    <w:nsid w:val="28807553"/>
    <w:multiLevelType w:val="hybridMultilevel"/>
    <w:tmpl w:val="960CE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E110838"/>
    <w:multiLevelType w:val="hybridMultilevel"/>
    <w:tmpl w:val="E59AD4D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2EF655CC"/>
    <w:multiLevelType w:val="multilevel"/>
    <w:tmpl w:val="6E9CC688"/>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31A126A9"/>
    <w:multiLevelType w:val="hybridMultilevel"/>
    <w:tmpl w:val="04766BCC"/>
    <w:lvl w:ilvl="0" w:tplc="3764741C">
      <w:start w:val="1"/>
      <w:numFmt w:val="bullet"/>
      <w:lvlText w:val=""/>
      <w:lvlJc w:val="left"/>
      <w:pPr>
        <w:ind w:left="720" w:hanging="360"/>
      </w:pPr>
      <w:rPr>
        <w:rFonts w:ascii="Symbol" w:hAnsi="Symbol" w:hint="default"/>
      </w:rPr>
    </w:lvl>
    <w:lvl w:ilvl="1" w:tplc="B17C60BA">
      <w:start w:val="1"/>
      <w:numFmt w:val="bullet"/>
      <w:lvlText w:val="o"/>
      <w:lvlJc w:val="left"/>
      <w:pPr>
        <w:ind w:left="1440" w:hanging="360"/>
      </w:pPr>
      <w:rPr>
        <w:rFonts w:ascii="Courier New" w:hAnsi="Courier New" w:cs="Courier New" w:hint="default"/>
      </w:rPr>
    </w:lvl>
    <w:lvl w:ilvl="2" w:tplc="3DBEFE1A" w:tentative="1">
      <w:start w:val="1"/>
      <w:numFmt w:val="bullet"/>
      <w:lvlText w:val=""/>
      <w:lvlJc w:val="left"/>
      <w:pPr>
        <w:ind w:left="2160" w:hanging="360"/>
      </w:pPr>
      <w:rPr>
        <w:rFonts w:ascii="Wingdings" w:hAnsi="Wingdings" w:hint="default"/>
      </w:rPr>
    </w:lvl>
    <w:lvl w:ilvl="3" w:tplc="B4246DC4" w:tentative="1">
      <w:start w:val="1"/>
      <w:numFmt w:val="bullet"/>
      <w:lvlText w:val=""/>
      <w:lvlJc w:val="left"/>
      <w:pPr>
        <w:ind w:left="2880" w:hanging="360"/>
      </w:pPr>
      <w:rPr>
        <w:rFonts w:ascii="Symbol" w:hAnsi="Symbol" w:hint="default"/>
      </w:rPr>
    </w:lvl>
    <w:lvl w:ilvl="4" w:tplc="9050F1F6" w:tentative="1">
      <w:start w:val="1"/>
      <w:numFmt w:val="bullet"/>
      <w:lvlText w:val="o"/>
      <w:lvlJc w:val="left"/>
      <w:pPr>
        <w:ind w:left="3600" w:hanging="360"/>
      </w:pPr>
      <w:rPr>
        <w:rFonts w:ascii="Courier New" w:hAnsi="Courier New" w:cs="Courier New" w:hint="default"/>
      </w:rPr>
    </w:lvl>
    <w:lvl w:ilvl="5" w:tplc="1DD4CF14" w:tentative="1">
      <w:start w:val="1"/>
      <w:numFmt w:val="bullet"/>
      <w:lvlText w:val=""/>
      <w:lvlJc w:val="left"/>
      <w:pPr>
        <w:ind w:left="4320" w:hanging="360"/>
      </w:pPr>
      <w:rPr>
        <w:rFonts w:ascii="Wingdings" w:hAnsi="Wingdings" w:hint="default"/>
      </w:rPr>
    </w:lvl>
    <w:lvl w:ilvl="6" w:tplc="D9F4F2A0" w:tentative="1">
      <w:start w:val="1"/>
      <w:numFmt w:val="bullet"/>
      <w:lvlText w:val=""/>
      <w:lvlJc w:val="left"/>
      <w:pPr>
        <w:ind w:left="5040" w:hanging="360"/>
      </w:pPr>
      <w:rPr>
        <w:rFonts w:ascii="Symbol" w:hAnsi="Symbol" w:hint="default"/>
      </w:rPr>
    </w:lvl>
    <w:lvl w:ilvl="7" w:tplc="69D0C26A" w:tentative="1">
      <w:start w:val="1"/>
      <w:numFmt w:val="bullet"/>
      <w:lvlText w:val="o"/>
      <w:lvlJc w:val="left"/>
      <w:pPr>
        <w:ind w:left="5760" w:hanging="360"/>
      </w:pPr>
      <w:rPr>
        <w:rFonts w:ascii="Courier New" w:hAnsi="Courier New" w:cs="Courier New" w:hint="default"/>
      </w:rPr>
    </w:lvl>
    <w:lvl w:ilvl="8" w:tplc="D056212E" w:tentative="1">
      <w:start w:val="1"/>
      <w:numFmt w:val="bullet"/>
      <w:lvlText w:val=""/>
      <w:lvlJc w:val="left"/>
      <w:pPr>
        <w:ind w:left="6480" w:hanging="360"/>
      </w:pPr>
      <w:rPr>
        <w:rFonts w:ascii="Wingdings" w:hAnsi="Wingdings" w:hint="default"/>
      </w:rPr>
    </w:lvl>
  </w:abstractNum>
  <w:abstractNum w:abstractNumId="13" w15:restartNumberingAfterBreak="0">
    <w:nsid w:val="39C916D7"/>
    <w:multiLevelType w:val="hybridMultilevel"/>
    <w:tmpl w:val="61404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BFF47B3"/>
    <w:multiLevelType w:val="hybridMultilevel"/>
    <w:tmpl w:val="4A5AF5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FC63C0"/>
    <w:multiLevelType w:val="multilevel"/>
    <w:tmpl w:val="ED72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283A70"/>
    <w:multiLevelType w:val="hybridMultilevel"/>
    <w:tmpl w:val="4D40E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D825FBF"/>
    <w:multiLevelType w:val="hybridMultilevel"/>
    <w:tmpl w:val="363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53D06F4"/>
    <w:multiLevelType w:val="hybridMultilevel"/>
    <w:tmpl w:val="4A5AF5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20"/>
  </w:num>
  <w:num w:numId="29">
    <w:abstractNumId w:val="4"/>
  </w:num>
  <w:num w:numId="30">
    <w:abstractNumId w:val="10"/>
  </w:num>
  <w:num w:numId="31">
    <w:abstractNumId w:val="1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3"/>
  </w:num>
  <w:num w:numId="36">
    <w:abstractNumId w:val="18"/>
  </w:num>
  <w:num w:numId="37">
    <w:abstractNumId w:val="17"/>
  </w:num>
  <w:num w:numId="38">
    <w:abstractNumId w:val="9"/>
  </w:num>
  <w:num w:numId="39">
    <w:abstractNumId w:val="14"/>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1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113"/>
    <w:rsid w:val="00002031"/>
    <w:rsid w:val="00004734"/>
    <w:rsid w:val="00006B22"/>
    <w:rsid w:val="0001276A"/>
    <w:rsid w:val="0002370C"/>
    <w:rsid w:val="000246AE"/>
    <w:rsid w:val="00024EE0"/>
    <w:rsid w:val="00025C67"/>
    <w:rsid w:val="00026534"/>
    <w:rsid w:val="00044772"/>
    <w:rsid w:val="0004541C"/>
    <w:rsid w:val="00054C2C"/>
    <w:rsid w:val="0005559E"/>
    <w:rsid w:val="00056524"/>
    <w:rsid w:val="0005668D"/>
    <w:rsid w:val="000604D6"/>
    <w:rsid w:val="000734D8"/>
    <w:rsid w:val="000736B5"/>
    <w:rsid w:val="00076B9F"/>
    <w:rsid w:val="00077775"/>
    <w:rsid w:val="0009021C"/>
    <w:rsid w:val="00090471"/>
    <w:rsid w:val="00093889"/>
    <w:rsid w:val="00096AA7"/>
    <w:rsid w:val="000A3AED"/>
    <w:rsid w:val="000B3532"/>
    <w:rsid w:val="000B3A75"/>
    <w:rsid w:val="000C00C2"/>
    <w:rsid w:val="000C0D4B"/>
    <w:rsid w:val="000C1B0A"/>
    <w:rsid w:val="000C690F"/>
    <w:rsid w:val="000D1295"/>
    <w:rsid w:val="000D391B"/>
    <w:rsid w:val="000D3D6D"/>
    <w:rsid w:val="000D4FC7"/>
    <w:rsid w:val="000D6769"/>
    <w:rsid w:val="000E6196"/>
    <w:rsid w:val="000E7F12"/>
    <w:rsid w:val="000F4869"/>
    <w:rsid w:val="000F5B42"/>
    <w:rsid w:val="000F6E6F"/>
    <w:rsid w:val="000F6F7A"/>
    <w:rsid w:val="0010601F"/>
    <w:rsid w:val="0010788A"/>
    <w:rsid w:val="00107A31"/>
    <w:rsid w:val="00110EA5"/>
    <w:rsid w:val="00112F56"/>
    <w:rsid w:val="00117D78"/>
    <w:rsid w:val="00123543"/>
    <w:rsid w:val="00124520"/>
    <w:rsid w:val="00124ACD"/>
    <w:rsid w:val="00125318"/>
    <w:rsid w:val="001305A2"/>
    <w:rsid w:val="00133238"/>
    <w:rsid w:val="00133A1B"/>
    <w:rsid w:val="00134C4F"/>
    <w:rsid w:val="0014197B"/>
    <w:rsid w:val="0014340C"/>
    <w:rsid w:val="001447CD"/>
    <w:rsid w:val="001516B1"/>
    <w:rsid w:val="00154EBB"/>
    <w:rsid w:val="001562F6"/>
    <w:rsid w:val="00156316"/>
    <w:rsid w:val="00161181"/>
    <w:rsid w:val="00162D14"/>
    <w:rsid w:val="00163780"/>
    <w:rsid w:val="00165389"/>
    <w:rsid w:val="0017693F"/>
    <w:rsid w:val="0018110E"/>
    <w:rsid w:val="00181684"/>
    <w:rsid w:val="001843C6"/>
    <w:rsid w:val="001850E0"/>
    <w:rsid w:val="00187CB1"/>
    <w:rsid w:val="001A03AF"/>
    <w:rsid w:val="001A2158"/>
    <w:rsid w:val="001A5092"/>
    <w:rsid w:val="001A525F"/>
    <w:rsid w:val="001B09F9"/>
    <w:rsid w:val="001B164A"/>
    <w:rsid w:val="001B5C90"/>
    <w:rsid w:val="001B6448"/>
    <w:rsid w:val="001C1628"/>
    <w:rsid w:val="001C32CD"/>
    <w:rsid w:val="001D1AEA"/>
    <w:rsid w:val="001D2984"/>
    <w:rsid w:val="001E07CF"/>
    <w:rsid w:val="001E169F"/>
    <w:rsid w:val="001E59F1"/>
    <w:rsid w:val="001F2CEE"/>
    <w:rsid w:val="001F49EB"/>
    <w:rsid w:val="001F6CBA"/>
    <w:rsid w:val="00201D4E"/>
    <w:rsid w:val="002076C9"/>
    <w:rsid w:val="00220B8A"/>
    <w:rsid w:val="002257F3"/>
    <w:rsid w:val="0022591A"/>
    <w:rsid w:val="00231399"/>
    <w:rsid w:val="00233456"/>
    <w:rsid w:val="002339A5"/>
    <w:rsid w:val="002522CB"/>
    <w:rsid w:val="00257848"/>
    <w:rsid w:val="002578E8"/>
    <w:rsid w:val="0027084A"/>
    <w:rsid w:val="002714BF"/>
    <w:rsid w:val="002732C1"/>
    <w:rsid w:val="00280265"/>
    <w:rsid w:val="00286434"/>
    <w:rsid w:val="00286C59"/>
    <w:rsid w:val="00291957"/>
    <w:rsid w:val="002942D1"/>
    <w:rsid w:val="0029501A"/>
    <w:rsid w:val="002A3721"/>
    <w:rsid w:val="002B1638"/>
    <w:rsid w:val="002B3624"/>
    <w:rsid w:val="002B7A13"/>
    <w:rsid w:val="002C645E"/>
    <w:rsid w:val="002D0952"/>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47C90"/>
    <w:rsid w:val="00350567"/>
    <w:rsid w:val="003521E8"/>
    <w:rsid w:val="0035696E"/>
    <w:rsid w:val="003638CF"/>
    <w:rsid w:val="00366C8F"/>
    <w:rsid w:val="00370CE3"/>
    <w:rsid w:val="003728F3"/>
    <w:rsid w:val="003735BC"/>
    <w:rsid w:val="0037496E"/>
    <w:rsid w:val="0037601D"/>
    <w:rsid w:val="0038297A"/>
    <w:rsid w:val="00383185"/>
    <w:rsid w:val="00383221"/>
    <w:rsid w:val="00386150"/>
    <w:rsid w:val="003874CE"/>
    <w:rsid w:val="00390900"/>
    <w:rsid w:val="003A7F6C"/>
    <w:rsid w:val="003B4D60"/>
    <w:rsid w:val="003B7E39"/>
    <w:rsid w:val="003C062E"/>
    <w:rsid w:val="003C58DC"/>
    <w:rsid w:val="003D1E62"/>
    <w:rsid w:val="003E0B99"/>
    <w:rsid w:val="003E2486"/>
    <w:rsid w:val="003E3208"/>
    <w:rsid w:val="003F0B04"/>
    <w:rsid w:val="003F1408"/>
    <w:rsid w:val="003F45BF"/>
    <w:rsid w:val="0040134E"/>
    <w:rsid w:val="004334C7"/>
    <w:rsid w:val="00436FD3"/>
    <w:rsid w:val="00440A2D"/>
    <w:rsid w:val="00441C3F"/>
    <w:rsid w:val="00444D1A"/>
    <w:rsid w:val="00450068"/>
    <w:rsid w:val="004506DF"/>
    <w:rsid w:val="0045186A"/>
    <w:rsid w:val="004564A7"/>
    <w:rsid w:val="00456765"/>
    <w:rsid w:val="004617BF"/>
    <w:rsid w:val="00462AE3"/>
    <w:rsid w:val="00463658"/>
    <w:rsid w:val="004637A0"/>
    <w:rsid w:val="004669A8"/>
    <w:rsid w:val="004674BC"/>
    <w:rsid w:val="004722CC"/>
    <w:rsid w:val="00481360"/>
    <w:rsid w:val="0049029C"/>
    <w:rsid w:val="00490483"/>
    <w:rsid w:val="004936E4"/>
    <w:rsid w:val="00494E60"/>
    <w:rsid w:val="00497487"/>
    <w:rsid w:val="004A0AFF"/>
    <w:rsid w:val="004A1AEF"/>
    <w:rsid w:val="004A2771"/>
    <w:rsid w:val="004A6189"/>
    <w:rsid w:val="004A7390"/>
    <w:rsid w:val="004B7B76"/>
    <w:rsid w:val="004C239D"/>
    <w:rsid w:val="004C2DCA"/>
    <w:rsid w:val="004C61D2"/>
    <w:rsid w:val="004C62BD"/>
    <w:rsid w:val="004E2B35"/>
    <w:rsid w:val="004E3248"/>
    <w:rsid w:val="004E6DCC"/>
    <w:rsid w:val="004F0C4A"/>
    <w:rsid w:val="004F0F38"/>
    <w:rsid w:val="004F47D6"/>
    <w:rsid w:val="00500337"/>
    <w:rsid w:val="00501723"/>
    <w:rsid w:val="00501921"/>
    <w:rsid w:val="00501D28"/>
    <w:rsid w:val="00530354"/>
    <w:rsid w:val="0053625B"/>
    <w:rsid w:val="005434C6"/>
    <w:rsid w:val="00543B39"/>
    <w:rsid w:val="00546154"/>
    <w:rsid w:val="005468E6"/>
    <w:rsid w:val="00550096"/>
    <w:rsid w:val="0055166A"/>
    <w:rsid w:val="00551D69"/>
    <w:rsid w:val="00555280"/>
    <w:rsid w:val="00557FF9"/>
    <w:rsid w:val="00562327"/>
    <w:rsid w:val="005711D5"/>
    <w:rsid w:val="00576378"/>
    <w:rsid w:val="00577130"/>
    <w:rsid w:val="00577945"/>
    <w:rsid w:val="00577E38"/>
    <w:rsid w:val="00585322"/>
    <w:rsid w:val="005857C6"/>
    <w:rsid w:val="005873D4"/>
    <w:rsid w:val="00592F6E"/>
    <w:rsid w:val="00593AD1"/>
    <w:rsid w:val="005A0120"/>
    <w:rsid w:val="005A2D8F"/>
    <w:rsid w:val="005A68B6"/>
    <w:rsid w:val="005C5570"/>
    <w:rsid w:val="005C79A4"/>
    <w:rsid w:val="005D5442"/>
    <w:rsid w:val="005E0625"/>
    <w:rsid w:val="005E4753"/>
    <w:rsid w:val="005E5D41"/>
    <w:rsid w:val="00600913"/>
    <w:rsid w:val="00602B6E"/>
    <w:rsid w:val="00603F32"/>
    <w:rsid w:val="00605AD4"/>
    <w:rsid w:val="006136D7"/>
    <w:rsid w:val="00625A6E"/>
    <w:rsid w:val="00632398"/>
    <w:rsid w:val="00636954"/>
    <w:rsid w:val="00640FC3"/>
    <w:rsid w:val="006417A7"/>
    <w:rsid w:val="00642020"/>
    <w:rsid w:val="006430EE"/>
    <w:rsid w:val="0065337B"/>
    <w:rsid w:val="0065419D"/>
    <w:rsid w:val="00655D77"/>
    <w:rsid w:val="006603BC"/>
    <w:rsid w:val="006604D8"/>
    <w:rsid w:val="00664A5B"/>
    <w:rsid w:val="0066735C"/>
    <w:rsid w:val="00672957"/>
    <w:rsid w:val="006763D2"/>
    <w:rsid w:val="00680C08"/>
    <w:rsid w:val="0068691E"/>
    <w:rsid w:val="00687F68"/>
    <w:rsid w:val="006916A0"/>
    <w:rsid w:val="006931B1"/>
    <w:rsid w:val="006A15C0"/>
    <w:rsid w:val="006A3A2E"/>
    <w:rsid w:val="006A58A8"/>
    <w:rsid w:val="006B3283"/>
    <w:rsid w:val="006C3E2A"/>
    <w:rsid w:val="006C5007"/>
    <w:rsid w:val="006C642F"/>
    <w:rsid w:val="006D03E5"/>
    <w:rsid w:val="006D5D3E"/>
    <w:rsid w:val="006E08B3"/>
    <w:rsid w:val="006E6AA0"/>
    <w:rsid w:val="006E71D6"/>
    <w:rsid w:val="006F17AC"/>
    <w:rsid w:val="006F25B8"/>
    <w:rsid w:val="006F572E"/>
    <w:rsid w:val="00701ED2"/>
    <w:rsid w:val="007046D6"/>
    <w:rsid w:val="00705DB0"/>
    <w:rsid w:val="00714F56"/>
    <w:rsid w:val="007173E8"/>
    <w:rsid w:val="00722B57"/>
    <w:rsid w:val="00722FD7"/>
    <w:rsid w:val="00723760"/>
    <w:rsid w:val="00723AA0"/>
    <w:rsid w:val="00726DDE"/>
    <w:rsid w:val="00730F8A"/>
    <w:rsid w:val="00735A8C"/>
    <w:rsid w:val="00737113"/>
    <w:rsid w:val="0074253D"/>
    <w:rsid w:val="0074429B"/>
    <w:rsid w:val="007615BC"/>
    <w:rsid w:val="00762F05"/>
    <w:rsid w:val="007652FF"/>
    <w:rsid w:val="00770CAC"/>
    <w:rsid w:val="00770EF1"/>
    <w:rsid w:val="00773EF7"/>
    <w:rsid w:val="00774E1D"/>
    <w:rsid w:val="00776389"/>
    <w:rsid w:val="007765D8"/>
    <w:rsid w:val="0077675A"/>
    <w:rsid w:val="00780355"/>
    <w:rsid w:val="007819FD"/>
    <w:rsid w:val="00783E37"/>
    <w:rsid w:val="00785717"/>
    <w:rsid w:val="00785721"/>
    <w:rsid w:val="00793A59"/>
    <w:rsid w:val="00797229"/>
    <w:rsid w:val="007A2CFE"/>
    <w:rsid w:val="007A46F5"/>
    <w:rsid w:val="007A6505"/>
    <w:rsid w:val="007B2A4C"/>
    <w:rsid w:val="007B6132"/>
    <w:rsid w:val="007B6E9F"/>
    <w:rsid w:val="007C1216"/>
    <w:rsid w:val="007C1AF7"/>
    <w:rsid w:val="007C6B9B"/>
    <w:rsid w:val="007E41C3"/>
    <w:rsid w:val="007E474B"/>
    <w:rsid w:val="007F7CE7"/>
    <w:rsid w:val="00805D27"/>
    <w:rsid w:val="00806DCB"/>
    <w:rsid w:val="00810F8C"/>
    <w:rsid w:val="0081156B"/>
    <w:rsid w:val="00821776"/>
    <w:rsid w:val="008321F5"/>
    <w:rsid w:val="00832369"/>
    <w:rsid w:val="00834660"/>
    <w:rsid w:val="008363B6"/>
    <w:rsid w:val="00836BC2"/>
    <w:rsid w:val="0085156D"/>
    <w:rsid w:val="00852B28"/>
    <w:rsid w:val="00854AC5"/>
    <w:rsid w:val="0085641B"/>
    <w:rsid w:val="00857136"/>
    <w:rsid w:val="008648BA"/>
    <w:rsid w:val="00875A6B"/>
    <w:rsid w:val="00885B11"/>
    <w:rsid w:val="00886D15"/>
    <w:rsid w:val="00886D40"/>
    <w:rsid w:val="00887DD8"/>
    <w:rsid w:val="00891BA9"/>
    <w:rsid w:val="00896018"/>
    <w:rsid w:val="008960DD"/>
    <w:rsid w:val="0089635C"/>
    <w:rsid w:val="008A2B9D"/>
    <w:rsid w:val="008A3D9F"/>
    <w:rsid w:val="008A5E0B"/>
    <w:rsid w:val="008A6D59"/>
    <w:rsid w:val="008B4B03"/>
    <w:rsid w:val="008B596F"/>
    <w:rsid w:val="008C0DB2"/>
    <w:rsid w:val="008C12DA"/>
    <w:rsid w:val="008C159F"/>
    <w:rsid w:val="008C1623"/>
    <w:rsid w:val="008C1850"/>
    <w:rsid w:val="008C51A9"/>
    <w:rsid w:val="008D4680"/>
    <w:rsid w:val="008D4BF8"/>
    <w:rsid w:val="008E7846"/>
    <w:rsid w:val="008F02E5"/>
    <w:rsid w:val="008F1CCC"/>
    <w:rsid w:val="008F2967"/>
    <w:rsid w:val="008F6943"/>
    <w:rsid w:val="008F6BA6"/>
    <w:rsid w:val="008F7655"/>
    <w:rsid w:val="00902A21"/>
    <w:rsid w:val="009051D9"/>
    <w:rsid w:val="009121C2"/>
    <w:rsid w:val="0091523F"/>
    <w:rsid w:val="00920330"/>
    <w:rsid w:val="009219D7"/>
    <w:rsid w:val="00922D53"/>
    <w:rsid w:val="00923425"/>
    <w:rsid w:val="00923B70"/>
    <w:rsid w:val="00924482"/>
    <w:rsid w:val="009268A1"/>
    <w:rsid w:val="00927D27"/>
    <w:rsid w:val="00930237"/>
    <w:rsid w:val="00933259"/>
    <w:rsid w:val="00937C17"/>
    <w:rsid w:val="00940A89"/>
    <w:rsid w:val="00941F77"/>
    <w:rsid w:val="00946EA5"/>
    <w:rsid w:val="009579FB"/>
    <w:rsid w:val="00960520"/>
    <w:rsid w:val="00961140"/>
    <w:rsid w:val="00963C08"/>
    <w:rsid w:val="009679B9"/>
    <w:rsid w:val="009752A5"/>
    <w:rsid w:val="0098585A"/>
    <w:rsid w:val="00987344"/>
    <w:rsid w:val="00995C5A"/>
    <w:rsid w:val="00997969"/>
    <w:rsid w:val="009A2832"/>
    <w:rsid w:val="009A4CED"/>
    <w:rsid w:val="009A690D"/>
    <w:rsid w:val="009B1D12"/>
    <w:rsid w:val="009B416B"/>
    <w:rsid w:val="009C4BD5"/>
    <w:rsid w:val="009D0A11"/>
    <w:rsid w:val="009D29C9"/>
    <w:rsid w:val="009D7B77"/>
    <w:rsid w:val="009E0BB0"/>
    <w:rsid w:val="009E3921"/>
    <w:rsid w:val="009E3FBB"/>
    <w:rsid w:val="009E49B7"/>
    <w:rsid w:val="009E707F"/>
    <w:rsid w:val="009E761F"/>
    <w:rsid w:val="009F7353"/>
    <w:rsid w:val="009F7FC1"/>
    <w:rsid w:val="00A04F85"/>
    <w:rsid w:val="00A05FA4"/>
    <w:rsid w:val="00A102E4"/>
    <w:rsid w:val="00A1219C"/>
    <w:rsid w:val="00A12C42"/>
    <w:rsid w:val="00A14DF7"/>
    <w:rsid w:val="00A21CA4"/>
    <w:rsid w:val="00A22D57"/>
    <w:rsid w:val="00A27E90"/>
    <w:rsid w:val="00A3246D"/>
    <w:rsid w:val="00A36FA7"/>
    <w:rsid w:val="00A44DDB"/>
    <w:rsid w:val="00A45289"/>
    <w:rsid w:val="00A475B7"/>
    <w:rsid w:val="00A47AF7"/>
    <w:rsid w:val="00A47C3E"/>
    <w:rsid w:val="00A50226"/>
    <w:rsid w:val="00A554AE"/>
    <w:rsid w:val="00A555BD"/>
    <w:rsid w:val="00A60BAD"/>
    <w:rsid w:val="00A77F87"/>
    <w:rsid w:val="00A80B5B"/>
    <w:rsid w:val="00A84E36"/>
    <w:rsid w:val="00A9210D"/>
    <w:rsid w:val="00A964D1"/>
    <w:rsid w:val="00AA0ED0"/>
    <w:rsid w:val="00AA5A37"/>
    <w:rsid w:val="00AB4A87"/>
    <w:rsid w:val="00AC2B40"/>
    <w:rsid w:val="00AC2BB2"/>
    <w:rsid w:val="00AC2C3C"/>
    <w:rsid w:val="00AC3314"/>
    <w:rsid w:val="00AC3365"/>
    <w:rsid w:val="00AC512D"/>
    <w:rsid w:val="00AC7651"/>
    <w:rsid w:val="00AD0083"/>
    <w:rsid w:val="00AD3935"/>
    <w:rsid w:val="00AD63FB"/>
    <w:rsid w:val="00AE65EB"/>
    <w:rsid w:val="00AE67A7"/>
    <w:rsid w:val="00AE7E6D"/>
    <w:rsid w:val="00AF1D94"/>
    <w:rsid w:val="00AF32F1"/>
    <w:rsid w:val="00AF3775"/>
    <w:rsid w:val="00AF60C5"/>
    <w:rsid w:val="00B009C6"/>
    <w:rsid w:val="00B01548"/>
    <w:rsid w:val="00B0450C"/>
    <w:rsid w:val="00B04E16"/>
    <w:rsid w:val="00B130C5"/>
    <w:rsid w:val="00B13EBD"/>
    <w:rsid w:val="00B21D29"/>
    <w:rsid w:val="00B25034"/>
    <w:rsid w:val="00B33588"/>
    <w:rsid w:val="00B33863"/>
    <w:rsid w:val="00B374DD"/>
    <w:rsid w:val="00B37D17"/>
    <w:rsid w:val="00B4175E"/>
    <w:rsid w:val="00B41C85"/>
    <w:rsid w:val="00B452CE"/>
    <w:rsid w:val="00B46B0D"/>
    <w:rsid w:val="00B5067B"/>
    <w:rsid w:val="00B54C25"/>
    <w:rsid w:val="00B76B91"/>
    <w:rsid w:val="00B77EB1"/>
    <w:rsid w:val="00B811C6"/>
    <w:rsid w:val="00B855B0"/>
    <w:rsid w:val="00B90009"/>
    <w:rsid w:val="00B92E08"/>
    <w:rsid w:val="00BA0CEA"/>
    <w:rsid w:val="00BA13BF"/>
    <w:rsid w:val="00BA335F"/>
    <w:rsid w:val="00BB2E5A"/>
    <w:rsid w:val="00BB594B"/>
    <w:rsid w:val="00BC0EA2"/>
    <w:rsid w:val="00BC4E2E"/>
    <w:rsid w:val="00BC5ADA"/>
    <w:rsid w:val="00BC622A"/>
    <w:rsid w:val="00BD0FFA"/>
    <w:rsid w:val="00BE0A78"/>
    <w:rsid w:val="00BE79F0"/>
    <w:rsid w:val="00BF046D"/>
    <w:rsid w:val="00BF1190"/>
    <w:rsid w:val="00BF23B5"/>
    <w:rsid w:val="00BF3774"/>
    <w:rsid w:val="00BF5D04"/>
    <w:rsid w:val="00C009AA"/>
    <w:rsid w:val="00C01854"/>
    <w:rsid w:val="00C1164D"/>
    <w:rsid w:val="00C11BEC"/>
    <w:rsid w:val="00C16861"/>
    <w:rsid w:val="00C20F9B"/>
    <w:rsid w:val="00C240A5"/>
    <w:rsid w:val="00C346AB"/>
    <w:rsid w:val="00C40180"/>
    <w:rsid w:val="00C404A6"/>
    <w:rsid w:val="00C40A36"/>
    <w:rsid w:val="00C44419"/>
    <w:rsid w:val="00C4447A"/>
    <w:rsid w:val="00C45E7B"/>
    <w:rsid w:val="00C471B1"/>
    <w:rsid w:val="00C52E24"/>
    <w:rsid w:val="00C6316B"/>
    <w:rsid w:val="00C634A9"/>
    <w:rsid w:val="00C64586"/>
    <w:rsid w:val="00C70099"/>
    <w:rsid w:val="00C70D53"/>
    <w:rsid w:val="00C73D0B"/>
    <w:rsid w:val="00C74F5C"/>
    <w:rsid w:val="00C772FF"/>
    <w:rsid w:val="00C80137"/>
    <w:rsid w:val="00C801AF"/>
    <w:rsid w:val="00C80256"/>
    <w:rsid w:val="00C86CCA"/>
    <w:rsid w:val="00C94CD4"/>
    <w:rsid w:val="00C9747E"/>
    <w:rsid w:val="00CA4338"/>
    <w:rsid w:val="00CB6BC0"/>
    <w:rsid w:val="00CC02CF"/>
    <w:rsid w:val="00CC1B7C"/>
    <w:rsid w:val="00CC3894"/>
    <w:rsid w:val="00CC5278"/>
    <w:rsid w:val="00CC727F"/>
    <w:rsid w:val="00CD4094"/>
    <w:rsid w:val="00CE00A3"/>
    <w:rsid w:val="00CF15C3"/>
    <w:rsid w:val="00CF2B6F"/>
    <w:rsid w:val="00CF2F3E"/>
    <w:rsid w:val="00CF58B6"/>
    <w:rsid w:val="00D0062D"/>
    <w:rsid w:val="00D017ED"/>
    <w:rsid w:val="00D03282"/>
    <w:rsid w:val="00D040D3"/>
    <w:rsid w:val="00D04C65"/>
    <w:rsid w:val="00D13004"/>
    <w:rsid w:val="00D153D8"/>
    <w:rsid w:val="00D1672D"/>
    <w:rsid w:val="00D201D2"/>
    <w:rsid w:val="00D224FE"/>
    <w:rsid w:val="00D23139"/>
    <w:rsid w:val="00D32DB0"/>
    <w:rsid w:val="00D368BC"/>
    <w:rsid w:val="00D405B4"/>
    <w:rsid w:val="00D425BB"/>
    <w:rsid w:val="00D453FA"/>
    <w:rsid w:val="00D514DF"/>
    <w:rsid w:val="00D6493E"/>
    <w:rsid w:val="00D7064E"/>
    <w:rsid w:val="00D709C3"/>
    <w:rsid w:val="00D7195D"/>
    <w:rsid w:val="00D7301E"/>
    <w:rsid w:val="00D83AE1"/>
    <w:rsid w:val="00D855D4"/>
    <w:rsid w:val="00D902C9"/>
    <w:rsid w:val="00D93466"/>
    <w:rsid w:val="00D95F73"/>
    <w:rsid w:val="00DA1124"/>
    <w:rsid w:val="00DA64CB"/>
    <w:rsid w:val="00DB0689"/>
    <w:rsid w:val="00DB06B8"/>
    <w:rsid w:val="00DB4EB8"/>
    <w:rsid w:val="00DB6124"/>
    <w:rsid w:val="00DB750B"/>
    <w:rsid w:val="00DB75B7"/>
    <w:rsid w:val="00DC0A2F"/>
    <w:rsid w:val="00DC1948"/>
    <w:rsid w:val="00DC6E02"/>
    <w:rsid w:val="00DD1B68"/>
    <w:rsid w:val="00DD28CD"/>
    <w:rsid w:val="00DD2A89"/>
    <w:rsid w:val="00DE02AE"/>
    <w:rsid w:val="00DE39D1"/>
    <w:rsid w:val="00DE6EB9"/>
    <w:rsid w:val="00DF1D7F"/>
    <w:rsid w:val="00DF4BE4"/>
    <w:rsid w:val="00E02382"/>
    <w:rsid w:val="00E02FB4"/>
    <w:rsid w:val="00E05410"/>
    <w:rsid w:val="00E12904"/>
    <w:rsid w:val="00E13FC7"/>
    <w:rsid w:val="00E20571"/>
    <w:rsid w:val="00E235F7"/>
    <w:rsid w:val="00E23659"/>
    <w:rsid w:val="00E239D4"/>
    <w:rsid w:val="00E26130"/>
    <w:rsid w:val="00E35386"/>
    <w:rsid w:val="00E40B22"/>
    <w:rsid w:val="00E44ED1"/>
    <w:rsid w:val="00E45619"/>
    <w:rsid w:val="00E4588F"/>
    <w:rsid w:val="00E46DA3"/>
    <w:rsid w:val="00E50A76"/>
    <w:rsid w:val="00E51BB1"/>
    <w:rsid w:val="00E55CB0"/>
    <w:rsid w:val="00E624A5"/>
    <w:rsid w:val="00E64BA4"/>
    <w:rsid w:val="00E669A5"/>
    <w:rsid w:val="00E7344E"/>
    <w:rsid w:val="00E82665"/>
    <w:rsid w:val="00E843B8"/>
    <w:rsid w:val="00E87266"/>
    <w:rsid w:val="00E87894"/>
    <w:rsid w:val="00EA264B"/>
    <w:rsid w:val="00EA7A1E"/>
    <w:rsid w:val="00EB0798"/>
    <w:rsid w:val="00EB254C"/>
    <w:rsid w:val="00EB40AD"/>
    <w:rsid w:val="00EB586E"/>
    <w:rsid w:val="00EB5A10"/>
    <w:rsid w:val="00EB5FC8"/>
    <w:rsid w:val="00EB66B6"/>
    <w:rsid w:val="00EC463D"/>
    <w:rsid w:val="00EC4D94"/>
    <w:rsid w:val="00EC7A85"/>
    <w:rsid w:val="00ED11FB"/>
    <w:rsid w:val="00ED2922"/>
    <w:rsid w:val="00ED3CAD"/>
    <w:rsid w:val="00ED5A41"/>
    <w:rsid w:val="00EE1DE8"/>
    <w:rsid w:val="00EE27C2"/>
    <w:rsid w:val="00EF4191"/>
    <w:rsid w:val="00EF4BAD"/>
    <w:rsid w:val="00EF59DC"/>
    <w:rsid w:val="00EF72E7"/>
    <w:rsid w:val="00F00342"/>
    <w:rsid w:val="00F033EC"/>
    <w:rsid w:val="00F04F68"/>
    <w:rsid w:val="00F12670"/>
    <w:rsid w:val="00F14B27"/>
    <w:rsid w:val="00F21111"/>
    <w:rsid w:val="00F304B0"/>
    <w:rsid w:val="00F3148D"/>
    <w:rsid w:val="00F325C5"/>
    <w:rsid w:val="00F32FE0"/>
    <w:rsid w:val="00F35298"/>
    <w:rsid w:val="00F47333"/>
    <w:rsid w:val="00F47E37"/>
    <w:rsid w:val="00F53301"/>
    <w:rsid w:val="00F53C07"/>
    <w:rsid w:val="00F54B65"/>
    <w:rsid w:val="00F56ED8"/>
    <w:rsid w:val="00F618DB"/>
    <w:rsid w:val="00F640B6"/>
    <w:rsid w:val="00F66DF2"/>
    <w:rsid w:val="00F674D9"/>
    <w:rsid w:val="00F80E40"/>
    <w:rsid w:val="00F848D9"/>
    <w:rsid w:val="00FA134A"/>
    <w:rsid w:val="00FA5069"/>
    <w:rsid w:val="00FA5B82"/>
    <w:rsid w:val="00FA639E"/>
    <w:rsid w:val="00FC1FCA"/>
    <w:rsid w:val="00FC25E4"/>
    <w:rsid w:val="00FC3719"/>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DA00265"/>
  <w15:docId w15:val="{96FB457A-BF24-4FD0-BA75-2C798433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C500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aliases w:val="Annotationtext,Car17,Car17 Car,Char,Char Char Char,Char Char1,Comment Text Char Char,Comment Text Char Char Char Char,Comment Text Char Char1,Comment Text Char1,Comment Text Char1 Char,Comment Text Char1 Char Char,Comment Text Char2 Char"/>
    <w:basedOn w:val="Normal"/>
    <w:link w:val="CommentTextChar"/>
    <w:uiPriority w:val="99"/>
    <w:unhideWhenUsed/>
    <w:qFormat/>
    <w:rsid w:val="00EC463D"/>
    <w:pPr>
      <w:spacing w:line="240" w:lineRule="auto"/>
    </w:pPr>
    <w:rPr>
      <w:sz w:val="20"/>
      <w:szCs w:val="20"/>
    </w:rPr>
  </w:style>
  <w:style w:type="character" w:customStyle="1" w:styleId="CommentTextChar">
    <w:name w:val="Comment Text Char"/>
    <w:aliases w:val="Annotationtext Char1,Car17 Char1,Car17 Car Char1,Char Char2,Char Char Char Char1,Char Char1 Char1,Comment Text Char Char Char1,Comment Text Char Char Char Char Char1,Comment Text Char Char1 Char1,Comment Text Char1 Char2"/>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A4528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4528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45289"/>
    <w:pPr>
      <w:numPr>
        <w:numId w:val="29"/>
      </w:numPr>
      <w:spacing w:after="180"/>
      <w:ind w:left="426" w:hanging="284"/>
    </w:pPr>
    <w:rPr>
      <w:kern w:val="2"/>
    </w:rPr>
  </w:style>
  <w:style w:type="character" w:customStyle="1" w:styleId="TabletextChar">
    <w:name w:val="Table text Char"/>
    <w:basedOn w:val="StandardChar"/>
    <w:link w:val="Tabletext"/>
    <w:rsid w:val="00A45289"/>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A45289"/>
    <w:rPr>
      <w:rFonts w:ascii="Cambria" w:eastAsia="Times New Roman" w:hAnsi="Cambria" w:cs="Times New Roman"/>
      <w:snapToGrid w:val="0"/>
      <w:kern w:val="2"/>
      <w:sz w:val="23"/>
      <w:szCs w:val="24"/>
    </w:rPr>
  </w:style>
  <w:style w:type="table" w:customStyle="1" w:styleId="TableTGAblue1">
    <w:name w:val="Table TGA blue1"/>
    <w:basedOn w:val="TableNormal"/>
    <w:uiPriority w:val="99"/>
    <w:qFormat/>
    <w:rsid w:val="00124520"/>
    <w:pPr>
      <w:spacing w:after="0" w:line="240" w:lineRule="auto"/>
      <w:ind w:left="170" w:right="170"/>
    </w:pPr>
    <w:rPr>
      <w:rFonts w:ascii="Cambria" w:eastAsia="Calibri" w:hAnsi="Cambria" w:cs="Times New Roman"/>
      <w:color w:val="000000"/>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styleId="ListParagraph">
    <w:name w:val="List Paragraph"/>
    <w:basedOn w:val="Normal"/>
    <w:uiPriority w:val="34"/>
    <w:qFormat/>
    <w:rsid w:val="0055166A"/>
    <w:pPr>
      <w:adjustRightInd w:val="0"/>
      <w:snapToGrid w:val="0"/>
      <w:spacing w:before="180" w:after="180"/>
      <w:ind w:left="720"/>
      <w:contextualSpacing/>
    </w:pPr>
    <w:rPr>
      <w:rFonts w:eastAsia="MS Mincho"/>
      <w:szCs w:val="20"/>
      <w:lang w:eastAsia="ja-JP"/>
    </w:rPr>
  </w:style>
  <w:style w:type="character" w:styleId="Emphasis">
    <w:name w:val="Emphasis"/>
    <w:basedOn w:val="DefaultParagraphFont"/>
    <w:uiPriority w:val="20"/>
    <w:qFormat/>
    <w:rsid w:val="00436FD3"/>
    <w:rPr>
      <w:i/>
      <w:iCs/>
    </w:rPr>
  </w:style>
  <w:style w:type="paragraph" w:styleId="NormalWeb">
    <w:name w:val="Normal (Web)"/>
    <w:basedOn w:val="Normal"/>
    <w:uiPriority w:val="99"/>
    <w:semiHidden/>
    <w:unhideWhenUsed/>
    <w:rsid w:val="00436FD3"/>
    <w:pPr>
      <w:spacing w:before="100" w:beforeAutospacing="1" w:after="100" w:afterAutospacing="1" w:line="240" w:lineRule="auto"/>
    </w:pPr>
    <w:rPr>
      <w:rFonts w:ascii="Times New Roman" w:eastAsia="Times New Roman" w:hAnsi="Times New Roman"/>
      <w:sz w:val="24"/>
      <w:szCs w:val="24"/>
      <w:lang w:eastAsia="en-AU"/>
    </w:rPr>
  </w:style>
  <w:style w:type="table" w:customStyle="1" w:styleId="TablegridAgencyblank">
    <w:name w:val="Table grid (Agency) blank"/>
    <w:basedOn w:val="TableNormal"/>
    <w:semiHidden/>
    <w:rsid w:val="00A555BD"/>
    <w:pPr>
      <w:spacing w:after="0" w:line="240" w:lineRule="auto"/>
    </w:pPr>
    <w:rPr>
      <w:rFonts w:ascii="Verdana" w:eastAsia="SimSun" w:hAnsi="Verdana" w:cs="Times New Roman"/>
      <w:sz w:val="18"/>
      <w:szCs w:val="20"/>
      <w:lang w:val="en-GB" w:eastAsia="en-GB"/>
    </w:rPr>
    <w:tblPr/>
    <w:tcPr>
      <w:shd w:val="clear" w:color="auto" w:fill="auto"/>
    </w:tcPr>
    <w:tblStylePr w:type="firstRow">
      <w:rPr>
        <w:rFonts w:ascii="Tahoma" w:hAnsi="Tahoma"/>
        <w:b w:val="0"/>
        <w:i w:val="0"/>
        <w:color w:val="auto"/>
        <w:sz w:val="18"/>
        <w:szCs w:val="18"/>
      </w:rPr>
      <w:tblPr/>
      <w:trPr>
        <w:tblHeader/>
      </w:trPr>
      <w:tcPr>
        <w:tcBorders>
          <w:top w:val="nil"/>
          <w:left w:val="nil"/>
          <w:bottom w:val="nil"/>
          <w:right w:val="nil"/>
          <w:insideH w:val="nil"/>
          <w:insideV w:val="nil"/>
          <w:tl2br w:val="nil"/>
          <w:tr2bl w:val="nil"/>
        </w:tcBorders>
        <w:shd w:val="clear" w:color="auto" w:fill="auto"/>
      </w:tcPr>
    </w:tblStylePr>
  </w:style>
  <w:style w:type="character" w:customStyle="1" w:styleId="CommentTextChar2">
    <w:name w:val="Comment Text Char2"/>
    <w:aliases w:val="Annotationtext Char,Car17 Char,Car17 Car Char,Char Char,Char Char Char Char,Char Char1 Char,Comment Text Char Char Char,Comment Text Char Char Char Char Char,Comment Text Char Char1 Char,Comment Text Char1 Char1"/>
    <w:uiPriority w:val="99"/>
    <w:rsid w:val="00A555BD"/>
    <w:rPr>
      <w:rFonts w:ascii="Verdana" w:eastAsia="SimSun" w:hAnsi="Verdana" w:cs="Verdan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50177">
      <w:bodyDiv w:val="1"/>
      <w:marLeft w:val="0"/>
      <w:marRight w:val="0"/>
      <w:marTop w:val="0"/>
      <w:marBottom w:val="0"/>
      <w:divBdr>
        <w:top w:val="none" w:sz="0" w:space="0" w:color="auto"/>
        <w:left w:val="none" w:sz="0" w:space="0" w:color="auto"/>
        <w:bottom w:val="none" w:sz="0" w:space="0" w:color="auto"/>
        <w:right w:val="none" w:sz="0" w:space="0" w:color="auto"/>
      </w:divBdr>
    </w:div>
    <w:div w:id="178738825">
      <w:bodyDiv w:val="1"/>
      <w:marLeft w:val="0"/>
      <w:marRight w:val="0"/>
      <w:marTop w:val="0"/>
      <w:marBottom w:val="0"/>
      <w:divBdr>
        <w:top w:val="none" w:sz="0" w:space="0" w:color="auto"/>
        <w:left w:val="none" w:sz="0" w:space="0" w:color="auto"/>
        <w:bottom w:val="none" w:sz="0" w:space="0" w:color="auto"/>
        <w:right w:val="none" w:sz="0" w:space="0" w:color="auto"/>
      </w:divBdr>
    </w:div>
    <w:div w:id="421150804">
      <w:bodyDiv w:val="1"/>
      <w:marLeft w:val="0"/>
      <w:marRight w:val="0"/>
      <w:marTop w:val="0"/>
      <w:marBottom w:val="0"/>
      <w:divBdr>
        <w:top w:val="none" w:sz="0" w:space="0" w:color="auto"/>
        <w:left w:val="none" w:sz="0" w:space="0" w:color="auto"/>
        <w:bottom w:val="none" w:sz="0" w:space="0" w:color="auto"/>
        <w:right w:val="none" w:sz="0" w:space="0" w:color="auto"/>
      </w:divBdr>
    </w:div>
    <w:div w:id="515269694">
      <w:bodyDiv w:val="1"/>
      <w:marLeft w:val="0"/>
      <w:marRight w:val="0"/>
      <w:marTop w:val="0"/>
      <w:marBottom w:val="0"/>
      <w:divBdr>
        <w:top w:val="none" w:sz="0" w:space="0" w:color="auto"/>
        <w:left w:val="none" w:sz="0" w:space="0" w:color="auto"/>
        <w:bottom w:val="none" w:sz="0" w:space="0" w:color="auto"/>
        <w:right w:val="none" w:sz="0" w:space="0" w:color="auto"/>
      </w:divBdr>
    </w:div>
    <w:div w:id="529532628">
      <w:bodyDiv w:val="1"/>
      <w:marLeft w:val="0"/>
      <w:marRight w:val="0"/>
      <w:marTop w:val="0"/>
      <w:marBottom w:val="0"/>
      <w:divBdr>
        <w:top w:val="none" w:sz="0" w:space="0" w:color="auto"/>
        <w:left w:val="none" w:sz="0" w:space="0" w:color="auto"/>
        <w:bottom w:val="none" w:sz="0" w:space="0" w:color="auto"/>
        <w:right w:val="none" w:sz="0" w:space="0" w:color="auto"/>
      </w:divBdr>
    </w:div>
    <w:div w:id="978992578">
      <w:bodyDiv w:val="1"/>
      <w:marLeft w:val="0"/>
      <w:marRight w:val="0"/>
      <w:marTop w:val="0"/>
      <w:marBottom w:val="0"/>
      <w:divBdr>
        <w:top w:val="none" w:sz="0" w:space="0" w:color="auto"/>
        <w:left w:val="none" w:sz="0" w:space="0" w:color="auto"/>
        <w:bottom w:val="none" w:sz="0" w:space="0" w:color="auto"/>
        <w:right w:val="none" w:sz="0" w:space="0" w:color="auto"/>
      </w:divBdr>
    </w:div>
    <w:div w:id="1158423817">
      <w:bodyDiv w:val="1"/>
      <w:marLeft w:val="0"/>
      <w:marRight w:val="0"/>
      <w:marTop w:val="0"/>
      <w:marBottom w:val="0"/>
      <w:divBdr>
        <w:top w:val="none" w:sz="0" w:space="0" w:color="auto"/>
        <w:left w:val="none" w:sz="0" w:space="0" w:color="auto"/>
        <w:bottom w:val="none" w:sz="0" w:space="0" w:color="auto"/>
        <w:right w:val="none" w:sz="0" w:space="0" w:color="auto"/>
      </w:divBdr>
    </w:div>
    <w:div w:id="1382947669">
      <w:bodyDiv w:val="1"/>
      <w:marLeft w:val="0"/>
      <w:marRight w:val="0"/>
      <w:marTop w:val="0"/>
      <w:marBottom w:val="0"/>
      <w:divBdr>
        <w:top w:val="none" w:sz="0" w:space="0" w:color="auto"/>
        <w:left w:val="none" w:sz="0" w:space="0" w:color="auto"/>
        <w:bottom w:val="none" w:sz="0" w:space="0" w:color="auto"/>
        <w:right w:val="none" w:sz="0" w:space="0" w:color="auto"/>
      </w:divBdr>
    </w:div>
    <w:div w:id="1400177960">
      <w:bodyDiv w:val="1"/>
      <w:marLeft w:val="0"/>
      <w:marRight w:val="0"/>
      <w:marTop w:val="0"/>
      <w:marBottom w:val="0"/>
      <w:divBdr>
        <w:top w:val="none" w:sz="0" w:space="0" w:color="auto"/>
        <w:left w:val="none" w:sz="0" w:space="0" w:color="auto"/>
        <w:bottom w:val="none" w:sz="0" w:space="0" w:color="auto"/>
        <w:right w:val="none" w:sz="0" w:space="0" w:color="auto"/>
      </w:divBdr>
    </w:div>
    <w:div w:id="1566138076">
      <w:bodyDiv w:val="1"/>
      <w:marLeft w:val="0"/>
      <w:marRight w:val="0"/>
      <w:marTop w:val="0"/>
      <w:marBottom w:val="0"/>
      <w:divBdr>
        <w:top w:val="none" w:sz="0" w:space="0" w:color="auto"/>
        <w:left w:val="none" w:sz="0" w:space="0" w:color="auto"/>
        <w:bottom w:val="none" w:sz="0" w:space="0" w:color="auto"/>
        <w:right w:val="none" w:sz="0" w:space="0" w:color="auto"/>
      </w:divBdr>
    </w:div>
    <w:div w:id="1574047150">
      <w:bodyDiv w:val="1"/>
      <w:marLeft w:val="0"/>
      <w:marRight w:val="0"/>
      <w:marTop w:val="0"/>
      <w:marBottom w:val="0"/>
      <w:divBdr>
        <w:top w:val="none" w:sz="0" w:space="0" w:color="auto"/>
        <w:left w:val="none" w:sz="0" w:space="0" w:color="auto"/>
        <w:bottom w:val="none" w:sz="0" w:space="0" w:color="auto"/>
        <w:right w:val="none" w:sz="0" w:space="0" w:color="auto"/>
      </w:divBdr>
    </w:div>
    <w:div w:id="1689408280">
      <w:bodyDiv w:val="1"/>
      <w:marLeft w:val="0"/>
      <w:marRight w:val="0"/>
      <w:marTop w:val="0"/>
      <w:marBottom w:val="0"/>
      <w:divBdr>
        <w:top w:val="none" w:sz="0" w:space="0" w:color="auto"/>
        <w:left w:val="none" w:sz="0" w:space="0" w:color="auto"/>
        <w:bottom w:val="none" w:sz="0" w:space="0" w:color="auto"/>
        <w:right w:val="none" w:sz="0" w:space="0" w:color="auto"/>
      </w:divBdr>
    </w:div>
    <w:div w:id="1750998750">
      <w:bodyDiv w:val="1"/>
      <w:marLeft w:val="0"/>
      <w:marRight w:val="0"/>
      <w:marTop w:val="0"/>
      <w:marBottom w:val="0"/>
      <w:divBdr>
        <w:top w:val="none" w:sz="0" w:space="0" w:color="auto"/>
        <w:left w:val="none" w:sz="0" w:space="0" w:color="auto"/>
        <w:bottom w:val="none" w:sz="0" w:space="0" w:color="auto"/>
        <w:right w:val="none" w:sz="0" w:space="0" w:color="auto"/>
      </w:divBdr>
    </w:div>
    <w:div w:id="1861429934">
      <w:bodyDiv w:val="1"/>
      <w:marLeft w:val="0"/>
      <w:marRight w:val="0"/>
      <w:marTop w:val="0"/>
      <w:marBottom w:val="0"/>
      <w:divBdr>
        <w:top w:val="none" w:sz="0" w:space="0" w:color="auto"/>
        <w:left w:val="none" w:sz="0" w:space="0" w:color="auto"/>
        <w:bottom w:val="none" w:sz="0" w:space="0" w:color="auto"/>
        <w:right w:val="none" w:sz="0" w:space="0" w:color="auto"/>
      </w:divBdr>
    </w:div>
    <w:div w:id="1865051855">
      <w:bodyDiv w:val="1"/>
      <w:marLeft w:val="0"/>
      <w:marRight w:val="0"/>
      <w:marTop w:val="0"/>
      <w:marBottom w:val="0"/>
      <w:divBdr>
        <w:top w:val="none" w:sz="0" w:space="0" w:color="auto"/>
        <w:left w:val="none" w:sz="0" w:space="0" w:color="auto"/>
        <w:bottom w:val="none" w:sz="0" w:space="0" w:color="auto"/>
        <w:right w:val="none" w:sz="0" w:space="0" w:color="auto"/>
      </w:divBdr>
    </w:div>
    <w:div w:id="2130782091">
      <w:bodyDiv w:val="1"/>
      <w:marLeft w:val="0"/>
      <w:marRight w:val="0"/>
      <w:marTop w:val="0"/>
      <w:marBottom w:val="0"/>
      <w:divBdr>
        <w:top w:val="none" w:sz="0" w:space="0" w:color="auto"/>
        <w:left w:val="none" w:sz="0" w:space="0" w:color="auto"/>
        <w:bottom w:val="none" w:sz="0" w:space="0" w:color="auto"/>
        <w:right w:val="none" w:sz="0" w:space="0" w:color="auto"/>
      </w:divBdr>
    </w:div>
    <w:div w:id="214638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header" Target="header5.xm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footer" Target="footer5.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microsoft.com/office/2007/relationships/hdphoto" Target="media/hdphoto2.wdp"/><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tga.gov.au/product-information-pi" TargetMode="Externa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hyperlink" Target="https://www.tga.gov.au" TargetMode="External"/><Relationship Id="rId35"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0580\D19-5975235%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4EB0D-00C8-4768-A522-5DE68A9E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D19-5975235  AusPAR - template - streamlined</Template>
  <TotalTime>4</TotalTime>
  <Pages>38</Pages>
  <Words>13290</Words>
  <Characters>75759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Australian public assessment report for Upadacitinib</vt:lpstr>
    </vt:vector>
  </TitlesOfParts>
  <Company>Department of Health Therapeutic Goods Administration</Company>
  <LinksUpToDate>false</LinksUpToDate>
  <CharactersWithSpaces>88872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Upadacitinib</dc:title>
  <dc:subject>prescription medicines</dc:subject>
  <dc:creator>Therapeutic Goods Administration</dc:creator>
  <cp:lastPrinted>2019-08-14T04:30:00Z</cp:lastPrinted>
  <dcterms:created xsi:type="dcterms:W3CDTF">2020-05-12T00:25:00Z</dcterms:created>
  <dcterms:modified xsi:type="dcterms:W3CDTF">2020-05-12T00:29:00Z</dcterms:modified>
</cp:coreProperties>
</file>