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C38BC" w14:textId="77777777" w:rsidR="007B0A8D" w:rsidRPr="002E50C8" w:rsidRDefault="007B0A8D" w:rsidP="007B0A8D">
      <w:pPr>
        <w:tabs>
          <w:tab w:val="left" w:pos="284"/>
        </w:tabs>
        <w:spacing w:after="480"/>
        <w:rPr>
          <w:rFonts w:ascii="Arial" w:hAnsi="Arial" w:cs="Arial"/>
        </w:rPr>
      </w:pPr>
      <w:r w:rsidRPr="002E50C8">
        <w:rPr>
          <w:rFonts w:ascii="Arial" w:hAnsi="Arial" w:cs="Arial"/>
          <w:noProof/>
          <w:lang w:eastAsia="en-AU"/>
        </w:rPr>
        <mc:AlternateContent>
          <mc:Choice Requires="wps">
            <w:drawing>
              <wp:inline distT="0" distB="0" distL="0" distR="0" wp14:anchorId="3D59293E" wp14:editId="20900877">
                <wp:extent cx="226612" cy="252095"/>
                <wp:effectExtent l="0"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2A0CF" w14:textId="77777777" w:rsidR="00D967CE" w:rsidRDefault="00D967CE" w:rsidP="007B0A8D">
                            <w:pPr>
                              <w:spacing w:after="0"/>
                              <w:rPr>
                                <w:rFonts w:ascii="Wingdings 3" w:hAnsi="Wingdings 3"/>
                              </w:rPr>
                            </w:pPr>
                            <w:r>
                              <w:rPr>
                                <w:rFonts w:ascii="Wingdings 3" w:hAnsi="Wingdings 3" w:cs="Arial"/>
                                <w:sz w:val="36"/>
                              </w:rPr>
                              <w:t></w:t>
                            </w:r>
                          </w:p>
                        </w:txbxContent>
                      </wps:txbx>
                      <wps:bodyPr rot="0" vert="horz" wrap="square" lIns="0" tIns="0" rIns="0" bIns="0" anchor="t" anchorCtr="0" upright="1">
                        <a:noAutofit/>
                      </wps:bodyPr>
                    </wps:wsp>
                  </a:graphicData>
                </a:graphic>
              </wp:inline>
            </w:drawing>
          </mc:Choice>
          <mc:Fallback>
            <w:pict>
              <v:shapetype w14:anchorId="3D59293E" id="_x0000_t202" coordsize="21600,21600" o:spt="202" path="m,l,21600r21600,l21600,xe">
                <v:stroke joinstyle="miter"/>
                <v:path gradientshapeok="t" o:connecttype="rect"/>
              </v:shapetype>
              <v:shape id="Text Box 3" o:spid="_x0000_s1026" type="#_x0000_t202" style="width:17.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OSegIAAP4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" stroked="f">
                <v:textbox inset="0,0,0,0">
                  <w:txbxContent>
                    <w:p w14:paraId="30D2A0CF" w14:textId="77777777" w:rsidR="00D967CE" w:rsidRDefault="00D967CE" w:rsidP="007B0A8D">
                      <w:pPr>
                        <w:spacing w:after="0"/>
                        <w:rPr>
                          <w:rFonts w:ascii="Wingdings 3" w:hAnsi="Wingdings 3"/>
                        </w:rPr>
                      </w:pPr>
                      <w:r>
                        <w:rPr>
                          <w:rFonts w:ascii="Wingdings 3" w:hAnsi="Wingdings 3" w:cs="Arial"/>
                          <w:sz w:val="36"/>
                        </w:rPr>
                        <w:t></w:t>
                      </w:r>
                    </w:p>
                  </w:txbxContent>
                </v:textbox>
                <w10:anchorlock/>
              </v:shape>
            </w:pict>
          </mc:Fallback>
        </mc:AlternateContent>
      </w:r>
      <w:r w:rsidRPr="002E50C8">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2E50C8">
          <w:rPr>
            <w:rStyle w:val="Hyperlink"/>
            <w:rFonts w:ascii="Arial" w:hAnsi="Arial" w:cs="Arial"/>
          </w:rPr>
          <w:t>www.tga.gov.au/reporting-problems</w:t>
        </w:r>
      </w:hyperlink>
      <w:r w:rsidRPr="002E50C8">
        <w:rPr>
          <w:rFonts w:ascii="Arial" w:hAnsi="Arial" w:cs="Arial"/>
        </w:rPr>
        <w:t>.</w:t>
      </w:r>
    </w:p>
    <w:p w14:paraId="211927DA" w14:textId="7D2AADC3" w:rsidR="006018AE" w:rsidRPr="00F30805" w:rsidRDefault="006018AE" w:rsidP="00521D01">
      <w:pPr>
        <w:pStyle w:val="Heading1"/>
        <w:numPr>
          <w:ilvl w:val="0"/>
          <w:numId w:val="0"/>
        </w:numPr>
        <w:spacing w:before="240" w:after="240"/>
        <w:jc w:val="center"/>
        <w:rPr>
          <w:rFonts w:ascii="Arial" w:eastAsia="SimSun" w:hAnsi="Arial" w:cs="Arial"/>
          <w:vertAlign w:val="superscript"/>
        </w:rPr>
      </w:pPr>
      <w:r w:rsidRPr="00F30805">
        <w:rPr>
          <w:rFonts w:ascii="Arial" w:eastAsia="SimSun" w:hAnsi="Arial" w:cs="Arial"/>
        </w:rPr>
        <w:t>Australian PI –</w:t>
      </w:r>
      <w:r w:rsidR="00245C39" w:rsidRPr="00F30805">
        <w:rPr>
          <w:rFonts w:ascii="Arial" w:eastAsia="SimSun" w:hAnsi="Arial" w:cs="Arial"/>
        </w:rPr>
        <w:t xml:space="preserve"> </w:t>
      </w:r>
      <w:r w:rsidR="00A700BC" w:rsidRPr="00F30805">
        <w:rPr>
          <w:rFonts w:ascii="Arial" w:eastAsia="SimSun" w:hAnsi="Arial" w:cs="Arial"/>
          <w:szCs w:val="36"/>
        </w:rPr>
        <w:t>RINVOQ</w:t>
      </w:r>
      <w:r w:rsidR="00245C39" w:rsidRPr="00F30805">
        <w:rPr>
          <w:rFonts w:ascii="Arial" w:eastAsia="SimSun" w:hAnsi="Arial" w:cs="Arial"/>
          <w:vertAlign w:val="superscript"/>
        </w:rPr>
        <w:t>®</w:t>
      </w:r>
    </w:p>
    <w:p w14:paraId="5D1AA416" w14:textId="77777777" w:rsidR="007547CC" w:rsidRPr="00F30805" w:rsidRDefault="005D2BEC" w:rsidP="00521D01">
      <w:pPr>
        <w:pStyle w:val="Heading1"/>
        <w:numPr>
          <w:ilvl w:val="0"/>
          <w:numId w:val="0"/>
        </w:numPr>
        <w:spacing w:before="240" w:after="240"/>
        <w:ind w:left="432" w:hanging="432"/>
        <w:jc w:val="center"/>
        <w:rPr>
          <w:rFonts w:ascii="Arial" w:hAnsi="Arial" w:cs="Arial"/>
        </w:rPr>
      </w:pPr>
      <w:r w:rsidRPr="00F30805">
        <w:rPr>
          <w:rFonts w:ascii="Arial" w:hAnsi="Arial" w:cs="Arial"/>
        </w:rPr>
        <w:t>upadacitinib - tablet</w:t>
      </w:r>
    </w:p>
    <w:p w14:paraId="6215B692" w14:textId="77777777" w:rsidR="001A3992" w:rsidRPr="00F30805" w:rsidRDefault="001A3992" w:rsidP="00F177D3">
      <w:pPr>
        <w:pStyle w:val="Heading1"/>
        <w:numPr>
          <w:ilvl w:val="0"/>
          <w:numId w:val="22"/>
        </w:numPr>
        <w:spacing w:before="240" w:after="240"/>
        <w:ind w:left="431" w:hanging="431"/>
        <w:rPr>
          <w:rFonts w:ascii="Arial" w:hAnsi="Arial" w:cs="Arial"/>
        </w:rPr>
      </w:pPr>
      <w:r w:rsidRPr="00F30805">
        <w:rPr>
          <w:rFonts w:ascii="Arial" w:hAnsi="Arial" w:cs="Arial"/>
        </w:rPr>
        <w:t>Name of the medicine</w:t>
      </w:r>
    </w:p>
    <w:p w14:paraId="7609E7A3" w14:textId="77777777" w:rsidR="00E45FF1" w:rsidRPr="00F30805" w:rsidRDefault="00E45FF1" w:rsidP="002E50C8">
      <w:pPr>
        <w:spacing w:before="120"/>
        <w:rPr>
          <w:rFonts w:ascii="Arial" w:hAnsi="Arial" w:cs="Arial"/>
        </w:rPr>
      </w:pPr>
      <w:r w:rsidRPr="00F30805">
        <w:rPr>
          <w:rFonts w:ascii="Arial" w:hAnsi="Arial" w:cs="Arial"/>
        </w:rPr>
        <w:t>Upadacitinib</w:t>
      </w:r>
    </w:p>
    <w:p w14:paraId="750847EE" w14:textId="77777777" w:rsidR="001A3992" w:rsidRPr="00F30805" w:rsidRDefault="001A3992" w:rsidP="00F177D3">
      <w:pPr>
        <w:pStyle w:val="Heading1"/>
        <w:numPr>
          <w:ilvl w:val="0"/>
          <w:numId w:val="22"/>
        </w:numPr>
        <w:spacing w:before="240" w:after="240"/>
        <w:ind w:left="431" w:hanging="431"/>
        <w:rPr>
          <w:rFonts w:ascii="Arial" w:hAnsi="Arial" w:cs="Arial"/>
        </w:rPr>
      </w:pPr>
      <w:r w:rsidRPr="00F30805">
        <w:rPr>
          <w:rFonts w:ascii="Arial" w:hAnsi="Arial" w:cs="Arial"/>
        </w:rPr>
        <w:t>Qualitative and quantitative composition</w:t>
      </w:r>
    </w:p>
    <w:p w14:paraId="59BC6F11" w14:textId="0E5B23EE" w:rsidR="00E45FF1" w:rsidRPr="00F30805" w:rsidRDefault="00A700BC" w:rsidP="00E6568A">
      <w:pPr>
        <w:spacing w:before="120"/>
        <w:rPr>
          <w:rFonts w:ascii="Arial" w:hAnsi="Arial" w:cs="Arial"/>
        </w:rPr>
      </w:pPr>
      <w:r w:rsidRPr="00F30805">
        <w:rPr>
          <w:rFonts w:ascii="Arial" w:hAnsi="Arial" w:cs="Arial"/>
        </w:rPr>
        <w:t>RINVOQ</w:t>
      </w:r>
      <w:r w:rsidR="00E45FF1" w:rsidRPr="00F30805">
        <w:rPr>
          <w:rFonts w:ascii="Arial" w:hAnsi="Arial" w:cs="Arial"/>
        </w:rPr>
        <w:t xml:space="preserve"> contains</w:t>
      </w:r>
      <w:r w:rsidR="007219F8" w:rsidRPr="00F30805">
        <w:rPr>
          <w:rFonts w:ascii="Arial" w:hAnsi="Arial" w:cs="Arial"/>
        </w:rPr>
        <w:t xml:space="preserve"> upadacitinib hemihydrate, equi</w:t>
      </w:r>
      <w:r w:rsidR="00CC3B66" w:rsidRPr="00F30805">
        <w:rPr>
          <w:rFonts w:ascii="Arial" w:hAnsi="Arial" w:cs="Arial"/>
        </w:rPr>
        <w:t>v</w:t>
      </w:r>
      <w:r w:rsidR="007219F8" w:rsidRPr="00F30805">
        <w:rPr>
          <w:rFonts w:ascii="Arial" w:hAnsi="Arial" w:cs="Arial"/>
        </w:rPr>
        <w:t>alent to</w:t>
      </w:r>
      <w:r w:rsidR="00E45FF1" w:rsidRPr="00F30805">
        <w:rPr>
          <w:rFonts w:ascii="Arial" w:hAnsi="Arial" w:cs="Arial"/>
        </w:rPr>
        <w:t xml:space="preserve"> 15 mg of upadacitinib, a</w:t>
      </w:r>
      <w:r w:rsidR="00C23678" w:rsidRPr="00F30805">
        <w:rPr>
          <w:rFonts w:ascii="Arial" w:hAnsi="Arial" w:cs="Arial"/>
        </w:rPr>
        <w:t xml:space="preserve"> Janus Kinase</w:t>
      </w:r>
      <w:r w:rsidR="00E45FF1" w:rsidRPr="00F30805">
        <w:rPr>
          <w:rFonts w:ascii="Arial" w:hAnsi="Arial" w:cs="Arial"/>
        </w:rPr>
        <w:t xml:space="preserve"> </w:t>
      </w:r>
      <w:r w:rsidR="00C23678" w:rsidRPr="00F30805">
        <w:rPr>
          <w:rFonts w:ascii="Arial" w:hAnsi="Arial" w:cs="Arial"/>
        </w:rPr>
        <w:t>(</w:t>
      </w:r>
      <w:r w:rsidR="00E45FF1" w:rsidRPr="00F30805">
        <w:rPr>
          <w:rFonts w:ascii="Arial" w:hAnsi="Arial" w:cs="Arial"/>
        </w:rPr>
        <w:t>JAK</w:t>
      </w:r>
      <w:r w:rsidR="00C23678" w:rsidRPr="00F30805">
        <w:rPr>
          <w:rFonts w:ascii="Arial" w:hAnsi="Arial" w:cs="Arial"/>
        </w:rPr>
        <w:t>)</w:t>
      </w:r>
      <w:r w:rsidR="00E45FF1" w:rsidRPr="00F30805">
        <w:rPr>
          <w:rFonts w:ascii="Arial" w:hAnsi="Arial" w:cs="Arial"/>
        </w:rPr>
        <w:t xml:space="preserve"> inhibitor.  </w:t>
      </w:r>
    </w:p>
    <w:p w14:paraId="2CFDD7E3" w14:textId="77777777" w:rsidR="00E45FF1" w:rsidRPr="00F30805" w:rsidRDefault="00E45FF1" w:rsidP="00E6568A">
      <w:pPr>
        <w:spacing w:before="120"/>
        <w:rPr>
          <w:rFonts w:ascii="Arial" w:hAnsi="Arial" w:cs="Arial"/>
        </w:rPr>
      </w:pPr>
      <w:r w:rsidRPr="00F30805">
        <w:rPr>
          <w:rFonts w:ascii="Arial" w:hAnsi="Arial" w:cs="Arial"/>
        </w:rPr>
        <w:t>The tablets do not contain gluten or lactose.</w:t>
      </w:r>
    </w:p>
    <w:p w14:paraId="214FEAD8" w14:textId="77777777" w:rsidR="00E45FF1" w:rsidRPr="00F30805" w:rsidRDefault="00E45FF1" w:rsidP="00E6568A">
      <w:pPr>
        <w:spacing w:before="120"/>
        <w:rPr>
          <w:rFonts w:ascii="Arial" w:hAnsi="Arial" w:cs="Arial"/>
        </w:rPr>
      </w:pPr>
      <w:r w:rsidRPr="00F30805">
        <w:rPr>
          <w:rFonts w:ascii="Arial" w:hAnsi="Arial" w:cs="Arial"/>
        </w:rPr>
        <w:t xml:space="preserve">For the full list of excipients, see Section </w:t>
      </w:r>
      <w:r w:rsidRPr="00F30805">
        <w:rPr>
          <w:rFonts w:ascii="Arial" w:hAnsi="Arial" w:cs="Arial"/>
          <w:b/>
        </w:rPr>
        <w:t>6.1 LIST OF EXCIPIENTS</w:t>
      </w:r>
      <w:r w:rsidRPr="00F30805">
        <w:rPr>
          <w:rFonts w:ascii="Arial" w:hAnsi="Arial" w:cs="Arial"/>
        </w:rPr>
        <w:t>.</w:t>
      </w:r>
    </w:p>
    <w:p w14:paraId="11F12FF9" w14:textId="77777777" w:rsidR="001A3992" w:rsidRPr="00F30805" w:rsidRDefault="001A3992" w:rsidP="00F177D3">
      <w:pPr>
        <w:pStyle w:val="Heading1"/>
        <w:numPr>
          <w:ilvl w:val="0"/>
          <w:numId w:val="22"/>
        </w:numPr>
        <w:spacing w:before="240" w:after="240"/>
        <w:ind w:left="431" w:hanging="431"/>
        <w:rPr>
          <w:rFonts w:ascii="Arial" w:hAnsi="Arial" w:cs="Arial"/>
        </w:rPr>
      </w:pPr>
      <w:r w:rsidRPr="00F30805">
        <w:rPr>
          <w:rFonts w:ascii="Arial" w:hAnsi="Arial" w:cs="Arial"/>
        </w:rPr>
        <w:t>Pharmaceutical form</w:t>
      </w:r>
    </w:p>
    <w:p w14:paraId="6CCA0C37" w14:textId="777FAD18" w:rsidR="00245C39" w:rsidRPr="00F30805" w:rsidRDefault="00A700BC" w:rsidP="00E6568A">
      <w:pPr>
        <w:spacing w:before="120"/>
        <w:rPr>
          <w:rFonts w:ascii="Arial" w:hAnsi="Arial" w:cs="Arial"/>
        </w:rPr>
      </w:pPr>
      <w:r w:rsidRPr="00F30805">
        <w:rPr>
          <w:rFonts w:ascii="Arial" w:hAnsi="Arial" w:cs="Arial"/>
        </w:rPr>
        <w:t>RINVOQ</w:t>
      </w:r>
      <w:r w:rsidR="00E45FF1" w:rsidRPr="00F30805">
        <w:rPr>
          <w:rFonts w:ascii="Arial" w:hAnsi="Arial" w:cs="Arial"/>
        </w:rPr>
        <w:t xml:space="preserve"> 15 mg </w:t>
      </w:r>
      <w:r w:rsidR="00E86184" w:rsidRPr="00F30805">
        <w:rPr>
          <w:rFonts w:ascii="Arial" w:hAnsi="Arial" w:cs="Arial"/>
        </w:rPr>
        <w:t xml:space="preserve">modified </w:t>
      </w:r>
      <w:r w:rsidR="00E45FF1" w:rsidRPr="00F30805">
        <w:rPr>
          <w:rFonts w:ascii="Arial" w:hAnsi="Arial" w:cs="Arial"/>
        </w:rPr>
        <w:t>release tablets are purple, biconvex oblong, with dimensions of 14 x 8 mm, and debossed with ‘a15’ on one side.</w:t>
      </w:r>
    </w:p>
    <w:p w14:paraId="1E4392FE" w14:textId="77777777" w:rsidR="001A3992" w:rsidRPr="00F30805" w:rsidRDefault="001A3992" w:rsidP="00F177D3">
      <w:pPr>
        <w:pStyle w:val="Heading1"/>
        <w:numPr>
          <w:ilvl w:val="0"/>
          <w:numId w:val="22"/>
        </w:numPr>
        <w:spacing w:before="240" w:after="240"/>
        <w:ind w:left="431" w:hanging="431"/>
        <w:rPr>
          <w:rFonts w:ascii="Arial" w:hAnsi="Arial" w:cs="Arial"/>
        </w:rPr>
      </w:pPr>
      <w:r w:rsidRPr="00F30805">
        <w:rPr>
          <w:rFonts w:ascii="Arial" w:hAnsi="Arial" w:cs="Arial"/>
        </w:rPr>
        <w:t>Clinical particulars</w:t>
      </w:r>
    </w:p>
    <w:p w14:paraId="216ADB3D" w14:textId="77777777" w:rsidR="008F4C4A" w:rsidRPr="00F30805" w:rsidRDefault="001A3992" w:rsidP="001A3992">
      <w:pPr>
        <w:pStyle w:val="Heading2"/>
        <w:spacing w:before="0" w:after="120"/>
        <w:rPr>
          <w:rFonts w:ascii="Arial" w:hAnsi="Arial" w:cs="Arial"/>
        </w:rPr>
      </w:pPr>
      <w:r w:rsidRPr="00F30805">
        <w:rPr>
          <w:rFonts w:ascii="Arial" w:hAnsi="Arial" w:cs="Arial"/>
        </w:rPr>
        <w:t>Therapeutic indications</w:t>
      </w:r>
    </w:p>
    <w:p w14:paraId="232C38D3" w14:textId="4271048E" w:rsidR="00A700BC" w:rsidRPr="00F30805" w:rsidRDefault="00A700BC" w:rsidP="00A700BC">
      <w:pPr>
        <w:spacing w:before="120"/>
        <w:rPr>
          <w:rFonts w:ascii="Arial" w:hAnsi="Arial" w:cs="Arial"/>
        </w:rPr>
      </w:pPr>
      <w:r w:rsidRPr="00F30805">
        <w:rPr>
          <w:rFonts w:ascii="Arial" w:hAnsi="Arial" w:cs="Arial"/>
        </w:rPr>
        <w:t>RINVOQ</w:t>
      </w:r>
      <w:r w:rsidR="00E45FF1" w:rsidRPr="00F30805">
        <w:rPr>
          <w:rFonts w:ascii="Arial" w:hAnsi="Arial" w:cs="Arial"/>
        </w:rPr>
        <w:t xml:space="preserve"> is indicated for the treatment of moderate to severe active rheumatoid arthritis</w:t>
      </w:r>
      <w:r w:rsidR="003517E4" w:rsidRPr="00F30805">
        <w:rPr>
          <w:rFonts w:ascii="Arial" w:hAnsi="Arial" w:cs="Arial"/>
        </w:rPr>
        <w:t xml:space="preserve"> </w:t>
      </w:r>
      <w:r w:rsidR="000546C5" w:rsidRPr="00F30805">
        <w:rPr>
          <w:rFonts w:ascii="Arial" w:hAnsi="Arial" w:cs="Arial"/>
        </w:rPr>
        <w:t xml:space="preserve">in </w:t>
      </w:r>
      <w:r w:rsidR="003517E4" w:rsidRPr="00F30805">
        <w:rPr>
          <w:rFonts w:ascii="Arial" w:hAnsi="Arial" w:cs="Arial"/>
        </w:rPr>
        <w:t xml:space="preserve">adult </w:t>
      </w:r>
      <w:r w:rsidR="000546C5" w:rsidRPr="00F30805">
        <w:rPr>
          <w:rFonts w:ascii="Arial" w:hAnsi="Arial" w:cs="Arial"/>
        </w:rPr>
        <w:t>patients who have responded inadequately to, or who are intolerant to</w:t>
      </w:r>
      <w:r w:rsidR="00EE6DDD" w:rsidRPr="00F30805">
        <w:rPr>
          <w:rFonts w:ascii="Arial" w:hAnsi="Arial" w:cs="Arial"/>
        </w:rPr>
        <w:t>,</w:t>
      </w:r>
      <w:r w:rsidR="000546C5" w:rsidRPr="00F30805">
        <w:rPr>
          <w:rFonts w:ascii="Arial" w:hAnsi="Arial" w:cs="Arial"/>
        </w:rPr>
        <w:t xml:space="preserve"> one or more disease</w:t>
      </w:r>
      <w:r w:rsidR="00EE6DDD" w:rsidRPr="00F30805">
        <w:rPr>
          <w:rFonts w:ascii="Arial" w:hAnsi="Arial" w:cs="Arial"/>
        </w:rPr>
        <w:t>-</w:t>
      </w:r>
      <w:r w:rsidR="000546C5" w:rsidRPr="00F30805">
        <w:rPr>
          <w:rFonts w:ascii="Arial" w:hAnsi="Arial" w:cs="Arial"/>
        </w:rPr>
        <w:t>modifying anti-rheumatic drugs (DMARDs).</w:t>
      </w:r>
      <w:r w:rsidRPr="00F30805">
        <w:rPr>
          <w:rFonts w:ascii="Arial" w:hAnsi="Arial" w:cs="Arial"/>
        </w:rPr>
        <w:t xml:space="preserve"> </w:t>
      </w:r>
    </w:p>
    <w:p w14:paraId="38594CF2" w14:textId="3B7206D8" w:rsidR="001A3992" w:rsidRPr="00F30805" w:rsidRDefault="00A700BC" w:rsidP="00A961FC">
      <w:pPr>
        <w:spacing w:before="120"/>
        <w:rPr>
          <w:rFonts w:ascii="Arial" w:hAnsi="Arial" w:cs="Arial"/>
        </w:rPr>
      </w:pPr>
      <w:r w:rsidRPr="00F30805">
        <w:rPr>
          <w:rFonts w:ascii="Arial" w:hAnsi="Arial" w:cs="Arial"/>
        </w:rPr>
        <w:t>RINVOQ</w:t>
      </w:r>
      <w:r w:rsidR="00E45FF1" w:rsidRPr="00F30805">
        <w:rPr>
          <w:rFonts w:ascii="Arial" w:hAnsi="Arial" w:cs="Arial"/>
        </w:rPr>
        <w:t xml:space="preserve"> may be used as monotherapy or in combination with methotrexate or other conventional synthetic disease-modifying anti-rheumatic drugs (</w:t>
      </w:r>
      <w:proofErr w:type="spellStart"/>
      <w:r w:rsidR="001D12BB" w:rsidRPr="00F30805">
        <w:rPr>
          <w:rFonts w:ascii="Arial" w:hAnsi="Arial" w:cs="Arial"/>
        </w:rPr>
        <w:t>cs</w:t>
      </w:r>
      <w:r w:rsidR="00E45FF1" w:rsidRPr="00F30805">
        <w:rPr>
          <w:rFonts w:ascii="Arial" w:hAnsi="Arial" w:cs="Arial"/>
        </w:rPr>
        <w:t>DMARDs</w:t>
      </w:r>
      <w:proofErr w:type="spellEnd"/>
      <w:r w:rsidR="00E45FF1" w:rsidRPr="00F30805">
        <w:rPr>
          <w:rFonts w:ascii="Arial" w:hAnsi="Arial" w:cs="Arial"/>
        </w:rPr>
        <w:t>).</w:t>
      </w:r>
    </w:p>
    <w:p w14:paraId="54E9A4D9" w14:textId="77777777" w:rsidR="008F4C4A" w:rsidRPr="00F30805" w:rsidRDefault="001A3992" w:rsidP="001A3992">
      <w:pPr>
        <w:pStyle w:val="Heading2"/>
        <w:spacing w:before="0" w:after="120"/>
        <w:rPr>
          <w:rFonts w:ascii="Arial" w:hAnsi="Arial" w:cs="Arial"/>
        </w:rPr>
      </w:pPr>
      <w:r w:rsidRPr="00F30805">
        <w:rPr>
          <w:rFonts w:ascii="Arial" w:hAnsi="Arial" w:cs="Arial"/>
        </w:rPr>
        <w:t>Dose and method of administration</w:t>
      </w:r>
    </w:p>
    <w:p w14:paraId="26D00126" w14:textId="77777777" w:rsidR="00A35391" w:rsidRPr="00F30805" w:rsidRDefault="00A35391" w:rsidP="00A35391">
      <w:pPr>
        <w:spacing w:before="120"/>
        <w:rPr>
          <w:rFonts w:ascii="Arial" w:hAnsi="Arial" w:cs="Arial"/>
        </w:rPr>
      </w:pPr>
      <w:r w:rsidRPr="00F30805">
        <w:rPr>
          <w:rFonts w:ascii="Arial" w:hAnsi="Arial" w:cs="Arial"/>
        </w:rPr>
        <w:t xml:space="preserve">Therapy with RINVOQ should be initiated and monitored by a rheumatologist or specialist physician with expertise in the management of rheumatoid arthritis. </w:t>
      </w:r>
    </w:p>
    <w:p w14:paraId="2265F6DF" w14:textId="1A27AE02" w:rsidR="00E45FF1" w:rsidRPr="00F30805" w:rsidRDefault="00E45FF1" w:rsidP="00A961FC">
      <w:pPr>
        <w:spacing w:before="120"/>
        <w:rPr>
          <w:rFonts w:ascii="Arial" w:hAnsi="Arial" w:cs="Arial"/>
        </w:rPr>
      </w:pPr>
      <w:r w:rsidRPr="00F30805">
        <w:rPr>
          <w:rFonts w:ascii="Arial" w:hAnsi="Arial" w:cs="Arial"/>
        </w:rPr>
        <w:t xml:space="preserve">The recommended oral dose of </w:t>
      </w:r>
      <w:r w:rsidR="00A700BC" w:rsidRPr="00F30805">
        <w:rPr>
          <w:rFonts w:ascii="Arial" w:hAnsi="Arial" w:cs="Arial"/>
        </w:rPr>
        <w:t>RINVOQ</w:t>
      </w:r>
      <w:r w:rsidRPr="00F30805">
        <w:rPr>
          <w:rFonts w:ascii="Arial" w:hAnsi="Arial" w:cs="Arial"/>
        </w:rPr>
        <w:t xml:space="preserve"> is 15 mg once daily with or without food.</w:t>
      </w:r>
    </w:p>
    <w:p w14:paraId="47E90875" w14:textId="6E4F971A" w:rsidR="00330285" w:rsidRPr="00F30805" w:rsidRDefault="00330285" w:rsidP="00330285">
      <w:pPr>
        <w:spacing w:before="120"/>
        <w:rPr>
          <w:rFonts w:ascii="Arial" w:hAnsi="Arial" w:cs="Arial"/>
        </w:rPr>
      </w:pPr>
      <w:r w:rsidRPr="00F30805">
        <w:rPr>
          <w:rFonts w:ascii="Arial" w:hAnsi="Arial" w:cs="Arial"/>
        </w:rPr>
        <w:lastRenderedPageBreak/>
        <w:t>RINVOQ</w:t>
      </w:r>
      <w:r w:rsidR="005959F1" w:rsidRPr="00F30805">
        <w:rPr>
          <w:rFonts w:ascii="Arial" w:hAnsi="Arial" w:cs="Arial"/>
        </w:rPr>
        <w:t xml:space="preserve"> should</w:t>
      </w:r>
      <w:r w:rsidRPr="00F30805">
        <w:rPr>
          <w:rFonts w:ascii="Arial" w:hAnsi="Arial" w:cs="Arial"/>
        </w:rPr>
        <w:t xml:space="preserve"> not be initiated in patients with an absolute lymphocyte count (ALC) less than 500 cells/mm</w:t>
      </w:r>
      <w:r w:rsidRPr="00F30805">
        <w:rPr>
          <w:rFonts w:ascii="Arial" w:hAnsi="Arial" w:cs="Arial"/>
          <w:vertAlign w:val="superscript"/>
        </w:rPr>
        <w:t>3</w:t>
      </w:r>
      <w:r w:rsidRPr="00F30805">
        <w:rPr>
          <w:rFonts w:ascii="Arial" w:hAnsi="Arial" w:cs="Arial"/>
        </w:rPr>
        <w:t>, an absolute neutrophil count (ANC) less than 1000 cells/mm</w:t>
      </w:r>
      <w:r w:rsidRPr="00F30805">
        <w:rPr>
          <w:rFonts w:ascii="Arial" w:hAnsi="Arial" w:cs="Arial"/>
          <w:vertAlign w:val="superscript"/>
        </w:rPr>
        <w:t>3</w:t>
      </w:r>
      <w:r w:rsidRPr="00F30805">
        <w:rPr>
          <w:rFonts w:ascii="Arial" w:hAnsi="Arial" w:cs="Arial"/>
        </w:rPr>
        <w:t xml:space="preserve"> or who have haemoglobin levels less than 8 g/dL (see </w:t>
      </w:r>
      <w:r w:rsidRPr="00F30805">
        <w:rPr>
          <w:rFonts w:ascii="Arial" w:hAnsi="Arial" w:cs="Arial"/>
          <w:b/>
        </w:rPr>
        <w:t>4.4 SPECIAL WARNINGS AND PRECAUTIONS FOR USE and 4.8 ADVERSE EFFECTS</w:t>
      </w:r>
      <w:r w:rsidRPr="00F30805">
        <w:rPr>
          <w:rFonts w:ascii="Arial" w:hAnsi="Arial" w:cs="Arial"/>
        </w:rPr>
        <w:t xml:space="preserve">). </w:t>
      </w:r>
    </w:p>
    <w:p w14:paraId="3CBC7AEA" w14:textId="4378644A" w:rsidR="008F4C4A" w:rsidRPr="00F30805" w:rsidRDefault="00A700BC" w:rsidP="00A961FC">
      <w:pPr>
        <w:spacing w:before="120"/>
        <w:rPr>
          <w:rFonts w:ascii="Arial" w:hAnsi="Arial" w:cs="Arial"/>
        </w:rPr>
      </w:pPr>
      <w:r w:rsidRPr="00F30805">
        <w:rPr>
          <w:rFonts w:ascii="Arial" w:hAnsi="Arial" w:cs="Arial"/>
        </w:rPr>
        <w:t>RINVOQ</w:t>
      </w:r>
      <w:r w:rsidR="00E45FF1" w:rsidRPr="00F30805">
        <w:rPr>
          <w:rFonts w:ascii="Arial" w:hAnsi="Arial" w:cs="Arial"/>
        </w:rPr>
        <w:t xml:space="preserve"> may be used as monotherapy or in combination with methotrexate or other </w:t>
      </w:r>
      <w:proofErr w:type="spellStart"/>
      <w:r w:rsidR="001D12BB" w:rsidRPr="00F30805">
        <w:rPr>
          <w:rFonts w:ascii="Arial" w:hAnsi="Arial" w:cs="Arial"/>
        </w:rPr>
        <w:t>csDMARDs</w:t>
      </w:r>
      <w:proofErr w:type="spellEnd"/>
      <w:r w:rsidR="00E45FF1" w:rsidRPr="00F30805">
        <w:rPr>
          <w:rFonts w:ascii="Arial" w:hAnsi="Arial" w:cs="Arial"/>
        </w:rPr>
        <w:t>.</w:t>
      </w:r>
    </w:p>
    <w:p w14:paraId="5C4AB792" w14:textId="4616AB7D" w:rsidR="00392A54" w:rsidRPr="00F30805" w:rsidRDefault="00392A54" w:rsidP="00A961FC">
      <w:pPr>
        <w:spacing w:before="120"/>
        <w:rPr>
          <w:rFonts w:ascii="Arial" w:hAnsi="Arial" w:cs="Arial"/>
        </w:rPr>
      </w:pPr>
      <w:r w:rsidRPr="00F30805">
        <w:rPr>
          <w:rFonts w:ascii="Arial" w:hAnsi="Arial" w:cs="Arial"/>
        </w:rPr>
        <w:t>Combination with other JAK inhibitors or potent immunosuppressants has not been studied and is not recommended</w:t>
      </w:r>
      <w:r w:rsidR="005B0922" w:rsidRPr="00F30805">
        <w:rPr>
          <w:rFonts w:ascii="Arial" w:hAnsi="Arial" w:cs="Arial"/>
        </w:rPr>
        <w:t>.</w:t>
      </w:r>
    </w:p>
    <w:p w14:paraId="25C43BCD" w14:textId="5003FE8D" w:rsidR="001A3992" w:rsidRPr="00F30805" w:rsidRDefault="00A700BC" w:rsidP="00A961FC">
      <w:pPr>
        <w:spacing w:before="120"/>
        <w:rPr>
          <w:rFonts w:ascii="Arial" w:hAnsi="Arial" w:cs="Arial"/>
        </w:rPr>
      </w:pPr>
      <w:r w:rsidRPr="00F30805">
        <w:rPr>
          <w:rFonts w:ascii="Arial" w:hAnsi="Arial" w:cs="Arial"/>
        </w:rPr>
        <w:t>RINVOQ</w:t>
      </w:r>
      <w:r w:rsidR="00E45FF1" w:rsidRPr="00F30805">
        <w:rPr>
          <w:rFonts w:ascii="Arial" w:hAnsi="Arial" w:cs="Arial"/>
        </w:rPr>
        <w:t xml:space="preserve"> tablets should be swallowed whole. </w:t>
      </w:r>
      <w:r w:rsidRPr="00F30805">
        <w:rPr>
          <w:rFonts w:ascii="Arial" w:hAnsi="Arial" w:cs="Arial"/>
        </w:rPr>
        <w:t>RINVOQ</w:t>
      </w:r>
      <w:r w:rsidR="00E45FF1" w:rsidRPr="00F30805">
        <w:rPr>
          <w:rFonts w:ascii="Arial" w:hAnsi="Arial" w:cs="Arial"/>
        </w:rPr>
        <w:t xml:space="preserve"> should not be split, crushed, or chewed.   </w:t>
      </w:r>
    </w:p>
    <w:p w14:paraId="073A9114" w14:textId="77777777" w:rsidR="00E45FF1" w:rsidRPr="00F30805" w:rsidRDefault="00E45FF1" w:rsidP="00734BF8">
      <w:pPr>
        <w:pStyle w:val="Heading3"/>
      </w:pPr>
      <w:r w:rsidRPr="00F30805">
        <w:t>Dose Interruption</w:t>
      </w:r>
    </w:p>
    <w:p w14:paraId="47F9F493" w14:textId="2E84E7B3" w:rsidR="00FC413B" w:rsidRPr="00F30805" w:rsidRDefault="00A700BC" w:rsidP="00A961FC">
      <w:pPr>
        <w:spacing w:before="120"/>
        <w:rPr>
          <w:rFonts w:ascii="Arial" w:hAnsi="Arial" w:cs="Arial"/>
        </w:rPr>
      </w:pPr>
      <w:r w:rsidRPr="00F30805">
        <w:rPr>
          <w:rFonts w:ascii="Arial" w:hAnsi="Arial" w:cs="Arial"/>
        </w:rPr>
        <w:t>RINVOQ</w:t>
      </w:r>
      <w:r w:rsidR="00E45FF1" w:rsidRPr="00F30805">
        <w:rPr>
          <w:rFonts w:ascii="Arial" w:hAnsi="Arial" w:cs="Arial"/>
        </w:rPr>
        <w:t xml:space="preserve"> treatment should be interrupted if a patient develops a serious infection until the infection is controlled (see </w:t>
      </w:r>
      <w:r w:rsidR="00E45FF1" w:rsidRPr="00F30805">
        <w:rPr>
          <w:rFonts w:ascii="Arial" w:hAnsi="Arial" w:cs="Arial"/>
          <w:b/>
        </w:rPr>
        <w:t>4.4 SPECIAL WARNINGS AND PRECAUTIONS FOR USE</w:t>
      </w:r>
      <w:r w:rsidR="00E45FF1" w:rsidRPr="00F30805">
        <w:rPr>
          <w:rFonts w:ascii="Arial" w:hAnsi="Arial" w:cs="Arial"/>
        </w:rPr>
        <w:t>).</w:t>
      </w:r>
      <w:r w:rsidR="00A35391" w:rsidRPr="00F30805">
        <w:rPr>
          <w:rFonts w:ascii="Arial" w:hAnsi="Arial" w:cs="Arial"/>
        </w:rPr>
        <w:t xml:space="preserve"> </w:t>
      </w:r>
    </w:p>
    <w:p w14:paraId="5DE746F8" w14:textId="69D26858" w:rsidR="00E45FF1" w:rsidRPr="00F30805" w:rsidRDefault="00A35391" w:rsidP="00A961FC">
      <w:pPr>
        <w:spacing w:before="120"/>
        <w:rPr>
          <w:rFonts w:ascii="Arial" w:hAnsi="Arial" w:cs="Arial"/>
        </w:rPr>
      </w:pPr>
      <w:r w:rsidRPr="00F30805">
        <w:rPr>
          <w:rFonts w:ascii="Arial" w:hAnsi="Arial" w:cs="Arial"/>
        </w:rPr>
        <w:t>Interruption of dosing may be needed for management of laboratory abnormalities as described in Table 1.</w:t>
      </w:r>
    </w:p>
    <w:p w14:paraId="0C9A8185" w14:textId="77777777" w:rsidR="00E45FF1" w:rsidRPr="00F30805" w:rsidRDefault="00E45FF1" w:rsidP="00F71672">
      <w:pPr>
        <w:pStyle w:val="Heading3"/>
      </w:pPr>
      <w:r w:rsidRPr="00F30805">
        <w:t>Table 1. Recommended Dose Interruptions for Laboratory Abnormalities</w:t>
      </w:r>
    </w:p>
    <w:tbl>
      <w:tblPr>
        <w:tblStyle w:val="TableGrid"/>
        <w:tblW w:w="0" w:type="auto"/>
        <w:tblLayout w:type="fixed"/>
        <w:tblLook w:val="04A0" w:firstRow="1" w:lastRow="0" w:firstColumn="1" w:lastColumn="0" w:noHBand="0" w:noVBand="1"/>
      </w:tblPr>
      <w:tblGrid>
        <w:gridCol w:w="3978"/>
        <w:gridCol w:w="5202"/>
      </w:tblGrid>
      <w:tr w:rsidR="00E45FF1" w:rsidRPr="00F30805" w14:paraId="08325772" w14:textId="77777777" w:rsidTr="00E6568A">
        <w:tc>
          <w:tcPr>
            <w:tcW w:w="3978" w:type="dxa"/>
          </w:tcPr>
          <w:p w14:paraId="1E679499" w14:textId="77777777" w:rsidR="00E45FF1" w:rsidRPr="00F30805" w:rsidRDefault="00E45FF1" w:rsidP="00A9173E">
            <w:pPr>
              <w:spacing w:before="120" w:after="120"/>
              <w:rPr>
                <w:rFonts w:ascii="Arial" w:hAnsi="Arial" w:cs="Arial"/>
                <w:b/>
              </w:rPr>
            </w:pPr>
            <w:r w:rsidRPr="00F30805">
              <w:rPr>
                <w:rFonts w:ascii="Arial" w:hAnsi="Arial" w:cs="Arial"/>
                <w:b/>
              </w:rPr>
              <w:t>Laboratory measure</w:t>
            </w:r>
          </w:p>
        </w:tc>
        <w:tc>
          <w:tcPr>
            <w:tcW w:w="5202" w:type="dxa"/>
          </w:tcPr>
          <w:p w14:paraId="06BC7DCA" w14:textId="77777777" w:rsidR="00E45FF1" w:rsidRPr="00F30805" w:rsidRDefault="00E45FF1" w:rsidP="00A9173E">
            <w:pPr>
              <w:spacing w:before="120" w:after="120"/>
              <w:rPr>
                <w:rFonts w:ascii="Arial" w:hAnsi="Arial" w:cs="Arial"/>
                <w:b/>
              </w:rPr>
            </w:pPr>
            <w:r w:rsidRPr="00F30805">
              <w:rPr>
                <w:rFonts w:ascii="Arial" w:hAnsi="Arial" w:cs="Arial"/>
                <w:b/>
              </w:rPr>
              <w:t>Action</w:t>
            </w:r>
          </w:p>
        </w:tc>
      </w:tr>
      <w:tr w:rsidR="00E45FF1" w:rsidRPr="00F30805" w14:paraId="098178B7" w14:textId="77777777" w:rsidTr="00E6568A">
        <w:tc>
          <w:tcPr>
            <w:tcW w:w="3978" w:type="dxa"/>
          </w:tcPr>
          <w:p w14:paraId="0E517893" w14:textId="77777777" w:rsidR="00E45FF1" w:rsidRPr="00F30805" w:rsidRDefault="00E45FF1" w:rsidP="00A9173E">
            <w:pPr>
              <w:spacing w:before="120" w:after="120"/>
              <w:rPr>
                <w:rFonts w:ascii="Arial" w:hAnsi="Arial" w:cs="Arial"/>
              </w:rPr>
            </w:pPr>
            <w:r w:rsidRPr="00F30805">
              <w:rPr>
                <w:rFonts w:ascii="Arial" w:hAnsi="Arial" w:cs="Arial"/>
              </w:rPr>
              <w:t>Absolute Neutrophil Count (ANC)</w:t>
            </w:r>
          </w:p>
        </w:tc>
        <w:tc>
          <w:tcPr>
            <w:tcW w:w="5202" w:type="dxa"/>
          </w:tcPr>
          <w:p w14:paraId="668B4FCE" w14:textId="77777777" w:rsidR="00E45FF1" w:rsidRPr="00F30805" w:rsidRDefault="00E45FF1" w:rsidP="00A9173E">
            <w:pPr>
              <w:spacing w:before="120" w:after="120"/>
              <w:rPr>
                <w:rFonts w:ascii="Arial" w:hAnsi="Arial" w:cs="Arial"/>
              </w:rPr>
            </w:pPr>
            <w:r w:rsidRPr="00F30805">
              <w:rPr>
                <w:rFonts w:ascii="Arial" w:hAnsi="Arial" w:cs="Arial"/>
              </w:rPr>
              <w:t>Treatment should be interrupted if ANC is &lt;1000 cells/mm</w:t>
            </w:r>
            <w:r w:rsidRPr="00F30805">
              <w:rPr>
                <w:rFonts w:ascii="Arial" w:hAnsi="Arial" w:cs="Arial"/>
                <w:vertAlign w:val="superscript"/>
              </w:rPr>
              <w:t>3</w:t>
            </w:r>
            <w:r w:rsidRPr="00F30805">
              <w:rPr>
                <w:rFonts w:ascii="Arial" w:hAnsi="Arial" w:cs="Arial"/>
              </w:rPr>
              <w:t xml:space="preserve"> and may be restarted once ANC return above this value</w:t>
            </w:r>
          </w:p>
        </w:tc>
      </w:tr>
      <w:tr w:rsidR="00E45FF1" w:rsidRPr="00F30805" w14:paraId="3B490143" w14:textId="77777777" w:rsidTr="00E6568A">
        <w:tc>
          <w:tcPr>
            <w:tcW w:w="3978" w:type="dxa"/>
          </w:tcPr>
          <w:p w14:paraId="4700C704" w14:textId="77777777" w:rsidR="00E45FF1" w:rsidRPr="00F30805" w:rsidRDefault="00E45FF1" w:rsidP="00A9173E">
            <w:pPr>
              <w:spacing w:before="120" w:after="120"/>
              <w:rPr>
                <w:rFonts w:ascii="Arial" w:hAnsi="Arial" w:cs="Arial"/>
              </w:rPr>
            </w:pPr>
            <w:r w:rsidRPr="00F30805">
              <w:rPr>
                <w:rFonts w:ascii="Arial" w:hAnsi="Arial" w:cs="Arial"/>
              </w:rPr>
              <w:t>Absolute Lymphocyte Count (ALC)</w:t>
            </w:r>
          </w:p>
        </w:tc>
        <w:tc>
          <w:tcPr>
            <w:tcW w:w="5202" w:type="dxa"/>
          </w:tcPr>
          <w:p w14:paraId="03DFC9AF" w14:textId="77777777" w:rsidR="00E45FF1" w:rsidRPr="00F30805" w:rsidRDefault="00E45FF1" w:rsidP="00A9173E">
            <w:pPr>
              <w:spacing w:before="120" w:after="120"/>
              <w:rPr>
                <w:rFonts w:ascii="Arial" w:hAnsi="Arial" w:cs="Arial"/>
              </w:rPr>
            </w:pPr>
            <w:r w:rsidRPr="00F30805">
              <w:rPr>
                <w:rFonts w:ascii="Arial" w:hAnsi="Arial" w:cs="Arial"/>
              </w:rPr>
              <w:t>Treatment should be interrupted if ALC is &lt;500 cells/mm</w:t>
            </w:r>
            <w:r w:rsidRPr="00F30805">
              <w:rPr>
                <w:rFonts w:ascii="Arial" w:hAnsi="Arial" w:cs="Arial"/>
                <w:vertAlign w:val="superscript"/>
              </w:rPr>
              <w:t>3</w:t>
            </w:r>
            <w:r w:rsidRPr="00F30805">
              <w:rPr>
                <w:rFonts w:ascii="Arial" w:hAnsi="Arial" w:cs="Arial"/>
              </w:rPr>
              <w:t xml:space="preserve"> and may be restarted once ALC return above this value</w:t>
            </w:r>
          </w:p>
        </w:tc>
      </w:tr>
      <w:tr w:rsidR="00E45FF1" w:rsidRPr="00F30805" w14:paraId="35EEB704" w14:textId="77777777" w:rsidTr="00E6568A">
        <w:tc>
          <w:tcPr>
            <w:tcW w:w="3978" w:type="dxa"/>
          </w:tcPr>
          <w:p w14:paraId="7AC23423" w14:textId="77777777" w:rsidR="00E45FF1" w:rsidRPr="00F30805" w:rsidRDefault="00E45FF1" w:rsidP="00A9173E">
            <w:pPr>
              <w:spacing w:before="120" w:after="120"/>
              <w:rPr>
                <w:rFonts w:ascii="Arial" w:hAnsi="Arial" w:cs="Arial"/>
              </w:rPr>
            </w:pPr>
            <w:r w:rsidRPr="00F30805">
              <w:rPr>
                <w:rFonts w:ascii="Arial" w:hAnsi="Arial" w:cs="Arial"/>
              </w:rPr>
              <w:t>Haemoglobin (Hb)</w:t>
            </w:r>
          </w:p>
        </w:tc>
        <w:tc>
          <w:tcPr>
            <w:tcW w:w="5202" w:type="dxa"/>
          </w:tcPr>
          <w:p w14:paraId="075729E4" w14:textId="77777777" w:rsidR="00E45FF1" w:rsidRPr="00F30805" w:rsidRDefault="00E45FF1" w:rsidP="00A9173E">
            <w:pPr>
              <w:tabs>
                <w:tab w:val="left" w:pos="1421"/>
              </w:tabs>
              <w:spacing w:before="120" w:after="120"/>
              <w:rPr>
                <w:rFonts w:ascii="Arial" w:hAnsi="Arial" w:cs="Arial"/>
              </w:rPr>
            </w:pPr>
            <w:r w:rsidRPr="00F30805">
              <w:rPr>
                <w:rFonts w:ascii="Arial" w:hAnsi="Arial" w:cs="Arial"/>
              </w:rPr>
              <w:t>Treatment should be interrupted if Hb is &lt;8 g/dL and may be restarted once Hb return above this value</w:t>
            </w:r>
          </w:p>
        </w:tc>
      </w:tr>
      <w:tr w:rsidR="00E45FF1" w:rsidRPr="00F30805" w14:paraId="70D29ADE" w14:textId="77777777" w:rsidTr="00E6568A">
        <w:tc>
          <w:tcPr>
            <w:tcW w:w="3978" w:type="dxa"/>
          </w:tcPr>
          <w:p w14:paraId="25C79911" w14:textId="77777777" w:rsidR="00E45FF1" w:rsidRPr="00F30805" w:rsidRDefault="00E45FF1" w:rsidP="00A9173E">
            <w:pPr>
              <w:spacing w:before="120" w:after="120"/>
              <w:rPr>
                <w:rFonts w:ascii="Arial" w:hAnsi="Arial" w:cs="Arial"/>
              </w:rPr>
            </w:pPr>
            <w:r w:rsidRPr="00F30805">
              <w:rPr>
                <w:rFonts w:ascii="Arial" w:hAnsi="Arial" w:cs="Arial"/>
              </w:rPr>
              <w:t>Hepatic transaminases</w:t>
            </w:r>
          </w:p>
          <w:p w14:paraId="21EFEE38" w14:textId="7547EF40" w:rsidR="00FA76AB" w:rsidRPr="00F30805" w:rsidRDefault="00FA76AB" w:rsidP="00FA76AB">
            <w:pPr>
              <w:tabs>
                <w:tab w:val="left" w:pos="1064"/>
              </w:tabs>
              <w:rPr>
                <w:rFonts w:ascii="Arial" w:hAnsi="Arial" w:cs="Arial"/>
              </w:rPr>
            </w:pPr>
            <w:r w:rsidRPr="00F30805">
              <w:rPr>
                <w:rFonts w:ascii="Arial" w:hAnsi="Arial" w:cs="Arial"/>
              </w:rPr>
              <w:tab/>
            </w:r>
          </w:p>
        </w:tc>
        <w:tc>
          <w:tcPr>
            <w:tcW w:w="5202" w:type="dxa"/>
          </w:tcPr>
          <w:p w14:paraId="0C92A50D" w14:textId="77777777" w:rsidR="00E45FF1" w:rsidRPr="00F30805" w:rsidRDefault="00E45FF1" w:rsidP="00A9173E">
            <w:pPr>
              <w:spacing w:before="120" w:after="120"/>
              <w:rPr>
                <w:rFonts w:ascii="Arial" w:hAnsi="Arial" w:cs="Arial"/>
              </w:rPr>
            </w:pPr>
            <w:r w:rsidRPr="00F30805">
              <w:rPr>
                <w:rFonts w:ascii="Arial" w:hAnsi="Arial" w:cs="Arial"/>
              </w:rPr>
              <w:t>Treatment should be temporarily interrupted if drug-induced liver injury is suspected</w:t>
            </w:r>
          </w:p>
        </w:tc>
      </w:tr>
    </w:tbl>
    <w:p w14:paraId="23DF5D04" w14:textId="77777777" w:rsidR="00330285" w:rsidRPr="00F30805" w:rsidRDefault="00330285" w:rsidP="00330285">
      <w:pPr>
        <w:pStyle w:val="Heading3"/>
      </w:pPr>
      <w:r w:rsidRPr="00F30805">
        <w:lastRenderedPageBreak/>
        <w:t>Missed dose</w:t>
      </w:r>
    </w:p>
    <w:p w14:paraId="607571BB" w14:textId="2EC870BE" w:rsidR="00D1232C" w:rsidRPr="00F30805" w:rsidRDefault="00330285" w:rsidP="00E6568A">
      <w:pPr>
        <w:spacing w:before="120"/>
        <w:rPr>
          <w:rFonts w:ascii="Arial" w:hAnsi="Arial" w:cs="Arial"/>
        </w:rPr>
      </w:pPr>
      <w:r w:rsidRPr="00F30805">
        <w:rPr>
          <w:rFonts w:ascii="Arial" w:hAnsi="Arial" w:cs="Arial"/>
        </w:rPr>
        <w:t>If a dose of RINVOQ is missed, it should be taken as soon as possible. The subsequent dose should be taken at the regularly scheduled time.</w:t>
      </w:r>
    </w:p>
    <w:p w14:paraId="5A8C2ADC" w14:textId="112C02D5" w:rsidR="00E45FF1" w:rsidRPr="00F30805" w:rsidRDefault="00E45FF1" w:rsidP="00E6568A">
      <w:pPr>
        <w:spacing w:before="120"/>
        <w:rPr>
          <w:rFonts w:ascii="Arial" w:hAnsi="Arial" w:cs="Arial"/>
          <w:b/>
        </w:rPr>
      </w:pPr>
      <w:r w:rsidRPr="00F30805">
        <w:rPr>
          <w:rFonts w:ascii="Arial" w:hAnsi="Arial" w:cs="Arial"/>
          <w:b/>
        </w:rPr>
        <w:t>Dosing in Special Populations:</w:t>
      </w:r>
    </w:p>
    <w:p w14:paraId="4E552FA2" w14:textId="77777777" w:rsidR="00E45FF1" w:rsidRPr="00F30805" w:rsidRDefault="00E45FF1" w:rsidP="00734BF8">
      <w:pPr>
        <w:pStyle w:val="Heading3"/>
      </w:pPr>
      <w:r w:rsidRPr="00F30805">
        <w:t>Paediatric Use</w:t>
      </w:r>
    </w:p>
    <w:p w14:paraId="35114167" w14:textId="66C8302B" w:rsidR="00E45FF1" w:rsidRPr="00F30805" w:rsidRDefault="00E45FF1" w:rsidP="00A961FC">
      <w:pPr>
        <w:spacing w:before="120"/>
        <w:rPr>
          <w:rFonts w:ascii="Arial" w:hAnsi="Arial" w:cs="Arial"/>
        </w:rPr>
      </w:pPr>
      <w:r w:rsidRPr="00F30805">
        <w:rPr>
          <w:rFonts w:ascii="Arial" w:hAnsi="Arial" w:cs="Arial"/>
        </w:rPr>
        <w:t xml:space="preserve">The safety and efficacy of </w:t>
      </w:r>
      <w:r w:rsidR="00A700BC" w:rsidRPr="00F30805">
        <w:rPr>
          <w:rFonts w:ascii="Arial" w:hAnsi="Arial" w:cs="Arial"/>
        </w:rPr>
        <w:t>RINVOQ</w:t>
      </w:r>
      <w:r w:rsidRPr="00F30805">
        <w:rPr>
          <w:rFonts w:ascii="Arial" w:hAnsi="Arial" w:cs="Arial"/>
        </w:rPr>
        <w:t xml:space="preserve"> in children and adolescents aged 0 to </w:t>
      </w:r>
      <w:r w:rsidR="00322289" w:rsidRPr="00F30805">
        <w:rPr>
          <w:rFonts w:ascii="Arial" w:hAnsi="Arial" w:cs="Arial"/>
        </w:rPr>
        <w:t xml:space="preserve">less than </w:t>
      </w:r>
      <w:r w:rsidRPr="00F30805">
        <w:rPr>
          <w:rFonts w:ascii="Arial" w:hAnsi="Arial" w:cs="Arial"/>
        </w:rPr>
        <w:t>18 years have not yet been established. No data are available.</w:t>
      </w:r>
    </w:p>
    <w:p w14:paraId="7206E74E" w14:textId="77777777" w:rsidR="00E45FF1" w:rsidRPr="00F30805" w:rsidRDefault="00E45FF1" w:rsidP="00734BF8">
      <w:pPr>
        <w:pStyle w:val="Heading3"/>
      </w:pPr>
      <w:r w:rsidRPr="00F30805">
        <w:t>Use in the Elderly</w:t>
      </w:r>
    </w:p>
    <w:p w14:paraId="0DE481D7" w14:textId="4971A179" w:rsidR="00E45FF1" w:rsidRPr="00F30805" w:rsidRDefault="00E45FF1" w:rsidP="00A961FC">
      <w:pPr>
        <w:spacing w:before="120"/>
        <w:rPr>
          <w:rFonts w:ascii="Arial" w:hAnsi="Arial" w:cs="Arial"/>
        </w:rPr>
      </w:pPr>
      <w:r w:rsidRPr="00F30805">
        <w:rPr>
          <w:rFonts w:ascii="Arial" w:hAnsi="Arial" w:cs="Arial"/>
        </w:rPr>
        <w:t xml:space="preserve">No </w:t>
      </w:r>
      <w:r w:rsidR="00BA202B" w:rsidRPr="00F30805">
        <w:rPr>
          <w:rFonts w:ascii="Arial" w:hAnsi="Arial" w:cs="Arial"/>
        </w:rPr>
        <w:t xml:space="preserve">dose </w:t>
      </w:r>
      <w:r w:rsidRPr="00F30805">
        <w:rPr>
          <w:rFonts w:ascii="Arial" w:hAnsi="Arial" w:cs="Arial"/>
        </w:rPr>
        <w:t>adjustment is required in patients aged 65 years and older.</w:t>
      </w:r>
    </w:p>
    <w:p w14:paraId="1255DB2B" w14:textId="77777777" w:rsidR="00E45FF1" w:rsidRPr="00F30805" w:rsidRDefault="00E45FF1" w:rsidP="00734BF8">
      <w:pPr>
        <w:pStyle w:val="Heading3"/>
      </w:pPr>
      <w:r w:rsidRPr="00F30805">
        <w:t>Use in renal impairment</w:t>
      </w:r>
    </w:p>
    <w:p w14:paraId="02C5ADBB" w14:textId="3BB4E3D2" w:rsidR="00E45FF1" w:rsidRPr="00F30805" w:rsidRDefault="00E45FF1" w:rsidP="00A961FC">
      <w:pPr>
        <w:rPr>
          <w:rFonts w:ascii="Arial" w:hAnsi="Arial" w:cs="Arial"/>
        </w:rPr>
      </w:pPr>
      <w:r w:rsidRPr="00F30805">
        <w:rPr>
          <w:rFonts w:ascii="Arial" w:hAnsi="Arial" w:cs="Arial"/>
        </w:rPr>
        <w:t xml:space="preserve">No dose adjustment is required in patients with mild, moderate or severe renal impairment. </w:t>
      </w:r>
      <w:r w:rsidR="005959F1" w:rsidRPr="00F30805">
        <w:rPr>
          <w:rFonts w:ascii="Arial" w:hAnsi="Arial" w:cs="Arial"/>
        </w:rPr>
        <w:t xml:space="preserve">There are limited data on the use of upadacitinib in subjects with severe renal impairment (see </w:t>
      </w:r>
      <w:r w:rsidR="006B073F" w:rsidRPr="00F30805">
        <w:rPr>
          <w:rFonts w:ascii="Arial" w:hAnsi="Arial" w:cs="Arial"/>
          <w:b/>
          <w:bCs/>
        </w:rPr>
        <w:t>5.2 PHARMACOKINETIC PROPERTIES</w:t>
      </w:r>
      <w:r w:rsidR="006B073F" w:rsidRPr="00F30805">
        <w:rPr>
          <w:rFonts w:ascii="Arial" w:hAnsi="Arial" w:cs="Arial"/>
        </w:rPr>
        <w:t xml:space="preserve">). Upadacitinib should be used with caution in patients with severe renal impairment. </w:t>
      </w:r>
      <w:r w:rsidRPr="00F30805">
        <w:rPr>
          <w:rFonts w:ascii="Arial" w:hAnsi="Arial" w:cs="Arial"/>
        </w:rPr>
        <w:t xml:space="preserve">The use of </w:t>
      </w:r>
      <w:r w:rsidR="00A700BC" w:rsidRPr="00F30805">
        <w:rPr>
          <w:rFonts w:ascii="Arial" w:hAnsi="Arial" w:cs="Arial"/>
        </w:rPr>
        <w:t>RINVOQ</w:t>
      </w:r>
      <w:r w:rsidRPr="00F30805">
        <w:rPr>
          <w:rFonts w:ascii="Arial" w:hAnsi="Arial" w:cs="Arial"/>
        </w:rPr>
        <w:t xml:space="preserve"> has not been studied in subjects with end stage renal disease.  Haemodialysis is not expected to have a clinically relevant effect on upadacitinib plasma exposures due to the major contribution of non-renal clearance to upadacitinib overall elimination (see </w:t>
      </w:r>
      <w:r w:rsidRPr="00F30805">
        <w:rPr>
          <w:rFonts w:ascii="Arial" w:hAnsi="Arial" w:cs="Arial"/>
          <w:b/>
          <w:caps/>
        </w:rPr>
        <w:t>5 Pharmacological properties</w:t>
      </w:r>
      <w:r w:rsidRPr="00F30805">
        <w:rPr>
          <w:rFonts w:ascii="Arial" w:hAnsi="Arial" w:cs="Arial"/>
        </w:rPr>
        <w:t>).</w:t>
      </w:r>
    </w:p>
    <w:p w14:paraId="74A69FBE" w14:textId="77777777" w:rsidR="00E45FF1" w:rsidRPr="00F30805" w:rsidRDefault="00E45FF1" w:rsidP="00734BF8">
      <w:pPr>
        <w:pStyle w:val="Heading3"/>
      </w:pPr>
      <w:r w:rsidRPr="00F30805">
        <w:t>Use in hepatic impairment</w:t>
      </w:r>
    </w:p>
    <w:p w14:paraId="374B40CD" w14:textId="55DBB120" w:rsidR="00E45FF1" w:rsidRPr="00F30805" w:rsidRDefault="00E45FF1" w:rsidP="00A961FC">
      <w:pPr>
        <w:rPr>
          <w:rFonts w:ascii="Arial" w:hAnsi="Arial" w:cs="Arial"/>
        </w:rPr>
      </w:pPr>
      <w:r w:rsidRPr="00F30805">
        <w:rPr>
          <w:rFonts w:ascii="Arial" w:hAnsi="Arial" w:cs="Arial"/>
        </w:rPr>
        <w:t xml:space="preserve">No dose adjustment is required in patients with mild (Child-Pugh A) or moderate (Child-Pugh B) hepatic impairment. </w:t>
      </w:r>
      <w:r w:rsidR="00A700BC" w:rsidRPr="00F30805">
        <w:rPr>
          <w:rFonts w:ascii="Arial" w:hAnsi="Arial" w:cs="Arial"/>
        </w:rPr>
        <w:t>RINVOQ</w:t>
      </w:r>
      <w:r w:rsidRPr="00F30805">
        <w:rPr>
          <w:rFonts w:ascii="Arial" w:hAnsi="Arial" w:cs="Arial"/>
        </w:rPr>
        <w:t xml:space="preserve"> is not recommended for use in patients with severe hepatic impairment (Child-Pugh C) (see</w:t>
      </w:r>
      <w:r w:rsidRPr="00F30805">
        <w:rPr>
          <w:rFonts w:ascii="Arial" w:hAnsi="Arial" w:cs="Arial"/>
          <w:b/>
        </w:rPr>
        <w:t xml:space="preserve"> 5 PHARMACOLOGICAL PROPERTIES</w:t>
      </w:r>
      <w:r w:rsidRPr="00F30805">
        <w:rPr>
          <w:rFonts w:ascii="Arial" w:hAnsi="Arial" w:cs="Arial"/>
        </w:rPr>
        <w:t>).</w:t>
      </w:r>
    </w:p>
    <w:p w14:paraId="5D01BDEE" w14:textId="77777777" w:rsidR="001A3992" w:rsidRPr="00F30805" w:rsidRDefault="001A3992" w:rsidP="001A3992">
      <w:pPr>
        <w:pStyle w:val="Heading2"/>
        <w:spacing w:before="0" w:after="120"/>
        <w:rPr>
          <w:rFonts w:ascii="Arial" w:hAnsi="Arial" w:cs="Arial"/>
        </w:rPr>
      </w:pPr>
      <w:r w:rsidRPr="00F30805">
        <w:rPr>
          <w:rFonts w:ascii="Arial" w:hAnsi="Arial" w:cs="Arial"/>
        </w:rPr>
        <w:t>Contraindications</w:t>
      </w:r>
    </w:p>
    <w:p w14:paraId="26E03BEA" w14:textId="38C711B4" w:rsidR="00E45FF1" w:rsidRPr="00F30805" w:rsidRDefault="00E45FF1" w:rsidP="00A961FC">
      <w:pPr>
        <w:spacing w:before="120"/>
        <w:rPr>
          <w:rFonts w:ascii="Arial" w:hAnsi="Arial" w:cs="Arial"/>
        </w:rPr>
      </w:pPr>
      <w:r w:rsidRPr="00F30805">
        <w:rPr>
          <w:rFonts w:ascii="Arial" w:hAnsi="Arial" w:cs="Arial"/>
        </w:rPr>
        <w:t>Hypersensitivity to the active substance or to any of the excipients.</w:t>
      </w:r>
    </w:p>
    <w:p w14:paraId="37C10645" w14:textId="010CB079" w:rsidR="003544A4" w:rsidRPr="00F30805" w:rsidRDefault="0017230B" w:rsidP="00A961FC">
      <w:pPr>
        <w:spacing w:before="120"/>
        <w:rPr>
          <w:rFonts w:ascii="Arial" w:hAnsi="Arial" w:cs="Arial"/>
        </w:rPr>
      </w:pPr>
      <w:r w:rsidRPr="00F30805">
        <w:rPr>
          <w:rFonts w:ascii="Arial" w:hAnsi="Arial" w:cs="Arial"/>
        </w:rPr>
        <w:t xml:space="preserve">RINVOQ </w:t>
      </w:r>
      <w:r w:rsidR="005B0922" w:rsidRPr="00F30805">
        <w:rPr>
          <w:rFonts w:ascii="Arial" w:hAnsi="Arial" w:cs="Arial"/>
        </w:rPr>
        <w:t>must</w:t>
      </w:r>
      <w:r w:rsidRPr="00F30805">
        <w:rPr>
          <w:rFonts w:ascii="Arial" w:hAnsi="Arial" w:cs="Arial"/>
        </w:rPr>
        <w:t xml:space="preserve"> not be used </w:t>
      </w:r>
      <w:r w:rsidR="00937AC7" w:rsidRPr="00F30805">
        <w:rPr>
          <w:rFonts w:ascii="Arial" w:hAnsi="Arial" w:cs="Arial"/>
        </w:rPr>
        <w:t xml:space="preserve">in combination </w:t>
      </w:r>
      <w:r w:rsidRPr="00F30805">
        <w:rPr>
          <w:rFonts w:ascii="Arial" w:hAnsi="Arial" w:cs="Arial"/>
        </w:rPr>
        <w:t xml:space="preserve">with </w:t>
      </w:r>
      <w:r w:rsidR="008840AF" w:rsidRPr="00F30805">
        <w:rPr>
          <w:rFonts w:ascii="Arial" w:hAnsi="Arial" w:cs="Arial"/>
        </w:rPr>
        <w:t>biologic disease-modifying anti-rheumatic drugs (</w:t>
      </w:r>
      <w:proofErr w:type="spellStart"/>
      <w:r w:rsidRPr="00F30805">
        <w:rPr>
          <w:rFonts w:ascii="Arial" w:hAnsi="Arial" w:cs="Arial"/>
        </w:rPr>
        <w:t>bDMARDs</w:t>
      </w:r>
      <w:proofErr w:type="spellEnd"/>
      <w:r w:rsidR="008840AF" w:rsidRPr="00F30805">
        <w:rPr>
          <w:rFonts w:ascii="Arial" w:hAnsi="Arial" w:cs="Arial"/>
        </w:rPr>
        <w:t>)</w:t>
      </w:r>
      <w:r w:rsidR="005B0922" w:rsidRPr="00F30805">
        <w:rPr>
          <w:rFonts w:ascii="Arial" w:hAnsi="Arial" w:cs="Arial"/>
        </w:rPr>
        <w:t>.</w:t>
      </w:r>
      <w:r w:rsidRPr="00F30805">
        <w:rPr>
          <w:rFonts w:ascii="Arial" w:hAnsi="Arial" w:cs="Arial"/>
        </w:rPr>
        <w:t xml:space="preserve"> </w:t>
      </w:r>
    </w:p>
    <w:p w14:paraId="03673B6E" w14:textId="77777777" w:rsidR="001A3992" w:rsidRPr="00F30805" w:rsidRDefault="00E74A56" w:rsidP="001A3992">
      <w:pPr>
        <w:pStyle w:val="Heading2"/>
        <w:spacing w:before="0" w:after="120"/>
        <w:rPr>
          <w:rFonts w:ascii="Arial" w:hAnsi="Arial" w:cs="Arial"/>
        </w:rPr>
      </w:pPr>
      <w:r w:rsidRPr="00F30805">
        <w:rPr>
          <w:rFonts w:ascii="Arial" w:hAnsi="Arial" w:cs="Arial"/>
        </w:rPr>
        <w:t>Special warnings and p</w:t>
      </w:r>
      <w:r w:rsidR="001A3992" w:rsidRPr="00F30805">
        <w:rPr>
          <w:rFonts w:ascii="Arial" w:hAnsi="Arial" w:cs="Arial"/>
        </w:rPr>
        <w:t xml:space="preserve">recautions </w:t>
      </w:r>
      <w:r w:rsidRPr="00F30805">
        <w:rPr>
          <w:rFonts w:ascii="Arial" w:hAnsi="Arial" w:cs="Arial"/>
        </w:rPr>
        <w:t>for use</w:t>
      </w:r>
    </w:p>
    <w:p w14:paraId="5C4E1DEF" w14:textId="00474D07" w:rsidR="00133EAF" w:rsidRPr="00F30805" w:rsidRDefault="00133EAF" w:rsidP="00A961FC">
      <w:pPr>
        <w:spacing w:before="120"/>
        <w:rPr>
          <w:rFonts w:ascii="Arial" w:hAnsi="Arial" w:cs="Arial"/>
        </w:rPr>
      </w:pPr>
      <w:r w:rsidRPr="00F30805">
        <w:rPr>
          <w:rFonts w:ascii="Arial" w:hAnsi="Arial" w:cs="Arial"/>
        </w:rPr>
        <w:t xml:space="preserve">Therapy with RINVOQ should be initiated and monitored by a rheumatologist or specialist physician with expertise in the management of rheumatoid arthritis. </w:t>
      </w:r>
    </w:p>
    <w:p w14:paraId="2A5FA003" w14:textId="47A9E622" w:rsidR="00E45FF1" w:rsidRPr="00F30805" w:rsidRDefault="00E45FF1" w:rsidP="00A961FC">
      <w:pPr>
        <w:spacing w:before="120"/>
        <w:rPr>
          <w:rFonts w:ascii="Arial" w:hAnsi="Arial" w:cs="Arial"/>
        </w:rPr>
      </w:pPr>
      <w:bookmarkStart w:id="0" w:name="_Hlk24179950"/>
      <w:r w:rsidRPr="00F30805">
        <w:rPr>
          <w:rFonts w:ascii="Arial" w:hAnsi="Arial" w:cs="Arial"/>
        </w:rPr>
        <w:t>Combination with other potent immunosuppressants such as azathioprine, cyclosporine, tacrolimus, and biologic DMARDs or other</w:t>
      </w:r>
      <w:r w:rsidR="00C23678" w:rsidRPr="00F30805">
        <w:rPr>
          <w:rFonts w:ascii="Arial" w:hAnsi="Arial" w:cs="Arial"/>
        </w:rPr>
        <w:t xml:space="preserve"> </w:t>
      </w:r>
      <w:r w:rsidRPr="00F30805">
        <w:rPr>
          <w:rFonts w:ascii="Arial" w:hAnsi="Arial" w:cs="Arial"/>
        </w:rPr>
        <w:t xml:space="preserve">JAK inhibitors has not been evaluated in clinical </w:t>
      </w:r>
      <w:r w:rsidRPr="00F30805">
        <w:rPr>
          <w:rFonts w:ascii="Arial" w:hAnsi="Arial" w:cs="Arial"/>
        </w:rPr>
        <w:lastRenderedPageBreak/>
        <w:t>studies and is not recommended as a risk of additive immunosuppression cannot be excluded</w:t>
      </w:r>
      <w:r w:rsidR="009D3135" w:rsidRPr="00F30805">
        <w:rPr>
          <w:rFonts w:ascii="Arial" w:hAnsi="Arial" w:cs="Arial"/>
        </w:rPr>
        <w:t xml:space="preserve"> (see </w:t>
      </w:r>
      <w:r w:rsidR="009D3135" w:rsidRPr="00F30805">
        <w:rPr>
          <w:rFonts w:ascii="Arial" w:hAnsi="Arial" w:cs="Arial"/>
          <w:b/>
          <w:bCs/>
        </w:rPr>
        <w:t>4.3 CONTRAINDICATIONS</w:t>
      </w:r>
      <w:r w:rsidR="009D3135" w:rsidRPr="00F30805">
        <w:rPr>
          <w:rFonts w:ascii="Arial" w:hAnsi="Arial" w:cs="Arial"/>
        </w:rPr>
        <w:t>)</w:t>
      </w:r>
      <w:r w:rsidRPr="00F30805">
        <w:rPr>
          <w:rFonts w:ascii="Arial" w:hAnsi="Arial" w:cs="Arial"/>
        </w:rPr>
        <w:t>.</w:t>
      </w:r>
    </w:p>
    <w:bookmarkEnd w:id="0"/>
    <w:p w14:paraId="318A5DA5" w14:textId="77777777" w:rsidR="00E45FF1" w:rsidRPr="00F30805" w:rsidRDefault="00E45FF1" w:rsidP="00734BF8">
      <w:pPr>
        <w:pStyle w:val="Heading3"/>
      </w:pPr>
      <w:r w:rsidRPr="00F30805">
        <w:t>Serious Infections</w:t>
      </w:r>
    </w:p>
    <w:p w14:paraId="24375284" w14:textId="4327D50B" w:rsidR="00E45FF1" w:rsidRPr="00F30805" w:rsidRDefault="00E45FF1" w:rsidP="00A961FC">
      <w:pPr>
        <w:spacing w:before="120"/>
        <w:rPr>
          <w:rFonts w:ascii="Arial" w:hAnsi="Arial" w:cs="Arial"/>
        </w:rPr>
      </w:pPr>
      <w:r w:rsidRPr="00F30805">
        <w:rPr>
          <w:rFonts w:ascii="Arial" w:hAnsi="Arial" w:cs="Arial"/>
        </w:rPr>
        <w:t xml:space="preserve">Serious and sometimes fatal infections have been reported in patients receiving </w:t>
      </w:r>
      <w:r w:rsidR="00A700BC" w:rsidRPr="00F30805">
        <w:rPr>
          <w:rFonts w:ascii="Arial" w:hAnsi="Arial" w:cs="Arial"/>
        </w:rPr>
        <w:t>RINVOQ</w:t>
      </w:r>
      <w:r w:rsidRPr="00F30805">
        <w:rPr>
          <w:rFonts w:ascii="Arial" w:hAnsi="Arial" w:cs="Arial"/>
        </w:rPr>
        <w:t xml:space="preserve">. The most frequent serious infections reported with </w:t>
      </w:r>
      <w:r w:rsidR="00A700BC" w:rsidRPr="00F30805">
        <w:rPr>
          <w:rFonts w:ascii="Arial" w:hAnsi="Arial" w:cs="Arial"/>
        </w:rPr>
        <w:t>RINVOQ</w:t>
      </w:r>
      <w:r w:rsidRPr="00F30805">
        <w:rPr>
          <w:rFonts w:ascii="Arial" w:hAnsi="Arial" w:cs="Arial"/>
        </w:rPr>
        <w:t xml:space="preserve"> included pneumonia and cellulitis (see </w:t>
      </w:r>
      <w:r w:rsidRPr="00F30805">
        <w:rPr>
          <w:rFonts w:ascii="Arial" w:hAnsi="Arial" w:cs="Arial"/>
          <w:b/>
        </w:rPr>
        <w:t>4.8 ADVERSE EFFECTS</w:t>
      </w:r>
      <w:r w:rsidRPr="00F30805">
        <w:rPr>
          <w:rFonts w:ascii="Arial" w:hAnsi="Arial" w:cs="Arial"/>
        </w:rPr>
        <w:t>).</w:t>
      </w:r>
      <w:r w:rsidR="00E84929" w:rsidRPr="00F30805">
        <w:rPr>
          <w:rFonts w:ascii="Arial" w:hAnsi="Arial" w:cs="Arial"/>
        </w:rPr>
        <w:t xml:space="preserve"> </w:t>
      </w:r>
      <w:r w:rsidR="009D3135" w:rsidRPr="00F30805">
        <w:rPr>
          <w:rFonts w:ascii="Arial" w:hAnsi="Arial" w:cs="Arial"/>
        </w:rPr>
        <w:t>Cases</w:t>
      </w:r>
      <w:r w:rsidR="00E84929" w:rsidRPr="00F30805">
        <w:rPr>
          <w:rFonts w:ascii="Arial" w:hAnsi="Arial" w:cs="Arial"/>
        </w:rPr>
        <w:t xml:space="preserve"> of bacterial meningitis have been reported in patients receiving upadacitinib.</w:t>
      </w:r>
      <w:r w:rsidRPr="00F30805">
        <w:rPr>
          <w:rFonts w:ascii="Arial" w:hAnsi="Arial" w:cs="Arial"/>
        </w:rPr>
        <w:t xml:space="preserve">  Among opportunistic infections, tuberculosis, multi-dermatomal herpes zoster, oral/oesophageal candidiasis, </w:t>
      </w:r>
      <w:proofErr w:type="spellStart"/>
      <w:r w:rsidRPr="00F30805">
        <w:rPr>
          <w:rFonts w:ascii="Arial" w:hAnsi="Arial" w:cs="Arial"/>
        </w:rPr>
        <w:t>cryptococcosis</w:t>
      </w:r>
      <w:proofErr w:type="spellEnd"/>
      <w:r w:rsidR="00F16B96" w:rsidRPr="00F30805">
        <w:rPr>
          <w:rFonts w:ascii="Arial" w:hAnsi="Arial" w:cs="Arial"/>
        </w:rPr>
        <w:t xml:space="preserve"> and </w:t>
      </w:r>
      <w:proofErr w:type="spellStart"/>
      <w:r w:rsidR="00F16B96" w:rsidRPr="00F30805">
        <w:rPr>
          <w:rFonts w:ascii="Arial" w:hAnsi="Arial" w:cs="Arial"/>
        </w:rPr>
        <w:t>pneumocystosis</w:t>
      </w:r>
      <w:proofErr w:type="spellEnd"/>
      <w:r w:rsidRPr="00F30805">
        <w:rPr>
          <w:rFonts w:ascii="Arial" w:hAnsi="Arial" w:cs="Arial"/>
        </w:rPr>
        <w:t xml:space="preserve"> were reported with </w:t>
      </w:r>
      <w:r w:rsidR="00A700BC" w:rsidRPr="00F30805">
        <w:rPr>
          <w:rFonts w:ascii="Arial" w:hAnsi="Arial" w:cs="Arial"/>
        </w:rPr>
        <w:t>RINVOQ</w:t>
      </w:r>
      <w:r w:rsidRPr="00F30805">
        <w:rPr>
          <w:rFonts w:ascii="Arial" w:hAnsi="Arial" w:cs="Arial"/>
        </w:rPr>
        <w:t xml:space="preserve">. </w:t>
      </w:r>
    </w:p>
    <w:p w14:paraId="7965680B" w14:textId="42D699E5" w:rsidR="00E45FF1" w:rsidRPr="00F30805" w:rsidRDefault="00E45FF1" w:rsidP="00A961FC">
      <w:pPr>
        <w:spacing w:before="120"/>
        <w:rPr>
          <w:rFonts w:ascii="Arial" w:hAnsi="Arial" w:cs="Arial"/>
        </w:rPr>
      </w:pPr>
      <w:r w:rsidRPr="00F30805">
        <w:rPr>
          <w:rFonts w:ascii="Arial" w:hAnsi="Arial" w:cs="Arial"/>
        </w:rPr>
        <w:t xml:space="preserve">Avoid use of </w:t>
      </w:r>
      <w:r w:rsidR="00A700BC" w:rsidRPr="00F30805">
        <w:rPr>
          <w:rFonts w:ascii="Arial" w:hAnsi="Arial" w:cs="Arial"/>
        </w:rPr>
        <w:t>RINVOQ</w:t>
      </w:r>
      <w:r w:rsidRPr="00F30805">
        <w:rPr>
          <w:rFonts w:ascii="Arial" w:hAnsi="Arial" w:cs="Arial"/>
        </w:rPr>
        <w:t xml:space="preserve"> in patients with an active, serious infection, including localised infections. Consider the risks and benefits of treatment prior to initiating </w:t>
      </w:r>
      <w:r w:rsidR="00A700BC" w:rsidRPr="00F30805">
        <w:rPr>
          <w:rFonts w:ascii="Arial" w:hAnsi="Arial" w:cs="Arial"/>
        </w:rPr>
        <w:t>RINVOQ</w:t>
      </w:r>
      <w:r w:rsidRPr="00F30805">
        <w:rPr>
          <w:rFonts w:ascii="Arial" w:hAnsi="Arial" w:cs="Arial"/>
        </w:rPr>
        <w:t xml:space="preserve"> in patients: </w:t>
      </w:r>
    </w:p>
    <w:p w14:paraId="425562E2" w14:textId="77777777" w:rsidR="00E45FF1" w:rsidRPr="00F30805" w:rsidRDefault="00E45FF1" w:rsidP="00A961FC">
      <w:pPr>
        <w:spacing w:before="120"/>
        <w:rPr>
          <w:rFonts w:ascii="Arial" w:hAnsi="Arial" w:cs="Arial"/>
        </w:rPr>
      </w:pPr>
      <w:r w:rsidRPr="00F30805">
        <w:rPr>
          <w:rFonts w:ascii="Arial" w:hAnsi="Arial" w:cs="Arial"/>
        </w:rPr>
        <w:t>•</w:t>
      </w:r>
      <w:r w:rsidRPr="00F30805">
        <w:rPr>
          <w:rFonts w:ascii="Arial" w:hAnsi="Arial" w:cs="Arial"/>
        </w:rPr>
        <w:tab/>
        <w:t xml:space="preserve">with chronic or recurrent infection </w:t>
      </w:r>
    </w:p>
    <w:p w14:paraId="60BF5FBA" w14:textId="77777777" w:rsidR="00E45FF1" w:rsidRPr="00F30805" w:rsidRDefault="00E45FF1" w:rsidP="00A961FC">
      <w:pPr>
        <w:spacing w:before="120"/>
        <w:rPr>
          <w:rFonts w:ascii="Arial" w:hAnsi="Arial" w:cs="Arial"/>
        </w:rPr>
      </w:pPr>
      <w:r w:rsidRPr="00F30805">
        <w:rPr>
          <w:rFonts w:ascii="Arial" w:hAnsi="Arial" w:cs="Arial"/>
        </w:rPr>
        <w:t>•</w:t>
      </w:r>
      <w:r w:rsidRPr="00F30805">
        <w:rPr>
          <w:rFonts w:ascii="Arial" w:hAnsi="Arial" w:cs="Arial"/>
        </w:rPr>
        <w:tab/>
        <w:t xml:space="preserve">who have been exposed to tuberculosis </w:t>
      </w:r>
    </w:p>
    <w:p w14:paraId="28C8446E" w14:textId="77777777" w:rsidR="00E45FF1" w:rsidRPr="00F30805" w:rsidRDefault="00E45FF1" w:rsidP="00A961FC">
      <w:pPr>
        <w:spacing w:before="120"/>
        <w:rPr>
          <w:rFonts w:ascii="Arial" w:hAnsi="Arial" w:cs="Arial"/>
        </w:rPr>
      </w:pPr>
      <w:r w:rsidRPr="00F30805">
        <w:rPr>
          <w:rFonts w:ascii="Arial" w:hAnsi="Arial" w:cs="Arial"/>
        </w:rPr>
        <w:t>•</w:t>
      </w:r>
      <w:r w:rsidRPr="00F30805">
        <w:rPr>
          <w:rFonts w:ascii="Arial" w:hAnsi="Arial" w:cs="Arial"/>
        </w:rPr>
        <w:tab/>
        <w:t xml:space="preserve">with a history of a serious or an opportunistic infection </w:t>
      </w:r>
    </w:p>
    <w:p w14:paraId="25F5EBFB" w14:textId="77777777" w:rsidR="00E45FF1" w:rsidRPr="00F30805" w:rsidRDefault="00E45FF1" w:rsidP="00A961FC">
      <w:pPr>
        <w:spacing w:before="120"/>
        <w:rPr>
          <w:rFonts w:ascii="Arial" w:hAnsi="Arial" w:cs="Arial"/>
        </w:rPr>
      </w:pPr>
      <w:r w:rsidRPr="00F30805">
        <w:rPr>
          <w:rFonts w:ascii="Arial" w:hAnsi="Arial" w:cs="Arial"/>
        </w:rPr>
        <w:t>•</w:t>
      </w:r>
      <w:r w:rsidRPr="00F30805">
        <w:rPr>
          <w:rFonts w:ascii="Arial" w:hAnsi="Arial" w:cs="Arial"/>
        </w:rPr>
        <w:tab/>
        <w:t xml:space="preserve">who have resided or travelled in areas of endemic tuberculosis or endemic mycoses; or </w:t>
      </w:r>
    </w:p>
    <w:p w14:paraId="666AC29D" w14:textId="77777777" w:rsidR="00E45FF1" w:rsidRPr="00F30805" w:rsidRDefault="00E45FF1" w:rsidP="00A961FC">
      <w:pPr>
        <w:spacing w:before="120"/>
        <w:rPr>
          <w:rFonts w:ascii="Arial" w:hAnsi="Arial" w:cs="Arial"/>
        </w:rPr>
      </w:pPr>
      <w:r w:rsidRPr="00F30805">
        <w:rPr>
          <w:rFonts w:ascii="Arial" w:hAnsi="Arial" w:cs="Arial"/>
        </w:rPr>
        <w:t>•</w:t>
      </w:r>
      <w:r w:rsidRPr="00F30805">
        <w:rPr>
          <w:rFonts w:ascii="Arial" w:hAnsi="Arial" w:cs="Arial"/>
        </w:rPr>
        <w:tab/>
        <w:t xml:space="preserve">with underlying conditions that may predispose them to infection. </w:t>
      </w:r>
    </w:p>
    <w:p w14:paraId="28B8F759" w14:textId="42EC6902" w:rsidR="007C511D" w:rsidRPr="00F30805" w:rsidRDefault="00E45FF1" w:rsidP="00A961FC">
      <w:pPr>
        <w:spacing w:before="120"/>
        <w:rPr>
          <w:rFonts w:ascii="Arial" w:hAnsi="Arial" w:cs="Arial"/>
        </w:rPr>
      </w:pPr>
      <w:r w:rsidRPr="00F30805">
        <w:rPr>
          <w:rFonts w:ascii="Arial" w:hAnsi="Arial" w:cs="Arial"/>
        </w:rPr>
        <w:t xml:space="preserve">Closely monitor patients for the development of signs and symptoms of infection during and after treatment with </w:t>
      </w:r>
      <w:r w:rsidR="00A700BC" w:rsidRPr="00F30805">
        <w:rPr>
          <w:rFonts w:ascii="Arial" w:hAnsi="Arial" w:cs="Arial"/>
        </w:rPr>
        <w:t>RINVOQ</w:t>
      </w:r>
      <w:r w:rsidRPr="00F30805">
        <w:rPr>
          <w:rFonts w:ascii="Arial" w:hAnsi="Arial" w:cs="Arial"/>
        </w:rPr>
        <w:t xml:space="preserve">. Interrupt </w:t>
      </w:r>
      <w:r w:rsidR="00A700BC" w:rsidRPr="00F30805">
        <w:rPr>
          <w:rFonts w:ascii="Arial" w:hAnsi="Arial" w:cs="Arial"/>
        </w:rPr>
        <w:t>RINVOQ</w:t>
      </w:r>
      <w:r w:rsidRPr="00F30805">
        <w:rPr>
          <w:rFonts w:ascii="Arial" w:hAnsi="Arial" w:cs="Arial"/>
        </w:rPr>
        <w:t xml:space="preserve"> if a patient develops a serious or opportunistic infection. A patient who develops a new infection during treatment with </w:t>
      </w:r>
      <w:r w:rsidR="00A700BC" w:rsidRPr="00F30805">
        <w:rPr>
          <w:rFonts w:ascii="Arial" w:hAnsi="Arial" w:cs="Arial"/>
        </w:rPr>
        <w:t>RINVOQ</w:t>
      </w:r>
      <w:r w:rsidRPr="00F30805">
        <w:rPr>
          <w:rFonts w:ascii="Arial" w:hAnsi="Arial" w:cs="Arial"/>
        </w:rPr>
        <w:t xml:space="preserve"> should undergo prompt and complete diagnostic testing appropriate for an immunocompromised patient; appropriate antimicrobial therapy should be initiated, the patient should be closely monitored, and </w:t>
      </w:r>
      <w:r w:rsidR="00A700BC" w:rsidRPr="00F30805">
        <w:rPr>
          <w:rFonts w:ascii="Arial" w:hAnsi="Arial" w:cs="Arial"/>
        </w:rPr>
        <w:t>RINVOQ</w:t>
      </w:r>
      <w:r w:rsidRPr="00F30805">
        <w:rPr>
          <w:rFonts w:ascii="Arial" w:hAnsi="Arial" w:cs="Arial"/>
        </w:rPr>
        <w:t xml:space="preserve"> should be interrupted if the patient is not responding to antimicrobial therapy. </w:t>
      </w:r>
      <w:r w:rsidR="00A700BC" w:rsidRPr="00F30805">
        <w:rPr>
          <w:rFonts w:ascii="Arial" w:hAnsi="Arial" w:cs="Arial"/>
        </w:rPr>
        <w:t>RINVOQ</w:t>
      </w:r>
      <w:r w:rsidRPr="00F30805">
        <w:rPr>
          <w:rFonts w:ascii="Arial" w:hAnsi="Arial" w:cs="Arial"/>
        </w:rPr>
        <w:t xml:space="preserve"> may be resumed once the infection is controlled.</w:t>
      </w:r>
    </w:p>
    <w:p w14:paraId="526B3B33" w14:textId="028CEFA7" w:rsidR="00705357" w:rsidRPr="00F30805" w:rsidRDefault="00A91D7D" w:rsidP="00A961FC">
      <w:pPr>
        <w:spacing w:before="120"/>
        <w:rPr>
          <w:rFonts w:ascii="Arial" w:hAnsi="Arial" w:cs="Arial"/>
        </w:rPr>
      </w:pPr>
      <w:r w:rsidRPr="00F30805">
        <w:rPr>
          <w:rFonts w:ascii="Arial" w:hAnsi="Arial" w:cs="Arial"/>
        </w:rPr>
        <w:t xml:space="preserve">As there is a higher incidence of infections in the elderly and in the diabetic populations in general, caution </w:t>
      </w:r>
      <w:r w:rsidR="00705357" w:rsidRPr="00F30805">
        <w:rPr>
          <w:rFonts w:ascii="Arial" w:hAnsi="Arial" w:cs="Arial"/>
        </w:rPr>
        <w:t>should be used when treating the elderly and patients with diabetes.</w:t>
      </w:r>
    </w:p>
    <w:p w14:paraId="5AF5E3E7" w14:textId="77777777" w:rsidR="00E45FF1" w:rsidRPr="00F30805" w:rsidRDefault="00E45FF1" w:rsidP="00734BF8">
      <w:pPr>
        <w:pStyle w:val="Heading3"/>
      </w:pPr>
      <w:r w:rsidRPr="00F30805">
        <w:t xml:space="preserve">Tuberculosis </w:t>
      </w:r>
    </w:p>
    <w:p w14:paraId="2634F534" w14:textId="4200FD57" w:rsidR="00E45FF1" w:rsidRPr="00F30805" w:rsidRDefault="00E45FF1" w:rsidP="00A961FC">
      <w:pPr>
        <w:spacing w:before="120"/>
        <w:rPr>
          <w:rFonts w:ascii="Arial" w:hAnsi="Arial" w:cs="Arial"/>
        </w:rPr>
      </w:pPr>
      <w:r w:rsidRPr="00F30805">
        <w:rPr>
          <w:rFonts w:ascii="Arial" w:hAnsi="Arial" w:cs="Arial"/>
        </w:rPr>
        <w:t xml:space="preserve">Patients should be screened for tuberculosis (TB) before starting </w:t>
      </w:r>
      <w:r w:rsidR="00A700BC" w:rsidRPr="00F30805">
        <w:rPr>
          <w:rFonts w:ascii="Arial" w:hAnsi="Arial" w:cs="Arial"/>
        </w:rPr>
        <w:t>RINVOQ</w:t>
      </w:r>
      <w:r w:rsidRPr="00F30805">
        <w:rPr>
          <w:rFonts w:ascii="Arial" w:hAnsi="Arial" w:cs="Arial"/>
        </w:rPr>
        <w:t xml:space="preserve"> therapy. </w:t>
      </w:r>
      <w:r w:rsidR="00A700BC" w:rsidRPr="00F30805">
        <w:rPr>
          <w:rFonts w:ascii="Arial" w:hAnsi="Arial" w:cs="Arial"/>
        </w:rPr>
        <w:t>RINVOQ</w:t>
      </w:r>
      <w:r w:rsidRPr="00F30805">
        <w:rPr>
          <w:rFonts w:ascii="Arial" w:hAnsi="Arial" w:cs="Arial"/>
        </w:rPr>
        <w:t xml:space="preserve"> should not be given to patients with active TB. Anti-TB therapy should be considered prior to initiation of </w:t>
      </w:r>
      <w:r w:rsidR="00A700BC" w:rsidRPr="00F30805">
        <w:rPr>
          <w:rFonts w:ascii="Arial" w:hAnsi="Arial" w:cs="Arial"/>
        </w:rPr>
        <w:t>RINVOQ</w:t>
      </w:r>
      <w:r w:rsidRPr="00F30805">
        <w:rPr>
          <w:rFonts w:ascii="Arial" w:hAnsi="Arial" w:cs="Arial"/>
        </w:rPr>
        <w:t xml:space="preserve"> in patients with previously untreated latent TB</w:t>
      </w:r>
      <w:r w:rsidR="000D4C47" w:rsidRPr="00F30805">
        <w:rPr>
          <w:rFonts w:ascii="Arial" w:hAnsi="Arial" w:cs="Arial"/>
        </w:rPr>
        <w:t xml:space="preserve"> or active TB in whom an </w:t>
      </w:r>
      <w:r w:rsidR="000D4C47" w:rsidRPr="00F30805">
        <w:rPr>
          <w:rFonts w:ascii="Arial" w:hAnsi="Arial" w:cs="Arial"/>
        </w:rPr>
        <w:lastRenderedPageBreak/>
        <w:t>adequate course of treatment cannot be confirmed, and for patients with a negative test for latent TB</w:t>
      </w:r>
      <w:r w:rsidR="00332784" w:rsidRPr="00F30805">
        <w:rPr>
          <w:rFonts w:ascii="Arial" w:hAnsi="Arial" w:cs="Arial"/>
        </w:rPr>
        <w:t xml:space="preserve"> but who have risk factors for TB infection</w:t>
      </w:r>
      <w:r w:rsidRPr="00F30805">
        <w:rPr>
          <w:rFonts w:ascii="Arial" w:hAnsi="Arial" w:cs="Arial"/>
        </w:rPr>
        <w:t>.</w:t>
      </w:r>
    </w:p>
    <w:p w14:paraId="58AF8F06" w14:textId="77777777" w:rsidR="00E45FF1" w:rsidRPr="00F30805" w:rsidRDefault="00E45FF1" w:rsidP="00A961FC">
      <w:pPr>
        <w:spacing w:before="120"/>
        <w:rPr>
          <w:rFonts w:ascii="Arial" w:hAnsi="Arial" w:cs="Arial"/>
        </w:rPr>
      </w:pPr>
      <w:r w:rsidRPr="00F30805">
        <w:rPr>
          <w:rFonts w:ascii="Arial" w:hAnsi="Arial" w:cs="Arial"/>
        </w:rPr>
        <w:t>Consultation with a physician with expertise in the treatment of TB is recommended to aid in the decision about whether initiating anti-TB therapy is appropriate for an individual patient.</w:t>
      </w:r>
    </w:p>
    <w:p w14:paraId="4D029DDE" w14:textId="2AEB2E60" w:rsidR="00F23E5C" w:rsidRPr="00F30805" w:rsidRDefault="00E45FF1" w:rsidP="00A961FC">
      <w:pPr>
        <w:spacing w:before="120"/>
        <w:rPr>
          <w:rFonts w:ascii="Arial" w:hAnsi="Arial" w:cs="Arial"/>
        </w:rPr>
      </w:pPr>
      <w:r w:rsidRPr="00F30805">
        <w:rPr>
          <w:rFonts w:ascii="Arial" w:hAnsi="Arial" w:cs="Arial"/>
        </w:rPr>
        <w:t>Monitor patients for the development of signs and symptoms of TB, including patients who tested negative for latent TB infection prior to initiating therapy.</w:t>
      </w:r>
    </w:p>
    <w:p w14:paraId="6D4666D3" w14:textId="4FCC73F9" w:rsidR="00E45FF1" w:rsidRPr="00F30805" w:rsidRDefault="00E45FF1" w:rsidP="00734BF8">
      <w:pPr>
        <w:pStyle w:val="Heading3"/>
      </w:pPr>
      <w:r w:rsidRPr="00F30805">
        <w:t xml:space="preserve">Viral reactivation </w:t>
      </w:r>
    </w:p>
    <w:p w14:paraId="40E3A2D1" w14:textId="6B18F176" w:rsidR="00E45FF1" w:rsidRPr="00F30805" w:rsidRDefault="00E45FF1" w:rsidP="00A961FC">
      <w:pPr>
        <w:spacing w:before="120"/>
        <w:rPr>
          <w:rFonts w:ascii="Arial" w:hAnsi="Arial" w:cs="Arial"/>
        </w:rPr>
      </w:pPr>
      <w:r w:rsidRPr="00F30805">
        <w:rPr>
          <w:rFonts w:ascii="Arial" w:hAnsi="Arial" w:cs="Arial"/>
        </w:rPr>
        <w:t>Viral reactivation, including cases of herpes virus reactivation (e.g., herpes zoster)</w:t>
      </w:r>
      <w:r w:rsidR="002C7F98" w:rsidRPr="00F30805">
        <w:rPr>
          <w:rFonts w:ascii="Arial" w:hAnsi="Arial" w:cs="Arial"/>
        </w:rPr>
        <w:t xml:space="preserve"> and hepatitis B virus reactivation</w:t>
      </w:r>
      <w:r w:rsidRPr="00F30805">
        <w:rPr>
          <w:rFonts w:ascii="Arial" w:hAnsi="Arial" w:cs="Arial"/>
        </w:rPr>
        <w:t xml:space="preserve">, were reported in clinical studies (see </w:t>
      </w:r>
      <w:r w:rsidRPr="00F30805">
        <w:rPr>
          <w:rFonts w:ascii="Arial" w:hAnsi="Arial" w:cs="Arial"/>
          <w:b/>
          <w:bCs/>
        </w:rPr>
        <w:t>4.8 ADVERSE EFFECTS</w:t>
      </w:r>
      <w:r w:rsidRPr="00F30805">
        <w:rPr>
          <w:rFonts w:ascii="Arial" w:hAnsi="Arial" w:cs="Arial"/>
        </w:rPr>
        <w:t xml:space="preserve">). If a patient develops herpes zoster, consider temporarily interrupting </w:t>
      </w:r>
      <w:r w:rsidR="00A700BC" w:rsidRPr="00F30805">
        <w:rPr>
          <w:rFonts w:ascii="Arial" w:hAnsi="Arial" w:cs="Arial"/>
        </w:rPr>
        <w:t>RINVOQ</w:t>
      </w:r>
      <w:r w:rsidRPr="00F30805">
        <w:rPr>
          <w:rFonts w:ascii="Arial" w:hAnsi="Arial" w:cs="Arial"/>
        </w:rPr>
        <w:t xml:space="preserve"> until the episode resolves.</w:t>
      </w:r>
    </w:p>
    <w:p w14:paraId="77E9F0A2" w14:textId="4E30A438" w:rsidR="00E45FF1" w:rsidRPr="00F30805" w:rsidRDefault="00E45FF1" w:rsidP="00A961FC">
      <w:pPr>
        <w:spacing w:before="120"/>
        <w:rPr>
          <w:rFonts w:ascii="Arial" w:hAnsi="Arial" w:cs="Arial"/>
        </w:rPr>
      </w:pPr>
      <w:r w:rsidRPr="00F30805">
        <w:rPr>
          <w:rFonts w:ascii="Arial" w:hAnsi="Arial" w:cs="Arial"/>
        </w:rPr>
        <w:t xml:space="preserve">Screening for viral hepatitis and monitoring for reactivation should be performed in accordance with clinical guidelines before starting and during therapy with </w:t>
      </w:r>
      <w:r w:rsidR="00A700BC" w:rsidRPr="00F30805">
        <w:rPr>
          <w:rFonts w:ascii="Arial" w:hAnsi="Arial" w:cs="Arial"/>
        </w:rPr>
        <w:t>RINVOQ</w:t>
      </w:r>
      <w:r w:rsidRPr="00F30805">
        <w:rPr>
          <w:rFonts w:ascii="Arial" w:hAnsi="Arial" w:cs="Arial"/>
        </w:rPr>
        <w:t xml:space="preserve">. Patients who were positive for hepatitis C antibody and hepatitis C virus RNA, were excluded from clinical studies. Patients who were positive for hepatitis B surface antigen or hepatitis B virus DNA were excluded from clinical studies. </w:t>
      </w:r>
      <w:r w:rsidR="002C7F98" w:rsidRPr="00F30805">
        <w:rPr>
          <w:rFonts w:ascii="Arial" w:hAnsi="Arial" w:cs="Arial"/>
        </w:rPr>
        <w:t>However, cases of hepatitis B</w:t>
      </w:r>
      <w:r w:rsidR="00D85143" w:rsidRPr="00F30805">
        <w:rPr>
          <w:rFonts w:ascii="Arial" w:hAnsi="Arial" w:cs="Arial"/>
        </w:rPr>
        <w:t xml:space="preserve"> reactivation were still reported in patients enrolled in the Phase 3 studies of RINVOQ. </w:t>
      </w:r>
      <w:r w:rsidRPr="00F30805">
        <w:rPr>
          <w:rFonts w:ascii="Arial" w:hAnsi="Arial" w:cs="Arial"/>
        </w:rPr>
        <w:t xml:space="preserve">If hepatitis B virus DNA is detected while receiving </w:t>
      </w:r>
      <w:r w:rsidR="00A700BC" w:rsidRPr="00F30805">
        <w:rPr>
          <w:rFonts w:ascii="Arial" w:hAnsi="Arial" w:cs="Arial"/>
        </w:rPr>
        <w:t>RINVOQ</w:t>
      </w:r>
      <w:r w:rsidRPr="00F30805">
        <w:rPr>
          <w:rFonts w:ascii="Arial" w:hAnsi="Arial" w:cs="Arial"/>
        </w:rPr>
        <w:t>, a liver specialist should be consulted.</w:t>
      </w:r>
    </w:p>
    <w:p w14:paraId="64C16658" w14:textId="77777777" w:rsidR="00E45FF1" w:rsidRPr="00F30805" w:rsidRDefault="00E45FF1" w:rsidP="00734BF8">
      <w:pPr>
        <w:pStyle w:val="Heading3"/>
      </w:pPr>
      <w:r w:rsidRPr="00F30805">
        <w:t>Vaccination</w:t>
      </w:r>
    </w:p>
    <w:p w14:paraId="6A802298" w14:textId="07F1B00C" w:rsidR="00E45FF1" w:rsidRPr="00F30805" w:rsidRDefault="00E45FF1" w:rsidP="00A961FC">
      <w:pPr>
        <w:spacing w:before="120"/>
        <w:rPr>
          <w:rFonts w:ascii="Arial" w:hAnsi="Arial" w:cs="Arial"/>
        </w:rPr>
      </w:pPr>
      <w:r w:rsidRPr="00F30805">
        <w:rPr>
          <w:rFonts w:ascii="Arial" w:hAnsi="Arial" w:cs="Arial"/>
        </w:rPr>
        <w:t>No data are available on the response to vaccination with live or inactivated vaccines in patients receiving</w:t>
      </w:r>
      <w:r w:rsidR="00FF7764" w:rsidRPr="00F30805">
        <w:rPr>
          <w:rFonts w:ascii="Arial" w:hAnsi="Arial" w:cs="Arial"/>
        </w:rPr>
        <w:t xml:space="preserve"> </w:t>
      </w:r>
      <w:r w:rsidR="00B83908" w:rsidRPr="00F30805">
        <w:rPr>
          <w:rFonts w:ascii="Arial" w:hAnsi="Arial" w:cs="Arial"/>
        </w:rPr>
        <w:t>RINVOQ</w:t>
      </w:r>
      <w:r w:rsidRPr="00F30805">
        <w:rPr>
          <w:rFonts w:ascii="Arial" w:hAnsi="Arial" w:cs="Arial"/>
        </w:rPr>
        <w:t xml:space="preserve">. Use of live, attenuated vaccines during, or immediately prior to, </w:t>
      </w:r>
      <w:r w:rsidR="00A700BC" w:rsidRPr="00F30805">
        <w:rPr>
          <w:rFonts w:ascii="Arial" w:hAnsi="Arial" w:cs="Arial"/>
        </w:rPr>
        <w:t>RINVOQ</w:t>
      </w:r>
      <w:r w:rsidRPr="00F30805">
        <w:rPr>
          <w:rFonts w:ascii="Arial" w:hAnsi="Arial" w:cs="Arial"/>
        </w:rPr>
        <w:t xml:space="preserve"> therapy is not recommended. Prior to initiating </w:t>
      </w:r>
      <w:r w:rsidR="00A700BC" w:rsidRPr="00F30805">
        <w:rPr>
          <w:rFonts w:ascii="Arial" w:hAnsi="Arial" w:cs="Arial"/>
        </w:rPr>
        <w:t>RINVOQ</w:t>
      </w:r>
      <w:r w:rsidRPr="00F30805">
        <w:rPr>
          <w:rFonts w:ascii="Arial" w:hAnsi="Arial" w:cs="Arial"/>
        </w:rPr>
        <w:t>, it is recommended that patients be brought up to date with all immunisations, including prophylactic zoster vaccinations, in agreement with current immunisation guidelines.</w:t>
      </w:r>
    </w:p>
    <w:p w14:paraId="3BF4EE48" w14:textId="4DF9CF8F" w:rsidR="000546C5" w:rsidRPr="00F30805" w:rsidRDefault="005078CC" w:rsidP="00734BF8">
      <w:pPr>
        <w:pStyle w:val="Heading3"/>
      </w:pPr>
      <w:r w:rsidRPr="00F30805">
        <w:t>Thrombosis</w:t>
      </w:r>
    </w:p>
    <w:p w14:paraId="73CE7836" w14:textId="77777777" w:rsidR="00AB28FF" w:rsidRPr="00F30805" w:rsidRDefault="00AB28FF" w:rsidP="003C5F17">
      <w:pPr>
        <w:spacing w:before="120" w:after="120"/>
        <w:rPr>
          <w:rFonts w:ascii="Arial" w:hAnsi="Arial" w:cs="Arial"/>
          <w:bCs/>
        </w:rPr>
      </w:pPr>
      <w:r w:rsidRPr="00F30805">
        <w:rPr>
          <w:rFonts w:ascii="Arial" w:hAnsi="Arial" w:cs="Arial"/>
          <w:bCs/>
        </w:rPr>
        <w:t>Thrombosis, including deep venous thrombosis, pulmonary embolism and arterial thrombosis, have occurred in patients treated for inflammatory conditions with Janus kinase (JAK) inhibitors, including RINVOQ. Many of these adverse events were serious and some resulted in death.</w:t>
      </w:r>
    </w:p>
    <w:p w14:paraId="642224E2" w14:textId="6F296F47" w:rsidR="00AB28FF" w:rsidRPr="00F30805" w:rsidRDefault="00AB28FF" w:rsidP="003C5F17">
      <w:pPr>
        <w:spacing w:before="120" w:after="120"/>
        <w:rPr>
          <w:rFonts w:ascii="Arial" w:hAnsi="Arial" w:cs="Arial"/>
          <w:bCs/>
        </w:rPr>
      </w:pPr>
      <w:r w:rsidRPr="00F30805">
        <w:rPr>
          <w:rFonts w:ascii="Arial" w:hAnsi="Arial" w:cs="Arial"/>
          <w:bCs/>
        </w:rPr>
        <w:t>Consider the risks and benefits of RINVOQ treatment prior to treating patients who may be at increased risk of thrombosis. If symptoms of thrombosis occur,</w:t>
      </w:r>
      <w:r w:rsidR="005D0D2A" w:rsidRPr="00F30805">
        <w:rPr>
          <w:rFonts w:ascii="Arial" w:hAnsi="Arial" w:cs="Arial"/>
          <w:bCs/>
        </w:rPr>
        <w:t xml:space="preserve"> upadacitinib treatment should be temporarily interrupted and</w:t>
      </w:r>
      <w:r w:rsidRPr="00F30805">
        <w:rPr>
          <w:rFonts w:ascii="Arial" w:hAnsi="Arial" w:cs="Arial"/>
          <w:bCs/>
        </w:rPr>
        <w:t xml:space="preserve"> patients should be evaluated promptly</w:t>
      </w:r>
      <w:r w:rsidR="005D0D2A" w:rsidRPr="00F30805">
        <w:rPr>
          <w:rFonts w:ascii="Arial" w:hAnsi="Arial" w:cs="Arial"/>
          <w:bCs/>
        </w:rPr>
        <w:t>, followed by appropriate treatment</w:t>
      </w:r>
      <w:r w:rsidRPr="00F30805">
        <w:rPr>
          <w:rFonts w:ascii="Arial" w:hAnsi="Arial" w:cs="Arial"/>
          <w:bCs/>
        </w:rPr>
        <w:t xml:space="preserve">. </w:t>
      </w:r>
    </w:p>
    <w:p w14:paraId="37ACA7B4" w14:textId="082B3B37" w:rsidR="00AB28FF" w:rsidRPr="00F30805" w:rsidRDefault="00AB28FF" w:rsidP="00AB28FF">
      <w:pPr>
        <w:pStyle w:val="Heading3"/>
      </w:pPr>
      <w:r w:rsidRPr="00F30805">
        <w:lastRenderedPageBreak/>
        <w:t>Cardiovascular risk</w:t>
      </w:r>
    </w:p>
    <w:p w14:paraId="0FE4C287" w14:textId="36230F35" w:rsidR="00AB28FF" w:rsidRPr="00F30805" w:rsidRDefault="00AB28FF" w:rsidP="00AB28FF">
      <w:pPr>
        <w:rPr>
          <w:rFonts w:ascii="Arial" w:hAnsi="Arial" w:cs="Arial"/>
        </w:rPr>
      </w:pPr>
      <w:r w:rsidRPr="00F30805">
        <w:rPr>
          <w:rFonts w:ascii="Arial" w:hAnsi="Arial" w:cs="Arial"/>
        </w:rPr>
        <w:t>Rheumatoid arthritis patients have an increased risk for cardiovascular disorders. Patients treated with upadacitinib should have risk factors (e</w:t>
      </w:r>
      <w:r w:rsidR="001F08CA" w:rsidRPr="00F30805">
        <w:rPr>
          <w:rFonts w:ascii="Arial" w:hAnsi="Arial" w:cs="Arial"/>
        </w:rPr>
        <w:t>.</w:t>
      </w:r>
      <w:r w:rsidRPr="00F30805">
        <w:rPr>
          <w:rFonts w:ascii="Arial" w:hAnsi="Arial" w:cs="Arial"/>
        </w:rPr>
        <w:t>g</w:t>
      </w:r>
      <w:r w:rsidR="001F08CA" w:rsidRPr="00F30805">
        <w:rPr>
          <w:rFonts w:ascii="Arial" w:hAnsi="Arial" w:cs="Arial"/>
        </w:rPr>
        <w:t>.,</w:t>
      </w:r>
      <w:r w:rsidRPr="00F30805">
        <w:rPr>
          <w:rFonts w:ascii="Arial" w:hAnsi="Arial" w:cs="Arial"/>
        </w:rPr>
        <w:t xml:space="preserve"> hypertension, hyperlipidaemia) managed as part of usual standard of care.</w:t>
      </w:r>
    </w:p>
    <w:p w14:paraId="50BC1F3F" w14:textId="334A1758" w:rsidR="00E45FF1" w:rsidRPr="00F30805" w:rsidRDefault="00E45FF1" w:rsidP="00E80864">
      <w:pPr>
        <w:pStyle w:val="Heading3"/>
      </w:pPr>
      <w:r w:rsidRPr="00F30805">
        <w:t xml:space="preserve">Malignancy </w:t>
      </w:r>
    </w:p>
    <w:p w14:paraId="5C07A1A8" w14:textId="79BD80C5" w:rsidR="00E45FF1" w:rsidRPr="00F30805" w:rsidRDefault="00E45FF1" w:rsidP="00A961FC">
      <w:pPr>
        <w:spacing w:before="120"/>
        <w:rPr>
          <w:rFonts w:ascii="Arial" w:hAnsi="Arial" w:cs="Arial"/>
        </w:rPr>
      </w:pPr>
      <w:r w:rsidRPr="00F30805">
        <w:rPr>
          <w:rFonts w:ascii="Arial" w:hAnsi="Arial" w:cs="Arial"/>
        </w:rPr>
        <w:t xml:space="preserve">The risk of malignancies including lymphoma is increased in patients with rheumatoid arthritis. Immunomodulatory medications may increase the risk of malignancies including lymphoma. </w:t>
      </w:r>
      <w:r w:rsidR="004C07E2" w:rsidRPr="00F30805">
        <w:rPr>
          <w:rFonts w:ascii="Arial" w:hAnsi="Arial" w:cs="Arial"/>
        </w:rPr>
        <w:t>The clinical data are currently limited and long-term studies are ongoing.</w:t>
      </w:r>
    </w:p>
    <w:p w14:paraId="2BD187D8" w14:textId="4A89A42A" w:rsidR="00E45FF1" w:rsidRPr="00F30805" w:rsidRDefault="00E45FF1" w:rsidP="00A961FC">
      <w:pPr>
        <w:spacing w:before="120"/>
        <w:rPr>
          <w:rFonts w:ascii="Arial" w:hAnsi="Arial" w:cs="Arial"/>
        </w:rPr>
      </w:pPr>
      <w:r w:rsidRPr="00F30805">
        <w:rPr>
          <w:rFonts w:ascii="Arial" w:hAnsi="Arial" w:cs="Arial"/>
        </w:rPr>
        <w:t>Malignancies</w:t>
      </w:r>
      <w:r w:rsidR="004C07E2" w:rsidRPr="00F30805">
        <w:rPr>
          <w:rFonts w:ascii="Arial" w:hAnsi="Arial" w:cs="Arial"/>
        </w:rPr>
        <w:t xml:space="preserve"> (including lymphomas)</w:t>
      </w:r>
      <w:r w:rsidRPr="00F30805">
        <w:rPr>
          <w:rFonts w:ascii="Arial" w:hAnsi="Arial" w:cs="Arial"/>
        </w:rPr>
        <w:t xml:space="preserve"> </w:t>
      </w:r>
      <w:r w:rsidR="00956C29" w:rsidRPr="00F30805">
        <w:rPr>
          <w:rFonts w:ascii="Arial" w:hAnsi="Arial" w:cs="Arial"/>
        </w:rPr>
        <w:t xml:space="preserve">have been </w:t>
      </w:r>
      <w:r w:rsidRPr="00F30805">
        <w:rPr>
          <w:rFonts w:ascii="Arial" w:hAnsi="Arial" w:cs="Arial"/>
        </w:rPr>
        <w:t xml:space="preserve">observed in clinical studies of </w:t>
      </w:r>
      <w:r w:rsidR="00A700BC" w:rsidRPr="00F30805">
        <w:rPr>
          <w:rFonts w:ascii="Arial" w:hAnsi="Arial" w:cs="Arial"/>
        </w:rPr>
        <w:t>RINVOQ</w:t>
      </w:r>
      <w:r w:rsidRPr="00F30805">
        <w:rPr>
          <w:rFonts w:ascii="Arial" w:hAnsi="Arial" w:cs="Arial"/>
        </w:rPr>
        <w:t xml:space="preserve"> (see </w:t>
      </w:r>
      <w:r w:rsidRPr="00F30805">
        <w:rPr>
          <w:rFonts w:ascii="Arial" w:hAnsi="Arial" w:cs="Arial"/>
          <w:b/>
        </w:rPr>
        <w:t>4.8 ADVERSE EFFECTS</w:t>
      </w:r>
      <w:r w:rsidRPr="00F30805">
        <w:rPr>
          <w:rFonts w:ascii="Arial" w:hAnsi="Arial" w:cs="Arial"/>
        </w:rPr>
        <w:t xml:space="preserve">).  Consider the risks and benefits of </w:t>
      </w:r>
      <w:r w:rsidR="00A700BC" w:rsidRPr="00F30805">
        <w:rPr>
          <w:rFonts w:ascii="Arial" w:hAnsi="Arial" w:cs="Arial"/>
        </w:rPr>
        <w:t>RINVOQ</w:t>
      </w:r>
      <w:r w:rsidRPr="00F30805">
        <w:rPr>
          <w:rFonts w:ascii="Arial" w:hAnsi="Arial" w:cs="Arial"/>
        </w:rPr>
        <w:t xml:space="preserve"> treatment prior to initiating therapy in patients with a known malignancy other than a successfully treated non-melanoma skin cancer (NMSC) or when considering continuing </w:t>
      </w:r>
      <w:r w:rsidR="00A700BC" w:rsidRPr="00F30805">
        <w:rPr>
          <w:rFonts w:ascii="Arial" w:hAnsi="Arial" w:cs="Arial"/>
        </w:rPr>
        <w:t>RINVOQ</w:t>
      </w:r>
      <w:r w:rsidRPr="00F30805">
        <w:rPr>
          <w:rFonts w:ascii="Arial" w:hAnsi="Arial" w:cs="Arial"/>
        </w:rPr>
        <w:t xml:space="preserve"> in patients who develop a malignancy.</w:t>
      </w:r>
    </w:p>
    <w:p w14:paraId="20552CD5" w14:textId="77777777" w:rsidR="00E45FF1" w:rsidRPr="00F30805" w:rsidRDefault="00E45FF1" w:rsidP="00F71672">
      <w:pPr>
        <w:pStyle w:val="Heading4"/>
      </w:pPr>
      <w:r w:rsidRPr="00F30805">
        <w:t>Non-Melanoma Skin Cancer</w:t>
      </w:r>
    </w:p>
    <w:p w14:paraId="7EA5A62A" w14:textId="61F7DDD3" w:rsidR="00E45FF1" w:rsidRPr="00F30805" w:rsidRDefault="00E45FF1" w:rsidP="00A961FC">
      <w:pPr>
        <w:spacing w:before="120"/>
        <w:rPr>
          <w:rFonts w:ascii="Arial" w:hAnsi="Arial" w:cs="Arial"/>
        </w:rPr>
      </w:pPr>
      <w:r w:rsidRPr="00F30805">
        <w:rPr>
          <w:rFonts w:ascii="Arial" w:hAnsi="Arial" w:cs="Arial"/>
        </w:rPr>
        <w:t xml:space="preserve">NMSCs have been reported in patients treated with </w:t>
      </w:r>
      <w:r w:rsidR="00A700BC" w:rsidRPr="00F30805">
        <w:rPr>
          <w:rFonts w:ascii="Arial" w:hAnsi="Arial" w:cs="Arial"/>
        </w:rPr>
        <w:t>RINVOQ</w:t>
      </w:r>
      <w:r w:rsidRPr="00F30805">
        <w:rPr>
          <w:rFonts w:ascii="Arial" w:hAnsi="Arial" w:cs="Arial"/>
        </w:rPr>
        <w:t>. Periodic skin examination is recommended for patients who are at increased risk for skin cancer.</w:t>
      </w:r>
    </w:p>
    <w:p w14:paraId="7D0F6B68" w14:textId="6F8363C6" w:rsidR="009172B3" w:rsidRPr="00F30805" w:rsidRDefault="009172B3" w:rsidP="000546C5">
      <w:pPr>
        <w:pStyle w:val="Heading3"/>
        <w:rPr>
          <w:rFonts w:cs="Arial"/>
        </w:rPr>
      </w:pPr>
      <w:r w:rsidRPr="00F30805">
        <w:rPr>
          <w:rFonts w:cs="Arial"/>
        </w:rPr>
        <w:t>Use in Hepatic Impairment</w:t>
      </w:r>
    </w:p>
    <w:p w14:paraId="301622E1" w14:textId="12CC1A3E" w:rsidR="009172B3" w:rsidRPr="00F30805" w:rsidRDefault="009172B3" w:rsidP="009172B3">
      <w:pPr>
        <w:rPr>
          <w:rFonts w:ascii="Arial" w:hAnsi="Arial" w:cs="Arial"/>
        </w:rPr>
      </w:pPr>
      <w:r w:rsidRPr="00F30805">
        <w:rPr>
          <w:rFonts w:ascii="Arial" w:hAnsi="Arial" w:cs="Arial"/>
        </w:rPr>
        <w:t xml:space="preserve">See </w:t>
      </w:r>
      <w:r w:rsidR="00094283" w:rsidRPr="00F30805">
        <w:rPr>
          <w:rFonts w:ascii="Arial" w:hAnsi="Arial" w:cs="Arial"/>
          <w:b/>
          <w:bCs/>
        </w:rPr>
        <w:t>4.2 DOSE AND METHOD OF ADMINISTRATION</w:t>
      </w:r>
      <w:r w:rsidR="00094283" w:rsidRPr="00F30805">
        <w:rPr>
          <w:rFonts w:ascii="Arial" w:hAnsi="Arial" w:cs="Arial"/>
        </w:rPr>
        <w:t xml:space="preserve"> and </w:t>
      </w:r>
      <w:r w:rsidR="00094283" w:rsidRPr="00F30805">
        <w:rPr>
          <w:rFonts w:ascii="Arial" w:hAnsi="Arial" w:cs="Arial"/>
          <w:b/>
          <w:bCs/>
        </w:rPr>
        <w:t>5 PHARMACOLOGICAL PROPERTIES</w:t>
      </w:r>
      <w:r w:rsidR="00094283" w:rsidRPr="00F30805">
        <w:rPr>
          <w:rFonts w:ascii="Arial" w:hAnsi="Arial" w:cs="Arial"/>
        </w:rPr>
        <w:t>.</w:t>
      </w:r>
    </w:p>
    <w:p w14:paraId="3B178235" w14:textId="526A4612" w:rsidR="00094283" w:rsidRPr="00F30805" w:rsidRDefault="00094283" w:rsidP="00094283">
      <w:pPr>
        <w:pStyle w:val="Heading3"/>
      </w:pPr>
      <w:r w:rsidRPr="00F30805">
        <w:t>Use in Renal Impairment</w:t>
      </w:r>
    </w:p>
    <w:p w14:paraId="520F0D2F" w14:textId="3FD3BD92" w:rsidR="00094283" w:rsidRPr="00F30805" w:rsidRDefault="00094283" w:rsidP="00094283">
      <w:pPr>
        <w:rPr>
          <w:rFonts w:ascii="Arial" w:hAnsi="Arial" w:cs="Arial"/>
        </w:rPr>
      </w:pPr>
      <w:r w:rsidRPr="00F30805">
        <w:rPr>
          <w:rFonts w:ascii="Arial" w:hAnsi="Arial" w:cs="Arial"/>
        </w:rPr>
        <w:t xml:space="preserve">See </w:t>
      </w:r>
      <w:r w:rsidRPr="00F30805">
        <w:rPr>
          <w:rFonts w:ascii="Arial" w:hAnsi="Arial" w:cs="Arial"/>
          <w:b/>
          <w:bCs/>
        </w:rPr>
        <w:t>4.2 DOSE AND METHOD OF ADMINISTRATION</w:t>
      </w:r>
      <w:r w:rsidRPr="00F30805">
        <w:rPr>
          <w:rFonts w:ascii="Arial" w:hAnsi="Arial" w:cs="Arial"/>
        </w:rPr>
        <w:t xml:space="preserve"> and </w:t>
      </w:r>
      <w:r w:rsidRPr="00F30805">
        <w:rPr>
          <w:rFonts w:ascii="Arial" w:hAnsi="Arial" w:cs="Arial"/>
          <w:b/>
          <w:bCs/>
        </w:rPr>
        <w:t>5 PHARMACOLOGICAL PROPERTIES</w:t>
      </w:r>
      <w:r w:rsidRPr="00F30805">
        <w:rPr>
          <w:rFonts w:ascii="Arial" w:hAnsi="Arial" w:cs="Arial"/>
        </w:rPr>
        <w:t>.</w:t>
      </w:r>
    </w:p>
    <w:p w14:paraId="08EB885F" w14:textId="4A2EB62B" w:rsidR="00270608" w:rsidRPr="00F30805" w:rsidRDefault="00270608" w:rsidP="000546C5">
      <w:pPr>
        <w:pStyle w:val="Heading3"/>
        <w:rPr>
          <w:rFonts w:cs="Arial"/>
        </w:rPr>
      </w:pPr>
      <w:r w:rsidRPr="00F30805">
        <w:rPr>
          <w:rFonts w:cs="Arial"/>
        </w:rPr>
        <w:t>Use in the elderly</w:t>
      </w:r>
    </w:p>
    <w:p w14:paraId="4EDB4B19" w14:textId="2F77B907" w:rsidR="00270608" w:rsidRPr="00F30805" w:rsidRDefault="00270608" w:rsidP="00A961FC">
      <w:pPr>
        <w:spacing w:before="120"/>
        <w:jc w:val="left"/>
        <w:rPr>
          <w:rFonts w:ascii="Arial" w:hAnsi="Arial" w:cs="Arial"/>
        </w:rPr>
      </w:pPr>
      <w:r w:rsidRPr="00F30805">
        <w:rPr>
          <w:rFonts w:ascii="Arial" w:hAnsi="Arial" w:cs="Arial"/>
        </w:rPr>
        <w:t>Of the 4381 patients treated in the five Phase 3 clinical studies, a total of 906 rheumatoid arthritis patients were 65 years of age or older. No differences in effectiveness were observed between these patients and younger patients; however, there was a higher rate of overall adverse events in the elderly.</w:t>
      </w:r>
      <w:r w:rsidR="00C51A38" w:rsidRPr="00F30805">
        <w:rPr>
          <w:rFonts w:ascii="Arial" w:hAnsi="Arial" w:cs="Arial"/>
        </w:rPr>
        <w:t xml:space="preserve"> There are limited data in patients aged 75 years and older.</w:t>
      </w:r>
    </w:p>
    <w:p w14:paraId="4DDCECD3" w14:textId="77777777" w:rsidR="00270608" w:rsidRPr="00F30805" w:rsidRDefault="00270608" w:rsidP="00270608">
      <w:pPr>
        <w:pStyle w:val="Heading3"/>
        <w:spacing w:before="0" w:after="120"/>
        <w:rPr>
          <w:rFonts w:cs="Arial"/>
          <w:b w:val="0"/>
        </w:rPr>
      </w:pPr>
      <w:r w:rsidRPr="00F30805">
        <w:rPr>
          <w:rFonts w:cs="Arial"/>
        </w:rPr>
        <w:t>Paediatric use</w:t>
      </w:r>
    </w:p>
    <w:p w14:paraId="2F764653" w14:textId="6C85BCF2" w:rsidR="00421627" w:rsidRPr="00F30805" w:rsidRDefault="00270608" w:rsidP="001408C3">
      <w:pPr>
        <w:spacing w:before="120"/>
        <w:jc w:val="left"/>
        <w:rPr>
          <w:rFonts w:ascii="Arial" w:hAnsi="Arial" w:cs="Arial"/>
          <w:w w:val="107"/>
        </w:rPr>
      </w:pPr>
      <w:r w:rsidRPr="00F30805">
        <w:rPr>
          <w:rFonts w:ascii="Arial" w:hAnsi="Arial" w:cs="Arial"/>
          <w:w w:val="107"/>
        </w:rPr>
        <w:t xml:space="preserve">The safety and efficacy of </w:t>
      </w:r>
      <w:r w:rsidR="00A700BC" w:rsidRPr="00F30805">
        <w:rPr>
          <w:rFonts w:ascii="Arial" w:hAnsi="Arial" w:cs="Arial"/>
          <w:w w:val="107"/>
        </w:rPr>
        <w:t>RINVOQ</w:t>
      </w:r>
      <w:r w:rsidRPr="00F30805">
        <w:rPr>
          <w:rFonts w:ascii="Arial" w:hAnsi="Arial" w:cs="Arial"/>
          <w:w w:val="107"/>
        </w:rPr>
        <w:t xml:space="preserve"> in children and adolescents aged 0 to</w:t>
      </w:r>
      <w:r w:rsidR="00EE13A0" w:rsidRPr="00F30805">
        <w:rPr>
          <w:rFonts w:ascii="Arial" w:hAnsi="Arial" w:cs="Arial"/>
          <w:w w:val="107"/>
        </w:rPr>
        <w:t xml:space="preserve"> less than</w:t>
      </w:r>
      <w:r w:rsidRPr="00F30805">
        <w:rPr>
          <w:rFonts w:ascii="Arial" w:hAnsi="Arial" w:cs="Arial"/>
          <w:w w:val="107"/>
        </w:rPr>
        <w:t xml:space="preserve"> 18 years have not yet been established. No data are available.</w:t>
      </w:r>
    </w:p>
    <w:p w14:paraId="6774B8AA" w14:textId="77777777" w:rsidR="00270608" w:rsidRPr="00F30805" w:rsidRDefault="00270608" w:rsidP="00270608">
      <w:pPr>
        <w:pStyle w:val="Heading3"/>
        <w:spacing w:before="0" w:after="120"/>
        <w:rPr>
          <w:rFonts w:cs="Arial"/>
          <w:b w:val="0"/>
        </w:rPr>
      </w:pPr>
      <w:r w:rsidRPr="00F30805">
        <w:rPr>
          <w:rFonts w:cs="Arial"/>
        </w:rPr>
        <w:lastRenderedPageBreak/>
        <w:t>Effects on laboratory tests</w:t>
      </w:r>
    </w:p>
    <w:p w14:paraId="03DD3BC9" w14:textId="77777777" w:rsidR="00270608" w:rsidRPr="00F30805" w:rsidRDefault="00270608" w:rsidP="00B73976">
      <w:pPr>
        <w:pStyle w:val="Heading4"/>
      </w:pPr>
      <w:proofErr w:type="spellStart"/>
      <w:r w:rsidRPr="00F30805">
        <w:t>Neutrop</w:t>
      </w:r>
      <w:r w:rsidR="00876773" w:rsidRPr="00F30805">
        <w:t>a</w:t>
      </w:r>
      <w:r w:rsidRPr="00F30805">
        <w:t>enia</w:t>
      </w:r>
      <w:proofErr w:type="spellEnd"/>
    </w:p>
    <w:p w14:paraId="594B4251" w14:textId="2EC32273" w:rsidR="00270608" w:rsidRPr="00F30805" w:rsidRDefault="00270608" w:rsidP="00A961FC">
      <w:pPr>
        <w:spacing w:before="120"/>
        <w:rPr>
          <w:rFonts w:ascii="Arial" w:hAnsi="Arial" w:cs="Arial"/>
        </w:rPr>
      </w:pPr>
      <w:r w:rsidRPr="00F30805">
        <w:rPr>
          <w:rFonts w:ascii="Arial" w:hAnsi="Arial" w:cs="Arial"/>
        </w:rPr>
        <w:t xml:space="preserve">Treatment with </w:t>
      </w:r>
      <w:r w:rsidR="00A700BC" w:rsidRPr="00F30805">
        <w:rPr>
          <w:rFonts w:ascii="Arial" w:hAnsi="Arial" w:cs="Arial"/>
        </w:rPr>
        <w:t>RINVOQ</w:t>
      </w:r>
      <w:r w:rsidRPr="00F30805">
        <w:rPr>
          <w:rFonts w:ascii="Arial" w:hAnsi="Arial" w:cs="Arial"/>
        </w:rPr>
        <w:t xml:space="preserve"> was associated with an increased incidence of </w:t>
      </w:r>
      <w:proofErr w:type="spellStart"/>
      <w:r w:rsidRPr="00F30805">
        <w:rPr>
          <w:rFonts w:ascii="Arial" w:hAnsi="Arial" w:cs="Arial"/>
        </w:rPr>
        <w:t>neutrop</w:t>
      </w:r>
      <w:r w:rsidR="00876773" w:rsidRPr="00F30805">
        <w:rPr>
          <w:rFonts w:ascii="Arial" w:hAnsi="Arial" w:cs="Arial"/>
        </w:rPr>
        <w:t>a</w:t>
      </w:r>
      <w:r w:rsidRPr="00F30805">
        <w:rPr>
          <w:rFonts w:ascii="Arial" w:hAnsi="Arial" w:cs="Arial"/>
        </w:rPr>
        <w:t>enia</w:t>
      </w:r>
      <w:proofErr w:type="spellEnd"/>
      <w:r w:rsidRPr="00F30805">
        <w:rPr>
          <w:rFonts w:ascii="Arial" w:hAnsi="Arial" w:cs="Arial"/>
        </w:rPr>
        <w:t xml:space="preserve"> (ANC &lt;1000 cells/mm</w:t>
      </w:r>
      <w:r w:rsidRPr="00F30805">
        <w:rPr>
          <w:rFonts w:ascii="Arial" w:hAnsi="Arial" w:cs="Arial"/>
          <w:vertAlign w:val="superscript"/>
        </w:rPr>
        <w:t>3</w:t>
      </w:r>
      <w:r w:rsidRPr="00F30805">
        <w:rPr>
          <w:rFonts w:ascii="Arial" w:hAnsi="Arial" w:cs="Arial"/>
        </w:rPr>
        <w:t xml:space="preserve">). </w:t>
      </w:r>
    </w:p>
    <w:p w14:paraId="04CBCB4C" w14:textId="23F0E71C" w:rsidR="00371189" w:rsidRPr="00F30805" w:rsidRDefault="00181AF3" w:rsidP="00A961FC">
      <w:pPr>
        <w:spacing w:before="120"/>
        <w:rPr>
          <w:rFonts w:ascii="Arial" w:hAnsi="Arial" w:cs="Arial"/>
        </w:rPr>
      </w:pPr>
      <w:r w:rsidRPr="00F30805">
        <w:rPr>
          <w:rFonts w:ascii="Arial" w:hAnsi="Arial" w:cs="Arial"/>
        </w:rPr>
        <w:t>Evaluate neutrophil counts at baseline and thereafter according to routine patient management. Avoid initiation of or interrupt RINVOQ treatment in patients with a low neutrophil count (i.e., ANC less than 1000 cells/mm</w:t>
      </w:r>
      <w:r w:rsidRPr="00F30805">
        <w:rPr>
          <w:rFonts w:ascii="Arial" w:hAnsi="Arial" w:cs="Arial"/>
          <w:vertAlign w:val="superscript"/>
        </w:rPr>
        <w:t>3</w:t>
      </w:r>
      <w:r w:rsidRPr="00F30805">
        <w:rPr>
          <w:rFonts w:ascii="Arial" w:hAnsi="Arial" w:cs="Arial"/>
        </w:rPr>
        <w:t>)</w:t>
      </w:r>
      <w:r w:rsidRPr="00F30805">
        <w:rPr>
          <w:rFonts w:ascii="Arial" w:hAnsi="Arial" w:cs="Arial"/>
          <w:iCs/>
        </w:rPr>
        <w:t xml:space="preserve"> </w:t>
      </w:r>
      <w:r w:rsidR="00371189" w:rsidRPr="00F30805">
        <w:rPr>
          <w:rFonts w:ascii="Arial" w:hAnsi="Arial" w:cs="Arial"/>
          <w:iCs/>
        </w:rPr>
        <w:t xml:space="preserve">[see </w:t>
      </w:r>
      <w:r w:rsidR="00371189" w:rsidRPr="00F30805">
        <w:rPr>
          <w:rFonts w:ascii="Arial" w:hAnsi="Arial" w:cs="Arial"/>
          <w:b/>
        </w:rPr>
        <w:t>4.2 DOSE AND METHOD OF ADMINISTRATION</w:t>
      </w:r>
      <w:r w:rsidR="00371189" w:rsidRPr="00F30805">
        <w:rPr>
          <w:rFonts w:ascii="Arial" w:hAnsi="Arial" w:cs="Arial"/>
          <w:iCs/>
        </w:rPr>
        <w:t>]</w:t>
      </w:r>
      <w:r w:rsidR="000853A5" w:rsidRPr="00F30805">
        <w:rPr>
          <w:rFonts w:ascii="Arial" w:hAnsi="Arial" w:cs="Arial"/>
          <w:iCs/>
        </w:rPr>
        <w:t>.</w:t>
      </w:r>
    </w:p>
    <w:p w14:paraId="373C1563" w14:textId="77777777" w:rsidR="00270608" w:rsidRPr="00F30805" w:rsidRDefault="00270608" w:rsidP="00B73976">
      <w:pPr>
        <w:pStyle w:val="Heading4"/>
      </w:pPr>
      <w:proofErr w:type="spellStart"/>
      <w:r w:rsidRPr="00F30805">
        <w:t>Lymphopaenia</w:t>
      </w:r>
      <w:proofErr w:type="spellEnd"/>
    </w:p>
    <w:p w14:paraId="170D4964" w14:textId="2F63B0EE" w:rsidR="00270608" w:rsidRPr="00F30805" w:rsidRDefault="00270608" w:rsidP="00A961FC">
      <w:pPr>
        <w:spacing w:before="120"/>
        <w:rPr>
          <w:rFonts w:ascii="Arial" w:hAnsi="Arial" w:cs="Arial"/>
        </w:rPr>
      </w:pPr>
      <w:r w:rsidRPr="00F30805">
        <w:rPr>
          <w:rFonts w:ascii="Arial" w:hAnsi="Arial" w:cs="Arial"/>
        </w:rPr>
        <w:t>ALCs &lt;500 cells/mm</w:t>
      </w:r>
      <w:r w:rsidRPr="00F30805">
        <w:rPr>
          <w:rFonts w:ascii="Arial" w:hAnsi="Arial" w:cs="Arial"/>
          <w:vertAlign w:val="superscript"/>
        </w:rPr>
        <w:t>3</w:t>
      </w:r>
      <w:r w:rsidRPr="00F30805">
        <w:rPr>
          <w:rFonts w:ascii="Arial" w:hAnsi="Arial" w:cs="Arial"/>
        </w:rPr>
        <w:t xml:space="preserve"> were</w:t>
      </w:r>
      <w:r w:rsidR="00894809" w:rsidRPr="00F30805">
        <w:rPr>
          <w:rFonts w:ascii="Arial" w:hAnsi="Arial" w:cs="Arial"/>
        </w:rPr>
        <w:t xml:space="preserve"> </w:t>
      </w:r>
      <w:r w:rsidRPr="00F30805">
        <w:rPr>
          <w:rFonts w:ascii="Arial" w:hAnsi="Arial" w:cs="Arial"/>
        </w:rPr>
        <w:t xml:space="preserve">reported in </w:t>
      </w:r>
      <w:r w:rsidR="00A700BC" w:rsidRPr="00F30805">
        <w:rPr>
          <w:rFonts w:ascii="Arial" w:hAnsi="Arial" w:cs="Arial"/>
        </w:rPr>
        <w:t>RINVOQ</w:t>
      </w:r>
      <w:r w:rsidR="004575FD" w:rsidRPr="00F30805">
        <w:rPr>
          <w:rFonts w:ascii="Arial" w:hAnsi="Arial" w:cs="Arial"/>
        </w:rPr>
        <w:t xml:space="preserve"> </w:t>
      </w:r>
      <w:r w:rsidRPr="00F30805">
        <w:rPr>
          <w:rFonts w:ascii="Arial" w:hAnsi="Arial" w:cs="Arial"/>
        </w:rPr>
        <w:t xml:space="preserve">clinical studies. </w:t>
      </w:r>
    </w:p>
    <w:p w14:paraId="38EA1520" w14:textId="6CF5824E" w:rsidR="00371189" w:rsidRPr="00F30805" w:rsidRDefault="00371189" w:rsidP="00A961FC">
      <w:pPr>
        <w:spacing w:before="120"/>
        <w:rPr>
          <w:rFonts w:ascii="Arial" w:hAnsi="Arial" w:cs="Arial"/>
        </w:rPr>
      </w:pPr>
      <w:r w:rsidRPr="00F30805">
        <w:rPr>
          <w:rFonts w:ascii="Arial" w:hAnsi="Arial" w:cs="Arial"/>
        </w:rPr>
        <w:t>Evaluate lymphocyte counts at baseline and thereafter according to routine patient management. Avoid initiation of or interrupt RINVOQ treatment in patients with a low lymphocyte count (i.e., less than 500 cells/mm</w:t>
      </w:r>
      <w:r w:rsidRPr="00F30805">
        <w:rPr>
          <w:rFonts w:ascii="Arial" w:hAnsi="Arial" w:cs="Arial"/>
          <w:vertAlign w:val="superscript"/>
        </w:rPr>
        <w:t>3</w:t>
      </w:r>
      <w:r w:rsidRPr="00F30805">
        <w:rPr>
          <w:rFonts w:ascii="Arial" w:hAnsi="Arial" w:cs="Arial"/>
        </w:rPr>
        <w:t xml:space="preserve">) </w:t>
      </w:r>
      <w:r w:rsidRPr="00F30805">
        <w:rPr>
          <w:rFonts w:ascii="Arial" w:hAnsi="Arial" w:cs="Arial"/>
          <w:iCs/>
        </w:rPr>
        <w:t xml:space="preserve">[see </w:t>
      </w:r>
      <w:r w:rsidRPr="00F30805">
        <w:rPr>
          <w:rFonts w:ascii="Arial" w:hAnsi="Arial" w:cs="Arial"/>
          <w:b/>
        </w:rPr>
        <w:t>4.2 DOSE AND METHOD OF ADMINISTRATION</w:t>
      </w:r>
      <w:r w:rsidRPr="00F30805">
        <w:rPr>
          <w:rFonts w:ascii="Arial" w:hAnsi="Arial" w:cs="Arial"/>
          <w:iCs/>
        </w:rPr>
        <w:t>].</w:t>
      </w:r>
    </w:p>
    <w:p w14:paraId="73C52D4F" w14:textId="77777777" w:rsidR="00270608" w:rsidRPr="00F30805" w:rsidRDefault="00270608" w:rsidP="00B73976">
      <w:pPr>
        <w:pStyle w:val="Heading4"/>
      </w:pPr>
      <w:r w:rsidRPr="00F30805">
        <w:t>Anaemia</w:t>
      </w:r>
    </w:p>
    <w:p w14:paraId="6E682170" w14:textId="5AFA9F21" w:rsidR="00270608" w:rsidRPr="00F30805" w:rsidRDefault="00270608" w:rsidP="00A961FC">
      <w:pPr>
        <w:spacing w:before="120"/>
        <w:rPr>
          <w:rFonts w:ascii="Arial" w:hAnsi="Arial" w:cs="Arial"/>
        </w:rPr>
      </w:pPr>
      <w:r w:rsidRPr="00F30805">
        <w:rPr>
          <w:rFonts w:ascii="Arial" w:hAnsi="Arial" w:cs="Arial"/>
        </w:rPr>
        <w:t>Decreases in haemoglobin levels to &lt;8 g/dL were</w:t>
      </w:r>
      <w:r w:rsidR="00894809" w:rsidRPr="00F30805">
        <w:rPr>
          <w:rFonts w:ascii="Arial" w:hAnsi="Arial" w:cs="Arial"/>
        </w:rPr>
        <w:t xml:space="preserve"> </w:t>
      </w:r>
      <w:r w:rsidRPr="00F30805">
        <w:rPr>
          <w:rFonts w:ascii="Arial" w:hAnsi="Arial" w:cs="Arial"/>
        </w:rPr>
        <w:t xml:space="preserve">reported in </w:t>
      </w:r>
      <w:r w:rsidR="00A700BC" w:rsidRPr="00F30805">
        <w:rPr>
          <w:rFonts w:ascii="Arial" w:hAnsi="Arial" w:cs="Arial"/>
        </w:rPr>
        <w:t>RINVOQ</w:t>
      </w:r>
      <w:r w:rsidRPr="00F30805">
        <w:rPr>
          <w:rFonts w:ascii="Arial" w:hAnsi="Arial" w:cs="Arial"/>
        </w:rPr>
        <w:t xml:space="preserve"> clinical studies.</w:t>
      </w:r>
    </w:p>
    <w:p w14:paraId="70A37AB5" w14:textId="56EB4C55" w:rsidR="00C879B1" w:rsidRPr="00F30805" w:rsidRDefault="00C879B1" w:rsidP="00371189">
      <w:pPr>
        <w:pStyle w:val="gtcbodytext"/>
        <w:spacing w:before="120" w:after="240" w:line="360" w:lineRule="exact"/>
        <w:rPr>
          <w:rFonts w:ascii="Arial" w:hAnsi="Arial" w:cs="Arial"/>
          <w:sz w:val="22"/>
          <w:szCs w:val="22"/>
        </w:rPr>
      </w:pPr>
      <w:r w:rsidRPr="00F30805">
        <w:rPr>
          <w:rFonts w:ascii="Arial" w:hAnsi="Arial" w:cs="Arial"/>
          <w:sz w:val="22"/>
          <w:szCs w:val="22"/>
        </w:rPr>
        <w:t xml:space="preserve">Evaluate </w:t>
      </w:r>
      <w:proofErr w:type="spellStart"/>
      <w:r w:rsidRPr="00F30805">
        <w:rPr>
          <w:rFonts w:ascii="Arial" w:hAnsi="Arial" w:cs="Arial"/>
          <w:sz w:val="22"/>
          <w:szCs w:val="22"/>
        </w:rPr>
        <w:t>h</w:t>
      </w:r>
      <w:r w:rsidR="00371189" w:rsidRPr="00F30805">
        <w:rPr>
          <w:rFonts w:ascii="Arial" w:hAnsi="Arial" w:cs="Arial"/>
          <w:sz w:val="22"/>
          <w:szCs w:val="22"/>
        </w:rPr>
        <w:t>a</w:t>
      </w:r>
      <w:r w:rsidRPr="00F30805">
        <w:rPr>
          <w:rFonts w:ascii="Arial" w:hAnsi="Arial" w:cs="Arial"/>
          <w:sz w:val="22"/>
          <w:szCs w:val="22"/>
        </w:rPr>
        <w:t>emoglobin</w:t>
      </w:r>
      <w:proofErr w:type="spellEnd"/>
      <w:r w:rsidRPr="00F30805">
        <w:rPr>
          <w:rFonts w:ascii="Arial" w:hAnsi="Arial" w:cs="Arial"/>
          <w:sz w:val="22"/>
          <w:szCs w:val="22"/>
        </w:rPr>
        <w:t xml:space="preserve"> at baseline and thereafter according to routine patient management. Avoid initiation of or interrupt RINVOQ treatment in patients with a low </w:t>
      </w:r>
      <w:proofErr w:type="spellStart"/>
      <w:r w:rsidRPr="00F30805">
        <w:rPr>
          <w:rFonts w:ascii="Arial" w:hAnsi="Arial" w:cs="Arial"/>
          <w:sz w:val="22"/>
          <w:szCs w:val="22"/>
        </w:rPr>
        <w:t>h</w:t>
      </w:r>
      <w:r w:rsidR="00371189" w:rsidRPr="00F30805">
        <w:rPr>
          <w:rFonts w:ascii="Arial" w:hAnsi="Arial" w:cs="Arial"/>
          <w:sz w:val="22"/>
          <w:szCs w:val="22"/>
        </w:rPr>
        <w:t>a</w:t>
      </w:r>
      <w:r w:rsidRPr="00F30805">
        <w:rPr>
          <w:rFonts w:ascii="Arial" w:hAnsi="Arial" w:cs="Arial"/>
          <w:sz w:val="22"/>
          <w:szCs w:val="22"/>
        </w:rPr>
        <w:t>emoglobin</w:t>
      </w:r>
      <w:proofErr w:type="spellEnd"/>
      <w:r w:rsidRPr="00F30805">
        <w:rPr>
          <w:rFonts w:ascii="Arial" w:hAnsi="Arial" w:cs="Arial"/>
          <w:sz w:val="22"/>
          <w:szCs w:val="22"/>
        </w:rPr>
        <w:t xml:space="preserve"> level (i.e., less than 8 g/dL) </w:t>
      </w:r>
      <w:r w:rsidRPr="00F30805">
        <w:rPr>
          <w:rFonts w:ascii="Arial" w:hAnsi="Arial" w:cs="Arial"/>
          <w:iCs/>
          <w:sz w:val="22"/>
          <w:szCs w:val="22"/>
        </w:rPr>
        <w:t xml:space="preserve">[see </w:t>
      </w:r>
      <w:r w:rsidR="00371189" w:rsidRPr="00F30805">
        <w:rPr>
          <w:rFonts w:ascii="Arial" w:hAnsi="Arial" w:cs="Arial"/>
          <w:b/>
        </w:rPr>
        <w:t>4.2 DOSE AND METHOD OF ADMINISTRATION</w:t>
      </w:r>
      <w:r w:rsidRPr="00F30805">
        <w:rPr>
          <w:rFonts w:ascii="Arial" w:hAnsi="Arial" w:cs="Arial"/>
          <w:iCs/>
          <w:sz w:val="22"/>
          <w:szCs w:val="22"/>
        </w:rPr>
        <w:t>].</w:t>
      </w:r>
      <w:r w:rsidRPr="00F30805">
        <w:rPr>
          <w:rFonts w:ascii="Arial" w:hAnsi="Arial" w:cs="Arial"/>
          <w:sz w:val="22"/>
          <w:szCs w:val="22"/>
        </w:rPr>
        <w:t xml:space="preserve"> </w:t>
      </w:r>
    </w:p>
    <w:p w14:paraId="130EDFA2" w14:textId="77777777" w:rsidR="00270608" w:rsidRPr="00F30805" w:rsidRDefault="00270608" w:rsidP="00B73976">
      <w:pPr>
        <w:pStyle w:val="Heading4"/>
      </w:pPr>
      <w:r w:rsidRPr="00F30805">
        <w:t xml:space="preserve">Lipids </w:t>
      </w:r>
    </w:p>
    <w:p w14:paraId="3CA6075E" w14:textId="700EC09D" w:rsidR="00270608" w:rsidRPr="00F30805" w:rsidRDefault="00270608" w:rsidP="00A961FC">
      <w:pPr>
        <w:spacing w:before="120"/>
        <w:rPr>
          <w:rFonts w:ascii="Arial" w:hAnsi="Arial" w:cs="Arial"/>
        </w:rPr>
      </w:pPr>
      <w:r w:rsidRPr="00F30805">
        <w:rPr>
          <w:rFonts w:ascii="Arial" w:hAnsi="Arial" w:cs="Arial"/>
        </w:rPr>
        <w:t xml:space="preserve">Treatment with </w:t>
      </w:r>
      <w:r w:rsidR="00A700BC" w:rsidRPr="00F30805">
        <w:rPr>
          <w:rFonts w:ascii="Arial" w:hAnsi="Arial" w:cs="Arial"/>
        </w:rPr>
        <w:t>RINVOQ</w:t>
      </w:r>
      <w:r w:rsidRPr="00F30805">
        <w:rPr>
          <w:rFonts w:ascii="Arial" w:hAnsi="Arial" w:cs="Arial"/>
        </w:rPr>
        <w:t xml:space="preserve"> was associated with increases in lipid parameters, including total cholesterol, low-density lipoprotein (LDL) cholesterol, and high-density lipoprotein (HDL) cholesterol (see </w:t>
      </w:r>
      <w:r w:rsidRPr="00F30805">
        <w:rPr>
          <w:rFonts w:ascii="Arial" w:hAnsi="Arial" w:cs="Arial"/>
          <w:b/>
        </w:rPr>
        <w:t>4.8 ADVERSE EFFECTS</w:t>
      </w:r>
      <w:r w:rsidRPr="00F30805">
        <w:rPr>
          <w:rFonts w:ascii="Arial" w:hAnsi="Arial" w:cs="Arial"/>
        </w:rPr>
        <w:t xml:space="preserve">). Elevations in LDL cholesterol decreased to pre-treatment levels in response to statin therapy. The effect of these lipid parameter elevations on cardiovascular morbidity and mortality has not been determined. </w:t>
      </w:r>
    </w:p>
    <w:p w14:paraId="48757FDC" w14:textId="77777777" w:rsidR="00270608" w:rsidRPr="00F30805" w:rsidRDefault="00270608" w:rsidP="00A961FC">
      <w:pPr>
        <w:spacing w:before="120"/>
        <w:rPr>
          <w:rFonts w:ascii="Arial" w:hAnsi="Arial" w:cs="Arial"/>
        </w:rPr>
      </w:pPr>
      <w:r w:rsidRPr="00F30805">
        <w:rPr>
          <w:rFonts w:ascii="Arial" w:hAnsi="Arial" w:cs="Arial"/>
        </w:rPr>
        <w:t>Patients should be monitored 12 weeks after initiation of treatment and thereafter according to the international clinical guidelines for hyperlipidaemia.</w:t>
      </w:r>
    </w:p>
    <w:p w14:paraId="5EB6E52D" w14:textId="7FCBD0E0" w:rsidR="00270608" w:rsidRPr="00F30805" w:rsidRDefault="00270608" w:rsidP="00B73976">
      <w:pPr>
        <w:pStyle w:val="Heading4"/>
      </w:pPr>
      <w:r w:rsidRPr="00F30805">
        <w:lastRenderedPageBreak/>
        <w:t xml:space="preserve">Liver Enzyme Elevations </w:t>
      </w:r>
    </w:p>
    <w:p w14:paraId="2982C96A" w14:textId="06438460" w:rsidR="00270608" w:rsidRPr="00F30805" w:rsidRDefault="00270608" w:rsidP="00A961FC">
      <w:pPr>
        <w:spacing w:before="120"/>
        <w:rPr>
          <w:rFonts w:ascii="Arial" w:hAnsi="Arial" w:cs="Arial"/>
        </w:rPr>
      </w:pPr>
      <w:r w:rsidRPr="00F30805">
        <w:rPr>
          <w:rFonts w:ascii="Arial" w:hAnsi="Arial" w:cs="Arial"/>
        </w:rPr>
        <w:t xml:space="preserve">Treatment with </w:t>
      </w:r>
      <w:r w:rsidR="00A700BC" w:rsidRPr="00F30805">
        <w:rPr>
          <w:rFonts w:ascii="Arial" w:hAnsi="Arial" w:cs="Arial"/>
        </w:rPr>
        <w:t>RINVOQ</w:t>
      </w:r>
      <w:r w:rsidRPr="00F30805">
        <w:rPr>
          <w:rFonts w:ascii="Arial" w:hAnsi="Arial" w:cs="Arial"/>
        </w:rPr>
        <w:t xml:space="preserve"> was associated with increased incidence of liver enzyme elevation compared to placebo. </w:t>
      </w:r>
    </w:p>
    <w:p w14:paraId="1975A7B9" w14:textId="77777777" w:rsidR="00270608" w:rsidRPr="00F30805" w:rsidRDefault="00270608" w:rsidP="00A961FC">
      <w:pPr>
        <w:spacing w:before="120"/>
        <w:rPr>
          <w:rFonts w:ascii="Arial" w:hAnsi="Arial" w:cs="Arial"/>
        </w:rPr>
      </w:pPr>
      <w:r w:rsidRPr="00F30805">
        <w:rPr>
          <w:rFonts w:ascii="Arial" w:hAnsi="Arial" w:cs="Arial"/>
        </w:rPr>
        <w:t>Evaluate at baseline and thereafter according to routine patient management. Prompt investigation of the cause of liver enzyme elevation is recommended to identify potential cases of drug-induced liver injury.</w:t>
      </w:r>
    </w:p>
    <w:p w14:paraId="51B0313C" w14:textId="6739FA77" w:rsidR="00421627" w:rsidRPr="00F30805" w:rsidRDefault="00270608" w:rsidP="00A961FC">
      <w:pPr>
        <w:spacing w:before="120"/>
        <w:rPr>
          <w:rFonts w:ascii="Arial" w:hAnsi="Arial" w:cs="Arial"/>
        </w:rPr>
      </w:pPr>
      <w:r w:rsidRPr="00F30805">
        <w:rPr>
          <w:rFonts w:ascii="Arial" w:hAnsi="Arial" w:cs="Arial"/>
        </w:rPr>
        <w:t xml:space="preserve">If increases in ALT or AST are observed during routine patient management and drug-induced liver injury is suspected, </w:t>
      </w:r>
      <w:r w:rsidR="00A700BC" w:rsidRPr="00F30805">
        <w:rPr>
          <w:rFonts w:ascii="Arial" w:hAnsi="Arial" w:cs="Arial"/>
        </w:rPr>
        <w:t>RINVOQ</w:t>
      </w:r>
      <w:r w:rsidRPr="00F30805">
        <w:rPr>
          <w:rFonts w:ascii="Arial" w:hAnsi="Arial" w:cs="Arial"/>
        </w:rPr>
        <w:t xml:space="preserve"> should be interrupted until this diagnosis is excluded.</w:t>
      </w:r>
    </w:p>
    <w:p w14:paraId="6F5D9A25" w14:textId="77777777" w:rsidR="001A3992" w:rsidRPr="00F30805" w:rsidRDefault="001A3992" w:rsidP="001A3992">
      <w:pPr>
        <w:pStyle w:val="Heading2"/>
        <w:keepNext/>
        <w:keepLines/>
        <w:spacing w:before="0" w:after="120"/>
        <w:rPr>
          <w:rFonts w:ascii="Arial" w:hAnsi="Arial" w:cs="Arial"/>
        </w:rPr>
      </w:pPr>
      <w:r w:rsidRPr="00F30805">
        <w:rPr>
          <w:rFonts w:ascii="Arial" w:hAnsi="Arial" w:cs="Arial"/>
        </w:rPr>
        <w:t>Interactions with other medicines and other forms of interactions</w:t>
      </w:r>
    </w:p>
    <w:p w14:paraId="74EF64FD" w14:textId="2735AE15" w:rsidR="00270608" w:rsidRPr="00F30805" w:rsidRDefault="00270608" w:rsidP="00734BF8">
      <w:pPr>
        <w:pStyle w:val="Heading3"/>
      </w:pPr>
      <w:r w:rsidRPr="00F30805">
        <w:t>Strong CYP3A</w:t>
      </w:r>
      <w:r w:rsidR="00322289" w:rsidRPr="00F30805">
        <w:t>4</w:t>
      </w:r>
      <w:r w:rsidRPr="00F30805">
        <w:t xml:space="preserve"> Inhibitors</w:t>
      </w:r>
    </w:p>
    <w:p w14:paraId="1F023F50" w14:textId="4AC0F253" w:rsidR="00270608" w:rsidRPr="00F30805" w:rsidRDefault="00270608" w:rsidP="00A961FC">
      <w:pPr>
        <w:pStyle w:val="BulletText1"/>
        <w:spacing w:before="120" w:after="240" w:line="360" w:lineRule="exact"/>
        <w:rPr>
          <w:rFonts w:ascii="Arial" w:hAnsi="Arial" w:cs="Arial"/>
          <w:color w:val="auto"/>
          <w:szCs w:val="24"/>
        </w:rPr>
      </w:pPr>
      <w:r w:rsidRPr="00F30805">
        <w:rPr>
          <w:rFonts w:ascii="Arial" w:hAnsi="Arial" w:cs="Arial"/>
          <w:color w:val="auto"/>
          <w:szCs w:val="24"/>
        </w:rPr>
        <w:t>Upadacitinib exposure is increased when co-administered with strong CYP3A</w:t>
      </w:r>
      <w:r w:rsidR="00322289" w:rsidRPr="00F30805">
        <w:rPr>
          <w:rFonts w:ascii="Arial" w:hAnsi="Arial" w:cs="Arial"/>
          <w:color w:val="auto"/>
          <w:szCs w:val="24"/>
        </w:rPr>
        <w:t>4</w:t>
      </w:r>
      <w:r w:rsidRPr="00F30805">
        <w:rPr>
          <w:rFonts w:ascii="Arial" w:hAnsi="Arial" w:cs="Arial"/>
          <w:color w:val="auto"/>
          <w:szCs w:val="24"/>
        </w:rPr>
        <w:t xml:space="preserve"> inhibitors (such as ketoconazole</w:t>
      </w:r>
      <w:r w:rsidR="008E0F02" w:rsidRPr="00F30805">
        <w:rPr>
          <w:rFonts w:ascii="Arial" w:hAnsi="Arial" w:cs="Arial"/>
          <w:color w:val="auto"/>
          <w:szCs w:val="24"/>
        </w:rPr>
        <w:t xml:space="preserve">, </w:t>
      </w:r>
      <w:proofErr w:type="spellStart"/>
      <w:r w:rsidR="008E0F02" w:rsidRPr="00F30805">
        <w:rPr>
          <w:rFonts w:ascii="Arial" w:hAnsi="Arial" w:cs="Arial"/>
          <w:color w:val="auto"/>
          <w:szCs w:val="24"/>
        </w:rPr>
        <w:t>itraconazole</w:t>
      </w:r>
      <w:proofErr w:type="spellEnd"/>
      <w:r w:rsidR="008E0F02" w:rsidRPr="00F30805">
        <w:rPr>
          <w:rFonts w:ascii="Arial" w:hAnsi="Arial" w:cs="Arial"/>
          <w:color w:val="auto"/>
          <w:szCs w:val="24"/>
        </w:rPr>
        <w:t xml:space="preserve">, </w:t>
      </w:r>
      <w:proofErr w:type="spellStart"/>
      <w:r w:rsidR="008E0F02" w:rsidRPr="00F30805">
        <w:rPr>
          <w:rFonts w:ascii="Arial" w:hAnsi="Arial" w:cs="Arial"/>
          <w:color w:val="auto"/>
          <w:szCs w:val="24"/>
        </w:rPr>
        <w:t>posaconazole</w:t>
      </w:r>
      <w:proofErr w:type="spellEnd"/>
      <w:r w:rsidR="008E0F02" w:rsidRPr="00F30805">
        <w:rPr>
          <w:rFonts w:ascii="Arial" w:hAnsi="Arial" w:cs="Arial"/>
          <w:color w:val="auto"/>
          <w:szCs w:val="24"/>
        </w:rPr>
        <w:t xml:space="preserve">, </w:t>
      </w:r>
      <w:proofErr w:type="spellStart"/>
      <w:r w:rsidR="008E0F02" w:rsidRPr="00F30805">
        <w:rPr>
          <w:rFonts w:ascii="Arial" w:hAnsi="Arial" w:cs="Arial"/>
          <w:color w:val="auto"/>
          <w:szCs w:val="24"/>
        </w:rPr>
        <w:t>voriconazole</w:t>
      </w:r>
      <w:proofErr w:type="spellEnd"/>
      <w:r w:rsidR="008E0F02" w:rsidRPr="00F30805">
        <w:rPr>
          <w:rFonts w:ascii="Arial" w:hAnsi="Arial" w:cs="Arial"/>
          <w:color w:val="auto"/>
          <w:szCs w:val="24"/>
        </w:rPr>
        <w:t xml:space="preserve"> and clarithromycin</w:t>
      </w:r>
      <w:r w:rsidRPr="00F30805">
        <w:rPr>
          <w:rFonts w:ascii="Arial" w:hAnsi="Arial" w:cs="Arial"/>
          <w:color w:val="auto"/>
          <w:szCs w:val="24"/>
        </w:rPr>
        <w:t xml:space="preserve">) (see </w:t>
      </w:r>
      <w:r w:rsidRPr="00F30805">
        <w:rPr>
          <w:rFonts w:ascii="Arial" w:hAnsi="Arial" w:cs="Arial"/>
          <w:b/>
          <w:color w:val="auto"/>
          <w:szCs w:val="24"/>
        </w:rPr>
        <w:t>5 PHARMACOLOGICAL PROPERTIES</w:t>
      </w:r>
      <w:r w:rsidRPr="00F30805">
        <w:rPr>
          <w:rFonts w:ascii="Arial" w:hAnsi="Arial" w:cs="Arial"/>
          <w:color w:val="auto"/>
          <w:szCs w:val="24"/>
        </w:rPr>
        <w:t xml:space="preserve">). </w:t>
      </w:r>
      <w:r w:rsidR="00A700BC" w:rsidRPr="00F30805">
        <w:rPr>
          <w:rFonts w:ascii="Arial" w:hAnsi="Arial" w:cs="Arial"/>
          <w:color w:val="auto"/>
          <w:szCs w:val="24"/>
        </w:rPr>
        <w:t>RINVOQ</w:t>
      </w:r>
      <w:r w:rsidRPr="00F30805">
        <w:rPr>
          <w:rFonts w:ascii="Arial" w:hAnsi="Arial" w:cs="Arial"/>
          <w:color w:val="auto"/>
          <w:szCs w:val="24"/>
        </w:rPr>
        <w:t xml:space="preserve"> should be used with caution in patients receiving chronic treatment with strong CYP3A</w:t>
      </w:r>
      <w:r w:rsidR="00322289" w:rsidRPr="00F30805">
        <w:rPr>
          <w:rFonts w:ascii="Arial" w:hAnsi="Arial" w:cs="Arial"/>
          <w:color w:val="auto"/>
          <w:szCs w:val="24"/>
        </w:rPr>
        <w:t>4</w:t>
      </w:r>
      <w:r w:rsidRPr="00F30805">
        <w:rPr>
          <w:rFonts w:ascii="Arial" w:hAnsi="Arial" w:cs="Arial"/>
          <w:color w:val="auto"/>
          <w:szCs w:val="24"/>
        </w:rPr>
        <w:t xml:space="preserve"> inhibitors. </w:t>
      </w:r>
    </w:p>
    <w:p w14:paraId="3443AE37" w14:textId="6A5C4C09" w:rsidR="00270608" w:rsidRPr="00F30805" w:rsidRDefault="00270608" w:rsidP="00734BF8">
      <w:pPr>
        <w:pStyle w:val="Heading3"/>
        <w:rPr>
          <w:szCs w:val="24"/>
          <w:u w:val="single"/>
        </w:rPr>
      </w:pPr>
      <w:r w:rsidRPr="00F30805">
        <w:t>Strong CYP3A</w:t>
      </w:r>
      <w:r w:rsidR="00322289" w:rsidRPr="00F30805">
        <w:t>4</w:t>
      </w:r>
      <w:r w:rsidRPr="00F30805">
        <w:t xml:space="preserve"> Inducers</w:t>
      </w:r>
    </w:p>
    <w:p w14:paraId="237F38C4" w14:textId="3E63BEEB" w:rsidR="00270608" w:rsidRPr="00F30805" w:rsidRDefault="00270608" w:rsidP="00A961FC">
      <w:pPr>
        <w:pStyle w:val="BulletText1"/>
        <w:spacing w:before="120" w:after="240" w:line="360" w:lineRule="exact"/>
        <w:jc w:val="both"/>
        <w:rPr>
          <w:rFonts w:ascii="Arial" w:hAnsi="Arial" w:cs="Arial"/>
          <w:color w:val="auto"/>
          <w:szCs w:val="24"/>
        </w:rPr>
      </w:pPr>
      <w:r w:rsidRPr="00F30805">
        <w:rPr>
          <w:rFonts w:ascii="Arial" w:hAnsi="Arial" w:cs="Arial"/>
          <w:color w:val="auto"/>
          <w:szCs w:val="24"/>
        </w:rPr>
        <w:t>Upadacitinib exposure is decreased when co-administered with strong CYP3A</w:t>
      </w:r>
      <w:r w:rsidR="00322289" w:rsidRPr="00F30805">
        <w:rPr>
          <w:rFonts w:ascii="Arial" w:hAnsi="Arial" w:cs="Arial"/>
          <w:color w:val="auto"/>
          <w:szCs w:val="24"/>
        </w:rPr>
        <w:t>4</w:t>
      </w:r>
      <w:r w:rsidRPr="00F30805">
        <w:rPr>
          <w:rFonts w:ascii="Arial" w:hAnsi="Arial" w:cs="Arial"/>
          <w:color w:val="auto"/>
          <w:szCs w:val="24"/>
        </w:rPr>
        <w:t xml:space="preserve"> inducers </w:t>
      </w:r>
      <w:r w:rsidRPr="00F30805">
        <w:rPr>
          <w:rFonts w:ascii="Arial" w:hAnsi="Arial" w:cs="Arial"/>
          <w:color w:val="auto"/>
          <w:szCs w:val="22"/>
        </w:rPr>
        <w:t xml:space="preserve">(such as </w:t>
      </w:r>
      <w:r w:rsidR="005E2731" w:rsidRPr="00F30805">
        <w:rPr>
          <w:rFonts w:ascii="Arial" w:hAnsi="Arial" w:cs="Arial"/>
          <w:color w:val="auto"/>
          <w:szCs w:val="22"/>
        </w:rPr>
        <w:t>rifampicin</w:t>
      </w:r>
      <w:r w:rsidR="008E0F02" w:rsidRPr="00F30805">
        <w:rPr>
          <w:rFonts w:ascii="Arial" w:hAnsi="Arial" w:cs="Arial"/>
          <w:color w:val="auto"/>
          <w:szCs w:val="22"/>
        </w:rPr>
        <w:t xml:space="preserve"> and phenytoin</w:t>
      </w:r>
      <w:r w:rsidRPr="00F30805">
        <w:rPr>
          <w:rFonts w:ascii="Arial" w:hAnsi="Arial" w:cs="Arial"/>
          <w:color w:val="auto"/>
          <w:szCs w:val="22"/>
        </w:rPr>
        <w:t>)</w:t>
      </w:r>
      <w:r w:rsidRPr="00F30805">
        <w:rPr>
          <w:rFonts w:ascii="Arial" w:hAnsi="Arial" w:cs="Arial"/>
          <w:color w:val="auto"/>
          <w:szCs w:val="24"/>
        </w:rPr>
        <w:t xml:space="preserve">, which may lead to reduced therapeutic effect of </w:t>
      </w:r>
      <w:r w:rsidR="00A700BC" w:rsidRPr="00F30805">
        <w:rPr>
          <w:rFonts w:ascii="Arial" w:hAnsi="Arial" w:cs="Arial"/>
          <w:color w:val="auto"/>
          <w:szCs w:val="24"/>
        </w:rPr>
        <w:t>RINVOQ</w:t>
      </w:r>
      <w:r w:rsidRPr="00F30805">
        <w:rPr>
          <w:rFonts w:ascii="Arial" w:hAnsi="Arial" w:cs="Arial"/>
          <w:color w:val="auto"/>
          <w:szCs w:val="24"/>
        </w:rPr>
        <w:t xml:space="preserve"> (see </w:t>
      </w:r>
      <w:r w:rsidRPr="00F30805">
        <w:rPr>
          <w:rFonts w:ascii="Arial" w:hAnsi="Arial" w:cs="Arial"/>
          <w:b/>
          <w:color w:val="auto"/>
          <w:szCs w:val="24"/>
        </w:rPr>
        <w:t>5 PHARMACOLOGICAL PROPERTIES</w:t>
      </w:r>
      <w:r w:rsidRPr="00F30805">
        <w:rPr>
          <w:rFonts w:ascii="Arial" w:hAnsi="Arial" w:cs="Arial"/>
          <w:color w:val="auto"/>
          <w:szCs w:val="24"/>
        </w:rPr>
        <w:t xml:space="preserve">). Patients should be monitored for changes in disease activity if </w:t>
      </w:r>
      <w:r w:rsidR="00A700BC" w:rsidRPr="00F30805">
        <w:rPr>
          <w:rFonts w:ascii="Arial" w:hAnsi="Arial" w:cs="Arial"/>
          <w:color w:val="auto"/>
          <w:szCs w:val="24"/>
        </w:rPr>
        <w:t>RINVOQ</w:t>
      </w:r>
      <w:r w:rsidRPr="00F30805">
        <w:rPr>
          <w:rFonts w:ascii="Arial" w:hAnsi="Arial" w:cs="Arial"/>
          <w:color w:val="auto"/>
          <w:szCs w:val="24"/>
        </w:rPr>
        <w:t xml:space="preserve"> is co-administered with strong CYP3A</w:t>
      </w:r>
      <w:r w:rsidR="00322289" w:rsidRPr="00F30805">
        <w:rPr>
          <w:rFonts w:ascii="Arial" w:hAnsi="Arial" w:cs="Arial"/>
          <w:color w:val="auto"/>
          <w:szCs w:val="24"/>
        </w:rPr>
        <w:t>4</w:t>
      </w:r>
      <w:r w:rsidRPr="00F30805">
        <w:rPr>
          <w:rFonts w:ascii="Arial" w:hAnsi="Arial" w:cs="Arial"/>
          <w:color w:val="auto"/>
          <w:szCs w:val="24"/>
        </w:rPr>
        <w:t xml:space="preserve"> inducers.</w:t>
      </w:r>
    </w:p>
    <w:p w14:paraId="62B1874D" w14:textId="4E5A1855" w:rsidR="00270608" w:rsidRPr="00F30805" w:rsidRDefault="00270608" w:rsidP="00734BF8">
      <w:pPr>
        <w:pStyle w:val="Heading3"/>
      </w:pPr>
      <w:r w:rsidRPr="00F30805">
        <w:t>Potential for Other Drugs to Affect the Pharmacokinetics of Upadacitinib</w:t>
      </w:r>
    </w:p>
    <w:p w14:paraId="4FA0757B" w14:textId="5C352F0E" w:rsidR="00270608" w:rsidRPr="00F30805" w:rsidRDefault="00270608" w:rsidP="00A961FC">
      <w:pPr>
        <w:pStyle w:val="BulletText1"/>
        <w:spacing w:before="120" w:after="240" w:line="360" w:lineRule="exact"/>
        <w:rPr>
          <w:rFonts w:ascii="Arial" w:hAnsi="Arial" w:cs="Arial"/>
          <w:color w:val="auto"/>
          <w:szCs w:val="22"/>
        </w:rPr>
      </w:pPr>
      <w:r w:rsidRPr="00F30805">
        <w:rPr>
          <w:rFonts w:ascii="Arial" w:hAnsi="Arial" w:cs="Arial"/>
          <w:color w:val="auto"/>
          <w:szCs w:val="22"/>
        </w:rPr>
        <w:t xml:space="preserve">Upadacitinib is </w:t>
      </w:r>
      <w:proofErr w:type="spellStart"/>
      <w:r w:rsidRPr="00F30805">
        <w:rPr>
          <w:rFonts w:ascii="Arial" w:hAnsi="Arial" w:cs="Arial"/>
          <w:color w:val="auto"/>
          <w:szCs w:val="22"/>
        </w:rPr>
        <w:t>metabolised</w:t>
      </w:r>
      <w:proofErr w:type="spellEnd"/>
      <w:r w:rsidRPr="00F30805">
        <w:rPr>
          <w:rFonts w:ascii="Arial" w:hAnsi="Arial" w:cs="Arial"/>
          <w:color w:val="auto"/>
          <w:szCs w:val="22"/>
        </w:rPr>
        <w:t xml:space="preserve"> </w:t>
      </w:r>
      <w:r w:rsidRPr="00F30805">
        <w:rPr>
          <w:rFonts w:ascii="Arial" w:hAnsi="Arial" w:cs="Arial"/>
          <w:i/>
          <w:color w:val="auto"/>
          <w:szCs w:val="22"/>
        </w:rPr>
        <w:t>in vitro</w:t>
      </w:r>
      <w:r w:rsidRPr="00F30805">
        <w:rPr>
          <w:rFonts w:ascii="Arial" w:hAnsi="Arial" w:cs="Arial"/>
          <w:color w:val="auto"/>
          <w:szCs w:val="22"/>
        </w:rPr>
        <w:t xml:space="preserve"> by CYP3A</w:t>
      </w:r>
      <w:r w:rsidR="0097744F" w:rsidRPr="00F30805">
        <w:rPr>
          <w:rFonts w:ascii="Arial" w:hAnsi="Arial" w:cs="Arial"/>
          <w:color w:val="auto"/>
          <w:szCs w:val="22"/>
        </w:rPr>
        <w:t>4</w:t>
      </w:r>
      <w:r w:rsidRPr="00F30805">
        <w:rPr>
          <w:rFonts w:ascii="Arial" w:hAnsi="Arial" w:cs="Arial"/>
          <w:color w:val="auto"/>
          <w:szCs w:val="22"/>
        </w:rPr>
        <w:t xml:space="preserve"> with a minor contribution from CYP2D6. The effect of co-administered drugs on upadacitinib plasma exposures is provided in Table 2.</w:t>
      </w:r>
    </w:p>
    <w:p w14:paraId="419DE7D0" w14:textId="7F10979E" w:rsidR="00CD1C5B" w:rsidRPr="00F30805" w:rsidRDefault="00CD1C5B" w:rsidP="00CD1C5B">
      <w:pPr>
        <w:pStyle w:val="BulletText1"/>
        <w:spacing w:before="120" w:after="240" w:line="360" w:lineRule="exact"/>
        <w:rPr>
          <w:rFonts w:ascii="Arial" w:hAnsi="Arial" w:cs="Arial"/>
          <w:color w:val="auto"/>
          <w:szCs w:val="22"/>
        </w:rPr>
      </w:pPr>
      <w:r w:rsidRPr="00F30805">
        <w:rPr>
          <w:rFonts w:ascii="Arial" w:hAnsi="Arial" w:cs="Arial"/>
          <w:color w:val="auto"/>
          <w:szCs w:val="22"/>
        </w:rPr>
        <w:t xml:space="preserve">Upadacitinib is a substrate of P-glycoprotein and BCRP. The clinical relevance of this is unknown. </w:t>
      </w:r>
    </w:p>
    <w:p w14:paraId="59C7C7B9" w14:textId="2B0CADE2" w:rsidR="00081709" w:rsidRPr="00F30805" w:rsidRDefault="00081709" w:rsidP="00A961FC">
      <w:pPr>
        <w:pStyle w:val="BulletText1"/>
        <w:spacing w:before="120" w:after="240" w:line="360" w:lineRule="exact"/>
        <w:rPr>
          <w:rFonts w:ascii="Arial" w:hAnsi="Arial" w:cs="Arial"/>
          <w:color w:val="auto"/>
          <w:szCs w:val="22"/>
        </w:rPr>
      </w:pPr>
    </w:p>
    <w:p w14:paraId="6045EE74" w14:textId="77777777" w:rsidR="00270608" w:rsidRPr="00F30805" w:rsidRDefault="00270608" w:rsidP="00F71672">
      <w:pPr>
        <w:pStyle w:val="Heading3"/>
      </w:pPr>
      <w:r w:rsidRPr="00F30805">
        <w:lastRenderedPageBreak/>
        <w:t>Table 2. Change in Pharmacokinetics of Upadacitinib in the Presence of Co-administered Drugs</w:t>
      </w:r>
    </w:p>
    <w:tbl>
      <w:tblPr>
        <w:tblStyle w:val="TableGrid"/>
        <w:tblW w:w="8817" w:type="dxa"/>
        <w:jc w:val="center"/>
        <w:tblLayout w:type="fixed"/>
        <w:tblLook w:val="04A0" w:firstRow="1" w:lastRow="0" w:firstColumn="1" w:lastColumn="0" w:noHBand="0" w:noVBand="1"/>
      </w:tblPr>
      <w:tblGrid>
        <w:gridCol w:w="1949"/>
        <w:gridCol w:w="3181"/>
        <w:gridCol w:w="1795"/>
        <w:gridCol w:w="1892"/>
      </w:tblGrid>
      <w:tr w:rsidR="00854EAD" w:rsidRPr="00F30805" w14:paraId="68CDA84D" w14:textId="77777777" w:rsidTr="00854EAD">
        <w:trPr>
          <w:tblHeader/>
          <w:jc w:val="center"/>
        </w:trPr>
        <w:tc>
          <w:tcPr>
            <w:tcW w:w="2909" w:type="pct"/>
            <w:gridSpan w:val="2"/>
          </w:tcPr>
          <w:p w14:paraId="75D9C7B5" w14:textId="77777777" w:rsidR="00854EAD" w:rsidRPr="00F30805" w:rsidRDefault="00854EAD" w:rsidP="00A9173E">
            <w:pPr>
              <w:pStyle w:val="TableLeft"/>
              <w:spacing w:line="360" w:lineRule="exact"/>
              <w:jc w:val="center"/>
              <w:rPr>
                <w:rFonts w:ascii="Arial" w:hAnsi="Arial" w:cs="Arial"/>
                <w:b/>
                <w:sz w:val="18"/>
              </w:rPr>
            </w:pPr>
          </w:p>
        </w:tc>
        <w:tc>
          <w:tcPr>
            <w:tcW w:w="2091" w:type="pct"/>
            <w:gridSpan w:val="2"/>
          </w:tcPr>
          <w:p w14:paraId="33308E3E" w14:textId="22678D9C" w:rsidR="00854EAD" w:rsidRPr="00F30805" w:rsidRDefault="00854EAD" w:rsidP="00A9173E">
            <w:pPr>
              <w:pStyle w:val="TableLeft"/>
              <w:spacing w:line="360" w:lineRule="exact"/>
              <w:jc w:val="center"/>
              <w:rPr>
                <w:rFonts w:ascii="Arial" w:hAnsi="Arial" w:cs="Arial"/>
                <w:b/>
                <w:sz w:val="18"/>
              </w:rPr>
            </w:pPr>
            <w:r w:rsidRPr="00F30805">
              <w:rPr>
                <w:rFonts w:ascii="Arial" w:hAnsi="Arial" w:cs="Arial"/>
                <w:b/>
                <w:sz w:val="18"/>
              </w:rPr>
              <w:t>Ratio (90% CI)</w:t>
            </w:r>
            <w:r w:rsidRPr="00F30805">
              <w:rPr>
                <w:rFonts w:ascii="Arial" w:hAnsi="Arial" w:cs="Arial"/>
                <w:b/>
                <w:sz w:val="18"/>
                <w:vertAlign w:val="superscript"/>
              </w:rPr>
              <w:t>a</w:t>
            </w:r>
          </w:p>
        </w:tc>
      </w:tr>
      <w:tr w:rsidR="00854EAD" w:rsidRPr="00F30805" w14:paraId="7F6B25EE" w14:textId="77777777" w:rsidTr="00854EAD">
        <w:trPr>
          <w:tblHeader/>
          <w:jc w:val="center"/>
        </w:trPr>
        <w:tc>
          <w:tcPr>
            <w:tcW w:w="1105" w:type="pct"/>
          </w:tcPr>
          <w:p w14:paraId="34BE92A0" w14:textId="77777777" w:rsidR="00854EAD" w:rsidRPr="00F30805" w:rsidRDefault="00854EAD" w:rsidP="00F13BF6">
            <w:pPr>
              <w:pStyle w:val="TableLeft"/>
              <w:spacing w:line="240" w:lineRule="auto"/>
              <w:jc w:val="center"/>
              <w:rPr>
                <w:rFonts w:ascii="Arial" w:hAnsi="Arial" w:cs="Arial"/>
                <w:b/>
                <w:sz w:val="18"/>
              </w:rPr>
            </w:pPr>
            <w:r w:rsidRPr="00F30805">
              <w:rPr>
                <w:rFonts w:ascii="Arial" w:hAnsi="Arial" w:cs="Arial"/>
                <w:b/>
                <w:sz w:val="18"/>
              </w:rPr>
              <w:t>Co-administered Drug</w:t>
            </w:r>
          </w:p>
        </w:tc>
        <w:tc>
          <w:tcPr>
            <w:tcW w:w="1804" w:type="pct"/>
          </w:tcPr>
          <w:p w14:paraId="6AFA1FB2" w14:textId="12EBE966" w:rsidR="00854EAD" w:rsidRPr="00F30805" w:rsidRDefault="00854EAD" w:rsidP="00F13BF6">
            <w:pPr>
              <w:jc w:val="center"/>
              <w:rPr>
                <w:rFonts w:ascii="Arial" w:hAnsi="Arial" w:cs="Arial"/>
                <w:b/>
                <w:sz w:val="18"/>
              </w:rPr>
            </w:pPr>
            <w:r w:rsidRPr="00F30805">
              <w:rPr>
                <w:rFonts w:ascii="Arial" w:hAnsi="Arial" w:cs="Arial"/>
                <w:b/>
                <w:sz w:val="18"/>
              </w:rPr>
              <w:t xml:space="preserve">Regimen of </w:t>
            </w:r>
            <w:r w:rsidRPr="00F30805">
              <w:rPr>
                <w:rFonts w:ascii="Arial" w:hAnsi="Arial" w:cs="Arial"/>
                <w:b/>
                <w:sz w:val="18"/>
              </w:rPr>
              <w:br/>
              <w:t>Co-administered Drug</w:t>
            </w:r>
          </w:p>
        </w:tc>
        <w:tc>
          <w:tcPr>
            <w:tcW w:w="1018" w:type="pct"/>
          </w:tcPr>
          <w:p w14:paraId="189ECCCD" w14:textId="77777777" w:rsidR="00854EAD" w:rsidRPr="00F30805" w:rsidRDefault="00854EAD" w:rsidP="00F13BF6">
            <w:pPr>
              <w:jc w:val="center"/>
              <w:rPr>
                <w:rFonts w:ascii="Arial" w:hAnsi="Arial" w:cs="Arial"/>
                <w:b/>
                <w:sz w:val="18"/>
                <w:vertAlign w:val="subscript"/>
              </w:rPr>
            </w:pPr>
            <w:proofErr w:type="spellStart"/>
            <w:r w:rsidRPr="00F30805">
              <w:rPr>
                <w:rFonts w:ascii="Arial" w:hAnsi="Arial" w:cs="Arial"/>
                <w:b/>
                <w:sz w:val="18"/>
              </w:rPr>
              <w:t>C</w:t>
            </w:r>
            <w:r w:rsidRPr="00F30805">
              <w:rPr>
                <w:rFonts w:ascii="Arial" w:hAnsi="Arial" w:cs="Arial"/>
                <w:b/>
                <w:sz w:val="18"/>
                <w:vertAlign w:val="subscript"/>
              </w:rPr>
              <w:t>max</w:t>
            </w:r>
            <w:proofErr w:type="spellEnd"/>
          </w:p>
        </w:tc>
        <w:tc>
          <w:tcPr>
            <w:tcW w:w="1073" w:type="pct"/>
          </w:tcPr>
          <w:p w14:paraId="35A11338" w14:textId="3E35E4C4" w:rsidR="00854EAD" w:rsidRPr="00F30805" w:rsidRDefault="00854EAD" w:rsidP="00F13BF6">
            <w:pPr>
              <w:jc w:val="center"/>
              <w:rPr>
                <w:rFonts w:ascii="Arial" w:hAnsi="Arial" w:cs="Arial"/>
                <w:b/>
                <w:sz w:val="18"/>
              </w:rPr>
            </w:pPr>
            <w:r w:rsidRPr="00F30805">
              <w:rPr>
                <w:rFonts w:ascii="Arial" w:hAnsi="Arial" w:cs="Arial"/>
                <w:b/>
                <w:sz w:val="18"/>
              </w:rPr>
              <w:t>AUC</w:t>
            </w:r>
          </w:p>
        </w:tc>
      </w:tr>
      <w:tr w:rsidR="00854EAD" w:rsidRPr="00F30805" w14:paraId="5519AAF6" w14:textId="77777777" w:rsidTr="00854EAD">
        <w:trPr>
          <w:tblHeader/>
          <w:jc w:val="center"/>
        </w:trPr>
        <w:tc>
          <w:tcPr>
            <w:tcW w:w="1105" w:type="pct"/>
            <w:vAlign w:val="center"/>
          </w:tcPr>
          <w:p w14:paraId="123FBBC9" w14:textId="5342C619" w:rsidR="00854EAD" w:rsidRPr="00F30805" w:rsidRDefault="00854EAD" w:rsidP="00F13BF6">
            <w:pPr>
              <w:pStyle w:val="TableLeft"/>
              <w:spacing w:line="360" w:lineRule="exact"/>
              <w:rPr>
                <w:rFonts w:ascii="Arial" w:hAnsi="Arial" w:cs="Arial"/>
                <w:sz w:val="18"/>
              </w:rPr>
            </w:pPr>
            <w:r w:rsidRPr="00F30805">
              <w:rPr>
                <w:rFonts w:ascii="Arial" w:hAnsi="Arial" w:cs="Arial"/>
                <w:sz w:val="18"/>
              </w:rPr>
              <w:t>Methotrexate</w:t>
            </w:r>
          </w:p>
        </w:tc>
        <w:tc>
          <w:tcPr>
            <w:tcW w:w="1804" w:type="pct"/>
            <w:vAlign w:val="center"/>
          </w:tcPr>
          <w:p w14:paraId="7E46C012" w14:textId="7BDE436A"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10 to 25 mg/week</w:t>
            </w:r>
          </w:p>
        </w:tc>
        <w:tc>
          <w:tcPr>
            <w:tcW w:w="1018" w:type="pct"/>
            <w:vAlign w:val="center"/>
          </w:tcPr>
          <w:p w14:paraId="7B436FBE" w14:textId="30BBA585"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0.97 (0.86-1.09)</w:t>
            </w:r>
          </w:p>
        </w:tc>
        <w:tc>
          <w:tcPr>
            <w:tcW w:w="1073" w:type="pct"/>
            <w:vAlign w:val="center"/>
          </w:tcPr>
          <w:p w14:paraId="00443E60" w14:textId="20ED6F57"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0.99 (0.93-1.06)</w:t>
            </w:r>
          </w:p>
        </w:tc>
      </w:tr>
      <w:tr w:rsidR="00854EAD" w:rsidRPr="00F30805" w14:paraId="55777422" w14:textId="77777777" w:rsidTr="00854EAD">
        <w:trPr>
          <w:tblHeader/>
          <w:jc w:val="center"/>
        </w:trPr>
        <w:tc>
          <w:tcPr>
            <w:tcW w:w="1105" w:type="pct"/>
            <w:vAlign w:val="center"/>
          </w:tcPr>
          <w:p w14:paraId="5103605A" w14:textId="3F8E29D7" w:rsidR="00854EAD" w:rsidRPr="00F30805" w:rsidRDefault="00854EAD" w:rsidP="00F13BF6">
            <w:pPr>
              <w:pStyle w:val="TableLeft"/>
              <w:spacing w:line="360" w:lineRule="exact"/>
              <w:rPr>
                <w:rFonts w:ascii="Arial" w:hAnsi="Arial" w:cs="Arial"/>
                <w:sz w:val="18"/>
              </w:rPr>
            </w:pPr>
            <w:r w:rsidRPr="00F30805">
              <w:rPr>
                <w:rFonts w:ascii="Arial" w:hAnsi="Arial" w:cs="Arial"/>
                <w:sz w:val="18"/>
              </w:rPr>
              <w:t>Strong CYP3A4 inhibitor:</w:t>
            </w:r>
          </w:p>
          <w:p w14:paraId="4C9B0C74" w14:textId="1B16B3FB" w:rsidR="00854EAD" w:rsidRPr="00F30805" w:rsidRDefault="00854EAD" w:rsidP="00F13BF6">
            <w:pPr>
              <w:pStyle w:val="TableLeft"/>
              <w:spacing w:line="360" w:lineRule="exact"/>
              <w:rPr>
                <w:rFonts w:ascii="Arial" w:hAnsi="Arial" w:cs="Arial"/>
                <w:sz w:val="18"/>
              </w:rPr>
            </w:pPr>
            <w:r w:rsidRPr="00F30805">
              <w:rPr>
                <w:rFonts w:ascii="Arial" w:hAnsi="Arial" w:cs="Arial"/>
                <w:sz w:val="18"/>
              </w:rPr>
              <w:t>Ketoconazole</w:t>
            </w:r>
          </w:p>
        </w:tc>
        <w:tc>
          <w:tcPr>
            <w:tcW w:w="1804" w:type="pct"/>
            <w:vAlign w:val="center"/>
          </w:tcPr>
          <w:p w14:paraId="2A6BFCE9" w14:textId="47942792"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400 mg once daily x 6 days</w:t>
            </w:r>
          </w:p>
        </w:tc>
        <w:tc>
          <w:tcPr>
            <w:tcW w:w="1018" w:type="pct"/>
            <w:vAlign w:val="center"/>
          </w:tcPr>
          <w:p w14:paraId="0BD24254" w14:textId="77777777"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1.70</w:t>
            </w:r>
            <w:r w:rsidRPr="00F30805">
              <w:rPr>
                <w:rFonts w:ascii="Arial" w:hAnsi="Arial" w:cs="Arial"/>
                <w:sz w:val="18"/>
              </w:rPr>
              <w:br/>
              <w:t>(1.55-1.89)</w:t>
            </w:r>
          </w:p>
        </w:tc>
        <w:tc>
          <w:tcPr>
            <w:tcW w:w="1073" w:type="pct"/>
            <w:vAlign w:val="center"/>
          </w:tcPr>
          <w:p w14:paraId="755B9531" w14:textId="677EC891"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1.75</w:t>
            </w:r>
            <w:r w:rsidRPr="00F30805">
              <w:rPr>
                <w:rFonts w:ascii="Arial" w:hAnsi="Arial" w:cs="Arial"/>
                <w:sz w:val="18"/>
              </w:rPr>
              <w:br/>
              <w:t>(1.62-1.88)</w:t>
            </w:r>
          </w:p>
        </w:tc>
      </w:tr>
      <w:tr w:rsidR="00854EAD" w:rsidRPr="00F30805" w14:paraId="19C98E90" w14:textId="77777777" w:rsidTr="00854EAD">
        <w:trPr>
          <w:jc w:val="center"/>
        </w:trPr>
        <w:tc>
          <w:tcPr>
            <w:tcW w:w="1105" w:type="pct"/>
            <w:vAlign w:val="center"/>
          </w:tcPr>
          <w:p w14:paraId="1677DEB6" w14:textId="595FADC6" w:rsidR="00854EAD" w:rsidRPr="00F30805" w:rsidRDefault="00854EAD" w:rsidP="00F13BF6">
            <w:pPr>
              <w:pStyle w:val="TableLeft"/>
              <w:spacing w:line="360" w:lineRule="exact"/>
              <w:rPr>
                <w:rFonts w:ascii="Arial" w:hAnsi="Arial" w:cs="Arial"/>
                <w:sz w:val="18"/>
              </w:rPr>
            </w:pPr>
            <w:r w:rsidRPr="00F30805">
              <w:rPr>
                <w:rFonts w:ascii="Arial" w:hAnsi="Arial" w:cs="Arial"/>
                <w:sz w:val="18"/>
              </w:rPr>
              <w:t>Strong CYP3A4 inducer:</w:t>
            </w:r>
          </w:p>
          <w:p w14:paraId="62AF1597" w14:textId="4032173B" w:rsidR="00854EAD" w:rsidRPr="00F30805" w:rsidRDefault="00854EAD" w:rsidP="00F13BF6">
            <w:pPr>
              <w:pStyle w:val="TableLeft"/>
              <w:spacing w:line="360" w:lineRule="exact"/>
              <w:rPr>
                <w:rFonts w:ascii="Arial" w:hAnsi="Arial" w:cs="Arial"/>
                <w:sz w:val="18"/>
              </w:rPr>
            </w:pPr>
            <w:r w:rsidRPr="00F30805">
              <w:rPr>
                <w:rFonts w:ascii="Arial" w:hAnsi="Arial" w:cs="Arial"/>
                <w:sz w:val="18"/>
              </w:rPr>
              <w:t>Rifampicin</w:t>
            </w:r>
          </w:p>
        </w:tc>
        <w:tc>
          <w:tcPr>
            <w:tcW w:w="1804" w:type="pct"/>
            <w:vAlign w:val="center"/>
          </w:tcPr>
          <w:p w14:paraId="08EF7103" w14:textId="69C4D5BC"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600 mg once daily x 9 days</w:t>
            </w:r>
          </w:p>
        </w:tc>
        <w:tc>
          <w:tcPr>
            <w:tcW w:w="1018" w:type="pct"/>
            <w:vAlign w:val="center"/>
          </w:tcPr>
          <w:p w14:paraId="64CF489E" w14:textId="77777777"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0.49</w:t>
            </w:r>
            <w:r w:rsidRPr="00F30805">
              <w:rPr>
                <w:rFonts w:ascii="Arial" w:hAnsi="Arial" w:cs="Arial"/>
                <w:sz w:val="18"/>
              </w:rPr>
              <w:br/>
              <w:t>(0.44-0.55)</w:t>
            </w:r>
          </w:p>
        </w:tc>
        <w:tc>
          <w:tcPr>
            <w:tcW w:w="1073" w:type="pct"/>
            <w:vAlign w:val="center"/>
          </w:tcPr>
          <w:p w14:paraId="4F0F51FF" w14:textId="5C93AC25"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0.39</w:t>
            </w:r>
            <w:r w:rsidRPr="00F30805">
              <w:rPr>
                <w:rFonts w:ascii="Arial" w:hAnsi="Arial" w:cs="Arial"/>
                <w:sz w:val="18"/>
              </w:rPr>
              <w:br/>
              <w:t>(0.37-0.42)</w:t>
            </w:r>
          </w:p>
        </w:tc>
      </w:tr>
      <w:tr w:rsidR="00854EAD" w:rsidRPr="00F30805" w14:paraId="0348173F" w14:textId="77777777" w:rsidTr="00854EAD">
        <w:trPr>
          <w:jc w:val="center"/>
        </w:trPr>
        <w:tc>
          <w:tcPr>
            <w:tcW w:w="1105" w:type="pct"/>
            <w:vAlign w:val="center"/>
          </w:tcPr>
          <w:p w14:paraId="383BBDAD" w14:textId="021D174D" w:rsidR="00854EAD" w:rsidRPr="00F30805" w:rsidRDefault="00854EAD" w:rsidP="00F13BF6">
            <w:pPr>
              <w:pStyle w:val="TableLeft"/>
              <w:spacing w:line="360" w:lineRule="exact"/>
              <w:rPr>
                <w:rFonts w:ascii="Arial" w:hAnsi="Arial" w:cs="Arial"/>
                <w:sz w:val="18"/>
              </w:rPr>
            </w:pPr>
            <w:r w:rsidRPr="00F30805">
              <w:rPr>
                <w:rFonts w:ascii="Arial" w:hAnsi="Arial" w:cs="Arial"/>
                <w:sz w:val="18"/>
              </w:rPr>
              <w:t xml:space="preserve">OATP1B inhibitor: </w:t>
            </w:r>
            <w:proofErr w:type="spellStart"/>
            <w:r w:rsidRPr="00F30805">
              <w:rPr>
                <w:rFonts w:ascii="Arial" w:hAnsi="Arial" w:cs="Arial"/>
                <w:sz w:val="18"/>
              </w:rPr>
              <w:t>Rifampiciin</w:t>
            </w:r>
            <w:proofErr w:type="spellEnd"/>
          </w:p>
        </w:tc>
        <w:tc>
          <w:tcPr>
            <w:tcW w:w="1804" w:type="pct"/>
            <w:vAlign w:val="center"/>
          </w:tcPr>
          <w:p w14:paraId="0F62535E" w14:textId="792E25CA"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600 mg single dose</w:t>
            </w:r>
          </w:p>
        </w:tc>
        <w:tc>
          <w:tcPr>
            <w:tcW w:w="1018" w:type="pct"/>
            <w:vAlign w:val="center"/>
          </w:tcPr>
          <w:p w14:paraId="4A24F3C5" w14:textId="16C5F4FE"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1.14 (1.02-1.28)</w:t>
            </w:r>
          </w:p>
        </w:tc>
        <w:tc>
          <w:tcPr>
            <w:tcW w:w="1073" w:type="pct"/>
            <w:vAlign w:val="center"/>
          </w:tcPr>
          <w:p w14:paraId="1168F9E9" w14:textId="2C0D1535" w:rsidR="00854EAD" w:rsidRPr="00F30805" w:rsidRDefault="00854EAD" w:rsidP="00F13BF6">
            <w:pPr>
              <w:pStyle w:val="TableLeft"/>
              <w:spacing w:line="360" w:lineRule="exact"/>
              <w:jc w:val="center"/>
              <w:rPr>
                <w:rFonts w:ascii="Arial" w:hAnsi="Arial" w:cs="Arial"/>
                <w:sz w:val="18"/>
              </w:rPr>
            </w:pPr>
            <w:r w:rsidRPr="00F30805">
              <w:rPr>
                <w:rFonts w:ascii="Arial" w:hAnsi="Arial" w:cs="Arial"/>
                <w:sz w:val="18"/>
              </w:rPr>
              <w:t>1.07 (1.01-1.14)</w:t>
            </w:r>
          </w:p>
        </w:tc>
      </w:tr>
      <w:tr w:rsidR="00F13BF6" w:rsidRPr="00F30805" w14:paraId="02CFA56F" w14:textId="77777777" w:rsidTr="00421627">
        <w:trPr>
          <w:jc w:val="center"/>
        </w:trPr>
        <w:tc>
          <w:tcPr>
            <w:tcW w:w="5000" w:type="pct"/>
            <w:gridSpan w:val="4"/>
            <w:vAlign w:val="center"/>
          </w:tcPr>
          <w:p w14:paraId="646EE581" w14:textId="77777777" w:rsidR="00F13BF6" w:rsidRPr="00F30805" w:rsidRDefault="00F13BF6" w:rsidP="00F13BF6">
            <w:pPr>
              <w:spacing w:after="0" w:line="240" w:lineRule="auto"/>
              <w:rPr>
                <w:rFonts w:ascii="Arial" w:hAnsi="Arial" w:cs="Arial"/>
                <w:sz w:val="18"/>
                <w:szCs w:val="18"/>
              </w:rPr>
            </w:pPr>
            <w:r w:rsidRPr="00F30805">
              <w:rPr>
                <w:rFonts w:ascii="Arial" w:hAnsi="Arial" w:cs="Arial"/>
                <w:sz w:val="18"/>
                <w:szCs w:val="18"/>
              </w:rPr>
              <w:t>CI: Confidence interval</w:t>
            </w:r>
          </w:p>
          <w:p w14:paraId="0D6772BD" w14:textId="77777777" w:rsidR="00F13BF6" w:rsidRPr="00F30805" w:rsidRDefault="00F13BF6" w:rsidP="00F13BF6">
            <w:pPr>
              <w:spacing w:after="0" w:line="240" w:lineRule="auto"/>
              <w:rPr>
                <w:rFonts w:ascii="Arial" w:hAnsi="Arial" w:cs="Arial"/>
                <w:sz w:val="18"/>
                <w:szCs w:val="18"/>
              </w:rPr>
            </w:pPr>
            <w:r w:rsidRPr="00F30805">
              <w:rPr>
                <w:rFonts w:ascii="Arial" w:hAnsi="Arial" w:cs="Arial"/>
                <w:sz w:val="18"/>
                <w:szCs w:val="18"/>
                <w:vertAlign w:val="superscript"/>
              </w:rPr>
              <w:t>a</w:t>
            </w:r>
            <w:r w:rsidRPr="00F30805">
              <w:rPr>
                <w:rFonts w:ascii="Arial" w:hAnsi="Arial" w:cs="Arial"/>
                <w:sz w:val="18"/>
                <w:szCs w:val="18"/>
              </w:rPr>
              <w:t xml:space="preserve"> Ratios for </w:t>
            </w:r>
            <w:proofErr w:type="spellStart"/>
            <w:r w:rsidRPr="00F30805">
              <w:rPr>
                <w:rFonts w:ascii="Arial" w:hAnsi="Arial" w:cs="Arial"/>
                <w:sz w:val="18"/>
                <w:szCs w:val="18"/>
              </w:rPr>
              <w:t>C</w:t>
            </w:r>
            <w:r w:rsidRPr="00F30805">
              <w:rPr>
                <w:rFonts w:ascii="Arial" w:hAnsi="Arial" w:cs="Arial"/>
                <w:sz w:val="18"/>
                <w:szCs w:val="18"/>
                <w:vertAlign w:val="subscript"/>
              </w:rPr>
              <w:t>max</w:t>
            </w:r>
            <w:proofErr w:type="spellEnd"/>
            <w:r w:rsidRPr="00F30805">
              <w:rPr>
                <w:rFonts w:ascii="Arial" w:hAnsi="Arial" w:cs="Arial"/>
                <w:sz w:val="18"/>
                <w:szCs w:val="18"/>
              </w:rPr>
              <w:t xml:space="preserve"> and AUC compare co-administration of the medication with upadacitinib vs. administration of upadacitinib alone.</w:t>
            </w:r>
          </w:p>
          <w:p w14:paraId="54A96D36" w14:textId="345A38E4" w:rsidR="00F13BF6" w:rsidRPr="00F30805" w:rsidRDefault="00F13BF6" w:rsidP="00F13BF6">
            <w:pPr>
              <w:spacing w:after="0" w:line="240" w:lineRule="auto"/>
              <w:rPr>
                <w:rFonts w:ascii="Arial" w:hAnsi="Arial" w:cs="Arial"/>
                <w:sz w:val="18"/>
                <w:szCs w:val="18"/>
              </w:rPr>
            </w:pPr>
          </w:p>
        </w:tc>
      </w:tr>
    </w:tbl>
    <w:p w14:paraId="7D45AC03" w14:textId="77777777" w:rsidR="00CD1C5B" w:rsidRPr="00F30805" w:rsidRDefault="00CD1C5B" w:rsidP="00575345">
      <w:pPr>
        <w:rPr>
          <w:rFonts w:ascii="Arial" w:hAnsi="Arial" w:cs="Arial"/>
        </w:rPr>
      </w:pPr>
    </w:p>
    <w:p w14:paraId="730A4D9E" w14:textId="7A35CEA6" w:rsidR="00270608" w:rsidRPr="00F30805" w:rsidRDefault="00270608" w:rsidP="00575345">
      <w:pPr>
        <w:rPr>
          <w:rFonts w:ascii="Arial" w:hAnsi="Arial" w:cs="Arial"/>
        </w:rPr>
      </w:pPr>
      <w:r w:rsidRPr="00F30805">
        <w:rPr>
          <w:rFonts w:ascii="Arial" w:hAnsi="Arial" w:cs="Arial"/>
        </w:rPr>
        <w:t>Methotrexate, inhibitors of OATP1B transporters, and pH modifying medications (e.g., antacids or proton pump inhibitors) have no effect on upadacitinib plasma exposures. CYP2D6 metabolic phenotype had no effect on upadacitinib pharmacokinetics, indicating that inhibitors of CYP2D6 have no clinically relevant effect on upadacitinib exposures.</w:t>
      </w:r>
    </w:p>
    <w:p w14:paraId="6D508C60" w14:textId="77777777" w:rsidR="00270608" w:rsidRPr="00F30805" w:rsidRDefault="00270608" w:rsidP="00734BF8">
      <w:pPr>
        <w:pStyle w:val="Heading3"/>
      </w:pPr>
      <w:r w:rsidRPr="00F30805">
        <w:t>Potential for Upadacitinib to Affect the Pharmacokinetics of Other Drugs</w:t>
      </w:r>
    </w:p>
    <w:p w14:paraId="10FFCB30" w14:textId="77777777" w:rsidR="00BD2027" w:rsidRPr="00F30805" w:rsidRDefault="00BD2027" w:rsidP="00BD2027">
      <w:pPr>
        <w:rPr>
          <w:rFonts w:ascii="Arial" w:hAnsi="Arial" w:cs="Arial"/>
        </w:rPr>
      </w:pPr>
      <w:r w:rsidRPr="00F30805">
        <w:rPr>
          <w:rFonts w:ascii="Arial" w:hAnsi="Arial" w:cs="Arial"/>
        </w:rPr>
        <w:t>In vitro studies indicate that upadacitinib does not inhibit or induce the activity of cytochrome P450 (CYP) enzymes (CYP1A2, CYP2B6, CYP2C8, CYP2C9, CYP2C19, CYP2D6, and CYP3A4) at clinically relevant concentrations. In vitro studies indicate that upadacitinib does not inhibit the transporters P-</w:t>
      </w:r>
      <w:proofErr w:type="spellStart"/>
      <w:r w:rsidRPr="00F30805">
        <w:rPr>
          <w:rFonts w:ascii="Arial" w:hAnsi="Arial" w:cs="Arial"/>
        </w:rPr>
        <w:t>gp</w:t>
      </w:r>
      <w:proofErr w:type="spellEnd"/>
      <w:r w:rsidRPr="00F30805">
        <w:rPr>
          <w:rFonts w:ascii="Arial" w:hAnsi="Arial" w:cs="Arial"/>
        </w:rPr>
        <w:t xml:space="preserve">, BCRP, BSEP, OATP1B1, OATP1B3, OCT1, OCT2, OAT1, OAT3, MATE1, and MATE2K at clinically relevant concentrations. </w:t>
      </w:r>
    </w:p>
    <w:p w14:paraId="26DB54CB" w14:textId="14B259BD" w:rsidR="00E919A8" w:rsidRPr="00F30805" w:rsidRDefault="00BD2027" w:rsidP="00BD2027">
      <w:pPr>
        <w:rPr>
          <w:rFonts w:ascii="Arial" w:hAnsi="Arial" w:cs="Arial"/>
        </w:rPr>
      </w:pPr>
      <w:r w:rsidRPr="00F30805">
        <w:rPr>
          <w:rFonts w:ascii="Arial" w:hAnsi="Arial" w:cs="Arial"/>
        </w:rPr>
        <w:t>Clinical studies indicate that upadacitinib has no clinically relevant effects on the pharmacokinetics of co-administered drugs. Summary of results from clinical studies which evaluated</w:t>
      </w:r>
      <w:r w:rsidR="00B66B36" w:rsidRPr="00F30805">
        <w:rPr>
          <w:rFonts w:ascii="Arial" w:hAnsi="Arial" w:cs="Arial"/>
        </w:rPr>
        <w:t xml:space="preserve"> </w:t>
      </w:r>
      <w:r w:rsidRPr="00F30805">
        <w:rPr>
          <w:rFonts w:ascii="Arial" w:hAnsi="Arial" w:cs="Arial"/>
        </w:rPr>
        <w:t xml:space="preserve">the </w:t>
      </w:r>
      <w:r w:rsidR="00270608" w:rsidRPr="00F30805">
        <w:rPr>
          <w:rFonts w:ascii="Arial" w:hAnsi="Arial" w:cs="Arial"/>
        </w:rPr>
        <w:t>effect of upadacitinib on plasma exposures of other drugs is provided in Table 3.</w:t>
      </w:r>
    </w:p>
    <w:p w14:paraId="433AC06E" w14:textId="61F9E77B" w:rsidR="00270608" w:rsidRPr="00F30805" w:rsidRDefault="00270608" w:rsidP="00F71672">
      <w:pPr>
        <w:pStyle w:val="Heading3"/>
      </w:pPr>
      <w:r w:rsidRPr="00F30805">
        <w:lastRenderedPageBreak/>
        <w:t>Table 3. Change in Pharmacokinetics of Co-administered Drugs</w:t>
      </w:r>
      <w:r w:rsidR="006A3800" w:rsidRPr="00F30805">
        <w:t xml:space="preserve"> or In Vivo Markers of CYP Activity</w:t>
      </w:r>
      <w:r w:rsidRPr="00F30805">
        <w:t xml:space="preserve"> in the Presence of Upadacitinib</w:t>
      </w:r>
    </w:p>
    <w:tbl>
      <w:tblPr>
        <w:tblStyle w:val="TableGrid"/>
        <w:tblW w:w="9242" w:type="dxa"/>
        <w:tblInd w:w="-113" w:type="dxa"/>
        <w:tblLook w:val="04A0" w:firstRow="1" w:lastRow="0" w:firstColumn="1" w:lastColumn="0" w:noHBand="0" w:noVBand="1"/>
      </w:tblPr>
      <w:tblGrid>
        <w:gridCol w:w="3395"/>
        <w:gridCol w:w="2169"/>
        <w:gridCol w:w="1834"/>
        <w:gridCol w:w="1844"/>
      </w:tblGrid>
      <w:tr w:rsidR="00854EAD" w:rsidRPr="00F30805" w14:paraId="3FFAD5CD" w14:textId="77777777" w:rsidTr="00CA5658">
        <w:tc>
          <w:tcPr>
            <w:tcW w:w="5564" w:type="dxa"/>
            <w:gridSpan w:val="2"/>
          </w:tcPr>
          <w:p w14:paraId="5D3EFF0B" w14:textId="77777777" w:rsidR="00854EAD" w:rsidRPr="00F30805" w:rsidRDefault="00854EAD" w:rsidP="005C46E0"/>
        </w:tc>
        <w:tc>
          <w:tcPr>
            <w:tcW w:w="3678" w:type="dxa"/>
            <w:gridSpan w:val="2"/>
          </w:tcPr>
          <w:p w14:paraId="0F1F5489" w14:textId="204F9AF5" w:rsidR="00854EAD" w:rsidRPr="00F30805" w:rsidRDefault="00854EAD" w:rsidP="00FC6A58">
            <w:pPr>
              <w:jc w:val="center"/>
            </w:pPr>
            <w:r w:rsidRPr="00F30805">
              <w:rPr>
                <w:rFonts w:ascii="Arial" w:hAnsi="Arial" w:cs="Arial"/>
                <w:b/>
                <w:sz w:val="18"/>
                <w:szCs w:val="18"/>
              </w:rPr>
              <w:t>Ratio (90% CI)</w:t>
            </w:r>
            <w:r w:rsidRPr="00F30805">
              <w:rPr>
                <w:rFonts w:ascii="Arial" w:hAnsi="Arial" w:cs="Arial"/>
                <w:b/>
                <w:sz w:val="18"/>
                <w:szCs w:val="18"/>
                <w:vertAlign w:val="superscript"/>
              </w:rPr>
              <w:t>a</w:t>
            </w:r>
          </w:p>
        </w:tc>
      </w:tr>
      <w:tr w:rsidR="00854EAD" w:rsidRPr="00F30805" w14:paraId="6D81CE3B" w14:textId="77777777" w:rsidTr="00854EAD">
        <w:tc>
          <w:tcPr>
            <w:tcW w:w="3395" w:type="dxa"/>
          </w:tcPr>
          <w:p w14:paraId="44B1B96E" w14:textId="2815E553" w:rsidR="00854EAD" w:rsidRPr="00F30805" w:rsidRDefault="00854EAD" w:rsidP="00854EAD">
            <w:pPr>
              <w:jc w:val="left"/>
              <w:rPr>
                <w:rFonts w:ascii="Arial" w:hAnsi="Arial" w:cs="Arial"/>
                <w:b/>
                <w:bCs/>
              </w:rPr>
            </w:pPr>
            <w:r w:rsidRPr="00F30805">
              <w:rPr>
                <w:rFonts w:ascii="Arial" w:hAnsi="Arial" w:cs="Arial"/>
                <w:b/>
                <w:sz w:val="18"/>
                <w:szCs w:val="18"/>
              </w:rPr>
              <w:t>Co-administered Drug or CYP Activity Marker</w:t>
            </w:r>
          </w:p>
        </w:tc>
        <w:tc>
          <w:tcPr>
            <w:tcW w:w="2169" w:type="dxa"/>
          </w:tcPr>
          <w:p w14:paraId="797A0432" w14:textId="1C97A1DE" w:rsidR="00854EAD" w:rsidRPr="00F30805" w:rsidRDefault="00854EAD" w:rsidP="00854EAD">
            <w:pPr>
              <w:jc w:val="center"/>
              <w:rPr>
                <w:rFonts w:ascii="Arial" w:hAnsi="Arial" w:cs="Arial"/>
                <w:b/>
                <w:bCs/>
              </w:rPr>
            </w:pPr>
            <w:r w:rsidRPr="00F30805">
              <w:rPr>
                <w:rFonts w:ascii="Arial" w:hAnsi="Arial" w:cs="Arial"/>
                <w:b/>
                <w:sz w:val="18"/>
                <w:szCs w:val="18"/>
              </w:rPr>
              <w:t>Multiple-Dose Regimen of Upadacitinib</w:t>
            </w:r>
          </w:p>
        </w:tc>
        <w:tc>
          <w:tcPr>
            <w:tcW w:w="1834" w:type="dxa"/>
          </w:tcPr>
          <w:p w14:paraId="58FFF12B" w14:textId="13E41E76" w:rsidR="00854EAD" w:rsidRPr="00F30805" w:rsidRDefault="00854EAD" w:rsidP="00854EAD">
            <w:pPr>
              <w:jc w:val="center"/>
            </w:pPr>
            <w:proofErr w:type="spellStart"/>
            <w:r w:rsidRPr="00F30805">
              <w:rPr>
                <w:rFonts w:ascii="Arial" w:hAnsi="Arial" w:cs="Arial"/>
                <w:b/>
                <w:sz w:val="18"/>
                <w:szCs w:val="18"/>
              </w:rPr>
              <w:t>C</w:t>
            </w:r>
            <w:r w:rsidRPr="00F30805">
              <w:rPr>
                <w:rFonts w:ascii="Arial" w:hAnsi="Arial" w:cs="Arial"/>
                <w:b/>
                <w:sz w:val="18"/>
                <w:szCs w:val="18"/>
                <w:vertAlign w:val="subscript"/>
              </w:rPr>
              <w:t>max</w:t>
            </w:r>
            <w:proofErr w:type="spellEnd"/>
          </w:p>
        </w:tc>
        <w:tc>
          <w:tcPr>
            <w:tcW w:w="1844" w:type="dxa"/>
          </w:tcPr>
          <w:p w14:paraId="7277804C" w14:textId="393294EC" w:rsidR="00854EAD" w:rsidRPr="00F30805" w:rsidRDefault="00854EAD" w:rsidP="00854EAD">
            <w:pPr>
              <w:jc w:val="center"/>
            </w:pPr>
            <w:r w:rsidRPr="00F30805">
              <w:rPr>
                <w:rFonts w:ascii="Arial" w:hAnsi="Arial" w:cs="Arial"/>
                <w:b/>
                <w:sz w:val="18"/>
                <w:szCs w:val="18"/>
              </w:rPr>
              <w:t>AUC</w:t>
            </w:r>
          </w:p>
        </w:tc>
      </w:tr>
      <w:tr w:rsidR="00854EAD" w:rsidRPr="00F30805" w14:paraId="22D63B66" w14:textId="77777777" w:rsidTr="00854EAD">
        <w:trPr>
          <w:tblHeader/>
        </w:trPr>
        <w:tc>
          <w:tcPr>
            <w:tcW w:w="3395" w:type="dxa"/>
            <w:vAlign w:val="center"/>
          </w:tcPr>
          <w:p w14:paraId="3E9D50E7" w14:textId="04E9AC09"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Methotrexate</w:t>
            </w:r>
          </w:p>
        </w:tc>
        <w:tc>
          <w:tcPr>
            <w:tcW w:w="2169" w:type="dxa"/>
            <w:vAlign w:val="center"/>
          </w:tcPr>
          <w:p w14:paraId="06693AD9" w14:textId="471748B5"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 xml:space="preserve">6 mg to 24 mg twice </w:t>
            </w:r>
            <w:proofErr w:type="spellStart"/>
            <w:r w:rsidRPr="00F30805">
              <w:rPr>
                <w:rFonts w:ascii="Arial" w:hAnsi="Arial" w:cs="Arial"/>
                <w:sz w:val="18"/>
                <w:szCs w:val="18"/>
              </w:rPr>
              <w:t>daily</w:t>
            </w:r>
            <w:r w:rsidRPr="00F30805">
              <w:rPr>
                <w:rFonts w:ascii="Arial" w:hAnsi="Arial" w:cs="Arial"/>
                <w:sz w:val="18"/>
                <w:szCs w:val="18"/>
                <w:vertAlign w:val="superscript"/>
              </w:rPr>
              <w:t>b</w:t>
            </w:r>
            <w:proofErr w:type="spellEnd"/>
          </w:p>
        </w:tc>
        <w:tc>
          <w:tcPr>
            <w:tcW w:w="1834" w:type="dxa"/>
            <w:vAlign w:val="center"/>
          </w:tcPr>
          <w:p w14:paraId="0E034F08" w14:textId="035E4BC5"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1.03</w:t>
            </w:r>
          </w:p>
          <w:p w14:paraId="2FFBA23A"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(0.86-1.23)</w:t>
            </w:r>
          </w:p>
        </w:tc>
        <w:tc>
          <w:tcPr>
            <w:tcW w:w="1844" w:type="dxa"/>
            <w:vAlign w:val="center"/>
          </w:tcPr>
          <w:p w14:paraId="176DE21E"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1.14</w:t>
            </w:r>
          </w:p>
          <w:p w14:paraId="5EDEC270" w14:textId="6D88688B"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(0.91-1.43)</w:t>
            </w:r>
          </w:p>
        </w:tc>
      </w:tr>
      <w:tr w:rsidR="00854EAD" w:rsidRPr="00F30805" w14:paraId="1A4E069B" w14:textId="77777777" w:rsidTr="00854EAD">
        <w:trPr>
          <w:tblHeader/>
        </w:trPr>
        <w:tc>
          <w:tcPr>
            <w:tcW w:w="3395" w:type="dxa"/>
            <w:vAlign w:val="center"/>
          </w:tcPr>
          <w:p w14:paraId="520939CB" w14:textId="77777777"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 xml:space="preserve">Sensitive CYP1A2 Substrate: </w:t>
            </w:r>
          </w:p>
          <w:p w14:paraId="70BB55C6" w14:textId="46FB0407"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Caffeine</w:t>
            </w:r>
          </w:p>
        </w:tc>
        <w:tc>
          <w:tcPr>
            <w:tcW w:w="2169" w:type="dxa"/>
            <w:vAlign w:val="center"/>
          </w:tcPr>
          <w:p w14:paraId="09DD2F84" w14:textId="341E517C"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 xml:space="preserve">30 mg once </w:t>
            </w:r>
            <w:proofErr w:type="spellStart"/>
            <w:r w:rsidRPr="00F30805">
              <w:rPr>
                <w:rFonts w:ascii="Arial" w:hAnsi="Arial" w:cs="Arial"/>
                <w:sz w:val="18"/>
                <w:szCs w:val="18"/>
              </w:rPr>
              <w:t>daily</w:t>
            </w:r>
            <w:r w:rsidRPr="00F30805">
              <w:rPr>
                <w:rFonts w:ascii="Arial" w:hAnsi="Arial" w:cs="Arial"/>
                <w:sz w:val="18"/>
                <w:szCs w:val="18"/>
                <w:vertAlign w:val="superscript"/>
              </w:rPr>
              <w:t>c</w:t>
            </w:r>
            <w:proofErr w:type="spellEnd"/>
          </w:p>
        </w:tc>
        <w:tc>
          <w:tcPr>
            <w:tcW w:w="1834" w:type="dxa"/>
            <w:vAlign w:val="center"/>
          </w:tcPr>
          <w:p w14:paraId="0574A0F1"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1.13</w:t>
            </w:r>
          </w:p>
          <w:p w14:paraId="664EE3B0"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(1.05-1.22)</w:t>
            </w:r>
          </w:p>
        </w:tc>
        <w:tc>
          <w:tcPr>
            <w:tcW w:w="1844" w:type="dxa"/>
            <w:vAlign w:val="center"/>
          </w:tcPr>
          <w:p w14:paraId="1DCC6670"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1.22</w:t>
            </w:r>
          </w:p>
          <w:p w14:paraId="33BAA4B8" w14:textId="4582922F"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(1.15-1.29)</w:t>
            </w:r>
          </w:p>
        </w:tc>
      </w:tr>
      <w:tr w:rsidR="00854EAD" w:rsidRPr="00F30805" w14:paraId="12D0D1B6" w14:textId="77777777" w:rsidTr="00854EAD">
        <w:trPr>
          <w:tblHeader/>
        </w:trPr>
        <w:tc>
          <w:tcPr>
            <w:tcW w:w="3395" w:type="dxa"/>
            <w:vAlign w:val="center"/>
          </w:tcPr>
          <w:p w14:paraId="5216D44D" w14:textId="77777777"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Sensitive CYP2D6 Substrate:</w:t>
            </w:r>
          </w:p>
          <w:p w14:paraId="1305B70A" w14:textId="50DB6BDB"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Dextromethorphan</w:t>
            </w:r>
          </w:p>
        </w:tc>
        <w:tc>
          <w:tcPr>
            <w:tcW w:w="2169" w:type="dxa"/>
            <w:vAlign w:val="center"/>
          </w:tcPr>
          <w:p w14:paraId="3D93C0A0" w14:textId="0DF9C5E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 xml:space="preserve">30 mg once </w:t>
            </w:r>
            <w:proofErr w:type="spellStart"/>
            <w:r w:rsidRPr="00F30805">
              <w:rPr>
                <w:rFonts w:ascii="Arial" w:hAnsi="Arial" w:cs="Arial"/>
                <w:sz w:val="18"/>
                <w:szCs w:val="18"/>
              </w:rPr>
              <w:t>daily</w:t>
            </w:r>
            <w:r w:rsidRPr="00F30805">
              <w:rPr>
                <w:rFonts w:ascii="Arial" w:hAnsi="Arial" w:cs="Arial"/>
                <w:sz w:val="18"/>
                <w:szCs w:val="18"/>
                <w:vertAlign w:val="superscript"/>
              </w:rPr>
              <w:t>c</w:t>
            </w:r>
            <w:proofErr w:type="spellEnd"/>
          </w:p>
        </w:tc>
        <w:tc>
          <w:tcPr>
            <w:tcW w:w="1834" w:type="dxa"/>
            <w:vAlign w:val="center"/>
          </w:tcPr>
          <w:p w14:paraId="68519589"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1.09</w:t>
            </w:r>
          </w:p>
          <w:p w14:paraId="1CE299B0"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(0.98-1.21)</w:t>
            </w:r>
          </w:p>
        </w:tc>
        <w:tc>
          <w:tcPr>
            <w:tcW w:w="1844" w:type="dxa"/>
            <w:vAlign w:val="center"/>
          </w:tcPr>
          <w:p w14:paraId="09F53328" w14:textId="43F6E0F9"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1.07</w:t>
            </w:r>
          </w:p>
          <w:p w14:paraId="4B082719" w14:textId="1EB82F0B"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(0.95-1.22)</w:t>
            </w:r>
          </w:p>
        </w:tc>
      </w:tr>
      <w:tr w:rsidR="00854EAD" w:rsidRPr="00F30805" w14:paraId="46F490EA" w14:textId="77777777" w:rsidTr="00854EAD">
        <w:trPr>
          <w:tblHeader/>
        </w:trPr>
        <w:tc>
          <w:tcPr>
            <w:tcW w:w="3395" w:type="dxa"/>
            <w:vAlign w:val="center"/>
          </w:tcPr>
          <w:p w14:paraId="7B09B3E5" w14:textId="77777777"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Sensitive CYP2C9 Substrate:</w:t>
            </w:r>
          </w:p>
          <w:p w14:paraId="37AF1498" w14:textId="3E475B64"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S-Warfarin</w:t>
            </w:r>
          </w:p>
        </w:tc>
        <w:tc>
          <w:tcPr>
            <w:tcW w:w="2169" w:type="dxa"/>
            <w:vAlign w:val="center"/>
          </w:tcPr>
          <w:p w14:paraId="26B1272B" w14:textId="45334F36"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 xml:space="preserve">30 mg once </w:t>
            </w:r>
            <w:proofErr w:type="spellStart"/>
            <w:r w:rsidRPr="00F30805">
              <w:rPr>
                <w:rFonts w:ascii="Arial" w:hAnsi="Arial" w:cs="Arial"/>
                <w:sz w:val="18"/>
                <w:szCs w:val="18"/>
              </w:rPr>
              <w:t>daily</w:t>
            </w:r>
            <w:r w:rsidRPr="00F30805">
              <w:rPr>
                <w:rFonts w:ascii="Arial" w:hAnsi="Arial" w:cs="Arial"/>
                <w:sz w:val="18"/>
                <w:szCs w:val="18"/>
                <w:vertAlign w:val="superscript"/>
              </w:rPr>
              <w:t>c</w:t>
            </w:r>
            <w:proofErr w:type="spellEnd"/>
          </w:p>
        </w:tc>
        <w:tc>
          <w:tcPr>
            <w:tcW w:w="1834" w:type="dxa"/>
            <w:vAlign w:val="center"/>
          </w:tcPr>
          <w:p w14:paraId="753856EA"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1.07</w:t>
            </w:r>
          </w:p>
          <w:p w14:paraId="0D6B34FD"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(1.02-1.11)</w:t>
            </w:r>
          </w:p>
        </w:tc>
        <w:tc>
          <w:tcPr>
            <w:tcW w:w="1844" w:type="dxa"/>
            <w:vAlign w:val="center"/>
          </w:tcPr>
          <w:p w14:paraId="1E6464E7"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1.11</w:t>
            </w:r>
          </w:p>
          <w:p w14:paraId="2C9ABA94" w14:textId="0C7FA1CD"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(1.07-1.15)</w:t>
            </w:r>
          </w:p>
        </w:tc>
      </w:tr>
      <w:tr w:rsidR="00854EAD" w:rsidRPr="00F30805" w14:paraId="6FC9C66F" w14:textId="77777777" w:rsidTr="00854EAD">
        <w:trPr>
          <w:tblHeader/>
        </w:trPr>
        <w:tc>
          <w:tcPr>
            <w:tcW w:w="3395" w:type="dxa"/>
            <w:vAlign w:val="center"/>
          </w:tcPr>
          <w:p w14:paraId="29903D82" w14:textId="77777777"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 xml:space="preserve">Sensitive CYP2C19 Marker: </w:t>
            </w:r>
          </w:p>
          <w:p w14:paraId="3121FC1C" w14:textId="1D9472AE"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5-OH Omeprazole to Omeprazole metabolic ratio</w:t>
            </w:r>
          </w:p>
        </w:tc>
        <w:tc>
          <w:tcPr>
            <w:tcW w:w="2169" w:type="dxa"/>
            <w:vAlign w:val="center"/>
          </w:tcPr>
          <w:p w14:paraId="229FAC5B" w14:textId="19AA104F"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 xml:space="preserve">30 mg once </w:t>
            </w:r>
            <w:proofErr w:type="spellStart"/>
            <w:r w:rsidRPr="00F30805">
              <w:rPr>
                <w:rFonts w:ascii="Arial" w:hAnsi="Arial" w:cs="Arial"/>
                <w:sz w:val="18"/>
                <w:szCs w:val="18"/>
              </w:rPr>
              <w:t>daily</w:t>
            </w:r>
            <w:r w:rsidRPr="00F30805">
              <w:rPr>
                <w:rFonts w:ascii="Arial" w:hAnsi="Arial" w:cs="Arial"/>
                <w:sz w:val="18"/>
                <w:szCs w:val="18"/>
                <w:vertAlign w:val="superscript"/>
              </w:rPr>
              <w:t>c</w:t>
            </w:r>
            <w:proofErr w:type="spellEnd"/>
          </w:p>
        </w:tc>
        <w:tc>
          <w:tcPr>
            <w:tcW w:w="1834" w:type="dxa"/>
            <w:vAlign w:val="center"/>
          </w:tcPr>
          <w:p w14:paraId="62A3E69D"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w:t>
            </w:r>
          </w:p>
        </w:tc>
        <w:tc>
          <w:tcPr>
            <w:tcW w:w="1844" w:type="dxa"/>
            <w:vAlign w:val="center"/>
          </w:tcPr>
          <w:p w14:paraId="704137B1"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1.09</w:t>
            </w:r>
          </w:p>
          <w:p w14:paraId="26AA569F" w14:textId="11027D63"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(1.00-1.19)</w:t>
            </w:r>
          </w:p>
        </w:tc>
      </w:tr>
      <w:tr w:rsidR="00854EAD" w:rsidRPr="00F30805" w14:paraId="17C85380" w14:textId="77777777" w:rsidTr="00854EAD">
        <w:trPr>
          <w:tblHeader/>
        </w:trPr>
        <w:tc>
          <w:tcPr>
            <w:tcW w:w="3395" w:type="dxa"/>
            <w:vAlign w:val="center"/>
          </w:tcPr>
          <w:p w14:paraId="4FC8112B" w14:textId="557884DA"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 xml:space="preserve">CYP2B6 Substrate: </w:t>
            </w:r>
            <w:proofErr w:type="spellStart"/>
            <w:r w:rsidRPr="00F30805">
              <w:rPr>
                <w:rFonts w:ascii="Arial" w:hAnsi="Arial" w:cs="Arial"/>
                <w:sz w:val="18"/>
                <w:szCs w:val="18"/>
              </w:rPr>
              <w:t>Buproprion</w:t>
            </w:r>
            <w:proofErr w:type="spellEnd"/>
          </w:p>
        </w:tc>
        <w:tc>
          <w:tcPr>
            <w:tcW w:w="2169" w:type="dxa"/>
            <w:vAlign w:val="center"/>
          </w:tcPr>
          <w:p w14:paraId="57242A2F" w14:textId="7C5F7940"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 xml:space="preserve">30 mg once </w:t>
            </w:r>
            <w:proofErr w:type="spellStart"/>
            <w:r w:rsidRPr="00F30805">
              <w:rPr>
                <w:rFonts w:ascii="Arial" w:hAnsi="Arial" w:cs="Arial"/>
                <w:sz w:val="18"/>
                <w:szCs w:val="18"/>
              </w:rPr>
              <w:t>daily</w:t>
            </w:r>
            <w:r w:rsidRPr="00F30805">
              <w:rPr>
                <w:rFonts w:ascii="Arial" w:hAnsi="Arial" w:cs="Arial"/>
                <w:sz w:val="18"/>
                <w:szCs w:val="18"/>
                <w:vertAlign w:val="superscript"/>
              </w:rPr>
              <w:t>c</w:t>
            </w:r>
            <w:proofErr w:type="spellEnd"/>
          </w:p>
        </w:tc>
        <w:tc>
          <w:tcPr>
            <w:tcW w:w="1834" w:type="dxa"/>
            <w:vAlign w:val="center"/>
          </w:tcPr>
          <w:p w14:paraId="21732963" w14:textId="538D7B30"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0.87</w:t>
            </w:r>
          </w:p>
          <w:p w14:paraId="5A078C69"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(0.79-0.96)</w:t>
            </w:r>
          </w:p>
        </w:tc>
        <w:tc>
          <w:tcPr>
            <w:tcW w:w="1844" w:type="dxa"/>
            <w:vAlign w:val="center"/>
          </w:tcPr>
          <w:p w14:paraId="4C1C22F3" w14:textId="7777777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0.92</w:t>
            </w:r>
          </w:p>
          <w:p w14:paraId="60FAFCFD" w14:textId="6E759C17"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(0.87-0.98)</w:t>
            </w:r>
          </w:p>
        </w:tc>
      </w:tr>
      <w:tr w:rsidR="00854EAD" w:rsidRPr="00F30805" w14:paraId="5FE93410" w14:textId="77777777" w:rsidTr="00854EAD">
        <w:tc>
          <w:tcPr>
            <w:tcW w:w="3395" w:type="dxa"/>
            <w:vAlign w:val="center"/>
          </w:tcPr>
          <w:p w14:paraId="53417438" w14:textId="77777777" w:rsidR="00854EAD" w:rsidRPr="00F30805" w:rsidRDefault="00854EAD" w:rsidP="00854EAD">
            <w:pPr>
              <w:pStyle w:val="TableLeft"/>
              <w:spacing w:line="360" w:lineRule="exact"/>
              <w:rPr>
                <w:rFonts w:ascii="Arial" w:hAnsi="Arial" w:cs="Arial"/>
                <w:sz w:val="18"/>
                <w:szCs w:val="18"/>
              </w:rPr>
            </w:pPr>
            <w:r w:rsidRPr="00F30805">
              <w:rPr>
                <w:rFonts w:ascii="Arial" w:hAnsi="Arial" w:cs="Arial"/>
                <w:sz w:val="18"/>
                <w:szCs w:val="18"/>
              </w:rPr>
              <w:t>Sensitive CYP3A Substrate:</w:t>
            </w:r>
          </w:p>
          <w:p w14:paraId="75C0A241" w14:textId="11147D4F" w:rsidR="00854EAD" w:rsidRPr="00F30805" w:rsidDel="005C46E0" w:rsidRDefault="00854EAD" w:rsidP="00854EAD">
            <w:pPr>
              <w:jc w:val="left"/>
              <w:rPr>
                <w:rFonts w:ascii="Arial" w:hAnsi="Arial" w:cs="Arial"/>
                <w:sz w:val="18"/>
                <w:szCs w:val="18"/>
              </w:rPr>
            </w:pPr>
            <w:r w:rsidRPr="00F30805">
              <w:rPr>
                <w:rFonts w:ascii="Arial" w:hAnsi="Arial" w:cs="Arial"/>
                <w:sz w:val="18"/>
                <w:szCs w:val="18"/>
              </w:rPr>
              <w:t>Midazolam</w:t>
            </w:r>
          </w:p>
        </w:tc>
        <w:tc>
          <w:tcPr>
            <w:tcW w:w="2169" w:type="dxa"/>
          </w:tcPr>
          <w:p w14:paraId="5A02F95E" w14:textId="7192FE5D" w:rsidR="00854EAD" w:rsidRPr="00F30805" w:rsidDel="005C46E0" w:rsidRDefault="00854EAD" w:rsidP="00854EAD">
            <w:pPr>
              <w:jc w:val="center"/>
              <w:rPr>
                <w:rFonts w:ascii="Arial" w:hAnsi="Arial" w:cs="Arial"/>
                <w:bCs/>
                <w:sz w:val="18"/>
                <w:szCs w:val="18"/>
              </w:rPr>
            </w:pPr>
            <w:r w:rsidRPr="00F30805">
              <w:rPr>
                <w:rFonts w:ascii="Arial" w:hAnsi="Arial" w:cs="Arial"/>
                <w:bCs/>
                <w:sz w:val="18"/>
                <w:szCs w:val="18"/>
              </w:rPr>
              <w:t xml:space="preserve">30 mg once </w:t>
            </w:r>
            <w:proofErr w:type="spellStart"/>
            <w:r w:rsidRPr="00F30805">
              <w:rPr>
                <w:rFonts w:ascii="Arial" w:hAnsi="Arial" w:cs="Arial"/>
                <w:bCs/>
                <w:sz w:val="18"/>
                <w:szCs w:val="18"/>
              </w:rPr>
              <w:t>daily</w:t>
            </w:r>
            <w:r w:rsidRPr="00F30805">
              <w:rPr>
                <w:rFonts w:ascii="Arial" w:hAnsi="Arial" w:cs="Arial"/>
                <w:bCs/>
                <w:sz w:val="18"/>
                <w:szCs w:val="18"/>
                <w:vertAlign w:val="superscript"/>
              </w:rPr>
              <w:t>c</w:t>
            </w:r>
            <w:proofErr w:type="spellEnd"/>
          </w:p>
        </w:tc>
        <w:tc>
          <w:tcPr>
            <w:tcW w:w="1834" w:type="dxa"/>
            <w:vAlign w:val="center"/>
          </w:tcPr>
          <w:p w14:paraId="3F256DAE" w14:textId="4AC926CD" w:rsidR="00854EAD" w:rsidRPr="00F30805" w:rsidRDefault="00854EAD" w:rsidP="00854EAD">
            <w:pPr>
              <w:jc w:val="center"/>
              <w:rPr>
                <w:rFonts w:ascii="Arial" w:hAnsi="Arial" w:cs="Arial"/>
                <w:b/>
                <w:sz w:val="18"/>
                <w:szCs w:val="18"/>
              </w:rPr>
            </w:pPr>
            <w:r w:rsidRPr="00F30805">
              <w:rPr>
                <w:rFonts w:ascii="Arial" w:hAnsi="Arial" w:cs="Arial"/>
                <w:sz w:val="18"/>
                <w:szCs w:val="18"/>
              </w:rPr>
              <w:t>0.74</w:t>
            </w:r>
            <w:r w:rsidRPr="00F30805">
              <w:rPr>
                <w:rFonts w:ascii="Arial" w:hAnsi="Arial" w:cs="Arial"/>
                <w:sz w:val="18"/>
                <w:szCs w:val="18"/>
              </w:rPr>
              <w:br/>
              <w:t>(0.68-0.80)</w:t>
            </w:r>
          </w:p>
        </w:tc>
        <w:tc>
          <w:tcPr>
            <w:tcW w:w="1844" w:type="dxa"/>
            <w:vAlign w:val="center"/>
          </w:tcPr>
          <w:p w14:paraId="476A9BD6" w14:textId="1D0C31B8" w:rsidR="00854EAD" w:rsidRPr="00F30805" w:rsidRDefault="00854EAD" w:rsidP="00854EAD">
            <w:pPr>
              <w:jc w:val="center"/>
              <w:rPr>
                <w:rFonts w:ascii="Arial" w:hAnsi="Arial" w:cs="Arial"/>
                <w:b/>
                <w:sz w:val="18"/>
                <w:szCs w:val="18"/>
              </w:rPr>
            </w:pPr>
            <w:r w:rsidRPr="00F30805">
              <w:rPr>
                <w:rFonts w:ascii="Arial" w:hAnsi="Arial" w:cs="Arial"/>
                <w:sz w:val="18"/>
                <w:szCs w:val="18"/>
              </w:rPr>
              <w:t>0.74</w:t>
            </w:r>
            <w:r w:rsidRPr="00F30805">
              <w:rPr>
                <w:rFonts w:ascii="Arial" w:hAnsi="Arial" w:cs="Arial"/>
                <w:sz w:val="18"/>
                <w:szCs w:val="18"/>
              </w:rPr>
              <w:br/>
              <w:t>(0.68-0.80)</w:t>
            </w:r>
          </w:p>
        </w:tc>
      </w:tr>
      <w:tr w:rsidR="00854EAD" w:rsidRPr="00F30805" w14:paraId="3104F2F6" w14:textId="77777777" w:rsidTr="00854EAD">
        <w:tc>
          <w:tcPr>
            <w:tcW w:w="3395" w:type="dxa"/>
            <w:vAlign w:val="center"/>
          </w:tcPr>
          <w:p w14:paraId="7870905F" w14:textId="3CEE5F7D" w:rsidR="00854EAD" w:rsidRPr="00F30805" w:rsidDel="005C46E0" w:rsidRDefault="00854EAD" w:rsidP="00854EAD">
            <w:pPr>
              <w:jc w:val="left"/>
              <w:rPr>
                <w:rFonts w:ascii="Arial" w:hAnsi="Arial" w:cs="Arial"/>
                <w:sz w:val="18"/>
                <w:szCs w:val="18"/>
              </w:rPr>
            </w:pPr>
            <w:r w:rsidRPr="00F30805">
              <w:rPr>
                <w:rFonts w:ascii="Arial" w:hAnsi="Arial" w:cs="Arial"/>
                <w:sz w:val="18"/>
                <w:szCs w:val="18"/>
              </w:rPr>
              <w:t>Rosuvastatin</w:t>
            </w:r>
          </w:p>
        </w:tc>
        <w:tc>
          <w:tcPr>
            <w:tcW w:w="2169" w:type="dxa"/>
          </w:tcPr>
          <w:p w14:paraId="18C5E451" w14:textId="2F351758" w:rsidR="00854EAD" w:rsidRPr="00F30805" w:rsidDel="005C46E0" w:rsidRDefault="00854EAD" w:rsidP="00854EAD">
            <w:pPr>
              <w:jc w:val="center"/>
              <w:rPr>
                <w:rFonts w:ascii="Arial" w:hAnsi="Arial" w:cs="Arial"/>
                <w:bCs/>
                <w:sz w:val="18"/>
                <w:szCs w:val="18"/>
              </w:rPr>
            </w:pPr>
            <w:r w:rsidRPr="00F30805">
              <w:rPr>
                <w:rFonts w:ascii="Arial" w:hAnsi="Arial" w:cs="Arial"/>
                <w:bCs/>
                <w:sz w:val="18"/>
                <w:szCs w:val="18"/>
              </w:rPr>
              <w:t xml:space="preserve">30 mg once </w:t>
            </w:r>
            <w:proofErr w:type="spellStart"/>
            <w:r w:rsidRPr="00F30805">
              <w:rPr>
                <w:rFonts w:ascii="Arial" w:hAnsi="Arial" w:cs="Arial"/>
                <w:bCs/>
                <w:sz w:val="18"/>
                <w:szCs w:val="18"/>
              </w:rPr>
              <w:t>daily</w:t>
            </w:r>
            <w:r w:rsidRPr="00F30805">
              <w:rPr>
                <w:rFonts w:ascii="Arial" w:hAnsi="Arial" w:cs="Arial"/>
                <w:bCs/>
                <w:sz w:val="18"/>
                <w:szCs w:val="18"/>
                <w:vertAlign w:val="superscript"/>
              </w:rPr>
              <w:t>c</w:t>
            </w:r>
            <w:proofErr w:type="spellEnd"/>
          </w:p>
        </w:tc>
        <w:tc>
          <w:tcPr>
            <w:tcW w:w="1834" w:type="dxa"/>
            <w:vAlign w:val="center"/>
          </w:tcPr>
          <w:p w14:paraId="7AD4BFF4" w14:textId="28C94F7C" w:rsidR="00854EAD" w:rsidRPr="00F30805" w:rsidRDefault="00854EAD" w:rsidP="00854EAD">
            <w:pPr>
              <w:jc w:val="center"/>
              <w:rPr>
                <w:rFonts w:ascii="Arial" w:hAnsi="Arial" w:cs="Arial"/>
                <w:b/>
                <w:sz w:val="18"/>
                <w:szCs w:val="18"/>
              </w:rPr>
            </w:pPr>
            <w:r w:rsidRPr="00F30805">
              <w:rPr>
                <w:rFonts w:ascii="Arial" w:hAnsi="Arial" w:cs="Arial"/>
                <w:sz w:val="18"/>
                <w:szCs w:val="18"/>
              </w:rPr>
              <w:t>0.77</w:t>
            </w:r>
            <w:r w:rsidRPr="00F30805">
              <w:rPr>
                <w:rFonts w:ascii="Arial" w:hAnsi="Arial" w:cs="Arial"/>
                <w:sz w:val="18"/>
                <w:szCs w:val="18"/>
              </w:rPr>
              <w:br/>
              <w:t>(0.63-0.94)</w:t>
            </w:r>
          </w:p>
        </w:tc>
        <w:tc>
          <w:tcPr>
            <w:tcW w:w="1844" w:type="dxa"/>
            <w:vAlign w:val="center"/>
          </w:tcPr>
          <w:p w14:paraId="599E8298" w14:textId="45215D4B" w:rsidR="00854EAD" w:rsidRPr="00F30805" w:rsidRDefault="00854EAD" w:rsidP="00854EAD">
            <w:pPr>
              <w:jc w:val="center"/>
              <w:rPr>
                <w:rFonts w:ascii="Arial" w:hAnsi="Arial" w:cs="Arial"/>
                <w:b/>
                <w:sz w:val="18"/>
                <w:szCs w:val="18"/>
              </w:rPr>
            </w:pPr>
            <w:r w:rsidRPr="00F30805">
              <w:rPr>
                <w:rFonts w:ascii="Arial" w:hAnsi="Arial" w:cs="Arial"/>
                <w:sz w:val="18"/>
                <w:szCs w:val="18"/>
              </w:rPr>
              <w:t>0.67</w:t>
            </w:r>
            <w:r w:rsidRPr="00F30805">
              <w:rPr>
                <w:rFonts w:ascii="Arial" w:hAnsi="Arial" w:cs="Arial"/>
                <w:sz w:val="18"/>
                <w:szCs w:val="18"/>
              </w:rPr>
              <w:br/>
              <w:t>(0.56-0.82)</w:t>
            </w:r>
          </w:p>
        </w:tc>
      </w:tr>
      <w:tr w:rsidR="00854EAD" w:rsidRPr="00F30805" w14:paraId="2FBBF6B0" w14:textId="77777777" w:rsidTr="00854EAD">
        <w:tc>
          <w:tcPr>
            <w:tcW w:w="3395" w:type="dxa"/>
            <w:vAlign w:val="center"/>
          </w:tcPr>
          <w:p w14:paraId="1C6F3E0A" w14:textId="13F202F6" w:rsidR="00854EAD" w:rsidRPr="00F30805" w:rsidDel="005C46E0" w:rsidRDefault="00854EAD" w:rsidP="00854EAD">
            <w:pPr>
              <w:jc w:val="left"/>
              <w:rPr>
                <w:rFonts w:ascii="Arial" w:hAnsi="Arial" w:cs="Arial"/>
                <w:sz w:val="18"/>
                <w:szCs w:val="18"/>
              </w:rPr>
            </w:pPr>
            <w:r w:rsidRPr="00F30805">
              <w:rPr>
                <w:rFonts w:ascii="Arial" w:hAnsi="Arial" w:cs="Arial"/>
                <w:sz w:val="18"/>
                <w:szCs w:val="18"/>
              </w:rPr>
              <w:t>Atorvastatin</w:t>
            </w:r>
          </w:p>
        </w:tc>
        <w:tc>
          <w:tcPr>
            <w:tcW w:w="2169" w:type="dxa"/>
          </w:tcPr>
          <w:p w14:paraId="426787A5" w14:textId="22CD51A1" w:rsidR="00854EAD" w:rsidRPr="00F30805" w:rsidDel="005C46E0" w:rsidRDefault="00854EAD" w:rsidP="00854EAD">
            <w:pPr>
              <w:jc w:val="center"/>
              <w:rPr>
                <w:rFonts w:ascii="Arial" w:hAnsi="Arial" w:cs="Arial"/>
                <w:bCs/>
                <w:sz w:val="18"/>
                <w:szCs w:val="18"/>
              </w:rPr>
            </w:pPr>
            <w:r w:rsidRPr="00F30805">
              <w:rPr>
                <w:rFonts w:ascii="Arial" w:hAnsi="Arial" w:cs="Arial"/>
                <w:bCs/>
                <w:sz w:val="18"/>
                <w:szCs w:val="18"/>
              </w:rPr>
              <w:t xml:space="preserve">30 mg once </w:t>
            </w:r>
            <w:proofErr w:type="spellStart"/>
            <w:r w:rsidRPr="00F30805">
              <w:rPr>
                <w:rFonts w:ascii="Arial" w:hAnsi="Arial" w:cs="Arial"/>
                <w:bCs/>
                <w:sz w:val="18"/>
                <w:szCs w:val="18"/>
              </w:rPr>
              <w:t>daily</w:t>
            </w:r>
            <w:r w:rsidRPr="00F30805">
              <w:rPr>
                <w:rFonts w:ascii="Arial" w:hAnsi="Arial" w:cs="Arial"/>
                <w:bCs/>
                <w:sz w:val="18"/>
                <w:szCs w:val="18"/>
                <w:vertAlign w:val="superscript"/>
              </w:rPr>
              <w:t>c</w:t>
            </w:r>
            <w:proofErr w:type="spellEnd"/>
          </w:p>
        </w:tc>
        <w:tc>
          <w:tcPr>
            <w:tcW w:w="1834" w:type="dxa"/>
            <w:vAlign w:val="center"/>
          </w:tcPr>
          <w:p w14:paraId="18CB9365" w14:textId="43DE0507" w:rsidR="00854EAD" w:rsidRPr="00F30805" w:rsidRDefault="00854EAD" w:rsidP="00854EAD">
            <w:pPr>
              <w:jc w:val="center"/>
              <w:rPr>
                <w:rFonts w:ascii="Arial" w:hAnsi="Arial" w:cs="Arial"/>
                <w:b/>
                <w:sz w:val="18"/>
                <w:szCs w:val="18"/>
              </w:rPr>
            </w:pPr>
            <w:r w:rsidRPr="00F30805">
              <w:rPr>
                <w:rFonts w:ascii="Arial" w:hAnsi="Arial" w:cs="Arial"/>
                <w:sz w:val="18"/>
                <w:szCs w:val="18"/>
              </w:rPr>
              <w:t>0.88</w:t>
            </w:r>
            <w:r w:rsidRPr="00F30805">
              <w:rPr>
                <w:rFonts w:ascii="Arial" w:hAnsi="Arial" w:cs="Arial"/>
                <w:sz w:val="18"/>
                <w:szCs w:val="18"/>
              </w:rPr>
              <w:br/>
              <w:t>(0.79-0.97)</w:t>
            </w:r>
          </w:p>
        </w:tc>
        <w:tc>
          <w:tcPr>
            <w:tcW w:w="1844" w:type="dxa"/>
            <w:vAlign w:val="center"/>
          </w:tcPr>
          <w:p w14:paraId="07570087" w14:textId="05DB28FA" w:rsidR="00854EAD" w:rsidRPr="00F30805" w:rsidRDefault="00854EAD" w:rsidP="00854EAD">
            <w:pPr>
              <w:jc w:val="center"/>
              <w:rPr>
                <w:rFonts w:ascii="Arial" w:hAnsi="Arial" w:cs="Arial"/>
                <w:b/>
                <w:sz w:val="18"/>
                <w:szCs w:val="18"/>
              </w:rPr>
            </w:pPr>
            <w:r w:rsidRPr="00F30805">
              <w:rPr>
                <w:rFonts w:ascii="Arial" w:hAnsi="Arial" w:cs="Arial"/>
                <w:sz w:val="18"/>
                <w:szCs w:val="18"/>
              </w:rPr>
              <w:t>0.77</w:t>
            </w:r>
            <w:r w:rsidRPr="00F30805">
              <w:rPr>
                <w:rFonts w:ascii="Arial" w:hAnsi="Arial" w:cs="Arial"/>
                <w:sz w:val="18"/>
                <w:szCs w:val="18"/>
              </w:rPr>
              <w:br/>
              <w:t>(0.70-0.85)</w:t>
            </w:r>
          </w:p>
        </w:tc>
      </w:tr>
      <w:tr w:rsidR="00854EAD" w:rsidRPr="00F30805" w14:paraId="6B46D608" w14:textId="77777777" w:rsidTr="00854EAD">
        <w:tc>
          <w:tcPr>
            <w:tcW w:w="3395" w:type="dxa"/>
            <w:vAlign w:val="center"/>
          </w:tcPr>
          <w:p w14:paraId="11B11A63" w14:textId="534B0AE7" w:rsidR="00854EAD" w:rsidRPr="00F30805" w:rsidDel="005C46E0" w:rsidRDefault="00854EAD" w:rsidP="00854EAD">
            <w:pPr>
              <w:jc w:val="left"/>
              <w:rPr>
                <w:rFonts w:ascii="Arial" w:hAnsi="Arial" w:cs="Arial"/>
                <w:b/>
                <w:bCs/>
                <w:sz w:val="18"/>
                <w:szCs w:val="18"/>
              </w:rPr>
            </w:pPr>
            <w:proofErr w:type="spellStart"/>
            <w:r w:rsidRPr="00F30805">
              <w:rPr>
                <w:rFonts w:ascii="Arial" w:hAnsi="Arial" w:cs="Arial"/>
                <w:sz w:val="18"/>
                <w:szCs w:val="18"/>
              </w:rPr>
              <w:t>Ethinylestradiol</w:t>
            </w:r>
            <w:proofErr w:type="spellEnd"/>
          </w:p>
        </w:tc>
        <w:tc>
          <w:tcPr>
            <w:tcW w:w="2169" w:type="dxa"/>
            <w:vAlign w:val="center"/>
          </w:tcPr>
          <w:p w14:paraId="13553F81" w14:textId="758B762F" w:rsidR="00854EAD" w:rsidRPr="00F30805" w:rsidDel="005C46E0" w:rsidRDefault="00854EAD" w:rsidP="00854EAD">
            <w:pPr>
              <w:jc w:val="center"/>
              <w:rPr>
                <w:rFonts w:ascii="Arial" w:hAnsi="Arial" w:cs="Arial"/>
                <w:b/>
                <w:bCs/>
                <w:sz w:val="18"/>
                <w:szCs w:val="18"/>
              </w:rPr>
            </w:pPr>
            <w:r w:rsidRPr="00F30805">
              <w:rPr>
                <w:rFonts w:ascii="Arial" w:hAnsi="Arial" w:cs="Arial"/>
                <w:sz w:val="18"/>
                <w:szCs w:val="18"/>
              </w:rPr>
              <w:t xml:space="preserve">30 mg once </w:t>
            </w:r>
            <w:proofErr w:type="spellStart"/>
            <w:r w:rsidRPr="00F30805">
              <w:rPr>
                <w:rFonts w:ascii="Arial" w:hAnsi="Arial" w:cs="Arial"/>
                <w:sz w:val="18"/>
                <w:szCs w:val="18"/>
              </w:rPr>
              <w:t>daily</w:t>
            </w:r>
            <w:r w:rsidRPr="00F30805">
              <w:rPr>
                <w:rFonts w:ascii="Arial" w:hAnsi="Arial" w:cs="Arial"/>
                <w:sz w:val="18"/>
                <w:szCs w:val="18"/>
                <w:vertAlign w:val="superscript"/>
              </w:rPr>
              <w:t>c</w:t>
            </w:r>
            <w:proofErr w:type="spellEnd"/>
          </w:p>
        </w:tc>
        <w:tc>
          <w:tcPr>
            <w:tcW w:w="1834" w:type="dxa"/>
            <w:vAlign w:val="center"/>
          </w:tcPr>
          <w:p w14:paraId="427BC19F" w14:textId="75BBCA3C"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0.96</w:t>
            </w:r>
          </w:p>
          <w:p w14:paraId="4871EEEF" w14:textId="20BFD4DE" w:rsidR="00854EAD" w:rsidRPr="00F30805" w:rsidRDefault="00854EAD" w:rsidP="00854EAD">
            <w:pPr>
              <w:jc w:val="center"/>
              <w:rPr>
                <w:rFonts w:ascii="Arial" w:hAnsi="Arial" w:cs="Arial"/>
                <w:b/>
                <w:sz w:val="18"/>
                <w:szCs w:val="18"/>
              </w:rPr>
            </w:pPr>
            <w:r w:rsidRPr="00F30805">
              <w:rPr>
                <w:rFonts w:ascii="Arial" w:hAnsi="Arial" w:cs="Arial"/>
                <w:sz w:val="18"/>
                <w:szCs w:val="18"/>
              </w:rPr>
              <w:t>(0.89-1.02)</w:t>
            </w:r>
          </w:p>
        </w:tc>
        <w:tc>
          <w:tcPr>
            <w:tcW w:w="1844" w:type="dxa"/>
            <w:vAlign w:val="center"/>
          </w:tcPr>
          <w:p w14:paraId="13959B01" w14:textId="7121917D"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1.11</w:t>
            </w:r>
          </w:p>
          <w:p w14:paraId="482269EF" w14:textId="6D683C2B" w:rsidR="00854EAD" w:rsidRPr="00F30805" w:rsidRDefault="00854EAD" w:rsidP="00854EAD">
            <w:pPr>
              <w:jc w:val="center"/>
              <w:rPr>
                <w:rFonts w:ascii="Arial" w:hAnsi="Arial" w:cs="Arial"/>
                <w:b/>
                <w:sz w:val="18"/>
                <w:szCs w:val="18"/>
              </w:rPr>
            </w:pPr>
            <w:r w:rsidRPr="00F30805">
              <w:rPr>
                <w:rFonts w:ascii="Arial" w:hAnsi="Arial" w:cs="Arial"/>
                <w:sz w:val="18"/>
                <w:szCs w:val="18"/>
              </w:rPr>
              <w:t>(1.04-1.19)</w:t>
            </w:r>
          </w:p>
        </w:tc>
      </w:tr>
      <w:tr w:rsidR="00854EAD" w:rsidRPr="00F30805" w14:paraId="021E2B97" w14:textId="77777777" w:rsidTr="00854EAD">
        <w:tc>
          <w:tcPr>
            <w:tcW w:w="3395" w:type="dxa"/>
            <w:vAlign w:val="center"/>
          </w:tcPr>
          <w:p w14:paraId="36F54422" w14:textId="425835A8" w:rsidR="00854EAD" w:rsidRPr="00F30805" w:rsidDel="005C46E0" w:rsidRDefault="00854EAD" w:rsidP="00854EAD">
            <w:pPr>
              <w:jc w:val="left"/>
              <w:rPr>
                <w:rFonts w:ascii="Arial" w:hAnsi="Arial" w:cs="Arial"/>
                <w:b/>
                <w:bCs/>
                <w:sz w:val="18"/>
                <w:szCs w:val="18"/>
              </w:rPr>
            </w:pPr>
            <w:r w:rsidRPr="00F30805">
              <w:rPr>
                <w:rFonts w:ascii="Arial" w:hAnsi="Arial" w:cs="Arial"/>
                <w:sz w:val="18"/>
                <w:szCs w:val="18"/>
              </w:rPr>
              <w:t>Levonorgestrel</w:t>
            </w:r>
          </w:p>
        </w:tc>
        <w:tc>
          <w:tcPr>
            <w:tcW w:w="2169" w:type="dxa"/>
            <w:vAlign w:val="center"/>
          </w:tcPr>
          <w:p w14:paraId="0E9F2ABF" w14:textId="1DC5B523" w:rsidR="00854EAD" w:rsidRPr="00F30805" w:rsidDel="005C46E0" w:rsidRDefault="00854EAD" w:rsidP="00854EAD">
            <w:pPr>
              <w:jc w:val="center"/>
              <w:rPr>
                <w:rFonts w:ascii="Arial" w:hAnsi="Arial" w:cs="Arial"/>
                <w:b/>
                <w:bCs/>
                <w:sz w:val="18"/>
                <w:szCs w:val="18"/>
              </w:rPr>
            </w:pPr>
            <w:r w:rsidRPr="00F30805">
              <w:rPr>
                <w:rFonts w:ascii="Arial" w:hAnsi="Arial" w:cs="Arial"/>
                <w:sz w:val="18"/>
                <w:szCs w:val="18"/>
              </w:rPr>
              <w:t xml:space="preserve">30 mg once </w:t>
            </w:r>
            <w:proofErr w:type="spellStart"/>
            <w:r w:rsidRPr="00F30805">
              <w:rPr>
                <w:rFonts w:ascii="Arial" w:hAnsi="Arial" w:cs="Arial"/>
                <w:sz w:val="18"/>
                <w:szCs w:val="18"/>
              </w:rPr>
              <w:t>daily</w:t>
            </w:r>
            <w:r w:rsidRPr="00F30805">
              <w:rPr>
                <w:rFonts w:ascii="Arial" w:hAnsi="Arial" w:cs="Arial"/>
                <w:sz w:val="18"/>
                <w:szCs w:val="18"/>
                <w:vertAlign w:val="superscript"/>
              </w:rPr>
              <w:t>c</w:t>
            </w:r>
            <w:proofErr w:type="spellEnd"/>
          </w:p>
        </w:tc>
        <w:tc>
          <w:tcPr>
            <w:tcW w:w="1834" w:type="dxa"/>
            <w:vAlign w:val="center"/>
          </w:tcPr>
          <w:p w14:paraId="71A63F89" w14:textId="404A4BEB"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0.96</w:t>
            </w:r>
          </w:p>
          <w:p w14:paraId="0B3794B7" w14:textId="11E066DB" w:rsidR="00854EAD" w:rsidRPr="00F30805" w:rsidRDefault="00854EAD" w:rsidP="00854EAD">
            <w:pPr>
              <w:jc w:val="center"/>
              <w:rPr>
                <w:rFonts w:ascii="Arial" w:hAnsi="Arial" w:cs="Arial"/>
                <w:b/>
                <w:sz w:val="18"/>
                <w:szCs w:val="18"/>
              </w:rPr>
            </w:pPr>
            <w:r w:rsidRPr="00F30805">
              <w:rPr>
                <w:rFonts w:ascii="Arial" w:hAnsi="Arial" w:cs="Arial"/>
                <w:sz w:val="18"/>
                <w:szCs w:val="18"/>
              </w:rPr>
              <w:t>(0.87-1.06)</w:t>
            </w:r>
          </w:p>
        </w:tc>
        <w:tc>
          <w:tcPr>
            <w:tcW w:w="1844" w:type="dxa"/>
            <w:vAlign w:val="center"/>
          </w:tcPr>
          <w:p w14:paraId="1B9784E9" w14:textId="2FD74ADE" w:rsidR="00854EAD" w:rsidRPr="00F30805" w:rsidRDefault="00854EAD" w:rsidP="00854EAD">
            <w:pPr>
              <w:pStyle w:val="TableLeft"/>
              <w:spacing w:line="360" w:lineRule="exact"/>
              <w:jc w:val="center"/>
              <w:rPr>
                <w:rFonts w:ascii="Arial" w:hAnsi="Arial" w:cs="Arial"/>
                <w:sz w:val="18"/>
                <w:szCs w:val="18"/>
              </w:rPr>
            </w:pPr>
            <w:r w:rsidRPr="00F30805">
              <w:rPr>
                <w:rFonts w:ascii="Arial" w:hAnsi="Arial" w:cs="Arial"/>
                <w:sz w:val="18"/>
                <w:szCs w:val="18"/>
              </w:rPr>
              <w:t>0.96</w:t>
            </w:r>
          </w:p>
          <w:p w14:paraId="32B5C39D" w14:textId="1ED2A9A6" w:rsidR="00854EAD" w:rsidRPr="00F30805" w:rsidRDefault="00854EAD" w:rsidP="00854EAD">
            <w:pPr>
              <w:jc w:val="center"/>
              <w:rPr>
                <w:rFonts w:ascii="Arial" w:hAnsi="Arial" w:cs="Arial"/>
                <w:b/>
                <w:sz w:val="18"/>
                <w:szCs w:val="18"/>
              </w:rPr>
            </w:pPr>
            <w:r w:rsidRPr="00F30805">
              <w:rPr>
                <w:rFonts w:ascii="Arial" w:hAnsi="Arial" w:cs="Arial"/>
                <w:sz w:val="18"/>
                <w:szCs w:val="18"/>
              </w:rPr>
              <w:t>(0.85-1.07)</w:t>
            </w:r>
          </w:p>
        </w:tc>
      </w:tr>
      <w:tr w:rsidR="001B6FAD" w:rsidRPr="00F30805" w14:paraId="0CC88E24" w14:textId="77777777" w:rsidTr="005E2F1D">
        <w:tc>
          <w:tcPr>
            <w:tcW w:w="9242" w:type="dxa"/>
            <w:gridSpan w:val="4"/>
          </w:tcPr>
          <w:p w14:paraId="58850B9F" w14:textId="77777777" w:rsidR="001B6FAD" w:rsidRPr="00F30805" w:rsidRDefault="001B6FAD" w:rsidP="001B6FAD">
            <w:pPr>
              <w:spacing w:after="0" w:line="240" w:lineRule="auto"/>
              <w:rPr>
                <w:rFonts w:ascii="Arial" w:hAnsi="Arial" w:cs="Arial"/>
                <w:sz w:val="18"/>
                <w:szCs w:val="18"/>
              </w:rPr>
            </w:pPr>
            <w:r w:rsidRPr="00F30805">
              <w:rPr>
                <w:rFonts w:ascii="Arial" w:hAnsi="Arial" w:cs="Arial"/>
                <w:sz w:val="18"/>
                <w:szCs w:val="18"/>
              </w:rPr>
              <w:t>CYP: cytochrome P450; CI: Confidence interval</w:t>
            </w:r>
          </w:p>
          <w:p w14:paraId="031BBF7D" w14:textId="77777777" w:rsidR="001B6FAD" w:rsidRPr="00F30805" w:rsidRDefault="001B6FAD" w:rsidP="001B6FAD">
            <w:pPr>
              <w:spacing w:after="0" w:line="240" w:lineRule="auto"/>
              <w:rPr>
                <w:rFonts w:ascii="Arial" w:hAnsi="Arial" w:cs="Arial"/>
                <w:sz w:val="18"/>
                <w:szCs w:val="18"/>
              </w:rPr>
            </w:pPr>
            <w:r w:rsidRPr="00F30805">
              <w:rPr>
                <w:rFonts w:ascii="Arial" w:hAnsi="Arial" w:cs="Arial"/>
                <w:sz w:val="18"/>
                <w:szCs w:val="18"/>
                <w:vertAlign w:val="superscript"/>
              </w:rPr>
              <w:t>a</w:t>
            </w:r>
            <w:r w:rsidRPr="00F30805">
              <w:rPr>
                <w:rFonts w:ascii="Arial" w:hAnsi="Arial" w:cs="Arial"/>
                <w:sz w:val="18"/>
                <w:szCs w:val="18"/>
              </w:rPr>
              <w:t xml:space="preserve"> Ratios for </w:t>
            </w:r>
            <w:proofErr w:type="spellStart"/>
            <w:r w:rsidRPr="00F30805">
              <w:rPr>
                <w:rFonts w:ascii="Arial" w:hAnsi="Arial" w:cs="Arial"/>
                <w:sz w:val="18"/>
                <w:szCs w:val="18"/>
              </w:rPr>
              <w:t>C</w:t>
            </w:r>
            <w:r w:rsidRPr="00F30805">
              <w:rPr>
                <w:rFonts w:ascii="Arial" w:hAnsi="Arial" w:cs="Arial"/>
                <w:sz w:val="18"/>
                <w:szCs w:val="18"/>
                <w:vertAlign w:val="subscript"/>
              </w:rPr>
              <w:t>max</w:t>
            </w:r>
            <w:proofErr w:type="spellEnd"/>
            <w:r w:rsidRPr="00F30805">
              <w:rPr>
                <w:rFonts w:ascii="Arial" w:hAnsi="Arial" w:cs="Arial"/>
                <w:sz w:val="18"/>
                <w:szCs w:val="18"/>
              </w:rPr>
              <w:t xml:space="preserve"> and AUC compare co-administration of the medication with upadacitinib vs. administration of medication alone</w:t>
            </w:r>
          </w:p>
          <w:p w14:paraId="467F4B6B" w14:textId="77777777" w:rsidR="001B6FAD" w:rsidRPr="00F30805" w:rsidRDefault="001B6FAD" w:rsidP="001B6FAD">
            <w:pPr>
              <w:spacing w:after="0" w:line="240" w:lineRule="auto"/>
              <w:rPr>
                <w:rFonts w:ascii="Arial" w:hAnsi="Arial" w:cs="Arial"/>
                <w:sz w:val="18"/>
                <w:szCs w:val="18"/>
              </w:rPr>
            </w:pPr>
            <w:r w:rsidRPr="00F30805">
              <w:rPr>
                <w:rFonts w:ascii="Arial" w:hAnsi="Arial" w:cs="Arial"/>
                <w:sz w:val="18"/>
                <w:szCs w:val="18"/>
                <w:vertAlign w:val="superscript"/>
              </w:rPr>
              <w:lastRenderedPageBreak/>
              <w:t>b</w:t>
            </w:r>
            <w:r w:rsidRPr="00F30805">
              <w:rPr>
                <w:rFonts w:ascii="Arial" w:hAnsi="Arial" w:cs="Arial"/>
                <w:sz w:val="18"/>
                <w:szCs w:val="18"/>
              </w:rPr>
              <w:t xml:space="preserve"> Immediate-release formulation</w:t>
            </w:r>
          </w:p>
          <w:p w14:paraId="630D3574" w14:textId="2B3DDD66" w:rsidR="004F0F8F" w:rsidRPr="00F30805" w:rsidRDefault="004F0F8F" w:rsidP="001B6FAD">
            <w:pPr>
              <w:spacing w:after="0" w:line="240" w:lineRule="auto"/>
              <w:rPr>
                <w:rFonts w:ascii="Arial" w:hAnsi="Arial" w:cs="Arial"/>
                <w:sz w:val="18"/>
                <w:szCs w:val="18"/>
              </w:rPr>
            </w:pPr>
            <w:proofErr w:type="spellStart"/>
            <w:r w:rsidRPr="00F30805">
              <w:rPr>
                <w:rFonts w:ascii="Arial" w:hAnsi="Arial" w:cs="Arial"/>
                <w:sz w:val="18"/>
                <w:szCs w:val="18"/>
                <w:vertAlign w:val="superscript"/>
              </w:rPr>
              <w:t>c</w:t>
            </w:r>
            <w:r w:rsidRPr="00F30805">
              <w:rPr>
                <w:rFonts w:ascii="Arial" w:hAnsi="Arial" w:cs="Arial"/>
                <w:sz w:val="18"/>
                <w:szCs w:val="18"/>
              </w:rPr>
              <w:t>Modified</w:t>
            </w:r>
            <w:proofErr w:type="spellEnd"/>
            <w:r w:rsidRPr="00F30805">
              <w:rPr>
                <w:rFonts w:ascii="Arial" w:hAnsi="Arial" w:cs="Arial"/>
                <w:sz w:val="18"/>
                <w:szCs w:val="18"/>
              </w:rPr>
              <w:t>-release formulation</w:t>
            </w:r>
          </w:p>
        </w:tc>
      </w:tr>
    </w:tbl>
    <w:p w14:paraId="4B32522B" w14:textId="77777777" w:rsidR="005C46E0" w:rsidRPr="00F30805" w:rsidRDefault="005C46E0" w:rsidP="005C46E0"/>
    <w:p w14:paraId="1CA4B05A" w14:textId="77777777" w:rsidR="007C511D" w:rsidRPr="00F30805" w:rsidRDefault="001A3992" w:rsidP="001A3992">
      <w:pPr>
        <w:pStyle w:val="Heading2"/>
        <w:spacing w:before="0" w:after="120"/>
        <w:rPr>
          <w:rFonts w:ascii="Arial" w:hAnsi="Arial" w:cs="Arial"/>
        </w:rPr>
      </w:pPr>
      <w:r w:rsidRPr="00F30805">
        <w:rPr>
          <w:rFonts w:ascii="Arial" w:hAnsi="Arial" w:cs="Arial"/>
        </w:rPr>
        <w:t>Fertility, pregnancy and lactation</w:t>
      </w:r>
    </w:p>
    <w:p w14:paraId="750E35E6" w14:textId="77777777" w:rsidR="001A3992" w:rsidRPr="00F30805" w:rsidRDefault="001A3992" w:rsidP="001A3992">
      <w:pPr>
        <w:pStyle w:val="Heading3"/>
        <w:spacing w:before="0" w:after="120"/>
        <w:rPr>
          <w:rFonts w:cs="Arial"/>
        </w:rPr>
      </w:pPr>
      <w:r w:rsidRPr="00F30805">
        <w:rPr>
          <w:rFonts w:cs="Arial"/>
        </w:rPr>
        <w:t>Effects on fertility</w:t>
      </w:r>
    </w:p>
    <w:p w14:paraId="3D36A427" w14:textId="77777777" w:rsidR="00270608" w:rsidRPr="00F30805" w:rsidRDefault="00270608" w:rsidP="00575345">
      <w:pPr>
        <w:rPr>
          <w:rFonts w:ascii="Arial" w:hAnsi="Arial" w:cs="Arial"/>
        </w:rPr>
      </w:pPr>
      <w:r w:rsidRPr="00F30805">
        <w:rPr>
          <w:rFonts w:ascii="Arial" w:hAnsi="Arial" w:cs="Arial"/>
        </w:rPr>
        <w:t xml:space="preserve">Based on findings in rats, treatment with upadacitinib does not reduce fertility in males or females of reproductive potential. </w:t>
      </w:r>
    </w:p>
    <w:p w14:paraId="74443FB6" w14:textId="4DB88FD1" w:rsidR="007C511D" w:rsidRPr="00F30805" w:rsidRDefault="00270608" w:rsidP="007C511D">
      <w:pPr>
        <w:rPr>
          <w:rFonts w:ascii="Arial" w:hAnsi="Arial" w:cs="Arial"/>
        </w:rPr>
      </w:pPr>
      <w:r w:rsidRPr="00F30805">
        <w:rPr>
          <w:rFonts w:ascii="Arial" w:eastAsia="MS Mincho" w:hAnsi="Arial" w:cs="Arial"/>
          <w:lang w:val="en-US" w:eastAsia="ja-JP"/>
        </w:rPr>
        <w:t>Upadacitinib had no effect on fertility in male or female rats at doses up to 50 mg/kg/day in males and 75 mg/kg/day in females in a fertility and early embryonic development study</w:t>
      </w:r>
      <w:r w:rsidR="00EF50C8" w:rsidRPr="00F30805">
        <w:rPr>
          <w:rFonts w:ascii="Arial" w:eastAsia="MS Mincho" w:hAnsi="Arial" w:cs="Arial"/>
          <w:lang w:val="en-US" w:eastAsia="ja-JP"/>
        </w:rPr>
        <w:t>,</w:t>
      </w:r>
      <w:r w:rsidR="00081709" w:rsidRPr="00F30805">
        <w:rPr>
          <w:rFonts w:ascii="Arial" w:eastAsia="MS Mincho" w:hAnsi="Arial" w:cs="Arial"/>
          <w:lang w:val="en-US" w:eastAsia="ja-JP"/>
        </w:rPr>
        <w:t xml:space="preserve"> respectively (approximately 46 and 132 times the clinical dose of 15 mg on an AUC basis for males and females, respectively)</w:t>
      </w:r>
      <w:r w:rsidRPr="00F30805">
        <w:rPr>
          <w:rFonts w:ascii="Arial" w:eastAsia="MS Mincho" w:hAnsi="Arial" w:cs="Arial"/>
          <w:lang w:val="en-US" w:eastAsia="ja-JP"/>
        </w:rPr>
        <w:t xml:space="preserve">.  </w:t>
      </w:r>
    </w:p>
    <w:p w14:paraId="794D1742" w14:textId="77777777" w:rsidR="007C511D" w:rsidRPr="00F30805" w:rsidRDefault="001A3992" w:rsidP="001A3992">
      <w:pPr>
        <w:pStyle w:val="Heading3"/>
        <w:spacing w:before="0" w:after="120"/>
        <w:rPr>
          <w:rFonts w:cs="Arial"/>
        </w:rPr>
      </w:pPr>
      <w:r w:rsidRPr="00F30805">
        <w:rPr>
          <w:rFonts w:cs="Arial"/>
        </w:rPr>
        <w:t>Use in pregnancy</w:t>
      </w:r>
      <w:r w:rsidR="00270608" w:rsidRPr="00F30805">
        <w:rPr>
          <w:rFonts w:cs="Arial"/>
        </w:rPr>
        <w:t xml:space="preserve"> (Pregnancy Category D)</w:t>
      </w:r>
    </w:p>
    <w:p w14:paraId="1D823FC8" w14:textId="2B4BBE0B" w:rsidR="00081709" w:rsidRPr="00F30805" w:rsidRDefault="00217AE0" w:rsidP="00575345">
      <w:pPr>
        <w:spacing w:before="120"/>
        <w:rPr>
          <w:rFonts w:ascii="Arial" w:hAnsi="Arial" w:cs="Arial"/>
          <w:w w:val="107"/>
        </w:rPr>
      </w:pPr>
      <w:r w:rsidRPr="00217AE0">
        <w:rPr>
          <w:rFonts w:ascii="Arial" w:hAnsi="Arial" w:cs="Arial"/>
          <w:w w:val="107"/>
        </w:rPr>
        <w:t xml:space="preserve">RINVOQ should not be used during pregnancy. There are limited human data on the use of upadacitinib in pregnant women. Based on findings in animal studies, RINVOQ may cause foetal harm when administered to a pregnant woman. Administration of upadacitinib to rats and rabbits during organogenesis caused increases in foetal malformations. Pregnant women should be advised of the potential risk to a foetus. </w:t>
      </w:r>
    </w:p>
    <w:p w14:paraId="28D5986D" w14:textId="1BF7F9C7" w:rsidR="00081709" w:rsidRPr="00F30805" w:rsidRDefault="00081709" w:rsidP="00575345">
      <w:pPr>
        <w:spacing w:before="120"/>
        <w:rPr>
          <w:rFonts w:ascii="Arial" w:hAnsi="Arial" w:cs="Arial"/>
          <w:w w:val="107"/>
        </w:rPr>
      </w:pPr>
      <w:r w:rsidRPr="00F30805">
        <w:rPr>
          <w:rFonts w:ascii="Arial" w:hAnsi="Arial" w:cs="Arial"/>
          <w:w w:val="107"/>
        </w:rPr>
        <w:t>Advise females of reproductive potential that effective contraception should be used during treatment and for 4 weeks following the final dose of</w:t>
      </w:r>
      <w:r w:rsidR="005F403B" w:rsidRPr="00F30805">
        <w:rPr>
          <w:rFonts w:ascii="Arial" w:hAnsi="Arial" w:cs="Arial"/>
          <w:w w:val="107"/>
        </w:rPr>
        <w:t xml:space="preserve"> </w:t>
      </w:r>
      <w:r w:rsidR="00A700BC" w:rsidRPr="00F30805">
        <w:rPr>
          <w:rFonts w:ascii="Arial" w:hAnsi="Arial" w:cs="Arial"/>
          <w:w w:val="107"/>
        </w:rPr>
        <w:t>RINVOQ</w:t>
      </w:r>
      <w:r w:rsidRPr="00F30805">
        <w:rPr>
          <w:rFonts w:ascii="Arial" w:hAnsi="Arial" w:cs="Arial"/>
          <w:w w:val="107"/>
        </w:rPr>
        <w:t xml:space="preserve">. </w:t>
      </w:r>
    </w:p>
    <w:p w14:paraId="25454CFD" w14:textId="74588577" w:rsidR="00081709" w:rsidRPr="00F30805" w:rsidRDefault="00081709" w:rsidP="00575345">
      <w:pPr>
        <w:spacing w:before="120"/>
        <w:rPr>
          <w:rFonts w:ascii="Arial" w:hAnsi="Arial" w:cs="Arial"/>
          <w:w w:val="107"/>
        </w:rPr>
      </w:pPr>
      <w:r w:rsidRPr="00F30805">
        <w:rPr>
          <w:rFonts w:ascii="Arial" w:hAnsi="Arial" w:cs="Arial"/>
          <w:w w:val="107"/>
        </w:rPr>
        <w:t xml:space="preserve">Upadacitinib crossed the placenta in both rats (significantly) and rabbits (to a lesser degree). Teratogenicity was seen in both species when pregnant animals received upadacitinib during the period of organogenesis. In rats, an increased incidence of skeletal malformations (misshapen </w:t>
      </w:r>
      <w:proofErr w:type="spellStart"/>
      <w:r w:rsidRPr="00F30805">
        <w:rPr>
          <w:rFonts w:ascii="Arial" w:hAnsi="Arial" w:cs="Arial"/>
          <w:w w:val="107"/>
        </w:rPr>
        <w:t>humerus</w:t>
      </w:r>
      <w:proofErr w:type="spellEnd"/>
      <w:r w:rsidRPr="00F30805">
        <w:rPr>
          <w:rFonts w:ascii="Arial" w:hAnsi="Arial" w:cs="Arial"/>
          <w:w w:val="107"/>
        </w:rPr>
        <w:t>, bent scapula and bent bones of the fore- and hind-limbs) and variations (bent ribs) was seen at doses greater than or equal to 4 mg/kg/day. No adverse embryof</w:t>
      </w:r>
      <w:r w:rsidR="00EE6DDD" w:rsidRPr="00F30805">
        <w:rPr>
          <w:rFonts w:ascii="Arial" w:hAnsi="Arial" w:cs="Arial"/>
          <w:w w:val="107"/>
        </w:rPr>
        <w:t>o</w:t>
      </w:r>
      <w:r w:rsidRPr="00F30805">
        <w:rPr>
          <w:rFonts w:ascii="Arial" w:hAnsi="Arial" w:cs="Arial"/>
          <w:w w:val="107"/>
        </w:rPr>
        <w:t>etal effects were seen at 1.5 mg/kg/day (exposures below the AUC from a clinical dose of 15 mg). In rabbits, an increased incidence of f</w:t>
      </w:r>
      <w:r w:rsidR="00EE6DDD" w:rsidRPr="00F30805">
        <w:rPr>
          <w:rFonts w:ascii="Arial" w:hAnsi="Arial" w:cs="Arial"/>
          <w:w w:val="107"/>
        </w:rPr>
        <w:t>o</w:t>
      </w:r>
      <w:r w:rsidRPr="00F30805">
        <w:rPr>
          <w:rFonts w:ascii="Arial" w:hAnsi="Arial" w:cs="Arial"/>
          <w:w w:val="107"/>
        </w:rPr>
        <w:t>etal cardiac malformations (dilated aortic arch, discontinuous interventricular septum, constricted or smaller pulmonary trunk, absent pulmonary valve and a larger ventricle) was seen following maternal exposure to 25 mg/kg/day. Embryof</w:t>
      </w:r>
      <w:r w:rsidR="00513080" w:rsidRPr="00F30805">
        <w:rPr>
          <w:rFonts w:ascii="Arial" w:hAnsi="Arial" w:cs="Arial"/>
          <w:w w:val="107"/>
        </w:rPr>
        <w:t>o</w:t>
      </w:r>
      <w:r w:rsidRPr="00F30805">
        <w:rPr>
          <w:rFonts w:ascii="Arial" w:hAnsi="Arial" w:cs="Arial"/>
          <w:w w:val="107"/>
        </w:rPr>
        <w:t>etal lethality and abortions were also seen at this dose. Exposures at the no effect level were marginally above the AUC from a clinical dose of 15 mg.</w:t>
      </w:r>
    </w:p>
    <w:p w14:paraId="1D73B2D3" w14:textId="77777777" w:rsidR="007C511D" w:rsidRPr="00F30805" w:rsidRDefault="001A3992" w:rsidP="001A3992">
      <w:pPr>
        <w:pStyle w:val="Heading3"/>
        <w:spacing w:before="0" w:after="120"/>
        <w:rPr>
          <w:rFonts w:cs="Arial"/>
        </w:rPr>
      </w:pPr>
      <w:r w:rsidRPr="00F30805">
        <w:rPr>
          <w:rFonts w:cs="Arial"/>
        </w:rPr>
        <w:t>Use in</w:t>
      </w:r>
      <w:r w:rsidR="008F4C4A" w:rsidRPr="00F30805">
        <w:rPr>
          <w:rFonts w:cs="Arial"/>
        </w:rPr>
        <w:t xml:space="preserve"> lactation</w:t>
      </w:r>
    </w:p>
    <w:p w14:paraId="64D140AE" w14:textId="4DD9319F" w:rsidR="005F64C7" w:rsidRPr="00F30805" w:rsidDel="001408C3" w:rsidRDefault="00270608" w:rsidP="005F64C7">
      <w:pPr>
        <w:rPr>
          <w:rFonts w:ascii="Arial" w:hAnsi="Arial" w:cs="Arial"/>
        </w:rPr>
      </w:pPr>
      <w:r w:rsidRPr="00F30805">
        <w:rPr>
          <w:rFonts w:ascii="Arial" w:hAnsi="Arial" w:cs="Arial"/>
        </w:rPr>
        <w:t xml:space="preserve">It is unknown whether upadacitinib/metabolites are excreted in human milk. </w:t>
      </w:r>
      <w:r w:rsidR="001408C3" w:rsidRPr="00F30805">
        <w:rPr>
          <w:rFonts w:ascii="Arial" w:hAnsi="Arial" w:cs="Arial"/>
        </w:rPr>
        <w:t>D</w:t>
      </w:r>
      <w:r w:rsidRPr="00F30805">
        <w:rPr>
          <w:rFonts w:ascii="Arial" w:hAnsi="Arial" w:cs="Arial"/>
        </w:rPr>
        <w:t>ata in animals have shown excretion of upadacitinib in milk.</w:t>
      </w:r>
      <w:r w:rsidR="005F64C7" w:rsidRPr="00F30805">
        <w:rPr>
          <w:rFonts w:ascii="Arial" w:hAnsi="Arial" w:cs="Arial"/>
        </w:rPr>
        <w:t xml:space="preserve"> </w:t>
      </w:r>
      <w:r w:rsidR="005F64C7" w:rsidRPr="00F30805" w:rsidDel="001408C3">
        <w:rPr>
          <w:rFonts w:ascii="Arial" w:hAnsi="Arial" w:cs="Arial"/>
        </w:rPr>
        <w:t xml:space="preserve">Following administration of upadacitinib to </w:t>
      </w:r>
      <w:r w:rsidR="005F64C7" w:rsidRPr="00F30805" w:rsidDel="001408C3">
        <w:rPr>
          <w:rFonts w:ascii="Arial" w:hAnsi="Arial" w:cs="Arial"/>
        </w:rPr>
        <w:lastRenderedPageBreak/>
        <w:t xml:space="preserve">lactating rats, the concentrations of upadacitinib in milk over time was approximately 30-fold higher exposure in milk relative to maternal plasma. Approximately 97% of drug-related material in milk was parent drug. </w:t>
      </w:r>
    </w:p>
    <w:p w14:paraId="67C06256" w14:textId="46B3CF9E" w:rsidR="00270608" w:rsidRPr="00F30805" w:rsidRDefault="00270608" w:rsidP="00575345">
      <w:pPr>
        <w:rPr>
          <w:rFonts w:ascii="Arial" w:hAnsi="Arial" w:cs="Arial"/>
        </w:rPr>
      </w:pPr>
      <w:r w:rsidRPr="00F30805">
        <w:rPr>
          <w:rFonts w:ascii="Arial" w:hAnsi="Arial" w:cs="Arial"/>
        </w:rPr>
        <w:t xml:space="preserve">A risk to newborns/infants cannot be excluded. </w:t>
      </w:r>
      <w:r w:rsidR="00A700BC" w:rsidRPr="00F30805">
        <w:rPr>
          <w:rFonts w:ascii="Arial" w:hAnsi="Arial" w:cs="Arial"/>
        </w:rPr>
        <w:t>RINVOQ</w:t>
      </w:r>
      <w:r w:rsidRPr="00F30805">
        <w:rPr>
          <w:rFonts w:ascii="Arial" w:hAnsi="Arial" w:cs="Arial"/>
        </w:rPr>
        <w:t xml:space="preserve"> should not be used during breast-feeding.</w:t>
      </w:r>
    </w:p>
    <w:p w14:paraId="67311500" w14:textId="77777777" w:rsidR="001A3992" w:rsidRPr="00F30805" w:rsidRDefault="001A3992" w:rsidP="001A3992">
      <w:pPr>
        <w:pStyle w:val="Heading2"/>
        <w:spacing w:before="0" w:after="120"/>
        <w:rPr>
          <w:rFonts w:ascii="Arial" w:hAnsi="Arial" w:cs="Arial"/>
        </w:rPr>
      </w:pPr>
      <w:r w:rsidRPr="00F30805">
        <w:rPr>
          <w:rFonts w:ascii="Arial" w:hAnsi="Arial" w:cs="Arial"/>
        </w:rPr>
        <w:t xml:space="preserve">Effects on ability to drive and use machines </w:t>
      </w:r>
    </w:p>
    <w:p w14:paraId="60FF7D89" w14:textId="08539684" w:rsidR="00270608" w:rsidRPr="00F30805" w:rsidRDefault="00A700BC" w:rsidP="00575345">
      <w:pPr>
        <w:tabs>
          <w:tab w:val="left" w:pos="1080"/>
        </w:tabs>
        <w:spacing w:before="120"/>
        <w:rPr>
          <w:rFonts w:ascii="Arial" w:hAnsi="Arial" w:cs="Arial"/>
        </w:rPr>
      </w:pPr>
      <w:r w:rsidRPr="00F30805">
        <w:rPr>
          <w:rFonts w:ascii="Arial" w:hAnsi="Arial" w:cs="Arial"/>
        </w:rPr>
        <w:t>RINVOQ</w:t>
      </w:r>
      <w:r w:rsidR="00270608" w:rsidRPr="00F30805">
        <w:rPr>
          <w:rFonts w:ascii="Arial" w:hAnsi="Arial" w:cs="Arial"/>
        </w:rPr>
        <w:t xml:space="preserve"> has no or negligible influence on the ability to drive and use machines.</w:t>
      </w:r>
    </w:p>
    <w:p w14:paraId="447FD71F" w14:textId="77777777" w:rsidR="001A3992" w:rsidRPr="00F30805" w:rsidRDefault="001A3992" w:rsidP="001A3992">
      <w:pPr>
        <w:pStyle w:val="Heading2"/>
        <w:keepNext/>
        <w:keepLines/>
        <w:spacing w:before="0" w:after="120"/>
        <w:rPr>
          <w:rFonts w:ascii="Arial" w:hAnsi="Arial" w:cs="Arial"/>
        </w:rPr>
      </w:pPr>
      <w:r w:rsidRPr="00F30805">
        <w:rPr>
          <w:rFonts w:ascii="Arial" w:hAnsi="Arial" w:cs="Arial"/>
        </w:rPr>
        <w:t>Adverse effects (Undesirable effects)</w:t>
      </w:r>
    </w:p>
    <w:p w14:paraId="21081C02" w14:textId="77777777" w:rsidR="00854EAD" w:rsidRPr="00F30805" w:rsidRDefault="00361904" w:rsidP="00575345">
      <w:pPr>
        <w:tabs>
          <w:tab w:val="left" w:pos="520"/>
          <w:tab w:val="left" w:pos="1060"/>
        </w:tabs>
        <w:spacing w:before="120"/>
        <w:rPr>
          <w:b/>
          <w:bCs/>
        </w:rPr>
      </w:pPr>
      <w:r w:rsidRPr="00F30805">
        <w:rPr>
          <w:rStyle w:val="Heading3Char"/>
          <w:rFonts w:eastAsia="Calibri"/>
        </w:rPr>
        <w:t>Adverse Events Reported in Clinical Trials</w:t>
      </w:r>
      <w:r w:rsidRPr="00F30805">
        <w:rPr>
          <w:b/>
          <w:bCs/>
        </w:rPr>
        <w:t xml:space="preserve"> </w:t>
      </w:r>
    </w:p>
    <w:p w14:paraId="1D12E11A" w14:textId="58C84353" w:rsidR="009572BA" w:rsidRPr="00F30805" w:rsidRDefault="009572BA" w:rsidP="00575345">
      <w:pPr>
        <w:tabs>
          <w:tab w:val="left" w:pos="520"/>
          <w:tab w:val="left" w:pos="1060"/>
        </w:tabs>
        <w:spacing w:before="120"/>
        <w:rPr>
          <w:rFonts w:ascii="Arial" w:hAnsi="Arial" w:cs="Arial"/>
          <w:w w:val="107"/>
        </w:rPr>
      </w:pPr>
      <w:r w:rsidRPr="00F30805">
        <w:rPr>
          <w:rFonts w:ascii="Arial" w:hAnsi="Arial" w:cs="Arial"/>
          <w:w w:val="107"/>
        </w:rPr>
        <w:t xml:space="preserve">A total of 4443 patients with rheumatoid arthritis were treated with upadacitinib in clinical studies representing 5263 patient-years of exposure, of whom 2972 were exposed for at least one year. In the Phase 3 studies, 2630 patients </w:t>
      </w:r>
      <w:r w:rsidR="00881CAC" w:rsidRPr="00F30805">
        <w:rPr>
          <w:rFonts w:ascii="Arial" w:hAnsi="Arial" w:cs="Arial"/>
          <w:w w:val="107"/>
        </w:rPr>
        <w:t>(</w:t>
      </w:r>
      <w:r w:rsidR="006430ED" w:rsidRPr="00F30805">
        <w:rPr>
          <w:rFonts w:ascii="Arial" w:hAnsi="Arial" w:cs="Arial"/>
          <w:w w:val="107"/>
        </w:rPr>
        <w:t xml:space="preserve">2655.1 patient-years of </w:t>
      </w:r>
      <w:r w:rsidR="00881CAC" w:rsidRPr="00F30805">
        <w:rPr>
          <w:rFonts w:ascii="Arial" w:hAnsi="Arial" w:cs="Arial"/>
          <w:w w:val="107"/>
        </w:rPr>
        <w:t xml:space="preserve">drug </w:t>
      </w:r>
      <w:r w:rsidR="006430ED" w:rsidRPr="00F30805">
        <w:rPr>
          <w:rFonts w:ascii="Arial" w:hAnsi="Arial" w:cs="Arial"/>
          <w:w w:val="107"/>
        </w:rPr>
        <w:t>exposu</w:t>
      </w:r>
      <w:r w:rsidR="00881CAC" w:rsidRPr="00F30805">
        <w:rPr>
          <w:rFonts w:ascii="Arial" w:hAnsi="Arial" w:cs="Arial"/>
          <w:w w:val="107"/>
        </w:rPr>
        <w:t xml:space="preserve">re) </w:t>
      </w:r>
      <w:r w:rsidRPr="00F30805">
        <w:rPr>
          <w:rFonts w:ascii="Arial" w:hAnsi="Arial" w:cs="Arial"/>
          <w:w w:val="107"/>
        </w:rPr>
        <w:t xml:space="preserve">received at least 1 dose of </w:t>
      </w:r>
      <w:r w:rsidR="00A700BC" w:rsidRPr="00F30805">
        <w:rPr>
          <w:rFonts w:ascii="Arial" w:hAnsi="Arial" w:cs="Arial"/>
          <w:w w:val="107"/>
        </w:rPr>
        <w:t>RINVOQ</w:t>
      </w:r>
      <w:r w:rsidRPr="00F30805">
        <w:rPr>
          <w:rFonts w:ascii="Arial" w:hAnsi="Arial" w:cs="Arial"/>
          <w:w w:val="107"/>
        </w:rPr>
        <w:t xml:space="preserve"> 15 mg, of whom 1607 were exposed for at least one year. </w:t>
      </w:r>
    </w:p>
    <w:p w14:paraId="1F8FB2AA" w14:textId="55AE35E3" w:rsidR="00047341" w:rsidRPr="00F30805" w:rsidRDefault="009572BA" w:rsidP="00575345">
      <w:pPr>
        <w:spacing w:before="120"/>
        <w:rPr>
          <w:rFonts w:ascii="Arial" w:hAnsi="Arial" w:cs="Arial"/>
          <w:w w:val="107"/>
        </w:rPr>
      </w:pPr>
      <w:r w:rsidRPr="00F30805">
        <w:rPr>
          <w:rFonts w:ascii="Arial" w:hAnsi="Arial" w:cs="Arial"/>
          <w:w w:val="107"/>
        </w:rPr>
        <w:t xml:space="preserve">Three placebo-controlled studies were integrated (1035 patients on </w:t>
      </w:r>
      <w:r w:rsidR="00A700BC" w:rsidRPr="00F30805">
        <w:rPr>
          <w:rFonts w:ascii="Arial" w:hAnsi="Arial" w:cs="Arial"/>
          <w:w w:val="107"/>
        </w:rPr>
        <w:t>RINVOQ</w:t>
      </w:r>
      <w:r w:rsidRPr="00F30805">
        <w:rPr>
          <w:rFonts w:ascii="Arial" w:hAnsi="Arial" w:cs="Arial"/>
          <w:w w:val="107"/>
        </w:rPr>
        <w:t xml:space="preserve"> 15 mg once daily and 1042 patients on placebo) to evaluate the safety of </w:t>
      </w:r>
      <w:r w:rsidR="00A700BC" w:rsidRPr="00F30805">
        <w:rPr>
          <w:rFonts w:ascii="Arial" w:hAnsi="Arial" w:cs="Arial"/>
          <w:w w:val="107"/>
        </w:rPr>
        <w:t>RINVOQ</w:t>
      </w:r>
      <w:r w:rsidRPr="00F30805">
        <w:rPr>
          <w:rFonts w:ascii="Arial" w:hAnsi="Arial" w:cs="Arial"/>
          <w:w w:val="107"/>
        </w:rPr>
        <w:t xml:space="preserve"> 15 mg </w:t>
      </w:r>
      <w:r w:rsidR="00884A65" w:rsidRPr="00F30805">
        <w:rPr>
          <w:rFonts w:ascii="Arial" w:hAnsi="Arial" w:cs="Arial"/>
          <w:w w:val="107"/>
        </w:rPr>
        <w:t xml:space="preserve">in combination with </w:t>
      </w:r>
      <w:proofErr w:type="spellStart"/>
      <w:r w:rsidR="00884A65" w:rsidRPr="00F30805">
        <w:rPr>
          <w:rFonts w:ascii="Arial" w:hAnsi="Arial" w:cs="Arial"/>
          <w:w w:val="107"/>
        </w:rPr>
        <w:t>csDMARDs</w:t>
      </w:r>
      <w:proofErr w:type="spellEnd"/>
      <w:r w:rsidR="00884A65" w:rsidRPr="00F30805">
        <w:rPr>
          <w:rFonts w:ascii="Arial" w:hAnsi="Arial" w:cs="Arial"/>
          <w:w w:val="107"/>
        </w:rPr>
        <w:t xml:space="preserve"> </w:t>
      </w:r>
      <w:r w:rsidRPr="00F30805">
        <w:rPr>
          <w:rFonts w:ascii="Arial" w:hAnsi="Arial" w:cs="Arial"/>
          <w:w w:val="107"/>
        </w:rPr>
        <w:t>in comparison to placebo for up to 12</w:t>
      </w:r>
      <w:r w:rsidR="00EC48E5" w:rsidRPr="00F30805">
        <w:rPr>
          <w:rFonts w:ascii="Arial" w:hAnsi="Arial" w:cs="Arial"/>
          <w:w w:val="107"/>
        </w:rPr>
        <w:t>/</w:t>
      </w:r>
      <w:r w:rsidRPr="00F30805">
        <w:rPr>
          <w:rFonts w:ascii="Arial" w:hAnsi="Arial" w:cs="Arial"/>
          <w:w w:val="107"/>
        </w:rPr>
        <w:t>14 weeks after treatment initiation.</w:t>
      </w:r>
      <w:r w:rsidR="00884A65" w:rsidRPr="00F30805">
        <w:rPr>
          <w:rFonts w:ascii="Arial" w:hAnsi="Arial" w:cs="Arial"/>
          <w:w w:val="107"/>
        </w:rPr>
        <w:t xml:space="preserve"> </w:t>
      </w:r>
      <w:r w:rsidR="00047341" w:rsidRPr="00F30805">
        <w:rPr>
          <w:rFonts w:ascii="Arial" w:hAnsi="Arial" w:cs="Arial"/>
          <w:w w:val="107"/>
        </w:rPr>
        <w:t xml:space="preserve">Two </w:t>
      </w:r>
      <w:r w:rsidR="004723E0" w:rsidRPr="00F30805">
        <w:rPr>
          <w:rFonts w:ascii="Arial" w:hAnsi="Arial" w:cs="Arial"/>
          <w:w w:val="107"/>
        </w:rPr>
        <w:t>methotrexate (</w:t>
      </w:r>
      <w:r w:rsidR="00047341" w:rsidRPr="00F30805">
        <w:rPr>
          <w:rFonts w:ascii="Arial" w:hAnsi="Arial" w:cs="Arial"/>
          <w:w w:val="107"/>
        </w:rPr>
        <w:t>MTX</w:t>
      </w:r>
      <w:r w:rsidR="004723E0" w:rsidRPr="00F30805">
        <w:rPr>
          <w:rFonts w:ascii="Arial" w:hAnsi="Arial" w:cs="Arial"/>
          <w:w w:val="107"/>
        </w:rPr>
        <w:t>)</w:t>
      </w:r>
      <w:r w:rsidR="00047341" w:rsidRPr="00F30805">
        <w:rPr>
          <w:rFonts w:ascii="Arial" w:hAnsi="Arial" w:cs="Arial"/>
          <w:w w:val="107"/>
        </w:rPr>
        <w:t>-controlled studies were integrated (</w:t>
      </w:r>
      <w:r w:rsidR="00B83908" w:rsidRPr="00F30805">
        <w:rPr>
          <w:rFonts w:ascii="Arial" w:hAnsi="Arial" w:cs="Arial"/>
          <w:w w:val="107"/>
        </w:rPr>
        <w:t>534</w:t>
      </w:r>
      <w:r w:rsidR="00047341" w:rsidRPr="00F30805">
        <w:rPr>
          <w:rFonts w:ascii="Arial" w:hAnsi="Arial" w:cs="Arial"/>
          <w:w w:val="107"/>
        </w:rPr>
        <w:t xml:space="preserve"> patients on RINVOQ 15 mg and 530 patients on MTX) to evaluate the safety of RINVOQ 15 mg</w:t>
      </w:r>
      <w:r w:rsidR="00884A65" w:rsidRPr="00F30805">
        <w:rPr>
          <w:rFonts w:ascii="Arial" w:hAnsi="Arial" w:cs="Arial"/>
          <w:w w:val="107"/>
        </w:rPr>
        <w:t xml:space="preserve"> as monotherapy</w:t>
      </w:r>
      <w:r w:rsidR="00047341" w:rsidRPr="00F30805">
        <w:rPr>
          <w:rFonts w:ascii="Arial" w:hAnsi="Arial" w:cs="Arial"/>
          <w:w w:val="107"/>
        </w:rPr>
        <w:t xml:space="preserve"> in comparison to MTX </w:t>
      </w:r>
      <w:r w:rsidR="00B83908" w:rsidRPr="00F30805">
        <w:rPr>
          <w:rFonts w:ascii="Arial" w:hAnsi="Arial" w:cs="Arial"/>
          <w:w w:val="107"/>
        </w:rPr>
        <w:t xml:space="preserve">monotherapy </w:t>
      </w:r>
      <w:r w:rsidR="00047341" w:rsidRPr="00F30805">
        <w:rPr>
          <w:rFonts w:ascii="Arial" w:hAnsi="Arial" w:cs="Arial"/>
          <w:w w:val="107"/>
        </w:rPr>
        <w:t xml:space="preserve">for up to </w:t>
      </w:r>
      <w:r w:rsidR="00EC48E5" w:rsidRPr="00F30805">
        <w:rPr>
          <w:rFonts w:ascii="Arial" w:hAnsi="Arial" w:cs="Arial"/>
          <w:w w:val="107"/>
        </w:rPr>
        <w:t>12/</w:t>
      </w:r>
      <w:r w:rsidR="00047341" w:rsidRPr="00F30805">
        <w:rPr>
          <w:rFonts w:ascii="Arial" w:hAnsi="Arial" w:cs="Arial"/>
          <w:w w:val="107"/>
        </w:rPr>
        <w:t>14 weeks.</w:t>
      </w:r>
      <w:r w:rsidR="00884A65" w:rsidRPr="00F30805">
        <w:rPr>
          <w:rFonts w:ascii="Arial" w:hAnsi="Arial" w:cs="Arial"/>
          <w:w w:val="107"/>
        </w:rPr>
        <w:t xml:space="preserve"> </w:t>
      </w:r>
    </w:p>
    <w:p w14:paraId="52115FF1" w14:textId="0E3C445B" w:rsidR="00B34CEA" w:rsidRPr="00F30805" w:rsidRDefault="00B34CEA" w:rsidP="00F71672">
      <w:pPr>
        <w:pStyle w:val="Heading3"/>
        <w:rPr>
          <w:w w:val="107"/>
        </w:rPr>
      </w:pPr>
      <w:r w:rsidRPr="00F30805">
        <w:rPr>
          <w:w w:val="107"/>
        </w:rPr>
        <w:t xml:space="preserve">Table </w:t>
      </w:r>
      <w:r w:rsidR="00986F90" w:rsidRPr="00F30805">
        <w:rPr>
          <w:w w:val="107"/>
        </w:rPr>
        <w:t>4</w:t>
      </w:r>
      <w:r w:rsidRPr="00F30805">
        <w:rPr>
          <w:w w:val="107"/>
        </w:rPr>
        <w:t xml:space="preserve"> Summary of Adverse Events reported by ≥ 1% of </w:t>
      </w:r>
      <w:r w:rsidR="009A7EDD" w:rsidRPr="00F30805">
        <w:rPr>
          <w:w w:val="107"/>
        </w:rPr>
        <w:t xml:space="preserve">rheumatoid arthritis </w:t>
      </w:r>
      <w:r w:rsidRPr="00F30805">
        <w:rPr>
          <w:w w:val="107"/>
        </w:rPr>
        <w:t>patients treated with RINVOQ (all causalities) – double-blind, placebo controlled</w:t>
      </w:r>
      <w:r w:rsidR="000F4E8E" w:rsidRPr="00F30805">
        <w:rPr>
          <w:w w:val="107"/>
        </w:rPr>
        <w:t xml:space="preserve">, </w:t>
      </w:r>
      <w:r w:rsidR="004723E0" w:rsidRPr="00F30805">
        <w:rPr>
          <w:w w:val="107"/>
        </w:rPr>
        <w:t>adalimumab (</w:t>
      </w:r>
      <w:r w:rsidR="000F4E8E" w:rsidRPr="00F30805">
        <w:rPr>
          <w:w w:val="107"/>
        </w:rPr>
        <w:t>ADA</w:t>
      </w:r>
      <w:r w:rsidR="004723E0" w:rsidRPr="00F30805">
        <w:rPr>
          <w:w w:val="107"/>
        </w:rPr>
        <w:t>)</w:t>
      </w:r>
      <w:r w:rsidR="000F4E8E" w:rsidRPr="00F30805">
        <w:rPr>
          <w:w w:val="107"/>
        </w:rPr>
        <w:t>,</w:t>
      </w:r>
      <w:r w:rsidR="00203889" w:rsidRPr="00F30805">
        <w:rPr>
          <w:w w:val="107"/>
        </w:rPr>
        <w:t xml:space="preserve"> and MTX controlled up to 12/14 weeks.</w:t>
      </w:r>
    </w:p>
    <w:tbl>
      <w:tblPr>
        <w:tblStyle w:val="TableGrid"/>
        <w:tblW w:w="9738" w:type="dxa"/>
        <w:tblLayout w:type="fixed"/>
        <w:tblLook w:val="04A0" w:firstRow="1" w:lastRow="0" w:firstColumn="1" w:lastColumn="0" w:noHBand="0" w:noVBand="1"/>
      </w:tblPr>
      <w:tblGrid>
        <w:gridCol w:w="2515"/>
        <w:gridCol w:w="1373"/>
        <w:gridCol w:w="67"/>
        <w:gridCol w:w="1553"/>
        <w:gridCol w:w="1417"/>
        <w:gridCol w:w="1440"/>
        <w:gridCol w:w="1373"/>
      </w:tblGrid>
      <w:tr w:rsidR="00854EAD" w:rsidRPr="00F30805" w14:paraId="73FA76EE" w14:textId="77777777" w:rsidTr="00854EAD">
        <w:trPr>
          <w:trHeight w:val="20"/>
        </w:trPr>
        <w:tc>
          <w:tcPr>
            <w:tcW w:w="2515" w:type="dxa"/>
            <w:vMerge w:val="restart"/>
            <w:vAlign w:val="center"/>
          </w:tcPr>
          <w:p w14:paraId="49F98738" w14:textId="77777777" w:rsidR="00466BDD" w:rsidRPr="00F30805" w:rsidRDefault="00466BDD" w:rsidP="001B15E4">
            <w:pPr>
              <w:tabs>
                <w:tab w:val="left" w:pos="520"/>
                <w:tab w:val="left" w:pos="1060"/>
              </w:tabs>
              <w:spacing w:before="120" w:line="240" w:lineRule="auto"/>
              <w:jc w:val="left"/>
              <w:rPr>
                <w:rFonts w:ascii="Arial" w:hAnsi="Arial" w:cs="Arial"/>
                <w:b/>
                <w:w w:val="107"/>
              </w:rPr>
            </w:pPr>
            <w:r w:rsidRPr="00F30805">
              <w:rPr>
                <w:rFonts w:ascii="Arial" w:hAnsi="Arial" w:cs="Arial"/>
                <w:b/>
                <w:w w:val="107"/>
              </w:rPr>
              <w:t>Body System/ Adverse Event</w:t>
            </w:r>
          </w:p>
        </w:tc>
        <w:tc>
          <w:tcPr>
            <w:tcW w:w="4410" w:type="dxa"/>
            <w:gridSpan w:val="4"/>
          </w:tcPr>
          <w:p w14:paraId="04C54B23" w14:textId="77777777" w:rsidR="00466BDD" w:rsidRPr="00F30805" w:rsidRDefault="00466BDD" w:rsidP="001B15E4">
            <w:pPr>
              <w:tabs>
                <w:tab w:val="left" w:pos="520"/>
                <w:tab w:val="left" w:pos="1060"/>
              </w:tabs>
              <w:spacing w:before="120" w:line="240" w:lineRule="auto"/>
              <w:jc w:val="center"/>
              <w:rPr>
                <w:rFonts w:ascii="Arial" w:hAnsi="Arial" w:cs="Arial"/>
                <w:b/>
                <w:w w:val="107"/>
              </w:rPr>
            </w:pPr>
            <w:r w:rsidRPr="00F30805">
              <w:rPr>
                <w:rFonts w:ascii="Arial" w:hAnsi="Arial" w:cs="Arial"/>
                <w:b/>
                <w:w w:val="107"/>
              </w:rPr>
              <w:t>Combination Therapy</w:t>
            </w:r>
          </w:p>
        </w:tc>
        <w:tc>
          <w:tcPr>
            <w:tcW w:w="2813" w:type="dxa"/>
            <w:gridSpan w:val="2"/>
          </w:tcPr>
          <w:p w14:paraId="1FE01E63" w14:textId="77777777" w:rsidR="00466BDD" w:rsidRPr="00F30805" w:rsidRDefault="00466BDD" w:rsidP="001B15E4">
            <w:pPr>
              <w:tabs>
                <w:tab w:val="left" w:pos="520"/>
                <w:tab w:val="left" w:pos="1060"/>
              </w:tabs>
              <w:spacing w:before="120" w:line="240" w:lineRule="auto"/>
              <w:jc w:val="center"/>
              <w:rPr>
                <w:rFonts w:ascii="Arial" w:hAnsi="Arial" w:cs="Arial"/>
                <w:b/>
                <w:w w:val="107"/>
              </w:rPr>
            </w:pPr>
            <w:r w:rsidRPr="00F30805">
              <w:rPr>
                <w:rFonts w:ascii="Arial" w:hAnsi="Arial" w:cs="Arial"/>
                <w:b/>
                <w:w w:val="107"/>
              </w:rPr>
              <w:t>Monotherapy</w:t>
            </w:r>
          </w:p>
        </w:tc>
      </w:tr>
      <w:tr w:rsidR="00854EAD" w:rsidRPr="00F30805" w14:paraId="0A129148" w14:textId="77777777" w:rsidTr="00854EAD">
        <w:trPr>
          <w:trHeight w:val="1169"/>
        </w:trPr>
        <w:tc>
          <w:tcPr>
            <w:tcW w:w="2515" w:type="dxa"/>
            <w:vMerge/>
          </w:tcPr>
          <w:p w14:paraId="6AB186CA" w14:textId="77777777" w:rsidR="00466BDD" w:rsidRPr="00F30805" w:rsidRDefault="00466BDD" w:rsidP="001B15E4">
            <w:pPr>
              <w:tabs>
                <w:tab w:val="left" w:pos="520"/>
                <w:tab w:val="left" w:pos="1060"/>
              </w:tabs>
              <w:spacing w:after="0" w:line="240" w:lineRule="auto"/>
              <w:jc w:val="left"/>
              <w:rPr>
                <w:rFonts w:ascii="Arial" w:hAnsi="Arial" w:cs="Arial"/>
                <w:b/>
                <w:w w:val="107"/>
              </w:rPr>
            </w:pPr>
          </w:p>
        </w:tc>
        <w:tc>
          <w:tcPr>
            <w:tcW w:w="1440" w:type="dxa"/>
            <w:gridSpan w:val="2"/>
          </w:tcPr>
          <w:p w14:paraId="378CD6AA"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 xml:space="preserve">RINVOQ 15 mg + </w:t>
            </w:r>
            <w:proofErr w:type="spellStart"/>
            <w:r w:rsidRPr="00F30805">
              <w:rPr>
                <w:rFonts w:ascii="Arial" w:hAnsi="Arial" w:cs="Arial"/>
                <w:b/>
                <w:w w:val="107"/>
              </w:rPr>
              <w:t>csDMARDs</w:t>
            </w:r>
            <w:proofErr w:type="spellEnd"/>
          </w:p>
          <w:p w14:paraId="37C65DEC" w14:textId="77777777" w:rsidR="00394451" w:rsidRPr="00F30805" w:rsidRDefault="00394451" w:rsidP="001B15E4">
            <w:pPr>
              <w:tabs>
                <w:tab w:val="left" w:pos="520"/>
                <w:tab w:val="left" w:pos="1060"/>
              </w:tabs>
              <w:spacing w:after="0" w:line="240" w:lineRule="auto"/>
              <w:jc w:val="center"/>
              <w:rPr>
                <w:rFonts w:ascii="Arial" w:hAnsi="Arial" w:cs="Arial"/>
                <w:b/>
                <w:w w:val="107"/>
              </w:rPr>
            </w:pPr>
          </w:p>
          <w:p w14:paraId="6813E1D9"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N=1035</w:t>
            </w:r>
          </w:p>
          <w:p w14:paraId="5DCC3F43"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 (%)</w:t>
            </w:r>
          </w:p>
        </w:tc>
        <w:tc>
          <w:tcPr>
            <w:tcW w:w="1553" w:type="dxa"/>
          </w:tcPr>
          <w:p w14:paraId="7FA3C9B9"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Placebo</w:t>
            </w:r>
          </w:p>
          <w:p w14:paraId="497EBCFC"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 xml:space="preserve">+ </w:t>
            </w:r>
            <w:proofErr w:type="spellStart"/>
            <w:r w:rsidRPr="00F30805">
              <w:rPr>
                <w:rFonts w:ascii="Arial" w:hAnsi="Arial" w:cs="Arial"/>
                <w:b/>
                <w:w w:val="107"/>
              </w:rPr>
              <w:t>csDMARDs</w:t>
            </w:r>
            <w:proofErr w:type="spellEnd"/>
          </w:p>
          <w:p w14:paraId="1E24F647" w14:textId="77777777" w:rsidR="00466BDD" w:rsidRPr="00F30805" w:rsidRDefault="00466BDD" w:rsidP="001B15E4">
            <w:pPr>
              <w:tabs>
                <w:tab w:val="left" w:pos="520"/>
                <w:tab w:val="left" w:pos="1060"/>
              </w:tabs>
              <w:spacing w:after="0" w:line="240" w:lineRule="auto"/>
              <w:jc w:val="center"/>
              <w:rPr>
                <w:rFonts w:ascii="Arial" w:hAnsi="Arial" w:cs="Arial"/>
                <w:b/>
                <w:w w:val="107"/>
              </w:rPr>
            </w:pPr>
          </w:p>
          <w:p w14:paraId="684A07CC"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N=1042</w:t>
            </w:r>
          </w:p>
          <w:p w14:paraId="7B1A0568"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 (%)</w:t>
            </w:r>
          </w:p>
        </w:tc>
        <w:tc>
          <w:tcPr>
            <w:tcW w:w="1417" w:type="dxa"/>
          </w:tcPr>
          <w:p w14:paraId="304E60FE"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ADA</w:t>
            </w:r>
          </w:p>
          <w:p w14:paraId="49EBADA4"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 MTX</w:t>
            </w:r>
          </w:p>
          <w:p w14:paraId="204B7832" w14:textId="77777777" w:rsidR="00466BDD" w:rsidRPr="00F30805" w:rsidRDefault="00466BDD" w:rsidP="001B15E4">
            <w:pPr>
              <w:tabs>
                <w:tab w:val="left" w:pos="520"/>
                <w:tab w:val="left" w:pos="1060"/>
              </w:tabs>
              <w:spacing w:after="0" w:line="240" w:lineRule="auto"/>
              <w:jc w:val="center"/>
              <w:rPr>
                <w:rFonts w:ascii="Arial" w:hAnsi="Arial" w:cs="Arial"/>
                <w:b/>
                <w:w w:val="107"/>
              </w:rPr>
            </w:pPr>
          </w:p>
          <w:p w14:paraId="0A4EC932"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N=327</w:t>
            </w:r>
          </w:p>
          <w:p w14:paraId="0B892B08"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 (%)</w:t>
            </w:r>
          </w:p>
        </w:tc>
        <w:tc>
          <w:tcPr>
            <w:tcW w:w="1440" w:type="dxa"/>
          </w:tcPr>
          <w:p w14:paraId="2844774C"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RINVOQ 15 mg</w:t>
            </w:r>
          </w:p>
          <w:p w14:paraId="65A16A96" w14:textId="77777777" w:rsidR="00466BDD" w:rsidRPr="00F30805" w:rsidRDefault="00466BDD" w:rsidP="001B15E4">
            <w:pPr>
              <w:tabs>
                <w:tab w:val="left" w:pos="520"/>
                <w:tab w:val="left" w:pos="1060"/>
              </w:tabs>
              <w:spacing w:after="0" w:line="240" w:lineRule="auto"/>
              <w:jc w:val="center"/>
              <w:rPr>
                <w:rFonts w:ascii="Arial" w:hAnsi="Arial" w:cs="Arial"/>
                <w:b/>
                <w:w w:val="107"/>
              </w:rPr>
            </w:pPr>
          </w:p>
          <w:p w14:paraId="43738065" w14:textId="77777777" w:rsidR="00466BDD" w:rsidRPr="00F30805" w:rsidRDefault="00466BDD" w:rsidP="001B15E4">
            <w:pPr>
              <w:tabs>
                <w:tab w:val="left" w:pos="520"/>
                <w:tab w:val="left" w:pos="1060"/>
              </w:tabs>
              <w:spacing w:after="0" w:line="240" w:lineRule="auto"/>
              <w:jc w:val="center"/>
              <w:rPr>
                <w:rFonts w:ascii="Arial" w:hAnsi="Arial" w:cs="Arial"/>
                <w:b/>
                <w:w w:val="107"/>
              </w:rPr>
            </w:pPr>
          </w:p>
          <w:p w14:paraId="41117856"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N=534</w:t>
            </w:r>
          </w:p>
          <w:p w14:paraId="56424652"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 (%)</w:t>
            </w:r>
          </w:p>
        </w:tc>
        <w:tc>
          <w:tcPr>
            <w:tcW w:w="1373" w:type="dxa"/>
          </w:tcPr>
          <w:p w14:paraId="479091C7"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MTX</w:t>
            </w:r>
          </w:p>
          <w:p w14:paraId="10355EE8" w14:textId="77777777" w:rsidR="00466BDD" w:rsidRPr="00F30805" w:rsidRDefault="00466BDD" w:rsidP="001B15E4">
            <w:pPr>
              <w:tabs>
                <w:tab w:val="left" w:pos="520"/>
                <w:tab w:val="left" w:pos="1060"/>
              </w:tabs>
              <w:spacing w:after="0" w:line="240" w:lineRule="auto"/>
              <w:jc w:val="center"/>
              <w:rPr>
                <w:rFonts w:ascii="Arial" w:hAnsi="Arial" w:cs="Arial"/>
                <w:b/>
                <w:w w:val="107"/>
              </w:rPr>
            </w:pPr>
          </w:p>
          <w:p w14:paraId="48117C26" w14:textId="77777777" w:rsidR="00466BDD" w:rsidRPr="00F30805" w:rsidRDefault="00466BDD" w:rsidP="001B15E4">
            <w:pPr>
              <w:tabs>
                <w:tab w:val="left" w:pos="520"/>
                <w:tab w:val="left" w:pos="1060"/>
              </w:tabs>
              <w:spacing w:after="0" w:line="240" w:lineRule="auto"/>
              <w:jc w:val="center"/>
              <w:rPr>
                <w:rFonts w:ascii="Arial" w:hAnsi="Arial" w:cs="Arial"/>
                <w:b/>
                <w:w w:val="107"/>
              </w:rPr>
            </w:pPr>
          </w:p>
          <w:p w14:paraId="61D4A8E0"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N=530</w:t>
            </w:r>
          </w:p>
          <w:p w14:paraId="365F88DF" w14:textId="77777777" w:rsidR="00466BDD" w:rsidRPr="00F30805" w:rsidRDefault="00466BDD" w:rsidP="001B15E4">
            <w:pPr>
              <w:tabs>
                <w:tab w:val="left" w:pos="520"/>
                <w:tab w:val="left" w:pos="1060"/>
              </w:tabs>
              <w:spacing w:after="0" w:line="240" w:lineRule="auto"/>
              <w:jc w:val="center"/>
              <w:rPr>
                <w:rFonts w:ascii="Arial" w:hAnsi="Arial" w:cs="Arial"/>
                <w:b/>
                <w:w w:val="107"/>
              </w:rPr>
            </w:pPr>
            <w:r w:rsidRPr="00F30805">
              <w:rPr>
                <w:rFonts w:ascii="Arial" w:hAnsi="Arial" w:cs="Arial"/>
                <w:b/>
                <w:w w:val="107"/>
              </w:rPr>
              <w:t>n (%)</w:t>
            </w:r>
          </w:p>
        </w:tc>
      </w:tr>
      <w:tr w:rsidR="00466BDD" w:rsidRPr="00F30805" w14:paraId="3B88FE46" w14:textId="77777777" w:rsidTr="00B47DE1">
        <w:trPr>
          <w:trHeight w:val="20"/>
        </w:trPr>
        <w:tc>
          <w:tcPr>
            <w:tcW w:w="9738" w:type="dxa"/>
            <w:gridSpan w:val="7"/>
          </w:tcPr>
          <w:p w14:paraId="055C2877" w14:textId="77777777" w:rsidR="00466BDD" w:rsidRPr="00F30805" w:rsidRDefault="00466BDD" w:rsidP="001B15E4">
            <w:pPr>
              <w:tabs>
                <w:tab w:val="left" w:pos="520"/>
                <w:tab w:val="left" w:pos="1060"/>
              </w:tabs>
              <w:spacing w:before="120" w:line="240" w:lineRule="auto"/>
              <w:jc w:val="left"/>
              <w:rPr>
                <w:rFonts w:ascii="Arial" w:hAnsi="Arial" w:cs="Arial"/>
                <w:b/>
                <w:w w:val="107"/>
              </w:rPr>
            </w:pPr>
            <w:r w:rsidRPr="00F30805">
              <w:rPr>
                <w:rFonts w:ascii="Arial" w:hAnsi="Arial" w:cs="Arial"/>
                <w:b/>
                <w:w w:val="107"/>
              </w:rPr>
              <w:t>Infections and infestations</w:t>
            </w:r>
          </w:p>
        </w:tc>
      </w:tr>
      <w:tr w:rsidR="00854EAD" w:rsidRPr="00F30805" w14:paraId="3EC63C2C" w14:textId="77777777" w:rsidTr="00854EAD">
        <w:trPr>
          <w:trHeight w:val="20"/>
        </w:trPr>
        <w:tc>
          <w:tcPr>
            <w:tcW w:w="2515" w:type="dxa"/>
          </w:tcPr>
          <w:p w14:paraId="118FA13E"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Bronchitis</w:t>
            </w:r>
          </w:p>
        </w:tc>
        <w:tc>
          <w:tcPr>
            <w:tcW w:w="1440" w:type="dxa"/>
            <w:gridSpan w:val="2"/>
          </w:tcPr>
          <w:p w14:paraId="4E298AE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32 (3.1)</w:t>
            </w:r>
          </w:p>
        </w:tc>
        <w:tc>
          <w:tcPr>
            <w:tcW w:w="1553" w:type="dxa"/>
          </w:tcPr>
          <w:p w14:paraId="2AC1E54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21 (2.0)</w:t>
            </w:r>
          </w:p>
        </w:tc>
        <w:tc>
          <w:tcPr>
            <w:tcW w:w="1417" w:type="dxa"/>
          </w:tcPr>
          <w:p w14:paraId="6B84D0B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8 (2.4)</w:t>
            </w:r>
          </w:p>
        </w:tc>
        <w:tc>
          <w:tcPr>
            <w:tcW w:w="1440" w:type="dxa"/>
          </w:tcPr>
          <w:p w14:paraId="61470D96"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8 (1.5)</w:t>
            </w:r>
          </w:p>
        </w:tc>
        <w:tc>
          <w:tcPr>
            <w:tcW w:w="1373" w:type="dxa"/>
          </w:tcPr>
          <w:p w14:paraId="7DE113E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11 (2.1)</w:t>
            </w:r>
          </w:p>
        </w:tc>
      </w:tr>
      <w:tr w:rsidR="00854EAD" w:rsidRPr="00F30805" w14:paraId="494FDD17" w14:textId="77777777" w:rsidTr="00854EAD">
        <w:trPr>
          <w:trHeight w:val="20"/>
        </w:trPr>
        <w:tc>
          <w:tcPr>
            <w:tcW w:w="2515" w:type="dxa"/>
          </w:tcPr>
          <w:p w14:paraId="55FF2BFD"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lastRenderedPageBreak/>
              <w:t>Gastroenteritis</w:t>
            </w:r>
          </w:p>
        </w:tc>
        <w:tc>
          <w:tcPr>
            <w:tcW w:w="1440" w:type="dxa"/>
            <w:gridSpan w:val="2"/>
          </w:tcPr>
          <w:p w14:paraId="3947781B"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16 (1.5)</w:t>
            </w:r>
          </w:p>
        </w:tc>
        <w:tc>
          <w:tcPr>
            <w:tcW w:w="1553" w:type="dxa"/>
          </w:tcPr>
          <w:p w14:paraId="05D76C9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7 (0.7)</w:t>
            </w:r>
          </w:p>
        </w:tc>
        <w:tc>
          <w:tcPr>
            <w:tcW w:w="1417" w:type="dxa"/>
          </w:tcPr>
          <w:p w14:paraId="346CB87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0</w:t>
            </w:r>
          </w:p>
        </w:tc>
        <w:tc>
          <w:tcPr>
            <w:tcW w:w="1440" w:type="dxa"/>
          </w:tcPr>
          <w:p w14:paraId="49ED7323"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 (0.2)</w:t>
            </w:r>
          </w:p>
        </w:tc>
        <w:tc>
          <w:tcPr>
            <w:tcW w:w="1373" w:type="dxa"/>
          </w:tcPr>
          <w:p w14:paraId="3566F19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7 (1.3)</w:t>
            </w:r>
          </w:p>
        </w:tc>
      </w:tr>
      <w:tr w:rsidR="00854EAD" w:rsidRPr="00F30805" w14:paraId="2A2F9903" w14:textId="77777777" w:rsidTr="00854EAD">
        <w:trPr>
          <w:trHeight w:val="20"/>
        </w:trPr>
        <w:tc>
          <w:tcPr>
            <w:tcW w:w="2515" w:type="dxa"/>
          </w:tcPr>
          <w:p w14:paraId="17E19905"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Influenza</w:t>
            </w:r>
          </w:p>
        </w:tc>
        <w:tc>
          <w:tcPr>
            <w:tcW w:w="1440" w:type="dxa"/>
            <w:gridSpan w:val="2"/>
          </w:tcPr>
          <w:p w14:paraId="44B80A3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11 (1.1)</w:t>
            </w:r>
          </w:p>
        </w:tc>
        <w:tc>
          <w:tcPr>
            <w:tcW w:w="1553" w:type="dxa"/>
          </w:tcPr>
          <w:p w14:paraId="636DB38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(0.5)</w:t>
            </w:r>
          </w:p>
        </w:tc>
        <w:tc>
          <w:tcPr>
            <w:tcW w:w="1417" w:type="dxa"/>
          </w:tcPr>
          <w:p w14:paraId="028E2FE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(0.6)</w:t>
            </w:r>
          </w:p>
        </w:tc>
        <w:tc>
          <w:tcPr>
            <w:tcW w:w="1440" w:type="dxa"/>
          </w:tcPr>
          <w:p w14:paraId="23D1225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0</w:t>
            </w:r>
          </w:p>
        </w:tc>
        <w:tc>
          <w:tcPr>
            <w:tcW w:w="1373" w:type="dxa"/>
          </w:tcPr>
          <w:p w14:paraId="291F208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 (0.6)</w:t>
            </w:r>
          </w:p>
        </w:tc>
      </w:tr>
      <w:tr w:rsidR="00854EAD" w:rsidRPr="00F30805" w14:paraId="1F8551EC" w14:textId="77777777" w:rsidTr="00854EAD">
        <w:trPr>
          <w:trHeight w:val="20"/>
        </w:trPr>
        <w:tc>
          <w:tcPr>
            <w:tcW w:w="2515" w:type="dxa"/>
          </w:tcPr>
          <w:p w14:paraId="7F0DC3E1"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Nasopharyngitis</w:t>
            </w:r>
          </w:p>
        </w:tc>
        <w:tc>
          <w:tcPr>
            <w:tcW w:w="1440" w:type="dxa"/>
            <w:gridSpan w:val="2"/>
          </w:tcPr>
          <w:p w14:paraId="4E208CF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46 (4.4)</w:t>
            </w:r>
          </w:p>
        </w:tc>
        <w:tc>
          <w:tcPr>
            <w:tcW w:w="1553" w:type="dxa"/>
          </w:tcPr>
          <w:p w14:paraId="51CDC8A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33 (3.2)</w:t>
            </w:r>
          </w:p>
        </w:tc>
        <w:tc>
          <w:tcPr>
            <w:tcW w:w="1417" w:type="dxa"/>
          </w:tcPr>
          <w:p w14:paraId="5E97D3C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8 (2.4)</w:t>
            </w:r>
          </w:p>
        </w:tc>
        <w:tc>
          <w:tcPr>
            <w:tcW w:w="1440" w:type="dxa"/>
          </w:tcPr>
          <w:p w14:paraId="01A592E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15 (2.8)</w:t>
            </w:r>
          </w:p>
        </w:tc>
        <w:tc>
          <w:tcPr>
            <w:tcW w:w="1373" w:type="dxa"/>
          </w:tcPr>
          <w:p w14:paraId="4802690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13 (2.5)</w:t>
            </w:r>
          </w:p>
        </w:tc>
      </w:tr>
      <w:tr w:rsidR="00854EAD" w:rsidRPr="00F30805" w14:paraId="6E88F0F5" w14:textId="77777777" w:rsidTr="00854EAD">
        <w:trPr>
          <w:trHeight w:val="20"/>
        </w:trPr>
        <w:tc>
          <w:tcPr>
            <w:tcW w:w="2515" w:type="dxa"/>
          </w:tcPr>
          <w:p w14:paraId="58A49822"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Pharyngitis</w:t>
            </w:r>
          </w:p>
        </w:tc>
        <w:tc>
          <w:tcPr>
            <w:tcW w:w="1440" w:type="dxa"/>
            <w:gridSpan w:val="2"/>
          </w:tcPr>
          <w:p w14:paraId="3D6D428B"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15 (1.4)</w:t>
            </w:r>
          </w:p>
        </w:tc>
        <w:tc>
          <w:tcPr>
            <w:tcW w:w="1553" w:type="dxa"/>
          </w:tcPr>
          <w:p w14:paraId="239EA17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8 (0.8)</w:t>
            </w:r>
          </w:p>
        </w:tc>
        <w:tc>
          <w:tcPr>
            <w:tcW w:w="1417" w:type="dxa"/>
          </w:tcPr>
          <w:p w14:paraId="17A448D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7 (2.1)</w:t>
            </w:r>
          </w:p>
        </w:tc>
        <w:tc>
          <w:tcPr>
            <w:tcW w:w="1440" w:type="dxa"/>
          </w:tcPr>
          <w:p w14:paraId="148A2876"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(0.9)</w:t>
            </w:r>
          </w:p>
        </w:tc>
        <w:tc>
          <w:tcPr>
            <w:tcW w:w="1373" w:type="dxa"/>
          </w:tcPr>
          <w:p w14:paraId="133EE2A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(0.8)</w:t>
            </w:r>
          </w:p>
        </w:tc>
      </w:tr>
      <w:tr w:rsidR="00854EAD" w:rsidRPr="00F30805" w14:paraId="718DF097" w14:textId="77777777" w:rsidTr="00854EAD">
        <w:trPr>
          <w:trHeight w:val="20"/>
        </w:trPr>
        <w:tc>
          <w:tcPr>
            <w:tcW w:w="2515" w:type="dxa"/>
          </w:tcPr>
          <w:p w14:paraId="1690E93B"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Sinusitis</w:t>
            </w:r>
          </w:p>
        </w:tc>
        <w:tc>
          <w:tcPr>
            <w:tcW w:w="1440" w:type="dxa"/>
            <w:gridSpan w:val="2"/>
          </w:tcPr>
          <w:p w14:paraId="50504A6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15 (1.4)</w:t>
            </w:r>
          </w:p>
        </w:tc>
        <w:tc>
          <w:tcPr>
            <w:tcW w:w="1553" w:type="dxa"/>
          </w:tcPr>
          <w:p w14:paraId="3344618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7 (0.7)</w:t>
            </w:r>
          </w:p>
        </w:tc>
        <w:tc>
          <w:tcPr>
            <w:tcW w:w="1417" w:type="dxa"/>
          </w:tcPr>
          <w:p w14:paraId="615E9D1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(1.2)</w:t>
            </w:r>
          </w:p>
        </w:tc>
        <w:tc>
          <w:tcPr>
            <w:tcW w:w="1440" w:type="dxa"/>
          </w:tcPr>
          <w:p w14:paraId="05BE1AE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6 (1.1)</w:t>
            </w:r>
          </w:p>
        </w:tc>
        <w:tc>
          <w:tcPr>
            <w:tcW w:w="1373" w:type="dxa"/>
          </w:tcPr>
          <w:p w14:paraId="691BFB8B"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8 (1.5)</w:t>
            </w:r>
          </w:p>
        </w:tc>
      </w:tr>
      <w:tr w:rsidR="00854EAD" w:rsidRPr="00F30805" w14:paraId="0CA492FA" w14:textId="77777777" w:rsidTr="00854EAD">
        <w:trPr>
          <w:trHeight w:val="20"/>
        </w:trPr>
        <w:tc>
          <w:tcPr>
            <w:tcW w:w="2515" w:type="dxa"/>
          </w:tcPr>
          <w:p w14:paraId="6D53BCAD"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Upper respiratory tract infection</w:t>
            </w:r>
          </w:p>
        </w:tc>
        <w:tc>
          <w:tcPr>
            <w:tcW w:w="1440" w:type="dxa"/>
            <w:gridSpan w:val="2"/>
          </w:tcPr>
          <w:p w14:paraId="407A215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53 (5.1)</w:t>
            </w:r>
          </w:p>
        </w:tc>
        <w:tc>
          <w:tcPr>
            <w:tcW w:w="1553" w:type="dxa"/>
          </w:tcPr>
          <w:p w14:paraId="285F225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38 (3.6)</w:t>
            </w:r>
          </w:p>
        </w:tc>
        <w:tc>
          <w:tcPr>
            <w:tcW w:w="1417" w:type="dxa"/>
          </w:tcPr>
          <w:p w14:paraId="64B51B80"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6 (1.8)</w:t>
            </w:r>
          </w:p>
        </w:tc>
        <w:tc>
          <w:tcPr>
            <w:tcW w:w="1440" w:type="dxa"/>
          </w:tcPr>
          <w:p w14:paraId="12ECEAA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17 (3.2)</w:t>
            </w:r>
          </w:p>
        </w:tc>
        <w:tc>
          <w:tcPr>
            <w:tcW w:w="1373" w:type="dxa"/>
          </w:tcPr>
          <w:p w14:paraId="25F394EA"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23 (4.3)</w:t>
            </w:r>
          </w:p>
        </w:tc>
      </w:tr>
      <w:tr w:rsidR="00854EAD" w:rsidRPr="00F30805" w14:paraId="502034D0" w14:textId="77777777" w:rsidTr="00854EAD">
        <w:trPr>
          <w:trHeight w:val="20"/>
        </w:trPr>
        <w:tc>
          <w:tcPr>
            <w:tcW w:w="2515" w:type="dxa"/>
          </w:tcPr>
          <w:p w14:paraId="20A73C9E"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Urinary tract infection</w:t>
            </w:r>
          </w:p>
        </w:tc>
        <w:tc>
          <w:tcPr>
            <w:tcW w:w="1440" w:type="dxa"/>
            <w:gridSpan w:val="2"/>
          </w:tcPr>
          <w:p w14:paraId="4ACD2AE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42 (4.1)</w:t>
            </w:r>
          </w:p>
        </w:tc>
        <w:tc>
          <w:tcPr>
            <w:tcW w:w="1553" w:type="dxa"/>
          </w:tcPr>
          <w:p w14:paraId="3BF4A26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34 (3.3)</w:t>
            </w:r>
          </w:p>
        </w:tc>
        <w:tc>
          <w:tcPr>
            <w:tcW w:w="1417" w:type="dxa"/>
          </w:tcPr>
          <w:p w14:paraId="3307679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13 (4.0)</w:t>
            </w:r>
          </w:p>
        </w:tc>
        <w:tc>
          <w:tcPr>
            <w:tcW w:w="1440" w:type="dxa"/>
          </w:tcPr>
          <w:p w14:paraId="3E1DF6B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23 (4.3)</w:t>
            </w:r>
          </w:p>
        </w:tc>
        <w:tc>
          <w:tcPr>
            <w:tcW w:w="1373" w:type="dxa"/>
          </w:tcPr>
          <w:p w14:paraId="1E8E31FB"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17 (3.2)</w:t>
            </w:r>
          </w:p>
        </w:tc>
      </w:tr>
      <w:tr w:rsidR="00466BDD" w:rsidRPr="00F30805" w14:paraId="7E066BC7" w14:textId="77777777" w:rsidTr="00B47DE1">
        <w:trPr>
          <w:trHeight w:val="20"/>
        </w:trPr>
        <w:tc>
          <w:tcPr>
            <w:tcW w:w="9738" w:type="dxa"/>
            <w:gridSpan w:val="7"/>
          </w:tcPr>
          <w:p w14:paraId="7E96E61A"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b/>
                <w:w w:val="107"/>
              </w:rPr>
              <w:t>Blood and lymphatic system disorders</w:t>
            </w:r>
          </w:p>
        </w:tc>
      </w:tr>
      <w:tr w:rsidR="00854EAD" w:rsidRPr="00F30805" w14:paraId="16203A02" w14:textId="77777777" w:rsidTr="00854EAD">
        <w:trPr>
          <w:trHeight w:val="20"/>
        </w:trPr>
        <w:tc>
          <w:tcPr>
            <w:tcW w:w="2515" w:type="dxa"/>
          </w:tcPr>
          <w:p w14:paraId="5761A68E"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Anaemia</w:t>
            </w:r>
          </w:p>
        </w:tc>
        <w:tc>
          <w:tcPr>
            <w:tcW w:w="1373" w:type="dxa"/>
          </w:tcPr>
          <w:p w14:paraId="583F79C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10 (1.0)</w:t>
            </w:r>
          </w:p>
        </w:tc>
        <w:tc>
          <w:tcPr>
            <w:tcW w:w="1620" w:type="dxa"/>
            <w:gridSpan w:val="2"/>
          </w:tcPr>
          <w:p w14:paraId="162F286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16 (1.5)</w:t>
            </w:r>
          </w:p>
        </w:tc>
        <w:tc>
          <w:tcPr>
            <w:tcW w:w="1417" w:type="dxa"/>
          </w:tcPr>
          <w:p w14:paraId="2A2E975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(1.2)</w:t>
            </w:r>
          </w:p>
        </w:tc>
        <w:tc>
          <w:tcPr>
            <w:tcW w:w="1440" w:type="dxa"/>
          </w:tcPr>
          <w:p w14:paraId="5871CCB6"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(0.9)</w:t>
            </w:r>
          </w:p>
        </w:tc>
        <w:tc>
          <w:tcPr>
            <w:tcW w:w="1373" w:type="dxa"/>
          </w:tcPr>
          <w:p w14:paraId="20C73A9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(0.9)</w:t>
            </w:r>
          </w:p>
        </w:tc>
      </w:tr>
      <w:tr w:rsidR="00854EAD" w:rsidRPr="00F30805" w14:paraId="72930925" w14:textId="77777777" w:rsidTr="00854EAD">
        <w:trPr>
          <w:trHeight w:val="20"/>
        </w:trPr>
        <w:tc>
          <w:tcPr>
            <w:tcW w:w="2515" w:type="dxa"/>
          </w:tcPr>
          <w:p w14:paraId="6D5E0F34"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Leukopenia</w:t>
            </w:r>
          </w:p>
        </w:tc>
        <w:tc>
          <w:tcPr>
            <w:tcW w:w="1373" w:type="dxa"/>
          </w:tcPr>
          <w:p w14:paraId="4C7A2BB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16 (1.5)</w:t>
            </w:r>
          </w:p>
        </w:tc>
        <w:tc>
          <w:tcPr>
            <w:tcW w:w="1620" w:type="dxa"/>
            <w:gridSpan w:val="2"/>
          </w:tcPr>
          <w:p w14:paraId="05ECB01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(0.5)</w:t>
            </w:r>
          </w:p>
        </w:tc>
        <w:tc>
          <w:tcPr>
            <w:tcW w:w="1417" w:type="dxa"/>
          </w:tcPr>
          <w:p w14:paraId="642BAE8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(0.6)</w:t>
            </w:r>
          </w:p>
        </w:tc>
        <w:tc>
          <w:tcPr>
            <w:tcW w:w="1440" w:type="dxa"/>
          </w:tcPr>
          <w:p w14:paraId="7AD27063"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7 (1.3)</w:t>
            </w:r>
          </w:p>
        </w:tc>
        <w:tc>
          <w:tcPr>
            <w:tcW w:w="1373" w:type="dxa"/>
          </w:tcPr>
          <w:p w14:paraId="762E8AE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(0.9)</w:t>
            </w:r>
          </w:p>
        </w:tc>
      </w:tr>
      <w:tr w:rsidR="00854EAD" w:rsidRPr="00F30805" w14:paraId="1ECBFDCB" w14:textId="77777777" w:rsidTr="00854EAD">
        <w:trPr>
          <w:trHeight w:val="20"/>
        </w:trPr>
        <w:tc>
          <w:tcPr>
            <w:tcW w:w="2515" w:type="dxa"/>
          </w:tcPr>
          <w:p w14:paraId="0DD2B2D3"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Lymphopenia</w:t>
            </w:r>
          </w:p>
        </w:tc>
        <w:tc>
          <w:tcPr>
            <w:tcW w:w="1373" w:type="dxa"/>
          </w:tcPr>
          <w:p w14:paraId="67230F2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13 (1.3)</w:t>
            </w:r>
          </w:p>
        </w:tc>
        <w:tc>
          <w:tcPr>
            <w:tcW w:w="1620" w:type="dxa"/>
            <w:gridSpan w:val="2"/>
          </w:tcPr>
          <w:p w14:paraId="47096ED0"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11 (1.1)</w:t>
            </w:r>
          </w:p>
        </w:tc>
        <w:tc>
          <w:tcPr>
            <w:tcW w:w="1417" w:type="dxa"/>
          </w:tcPr>
          <w:p w14:paraId="4FECF003"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(0.6)</w:t>
            </w:r>
          </w:p>
        </w:tc>
        <w:tc>
          <w:tcPr>
            <w:tcW w:w="1440" w:type="dxa"/>
          </w:tcPr>
          <w:p w14:paraId="4FC083B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(0.4)</w:t>
            </w:r>
          </w:p>
        </w:tc>
        <w:tc>
          <w:tcPr>
            <w:tcW w:w="1373" w:type="dxa"/>
          </w:tcPr>
          <w:p w14:paraId="278B1C5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(0.8)</w:t>
            </w:r>
          </w:p>
        </w:tc>
      </w:tr>
      <w:tr w:rsidR="00854EAD" w:rsidRPr="00F30805" w14:paraId="3A70A45A" w14:textId="77777777" w:rsidTr="00854EAD">
        <w:trPr>
          <w:trHeight w:val="20"/>
        </w:trPr>
        <w:tc>
          <w:tcPr>
            <w:tcW w:w="2515" w:type="dxa"/>
          </w:tcPr>
          <w:p w14:paraId="12D41EB4"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Neutropenia</w:t>
            </w:r>
          </w:p>
        </w:tc>
        <w:tc>
          <w:tcPr>
            <w:tcW w:w="1373" w:type="dxa"/>
          </w:tcPr>
          <w:p w14:paraId="6EAA9D9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19 (1.8)</w:t>
            </w:r>
          </w:p>
        </w:tc>
        <w:tc>
          <w:tcPr>
            <w:tcW w:w="1620" w:type="dxa"/>
            <w:gridSpan w:val="2"/>
          </w:tcPr>
          <w:p w14:paraId="226C2DD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(0.2)</w:t>
            </w:r>
          </w:p>
        </w:tc>
        <w:tc>
          <w:tcPr>
            <w:tcW w:w="1417" w:type="dxa"/>
          </w:tcPr>
          <w:p w14:paraId="2B26E99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 (0.3)</w:t>
            </w:r>
          </w:p>
        </w:tc>
        <w:tc>
          <w:tcPr>
            <w:tcW w:w="1440" w:type="dxa"/>
          </w:tcPr>
          <w:p w14:paraId="0EDD36C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6 (1.1)</w:t>
            </w:r>
          </w:p>
        </w:tc>
        <w:tc>
          <w:tcPr>
            <w:tcW w:w="1373" w:type="dxa"/>
          </w:tcPr>
          <w:p w14:paraId="578C3F9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(0.4)</w:t>
            </w:r>
          </w:p>
        </w:tc>
      </w:tr>
      <w:tr w:rsidR="00466BDD" w:rsidRPr="00F30805" w14:paraId="44689687" w14:textId="77777777" w:rsidTr="00B47DE1">
        <w:trPr>
          <w:trHeight w:val="20"/>
        </w:trPr>
        <w:tc>
          <w:tcPr>
            <w:tcW w:w="9738" w:type="dxa"/>
            <w:gridSpan w:val="7"/>
          </w:tcPr>
          <w:p w14:paraId="0E5DED63" w14:textId="77777777" w:rsidR="00466BDD" w:rsidRPr="00F30805" w:rsidRDefault="00466BDD" w:rsidP="001B15E4">
            <w:pPr>
              <w:tabs>
                <w:tab w:val="left" w:pos="520"/>
                <w:tab w:val="left" w:pos="1060"/>
              </w:tabs>
              <w:spacing w:before="120" w:line="240" w:lineRule="auto"/>
              <w:jc w:val="left"/>
              <w:rPr>
                <w:rFonts w:ascii="Arial" w:hAnsi="Arial" w:cs="Arial"/>
                <w:b/>
                <w:w w:val="107"/>
              </w:rPr>
            </w:pPr>
            <w:r w:rsidRPr="00F30805">
              <w:rPr>
                <w:rFonts w:ascii="Arial" w:hAnsi="Arial" w:cs="Arial"/>
                <w:b/>
                <w:w w:val="107"/>
              </w:rPr>
              <w:t>Metabolism and nutrition disorders</w:t>
            </w:r>
          </w:p>
        </w:tc>
      </w:tr>
      <w:tr w:rsidR="00854EAD" w:rsidRPr="00F30805" w14:paraId="7369F8E6" w14:textId="77777777" w:rsidTr="00854EAD">
        <w:trPr>
          <w:trHeight w:val="20"/>
        </w:trPr>
        <w:tc>
          <w:tcPr>
            <w:tcW w:w="2515" w:type="dxa"/>
          </w:tcPr>
          <w:p w14:paraId="7B638F48"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Hypercholesterolemia</w:t>
            </w:r>
          </w:p>
        </w:tc>
        <w:tc>
          <w:tcPr>
            <w:tcW w:w="1373" w:type="dxa"/>
          </w:tcPr>
          <w:p w14:paraId="357CBFFB"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11 (1.1)</w:t>
            </w:r>
          </w:p>
        </w:tc>
        <w:tc>
          <w:tcPr>
            <w:tcW w:w="1620" w:type="dxa"/>
            <w:gridSpan w:val="2"/>
          </w:tcPr>
          <w:p w14:paraId="0DDDDF9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(0.2)</w:t>
            </w:r>
          </w:p>
        </w:tc>
        <w:tc>
          <w:tcPr>
            <w:tcW w:w="1417" w:type="dxa"/>
          </w:tcPr>
          <w:p w14:paraId="13D6A04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(1.2)</w:t>
            </w:r>
          </w:p>
        </w:tc>
        <w:tc>
          <w:tcPr>
            <w:tcW w:w="1440" w:type="dxa"/>
          </w:tcPr>
          <w:p w14:paraId="2BCFC57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(0.4)</w:t>
            </w:r>
          </w:p>
        </w:tc>
        <w:tc>
          <w:tcPr>
            <w:tcW w:w="1373" w:type="dxa"/>
          </w:tcPr>
          <w:p w14:paraId="5CD85CB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0</w:t>
            </w:r>
          </w:p>
        </w:tc>
      </w:tr>
      <w:tr w:rsidR="00466BDD" w:rsidRPr="00F30805" w14:paraId="68BFBE42" w14:textId="77777777" w:rsidTr="00B47DE1">
        <w:trPr>
          <w:trHeight w:val="20"/>
        </w:trPr>
        <w:tc>
          <w:tcPr>
            <w:tcW w:w="9738" w:type="dxa"/>
            <w:gridSpan w:val="7"/>
          </w:tcPr>
          <w:p w14:paraId="437E8BA3"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b/>
                <w:w w:val="107"/>
              </w:rPr>
              <w:t>Nervous system disorders</w:t>
            </w:r>
          </w:p>
        </w:tc>
      </w:tr>
      <w:tr w:rsidR="00854EAD" w:rsidRPr="00F30805" w14:paraId="666B7EA0" w14:textId="77777777" w:rsidTr="00854EAD">
        <w:trPr>
          <w:trHeight w:val="20"/>
        </w:trPr>
        <w:tc>
          <w:tcPr>
            <w:tcW w:w="2515" w:type="dxa"/>
          </w:tcPr>
          <w:p w14:paraId="1EF2E636"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Headache</w:t>
            </w:r>
          </w:p>
        </w:tc>
        <w:tc>
          <w:tcPr>
            <w:tcW w:w="1373" w:type="dxa"/>
          </w:tcPr>
          <w:p w14:paraId="67765F3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33 (3.2)</w:t>
            </w:r>
          </w:p>
        </w:tc>
        <w:tc>
          <w:tcPr>
            <w:tcW w:w="1620" w:type="dxa"/>
            <w:gridSpan w:val="2"/>
          </w:tcPr>
          <w:p w14:paraId="433074C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38 (3.6)</w:t>
            </w:r>
          </w:p>
        </w:tc>
        <w:tc>
          <w:tcPr>
            <w:tcW w:w="1417" w:type="dxa"/>
          </w:tcPr>
          <w:p w14:paraId="34FD23C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(1.2)</w:t>
            </w:r>
          </w:p>
        </w:tc>
        <w:tc>
          <w:tcPr>
            <w:tcW w:w="1440" w:type="dxa"/>
          </w:tcPr>
          <w:p w14:paraId="6E5169B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9 (1.7)</w:t>
            </w:r>
          </w:p>
        </w:tc>
        <w:tc>
          <w:tcPr>
            <w:tcW w:w="1373" w:type="dxa"/>
          </w:tcPr>
          <w:p w14:paraId="4450AF8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7 (1.3)</w:t>
            </w:r>
          </w:p>
        </w:tc>
      </w:tr>
      <w:tr w:rsidR="00854EAD" w:rsidRPr="00F30805" w14:paraId="22FC9E90" w14:textId="77777777" w:rsidTr="00854EAD">
        <w:trPr>
          <w:trHeight w:val="20"/>
        </w:trPr>
        <w:tc>
          <w:tcPr>
            <w:tcW w:w="2515" w:type="dxa"/>
          </w:tcPr>
          <w:p w14:paraId="44E5A820"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Dizziness</w:t>
            </w:r>
          </w:p>
        </w:tc>
        <w:tc>
          <w:tcPr>
            <w:tcW w:w="1373" w:type="dxa"/>
          </w:tcPr>
          <w:p w14:paraId="396FB1F6"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10 (1.0)</w:t>
            </w:r>
          </w:p>
        </w:tc>
        <w:tc>
          <w:tcPr>
            <w:tcW w:w="1620" w:type="dxa"/>
            <w:gridSpan w:val="2"/>
          </w:tcPr>
          <w:p w14:paraId="0D0AF825"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8 (0.8)</w:t>
            </w:r>
          </w:p>
        </w:tc>
        <w:tc>
          <w:tcPr>
            <w:tcW w:w="1417" w:type="dxa"/>
          </w:tcPr>
          <w:p w14:paraId="78DE6BB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(1.5)</w:t>
            </w:r>
          </w:p>
        </w:tc>
        <w:tc>
          <w:tcPr>
            <w:tcW w:w="1440" w:type="dxa"/>
          </w:tcPr>
          <w:p w14:paraId="07D8631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6 (1.1)</w:t>
            </w:r>
          </w:p>
        </w:tc>
        <w:tc>
          <w:tcPr>
            <w:tcW w:w="1373" w:type="dxa"/>
          </w:tcPr>
          <w:p w14:paraId="135E47F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6 (1.1)</w:t>
            </w:r>
          </w:p>
        </w:tc>
      </w:tr>
      <w:tr w:rsidR="00466BDD" w:rsidRPr="00F30805" w14:paraId="68CDA88D" w14:textId="77777777" w:rsidTr="00B47DE1">
        <w:trPr>
          <w:trHeight w:val="20"/>
        </w:trPr>
        <w:tc>
          <w:tcPr>
            <w:tcW w:w="9738" w:type="dxa"/>
            <w:gridSpan w:val="7"/>
          </w:tcPr>
          <w:p w14:paraId="505BB222" w14:textId="77777777" w:rsidR="00466BDD" w:rsidRPr="00F30805" w:rsidRDefault="00466BDD" w:rsidP="001B15E4">
            <w:pPr>
              <w:tabs>
                <w:tab w:val="left" w:pos="520"/>
                <w:tab w:val="left" w:pos="1060"/>
              </w:tabs>
              <w:spacing w:before="120" w:line="240" w:lineRule="auto"/>
              <w:jc w:val="left"/>
              <w:rPr>
                <w:rFonts w:ascii="Arial" w:hAnsi="Arial" w:cs="Arial"/>
                <w:b/>
                <w:w w:val="107"/>
              </w:rPr>
            </w:pPr>
            <w:r w:rsidRPr="00F30805">
              <w:rPr>
                <w:rFonts w:ascii="Arial" w:hAnsi="Arial" w:cs="Arial"/>
                <w:b/>
                <w:w w:val="107"/>
              </w:rPr>
              <w:t>Vascular disorders</w:t>
            </w:r>
          </w:p>
        </w:tc>
      </w:tr>
      <w:tr w:rsidR="00854EAD" w:rsidRPr="00F30805" w14:paraId="3BE7E0F1" w14:textId="77777777" w:rsidTr="00854EAD">
        <w:trPr>
          <w:trHeight w:val="20"/>
        </w:trPr>
        <w:tc>
          <w:tcPr>
            <w:tcW w:w="2515" w:type="dxa"/>
          </w:tcPr>
          <w:p w14:paraId="34C82023"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Hypertension</w:t>
            </w:r>
          </w:p>
        </w:tc>
        <w:tc>
          <w:tcPr>
            <w:tcW w:w="1373" w:type="dxa"/>
          </w:tcPr>
          <w:p w14:paraId="7C859C4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24 (2.3)</w:t>
            </w:r>
          </w:p>
        </w:tc>
        <w:tc>
          <w:tcPr>
            <w:tcW w:w="1620" w:type="dxa"/>
            <w:gridSpan w:val="2"/>
          </w:tcPr>
          <w:p w14:paraId="2CCA420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22 (2.1)</w:t>
            </w:r>
          </w:p>
        </w:tc>
        <w:tc>
          <w:tcPr>
            <w:tcW w:w="1417" w:type="dxa"/>
          </w:tcPr>
          <w:p w14:paraId="665359A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(1.2)</w:t>
            </w:r>
          </w:p>
        </w:tc>
        <w:tc>
          <w:tcPr>
            <w:tcW w:w="1440" w:type="dxa"/>
          </w:tcPr>
          <w:p w14:paraId="26A389C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9 (1.7)</w:t>
            </w:r>
          </w:p>
        </w:tc>
        <w:tc>
          <w:tcPr>
            <w:tcW w:w="1373" w:type="dxa"/>
          </w:tcPr>
          <w:p w14:paraId="6AEA5C6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9 (1.7)</w:t>
            </w:r>
          </w:p>
        </w:tc>
      </w:tr>
      <w:tr w:rsidR="00466BDD" w:rsidRPr="00F30805" w14:paraId="182CBDF4" w14:textId="77777777" w:rsidTr="00B47DE1">
        <w:trPr>
          <w:trHeight w:val="20"/>
        </w:trPr>
        <w:tc>
          <w:tcPr>
            <w:tcW w:w="9738" w:type="dxa"/>
            <w:gridSpan w:val="7"/>
          </w:tcPr>
          <w:p w14:paraId="49AD4B40"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b/>
                <w:w w:val="107"/>
              </w:rPr>
              <w:t>Respiratory, thoracic and mediastinal disorders</w:t>
            </w:r>
          </w:p>
        </w:tc>
      </w:tr>
      <w:tr w:rsidR="00854EAD" w:rsidRPr="00F30805" w14:paraId="18C5AF12" w14:textId="77777777" w:rsidTr="00854EAD">
        <w:trPr>
          <w:trHeight w:val="20"/>
        </w:trPr>
        <w:tc>
          <w:tcPr>
            <w:tcW w:w="2515" w:type="dxa"/>
          </w:tcPr>
          <w:p w14:paraId="077FFC1B"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Cough</w:t>
            </w:r>
          </w:p>
        </w:tc>
        <w:tc>
          <w:tcPr>
            <w:tcW w:w="1373" w:type="dxa"/>
          </w:tcPr>
          <w:p w14:paraId="53F74FB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23 (2.2)</w:t>
            </w:r>
          </w:p>
        </w:tc>
        <w:tc>
          <w:tcPr>
            <w:tcW w:w="1620" w:type="dxa"/>
            <w:gridSpan w:val="2"/>
          </w:tcPr>
          <w:p w14:paraId="51B9998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10 (1.0)</w:t>
            </w:r>
          </w:p>
        </w:tc>
        <w:tc>
          <w:tcPr>
            <w:tcW w:w="1417" w:type="dxa"/>
          </w:tcPr>
          <w:p w14:paraId="5844F5B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(1.2)</w:t>
            </w:r>
          </w:p>
        </w:tc>
        <w:tc>
          <w:tcPr>
            <w:tcW w:w="1440" w:type="dxa"/>
          </w:tcPr>
          <w:p w14:paraId="689437F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9 (1.7)</w:t>
            </w:r>
          </w:p>
        </w:tc>
        <w:tc>
          <w:tcPr>
            <w:tcW w:w="1373" w:type="dxa"/>
          </w:tcPr>
          <w:p w14:paraId="1934C71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(0.9)</w:t>
            </w:r>
          </w:p>
        </w:tc>
      </w:tr>
      <w:tr w:rsidR="00466BDD" w:rsidRPr="00F30805" w14:paraId="2F91BBDC" w14:textId="77777777" w:rsidTr="00B47DE1">
        <w:trPr>
          <w:trHeight w:val="20"/>
        </w:trPr>
        <w:tc>
          <w:tcPr>
            <w:tcW w:w="9738" w:type="dxa"/>
            <w:gridSpan w:val="7"/>
          </w:tcPr>
          <w:p w14:paraId="72D9FB7C"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b/>
                <w:w w:val="107"/>
              </w:rPr>
              <w:lastRenderedPageBreak/>
              <w:t>Gastrointestinal disorders</w:t>
            </w:r>
          </w:p>
        </w:tc>
      </w:tr>
      <w:tr w:rsidR="00854EAD" w:rsidRPr="00F30805" w14:paraId="40AE1F6C" w14:textId="77777777" w:rsidTr="00854EAD">
        <w:trPr>
          <w:trHeight w:val="20"/>
        </w:trPr>
        <w:tc>
          <w:tcPr>
            <w:tcW w:w="2515" w:type="dxa"/>
          </w:tcPr>
          <w:p w14:paraId="04E0AB7C"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Constipation</w:t>
            </w:r>
          </w:p>
        </w:tc>
        <w:tc>
          <w:tcPr>
            <w:tcW w:w="1373" w:type="dxa"/>
          </w:tcPr>
          <w:p w14:paraId="3A1F6F3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11 (1.1)</w:t>
            </w:r>
          </w:p>
        </w:tc>
        <w:tc>
          <w:tcPr>
            <w:tcW w:w="1620" w:type="dxa"/>
            <w:gridSpan w:val="2"/>
          </w:tcPr>
          <w:p w14:paraId="62FB640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(0.5)</w:t>
            </w:r>
          </w:p>
        </w:tc>
        <w:tc>
          <w:tcPr>
            <w:tcW w:w="1417" w:type="dxa"/>
          </w:tcPr>
          <w:p w14:paraId="61395DD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(0.6)</w:t>
            </w:r>
          </w:p>
        </w:tc>
        <w:tc>
          <w:tcPr>
            <w:tcW w:w="1440" w:type="dxa"/>
          </w:tcPr>
          <w:p w14:paraId="70D1361A"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(0.9)</w:t>
            </w:r>
          </w:p>
        </w:tc>
        <w:tc>
          <w:tcPr>
            <w:tcW w:w="1373" w:type="dxa"/>
          </w:tcPr>
          <w:p w14:paraId="2515641B"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(0.4)</w:t>
            </w:r>
          </w:p>
        </w:tc>
      </w:tr>
      <w:tr w:rsidR="00854EAD" w:rsidRPr="00F30805" w14:paraId="3E5EBD74" w14:textId="77777777" w:rsidTr="00854EAD">
        <w:trPr>
          <w:trHeight w:val="20"/>
        </w:trPr>
        <w:tc>
          <w:tcPr>
            <w:tcW w:w="2515" w:type="dxa"/>
          </w:tcPr>
          <w:p w14:paraId="72F8543D"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Diarrhoea</w:t>
            </w:r>
          </w:p>
        </w:tc>
        <w:tc>
          <w:tcPr>
            <w:tcW w:w="1373" w:type="dxa"/>
          </w:tcPr>
          <w:p w14:paraId="3BC4987A"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30 (2.9)</w:t>
            </w:r>
          </w:p>
        </w:tc>
        <w:tc>
          <w:tcPr>
            <w:tcW w:w="1620" w:type="dxa"/>
            <w:gridSpan w:val="2"/>
          </w:tcPr>
          <w:p w14:paraId="001A64F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26 (2.5)</w:t>
            </w:r>
          </w:p>
        </w:tc>
        <w:tc>
          <w:tcPr>
            <w:tcW w:w="1417" w:type="dxa"/>
          </w:tcPr>
          <w:p w14:paraId="0F9F95F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10 (3.1)</w:t>
            </w:r>
          </w:p>
        </w:tc>
        <w:tc>
          <w:tcPr>
            <w:tcW w:w="1440" w:type="dxa"/>
          </w:tcPr>
          <w:p w14:paraId="78482C5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8 (1.5)</w:t>
            </w:r>
          </w:p>
        </w:tc>
        <w:tc>
          <w:tcPr>
            <w:tcW w:w="1373" w:type="dxa"/>
          </w:tcPr>
          <w:p w14:paraId="03D931F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9 (1.7)</w:t>
            </w:r>
          </w:p>
        </w:tc>
      </w:tr>
      <w:tr w:rsidR="00854EAD" w:rsidRPr="00F30805" w14:paraId="3CC57201" w14:textId="77777777" w:rsidTr="00854EAD">
        <w:trPr>
          <w:trHeight w:val="20"/>
        </w:trPr>
        <w:tc>
          <w:tcPr>
            <w:tcW w:w="2515" w:type="dxa"/>
          </w:tcPr>
          <w:p w14:paraId="5396D41F"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Nausea</w:t>
            </w:r>
          </w:p>
        </w:tc>
        <w:tc>
          <w:tcPr>
            <w:tcW w:w="1373" w:type="dxa"/>
          </w:tcPr>
          <w:p w14:paraId="5C547FF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36 (3.5)</w:t>
            </w:r>
          </w:p>
        </w:tc>
        <w:tc>
          <w:tcPr>
            <w:tcW w:w="1620" w:type="dxa"/>
            <w:gridSpan w:val="2"/>
          </w:tcPr>
          <w:p w14:paraId="30BD938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23 (2.2)</w:t>
            </w:r>
          </w:p>
        </w:tc>
        <w:tc>
          <w:tcPr>
            <w:tcW w:w="1417" w:type="dxa"/>
          </w:tcPr>
          <w:p w14:paraId="73D24EE1" w14:textId="7AD1A4E3" w:rsidR="00466BDD" w:rsidRPr="00F30805" w:rsidRDefault="00D40886"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8 (2.4)</w:t>
            </w:r>
          </w:p>
        </w:tc>
        <w:tc>
          <w:tcPr>
            <w:tcW w:w="1440" w:type="dxa"/>
          </w:tcPr>
          <w:p w14:paraId="6628F29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17 (3.2)</w:t>
            </w:r>
          </w:p>
        </w:tc>
        <w:tc>
          <w:tcPr>
            <w:tcW w:w="1373" w:type="dxa"/>
          </w:tcPr>
          <w:p w14:paraId="4BEF776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13 (2.5)</w:t>
            </w:r>
          </w:p>
        </w:tc>
      </w:tr>
      <w:tr w:rsidR="00854EAD" w:rsidRPr="00F30805" w14:paraId="0729B1D5" w14:textId="77777777" w:rsidTr="00854EAD">
        <w:trPr>
          <w:trHeight w:val="20"/>
        </w:trPr>
        <w:tc>
          <w:tcPr>
            <w:tcW w:w="2515" w:type="dxa"/>
          </w:tcPr>
          <w:p w14:paraId="7DB36F4B"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Vomiting</w:t>
            </w:r>
          </w:p>
        </w:tc>
        <w:tc>
          <w:tcPr>
            <w:tcW w:w="1373" w:type="dxa"/>
          </w:tcPr>
          <w:p w14:paraId="67C195C4"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11 (1.1)</w:t>
            </w:r>
          </w:p>
        </w:tc>
        <w:tc>
          <w:tcPr>
            <w:tcW w:w="1620" w:type="dxa"/>
            <w:gridSpan w:val="2"/>
          </w:tcPr>
          <w:p w14:paraId="089B7445"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7 (0.7)</w:t>
            </w:r>
          </w:p>
        </w:tc>
        <w:tc>
          <w:tcPr>
            <w:tcW w:w="1417" w:type="dxa"/>
          </w:tcPr>
          <w:p w14:paraId="4EC83C6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(1.2)</w:t>
            </w:r>
          </w:p>
        </w:tc>
        <w:tc>
          <w:tcPr>
            <w:tcW w:w="1440" w:type="dxa"/>
          </w:tcPr>
          <w:p w14:paraId="72C2243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 (0.6)</w:t>
            </w:r>
          </w:p>
        </w:tc>
        <w:tc>
          <w:tcPr>
            <w:tcW w:w="1373" w:type="dxa"/>
          </w:tcPr>
          <w:p w14:paraId="1CF53CC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(0.4)</w:t>
            </w:r>
          </w:p>
        </w:tc>
      </w:tr>
      <w:tr w:rsidR="00466BDD" w:rsidRPr="00F30805" w14:paraId="0E3D7962" w14:textId="77777777" w:rsidTr="00B47DE1">
        <w:trPr>
          <w:trHeight w:val="20"/>
        </w:trPr>
        <w:tc>
          <w:tcPr>
            <w:tcW w:w="9738" w:type="dxa"/>
            <w:gridSpan w:val="7"/>
          </w:tcPr>
          <w:p w14:paraId="6597DE71" w14:textId="77777777" w:rsidR="00466BDD" w:rsidRPr="00F30805" w:rsidRDefault="00466BDD" w:rsidP="001B15E4">
            <w:pPr>
              <w:tabs>
                <w:tab w:val="left" w:pos="520"/>
                <w:tab w:val="left" w:pos="1060"/>
              </w:tabs>
              <w:spacing w:before="120" w:line="240" w:lineRule="auto"/>
              <w:jc w:val="left"/>
              <w:rPr>
                <w:rFonts w:ascii="Arial" w:hAnsi="Arial" w:cs="Arial"/>
                <w:b/>
                <w:w w:val="107"/>
              </w:rPr>
            </w:pPr>
            <w:r w:rsidRPr="00F30805">
              <w:rPr>
                <w:rFonts w:ascii="Arial" w:hAnsi="Arial" w:cs="Arial"/>
                <w:b/>
                <w:w w:val="107"/>
              </w:rPr>
              <w:t>Musculoskeletal and connective tissue disorders</w:t>
            </w:r>
          </w:p>
        </w:tc>
      </w:tr>
      <w:tr w:rsidR="00854EAD" w:rsidRPr="00F30805" w14:paraId="6B0B9D3B" w14:textId="77777777" w:rsidTr="00854EAD">
        <w:trPr>
          <w:trHeight w:val="20"/>
        </w:trPr>
        <w:tc>
          <w:tcPr>
            <w:tcW w:w="2515" w:type="dxa"/>
          </w:tcPr>
          <w:p w14:paraId="67666064"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Back pain</w:t>
            </w:r>
          </w:p>
        </w:tc>
        <w:tc>
          <w:tcPr>
            <w:tcW w:w="1373" w:type="dxa"/>
          </w:tcPr>
          <w:p w14:paraId="5D8CDA95"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21 (2.0)</w:t>
            </w:r>
          </w:p>
        </w:tc>
        <w:tc>
          <w:tcPr>
            <w:tcW w:w="1620" w:type="dxa"/>
            <w:gridSpan w:val="2"/>
          </w:tcPr>
          <w:p w14:paraId="7FAA6270"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14 (1.3)</w:t>
            </w:r>
          </w:p>
        </w:tc>
        <w:tc>
          <w:tcPr>
            <w:tcW w:w="1417" w:type="dxa"/>
          </w:tcPr>
          <w:p w14:paraId="468F5A7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(1.2)</w:t>
            </w:r>
          </w:p>
        </w:tc>
        <w:tc>
          <w:tcPr>
            <w:tcW w:w="1440" w:type="dxa"/>
          </w:tcPr>
          <w:p w14:paraId="048FA510"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(0.7)</w:t>
            </w:r>
          </w:p>
        </w:tc>
        <w:tc>
          <w:tcPr>
            <w:tcW w:w="1373" w:type="dxa"/>
          </w:tcPr>
          <w:p w14:paraId="15BC120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 (0.2)</w:t>
            </w:r>
          </w:p>
        </w:tc>
      </w:tr>
      <w:tr w:rsidR="00854EAD" w:rsidRPr="00F30805" w14:paraId="19162224" w14:textId="77777777" w:rsidTr="00854EAD">
        <w:trPr>
          <w:trHeight w:val="20"/>
        </w:trPr>
        <w:tc>
          <w:tcPr>
            <w:tcW w:w="2515" w:type="dxa"/>
          </w:tcPr>
          <w:p w14:paraId="379BDDB7"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Rheumatoid arthritis (worsening)</w:t>
            </w:r>
          </w:p>
        </w:tc>
        <w:tc>
          <w:tcPr>
            <w:tcW w:w="1373" w:type="dxa"/>
          </w:tcPr>
          <w:p w14:paraId="719583E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11 (1.1)</w:t>
            </w:r>
          </w:p>
        </w:tc>
        <w:tc>
          <w:tcPr>
            <w:tcW w:w="1620" w:type="dxa"/>
            <w:gridSpan w:val="2"/>
          </w:tcPr>
          <w:p w14:paraId="0FF3221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36 (3.5)</w:t>
            </w:r>
          </w:p>
        </w:tc>
        <w:tc>
          <w:tcPr>
            <w:tcW w:w="1417" w:type="dxa"/>
          </w:tcPr>
          <w:p w14:paraId="7D70BED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(1.5)</w:t>
            </w:r>
          </w:p>
        </w:tc>
        <w:tc>
          <w:tcPr>
            <w:tcW w:w="1440" w:type="dxa"/>
          </w:tcPr>
          <w:p w14:paraId="6957796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(0.7)</w:t>
            </w:r>
          </w:p>
        </w:tc>
        <w:tc>
          <w:tcPr>
            <w:tcW w:w="1373" w:type="dxa"/>
          </w:tcPr>
          <w:p w14:paraId="5BD86E8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18 (3.4)</w:t>
            </w:r>
          </w:p>
        </w:tc>
      </w:tr>
      <w:tr w:rsidR="00466BDD" w:rsidRPr="00F30805" w14:paraId="0C2090D3" w14:textId="77777777" w:rsidTr="00B47DE1">
        <w:trPr>
          <w:trHeight w:val="20"/>
        </w:trPr>
        <w:tc>
          <w:tcPr>
            <w:tcW w:w="9738" w:type="dxa"/>
            <w:gridSpan w:val="7"/>
          </w:tcPr>
          <w:p w14:paraId="01288FC8"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b/>
                <w:w w:val="107"/>
              </w:rPr>
              <w:t>General disorders and administration site conditions</w:t>
            </w:r>
          </w:p>
        </w:tc>
      </w:tr>
      <w:tr w:rsidR="00854EAD" w:rsidRPr="00F30805" w14:paraId="58AB1E93" w14:textId="77777777" w:rsidTr="00854EAD">
        <w:trPr>
          <w:trHeight w:val="20"/>
        </w:trPr>
        <w:tc>
          <w:tcPr>
            <w:tcW w:w="2515" w:type="dxa"/>
          </w:tcPr>
          <w:p w14:paraId="5860A5BA"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Pyrexia</w:t>
            </w:r>
          </w:p>
        </w:tc>
        <w:tc>
          <w:tcPr>
            <w:tcW w:w="1373" w:type="dxa"/>
          </w:tcPr>
          <w:p w14:paraId="0EC2A2F5"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12 (1.2)</w:t>
            </w:r>
          </w:p>
        </w:tc>
        <w:tc>
          <w:tcPr>
            <w:tcW w:w="1620" w:type="dxa"/>
            <w:gridSpan w:val="2"/>
          </w:tcPr>
          <w:p w14:paraId="5BF24CB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0</w:t>
            </w:r>
          </w:p>
        </w:tc>
        <w:tc>
          <w:tcPr>
            <w:tcW w:w="1417" w:type="dxa"/>
          </w:tcPr>
          <w:p w14:paraId="79762620"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 (0.3)</w:t>
            </w:r>
          </w:p>
        </w:tc>
        <w:tc>
          <w:tcPr>
            <w:tcW w:w="1440" w:type="dxa"/>
          </w:tcPr>
          <w:p w14:paraId="44A1A06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 (0.6)</w:t>
            </w:r>
          </w:p>
        </w:tc>
        <w:tc>
          <w:tcPr>
            <w:tcW w:w="1373" w:type="dxa"/>
          </w:tcPr>
          <w:p w14:paraId="07942063"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(0.9)</w:t>
            </w:r>
          </w:p>
        </w:tc>
      </w:tr>
      <w:tr w:rsidR="00466BDD" w:rsidRPr="00F30805" w14:paraId="7C3D8972" w14:textId="77777777" w:rsidTr="00B47DE1">
        <w:trPr>
          <w:trHeight w:val="20"/>
        </w:trPr>
        <w:tc>
          <w:tcPr>
            <w:tcW w:w="9738" w:type="dxa"/>
            <w:gridSpan w:val="7"/>
          </w:tcPr>
          <w:p w14:paraId="37C0D87A" w14:textId="77777777" w:rsidR="00466BDD" w:rsidRPr="00F30805" w:rsidRDefault="00466BDD" w:rsidP="001B15E4">
            <w:pPr>
              <w:tabs>
                <w:tab w:val="left" w:pos="520"/>
                <w:tab w:val="left" w:pos="1060"/>
              </w:tabs>
              <w:spacing w:before="120" w:line="240" w:lineRule="auto"/>
              <w:jc w:val="left"/>
              <w:rPr>
                <w:rFonts w:ascii="Arial" w:hAnsi="Arial" w:cs="Arial"/>
                <w:b/>
                <w:w w:val="107"/>
              </w:rPr>
            </w:pPr>
            <w:r w:rsidRPr="00F30805">
              <w:rPr>
                <w:rFonts w:ascii="Arial" w:hAnsi="Arial" w:cs="Arial"/>
                <w:b/>
                <w:w w:val="107"/>
              </w:rPr>
              <w:t>Injury, poisoning and procedural complications</w:t>
            </w:r>
          </w:p>
        </w:tc>
      </w:tr>
      <w:tr w:rsidR="00854EAD" w:rsidRPr="00F30805" w14:paraId="1AF701FF" w14:textId="77777777" w:rsidTr="00854EAD">
        <w:trPr>
          <w:trHeight w:val="20"/>
        </w:trPr>
        <w:tc>
          <w:tcPr>
            <w:tcW w:w="2515" w:type="dxa"/>
          </w:tcPr>
          <w:p w14:paraId="5FCEE568"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Fall</w:t>
            </w:r>
          </w:p>
        </w:tc>
        <w:tc>
          <w:tcPr>
            <w:tcW w:w="1373" w:type="dxa"/>
          </w:tcPr>
          <w:p w14:paraId="1F439E86"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10 (1.0)</w:t>
            </w:r>
          </w:p>
        </w:tc>
        <w:tc>
          <w:tcPr>
            <w:tcW w:w="1620" w:type="dxa"/>
            <w:gridSpan w:val="2"/>
          </w:tcPr>
          <w:p w14:paraId="0025490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(0.5)</w:t>
            </w:r>
          </w:p>
        </w:tc>
        <w:tc>
          <w:tcPr>
            <w:tcW w:w="1417" w:type="dxa"/>
          </w:tcPr>
          <w:p w14:paraId="317077C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(0.6)</w:t>
            </w:r>
          </w:p>
        </w:tc>
        <w:tc>
          <w:tcPr>
            <w:tcW w:w="1440" w:type="dxa"/>
          </w:tcPr>
          <w:p w14:paraId="42AFD10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(0.7)</w:t>
            </w:r>
          </w:p>
        </w:tc>
        <w:tc>
          <w:tcPr>
            <w:tcW w:w="1373" w:type="dxa"/>
          </w:tcPr>
          <w:p w14:paraId="6DF2E98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(0.8)</w:t>
            </w:r>
          </w:p>
        </w:tc>
      </w:tr>
      <w:tr w:rsidR="00466BDD" w:rsidRPr="00F30805" w14:paraId="5312A888" w14:textId="77777777" w:rsidTr="00B47DE1">
        <w:trPr>
          <w:trHeight w:val="20"/>
        </w:trPr>
        <w:tc>
          <w:tcPr>
            <w:tcW w:w="9738" w:type="dxa"/>
            <w:gridSpan w:val="7"/>
          </w:tcPr>
          <w:p w14:paraId="11144E75" w14:textId="77777777" w:rsidR="00466BDD" w:rsidRPr="00F30805" w:rsidRDefault="00466BDD" w:rsidP="001B15E4">
            <w:pPr>
              <w:tabs>
                <w:tab w:val="left" w:pos="520"/>
                <w:tab w:val="left" w:pos="1060"/>
              </w:tabs>
              <w:spacing w:before="120" w:line="240" w:lineRule="auto"/>
              <w:jc w:val="left"/>
              <w:rPr>
                <w:rFonts w:ascii="Arial" w:hAnsi="Arial" w:cs="Arial"/>
                <w:b/>
                <w:w w:val="107"/>
              </w:rPr>
            </w:pPr>
            <w:r w:rsidRPr="00F30805">
              <w:rPr>
                <w:rFonts w:ascii="Arial" w:hAnsi="Arial" w:cs="Arial"/>
                <w:b/>
                <w:w w:val="107"/>
              </w:rPr>
              <w:t>Investigations</w:t>
            </w:r>
          </w:p>
        </w:tc>
      </w:tr>
      <w:tr w:rsidR="00854EAD" w:rsidRPr="00F30805" w14:paraId="5773CDCB" w14:textId="77777777" w:rsidTr="00854EAD">
        <w:trPr>
          <w:trHeight w:val="20"/>
        </w:trPr>
        <w:tc>
          <w:tcPr>
            <w:tcW w:w="2515" w:type="dxa"/>
          </w:tcPr>
          <w:p w14:paraId="0DD854EF"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Alanine aminotransferase increased</w:t>
            </w:r>
          </w:p>
        </w:tc>
        <w:tc>
          <w:tcPr>
            <w:tcW w:w="1373" w:type="dxa"/>
          </w:tcPr>
          <w:p w14:paraId="3F3EFB0A"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28 (2.7)</w:t>
            </w:r>
          </w:p>
        </w:tc>
        <w:tc>
          <w:tcPr>
            <w:tcW w:w="1620" w:type="dxa"/>
            <w:gridSpan w:val="2"/>
          </w:tcPr>
          <w:p w14:paraId="6E317A8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27 (2.6)</w:t>
            </w:r>
          </w:p>
        </w:tc>
        <w:tc>
          <w:tcPr>
            <w:tcW w:w="1417" w:type="dxa"/>
          </w:tcPr>
          <w:p w14:paraId="7B36B3A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5 (1.5)</w:t>
            </w:r>
          </w:p>
        </w:tc>
        <w:tc>
          <w:tcPr>
            <w:tcW w:w="1440" w:type="dxa"/>
          </w:tcPr>
          <w:p w14:paraId="7C981936"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14 (2.6)</w:t>
            </w:r>
          </w:p>
        </w:tc>
        <w:tc>
          <w:tcPr>
            <w:tcW w:w="1373" w:type="dxa"/>
          </w:tcPr>
          <w:p w14:paraId="720C2852"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7 (1.3)</w:t>
            </w:r>
          </w:p>
        </w:tc>
      </w:tr>
      <w:tr w:rsidR="00854EAD" w:rsidRPr="00F30805" w14:paraId="00E4B5B5" w14:textId="77777777" w:rsidTr="00854EAD">
        <w:trPr>
          <w:trHeight w:val="20"/>
        </w:trPr>
        <w:tc>
          <w:tcPr>
            <w:tcW w:w="2515" w:type="dxa"/>
          </w:tcPr>
          <w:p w14:paraId="10AAD644"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Aspartate aminotransferase increased</w:t>
            </w:r>
          </w:p>
        </w:tc>
        <w:tc>
          <w:tcPr>
            <w:tcW w:w="1373" w:type="dxa"/>
          </w:tcPr>
          <w:p w14:paraId="04EAA94D"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21 (2.0)</w:t>
            </w:r>
          </w:p>
        </w:tc>
        <w:tc>
          <w:tcPr>
            <w:tcW w:w="1620" w:type="dxa"/>
            <w:gridSpan w:val="2"/>
          </w:tcPr>
          <w:p w14:paraId="396DA419"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21 (2.0)</w:t>
            </w:r>
          </w:p>
        </w:tc>
        <w:tc>
          <w:tcPr>
            <w:tcW w:w="1417" w:type="dxa"/>
          </w:tcPr>
          <w:p w14:paraId="3E3D249B"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6 (1.8)</w:t>
            </w:r>
          </w:p>
        </w:tc>
        <w:tc>
          <w:tcPr>
            <w:tcW w:w="1440" w:type="dxa"/>
          </w:tcPr>
          <w:p w14:paraId="4AB219C3"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10 (1.9)</w:t>
            </w:r>
          </w:p>
        </w:tc>
        <w:tc>
          <w:tcPr>
            <w:tcW w:w="1373" w:type="dxa"/>
          </w:tcPr>
          <w:p w14:paraId="2D93244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6 (1.1)</w:t>
            </w:r>
          </w:p>
        </w:tc>
      </w:tr>
      <w:tr w:rsidR="00854EAD" w:rsidRPr="00F30805" w14:paraId="3DEE9580" w14:textId="77777777" w:rsidTr="00854EAD">
        <w:trPr>
          <w:trHeight w:val="20"/>
        </w:trPr>
        <w:tc>
          <w:tcPr>
            <w:tcW w:w="2515" w:type="dxa"/>
          </w:tcPr>
          <w:p w14:paraId="611B8D69"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Blood creatine phosphokinase increased</w:t>
            </w:r>
          </w:p>
        </w:tc>
        <w:tc>
          <w:tcPr>
            <w:tcW w:w="1373" w:type="dxa"/>
          </w:tcPr>
          <w:p w14:paraId="790CD8D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26 (2.5)</w:t>
            </w:r>
          </w:p>
        </w:tc>
        <w:tc>
          <w:tcPr>
            <w:tcW w:w="1620" w:type="dxa"/>
            <w:gridSpan w:val="2"/>
          </w:tcPr>
          <w:p w14:paraId="7CE8E59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9 (0.9)</w:t>
            </w:r>
          </w:p>
        </w:tc>
        <w:tc>
          <w:tcPr>
            <w:tcW w:w="1417" w:type="dxa"/>
          </w:tcPr>
          <w:p w14:paraId="0DBD8298"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 (0.3)</w:t>
            </w:r>
          </w:p>
        </w:tc>
        <w:tc>
          <w:tcPr>
            <w:tcW w:w="1440" w:type="dxa"/>
          </w:tcPr>
          <w:p w14:paraId="3A47AA81"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11 (2.1)</w:t>
            </w:r>
          </w:p>
        </w:tc>
        <w:tc>
          <w:tcPr>
            <w:tcW w:w="1373" w:type="dxa"/>
          </w:tcPr>
          <w:p w14:paraId="6A64F3EC"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 (0.2)</w:t>
            </w:r>
          </w:p>
        </w:tc>
      </w:tr>
      <w:tr w:rsidR="00854EAD" w:rsidRPr="00F30805" w14:paraId="14CC9EF0" w14:textId="77777777" w:rsidTr="00854EAD">
        <w:trPr>
          <w:trHeight w:val="20"/>
        </w:trPr>
        <w:tc>
          <w:tcPr>
            <w:tcW w:w="2515" w:type="dxa"/>
          </w:tcPr>
          <w:p w14:paraId="04EA3781" w14:textId="77777777" w:rsidR="00466BDD" w:rsidRPr="00F30805" w:rsidRDefault="00466BDD" w:rsidP="001B15E4">
            <w:pPr>
              <w:tabs>
                <w:tab w:val="left" w:pos="520"/>
                <w:tab w:val="left" w:pos="1060"/>
              </w:tabs>
              <w:spacing w:before="120" w:line="240" w:lineRule="auto"/>
              <w:jc w:val="left"/>
              <w:rPr>
                <w:rFonts w:ascii="Arial" w:hAnsi="Arial" w:cs="Arial"/>
                <w:w w:val="107"/>
              </w:rPr>
            </w:pPr>
            <w:r w:rsidRPr="00F30805">
              <w:rPr>
                <w:rFonts w:ascii="Arial" w:hAnsi="Arial" w:cs="Arial"/>
                <w:w w:val="107"/>
              </w:rPr>
              <w:t>Weight increased</w:t>
            </w:r>
          </w:p>
        </w:tc>
        <w:tc>
          <w:tcPr>
            <w:tcW w:w="1373" w:type="dxa"/>
          </w:tcPr>
          <w:p w14:paraId="286007D6"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10 (1.0)</w:t>
            </w:r>
          </w:p>
        </w:tc>
        <w:tc>
          <w:tcPr>
            <w:tcW w:w="1620" w:type="dxa"/>
            <w:gridSpan w:val="2"/>
          </w:tcPr>
          <w:p w14:paraId="07196A86"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3 (0.3)</w:t>
            </w:r>
          </w:p>
        </w:tc>
        <w:tc>
          <w:tcPr>
            <w:tcW w:w="1417" w:type="dxa"/>
          </w:tcPr>
          <w:p w14:paraId="7518389F"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1 (0.3)</w:t>
            </w:r>
          </w:p>
        </w:tc>
        <w:tc>
          <w:tcPr>
            <w:tcW w:w="1440" w:type="dxa"/>
          </w:tcPr>
          <w:p w14:paraId="3D411077"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2 (0.4)</w:t>
            </w:r>
          </w:p>
        </w:tc>
        <w:tc>
          <w:tcPr>
            <w:tcW w:w="1373" w:type="dxa"/>
          </w:tcPr>
          <w:p w14:paraId="042183DE" w14:textId="77777777" w:rsidR="00466BDD" w:rsidRPr="00F30805" w:rsidRDefault="00466BDD" w:rsidP="001B15E4">
            <w:pPr>
              <w:tabs>
                <w:tab w:val="left" w:pos="520"/>
                <w:tab w:val="left" w:pos="1060"/>
              </w:tabs>
              <w:spacing w:before="120" w:line="240" w:lineRule="auto"/>
              <w:jc w:val="center"/>
              <w:rPr>
                <w:rFonts w:ascii="Arial" w:hAnsi="Arial" w:cs="Arial"/>
                <w:w w:val="107"/>
              </w:rPr>
            </w:pPr>
            <w:r w:rsidRPr="00F30805">
              <w:rPr>
                <w:rFonts w:ascii="Arial" w:hAnsi="Arial" w:cs="Arial"/>
                <w:w w:val="107"/>
              </w:rPr>
              <w:t>4 (0.8)</w:t>
            </w:r>
          </w:p>
        </w:tc>
      </w:tr>
    </w:tbl>
    <w:p w14:paraId="4213A70F" w14:textId="77777777" w:rsidR="00466BDD" w:rsidRPr="00F30805" w:rsidRDefault="00466BDD" w:rsidP="004E7271">
      <w:pPr>
        <w:tabs>
          <w:tab w:val="left" w:pos="520"/>
          <w:tab w:val="left" w:pos="1060"/>
        </w:tabs>
        <w:spacing w:before="120"/>
        <w:rPr>
          <w:rFonts w:ascii="Arial" w:hAnsi="Arial" w:cs="Arial"/>
          <w:b/>
          <w:w w:val="107"/>
        </w:rPr>
      </w:pPr>
    </w:p>
    <w:p w14:paraId="5BA2EFE5" w14:textId="69DDF019" w:rsidR="004E7271" w:rsidRPr="00F30805" w:rsidRDefault="009572BA" w:rsidP="004E7271">
      <w:pPr>
        <w:tabs>
          <w:tab w:val="left" w:pos="520"/>
          <w:tab w:val="left" w:pos="1060"/>
        </w:tabs>
        <w:spacing w:before="120"/>
        <w:rPr>
          <w:rFonts w:ascii="Arial" w:hAnsi="Arial" w:cs="Arial"/>
          <w:w w:val="107"/>
        </w:rPr>
      </w:pPr>
      <w:r w:rsidRPr="00F30805">
        <w:rPr>
          <w:rStyle w:val="Heading3Char"/>
          <w:rFonts w:eastAsia="Calibri"/>
        </w:rPr>
        <w:t>Adverse Drug Reactions</w:t>
      </w:r>
      <w:r w:rsidR="004E7271" w:rsidRPr="00F30805">
        <w:rPr>
          <w:rFonts w:ascii="Arial" w:hAnsi="Arial" w:cs="Arial"/>
          <w:w w:val="107"/>
        </w:rPr>
        <w:t xml:space="preserve"> </w:t>
      </w:r>
    </w:p>
    <w:p w14:paraId="2D32BCF4" w14:textId="5C1C5F01" w:rsidR="009572BA" w:rsidRPr="00F30805" w:rsidRDefault="004E7271" w:rsidP="00575345">
      <w:pPr>
        <w:spacing w:before="120"/>
        <w:rPr>
          <w:rFonts w:ascii="Arial" w:hAnsi="Arial" w:cs="Arial"/>
          <w:w w:val="107"/>
        </w:rPr>
      </w:pPr>
      <w:r w:rsidRPr="00F30805">
        <w:rPr>
          <w:rFonts w:ascii="Arial" w:hAnsi="Arial" w:cs="Arial"/>
          <w:w w:val="107"/>
        </w:rPr>
        <w:lastRenderedPageBreak/>
        <w:t xml:space="preserve">The frequency of adverse reactions listed below is defined using the following convention: very common (≥ 1/10); common (≥ 1/100 to &lt; 1/10); uncommon (≥ 1/1,000 to &lt; 1/100). Within each frequency grouping, undesirable effects are presented in order of decreasing seriousness. </w:t>
      </w:r>
    </w:p>
    <w:p w14:paraId="450F7A90" w14:textId="45F6F8EC" w:rsidR="005E6E57" w:rsidRPr="00F30805" w:rsidRDefault="005E6E57" w:rsidP="00322289">
      <w:pPr>
        <w:tabs>
          <w:tab w:val="center" w:pos="4513"/>
        </w:tabs>
        <w:rPr>
          <w:rFonts w:ascii="Arial" w:hAnsi="Arial" w:cs="Arial"/>
          <w:b/>
          <w:i/>
          <w:lang w:val="en-US"/>
        </w:rPr>
      </w:pPr>
      <w:r w:rsidRPr="00F30805">
        <w:rPr>
          <w:rFonts w:ascii="Arial" w:hAnsi="Arial" w:cs="Arial"/>
          <w:b/>
          <w:i/>
          <w:lang w:val="en-US"/>
        </w:rPr>
        <w:t>Infections and infestations</w:t>
      </w:r>
      <w:r w:rsidR="00322289" w:rsidRPr="00F30805">
        <w:rPr>
          <w:rFonts w:ascii="Arial" w:hAnsi="Arial" w:cs="Arial"/>
          <w:b/>
          <w:i/>
          <w:lang w:val="en-US"/>
        </w:rPr>
        <w:tab/>
      </w:r>
    </w:p>
    <w:p w14:paraId="7DDDCF22" w14:textId="1E63DD7D" w:rsidR="005E6E57" w:rsidRPr="00F30805" w:rsidRDefault="005E6E57" w:rsidP="008C0264">
      <w:pPr>
        <w:spacing w:after="0"/>
        <w:rPr>
          <w:rFonts w:ascii="Arial" w:hAnsi="Arial" w:cs="Arial"/>
          <w:lang w:val="en-US"/>
        </w:rPr>
      </w:pPr>
      <w:r w:rsidRPr="00F30805">
        <w:rPr>
          <w:rFonts w:ascii="Arial" w:hAnsi="Arial" w:cs="Arial"/>
          <w:i/>
          <w:lang w:val="en-US"/>
        </w:rPr>
        <w:t>Very Common:</w:t>
      </w:r>
      <w:r w:rsidRPr="00F30805">
        <w:rPr>
          <w:rFonts w:ascii="Arial" w:hAnsi="Arial" w:cs="Arial"/>
          <w:lang w:val="en-US"/>
        </w:rPr>
        <w:t xml:space="preserve"> Upper respiratory tract infections (URTI)* </w:t>
      </w:r>
    </w:p>
    <w:p w14:paraId="41604FFA" w14:textId="77777777" w:rsidR="005E6E57" w:rsidRPr="00F30805" w:rsidRDefault="005E6E57" w:rsidP="008C0264">
      <w:pPr>
        <w:autoSpaceDE w:val="0"/>
        <w:autoSpaceDN w:val="0"/>
        <w:adjustRightInd w:val="0"/>
        <w:spacing w:after="0"/>
        <w:rPr>
          <w:rFonts w:ascii="Arial" w:hAnsi="Arial" w:cs="Arial"/>
          <w:lang w:val="en-US"/>
        </w:rPr>
      </w:pPr>
      <w:r w:rsidRPr="00F30805">
        <w:rPr>
          <w:rFonts w:ascii="Arial" w:hAnsi="Arial" w:cs="Arial"/>
          <w:i/>
          <w:lang w:val="en-US"/>
        </w:rPr>
        <w:t>Uncommon:</w:t>
      </w:r>
      <w:r w:rsidRPr="00F30805">
        <w:rPr>
          <w:rFonts w:ascii="Arial" w:hAnsi="Arial" w:cs="Arial"/>
          <w:lang w:val="en-US"/>
        </w:rPr>
        <w:t xml:space="preserve"> Pneumonia, Herpes zoster, Herpes simplex**, Oral candidiasis</w:t>
      </w:r>
    </w:p>
    <w:p w14:paraId="1238E55F" w14:textId="77777777" w:rsidR="008C0264" w:rsidRPr="00F30805" w:rsidRDefault="008C0264" w:rsidP="008C0264">
      <w:pPr>
        <w:autoSpaceDE w:val="0"/>
        <w:autoSpaceDN w:val="0"/>
        <w:adjustRightInd w:val="0"/>
        <w:spacing w:after="0"/>
        <w:rPr>
          <w:rFonts w:ascii="Arial" w:hAnsi="Arial" w:cs="Arial"/>
          <w:lang w:val="en-US"/>
        </w:rPr>
      </w:pPr>
    </w:p>
    <w:p w14:paraId="26E8F0A1" w14:textId="77777777" w:rsidR="005E6E57" w:rsidRPr="00F30805" w:rsidRDefault="005E6E57" w:rsidP="005E6E57">
      <w:pPr>
        <w:rPr>
          <w:rFonts w:ascii="Arial" w:hAnsi="Arial" w:cs="Arial"/>
          <w:b/>
          <w:i/>
          <w:lang w:val="en-US"/>
        </w:rPr>
      </w:pPr>
      <w:r w:rsidRPr="00F30805">
        <w:rPr>
          <w:rFonts w:ascii="Arial" w:hAnsi="Arial" w:cs="Arial"/>
          <w:b/>
          <w:i/>
          <w:lang w:val="en-US"/>
        </w:rPr>
        <w:t>Blood and lymphatic system disorders</w:t>
      </w:r>
    </w:p>
    <w:p w14:paraId="51641CEA" w14:textId="77777777" w:rsidR="005E6E57" w:rsidRPr="00F30805" w:rsidRDefault="005E6E57" w:rsidP="005E6E57">
      <w:pPr>
        <w:rPr>
          <w:rFonts w:ascii="Arial" w:hAnsi="Arial" w:cs="Arial"/>
          <w:lang w:val="en-US"/>
        </w:rPr>
      </w:pPr>
      <w:r w:rsidRPr="00F30805">
        <w:rPr>
          <w:rFonts w:ascii="Arial" w:hAnsi="Arial" w:cs="Arial"/>
          <w:i/>
          <w:lang w:val="en-US"/>
        </w:rPr>
        <w:t>Common:</w:t>
      </w:r>
      <w:r w:rsidRPr="00F30805">
        <w:rPr>
          <w:rFonts w:ascii="Arial" w:hAnsi="Arial" w:cs="Arial"/>
          <w:lang w:val="en-US"/>
        </w:rPr>
        <w:t xml:space="preserve"> Neutropenia</w:t>
      </w:r>
    </w:p>
    <w:p w14:paraId="08B62157" w14:textId="77777777" w:rsidR="005E6E57" w:rsidRPr="00F30805" w:rsidRDefault="005E6E57" w:rsidP="005E6E57">
      <w:pPr>
        <w:rPr>
          <w:rFonts w:ascii="Arial" w:hAnsi="Arial" w:cs="Arial"/>
          <w:b/>
          <w:i/>
          <w:lang w:val="en-US"/>
        </w:rPr>
      </w:pPr>
      <w:r w:rsidRPr="00F30805">
        <w:rPr>
          <w:rFonts w:ascii="Arial" w:hAnsi="Arial" w:cs="Arial"/>
          <w:b/>
          <w:i/>
          <w:lang w:val="en-US"/>
        </w:rPr>
        <w:t>Metabolism and nutrition disorders</w:t>
      </w:r>
    </w:p>
    <w:p w14:paraId="4E29C266" w14:textId="77E0A36E" w:rsidR="005E6E57" w:rsidRPr="00F30805" w:rsidRDefault="005E6E57" w:rsidP="00D0253A">
      <w:pPr>
        <w:spacing w:after="0"/>
        <w:rPr>
          <w:rFonts w:ascii="Arial" w:hAnsi="Arial" w:cs="Arial"/>
          <w:lang w:val="en-US"/>
        </w:rPr>
      </w:pPr>
      <w:r w:rsidRPr="00F30805">
        <w:rPr>
          <w:rFonts w:ascii="Arial" w:hAnsi="Arial" w:cs="Arial"/>
          <w:i/>
          <w:lang w:val="en-US"/>
        </w:rPr>
        <w:t>Common:</w:t>
      </w:r>
      <w:r w:rsidRPr="00F30805">
        <w:rPr>
          <w:rFonts w:ascii="Arial" w:hAnsi="Arial" w:cs="Arial"/>
          <w:lang w:val="en-US"/>
        </w:rPr>
        <w:t xml:space="preserve"> Hypercholesterolemia</w:t>
      </w:r>
    </w:p>
    <w:p w14:paraId="7FEAB362" w14:textId="52FE2674" w:rsidR="00D0253A" w:rsidRPr="00F30805" w:rsidRDefault="00D0253A" w:rsidP="00D0253A">
      <w:pPr>
        <w:tabs>
          <w:tab w:val="left" w:pos="4019"/>
        </w:tabs>
        <w:spacing w:after="0"/>
        <w:rPr>
          <w:rFonts w:ascii="Arial" w:hAnsi="Arial" w:cs="Arial"/>
          <w:lang w:val="en-US"/>
        </w:rPr>
      </w:pPr>
      <w:r w:rsidRPr="00F30805">
        <w:rPr>
          <w:rFonts w:ascii="Arial" w:hAnsi="Arial" w:cs="Arial"/>
          <w:i/>
          <w:iCs/>
          <w:lang w:val="en-US"/>
        </w:rPr>
        <w:t>Uncommon</w:t>
      </w:r>
      <w:r w:rsidRPr="00F30805">
        <w:rPr>
          <w:rFonts w:ascii="Arial" w:hAnsi="Arial" w:cs="Arial"/>
          <w:lang w:val="en-US"/>
        </w:rPr>
        <w:t>: Hypertriglyceridemia</w:t>
      </w:r>
    </w:p>
    <w:p w14:paraId="7B1616CA" w14:textId="77777777" w:rsidR="00D0253A" w:rsidRPr="00F30805" w:rsidRDefault="00D0253A" w:rsidP="00D0253A">
      <w:pPr>
        <w:tabs>
          <w:tab w:val="left" w:pos="4019"/>
        </w:tabs>
        <w:spacing w:after="0"/>
        <w:rPr>
          <w:rFonts w:ascii="Arial" w:hAnsi="Arial" w:cs="Arial"/>
          <w:lang w:val="en-US"/>
        </w:rPr>
      </w:pPr>
    </w:p>
    <w:p w14:paraId="33139AF2" w14:textId="77777777" w:rsidR="005E6E57" w:rsidRPr="00F30805" w:rsidRDefault="005E6E57" w:rsidP="005E6E57">
      <w:pPr>
        <w:rPr>
          <w:rFonts w:ascii="Arial" w:hAnsi="Arial" w:cs="Arial"/>
          <w:b/>
          <w:i/>
          <w:lang w:val="en-US"/>
        </w:rPr>
      </w:pPr>
      <w:r w:rsidRPr="00F30805">
        <w:rPr>
          <w:rFonts w:ascii="Arial" w:hAnsi="Arial" w:cs="Arial"/>
          <w:b/>
          <w:i/>
          <w:lang w:val="en-US"/>
        </w:rPr>
        <w:t>Respiratory, thoracic and mediastinal disorders</w:t>
      </w:r>
    </w:p>
    <w:p w14:paraId="122C123B" w14:textId="77777777" w:rsidR="005E6E57" w:rsidRPr="00F30805" w:rsidRDefault="005E6E57" w:rsidP="005E6E57">
      <w:pPr>
        <w:rPr>
          <w:rFonts w:ascii="Arial" w:hAnsi="Arial" w:cs="Arial"/>
          <w:lang w:val="en-US"/>
        </w:rPr>
      </w:pPr>
      <w:r w:rsidRPr="00F30805">
        <w:rPr>
          <w:rFonts w:ascii="Arial" w:hAnsi="Arial" w:cs="Arial"/>
          <w:i/>
          <w:lang w:val="en-US"/>
        </w:rPr>
        <w:t>Common:</w:t>
      </w:r>
      <w:r w:rsidRPr="00F30805">
        <w:rPr>
          <w:rFonts w:ascii="Arial" w:hAnsi="Arial" w:cs="Arial"/>
          <w:lang w:val="en-US"/>
        </w:rPr>
        <w:t xml:space="preserve"> Cough</w:t>
      </w:r>
    </w:p>
    <w:p w14:paraId="3FC40C85" w14:textId="77777777" w:rsidR="005E6E57" w:rsidRPr="00F30805" w:rsidRDefault="005E6E57" w:rsidP="005E6E57">
      <w:pPr>
        <w:rPr>
          <w:rFonts w:ascii="Arial" w:hAnsi="Arial" w:cs="Arial"/>
          <w:b/>
          <w:i/>
          <w:lang w:val="en-US"/>
        </w:rPr>
      </w:pPr>
      <w:r w:rsidRPr="00F30805">
        <w:rPr>
          <w:rFonts w:ascii="Arial" w:hAnsi="Arial" w:cs="Arial"/>
          <w:b/>
          <w:i/>
          <w:lang w:val="en-US"/>
        </w:rPr>
        <w:t>Gastrointestinal disorders</w:t>
      </w:r>
    </w:p>
    <w:p w14:paraId="5F210ECD" w14:textId="77777777" w:rsidR="005E6E57" w:rsidRPr="00F30805" w:rsidRDefault="005E6E57" w:rsidP="005E6E57">
      <w:pPr>
        <w:rPr>
          <w:rFonts w:ascii="Arial" w:hAnsi="Arial" w:cs="Arial"/>
          <w:lang w:val="en-US"/>
        </w:rPr>
      </w:pPr>
      <w:r w:rsidRPr="00F30805">
        <w:rPr>
          <w:rFonts w:ascii="Arial" w:hAnsi="Arial" w:cs="Arial"/>
          <w:i/>
          <w:lang w:val="en-US"/>
        </w:rPr>
        <w:t>Common:</w:t>
      </w:r>
      <w:r w:rsidRPr="00F30805">
        <w:rPr>
          <w:rFonts w:ascii="Arial" w:hAnsi="Arial" w:cs="Arial"/>
          <w:lang w:val="en-US"/>
        </w:rPr>
        <w:t xml:space="preserve"> Nausea</w:t>
      </w:r>
    </w:p>
    <w:p w14:paraId="1241A910" w14:textId="77777777" w:rsidR="005E6E57" w:rsidRPr="00F30805" w:rsidRDefault="005E6E57" w:rsidP="005E6E57">
      <w:pPr>
        <w:rPr>
          <w:rFonts w:ascii="Arial" w:hAnsi="Arial" w:cs="Arial"/>
          <w:b/>
          <w:i/>
          <w:lang w:val="en-US"/>
        </w:rPr>
      </w:pPr>
      <w:r w:rsidRPr="00F30805">
        <w:rPr>
          <w:rFonts w:ascii="Arial" w:hAnsi="Arial" w:cs="Arial"/>
          <w:b/>
          <w:i/>
          <w:lang w:val="en-US"/>
        </w:rPr>
        <w:t xml:space="preserve">General disorders </w:t>
      </w:r>
    </w:p>
    <w:p w14:paraId="7BFF9570" w14:textId="77777777" w:rsidR="005E6E57" w:rsidRPr="00F30805" w:rsidRDefault="005E6E57" w:rsidP="005E6E57">
      <w:pPr>
        <w:rPr>
          <w:rFonts w:ascii="Arial" w:hAnsi="Arial" w:cs="Arial"/>
          <w:lang w:val="en-US"/>
        </w:rPr>
      </w:pPr>
      <w:r w:rsidRPr="00F30805">
        <w:rPr>
          <w:rFonts w:ascii="Arial" w:hAnsi="Arial" w:cs="Arial"/>
          <w:i/>
          <w:lang w:val="en-US"/>
        </w:rPr>
        <w:t>Common:</w:t>
      </w:r>
      <w:r w:rsidRPr="00F30805">
        <w:rPr>
          <w:rFonts w:ascii="Arial" w:hAnsi="Arial" w:cs="Arial"/>
          <w:lang w:val="en-US"/>
        </w:rPr>
        <w:t xml:space="preserve"> Pyrexia</w:t>
      </w:r>
    </w:p>
    <w:p w14:paraId="1714E699" w14:textId="77777777" w:rsidR="005E6E57" w:rsidRPr="00F30805" w:rsidRDefault="005E6E57" w:rsidP="005E6E57">
      <w:pPr>
        <w:rPr>
          <w:rFonts w:ascii="Arial" w:hAnsi="Arial" w:cs="Arial"/>
          <w:b/>
          <w:i/>
          <w:lang w:val="en-US"/>
        </w:rPr>
      </w:pPr>
      <w:r w:rsidRPr="00F30805">
        <w:rPr>
          <w:rFonts w:ascii="Arial" w:hAnsi="Arial" w:cs="Arial"/>
          <w:b/>
          <w:i/>
          <w:lang w:val="en-US"/>
        </w:rPr>
        <w:t>Investigations</w:t>
      </w:r>
    </w:p>
    <w:p w14:paraId="17DF2745" w14:textId="5F20F505" w:rsidR="005E6E57" w:rsidRPr="00F30805" w:rsidRDefault="005E6E57" w:rsidP="005E6E57">
      <w:pPr>
        <w:autoSpaceDE w:val="0"/>
        <w:autoSpaceDN w:val="0"/>
        <w:adjustRightInd w:val="0"/>
        <w:rPr>
          <w:rFonts w:ascii="Arial" w:hAnsi="Arial" w:cs="Arial"/>
          <w:lang w:val="en-US"/>
        </w:rPr>
      </w:pPr>
      <w:r w:rsidRPr="00F30805">
        <w:rPr>
          <w:rFonts w:ascii="Arial" w:hAnsi="Arial" w:cs="Arial"/>
          <w:i/>
          <w:lang w:val="en-US"/>
        </w:rPr>
        <w:t>Common:</w:t>
      </w:r>
      <w:r w:rsidRPr="00F30805">
        <w:rPr>
          <w:rFonts w:ascii="Arial" w:hAnsi="Arial" w:cs="Arial"/>
          <w:lang w:val="en-US"/>
        </w:rPr>
        <w:t xml:space="preserve"> Blood creatine phosphokinase (CPK) increased</w:t>
      </w:r>
      <w:r w:rsidR="00D0253A" w:rsidRPr="00F30805">
        <w:rPr>
          <w:rFonts w:ascii="Arial" w:hAnsi="Arial" w:cs="Arial"/>
          <w:lang w:val="en-US"/>
        </w:rPr>
        <w:t>, ALT increased, AST increased, weight increased</w:t>
      </w:r>
    </w:p>
    <w:p w14:paraId="66F23192" w14:textId="77777777" w:rsidR="005E6E57" w:rsidRPr="00F30805" w:rsidRDefault="005E6E57" w:rsidP="00AB4167">
      <w:pPr>
        <w:autoSpaceDE w:val="0"/>
        <w:autoSpaceDN w:val="0"/>
        <w:adjustRightInd w:val="0"/>
        <w:spacing w:after="0"/>
        <w:rPr>
          <w:rFonts w:ascii="Arial" w:hAnsi="Arial" w:cs="Arial"/>
          <w:lang w:val="en-US"/>
        </w:rPr>
      </w:pPr>
      <w:r w:rsidRPr="00F30805">
        <w:rPr>
          <w:rFonts w:ascii="Arial" w:hAnsi="Arial" w:cs="Arial"/>
          <w:lang w:val="en-US"/>
        </w:rPr>
        <w:t>* URTI includes: acute sinusitis, laryngitis, nasopharyngitis, oropharyngeal pain, pharyngitis, pharyngotonsillitis, rhinitis, sinusitis, tonsillitis, viral upper respiratory tract infection</w:t>
      </w:r>
    </w:p>
    <w:p w14:paraId="74648E05" w14:textId="77777777" w:rsidR="005E6E57" w:rsidRPr="00F30805" w:rsidRDefault="005E6E57" w:rsidP="005E6E57">
      <w:pPr>
        <w:autoSpaceDE w:val="0"/>
        <w:autoSpaceDN w:val="0"/>
        <w:adjustRightInd w:val="0"/>
        <w:rPr>
          <w:rFonts w:ascii="Arial" w:hAnsi="Arial" w:cs="Arial"/>
          <w:lang w:val="en-US"/>
        </w:rPr>
      </w:pPr>
      <w:r w:rsidRPr="00F30805">
        <w:rPr>
          <w:rFonts w:ascii="Arial" w:hAnsi="Arial" w:cs="Arial"/>
          <w:lang w:val="en-US"/>
        </w:rPr>
        <w:t>** Herpes simplex includes: oral herpes</w:t>
      </w:r>
    </w:p>
    <w:p w14:paraId="089CE3CC" w14:textId="2317FE9F" w:rsidR="009572BA" w:rsidRPr="00F30805" w:rsidRDefault="009572BA" w:rsidP="00B73976">
      <w:pPr>
        <w:pStyle w:val="Heading3"/>
        <w:rPr>
          <w:w w:val="107"/>
        </w:rPr>
      </w:pPr>
      <w:r w:rsidRPr="00F30805">
        <w:t>Specific Adverse Reactions</w:t>
      </w:r>
      <w:r w:rsidRPr="00F30805">
        <w:rPr>
          <w:w w:val="107"/>
        </w:rPr>
        <w:t xml:space="preserve"> </w:t>
      </w:r>
    </w:p>
    <w:p w14:paraId="05DBC701" w14:textId="77777777" w:rsidR="009572BA" w:rsidRPr="00F30805" w:rsidRDefault="009572BA">
      <w:pPr>
        <w:spacing w:after="0" w:line="240" w:lineRule="auto"/>
        <w:jc w:val="left"/>
        <w:rPr>
          <w:rFonts w:ascii="Arial" w:hAnsi="Arial" w:cs="Arial"/>
          <w:b/>
          <w:w w:val="107"/>
        </w:rPr>
      </w:pPr>
    </w:p>
    <w:p w14:paraId="5B6E2630" w14:textId="77777777" w:rsidR="009572BA" w:rsidRPr="00F30805" w:rsidRDefault="009572BA" w:rsidP="00F71672">
      <w:pPr>
        <w:pStyle w:val="Heading4"/>
      </w:pPr>
      <w:r w:rsidRPr="00F30805">
        <w:lastRenderedPageBreak/>
        <w:t>Infections</w:t>
      </w:r>
    </w:p>
    <w:p w14:paraId="2BBBDB73" w14:textId="7D959946" w:rsidR="009572BA" w:rsidRPr="00F30805" w:rsidRDefault="009572BA" w:rsidP="00575345">
      <w:pPr>
        <w:spacing w:before="120"/>
        <w:jc w:val="left"/>
        <w:rPr>
          <w:rFonts w:ascii="Arial" w:hAnsi="Arial" w:cs="Arial"/>
        </w:rPr>
      </w:pPr>
      <w:r w:rsidRPr="00F30805">
        <w:rPr>
          <w:rFonts w:ascii="Arial" w:hAnsi="Arial" w:cs="Arial"/>
        </w:rPr>
        <w:t xml:space="preserve">In placebo-controlled clinical studies with background DMARDs, the frequency of infection over 12/14 weeks in the </w:t>
      </w:r>
      <w:r w:rsidR="00A700BC" w:rsidRPr="00F30805">
        <w:rPr>
          <w:rFonts w:ascii="Arial" w:hAnsi="Arial" w:cs="Arial"/>
        </w:rPr>
        <w:t>RINVOQ</w:t>
      </w:r>
      <w:r w:rsidRPr="00F30805">
        <w:rPr>
          <w:rFonts w:ascii="Arial" w:hAnsi="Arial" w:cs="Arial"/>
        </w:rPr>
        <w:t xml:space="preserve"> 15 mg group was 27.4% compared to 20.9% in the placebo group. In MTX-controlled studies, the frequency of infection over 12/14 weeks in the </w:t>
      </w:r>
      <w:r w:rsidR="00A700BC" w:rsidRPr="00F30805">
        <w:rPr>
          <w:rFonts w:ascii="Arial" w:hAnsi="Arial" w:cs="Arial"/>
        </w:rPr>
        <w:t>RINVOQ</w:t>
      </w:r>
      <w:r w:rsidRPr="00F30805">
        <w:rPr>
          <w:rFonts w:ascii="Arial" w:hAnsi="Arial" w:cs="Arial"/>
        </w:rPr>
        <w:t xml:space="preserve"> 15 mg monotherapy group was 19.5% compared to 24.0% in the MTX group. The overall long-term rate of infections for the </w:t>
      </w:r>
      <w:r w:rsidR="00A700BC" w:rsidRPr="00F30805">
        <w:rPr>
          <w:rFonts w:ascii="Arial" w:hAnsi="Arial" w:cs="Arial"/>
        </w:rPr>
        <w:t>RINVOQ</w:t>
      </w:r>
      <w:r w:rsidRPr="00F30805">
        <w:rPr>
          <w:rFonts w:ascii="Arial" w:hAnsi="Arial" w:cs="Arial"/>
        </w:rPr>
        <w:t xml:space="preserve"> 15 mg group across all five Phase 3 clinical studies (2630 patients) was 93.7 events per 100 patient-years.</w:t>
      </w:r>
    </w:p>
    <w:p w14:paraId="60DEA6B6" w14:textId="064BF8C0" w:rsidR="009572BA" w:rsidRPr="00F30805" w:rsidRDefault="009572BA" w:rsidP="00575345">
      <w:pPr>
        <w:spacing w:before="120"/>
        <w:rPr>
          <w:rFonts w:ascii="Arial" w:hAnsi="Arial" w:cs="Arial"/>
        </w:rPr>
      </w:pPr>
      <w:r w:rsidRPr="00F30805">
        <w:rPr>
          <w:rFonts w:ascii="Arial" w:hAnsi="Arial" w:cs="Arial"/>
        </w:rPr>
        <w:t xml:space="preserve">In placebo-controlled clinical studies with background DMARDs, the frequency of serious infection over 12/14 weeks in the </w:t>
      </w:r>
      <w:r w:rsidR="00A700BC" w:rsidRPr="00F30805">
        <w:rPr>
          <w:rFonts w:ascii="Arial" w:hAnsi="Arial" w:cs="Arial"/>
        </w:rPr>
        <w:t>RINVOQ</w:t>
      </w:r>
      <w:r w:rsidRPr="00F30805">
        <w:rPr>
          <w:rFonts w:ascii="Arial" w:hAnsi="Arial" w:cs="Arial"/>
        </w:rPr>
        <w:t xml:space="preserve"> 15 mg group was 1.2% compared to 0.6% in the placebo group. In MTX-controlled studies, the frequency of serious infection over 12/14 weeks in the </w:t>
      </w:r>
      <w:r w:rsidR="00A700BC" w:rsidRPr="00F30805">
        <w:rPr>
          <w:rFonts w:ascii="Arial" w:hAnsi="Arial" w:cs="Arial"/>
        </w:rPr>
        <w:t>RINVOQ</w:t>
      </w:r>
      <w:r w:rsidRPr="00F30805">
        <w:rPr>
          <w:rFonts w:ascii="Arial" w:hAnsi="Arial" w:cs="Arial"/>
        </w:rPr>
        <w:t xml:space="preserve"> 15 mg monotherapy group was 0.6% compared to 0.4% in the MTX group. The overall long-term rate of serious infections for the </w:t>
      </w:r>
      <w:r w:rsidR="00A700BC" w:rsidRPr="00F30805">
        <w:rPr>
          <w:rFonts w:ascii="Arial" w:hAnsi="Arial" w:cs="Arial"/>
        </w:rPr>
        <w:t>RINVOQ</w:t>
      </w:r>
      <w:r w:rsidRPr="00F30805">
        <w:rPr>
          <w:rFonts w:ascii="Arial" w:hAnsi="Arial" w:cs="Arial"/>
        </w:rPr>
        <w:t xml:space="preserve"> 15 mg group across all five Phase 3 clinical studies was 3.8 events per 100 patient-years. The most frequently reported serious infections were pneumonia and cellulitis. The rate of serious infections remained stable with long-term exposure.</w:t>
      </w:r>
    </w:p>
    <w:p w14:paraId="786F90FA" w14:textId="77777777" w:rsidR="00983F8F" w:rsidRPr="00F30805" w:rsidRDefault="00983F8F" w:rsidP="00983F8F">
      <w:pPr>
        <w:spacing w:before="120"/>
        <w:rPr>
          <w:rFonts w:ascii="Arial" w:hAnsi="Arial" w:cs="Arial"/>
        </w:rPr>
      </w:pPr>
      <w:r w:rsidRPr="00F30805">
        <w:rPr>
          <w:rFonts w:ascii="Arial" w:hAnsi="Arial" w:cs="Arial"/>
        </w:rPr>
        <w:t>There was a higher rate of serious infections in patients ≥ 75 years of age, although data are limited.</w:t>
      </w:r>
    </w:p>
    <w:p w14:paraId="7AB1266D" w14:textId="51EA1868" w:rsidR="00983F8F" w:rsidRPr="00F30805" w:rsidRDefault="00983F8F" w:rsidP="00983F8F">
      <w:pPr>
        <w:spacing w:before="120"/>
        <w:rPr>
          <w:rFonts w:ascii="Arial" w:hAnsi="Arial" w:cs="Arial"/>
        </w:rPr>
      </w:pPr>
      <w:r w:rsidRPr="00F30805">
        <w:rPr>
          <w:rFonts w:ascii="Arial" w:hAnsi="Arial" w:cs="Arial"/>
        </w:rPr>
        <w:t>The frequencies of infection</w:t>
      </w:r>
      <w:r w:rsidR="00E65A62" w:rsidRPr="00F30805">
        <w:rPr>
          <w:rFonts w:ascii="Arial" w:hAnsi="Arial" w:cs="Arial"/>
        </w:rPr>
        <w:t xml:space="preserve"> Adverse Drug Reactions</w:t>
      </w:r>
      <w:r w:rsidRPr="00F30805">
        <w:rPr>
          <w:rFonts w:ascii="Arial" w:hAnsi="Arial" w:cs="Arial"/>
        </w:rPr>
        <w:t xml:space="preserve"> </w:t>
      </w:r>
      <w:r w:rsidR="00E65A62" w:rsidRPr="00F30805">
        <w:rPr>
          <w:rFonts w:ascii="Arial" w:hAnsi="Arial" w:cs="Arial"/>
        </w:rPr>
        <w:t>(</w:t>
      </w:r>
      <w:r w:rsidRPr="00F30805">
        <w:rPr>
          <w:rFonts w:ascii="Arial" w:hAnsi="Arial" w:cs="Arial"/>
        </w:rPr>
        <w:t>ADRs</w:t>
      </w:r>
      <w:r w:rsidR="00E65A62" w:rsidRPr="00F30805">
        <w:rPr>
          <w:rFonts w:ascii="Arial" w:hAnsi="Arial" w:cs="Arial"/>
        </w:rPr>
        <w:t>)</w:t>
      </w:r>
      <w:r w:rsidRPr="00F30805">
        <w:rPr>
          <w:rFonts w:ascii="Arial" w:hAnsi="Arial" w:cs="Arial"/>
        </w:rPr>
        <w:t xml:space="preserve"> for upadacitinib compared to placebo were: URTI (13.5% vs 9.5%), pneumonia (0.5% vs 0.3%), herpes zoster (0.7% vs 0.2%), herpes simplex (0.8% v 0.5%), and oral candidiasis (0.4% vs. &lt;0.1%). Most of the herpes zoster events involved a single dermatome and were non-serious.</w:t>
      </w:r>
    </w:p>
    <w:p w14:paraId="58AE8F73" w14:textId="77777777" w:rsidR="009572BA" w:rsidRPr="00F30805" w:rsidRDefault="009572BA" w:rsidP="00F71672">
      <w:pPr>
        <w:pStyle w:val="Heading4"/>
      </w:pPr>
      <w:r w:rsidRPr="00F30805">
        <w:t>Tuberculosis</w:t>
      </w:r>
    </w:p>
    <w:p w14:paraId="3BC207DE" w14:textId="7B2712DE" w:rsidR="009572BA" w:rsidRPr="00F30805" w:rsidRDefault="009572BA" w:rsidP="00575345">
      <w:pPr>
        <w:spacing w:before="120"/>
        <w:rPr>
          <w:rFonts w:ascii="Arial" w:hAnsi="Arial" w:cs="Arial"/>
        </w:rPr>
      </w:pPr>
      <w:r w:rsidRPr="00F30805">
        <w:rPr>
          <w:rFonts w:ascii="Arial" w:hAnsi="Arial" w:cs="Arial"/>
        </w:rPr>
        <w:t xml:space="preserve">In placebo-controlled clinical studies with background DMARDs, there were no active cases of tuberculosis reported in any treatment group. In MTX-controlled studies, there were no cases over 12/14 weeks in either the </w:t>
      </w:r>
      <w:r w:rsidR="00A700BC" w:rsidRPr="00F30805">
        <w:rPr>
          <w:rFonts w:ascii="Arial" w:hAnsi="Arial" w:cs="Arial"/>
        </w:rPr>
        <w:t>RINVOQ</w:t>
      </w:r>
      <w:r w:rsidRPr="00F30805">
        <w:rPr>
          <w:rFonts w:ascii="Arial" w:hAnsi="Arial" w:cs="Arial"/>
        </w:rPr>
        <w:t xml:space="preserve"> 15 mg monotherapy group or the MTX group. The overall long-term rate of active tuberculosis for the </w:t>
      </w:r>
      <w:r w:rsidR="00A700BC" w:rsidRPr="00F30805">
        <w:rPr>
          <w:rFonts w:ascii="Arial" w:hAnsi="Arial" w:cs="Arial"/>
        </w:rPr>
        <w:t>RINVOQ</w:t>
      </w:r>
      <w:r w:rsidRPr="00F30805">
        <w:rPr>
          <w:rFonts w:ascii="Arial" w:hAnsi="Arial" w:cs="Arial"/>
        </w:rPr>
        <w:t xml:space="preserve"> 15 mg group across all five Phase 3 clinical studies was 0.1 events per 100 patient-years.</w:t>
      </w:r>
    </w:p>
    <w:p w14:paraId="1DB4A85E" w14:textId="77777777" w:rsidR="009572BA" w:rsidRPr="00F30805" w:rsidRDefault="009572BA" w:rsidP="00F71672">
      <w:pPr>
        <w:pStyle w:val="Heading4"/>
      </w:pPr>
      <w:r w:rsidRPr="00F30805">
        <w:t>Opportunistic Infections (excluding tuberculosis)</w:t>
      </w:r>
    </w:p>
    <w:p w14:paraId="36ABD406" w14:textId="0B810613" w:rsidR="009572BA" w:rsidRPr="00F30805" w:rsidRDefault="009572BA" w:rsidP="00575345">
      <w:pPr>
        <w:spacing w:before="120"/>
        <w:rPr>
          <w:rFonts w:ascii="Arial" w:hAnsi="Arial" w:cs="Arial"/>
        </w:rPr>
      </w:pPr>
      <w:r w:rsidRPr="00F30805">
        <w:rPr>
          <w:rFonts w:ascii="Arial" w:hAnsi="Arial" w:cs="Arial"/>
        </w:rPr>
        <w:t xml:space="preserve">In placebo-controlled clinical studies with background DMARDs, the frequency of opportunistic infections over 12/14 weeks in the </w:t>
      </w:r>
      <w:r w:rsidR="00A700BC" w:rsidRPr="00F30805">
        <w:rPr>
          <w:rFonts w:ascii="Arial" w:hAnsi="Arial" w:cs="Arial"/>
        </w:rPr>
        <w:t>RINVOQ</w:t>
      </w:r>
      <w:r w:rsidRPr="00F30805">
        <w:rPr>
          <w:rFonts w:ascii="Arial" w:hAnsi="Arial" w:cs="Arial"/>
        </w:rPr>
        <w:t xml:space="preserve"> 15 mg group was 0.5% compared to 0.3% in the placebo group. In MTX-controlled studies, there were no cases of opportunistic infection over 12/14 weeks in the </w:t>
      </w:r>
      <w:r w:rsidR="00A700BC" w:rsidRPr="00F30805">
        <w:rPr>
          <w:rFonts w:ascii="Arial" w:hAnsi="Arial" w:cs="Arial"/>
        </w:rPr>
        <w:t>RINVOQ</w:t>
      </w:r>
      <w:r w:rsidRPr="00F30805">
        <w:rPr>
          <w:rFonts w:ascii="Arial" w:hAnsi="Arial" w:cs="Arial"/>
        </w:rPr>
        <w:t xml:space="preserve"> 15 mg monotherapy group and 0.2% in the MTX group. The </w:t>
      </w:r>
      <w:r w:rsidRPr="00F30805">
        <w:rPr>
          <w:rFonts w:ascii="Arial" w:hAnsi="Arial" w:cs="Arial"/>
        </w:rPr>
        <w:lastRenderedPageBreak/>
        <w:t xml:space="preserve">overall long-term rate of opportunistic infections for the </w:t>
      </w:r>
      <w:r w:rsidR="00A700BC" w:rsidRPr="00F30805">
        <w:rPr>
          <w:rFonts w:ascii="Arial" w:hAnsi="Arial" w:cs="Arial"/>
        </w:rPr>
        <w:t>RINVOQ</w:t>
      </w:r>
      <w:r w:rsidRPr="00F30805">
        <w:rPr>
          <w:rFonts w:ascii="Arial" w:hAnsi="Arial" w:cs="Arial"/>
        </w:rPr>
        <w:t xml:space="preserve"> 15 mg group across all five Phase 3 clinical studies was 0.6 events per 100 patient-years. </w:t>
      </w:r>
    </w:p>
    <w:p w14:paraId="78F1B4A8" w14:textId="77777777" w:rsidR="009572BA" w:rsidRPr="00F30805" w:rsidRDefault="009572BA" w:rsidP="00F71672">
      <w:pPr>
        <w:pStyle w:val="Heading4"/>
        <w:rPr>
          <w:rFonts w:eastAsia="MS Mincho"/>
          <w:lang w:val="en-US" w:eastAsia="ja-JP"/>
        </w:rPr>
      </w:pPr>
      <w:r w:rsidRPr="00F30805">
        <w:rPr>
          <w:rFonts w:eastAsia="MS Mincho"/>
          <w:lang w:val="en-US" w:eastAsia="ja-JP"/>
        </w:rPr>
        <w:t>Malignancy</w:t>
      </w:r>
    </w:p>
    <w:p w14:paraId="6BAC7FFF" w14:textId="0B356D7B" w:rsidR="009572BA" w:rsidRPr="00F30805" w:rsidRDefault="009572BA" w:rsidP="00575345">
      <w:pPr>
        <w:autoSpaceDE w:val="0"/>
        <w:autoSpaceDN w:val="0"/>
        <w:adjustRightInd w:val="0"/>
        <w:spacing w:before="120"/>
        <w:rPr>
          <w:rFonts w:ascii="Arial" w:eastAsia="MS Mincho" w:hAnsi="Arial" w:cs="Arial"/>
          <w:lang w:val="en-US" w:eastAsia="ja-JP"/>
        </w:rPr>
      </w:pPr>
      <w:r w:rsidRPr="00F30805">
        <w:rPr>
          <w:rFonts w:ascii="Arial" w:eastAsia="MS Mincho" w:hAnsi="Arial" w:cs="Arial"/>
          <w:lang w:val="en-US" w:eastAsia="ja-JP"/>
        </w:rPr>
        <w:t xml:space="preserve">In placebo-controlled clinical studies with background DMARDs, the frequency of malignancies excluding NMSC over 12/14 weeks in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group was &lt;0.1% compared to &lt;0.1% in the placebo group. In MTX-controlled studies, the frequency of malignancies excluding NMSC over 12/14 weeks in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monotherapy group was 0.6% compared to 0.2% in the MTX group. The overall long-term incidence rate of malignanc</w:t>
      </w:r>
      <w:r w:rsidR="00D507EC" w:rsidRPr="00F30805">
        <w:rPr>
          <w:rFonts w:ascii="Arial" w:eastAsia="MS Mincho" w:hAnsi="Arial" w:cs="Arial"/>
          <w:lang w:val="en-US" w:eastAsia="ja-JP"/>
        </w:rPr>
        <w:t xml:space="preserve">ies excluding NMSC for </w:t>
      </w:r>
      <w:r w:rsidRPr="00F30805">
        <w:rPr>
          <w:rFonts w:ascii="Arial" w:eastAsia="MS Mincho" w:hAnsi="Arial" w:cs="Arial"/>
          <w:lang w:val="en-US" w:eastAsia="ja-JP"/>
        </w:rPr>
        <w:t xml:space="preserve">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group in the clinical trial program was </w:t>
      </w:r>
      <w:r w:rsidR="00D507EC" w:rsidRPr="00F30805">
        <w:rPr>
          <w:rFonts w:ascii="Arial" w:eastAsia="MS Mincho" w:hAnsi="Arial" w:cs="Arial"/>
          <w:lang w:val="en-US" w:eastAsia="ja-JP"/>
        </w:rPr>
        <w:t>0.8 per 100 patient-years</w:t>
      </w:r>
      <w:r w:rsidRPr="00F30805">
        <w:rPr>
          <w:rFonts w:ascii="Arial" w:eastAsia="MS Mincho" w:hAnsi="Arial" w:cs="Arial"/>
          <w:lang w:val="en-US" w:eastAsia="ja-JP"/>
        </w:rPr>
        <w:t>.</w:t>
      </w:r>
    </w:p>
    <w:p w14:paraId="53B75A4A" w14:textId="77777777" w:rsidR="009572BA" w:rsidRPr="00F30805" w:rsidRDefault="009572BA" w:rsidP="00F71672">
      <w:pPr>
        <w:pStyle w:val="Heading4"/>
        <w:rPr>
          <w:rFonts w:eastAsia="MS Mincho"/>
          <w:lang w:val="en-US" w:eastAsia="ja-JP"/>
        </w:rPr>
      </w:pPr>
      <w:r w:rsidRPr="00F30805">
        <w:rPr>
          <w:rFonts w:eastAsia="MS Mincho"/>
          <w:lang w:val="en-US" w:eastAsia="ja-JP"/>
        </w:rPr>
        <w:t>Gastrointestinal Perforations</w:t>
      </w:r>
    </w:p>
    <w:p w14:paraId="3C0F9E14" w14:textId="3EB21D73" w:rsidR="009572BA" w:rsidRPr="00F30805" w:rsidRDefault="009572BA" w:rsidP="00575345">
      <w:pPr>
        <w:spacing w:before="120"/>
        <w:rPr>
          <w:rFonts w:ascii="Arial" w:eastAsia="MS Mincho" w:hAnsi="Arial" w:cs="Arial"/>
          <w:lang w:val="en-US" w:eastAsia="ja-JP"/>
        </w:rPr>
      </w:pPr>
      <w:r w:rsidRPr="00F30805">
        <w:rPr>
          <w:rFonts w:ascii="Arial" w:eastAsia="MS Mincho" w:hAnsi="Arial" w:cs="Arial"/>
          <w:lang w:val="en-US" w:eastAsia="ja-JP"/>
        </w:rPr>
        <w:t xml:space="preserve">In placebo-controlled clinical studies with background DMARDs, the frequency of gastrointestinal perforations in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group was 0.2% compared to 0% in the placebo group. In MTX-controlled studies, there were no gastrointestinal perforations over 12/14 weeks in either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monotherapy group or the MTX group. The overall long-term rate of gastrointestinal perforation for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group across all five Phase 3 clinical studies was 0.08 events per 100 patient-years. </w:t>
      </w:r>
    </w:p>
    <w:p w14:paraId="3E302CE6" w14:textId="77777777" w:rsidR="009572BA" w:rsidRPr="00F30805" w:rsidRDefault="009572BA" w:rsidP="00F71672">
      <w:pPr>
        <w:pStyle w:val="Heading4"/>
        <w:rPr>
          <w:rFonts w:eastAsia="MS Mincho"/>
          <w:lang w:val="en-US" w:eastAsia="ja-JP"/>
        </w:rPr>
      </w:pPr>
      <w:r w:rsidRPr="00F30805">
        <w:rPr>
          <w:rFonts w:eastAsia="MS Mincho"/>
          <w:lang w:val="en-US" w:eastAsia="ja-JP"/>
        </w:rPr>
        <w:t>Thrombosis</w:t>
      </w:r>
    </w:p>
    <w:p w14:paraId="59373FE8" w14:textId="2F32C9C1" w:rsidR="009572BA" w:rsidRPr="00F30805" w:rsidRDefault="009572BA" w:rsidP="00575345">
      <w:pPr>
        <w:spacing w:before="120"/>
        <w:rPr>
          <w:rFonts w:ascii="Arial" w:eastAsia="MS Mincho" w:hAnsi="Arial" w:cs="Arial"/>
          <w:lang w:val="en-US" w:eastAsia="ja-JP"/>
        </w:rPr>
      </w:pPr>
      <w:r w:rsidRPr="00F30805">
        <w:rPr>
          <w:rFonts w:ascii="Arial" w:eastAsia="MS Mincho" w:hAnsi="Arial" w:cs="Arial"/>
          <w:lang w:val="en-US" w:eastAsia="ja-JP"/>
        </w:rPr>
        <w:t xml:space="preserve">In placebo-controlled studies with background DMARDs, there were two (0.2%) venous thrombosis events (pulmonary embolism or deep vein thrombosis) in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group compared to one event (0.1%) in the placebo group. In MTX-controlled studies, there was one VTE event (0.2%) over 12/14 weeks in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monotherapy group and there were no events in the MTX group. The overall long-term incidence rate of VTE for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group across all five Phase 3 clinical studies was 0.6 per 100 patient-years.</w:t>
      </w:r>
    </w:p>
    <w:p w14:paraId="379B84A5" w14:textId="77777777" w:rsidR="009572BA" w:rsidRPr="00F30805" w:rsidRDefault="009572BA" w:rsidP="00F71672">
      <w:pPr>
        <w:pStyle w:val="Heading4"/>
        <w:rPr>
          <w:rFonts w:eastAsia="MS Mincho"/>
          <w:lang w:val="en-US" w:eastAsia="ja-JP"/>
        </w:rPr>
      </w:pPr>
      <w:r w:rsidRPr="00F30805">
        <w:rPr>
          <w:rFonts w:eastAsia="MS Mincho"/>
          <w:lang w:val="en-US" w:eastAsia="ja-JP"/>
        </w:rPr>
        <w:t>Hepatic transaminase elevations</w:t>
      </w:r>
    </w:p>
    <w:p w14:paraId="643C6DDA" w14:textId="29380E5C" w:rsidR="009572BA" w:rsidRPr="00F30805" w:rsidRDefault="009572BA" w:rsidP="00575345">
      <w:pPr>
        <w:autoSpaceDE w:val="0"/>
        <w:autoSpaceDN w:val="0"/>
        <w:adjustRightInd w:val="0"/>
        <w:spacing w:before="120"/>
        <w:rPr>
          <w:rFonts w:ascii="Arial" w:eastAsia="MS Mincho" w:hAnsi="Arial" w:cs="Arial"/>
          <w:lang w:val="en-US" w:eastAsia="ja-JP"/>
        </w:rPr>
      </w:pPr>
      <w:r w:rsidRPr="00F30805">
        <w:rPr>
          <w:rFonts w:ascii="Arial" w:eastAsia="MS Mincho" w:hAnsi="Arial" w:cs="Arial"/>
          <w:lang w:val="en-US" w:eastAsia="ja-JP"/>
        </w:rPr>
        <w:t xml:space="preserve">In placebo-controlled studies with background DMARDs, for up to 12/14 weeks, alanine transaminase (ALT) and aspartate transaminase (AST) elevations ≥ 3 x upper limit of normal (ULN) in at least one measurement were observed in 2.1% and 1.5% of patients treated with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compared to 1.5% and 0.7%, respectively, of patients treated with placebo. Most cases of hepatic transaminase elevations were asymptomatic and transient.</w:t>
      </w:r>
    </w:p>
    <w:p w14:paraId="7D4F4212" w14:textId="62B77E73" w:rsidR="009572BA" w:rsidRPr="00F30805" w:rsidRDefault="009572BA" w:rsidP="00575345">
      <w:pPr>
        <w:autoSpaceDE w:val="0"/>
        <w:autoSpaceDN w:val="0"/>
        <w:adjustRightInd w:val="0"/>
        <w:spacing w:before="120"/>
        <w:rPr>
          <w:rFonts w:ascii="Arial" w:eastAsia="MS Mincho" w:hAnsi="Arial" w:cs="Arial"/>
          <w:lang w:val="en-US" w:eastAsia="ja-JP"/>
        </w:rPr>
      </w:pPr>
      <w:r w:rsidRPr="00F30805">
        <w:rPr>
          <w:rFonts w:ascii="Arial" w:eastAsia="MS Mincho" w:hAnsi="Arial" w:cs="Arial"/>
          <w:lang w:val="en-US" w:eastAsia="ja-JP"/>
        </w:rPr>
        <w:lastRenderedPageBreak/>
        <w:t xml:space="preserve">In MTX-controlled studies, for up to 12/14 weeks, ALT and AST elevations ≥ 3 x ULN in at least one measurement were observed in 0.8% and 0.4% of patients treated with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compared to 1.9% and 0.9%, respectively, of patients treated with MTX.</w:t>
      </w:r>
    </w:p>
    <w:p w14:paraId="64A6B2BC" w14:textId="77777777" w:rsidR="009572BA" w:rsidRPr="00F30805" w:rsidRDefault="009572BA" w:rsidP="002500CC">
      <w:pPr>
        <w:rPr>
          <w:rFonts w:ascii="Arial" w:hAnsi="Arial" w:cs="Arial"/>
          <w:b/>
          <w:lang w:val="en-US" w:eastAsia="ja-JP"/>
        </w:rPr>
      </w:pPr>
      <w:r w:rsidRPr="00F30805">
        <w:rPr>
          <w:rFonts w:ascii="Arial" w:hAnsi="Arial" w:cs="Arial"/>
          <w:lang w:val="en-US" w:eastAsia="ja-JP"/>
        </w:rPr>
        <w:t>The pattern and incidence of elevation in ALT/AST remained stable over time including in long-term extension studies.</w:t>
      </w:r>
    </w:p>
    <w:p w14:paraId="6A23BC6C" w14:textId="77777777" w:rsidR="009572BA" w:rsidRPr="00F30805" w:rsidRDefault="009572BA" w:rsidP="00F71672">
      <w:pPr>
        <w:pStyle w:val="Heading4"/>
        <w:rPr>
          <w:rFonts w:eastAsia="MS Mincho"/>
          <w:lang w:val="en-US" w:eastAsia="ja-JP"/>
        </w:rPr>
      </w:pPr>
      <w:r w:rsidRPr="00F30805">
        <w:rPr>
          <w:rFonts w:eastAsia="MS Mincho"/>
          <w:lang w:val="en-US" w:eastAsia="ja-JP"/>
        </w:rPr>
        <w:t>Lipid elevations</w:t>
      </w:r>
    </w:p>
    <w:p w14:paraId="693E122B" w14:textId="394A2288" w:rsidR="00CF72DA" w:rsidRPr="00F30805" w:rsidRDefault="00CF72DA" w:rsidP="00575345">
      <w:pPr>
        <w:autoSpaceDE w:val="0"/>
        <w:autoSpaceDN w:val="0"/>
        <w:adjustRightInd w:val="0"/>
        <w:spacing w:before="120"/>
        <w:rPr>
          <w:rFonts w:ascii="Arial" w:hAnsi="Arial" w:cs="Arial"/>
          <w:lang w:val="en-US"/>
        </w:rPr>
      </w:pPr>
      <w:r w:rsidRPr="00F30805">
        <w:rPr>
          <w:rFonts w:ascii="Arial" w:hAnsi="Arial" w:cs="Arial"/>
          <w:lang w:val="en-US"/>
        </w:rPr>
        <w:t xml:space="preserve">Upadacitinib </w:t>
      </w:r>
      <w:r w:rsidR="009572BA" w:rsidRPr="00F30805">
        <w:rPr>
          <w:rFonts w:ascii="Arial" w:hAnsi="Arial" w:cs="Arial"/>
          <w:lang w:val="en-US"/>
        </w:rPr>
        <w:t>15mg treatment was associated with</w:t>
      </w:r>
      <w:r w:rsidRPr="00F30805">
        <w:rPr>
          <w:rFonts w:ascii="Arial" w:hAnsi="Arial" w:cs="Arial"/>
          <w:lang w:val="en-US"/>
        </w:rPr>
        <w:t xml:space="preserve"> dose-dependent</w:t>
      </w:r>
      <w:r w:rsidR="009572BA" w:rsidRPr="00F30805">
        <w:rPr>
          <w:rFonts w:ascii="Arial" w:hAnsi="Arial" w:cs="Arial"/>
          <w:lang w:val="en-US"/>
        </w:rPr>
        <w:t xml:space="preserve"> increases in lipid parameters including total cholesterol, triglycerides, LDL cholesterol and HDL cholesterol. </w:t>
      </w:r>
      <w:r w:rsidRPr="00F30805">
        <w:rPr>
          <w:rFonts w:ascii="Arial" w:hAnsi="Arial" w:cs="Arial"/>
          <w:lang w:val="en-US"/>
        </w:rPr>
        <w:t xml:space="preserve">There was no change in the LDL/HDL ratio. </w:t>
      </w:r>
      <w:r w:rsidR="009572BA" w:rsidRPr="00F30805">
        <w:rPr>
          <w:rFonts w:ascii="Arial" w:hAnsi="Arial" w:cs="Arial"/>
          <w:lang w:val="en-US"/>
        </w:rPr>
        <w:t>Elevations</w:t>
      </w:r>
      <w:r w:rsidRPr="00F30805">
        <w:rPr>
          <w:rFonts w:ascii="Arial" w:hAnsi="Arial" w:cs="Arial"/>
          <w:lang w:val="en-US"/>
        </w:rPr>
        <w:t xml:space="preserve"> were observed at 2 to 4 weeks of treatment</w:t>
      </w:r>
      <w:r w:rsidR="009572BA" w:rsidRPr="00F30805">
        <w:rPr>
          <w:rFonts w:ascii="Arial" w:hAnsi="Arial" w:cs="Arial"/>
          <w:lang w:val="en-US"/>
        </w:rPr>
        <w:t xml:space="preserve"> and remained stable </w:t>
      </w:r>
      <w:r w:rsidRPr="00F30805">
        <w:rPr>
          <w:rFonts w:ascii="Arial" w:hAnsi="Arial" w:cs="Arial"/>
          <w:lang w:val="en-US"/>
        </w:rPr>
        <w:t>with longer-term treatment</w:t>
      </w:r>
      <w:r w:rsidR="009572BA" w:rsidRPr="00F30805">
        <w:rPr>
          <w:rFonts w:ascii="Arial" w:hAnsi="Arial" w:cs="Arial"/>
          <w:lang w:val="en-US"/>
        </w:rPr>
        <w:t>.</w:t>
      </w:r>
      <w:r w:rsidRPr="00F30805">
        <w:rPr>
          <w:rFonts w:ascii="Arial" w:hAnsi="Arial" w:cs="Arial"/>
          <w:lang w:val="en-US"/>
        </w:rPr>
        <w:t xml:space="preserve"> Among patients in controlled studies with baseline values below the specified limits, the following frequencies of patients were observed to shift above the specified limits on at least one occasion during</w:t>
      </w:r>
      <w:r w:rsidR="009572BA" w:rsidRPr="00F30805">
        <w:rPr>
          <w:rFonts w:ascii="Arial" w:hAnsi="Arial" w:cs="Arial"/>
          <w:lang w:val="en-US"/>
        </w:rPr>
        <w:t xml:space="preserve"> 12/14 weeks</w:t>
      </w:r>
      <w:r w:rsidRPr="00F30805">
        <w:rPr>
          <w:rFonts w:ascii="Arial" w:hAnsi="Arial" w:cs="Arial"/>
          <w:lang w:val="en-US"/>
        </w:rPr>
        <w:t xml:space="preserve"> (including patients who had an isolated elevated value):</w:t>
      </w:r>
    </w:p>
    <w:p w14:paraId="28AAD0A8" w14:textId="6A37E816" w:rsidR="00CF72DA" w:rsidRPr="0072445A" w:rsidRDefault="00CF72DA" w:rsidP="0072445A">
      <w:pPr>
        <w:pStyle w:val="ListParagraph"/>
        <w:numPr>
          <w:ilvl w:val="0"/>
          <w:numId w:val="47"/>
        </w:numPr>
        <w:autoSpaceDE w:val="0"/>
        <w:autoSpaceDN w:val="0"/>
        <w:adjustRightInd w:val="0"/>
        <w:spacing w:before="120"/>
        <w:rPr>
          <w:rFonts w:ascii="Arial" w:hAnsi="Arial" w:cs="Arial"/>
          <w:lang w:val="en-US"/>
        </w:rPr>
      </w:pPr>
      <w:r w:rsidRPr="0072445A">
        <w:rPr>
          <w:rFonts w:ascii="Arial" w:hAnsi="Arial" w:cs="Arial"/>
          <w:lang w:val="en-US"/>
        </w:rPr>
        <w:t xml:space="preserve">Total cholesterol </w:t>
      </w:r>
      <w:r w:rsidR="00D967CE" w:rsidRPr="0072445A">
        <w:rPr>
          <w:rFonts w:ascii="Arial" w:hAnsi="Arial" w:cs="Arial"/>
          <w:lang w:val="en-US"/>
        </w:rPr>
        <w:t>≥</w:t>
      </w:r>
      <w:r w:rsidRPr="0072445A">
        <w:rPr>
          <w:rFonts w:ascii="Arial" w:hAnsi="Arial" w:cs="Arial"/>
          <w:lang w:val="en-US"/>
        </w:rPr>
        <w:t xml:space="preserve"> 5.17 </w:t>
      </w:r>
      <w:proofErr w:type="spellStart"/>
      <w:r w:rsidRPr="0072445A">
        <w:rPr>
          <w:rFonts w:ascii="Arial" w:hAnsi="Arial" w:cs="Arial"/>
          <w:lang w:val="en-US"/>
        </w:rPr>
        <w:t>mmol</w:t>
      </w:r>
      <w:proofErr w:type="spellEnd"/>
      <w:r w:rsidRPr="0072445A">
        <w:rPr>
          <w:rFonts w:ascii="Arial" w:hAnsi="Arial" w:cs="Arial"/>
          <w:lang w:val="en-US"/>
        </w:rPr>
        <w:t>/L (200 mg/dL): 62% vs. 31%, in the upadacitinib 15 mg and placebo groups, respectively</w:t>
      </w:r>
    </w:p>
    <w:p w14:paraId="3C1383B0" w14:textId="4BE153A9" w:rsidR="00CF72DA" w:rsidRPr="0072445A" w:rsidRDefault="00CF72DA" w:rsidP="0072445A">
      <w:pPr>
        <w:pStyle w:val="ListParagraph"/>
        <w:numPr>
          <w:ilvl w:val="0"/>
          <w:numId w:val="47"/>
        </w:numPr>
        <w:autoSpaceDE w:val="0"/>
        <w:autoSpaceDN w:val="0"/>
        <w:adjustRightInd w:val="0"/>
        <w:spacing w:before="120"/>
        <w:rPr>
          <w:rFonts w:ascii="Arial" w:hAnsi="Arial" w:cs="Arial"/>
          <w:lang w:val="en-US"/>
        </w:rPr>
      </w:pPr>
      <w:r w:rsidRPr="0072445A">
        <w:rPr>
          <w:rFonts w:ascii="Arial" w:hAnsi="Arial" w:cs="Arial"/>
          <w:lang w:val="en-US"/>
        </w:rPr>
        <w:t>LDL cholesterol ≥ 3.36 mmol/L (130 mg/dL): 42% vs. 19%, in the upadacitinib 15 mg and placebo groups, respectively</w:t>
      </w:r>
    </w:p>
    <w:p w14:paraId="53AFDBCA" w14:textId="264041DF" w:rsidR="00CF72DA" w:rsidRPr="0072445A" w:rsidRDefault="00CF72DA" w:rsidP="0072445A">
      <w:pPr>
        <w:pStyle w:val="ListParagraph"/>
        <w:numPr>
          <w:ilvl w:val="0"/>
          <w:numId w:val="47"/>
        </w:numPr>
        <w:autoSpaceDE w:val="0"/>
        <w:autoSpaceDN w:val="0"/>
        <w:adjustRightInd w:val="0"/>
        <w:spacing w:before="120"/>
        <w:rPr>
          <w:rFonts w:ascii="Arial" w:hAnsi="Arial" w:cs="Arial"/>
          <w:lang w:val="en-US"/>
        </w:rPr>
      </w:pPr>
      <w:r w:rsidRPr="0072445A">
        <w:rPr>
          <w:rFonts w:ascii="Arial" w:hAnsi="Arial" w:cs="Arial"/>
          <w:lang w:val="en-US"/>
        </w:rPr>
        <w:t xml:space="preserve">HDL cholesterol </w:t>
      </w:r>
      <w:r w:rsidR="0072445A" w:rsidRPr="0072445A">
        <w:rPr>
          <w:rFonts w:ascii="Arial" w:hAnsi="Arial" w:cs="Arial"/>
          <w:lang w:val="en-US"/>
        </w:rPr>
        <w:t>≥</w:t>
      </w:r>
      <w:r w:rsidRPr="0072445A">
        <w:rPr>
          <w:rFonts w:ascii="Arial" w:hAnsi="Arial" w:cs="Arial"/>
          <w:lang w:val="en-US"/>
        </w:rPr>
        <w:t xml:space="preserve"> 1.03 </w:t>
      </w:r>
      <w:proofErr w:type="spellStart"/>
      <w:r w:rsidRPr="0072445A">
        <w:rPr>
          <w:rFonts w:ascii="Arial" w:hAnsi="Arial" w:cs="Arial"/>
          <w:lang w:val="en-US"/>
        </w:rPr>
        <w:t>mmol</w:t>
      </w:r>
      <w:proofErr w:type="spellEnd"/>
      <w:r w:rsidRPr="0072445A">
        <w:rPr>
          <w:rFonts w:ascii="Arial" w:hAnsi="Arial" w:cs="Arial"/>
          <w:lang w:val="en-US"/>
        </w:rPr>
        <w:t>/L (40 mg/dL): 89% vs. 61%, in the upadacitinib 15 mg and placebo groups, respectively</w:t>
      </w:r>
    </w:p>
    <w:p w14:paraId="6E750A93" w14:textId="6364AD6B" w:rsidR="00CF72DA" w:rsidRPr="0072445A" w:rsidRDefault="00CF72DA" w:rsidP="0072445A">
      <w:pPr>
        <w:pStyle w:val="ListParagraph"/>
        <w:numPr>
          <w:ilvl w:val="0"/>
          <w:numId w:val="47"/>
        </w:numPr>
        <w:autoSpaceDE w:val="0"/>
        <w:autoSpaceDN w:val="0"/>
        <w:adjustRightInd w:val="0"/>
        <w:spacing w:before="120"/>
        <w:rPr>
          <w:rFonts w:ascii="Arial" w:hAnsi="Arial" w:cs="Arial"/>
          <w:lang w:val="en-US"/>
        </w:rPr>
      </w:pPr>
      <w:r w:rsidRPr="0072445A">
        <w:rPr>
          <w:rFonts w:ascii="Arial" w:hAnsi="Arial" w:cs="Arial"/>
          <w:lang w:val="en-US"/>
        </w:rPr>
        <w:t xml:space="preserve">Triglycerides ≥ 2.26 </w:t>
      </w:r>
      <w:proofErr w:type="spellStart"/>
      <w:r w:rsidRPr="0072445A">
        <w:rPr>
          <w:rFonts w:ascii="Arial" w:hAnsi="Arial" w:cs="Arial"/>
          <w:lang w:val="en-US"/>
        </w:rPr>
        <w:t>mmol</w:t>
      </w:r>
      <w:proofErr w:type="spellEnd"/>
      <w:r w:rsidRPr="0072445A">
        <w:rPr>
          <w:rFonts w:ascii="Arial" w:hAnsi="Arial" w:cs="Arial"/>
          <w:lang w:val="en-US"/>
        </w:rPr>
        <w:t>/L (200 mg/dL): 25% vs. 15%, in the upadacitinib 15 mg and placebo groups, respectively</w:t>
      </w:r>
    </w:p>
    <w:p w14:paraId="4264F61D" w14:textId="66F84478" w:rsidR="0097744F" w:rsidRPr="00F30805" w:rsidRDefault="0097744F" w:rsidP="00F71672">
      <w:pPr>
        <w:pStyle w:val="Heading4"/>
        <w:rPr>
          <w:rFonts w:eastAsia="MS Mincho"/>
          <w:lang w:val="en-US" w:eastAsia="ja-JP"/>
        </w:rPr>
      </w:pPr>
      <w:r w:rsidRPr="00F30805">
        <w:rPr>
          <w:rFonts w:eastAsia="MS Mincho"/>
          <w:lang w:val="en-US" w:eastAsia="ja-JP"/>
        </w:rPr>
        <w:t>Creatine phosphokinase elevations</w:t>
      </w:r>
    </w:p>
    <w:p w14:paraId="4052FFF4" w14:textId="1489E379" w:rsidR="009572BA" w:rsidRPr="00F30805" w:rsidRDefault="009572BA" w:rsidP="00575345">
      <w:pPr>
        <w:autoSpaceDE w:val="0"/>
        <w:autoSpaceDN w:val="0"/>
        <w:adjustRightInd w:val="0"/>
        <w:spacing w:before="120"/>
        <w:rPr>
          <w:rFonts w:ascii="Arial" w:eastAsia="MS Mincho" w:hAnsi="Arial" w:cs="Arial"/>
          <w:lang w:val="en-US" w:eastAsia="ja-JP"/>
        </w:rPr>
      </w:pPr>
      <w:r w:rsidRPr="00F30805">
        <w:rPr>
          <w:rFonts w:ascii="Arial" w:eastAsia="MS Mincho" w:hAnsi="Arial" w:cs="Arial"/>
          <w:lang w:val="en-US" w:eastAsia="ja-JP"/>
        </w:rPr>
        <w:t xml:space="preserve">In placebo-controlled studies with background DMARDs, for up to 12/14 weeks, increases in creatine phosphokinase (CPK) values were observed. CPK elevations &gt; 5 x ULN were reported in 1.0%, and 0.3% of patients over 12/14 weeks in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and placebo groups, respectively. Most elevations &gt; 5 x ULN were transient and did not require treatment discontinuation. Mean CPK values increased by 4 weeks</w:t>
      </w:r>
      <w:r w:rsidR="00490E0D" w:rsidRPr="00F30805">
        <w:rPr>
          <w:rFonts w:ascii="Arial" w:eastAsia="MS Mincho" w:hAnsi="Arial" w:cs="Arial"/>
          <w:lang w:val="en-US" w:eastAsia="ja-JP"/>
        </w:rPr>
        <w:t xml:space="preserve"> with a mean increase of 60 U/L at 12 weeks </w:t>
      </w:r>
      <w:r w:rsidRPr="00F30805">
        <w:rPr>
          <w:rFonts w:ascii="Arial" w:eastAsia="MS Mincho" w:hAnsi="Arial" w:cs="Arial"/>
          <w:lang w:val="en-US" w:eastAsia="ja-JP"/>
        </w:rPr>
        <w:t xml:space="preserve">and then remained stable at </w:t>
      </w:r>
      <w:r w:rsidR="00490E0D" w:rsidRPr="00F30805">
        <w:rPr>
          <w:rFonts w:ascii="Arial" w:eastAsia="MS Mincho" w:hAnsi="Arial" w:cs="Arial"/>
          <w:lang w:val="en-US" w:eastAsia="ja-JP"/>
        </w:rPr>
        <w:t>an</w:t>
      </w:r>
      <w:r w:rsidRPr="00F30805">
        <w:rPr>
          <w:rFonts w:ascii="Arial" w:eastAsia="MS Mincho" w:hAnsi="Arial" w:cs="Arial"/>
          <w:lang w:val="en-US" w:eastAsia="ja-JP"/>
        </w:rPr>
        <w:t xml:space="preserve"> increased value thereafter including with extended therapy.</w:t>
      </w:r>
    </w:p>
    <w:p w14:paraId="4B321532" w14:textId="77777777" w:rsidR="009572BA" w:rsidRPr="00F30805" w:rsidRDefault="009572BA" w:rsidP="0047640C">
      <w:pPr>
        <w:pStyle w:val="Heading4"/>
        <w:rPr>
          <w:rFonts w:eastAsia="MS Mincho"/>
          <w:lang w:val="en-US" w:eastAsia="ja-JP"/>
        </w:rPr>
      </w:pPr>
      <w:proofErr w:type="spellStart"/>
      <w:r w:rsidRPr="00F30805">
        <w:rPr>
          <w:rFonts w:eastAsia="MS Mincho"/>
          <w:lang w:val="en-US" w:eastAsia="ja-JP"/>
        </w:rPr>
        <w:t>Neutrop</w:t>
      </w:r>
      <w:r w:rsidR="00876773" w:rsidRPr="00F30805">
        <w:rPr>
          <w:rFonts w:eastAsia="MS Mincho"/>
          <w:lang w:val="en-US" w:eastAsia="ja-JP"/>
        </w:rPr>
        <w:t>a</w:t>
      </w:r>
      <w:r w:rsidRPr="00F30805">
        <w:rPr>
          <w:rFonts w:eastAsia="MS Mincho"/>
          <w:lang w:val="en-US" w:eastAsia="ja-JP"/>
        </w:rPr>
        <w:t>enia</w:t>
      </w:r>
      <w:proofErr w:type="spellEnd"/>
    </w:p>
    <w:p w14:paraId="5B640C09" w14:textId="64AA8699" w:rsidR="009572BA" w:rsidRPr="00F30805" w:rsidRDefault="009572BA" w:rsidP="00575345">
      <w:pPr>
        <w:autoSpaceDE w:val="0"/>
        <w:autoSpaceDN w:val="0"/>
        <w:adjustRightInd w:val="0"/>
        <w:rPr>
          <w:rFonts w:ascii="Arial" w:eastAsia="MS Mincho" w:hAnsi="Arial" w:cs="Arial"/>
          <w:lang w:val="en-US" w:eastAsia="ja-JP"/>
        </w:rPr>
      </w:pPr>
      <w:r w:rsidRPr="00F30805">
        <w:rPr>
          <w:rFonts w:ascii="Arial" w:eastAsia="MS Mincho" w:hAnsi="Arial" w:cs="Arial"/>
          <w:lang w:val="en-US" w:eastAsia="ja-JP"/>
        </w:rPr>
        <w:t>In placebo-controlled studies with background DMARDs, for up to 12/14 weeks, decreases in neutrophil counts, below 1000 cells/mm</w:t>
      </w:r>
      <w:r w:rsidRPr="00F30805">
        <w:rPr>
          <w:rFonts w:ascii="Arial" w:eastAsia="MS Mincho" w:hAnsi="Arial" w:cs="Arial"/>
          <w:vertAlign w:val="superscript"/>
          <w:lang w:val="en-US" w:eastAsia="ja-JP"/>
        </w:rPr>
        <w:t>3</w:t>
      </w:r>
      <w:r w:rsidRPr="00F30805">
        <w:rPr>
          <w:rFonts w:ascii="Arial" w:eastAsia="MS Mincho" w:hAnsi="Arial" w:cs="Arial"/>
          <w:lang w:val="en-US" w:eastAsia="ja-JP"/>
        </w:rPr>
        <w:t xml:space="preserve"> in at least one measurement occurred in 1.1% and &lt;0.1% of patients in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and placebo groups, respectively. In clinical studies, </w:t>
      </w:r>
      <w:r w:rsidRPr="00F30805">
        <w:rPr>
          <w:rFonts w:ascii="Arial" w:eastAsia="MS Mincho" w:hAnsi="Arial" w:cs="Arial"/>
          <w:lang w:val="en-US" w:eastAsia="ja-JP"/>
        </w:rPr>
        <w:lastRenderedPageBreak/>
        <w:t>treatment was interrupted in response to ANC &lt;</w:t>
      </w:r>
      <w:r w:rsidR="0097744F" w:rsidRPr="00F30805">
        <w:rPr>
          <w:rFonts w:ascii="Arial" w:eastAsia="MS Mincho" w:hAnsi="Arial" w:cs="Arial"/>
          <w:lang w:val="en-US" w:eastAsia="ja-JP"/>
        </w:rPr>
        <w:t>1000</w:t>
      </w:r>
      <w:r w:rsidRPr="00F30805">
        <w:rPr>
          <w:rFonts w:ascii="Arial" w:eastAsia="MS Mincho" w:hAnsi="Arial" w:cs="Arial"/>
          <w:lang w:val="en-US" w:eastAsia="ja-JP"/>
        </w:rPr>
        <w:t xml:space="preserve"> cells/mm</w:t>
      </w:r>
      <w:r w:rsidRPr="00F30805">
        <w:rPr>
          <w:rFonts w:ascii="Arial" w:eastAsia="MS Mincho" w:hAnsi="Arial" w:cs="Arial"/>
          <w:vertAlign w:val="superscript"/>
          <w:lang w:val="en-US" w:eastAsia="ja-JP"/>
        </w:rPr>
        <w:t>3</w:t>
      </w:r>
      <w:r w:rsidRPr="00F30805">
        <w:rPr>
          <w:rFonts w:ascii="Arial" w:eastAsia="MS Mincho" w:hAnsi="Arial" w:cs="Arial"/>
          <w:lang w:val="en-US" w:eastAsia="ja-JP"/>
        </w:rPr>
        <w:t>. The pattern and incidence of decreases in neutrophil counts remained stable at a lower value than baseline over time including with extended therapy.</w:t>
      </w:r>
    </w:p>
    <w:p w14:paraId="282E8C30" w14:textId="5AA1A22D" w:rsidR="009572BA" w:rsidRPr="00F30805" w:rsidRDefault="009572BA" w:rsidP="0047640C">
      <w:pPr>
        <w:pStyle w:val="Heading4"/>
        <w:rPr>
          <w:rFonts w:eastAsia="MS Mincho"/>
          <w:lang w:val="en-US" w:eastAsia="ja-JP"/>
        </w:rPr>
      </w:pPr>
      <w:proofErr w:type="spellStart"/>
      <w:r w:rsidRPr="00F30805">
        <w:rPr>
          <w:rFonts w:eastAsia="MS Mincho"/>
          <w:lang w:val="en-US" w:eastAsia="ja-JP"/>
        </w:rPr>
        <w:t>Lymphopaenia</w:t>
      </w:r>
      <w:proofErr w:type="spellEnd"/>
    </w:p>
    <w:p w14:paraId="1CC4DBE4" w14:textId="3AA5E96A" w:rsidR="009572BA" w:rsidRPr="00F30805" w:rsidRDefault="009572BA" w:rsidP="00575345">
      <w:pPr>
        <w:autoSpaceDE w:val="0"/>
        <w:autoSpaceDN w:val="0"/>
        <w:adjustRightInd w:val="0"/>
        <w:rPr>
          <w:rFonts w:ascii="Arial" w:eastAsia="MS Mincho" w:hAnsi="Arial" w:cs="Arial"/>
          <w:lang w:val="en-US" w:eastAsia="ja-JP"/>
        </w:rPr>
      </w:pPr>
      <w:r w:rsidRPr="00F30805">
        <w:rPr>
          <w:rFonts w:ascii="Arial" w:eastAsia="MS Mincho" w:hAnsi="Arial" w:cs="Arial"/>
          <w:lang w:val="en-US" w:eastAsia="ja-JP"/>
        </w:rPr>
        <w:t>In placebo-controlled studies with background DMARDs, for up to 12/14 weeks, decreases in lymphocyte counts below 500 cells/mm</w:t>
      </w:r>
      <w:r w:rsidRPr="00F30805">
        <w:rPr>
          <w:rFonts w:ascii="Arial" w:eastAsia="MS Mincho" w:hAnsi="Arial" w:cs="Arial"/>
          <w:vertAlign w:val="superscript"/>
          <w:lang w:val="en-US" w:eastAsia="ja-JP"/>
        </w:rPr>
        <w:t>3</w:t>
      </w:r>
      <w:r w:rsidRPr="00F30805">
        <w:rPr>
          <w:rFonts w:ascii="Arial" w:eastAsia="MS Mincho" w:hAnsi="Arial" w:cs="Arial"/>
          <w:lang w:val="en-US" w:eastAsia="ja-JP"/>
        </w:rPr>
        <w:t xml:space="preserve"> in at least one measurement occurred in 0.9% and 0.7% of patients in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and placebo groups, respectively.</w:t>
      </w:r>
    </w:p>
    <w:p w14:paraId="4734741F" w14:textId="77777777" w:rsidR="009572BA" w:rsidRPr="00F30805" w:rsidRDefault="009572BA" w:rsidP="0047640C">
      <w:pPr>
        <w:pStyle w:val="Heading4"/>
        <w:rPr>
          <w:rFonts w:eastAsia="MS Mincho"/>
          <w:lang w:val="en-US" w:eastAsia="ja-JP"/>
        </w:rPr>
      </w:pPr>
      <w:proofErr w:type="spellStart"/>
      <w:r w:rsidRPr="00F30805">
        <w:rPr>
          <w:rFonts w:eastAsia="MS Mincho"/>
          <w:lang w:val="en-US" w:eastAsia="ja-JP"/>
        </w:rPr>
        <w:t>Anaemia</w:t>
      </w:r>
      <w:proofErr w:type="spellEnd"/>
      <w:r w:rsidRPr="00F30805">
        <w:rPr>
          <w:rFonts w:eastAsia="MS Mincho"/>
          <w:lang w:val="en-US" w:eastAsia="ja-JP"/>
        </w:rPr>
        <w:t xml:space="preserve"> </w:t>
      </w:r>
    </w:p>
    <w:p w14:paraId="4257AF3D" w14:textId="4F42FC43" w:rsidR="009572BA" w:rsidRPr="00F30805" w:rsidRDefault="009572BA" w:rsidP="00575345">
      <w:pPr>
        <w:spacing w:before="120"/>
        <w:rPr>
          <w:rFonts w:ascii="Arial" w:eastAsia="MS Mincho" w:hAnsi="Arial" w:cs="Arial"/>
          <w:lang w:val="en-US" w:eastAsia="ja-JP"/>
        </w:rPr>
      </w:pPr>
      <w:r w:rsidRPr="00F30805">
        <w:rPr>
          <w:rFonts w:ascii="Arial" w:eastAsia="MS Mincho" w:hAnsi="Arial" w:cs="Arial"/>
          <w:lang w:val="en-US" w:eastAsia="ja-JP"/>
        </w:rPr>
        <w:t xml:space="preserve">In placebo-controlled studies with background DMARDs, for up to 12/14 weeks, </w:t>
      </w:r>
      <w:proofErr w:type="spellStart"/>
      <w:r w:rsidRPr="00F30805">
        <w:rPr>
          <w:rFonts w:ascii="Arial" w:eastAsia="MS Mincho" w:hAnsi="Arial" w:cs="Arial"/>
          <w:lang w:val="en-US" w:eastAsia="ja-JP"/>
        </w:rPr>
        <w:t>haemoglobin</w:t>
      </w:r>
      <w:proofErr w:type="spellEnd"/>
      <w:r w:rsidRPr="00F30805">
        <w:rPr>
          <w:rFonts w:ascii="Arial" w:eastAsia="MS Mincho" w:hAnsi="Arial" w:cs="Arial"/>
          <w:lang w:val="en-US" w:eastAsia="ja-JP"/>
        </w:rPr>
        <w:t xml:space="preserve"> decreases below 8 g/</w:t>
      </w:r>
      <w:r w:rsidR="005E2731" w:rsidRPr="00F30805">
        <w:rPr>
          <w:rFonts w:ascii="Arial" w:eastAsia="MS Mincho" w:hAnsi="Arial" w:cs="Arial"/>
          <w:lang w:val="en-US" w:eastAsia="ja-JP"/>
        </w:rPr>
        <w:t>d</w:t>
      </w:r>
      <w:r w:rsidRPr="00F30805">
        <w:rPr>
          <w:rFonts w:ascii="Arial" w:eastAsia="MS Mincho" w:hAnsi="Arial" w:cs="Arial"/>
          <w:lang w:val="en-US" w:eastAsia="ja-JP"/>
        </w:rPr>
        <w:t xml:space="preserve">L in at least one measurement occurred in &lt;0.1% of patients in both the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and placebo groups.</w:t>
      </w:r>
    </w:p>
    <w:p w14:paraId="38EA992B" w14:textId="77777777" w:rsidR="009572BA" w:rsidRPr="00F30805" w:rsidRDefault="009572BA" w:rsidP="009572BA">
      <w:pPr>
        <w:pStyle w:val="Heading3"/>
        <w:spacing w:before="0" w:after="120"/>
        <w:rPr>
          <w:rFonts w:cs="Arial"/>
          <w:bCs w:val="0"/>
          <w:sz w:val="24"/>
        </w:rPr>
      </w:pPr>
      <w:r w:rsidRPr="00F30805">
        <w:rPr>
          <w:rFonts w:cs="Arial"/>
          <w:bCs w:val="0"/>
          <w:sz w:val="24"/>
        </w:rPr>
        <w:t>Reporting suspected adverse effects</w:t>
      </w:r>
    </w:p>
    <w:p w14:paraId="1B02D094" w14:textId="24693B86" w:rsidR="009572BA" w:rsidRPr="00F30805" w:rsidRDefault="009572BA" w:rsidP="00575345">
      <w:pPr>
        <w:spacing w:before="120"/>
        <w:rPr>
          <w:rFonts w:ascii="Arial" w:hAnsi="Arial" w:cs="Arial"/>
          <w:b/>
          <w:w w:val="107"/>
        </w:rPr>
      </w:pPr>
      <w:r w:rsidRPr="00F30805">
        <w:rPr>
          <w:rFonts w:ascii="Arial" w:hAnsi="Arial" w:cs="Arial"/>
          <w:w w:val="107"/>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F30805">
          <w:rPr>
            <w:rStyle w:val="Hyperlink"/>
            <w:rFonts w:ascii="Arial" w:hAnsi="Arial" w:cs="Arial"/>
            <w:color w:val="auto"/>
            <w:w w:val="107"/>
          </w:rPr>
          <w:t>www.tga.gov.au/reporting­problems.</w:t>
        </w:r>
      </w:hyperlink>
      <w:r w:rsidRPr="00F30805">
        <w:rPr>
          <w:rStyle w:val="Hyperlink"/>
          <w:rFonts w:ascii="Arial" w:hAnsi="Arial" w:cs="Arial"/>
          <w:color w:val="auto"/>
          <w:w w:val="107"/>
          <w:u w:val="none"/>
        </w:rPr>
        <w:t xml:space="preserve"> </w:t>
      </w:r>
    </w:p>
    <w:p w14:paraId="56087BF5" w14:textId="77777777" w:rsidR="00180F69" w:rsidRPr="00F30805" w:rsidRDefault="001A3992" w:rsidP="00180F69">
      <w:pPr>
        <w:pStyle w:val="Heading2"/>
        <w:keepNext/>
        <w:keepLines/>
        <w:spacing w:before="0" w:after="120"/>
        <w:rPr>
          <w:rFonts w:ascii="Arial" w:hAnsi="Arial" w:cs="Arial"/>
        </w:rPr>
      </w:pPr>
      <w:r w:rsidRPr="00F30805">
        <w:rPr>
          <w:rFonts w:ascii="Arial" w:hAnsi="Arial" w:cs="Arial"/>
        </w:rPr>
        <w:t>Overdose</w:t>
      </w:r>
    </w:p>
    <w:p w14:paraId="1E8836B4" w14:textId="7628DA25" w:rsidR="009572BA" w:rsidRPr="00F30805" w:rsidRDefault="009572BA" w:rsidP="00AE0B35">
      <w:pPr>
        <w:spacing w:before="120"/>
        <w:rPr>
          <w:rFonts w:ascii="Arial" w:hAnsi="Arial" w:cs="Arial"/>
          <w:w w:val="107"/>
        </w:rPr>
      </w:pPr>
      <w:r w:rsidRPr="00F30805">
        <w:rPr>
          <w:rFonts w:ascii="Arial" w:hAnsi="Arial" w:cs="Arial"/>
          <w:w w:val="107"/>
        </w:rPr>
        <w:t xml:space="preserve">Upadacitinib was administered in clinical trials up to doses equivalent in daily AUC to 60 mg </w:t>
      </w:r>
      <w:r w:rsidR="000546C5" w:rsidRPr="00F30805">
        <w:rPr>
          <w:rFonts w:ascii="Arial" w:hAnsi="Arial" w:cs="Arial"/>
          <w:w w:val="107"/>
        </w:rPr>
        <w:t>modified</w:t>
      </w:r>
      <w:r w:rsidR="00DF35DA" w:rsidRPr="00F30805">
        <w:rPr>
          <w:rFonts w:ascii="Arial" w:hAnsi="Arial" w:cs="Arial"/>
          <w:w w:val="107"/>
        </w:rPr>
        <w:t xml:space="preserve"> </w:t>
      </w:r>
      <w:r w:rsidRPr="00F30805">
        <w:rPr>
          <w:rFonts w:ascii="Arial" w:hAnsi="Arial" w:cs="Arial"/>
          <w:w w:val="107"/>
        </w:rPr>
        <w:t>release once daily. Adverse events were comparable to those seen at lower doses and no specific toxicities were identified. Approximately 90% of upadacitinib in the systemic circulation is eliminated within 24 hours of dosing (within the range of doses evaluated in clinical studies). In case of an overdose, it is recommended that the patient be monitored for signs and symptoms of adverse reactions. Patients who develop adverse reactions should receive appropriate treatment.</w:t>
      </w:r>
    </w:p>
    <w:p w14:paraId="6AA762EB" w14:textId="77777777" w:rsidR="009572BA" w:rsidRPr="00F30805" w:rsidRDefault="009572BA" w:rsidP="00AE0B35">
      <w:pPr>
        <w:spacing w:before="120"/>
        <w:rPr>
          <w:rFonts w:ascii="Arial" w:hAnsi="Arial" w:cs="Arial"/>
          <w:w w:val="107"/>
        </w:rPr>
      </w:pPr>
      <w:r w:rsidRPr="00F30805">
        <w:rPr>
          <w:rFonts w:ascii="Arial" w:hAnsi="Arial" w:cs="Arial"/>
          <w:w w:val="107"/>
        </w:rPr>
        <w:t xml:space="preserve">For information on the management of overdose in Australia contact the Poisons Information Centre on 131126. </w:t>
      </w:r>
    </w:p>
    <w:p w14:paraId="328AAECF" w14:textId="77777777" w:rsidR="001A3992" w:rsidRPr="00F30805" w:rsidRDefault="001A3992" w:rsidP="00F177D3">
      <w:pPr>
        <w:pStyle w:val="Heading1"/>
        <w:numPr>
          <w:ilvl w:val="0"/>
          <w:numId w:val="22"/>
        </w:numPr>
        <w:spacing w:before="240" w:after="240"/>
        <w:ind w:left="431" w:hanging="431"/>
        <w:rPr>
          <w:rFonts w:ascii="Arial" w:hAnsi="Arial" w:cs="Arial"/>
        </w:rPr>
      </w:pPr>
      <w:r w:rsidRPr="00F30805">
        <w:rPr>
          <w:rFonts w:ascii="Arial" w:hAnsi="Arial" w:cs="Arial"/>
        </w:rPr>
        <w:t>Pharmacological properties</w:t>
      </w:r>
    </w:p>
    <w:p w14:paraId="0D610216" w14:textId="77777777" w:rsidR="00180F69" w:rsidRPr="00F30805" w:rsidRDefault="001A3992" w:rsidP="00180F69">
      <w:pPr>
        <w:pStyle w:val="Heading2"/>
        <w:spacing w:before="0" w:after="120"/>
        <w:rPr>
          <w:rFonts w:ascii="Arial" w:hAnsi="Arial" w:cs="Arial"/>
          <w:lang w:val="en-US"/>
        </w:rPr>
      </w:pPr>
      <w:r w:rsidRPr="00F30805">
        <w:rPr>
          <w:rFonts w:ascii="Arial" w:hAnsi="Arial" w:cs="Arial"/>
          <w:lang w:val="en-US"/>
        </w:rPr>
        <w:t>Pharmacodynamic properties</w:t>
      </w:r>
    </w:p>
    <w:p w14:paraId="5D99B306" w14:textId="77777777" w:rsidR="00D92430" w:rsidRPr="00F30805" w:rsidRDefault="00D92430" w:rsidP="00AE0B35">
      <w:pPr>
        <w:spacing w:before="120"/>
        <w:rPr>
          <w:rFonts w:ascii="Arial" w:hAnsi="Arial" w:cs="Arial"/>
        </w:rPr>
      </w:pPr>
      <w:r w:rsidRPr="00F30805">
        <w:rPr>
          <w:rFonts w:ascii="Arial" w:hAnsi="Arial" w:cs="Arial"/>
        </w:rPr>
        <w:t>ATC code: not yet assigned.</w:t>
      </w:r>
    </w:p>
    <w:p w14:paraId="6C75CD63" w14:textId="77777777" w:rsidR="001A3992" w:rsidRPr="00F30805" w:rsidRDefault="001A3992" w:rsidP="00180F69">
      <w:pPr>
        <w:pStyle w:val="Heading3"/>
        <w:rPr>
          <w:rFonts w:cs="Arial"/>
        </w:rPr>
      </w:pPr>
      <w:r w:rsidRPr="00F30805">
        <w:rPr>
          <w:rFonts w:cs="Arial"/>
        </w:rPr>
        <w:lastRenderedPageBreak/>
        <w:t>Mechanism of action</w:t>
      </w:r>
    </w:p>
    <w:p w14:paraId="7E55317E" w14:textId="77777777" w:rsidR="00D92430" w:rsidRPr="00F30805" w:rsidRDefault="00D92430" w:rsidP="00AE0B35">
      <w:pPr>
        <w:tabs>
          <w:tab w:val="left" w:pos="780"/>
        </w:tabs>
        <w:spacing w:before="120"/>
        <w:rPr>
          <w:rFonts w:ascii="Arial" w:hAnsi="Arial" w:cs="Arial"/>
          <w:w w:val="107"/>
        </w:rPr>
      </w:pPr>
      <w:r w:rsidRPr="00F30805">
        <w:rPr>
          <w:rFonts w:ascii="Arial" w:hAnsi="Arial" w:cs="Arial"/>
          <w:w w:val="107"/>
        </w:rPr>
        <w:t>Janus Kinases (JAKs) are important intracellular enzymes that transmit cytokine or growth factor signals involved in a broad range of cellular processes including inflammatory responses, haematopoiesis and immune surveillance. The JAK family of enzymes contains four members, JAK1, JAK2, JAK3 and TYK2 which work in pairs to phosphorylate and activate signal transducers and activators of transcription (STATs). This phosphorylation, in turn, modulates gene expression and cellular function. JAK1 is important in inflammatory cytokine signals while JAK2 is important for red blood cell maturation and JAK3 signals play a role in immune surveillance and lymphocyte function.</w:t>
      </w:r>
    </w:p>
    <w:p w14:paraId="2558A995" w14:textId="06456516" w:rsidR="00D92430" w:rsidRPr="00F30805" w:rsidRDefault="00D92430" w:rsidP="002500CC">
      <w:pPr>
        <w:rPr>
          <w:rFonts w:ascii="Arial" w:hAnsi="Arial" w:cs="Arial"/>
          <w:b/>
          <w:w w:val="107"/>
        </w:rPr>
      </w:pPr>
      <w:r w:rsidRPr="00F30805">
        <w:rPr>
          <w:rFonts w:ascii="Arial" w:hAnsi="Arial" w:cs="Arial"/>
          <w:w w:val="107"/>
        </w:rPr>
        <w:t xml:space="preserve">Upadacitinib is a selective and reversible inhibitor of JAK1. Upadacitinib more potently inhibits JAK1 compared to JAK2 and JAK3. In cellular potency assays that correlated with the </w:t>
      </w:r>
      <w:r w:rsidRPr="00F30805">
        <w:rPr>
          <w:rFonts w:ascii="Arial" w:hAnsi="Arial" w:cs="Arial"/>
          <w:i/>
          <w:w w:val="107"/>
        </w:rPr>
        <w:t>in vivo</w:t>
      </w:r>
      <w:r w:rsidRPr="00F30805">
        <w:rPr>
          <w:rFonts w:ascii="Arial" w:hAnsi="Arial" w:cs="Arial"/>
          <w:w w:val="107"/>
        </w:rPr>
        <w:t xml:space="preserve"> pharmacodynamic responses, upadacitinib demonstrated </w:t>
      </w:r>
      <w:r w:rsidR="00840F84" w:rsidRPr="00F30805">
        <w:rPr>
          <w:rFonts w:ascii="Arial" w:hAnsi="Arial" w:cs="Arial"/>
          <w:w w:val="107"/>
        </w:rPr>
        <w:t>33-197</w:t>
      </w:r>
      <w:r w:rsidRPr="00F30805">
        <w:rPr>
          <w:rFonts w:ascii="Arial" w:hAnsi="Arial" w:cs="Arial"/>
          <w:w w:val="107"/>
        </w:rPr>
        <w:t>-fold greater selectivity for JAK1</w:t>
      </w:r>
      <w:r w:rsidR="00FA5338" w:rsidRPr="00F30805">
        <w:rPr>
          <w:rFonts w:ascii="Arial" w:hAnsi="Arial" w:cs="Arial"/>
          <w:w w:val="107"/>
        </w:rPr>
        <w:t>-associated signalling</w:t>
      </w:r>
      <w:r w:rsidRPr="00F30805">
        <w:rPr>
          <w:rFonts w:ascii="Arial" w:hAnsi="Arial" w:cs="Arial"/>
          <w:w w:val="107"/>
        </w:rPr>
        <w:t xml:space="preserve"> over JAK2</w:t>
      </w:r>
      <w:r w:rsidR="00FA5338" w:rsidRPr="00F30805">
        <w:rPr>
          <w:rFonts w:ascii="Arial" w:hAnsi="Arial" w:cs="Arial"/>
          <w:w w:val="107"/>
        </w:rPr>
        <w:t>-JAK2 signalling. In enzyme assays, upadacitinib</w:t>
      </w:r>
      <w:r w:rsidRPr="00F30805">
        <w:rPr>
          <w:rFonts w:ascii="Arial" w:hAnsi="Arial" w:cs="Arial"/>
          <w:w w:val="107"/>
        </w:rPr>
        <w:t xml:space="preserve"> </w:t>
      </w:r>
      <w:r w:rsidR="00FA5338" w:rsidRPr="00F30805">
        <w:rPr>
          <w:rFonts w:ascii="Arial" w:hAnsi="Arial" w:cs="Arial"/>
          <w:w w:val="107"/>
        </w:rPr>
        <w:t>had</w:t>
      </w:r>
      <w:r w:rsidRPr="00F30805">
        <w:rPr>
          <w:rFonts w:ascii="Arial" w:hAnsi="Arial" w:cs="Arial"/>
          <w:w w:val="107"/>
        </w:rPr>
        <w:t xml:space="preserve"> &gt;</w:t>
      </w:r>
      <w:r w:rsidR="00840F84" w:rsidRPr="00F30805">
        <w:rPr>
          <w:rFonts w:ascii="Arial" w:hAnsi="Arial" w:cs="Arial"/>
          <w:w w:val="107"/>
        </w:rPr>
        <w:t>50</w:t>
      </w:r>
      <w:r w:rsidRPr="00F30805">
        <w:rPr>
          <w:rFonts w:ascii="Arial" w:hAnsi="Arial" w:cs="Arial"/>
          <w:w w:val="107"/>
        </w:rPr>
        <w:t>-fold</w:t>
      </w:r>
      <w:r w:rsidR="00FA5338" w:rsidRPr="00F30805">
        <w:rPr>
          <w:rFonts w:ascii="Arial" w:hAnsi="Arial" w:cs="Arial"/>
          <w:w w:val="107"/>
        </w:rPr>
        <w:t xml:space="preserve"> selectivity</w:t>
      </w:r>
      <w:r w:rsidRPr="00F30805">
        <w:rPr>
          <w:rFonts w:ascii="Arial" w:hAnsi="Arial" w:cs="Arial"/>
          <w:w w:val="107"/>
        </w:rPr>
        <w:t xml:space="preserve"> for JAK1 over JAK3.</w:t>
      </w:r>
    </w:p>
    <w:p w14:paraId="556E87E1" w14:textId="77777777" w:rsidR="00D92430" w:rsidRPr="00F30805" w:rsidRDefault="00D92430" w:rsidP="00D92430">
      <w:pPr>
        <w:outlineLvl w:val="1"/>
        <w:rPr>
          <w:rFonts w:ascii="Arial" w:hAnsi="Arial" w:cs="Arial"/>
          <w:b/>
          <w:bCs/>
          <w:lang w:val="en-US"/>
        </w:rPr>
      </w:pPr>
      <w:r w:rsidRPr="00F30805">
        <w:rPr>
          <w:rFonts w:ascii="Arial" w:hAnsi="Arial" w:cs="Arial"/>
          <w:b/>
          <w:bCs/>
          <w:lang w:val="en-US"/>
        </w:rPr>
        <w:t>Pharmacodynamics</w:t>
      </w:r>
    </w:p>
    <w:p w14:paraId="0C5F98E9" w14:textId="77777777" w:rsidR="00D92430" w:rsidRPr="00F30805" w:rsidRDefault="00D92430" w:rsidP="00B73976">
      <w:pPr>
        <w:pStyle w:val="Heading4"/>
        <w:rPr>
          <w:rFonts w:eastAsia="MS Mincho"/>
          <w:lang w:val="en-US" w:eastAsia="ja-JP"/>
        </w:rPr>
      </w:pPr>
      <w:r w:rsidRPr="00F30805">
        <w:rPr>
          <w:rFonts w:eastAsia="MS Mincho"/>
          <w:lang w:val="en-US" w:eastAsia="ja-JP"/>
        </w:rPr>
        <w:t xml:space="preserve">Inhibition of IL-6 induced STAT3 and IL-7 induced STAT5 phosphorylation </w:t>
      </w:r>
    </w:p>
    <w:p w14:paraId="4A79D1C6" w14:textId="77777777" w:rsidR="00D92430" w:rsidRPr="00F30805" w:rsidRDefault="00D92430" w:rsidP="00AE0B35">
      <w:pPr>
        <w:rPr>
          <w:rFonts w:ascii="Arial" w:eastAsia="MS Mincho" w:hAnsi="Arial" w:cs="Arial"/>
          <w:lang w:val="en-US" w:eastAsia="ja-JP"/>
        </w:rPr>
      </w:pPr>
      <w:r w:rsidRPr="00F30805">
        <w:rPr>
          <w:rFonts w:ascii="Arial" w:eastAsia="MS Mincho" w:hAnsi="Arial" w:cs="Arial"/>
          <w:lang w:val="en-US" w:eastAsia="ja-JP"/>
        </w:rPr>
        <w:t>In healthy volunteers, the administration of upadacitinib (immediate release formulation) resulted in a dose- and concentration-dependent inhibition of IL-6 (JAK1/JAK2)-induced STAT3 and IL-7 (JAK1/JAK3)-induced STAT5 phosphorylation in whole blood. The maximal inhibition was observed 1 hour after dosing which returned to near baseline by the end of dosing interval.</w:t>
      </w:r>
    </w:p>
    <w:p w14:paraId="3E717C6F" w14:textId="77777777" w:rsidR="00D92430" w:rsidRPr="00F30805" w:rsidRDefault="00D92430" w:rsidP="00B73976">
      <w:pPr>
        <w:pStyle w:val="Heading4"/>
        <w:rPr>
          <w:rFonts w:eastAsia="MS Mincho"/>
          <w:lang w:val="en-US" w:eastAsia="ja-JP"/>
        </w:rPr>
      </w:pPr>
      <w:r w:rsidRPr="00F30805">
        <w:rPr>
          <w:rFonts w:eastAsia="MS Mincho"/>
          <w:lang w:val="en-US" w:eastAsia="ja-JP"/>
        </w:rPr>
        <w:t xml:space="preserve">Lymphocytes </w:t>
      </w:r>
    </w:p>
    <w:p w14:paraId="22BF908F" w14:textId="77777777" w:rsidR="00D92430" w:rsidRPr="00F30805" w:rsidRDefault="00D92430" w:rsidP="00AE0B35">
      <w:pPr>
        <w:rPr>
          <w:rFonts w:ascii="Arial" w:eastAsia="MS Mincho" w:hAnsi="Arial" w:cs="Arial"/>
          <w:u w:val="single"/>
          <w:lang w:val="en-US" w:eastAsia="ja-JP"/>
        </w:rPr>
      </w:pPr>
      <w:r w:rsidRPr="00F30805">
        <w:rPr>
          <w:rFonts w:ascii="Arial" w:eastAsia="MS Mincho" w:hAnsi="Arial" w:cs="Arial"/>
          <w:lang w:val="en-US" w:eastAsia="ja-JP"/>
        </w:rPr>
        <w:t>Treatment with upadacitinib was associated with a small, transient increase in mean ALC from baseline up to Week 36 which gradually returned to, at or near baseline levels with continued treatment.</w:t>
      </w:r>
    </w:p>
    <w:p w14:paraId="2A197672" w14:textId="77777777" w:rsidR="00D92430" w:rsidRPr="00F30805" w:rsidRDefault="00D92430" w:rsidP="00B73976">
      <w:pPr>
        <w:pStyle w:val="Heading4"/>
        <w:rPr>
          <w:rFonts w:eastAsia="MS Mincho"/>
          <w:i/>
          <w:lang w:val="en-US" w:eastAsia="ja-JP"/>
        </w:rPr>
      </w:pPr>
      <w:r w:rsidRPr="00F30805">
        <w:rPr>
          <w:rFonts w:eastAsia="MS Mincho"/>
          <w:lang w:val="en-US" w:eastAsia="ja-JP"/>
        </w:rPr>
        <w:t>Immunoglobulins</w:t>
      </w:r>
    </w:p>
    <w:p w14:paraId="2DE1CB9B" w14:textId="77777777" w:rsidR="00D92430" w:rsidRPr="00F30805" w:rsidRDefault="00D92430" w:rsidP="00AE0B35">
      <w:pPr>
        <w:autoSpaceDE w:val="0"/>
        <w:autoSpaceDN w:val="0"/>
        <w:adjustRightInd w:val="0"/>
        <w:rPr>
          <w:rFonts w:ascii="Arial" w:eastAsia="MS Mincho" w:hAnsi="Arial" w:cs="Arial"/>
          <w:lang w:val="en-US" w:eastAsia="ja-JP"/>
        </w:rPr>
      </w:pPr>
      <w:r w:rsidRPr="00F30805">
        <w:rPr>
          <w:rFonts w:ascii="Arial" w:eastAsia="MS Mincho" w:hAnsi="Arial" w:cs="Arial"/>
          <w:lang w:val="en-US" w:eastAsia="ja-JP"/>
        </w:rPr>
        <w:t>In the controlled period, small decreases from baseline in mean IgG and IgM levels were observed with upadacitinib treatment; however, the mean values at baseline and at all visits were within the normal reference range.</w:t>
      </w:r>
    </w:p>
    <w:p w14:paraId="4A4CCB21" w14:textId="77777777" w:rsidR="00D92430" w:rsidRPr="00F30805" w:rsidRDefault="00D92430" w:rsidP="00B73976">
      <w:pPr>
        <w:pStyle w:val="Heading4"/>
        <w:rPr>
          <w:rFonts w:eastAsia="MS Mincho"/>
          <w:lang w:val="en-US" w:eastAsia="ja-JP"/>
        </w:rPr>
      </w:pPr>
      <w:r w:rsidRPr="00F30805">
        <w:rPr>
          <w:rFonts w:eastAsia="MS Mincho"/>
          <w:lang w:val="en-US" w:eastAsia="ja-JP"/>
        </w:rPr>
        <w:lastRenderedPageBreak/>
        <w:t>High-Sensitivity (</w:t>
      </w:r>
      <w:proofErr w:type="spellStart"/>
      <w:r w:rsidRPr="00F30805">
        <w:rPr>
          <w:rFonts w:eastAsia="MS Mincho"/>
          <w:lang w:val="en-US" w:eastAsia="ja-JP"/>
        </w:rPr>
        <w:t>hs</w:t>
      </w:r>
      <w:proofErr w:type="spellEnd"/>
      <w:r w:rsidRPr="00F30805">
        <w:rPr>
          <w:rFonts w:eastAsia="MS Mincho"/>
          <w:lang w:val="en-US" w:eastAsia="ja-JP"/>
        </w:rPr>
        <w:t>) CRP</w:t>
      </w:r>
    </w:p>
    <w:p w14:paraId="7F199850" w14:textId="77777777" w:rsidR="00D92430" w:rsidRPr="00F30805" w:rsidRDefault="00D92430" w:rsidP="00AE0B35">
      <w:pPr>
        <w:rPr>
          <w:rFonts w:ascii="Arial" w:eastAsia="MS Mincho" w:hAnsi="Arial" w:cs="Arial"/>
          <w:lang w:val="en-US" w:eastAsia="ja-JP"/>
        </w:rPr>
      </w:pPr>
      <w:r w:rsidRPr="00F30805">
        <w:rPr>
          <w:rFonts w:ascii="Arial" w:eastAsia="MS Mincho" w:hAnsi="Arial" w:cs="Arial"/>
          <w:lang w:val="en-US" w:eastAsia="ja-JP"/>
        </w:rPr>
        <w:t xml:space="preserve">Treatment with upadacitinib was associated with significant decreases from baseline in mean </w:t>
      </w:r>
      <w:proofErr w:type="spellStart"/>
      <w:r w:rsidRPr="00F30805">
        <w:rPr>
          <w:rFonts w:ascii="Arial" w:eastAsia="MS Mincho" w:hAnsi="Arial" w:cs="Arial"/>
          <w:lang w:val="en-US" w:eastAsia="ja-JP"/>
        </w:rPr>
        <w:t>hsCRP</w:t>
      </w:r>
      <w:proofErr w:type="spellEnd"/>
      <w:r w:rsidRPr="00F30805">
        <w:rPr>
          <w:rFonts w:ascii="Arial" w:eastAsia="MS Mincho" w:hAnsi="Arial" w:cs="Arial"/>
          <w:lang w:val="en-US" w:eastAsia="ja-JP"/>
        </w:rPr>
        <w:t xml:space="preserve"> levels as early as Week 1 which were maintained with continued treatment.</w:t>
      </w:r>
    </w:p>
    <w:p w14:paraId="13F52169" w14:textId="77777777" w:rsidR="00D92430" w:rsidRPr="00F30805" w:rsidRDefault="00D92430" w:rsidP="00B73976">
      <w:pPr>
        <w:pStyle w:val="Heading4"/>
        <w:rPr>
          <w:rFonts w:eastAsia="MS Mincho"/>
          <w:lang w:val="en-US" w:eastAsia="ja-JP"/>
        </w:rPr>
      </w:pPr>
      <w:r w:rsidRPr="00F30805">
        <w:rPr>
          <w:rFonts w:eastAsia="MS Mincho"/>
          <w:lang w:val="en-US" w:eastAsia="ja-JP"/>
        </w:rPr>
        <w:t>Cardiac electrophysiology</w:t>
      </w:r>
    </w:p>
    <w:p w14:paraId="3E0F85CC" w14:textId="77777777" w:rsidR="00D92430" w:rsidRPr="00F30805" w:rsidRDefault="00D92430" w:rsidP="00066888">
      <w:pPr>
        <w:rPr>
          <w:rFonts w:ascii="Arial" w:eastAsia="MS Mincho" w:hAnsi="Arial" w:cs="Arial"/>
          <w:lang w:val="en-US" w:eastAsia="ja-JP"/>
        </w:rPr>
      </w:pPr>
      <w:r w:rsidRPr="00F30805">
        <w:rPr>
          <w:rFonts w:ascii="Arial" w:eastAsia="MS Mincho" w:hAnsi="Arial" w:cs="Arial"/>
          <w:lang w:val="en-US" w:eastAsia="ja-JP"/>
        </w:rPr>
        <w:t xml:space="preserve">The effect of upadacitinib on </w:t>
      </w:r>
      <w:proofErr w:type="spellStart"/>
      <w:r w:rsidRPr="00F30805">
        <w:rPr>
          <w:rFonts w:ascii="Arial" w:eastAsia="MS Mincho" w:hAnsi="Arial" w:cs="Arial"/>
          <w:lang w:val="en-US" w:eastAsia="ja-JP"/>
        </w:rPr>
        <w:t>QTc</w:t>
      </w:r>
      <w:proofErr w:type="spellEnd"/>
      <w:r w:rsidRPr="00F30805">
        <w:rPr>
          <w:rFonts w:ascii="Arial" w:eastAsia="MS Mincho" w:hAnsi="Arial" w:cs="Arial"/>
          <w:lang w:val="en-US" w:eastAsia="ja-JP"/>
        </w:rPr>
        <w:t xml:space="preserve"> interval was evaluated in subjects who received single and multiple doses of upadacitinib. Upadacitinib does not prolong QTc interval at therapeutic or supratherapeutic plasma concentrations.</w:t>
      </w:r>
    </w:p>
    <w:p w14:paraId="748CB5FA" w14:textId="77777777" w:rsidR="001A3992" w:rsidRPr="00F30805" w:rsidRDefault="001A3992" w:rsidP="00D92430">
      <w:pPr>
        <w:pStyle w:val="Heading3"/>
        <w:spacing w:before="0" w:after="120"/>
        <w:rPr>
          <w:rFonts w:cs="Arial"/>
          <w:lang w:val="en-US"/>
        </w:rPr>
      </w:pPr>
      <w:r w:rsidRPr="00F30805">
        <w:rPr>
          <w:rFonts w:cs="Arial"/>
        </w:rPr>
        <w:t>Clinical</w:t>
      </w:r>
      <w:r w:rsidRPr="00F30805">
        <w:rPr>
          <w:rFonts w:cs="Arial"/>
          <w:lang w:val="en-US"/>
        </w:rPr>
        <w:t xml:space="preserve"> trials</w:t>
      </w:r>
    </w:p>
    <w:p w14:paraId="552E33FA" w14:textId="627CDF7C" w:rsidR="00D92430" w:rsidRPr="00F30805" w:rsidRDefault="00D92430" w:rsidP="00AE0B35">
      <w:pPr>
        <w:spacing w:before="120"/>
        <w:rPr>
          <w:rFonts w:ascii="Arial" w:eastAsia="MS Mincho" w:hAnsi="Arial" w:cs="Arial"/>
          <w:lang w:val="en-US" w:eastAsia="ja-JP"/>
        </w:rPr>
      </w:pPr>
      <w:r w:rsidRPr="00F30805">
        <w:rPr>
          <w:rFonts w:ascii="Arial" w:eastAsia="MS Mincho" w:hAnsi="Arial" w:cs="Arial"/>
          <w:lang w:val="en-US" w:eastAsia="ja-JP"/>
        </w:rPr>
        <w:t xml:space="preserve">The efficacy and safety of </w:t>
      </w:r>
      <w:r w:rsidR="00A700BC" w:rsidRPr="00F30805">
        <w:rPr>
          <w:rFonts w:ascii="Arial" w:eastAsia="MS Mincho" w:hAnsi="Arial" w:cs="Arial"/>
          <w:lang w:val="en-US" w:eastAsia="ja-JP"/>
        </w:rPr>
        <w:t>RINVOQ</w:t>
      </w:r>
      <w:r w:rsidRPr="00F30805">
        <w:rPr>
          <w:rFonts w:ascii="Arial" w:eastAsia="MS Mincho" w:hAnsi="Arial" w:cs="Arial"/>
          <w:lang w:val="en-US" w:eastAsia="ja-JP"/>
        </w:rPr>
        <w:t xml:space="preserve"> 15 mg once daily was assessed in five, Phase 3 </w:t>
      </w:r>
      <w:proofErr w:type="spellStart"/>
      <w:r w:rsidRPr="00F30805">
        <w:rPr>
          <w:rFonts w:ascii="Arial" w:eastAsia="MS Mincho" w:hAnsi="Arial" w:cs="Arial"/>
          <w:lang w:val="en-US" w:eastAsia="ja-JP"/>
        </w:rPr>
        <w:t>randomised</w:t>
      </w:r>
      <w:proofErr w:type="spellEnd"/>
      <w:r w:rsidRPr="00F30805">
        <w:rPr>
          <w:rFonts w:ascii="Arial" w:eastAsia="MS Mincho" w:hAnsi="Arial" w:cs="Arial"/>
          <w:lang w:val="en-US" w:eastAsia="ja-JP"/>
        </w:rPr>
        <w:t xml:space="preserve">, double-blind, </w:t>
      </w:r>
      <w:proofErr w:type="spellStart"/>
      <w:r w:rsidRPr="00F30805">
        <w:rPr>
          <w:rFonts w:ascii="Arial" w:eastAsia="MS Mincho" w:hAnsi="Arial" w:cs="Arial"/>
          <w:lang w:val="en-US" w:eastAsia="ja-JP"/>
        </w:rPr>
        <w:t>multicentre</w:t>
      </w:r>
      <w:proofErr w:type="spellEnd"/>
      <w:r w:rsidRPr="00F30805">
        <w:rPr>
          <w:rFonts w:ascii="Arial" w:eastAsia="MS Mincho" w:hAnsi="Arial" w:cs="Arial"/>
          <w:lang w:val="en-US" w:eastAsia="ja-JP"/>
        </w:rPr>
        <w:t xml:space="preserve"> studies in patients with moderately to severely active rheumatoid arthritis and fulfilling the ACR/EULAR 2010 classification criteria (see Table 5). Patients 18 years of age </w:t>
      </w:r>
      <w:r w:rsidR="0097744F" w:rsidRPr="00F30805">
        <w:rPr>
          <w:rFonts w:ascii="Arial" w:eastAsia="MS Mincho" w:hAnsi="Arial" w:cs="Arial"/>
          <w:lang w:val="en-US" w:eastAsia="ja-JP"/>
        </w:rPr>
        <w:t xml:space="preserve">and older </w:t>
      </w:r>
      <w:r w:rsidRPr="00F30805">
        <w:rPr>
          <w:rFonts w:ascii="Arial" w:eastAsia="MS Mincho" w:hAnsi="Arial" w:cs="Arial"/>
          <w:lang w:val="en-US" w:eastAsia="ja-JP"/>
        </w:rPr>
        <w:t xml:space="preserve">were eligible to participate. The presence of at least 6 tender and 6 swollen joints and evidence of systemic inflammation based on elevation of </w:t>
      </w:r>
      <w:proofErr w:type="spellStart"/>
      <w:r w:rsidRPr="00F30805">
        <w:rPr>
          <w:rFonts w:ascii="Arial" w:eastAsia="MS Mincho" w:hAnsi="Arial" w:cs="Arial"/>
          <w:lang w:val="en-US" w:eastAsia="ja-JP"/>
        </w:rPr>
        <w:t>hsCRP</w:t>
      </w:r>
      <w:proofErr w:type="spellEnd"/>
      <w:r w:rsidRPr="00F30805">
        <w:rPr>
          <w:rFonts w:ascii="Arial" w:eastAsia="MS Mincho" w:hAnsi="Arial" w:cs="Arial"/>
          <w:lang w:val="en-US" w:eastAsia="ja-JP"/>
        </w:rPr>
        <w:t xml:space="preserve"> was required at baseline. All studies included long-term extensions</w:t>
      </w:r>
      <w:r w:rsidR="00C93132" w:rsidRPr="00F30805">
        <w:rPr>
          <w:rFonts w:ascii="Arial" w:eastAsia="MS Mincho" w:hAnsi="Arial" w:cs="Arial"/>
          <w:lang w:val="en-US" w:eastAsia="ja-JP"/>
        </w:rPr>
        <w:t xml:space="preserve"> (currently ongoing</w:t>
      </w:r>
      <w:r w:rsidRPr="00F30805">
        <w:rPr>
          <w:rFonts w:ascii="Arial" w:eastAsia="MS Mincho" w:hAnsi="Arial" w:cs="Arial"/>
          <w:lang w:val="en-US" w:eastAsia="ja-JP"/>
        </w:rPr>
        <w:t xml:space="preserve"> for up to 5 years</w:t>
      </w:r>
      <w:r w:rsidR="00C93132" w:rsidRPr="00F30805">
        <w:rPr>
          <w:rFonts w:ascii="Arial" w:eastAsia="MS Mincho" w:hAnsi="Arial" w:cs="Arial"/>
          <w:lang w:val="en-US" w:eastAsia="ja-JP"/>
        </w:rPr>
        <w:t>)</w:t>
      </w:r>
      <w:r w:rsidRPr="00F30805">
        <w:rPr>
          <w:rFonts w:ascii="Arial" w:eastAsia="MS Mincho" w:hAnsi="Arial" w:cs="Arial"/>
          <w:lang w:val="en-US" w:eastAsia="ja-JP"/>
        </w:rPr>
        <w:t>.</w:t>
      </w:r>
    </w:p>
    <w:p w14:paraId="688CD6E8" w14:textId="77777777" w:rsidR="00AE0B35" w:rsidRPr="00F30805" w:rsidRDefault="00AE0B35">
      <w:pPr>
        <w:spacing w:after="0" w:line="240" w:lineRule="auto"/>
        <w:jc w:val="left"/>
        <w:rPr>
          <w:rFonts w:ascii="Arial" w:eastAsia="MS Mincho" w:hAnsi="Arial" w:cs="Arial"/>
          <w:b/>
          <w:lang w:val="en-US" w:eastAsia="ja-JP"/>
        </w:rPr>
      </w:pPr>
      <w:r w:rsidRPr="00F30805">
        <w:rPr>
          <w:rFonts w:ascii="Arial" w:eastAsia="MS Mincho" w:hAnsi="Arial" w:cs="Arial"/>
          <w:b/>
          <w:lang w:val="en-US" w:eastAsia="ja-JP"/>
        </w:rPr>
        <w:br w:type="page"/>
      </w:r>
    </w:p>
    <w:p w14:paraId="7E1D815B" w14:textId="77777777" w:rsidR="00180F69" w:rsidRPr="00F30805" w:rsidRDefault="00D92430" w:rsidP="00066888">
      <w:pPr>
        <w:pStyle w:val="Heading3"/>
        <w:rPr>
          <w:rFonts w:eastAsia="MS Mincho"/>
          <w:lang w:val="en-US" w:eastAsia="ja-JP"/>
        </w:rPr>
      </w:pPr>
      <w:r w:rsidRPr="00F30805">
        <w:rPr>
          <w:rFonts w:eastAsia="MS Mincho"/>
          <w:lang w:val="en-US" w:eastAsia="ja-JP"/>
        </w:rPr>
        <w:lastRenderedPageBreak/>
        <w:t>Table 5.  Clinical Trial Summary</w:t>
      </w:r>
    </w:p>
    <w:tbl>
      <w:tblPr>
        <w:tblpPr w:leftFromText="180" w:rightFromText="180" w:vertAnchor="text"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1219"/>
        <w:gridCol w:w="2350"/>
        <w:gridCol w:w="3544"/>
      </w:tblGrid>
      <w:tr w:rsidR="00D92430" w:rsidRPr="00F30805" w14:paraId="50B3E70B" w14:textId="77777777" w:rsidTr="00AE0B35">
        <w:trPr>
          <w:trHeight w:val="391"/>
          <w:tblHeader/>
        </w:trPr>
        <w:tc>
          <w:tcPr>
            <w:tcW w:w="1926" w:type="dxa"/>
            <w:shd w:val="clear" w:color="auto" w:fill="auto"/>
          </w:tcPr>
          <w:p w14:paraId="4CF882A8" w14:textId="77777777" w:rsidR="00D92430" w:rsidRPr="00F30805" w:rsidRDefault="00D92430" w:rsidP="00AE0B35">
            <w:pPr>
              <w:spacing w:after="0"/>
              <w:rPr>
                <w:rFonts w:ascii="Arial" w:hAnsi="Arial" w:cs="Arial"/>
                <w:b/>
                <w:sz w:val="18"/>
                <w:szCs w:val="18"/>
              </w:rPr>
            </w:pPr>
            <w:r w:rsidRPr="00F30805">
              <w:rPr>
                <w:rFonts w:ascii="Arial" w:hAnsi="Arial" w:cs="Arial"/>
                <w:b/>
                <w:sz w:val="18"/>
                <w:szCs w:val="18"/>
              </w:rPr>
              <w:t>Study Name</w:t>
            </w:r>
          </w:p>
          <w:p w14:paraId="74B957F2" w14:textId="77777777" w:rsidR="00D92430" w:rsidRPr="00F30805" w:rsidRDefault="00D92430" w:rsidP="00AE0B35">
            <w:pPr>
              <w:spacing w:after="0"/>
              <w:rPr>
                <w:rFonts w:ascii="Arial" w:hAnsi="Arial" w:cs="Arial"/>
                <w:b/>
                <w:sz w:val="18"/>
                <w:szCs w:val="18"/>
              </w:rPr>
            </w:pPr>
          </w:p>
        </w:tc>
        <w:tc>
          <w:tcPr>
            <w:tcW w:w="1219" w:type="dxa"/>
            <w:shd w:val="clear" w:color="auto" w:fill="auto"/>
          </w:tcPr>
          <w:p w14:paraId="056FD4DB" w14:textId="77777777" w:rsidR="00D92430" w:rsidRPr="00F30805" w:rsidRDefault="00D92430" w:rsidP="00AE0B35">
            <w:pPr>
              <w:spacing w:after="0"/>
              <w:rPr>
                <w:rFonts w:ascii="Arial" w:hAnsi="Arial" w:cs="Arial"/>
                <w:b/>
                <w:sz w:val="18"/>
                <w:szCs w:val="18"/>
              </w:rPr>
            </w:pPr>
            <w:r w:rsidRPr="00F30805">
              <w:rPr>
                <w:rFonts w:ascii="Arial" w:hAnsi="Arial" w:cs="Arial"/>
                <w:b/>
                <w:sz w:val="18"/>
                <w:szCs w:val="18"/>
              </w:rPr>
              <w:t>Population</w:t>
            </w:r>
          </w:p>
          <w:p w14:paraId="2E458570" w14:textId="77777777" w:rsidR="00D92430" w:rsidRPr="00F30805" w:rsidRDefault="00D92430" w:rsidP="00AE0B35">
            <w:pPr>
              <w:spacing w:after="0"/>
              <w:rPr>
                <w:rFonts w:ascii="Arial" w:hAnsi="Arial" w:cs="Arial"/>
                <w:b/>
                <w:sz w:val="18"/>
                <w:szCs w:val="18"/>
              </w:rPr>
            </w:pPr>
            <w:r w:rsidRPr="00F30805">
              <w:rPr>
                <w:rFonts w:ascii="Arial" w:hAnsi="Arial" w:cs="Arial"/>
                <w:b/>
                <w:sz w:val="18"/>
                <w:szCs w:val="18"/>
              </w:rPr>
              <w:t>(n)</w:t>
            </w:r>
          </w:p>
        </w:tc>
        <w:tc>
          <w:tcPr>
            <w:tcW w:w="2350" w:type="dxa"/>
            <w:shd w:val="clear" w:color="auto" w:fill="auto"/>
          </w:tcPr>
          <w:p w14:paraId="3C1CF626" w14:textId="77777777" w:rsidR="00D92430" w:rsidRPr="00F30805" w:rsidRDefault="00D92430" w:rsidP="00AE0B35">
            <w:pPr>
              <w:spacing w:after="0"/>
              <w:rPr>
                <w:rFonts w:ascii="Arial" w:hAnsi="Arial" w:cs="Arial"/>
                <w:b/>
                <w:sz w:val="18"/>
                <w:szCs w:val="18"/>
              </w:rPr>
            </w:pPr>
            <w:r w:rsidRPr="00F30805">
              <w:rPr>
                <w:rFonts w:ascii="Arial" w:hAnsi="Arial" w:cs="Arial"/>
                <w:b/>
                <w:sz w:val="18"/>
                <w:szCs w:val="18"/>
              </w:rPr>
              <w:t>Treatment Arms</w:t>
            </w:r>
          </w:p>
        </w:tc>
        <w:tc>
          <w:tcPr>
            <w:tcW w:w="3544" w:type="dxa"/>
            <w:shd w:val="clear" w:color="auto" w:fill="auto"/>
          </w:tcPr>
          <w:p w14:paraId="3E1BEF30" w14:textId="77777777" w:rsidR="00D92430" w:rsidRPr="00F30805" w:rsidRDefault="00D92430" w:rsidP="00AE0B35">
            <w:pPr>
              <w:spacing w:after="0"/>
              <w:rPr>
                <w:rFonts w:ascii="Arial" w:hAnsi="Arial" w:cs="Arial"/>
                <w:b/>
                <w:sz w:val="18"/>
                <w:szCs w:val="18"/>
              </w:rPr>
            </w:pPr>
            <w:r w:rsidRPr="00F30805">
              <w:rPr>
                <w:rFonts w:ascii="Arial" w:hAnsi="Arial" w:cs="Arial"/>
                <w:b/>
                <w:sz w:val="18"/>
                <w:szCs w:val="18"/>
              </w:rPr>
              <w:t>Key Outcome Measures</w:t>
            </w:r>
          </w:p>
        </w:tc>
      </w:tr>
      <w:tr w:rsidR="00D92430" w:rsidRPr="00F30805" w14:paraId="63B1DF89" w14:textId="77777777" w:rsidTr="00AE0B35">
        <w:trPr>
          <w:trHeight w:val="823"/>
        </w:trPr>
        <w:tc>
          <w:tcPr>
            <w:tcW w:w="1926" w:type="dxa"/>
            <w:vMerge w:val="restart"/>
            <w:shd w:val="clear" w:color="auto" w:fill="auto"/>
          </w:tcPr>
          <w:p w14:paraId="20B36C56" w14:textId="358DD5A1" w:rsidR="00D92430" w:rsidRPr="00F30805" w:rsidRDefault="00D92430" w:rsidP="00A9173E">
            <w:pPr>
              <w:rPr>
                <w:rFonts w:ascii="Arial" w:hAnsi="Arial" w:cs="Arial"/>
                <w:sz w:val="18"/>
                <w:szCs w:val="18"/>
              </w:rPr>
            </w:pPr>
            <w:r w:rsidRPr="00F30805">
              <w:rPr>
                <w:rFonts w:ascii="Arial" w:hAnsi="Arial" w:cs="Arial"/>
                <w:sz w:val="18"/>
                <w:szCs w:val="18"/>
              </w:rPr>
              <w:t xml:space="preserve">SELECT EARLY  </w:t>
            </w:r>
          </w:p>
          <w:p w14:paraId="1D4959FB" w14:textId="532D829F" w:rsidR="00A40B8E" w:rsidRPr="00F30805" w:rsidRDefault="00A40B8E" w:rsidP="00A9173E">
            <w:pPr>
              <w:rPr>
                <w:rFonts w:ascii="Arial" w:hAnsi="Arial" w:cs="Arial"/>
                <w:sz w:val="18"/>
                <w:szCs w:val="18"/>
              </w:rPr>
            </w:pPr>
            <w:r w:rsidRPr="00F30805">
              <w:rPr>
                <w:rFonts w:ascii="Arial" w:hAnsi="Arial" w:cs="Arial"/>
                <w:sz w:val="18"/>
                <w:szCs w:val="18"/>
              </w:rPr>
              <w:t>24-week monotherapy trial</w:t>
            </w:r>
          </w:p>
          <w:p w14:paraId="1E4FE2D4" w14:textId="77777777" w:rsidR="00D92430" w:rsidRPr="00F30805" w:rsidRDefault="00D92430" w:rsidP="00A9173E">
            <w:pPr>
              <w:rPr>
                <w:rFonts w:ascii="Arial" w:hAnsi="Arial" w:cs="Arial"/>
                <w:sz w:val="18"/>
                <w:szCs w:val="18"/>
              </w:rPr>
            </w:pPr>
          </w:p>
        </w:tc>
        <w:tc>
          <w:tcPr>
            <w:tcW w:w="1219" w:type="dxa"/>
            <w:vMerge w:val="restart"/>
            <w:shd w:val="clear" w:color="auto" w:fill="auto"/>
          </w:tcPr>
          <w:p w14:paraId="79BDB2B5" w14:textId="77777777" w:rsidR="00D92430" w:rsidRPr="00F30805" w:rsidRDefault="00D92430" w:rsidP="00A9173E">
            <w:pPr>
              <w:rPr>
                <w:rFonts w:ascii="Arial" w:hAnsi="Arial" w:cs="Arial"/>
                <w:sz w:val="18"/>
                <w:szCs w:val="18"/>
              </w:rPr>
            </w:pPr>
            <w:r w:rsidRPr="00F30805">
              <w:rPr>
                <w:rFonts w:ascii="Arial" w:hAnsi="Arial" w:cs="Arial"/>
                <w:sz w:val="18"/>
                <w:szCs w:val="18"/>
              </w:rPr>
              <w:t>MTX-</w:t>
            </w:r>
            <w:proofErr w:type="spellStart"/>
            <w:r w:rsidRPr="00F30805">
              <w:rPr>
                <w:rFonts w:ascii="Arial" w:hAnsi="Arial" w:cs="Arial"/>
                <w:sz w:val="18"/>
                <w:szCs w:val="18"/>
              </w:rPr>
              <w:t>naive</w:t>
            </w:r>
            <w:r w:rsidRPr="00F30805">
              <w:rPr>
                <w:rFonts w:ascii="Arial" w:hAnsi="Arial" w:cs="Arial"/>
                <w:sz w:val="18"/>
                <w:szCs w:val="18"/>
                <w:vertAlign w:val="superscript"/>
              </w:rPr>
              <w:t>a</w:t>
            </w:r>
            <w:proofErr w:type="spellEnd"/>
          </w:p>
          <w:p w14:paraId="7D7DC5D5" w14:textId="77777777" w:rsidR="00D92430" w:rsidRPr="00F30805" w:rsidRDefault="00D92430" w:rsidP="00A9173E">
            <w:pPr>
              <w:rPr>
                <w:rFonts w:ascii="Arial" w:hAnsi="Arial" w:cs="Arial"/>
                <w:sz w:val="18"/>
                <w:szCs w:val="18"/>
              </w:rPr>
            </w:pPr>
            <w:r w:rsidRPr="00F30805">
              <w:rPr>
                <w:rFonts w:ascii="Arial" w:hAnsi="Arial" w:cs="Arial"/>
                <w:sz w:val="18"/>
                <w:szCs w:val="18"/>
              </w:rPr>
              <w:t>(947)</w:t>
            </w:r>
          </w:p>
        </w:tc>
        <w:tc>
          <w:tcPr>
            <w:tcW w:w="2350" w:type="dxa"/>
            <w:vMerge w:val="restart"/>
            <w:shd w:val="clear" w:color="auto" w:fill="auto"/>
          </w:tcPr>
          <w:p w14:paraId="5D1B74CA"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15 mg</w:t>
            </w:r>
          </w:p>
          <w:p w14:paraId="015C3F54"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30 mg</w:t>
            </w:r>
          </w:p>
          <w:p w14:paraId="4AF63A1A"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r w:rsidRPr="00F30805">
              <w:rPr>
                <w:rFonts w:ascii="Arial" w:hAnsi="Arial" w:cs="Arial"/>
                <w:sz w:val="18"/>
                <w:szCs w:val="18"/>
                <w:lang w:val="en-GB"/>
              </w:rPr>
              <w:t>MTX</w:t>
            </w:r>
          </w:p>
          <w:p w14:paraId="631FE750" w14:textId="77777777" w:rsidR="00D92430" w:rsidRPr="00F30805" w:rsidRDefault="00D92430" w:rsidP="00421627">
            <w:pPr>
              <w:spacing w:after="0" w:line="240" w:lineRule="auto"/>
              <w:ind w:left="360"/>
              <w:rPr>
                <w:rFonts w:ascii="Arial" w:hAnsi="Arial" w:cs="Arial"/>
                <w:sz w:val="18"/>
                <w:szCs w:val="18"/>
                <w:lang w:val="en-GB"/>
              </w:rPr>
            </w:pPr>
          </w:p>
          <w:p w14:paraId="59F9D4A2" w14:textId="77777777" w:rsidR="00D92430" w:rsidRPr="00F30805" w:rsidRDefault="00D92430" w:rsidP="00A9173E">
            <w:pPr>
              <w:rPr>
                <w:rFonts w:ascii="Arial" w:hAnsi="Arial" w:cs="Arial"/>
                <w:sz w:val="18"/>
                <w:szCs w:val="18"/>
              </w:rPr>
            </w:pPr>
            <w:r w:rsidRPr="00F30805">
              <w:rPr>
                <w:rFonts w:ascii="Arial" w:hAnsi="Arial" w:cs="Arial"/>
                <w:sz w:val="18"/>
                <w:szCs w:val="18"/>
              </w:rPr>
              <w:t>Monotherapy</w:t>
            </w:r>
          </w:p>
        </w:tc>
        <w:tc>
          <w:tcPr>
            <w:tcW w:w="3544" w:type="dxa"/>
            <w:shd w:val="clear" w:color="auto" w:fill="auto"/>
          </w:tcPr>
          <w:p w14:paraId="605F2C42" w14:textId="77777777" w:rsidR="00D92430" w:rsidRPr="00F30805" w:rsidRDefault="00D92430" w:rsidP="00AE0B35">
            <w:pPr>
              <w:jc w:val="left"/>
              <w:rPr>
                <w:rFonts w:ascii="Arial" w:hAnsi="Arial" w:cs="Arial"/>
                <w:sz w:val="18"/>
                <w:szCs w:val="18"/>
              </w:rPr>
            </w:pPr>
            <w:r w:rsidRPr="00F30805">
              <w:rPr>
                <w:rFonts w:ascii="Arial" w:hAnsi="Arial" w:cs="Arial"/>
                <w:sz w:val="18"/>
                <w:szCs w:val="18"/>
              </w:rPr>
              <w:t>Primary Endpoint:</w:t>
            </w:r>
          </w:p>
          <w:p w14:paraId="3E31BEE9" w14:textId="77777777" w:rsidR="00D92430" w:rsidRPr="00F30805" w:rsidRDefault="00D92430" w:rsidP="00AE0B35">
            <w:pPr>
              <w:pStyle w:val="ListParagraph"/>
              <w:numPr>
                <w:ilvl w:val="0"/>
                <w:numId w:val="32"/>
              </w:numPr>
              <w:spacing w:after="0" w:line="240" w:lineRule="auto"/>
              <w:jc w:val="left"/>
              <w:rPr>
                <w:rFonts w:ascii="Arial" w:hAnsi="Arial" w:cs="Arial"/>
                <w:sz w:val="18"/>
                <w:szCs w:val="18"/>
              </w:rPr>
            </w:pPr>
            <w:r w:rsidRPr="00F30805">
              <w:rPr>
                <w:rFonts w:ascii="Arial" w:hAnsi="Arial" w:cs="Arial"/>
                <w:sz w:val="18"/>
                <w:szCs w:val="18"/>
              </w:rPr>
              <w:t>ACR 50 at Week 12</w:t>
            </w:r>
          </w:p>
          <w:p w14:paraId="1575CFCE" w14:textId="77777777" w:rsidR="00D92430" w:rsidRPr="00F30805" w:rsidRDefault="00D92430" w:rsidP="00AE0B35">
            <w:pPr>
              <w:pStyle w:val="ListParagraph"/>
              <w:spacing w:after="0" w:line="240" w:lineRule="auto"/>
              <w:ind w:left="177"/>
              <w:jc w:val="left"/>
              <w:rPr>
                <w:rFonts w:ascii="Arial" w:hAnsi="Arial" w:cs="Arial"/>
                <w:sz w:val="18"/>
                <w:szCs w:val="18"/>
              </w:rPr>
            </w:pPr>
          </w:p>
        </w:tc>
      </w:tr>
      <w:tr w:rsidR="00D92430" w:rsidRPr="00F30805" w14:paraId="23F685DF" w14:textId="77777777" w:rsidTr="00AE0B35">
        <w:trPr>
          <w:trHeight w:val="1593"/>
        </w:trPr>
        <w:tc>
          <w:tcPr>
            <w:tcW w:w="1926" w:type="dxa"/>
            <w:vMerge/>
            <w:shd w:val="clear" w:color="auto" w:fill="auto"/>
          </w:tcPr>
          <w:p w14:paraId="39D97279" w14:textId="77777777" w:rsidR="00D92430" w:rsidRPr="00F30805" w:rsidRDefault="00D92430" w:rsidP="00A9173E">
            <w:pPr>
              <w:rPr>
                <w:rFonts w:ascii="Arial" w:hAnsi="Arial" w:cs="Arial"/>
                <w:sz w:val="18"/>
                <w:szCs w:val="18"/>
              </w:rPr>
            </w:pPr>
          </w:p>
        </w:tc>
        <w:tc>
          <w:tcPr>
            <w:tcW w:w="1219" w:type="dxa"/>
            <w:vMerge/>
            <w:shd w:val="clear" w:color="auto" w:fill="auto"/>
          </w:tcPr>
          <w:p w14:paraId="66094E6B" w14:textId="77777777" w:rsidR="00D92430" w:rsidRPr="00F30805" w:rsidRDefault="00D92430" w:rsidP="00A9173E">
            <w:pPr>
              <w:rPr>
                <w:rFonts w:ascii="Arial" w:hAnsi="Arial" w:cs="Arial"/>
                <w:sz w:val="18"/>
                <w:szCs w:val="18"/>
              </w:rPr>
            </w:pPr>
          </w:p>
        </w:tc>
        <w:tc>
          <w:tcPr>
            <w:tcW w:w="2350" w:type="dxa"/>
            <w:vMerge/>
            <w:shd w:val="clear" w:color="auto" w:fill="auto"/>
          </w:tcPr>
          <w:p w14:paraId="0E123D22"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p>
        </w:tc>
        <w:tc>
          <w:tcPr>
            <w:tcW w:w="3544" w:type="dxa"/>
            <w:shd w:val="clear" w:color="auto" w:fill="auto"/>
          </w:tcPr>
          <w:p w14:paraId="6CC00828" w14:textId="77777777" w:rsidR="00D92430" w:rsidRPr="00F30805" w:rsidRDefault="00D92430" w:rsidP="00AE0B35">
            <w:pPr>
              <w:pStyle w:val="ListParagraph"/>
              <w:spacing w:after="0" w:line="240" w:lineRule="auto"/>
              <w:ind w:left="0"/>
              <w:jc w:val="left"/>
              <w:rPr>
                <w:rFonts w:ascii="Arial" w:hAnsi="Arial" w:cs="Arial"/>
                <w:sz w:val="18"/>
                <w:szCs w:val="18"/>
              </w:rPr>
            </w:pPr>
            <w:r w:rsidRPr="00F30805">
              <w:rPr>
                <w:rFonts w:ascii="Arial" w:hAnsi="Arial" w:cs="Arial"/>
                <w:sz w:val="18"/>
                <w:szCs w:val="18"/>
              </w:rPr>
              <w:t>Key Secondary Endpoints:</w:t>
            </w:r>
          </w:p>
          <w:p w14:paraId="1E05D953" w14:textId="77777777" w:rsidR="00D92430" w:rsidRPr="00F30805" w:rsidRDefault="00D92430" w:rsidP="00AE0B35">
            <w:pPr>
              <w:spacing w:after="0" w:line="240" w:lineRule="auto"/>
              <w:jc w:val="left"/>
              <w:rPr>
                <w:rFonts w:ascii="Arial" w:hAnsi="Arial" w:cs="Arial"/>
                <w:sz w:val="18"/>
                <w:szCs w:val="18"/>
              </w:rPr>
            </w:pPr>
          </w:p>
          <w:p w14:paraId="616F031E" w14:textId="5F55E56E" w:rsidR="00D92430" w:rsidRPr="00F30805" w:rsidRDefault="00D92430" w:rsidP="00AE0B35">
            <w:pPr>
              <w:pStyle w:val="ListParagraph"/>
              <w:numPr>
                <w:ilvl w:val="0"/>
                <w:numId w:val="29"/>
              </w:numPr>
              <w:spacing w:after="0" w:line="240" w:lineRule="auto"/>
              <w:ind w:left="177" w:hanging="177"/>
              <w:jc w:val="left"/>
              <w:rPr>
                <w:rFonts w:ascii="Arial" w:hAnsi="Arial" w:cs="Arial"/>
                <w:sz w:val="18"/>
                <w:szCs w:val="18"/>
              </w:rPr>
            </w:pPr>
            <w:r w:rsidRPr="00F30805">
              <w:rPr>
                <w:rFonts w:ascii="Arial" w:hAnsi="Arial" w:cs="Arial"/>
                <w:sz w:val="18"/>
                <w:szCs w:val="18"/>
              </w:rPr>
              <w:t>Low Disease Activity (DAS28-CRP ≤ 3.2) at Week 12</w:t>
            </w:r>
          </w:p>
          <w:p w14:paraId="7AD7780D" w14:textId="77777777" w:rsidR="00D92430" w:rsidRPr="00F30805" w:rsidRDefault="00D92430" w:rsidP="00AE0B35">
            <w:pPr>
              <w:pStyle w:val="ListParagraph"/>
              <w:numPr>
                <w:ilvl w:val="0"/>
                <w:numId w:val="29"/>
              </w:numPr>
              <w:spacing w:after="0" w:line="240" w:lineRule="auto"/>
              <w:ind w:left="177" w:hanging="177"/>
              <w:jc w:val="left"/>
              <w:rPr>
                <w:rFonts w:ascii="Arial" w:hAnsi="Arial" w:cs="Arial"/>
                <w:sz w:val="18"/>
                <w:szCs w:val="18"/>
              </w:rPr>
            </w:pPr>
            <w:r w:rsidRPr="00F30805">
              <w:rPr>
                <w:rFonts w:ascii="Arial" w:hAnsi="Arial" w:cs="Arial"/>
                <w:sz w:val="18"/>
                <w:szCs w:val="18"/>
              </w:rPr>
              <w:t>Clinical Remission</w:t>
            </w:r>
          </w:p>
          <w:p w14:paraId="372588FA" w14:textId="77777777" w:rsidR="00D92430" w:rsidRPr="00F30805" w:rsidRDefault="00D92430" w:rsidP="00AE0B35">
            <w:pPr>
              <w:spacing w:after="0" w:line="240" w:lineRule="auto"/>
              <w:ind w:left="177"/>
              <w:jc w:val="left"/>
              <w:rPr>
                <w:rFonts w:ascii="Arial" w:hAnsi="Arial" w:cs="Arial"/>
                <w:sz w:val="18"/>
                <w:szCs w:val="18"/>
              </w:rPr>
            </w:pPr>
            <w:r w:rsidRPr="00F30805">
              <w:rPr>
                <w:rFonts w:ascii="Arial" w:hAnsi="Arial" w:cs="Arial"/>
                <w:sz w:val="18"/>
                <w:szCs w:val="18"/>
              </w:rPr>
              <w:t>(DAS28-CRP &lt;2.6) at Week 24</w:t>
            </w:r>
          </w:p>
          <w:p w14:paraId="3604BB35" w14:textId="77777777" w:rsidR="00D92430" w:rsidRPr="00F30805" w:rsidRDefault="00D92430" w:rsidP="00AE0B35">
            <w:pPr>
              <w:pStyle w:val="ListParagraph"/>
              <w:numPr>
                <w:ilvl w:val="0"/>
                <w:numId w:val="29"/>
              </w:numPr>
              <w:spacing w:after="0" w:line="240" w:lineRule="auto"/>
              <w:ind w:left="177" w:hanging="177"/>
              <w:jc w:val="left"/>
              <w:rPr>
                <w:rFonts w:ascii="Arial" w:hAnsi="Arial" w:cs="Arial"/>
                <w:sz w:val="18"/>
                <w:szCs w:val="18"/>
              </w:rPr>
            </w:pPr>
            <w:r w:rsidRPr="00F30805">
              <w:rPr>
                <w:rFonts w:ascii="Arial" w:hAnsi="Arial" w:cs="Arial"/>
                <w:sz w:val="18"/>
                <w:szCs w:val="18"/>
              </w:rPr>
              <w:t>Δ Physical Function (HAQ-DI) at Week 12</w:t>
            </w:r>
          </w:p>
          <w:p w14:paraId="6E8EB8AB" w14:textId="13ACB8E8" w:rsidR="00D92430" w:rsidRPr="00F30805" w:rsidRDefault="00D92430" w:rsidP="00AE0B35">
            <w:pPr>
              <w:pStyle w:val="ListParagraph"/>
              <w:numPr>
                <w:ilvl w:val="0"/>
                <w:numId w:val="29"/>
              </w:numPr>
              <w:spacing w:after="0" w:line="240" w:lineRule="auto"/>
              <w:ind w:left="177" w:hanging="177"/>
              <w:jc w:val="left"/>
              <w:rPr>
                <w:rFonts w:ascii="Arial" w:hAnsi="Arial" w:cs="Arial"/>
                <w:sz w:val="18"/>
                <w:szCs w:val="18"/>
              </w:rPr>
            </w:pPr>
            <w:r w:rsidRPr="00F30805">
              <w:rPr>
                <w:rFonts w:ascii="Arial" w:hAnsi="Arial" w:cs="Arial"/>
                <w:sz w:val="18"/>
                <w:szCs w:val="18"/>
              </w:rPr>
              <w:t>Radiographic progression (</w:t>
            </w:r>
            <w:proofErr w:type="spellStart"/>
            <w:r w:rsidRPr="00F30805">
              <w:rPr>
                <w:rFonts w:ascii="Arial" w:hAnsi="Arial" w:cs="Arial"/>
                <w:sz w:val="18"/>
                <w:szCs w:val="18"/>
              </w:rPr>
              <w:t>ΔmTSS</w:t>
            </w:r>
            <w:proofErr w:type="spellEnd"/>
            <w:r w:rsidRPr="00F30805">
              <w:rPr>
                <w:rFonts w:ascii="Arial" w:hAnsi="Arial" w:cs="Arial"/>
                <w:sz w:val="18"/>
                <w:szCs w:val="18"/>
              </w:rPr>
              <w:t>) at Week 24</w:t>
            </w:r>
          </w:p>
          <w:p w14:paraId="643E5AB2" w14:textId="633C058B" w:rsidR="0097744F" w:rsidRPr="00F30805" w:rsidRDefault="0012273C" w:rsidP="00AE0B35">
            <w:pPr>
              <w:pStyle w:val="ListParagraph"/>
              <w:numPr>
                <w:ilvl w:val="0"/>
                <w:numId w:val="29"/>
              </w:numPr>
              <w:spacing w:after="0" w:line="240" w:lineRule="auto"/>
              <w:ind w:left="177" w:hanging="177"/>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SF-36 PCS</w:t>
            </w:r>
            <w:r w:rsidRPr="00F30805">
              <w:rPr>
                <w:rFonts w:ascii="Arial" w:hAnsi="Arial" w:cs="Arial"/>
                <w:sz w:val="18"/>
                <w:szCs w:val="18"/>
              </w:rPr>
              <w:t xml:space="preserve"> at </w:t>
            </w:r>
            <w:r w:rsidR="007C728E" w:rsidRPr="00F30805">
              <w:rPr>
                <w:rFonts w:ascii="Arial" w:hAnsi="Arial" w:cs="Arial"/>
                <w:sz w:val="18"/>
                <w:szCs w:val="18"/>
              </w:rPr>
              <w:t>W</w:t>
            </w:r>
            <w:r w:rsidRPr="00F30805">
              <w:rPr>
                <w:rFonts w:ascii="Arial" w:hAnsi="Arial" w:cs="Arial"/>
                <w:sz w:val="18"/>
                <w:szCs w:val="18"/>
              </w:rPr>
              <w:t>eek 12</w:t>
            </w:r>
          </w:p>
          <w:p w14:paraId="744F5ED8" w14:textId="77777777" w:rsidR="00D92430" w:rsidRPr="00F30805" w:rsidRDefault="00D92430" w:rsidP="00AE0B35">
            <w:pPr>
              <w:spacing w:after="0" w:line="240" w:lineRule="auto"/>
              <w:jc w:val="left"/>
              <w:rPr>
                <w:rFonts w:ascii="Arial" w:hAnsi="Arial" w:cs="Arial"/>
                <w:sz w:val="18"/>
                <w:szCs w:val="18"/>
              </w:rPr>
            </w:pPr>
          </w:p>
        </w:tc>
      </w:tr>
      <w:tr w:rsidR="00D92430" w:rsidRPr="00F30805" w14:paraId="6C4DFD16" w14:textId="77777777" w:rsidTr="00AE0B35">
        <w:trPr>
          <w:trHeight w:val="503"/>
        </w:trPr>
        <w:tc>
          <w:tcPr>
            <w:tcW w:w="1926" w:type="dxa"/>
            <w:vMerge w:val="restart"/>
            <w:shd w:val="clear" w:color="auto" w:fill="auto"/>
          </w:tcPr>
          <w:p w14:paraId="437A8A29" w14:textId="13F8EA4D" w:rsidR="00D92430" w:rsidRPr="00F30805" w:rsidRDefault="00D92430" w:rsidP="00A9173E">
            <w:pPr>
              <w:rPr>
                <w:rFonts w:ascii="Arial" w:hAnsi="Arial" w:cs="Arial"/>
                <w:sz w:val="18"/>
                <w:szCs w:val="18"/>
              </w:rPr>
            </w:pPr>
            <w:r w:rsidRPr="00F30805">
              <w:rPr>
                <w:rFonts w:ascii="Arial" w:hAnsi="Arial" w:cs="Arial"/>
                <w:sz w:val="18"/>
                <w:szCs w:val="18"/>
              </w:rPr>
              <w:t>SELECT MONOTHERAPY</w:t>
            </w:r>
          </w:p>
          <w:p w14:paraId="4F414BF6" w14:textId="481FB3A4" w:rsidR="00A40B8E" w:rsidRPr="00F30805" w:rsidRDefault="00A40B8E" w:rsidP="00A9173E">
            <w:pPr>
              <w:rPr>
                <w:rFonts w:ascii="Arial" w:hAnsi="Arial" w:cs="Arial"/>
                <w:sz w:val="18"/>
                <w:szCs w:val="18"/>
              </w:rPr>
            </w:pPr>
            <w:r w:rsidRPr="00F30805">
              <w:rPr>
                <w:rFonts w:ascii="Arial" w:hAnsi="Arial" w:cs="Arial"/>
                <w:sz w:val="18"/>
                <w:szCs w:val="18"/>
              </w:rPr>
              <w:t>14-week monotherapy trial</w:t>
            </w:r>
          </w:p>
          <w:p w14:paraId="4F13320B" w14:textId="77777777" w:rsidR="00D92430" w:rsidRPr="00F30805" w:rsidRDefault="00D92430" w:rsidP="00A9173E">
            <w:pPr>
              <w:rPr>
                <w:rFonts w:ascii="Arial" w:hAnsi="Arial" w:cs="Arial"/>
                <w:sz w:val="18"/>
                <w:szCs w:val="18"/>
              </w:rPr>
            </w:pPr>
          </w:p>
        </w:tc>
        <w:tc>
          <w:tcPr>
            <w:tcW w:w="1219" w:type="dxa"/>
            <w:vMerge w:val="restart"/>
            <w:shd w:val="clear" w:color="auto" w:fill="auto"/>
          </w:tcPr>
          <w:p w14:paraId="2E73A019" w14:textId="77777777" w:rsidR="00D92430" w:rsidRPr="00F30805" w:rsidRDefault="00D92430" w:rsidP="00A9173E">
            <w:pPr>
              <w:rPr>
                <w:rFonts w:ascii="Arial" w:hAnsi="Arial" w:cs="Arial"/>
                <w:sz w:val="18"/>
                <w:szCs w:val="18"/>
              </w:rPr>
            </w:pPr>
            <w:r w:rsidRPr="00F30805">
              <w:rPr>
                <w:rFonts w:ascii="Arial" w:hAnsi="Arial" w:cs="Arial"/>
                <w:sz w:val="18"/>
                <w:szCs w:val="18"/>
              </w:rPr>
              <w:t>MTX-</w:t>
            </w:r>
            <w:proofErr w:type="spellStart"/>
            <w:r w:rsidRPr="00F30805">
              <w:rPr>
                <w:rFonts w:ascii="Arial" w:hAnsi="Arial" w:cs="Arial"/>
                <w:sz w:val="18"/>
                <w:szCs w:val="18"/>
              </w:rPr>
              <w:t>IR</w:t>
            </w:r>
            <w:r w:rsidRPr="00F30805">
              <w:rPr>
                <w:rFonts w:ascii="Arial" w:hAnsi="Arial" w:cs="Arial"/>
                <w:sz w:val="18"/>
                <w:szCs w:val="18"/>
                <w:vertAlign w:val="superscript"/>
              </w:rPr>
              <w:t>b</w:t>
            </w:r>
            <w:proofErr w:type="spellEnd"/>
          </w:p>
          <w:p w14:paraId="24D1993A" w14:textId="77777777" w:rsidR="00D92430" w:rsidRPr="00F30805" w:rsidRDefault="00D92430" w:rsidP="00A9173E">
            <w:pPr>
              <w:rPr>
                <w:rFonts w:ascii="Arial" w:hAnsi="Arial" w:cs="Arial"/>
                <w:sz w:val="18"/>
                <w:szCs w:val="18"/>
              </w:rPr>
            </w:pPr>
            <w:r w:rsidRPr="00F30805">
              <w:rPr>
                <w:rFonts w:ascii="Arial" w:hAnsi="Arial" w:cs="Arial"/>
                <w:sz w:val="18"/>
                <w:szCs w:val="18"/>
              </w:rPr>
              <w:t>(648)</w:t>
            </w:r>
          </w:p>
        </w:tc>
        <w:tc>
          <w:tcPr>
            <w:tcW w:w="2350" w:type="dxa"/>
            <w:vMerge w:val="restart"/>
            <w:shd w:val="clear" w:color="auto" w:fill="auto"/>
          </w:tcPr>
          <w:p w14:paraId="17F01E1D"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15 mg</w:t>
            </w:r>
          </w:p>
          <w:p w14:paraId="71C0026B"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30 mg</w:t>
            </w:r>
          </w:p>
          <w:p w14:paraId="6E29B270"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r w:rsidRPr="00F30805">
              <w:rPr>
                <w:rFonts w:ascii="Arial" w:hAnsi="Arial" w:cs="Arial"/>
                <w:sz w:val="18"/>
                <w:szCs w:val="18"/>
                <w:lang w:val="en-GB"/>
              </w:rPr>
              <w:t>MTX</w:t>
            </w:r>
          </w:p>
          <w:p w14:paraId="50AF5E5C" w14:textId="77777777" w:rsidR="00D92430" w:rsidRPr="00F30805" w:rsidRDefault="00D92430" w:rsidP="00A9173E">
            <w:pPr>
              <w:rPr>
                <w:rFonts w:ascii="Arial" w:hAnsi="Arial" w:cs="Arial"/>
                <w:sz w:val="18"/>
                <w:szCs w:val="18"/>
              </w:rPr>
            </w:pPr>
          </w:p>
          <w:p w14:paraId="72C3CA02" w14:textId="77777777" w:rsidR="00D92430" w:rsidRPr="00F30805" w:rsidRDefault="00D92430" w:rsidP="00A9173E">
            <w:pPr>
              <w:rPr>
                <w:rFonts w:ascii="Arial" w:hAnsi="Arial" w:cs="Arial"/>
                <w:sz w:val="18"/>
                <w:szCs w:val="18"/>
              </w:rPr>
            </w:pPr>
            <w:r w:rsidRPr="00F30805">
              <w:rPr>
                <w:rFonts w:ascii="Arial" w:hAnsi="Arial" w:cs="Arial"/>
                <w:sz w:val="18"/>
                <w:szCs w:val="18"/>
              </w:rPr>
              <w:t>Monotherapy</w:t>
            </w:r>
          </w:p>
        </w:tc>
        <w:tc>
          <w:tcPr>
            <w:tcW w:w="3544" w:type="dxa"/>
            <w:shd w:val="clear" w:color="auto" w:fill="auto"/>
          </w:tcPr>
          <w:p w14:paraId="5C299FB8" w14:textId="77777777" w:rsidR="00AE0B35" w:rsidRPr="00F30805" w:rsidRDefault="00D92430" w:rsidP="00AE0B35">
            <w:pPr>
              <w:spacing w:after="0" w:line="240" w:lineRule="auto"/>
              <w:jc w:val="left"/>
              <w:rPr>
                <w:rFonts w:ascii="Arial" w:hAnsi="Arial" w:cs="Arial"/>
                <w:sz w:val="18"/>
                <w:szCs w:val="18"/>
              </w:rPr>
            </w:pPr>
            <w:r w:rsidRPr="00F30805">
              <w:rPr>
                <w:rFonts w:ascii="Arial" w:hAnsi="Arial" w:cs="Arial"/>
                <w:sz w:val="18"/>
                <w:szCs w:val="18"/>
              </w:rPr>
              <w:t>Primary Endpoint:</w:t>
            </w:r>
          </w:p>
          <w:p w14:paraId="43E12C63" w14:textId="77777777" w:rsidR="00D92430" w:rsidRPr="00F30805" w:rsidRDefault="00D92430" w:rsidP="00AE0B35">
            <w:pPr>
              <w:pStyle w:val="ListParagraph"/>
              <w:ind w:left="317" w:hanging="283"/>
              <w:rPr>
                <w:rFonts w:ascii="Arial" w:hAnsi="Arial" w:cs="Arial"/>
                <w:sz w:val="18"/>
                <w:szCs w:val="18"/>
              </w:rPr>
            </w:pPr>
            <w:r w:rsidRPr="00F30805">
              <w:rPr>
                <w:rFonts w:ascii="Arial" w:hAnsi="Arial" w:cs="Arial"/>
                <w:sz w:val="18"/>
                <w:szCs w:val="18"/>
              </w:rPr>
              <w:t>ACR20 at Week 14</w:t>
            </w:r>
          </w:p>
          <w:p w14:paraId="3070A3F0" w14:textId="77777777" w:rsidR="00D92430" w:rsidRPr="00F30805" w:rsidRDefault="00D92430" w:rsidP="00AE0B35">
            <w:pPr>
              <w:pStyle w:val="ListParagraph"/>
              <w:spacing w:after="0" w:line="240" w:lineRule="auto"/>
              <w:ind w:left="177"/>
              <w:jc w:val="left"/>
              <w:rPr>
                <w:rFonts w:ascii="Arial" w:hAnsi="Arial" w:cs="Arial"/>
                <w:sz w:val="18"/>
                <w:szCs w:val="18"/>
              </w:rPr>
            </w:pPr>
          </w:p>
        </w:tc>
      </w:tr>
      <w:tr w:rsidR="00D92430" w:rsidRPr="00F30805" w14:paraId="64CFA20D" w14:textId="77777777" w:rsidTr="00AE0B35">
        <w:trPr>
          <w:trHeight w:val="503"/>
        </w:trPr>
        <w:tc>
          <w:tcPr>
            <w:tcW w:w="1926" w:type="dxa"/>
            <w:vMerge/>
            <w:shd w:val="clear" w:color="auto" w:fill="auto"/>
          </w:tcPr>
          <w:p w14:paraId="06F3191A" w14:textId="77777777" w:rsidR="00D92430" w:rsidRPr="00F30805" w:rsidRDefault="00D92430" w:rsidP="00A9173E">
            <w:pPr>
              <w:rPr>
                <w:rFonts w:ascii="Arial" w:hAnsi="Arial" w:cs="Arial"/>
                <w:sz w:val="18"/>
                <w:szCs w:val="18"/>
              </w:rPr>
            </w:pPr>
          </w:p>
        </w:tc>
        <w:tc>
          <w:tcPr>
            <w:tcW w:w="1219" w:type="dxa"/>
            <w:vMerge/>
            <w:shd w:val="clear" w:color="auto" w:fill="auto"/>
          </w:tcPr>
          <w:p w14:paraId="3716A155" w14:textId="77777777" w:rsidR="00D92430" w:rsidRPr="00F30805" w:rsidRDefault="00D92430" w:rsidP="00A9173E">
            <w:pPr>
              <w:rPr>
                <w:rFonts w:ascii="Arial" w:hAnsi="Arial" w:cs="Arial"/>
                <w:sz w:val="18"/>
                <w:szCs w:val="18"/>
              </w:rPr>
            </w:pPr>
          </w:p>
        </w:tc>
        <w:tc>
          <w:tcPr>
            <w:tcW w:w="2350" w:type="dxa"/>
            <w:vMerge/>
            <w:shd w:val="clear" w:color="auto" w:fill="auto"/>
          </w:tcPr>
          <w:p w14:paraId="7A381E21"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p>
        </w:tc>
        <w:tc>
          <w:tcPr>
            <w:tcW w:w="3544" w:type="dxa"/>
            <w:shd w:val="clear" w:color="auto" w:fill="auto"/>
          </w:tcPr>
          <w:p w14:paraId="55E8D98A" w14:textId="77777777" w:rsidR="00D92430" w:rsidRPr="00F30805" w:rsidRDefault="00D92430" w:rsidP="00AE0B35">
            <w:pPr>
              <w:pStyle w:val="ListParagraph"/>
              <w:spacing w:after="0" w:line="240" w:lineRule="auto"/>
              <w:ind w:left="0"/>
              <w:jc w:val="left"/>
              <w:rPr>
                <w:rFonts w:ascii="Arial" w:hAnsi="Arial" w:cs="Arial"/>
                <w:sz w:val="18"/>
                <w:szCs w:val="18"/>
              </w:rPr>
            </w:pPr>
            <w:r w:rsidRPr="00F30805">
              <w:rPr>
                <w:rFonts w:ascii="Arial" w:hAnsi="Arial" w:cs="Arial"/>
                <w:sz w:val="18"/>
                <w:szCs w:val="18"/>
              </w:rPr>
              <w:t>Key Secondary Endpoints:</w:t>
            </w:r>
            <w:r w:rsidRPr="00F30805">
              <w:rPr>
                <w:rFonts w:ascii="Arial" w:hAnsi="Arial" w:cs="Arial"/>
                <w:sz w:val="18"/>
                <w:szCs w:val="18"/>
              </w:rPr>
              <w:br/>
            </w:r>
          </w:p>
          <w:p w14:paraId="60EE5F38" w14:textId="77777777" w:rsidR="00D92430" w:rsidRPr="00F30805" w:rsidRDefault="00D92430"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Low Disease Activity (DAS28-CRP ≤ 3.2) at Week 14</w:t>
            </w:r>
          </w:p>
          <w:p w14:paraId="33C7CA40" w14:textId="77777777" w:rsidR="00D92430" w:rsidRPr="00F30805" w:rsidRDefault="00D92430"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Clinical Remission (DAS 28-CRP &lt;2.6) at Week 14</w:t>
            </w:r>
          </w:p>
          <w:p w14:paraId="12A6CA1A" w14:textId="693EAD5C" w:rsidR="00D92430" w:rsidRPr="00F30805" w:rsidRDefault="00D92430"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Δ Physical Function (HAQ-DI) at Week 14</w:t>
            </w:r>
          </w:p>
          <w:p w14:paraId="248D9FB4" w14:textId="53B0100C" w:rsidR="0037253E" w:rsidRPr="00F30805" w:rsidRDefault="007C728E"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SF-36 PCS</w:t>
            </w:r>
            <w:r w:rsidRPr="00F30805">
              <w:rPr>
                <w:rFonts w:ascii="Arial" w:hAnsi="Arial" w:cs="Arial"/>
                <w:sz w:val="18"/>
                <w:szCs w:val="18"/>
              </w:rPr>
              <w:t xml:space="preserve"> at Week 14</w:t>
            </w:r>
          </w:p>
          <w:p w14:paraId="2439D401" w14:textId="1FD1FBD0" w:rsidR="0037253E" w:rsidRPr="00F30805" w:rsidRDefault="007C728E"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Morning stiffness</w:t>
            </w:r>
            <w:r w:rsidRPr="00F30805">
              <w:rPr>
                <w:rFonts w:ascii="Arial" w:hAnsi="Arial" w:cs="Arial"/>
                <w:sz w:val="18"/>
                <w:szCs w:val="18"/>
              </w:rPr>
              <w:t xml:space="preserve"> at Week 14</w:t>
            </w:r>
          </w:p>
          <w:p w14:paraId="23A3FA8C" w14:textId="77777777" w:rsidR="00D92430" w:rsidRPr="00F30805" w:rsidRDefault="00D92430" w:rsidP="00AE0B35">
            <w:pPr>
              <w:spacing w:after="0" w:line="240" w:lineRule="auto"/>
              <w:jc w:val="left"/>
              <w:rPr>
                <w:rFonts w:ascii="Arial" w:hAnsi="Arial" w:cs="Arial"/>
                <w:sz w:val="18"/>
                <w:szCs w:val="18"/>
              </w:rPr>
            </w:pPr>
          </w:p>
        </w:tc>
      </w:tr>
      <w:tr w:rsidR="00D92430" w:rsidRPr="00F30805" w14:paraId="6F421B7C" w14:textId="77777777" w:rsidTr="00AE0B35">
        <w:trPr>
          <w:trHeight w:val="311"/>
        </w:trPr>
        <w:tc>
          <w:tcPr>
            <w:tcW w:w="1926" w:type="dxa"/>
            <w:vMerge w:val="restart"/>
            <w:shd w:val="clear" w:color="auto" w:fill="auto"/>
          </w:tcPr>
          <w:p w14:paraId="0C88BAB9" w14:textId="77777777" w:rsidR="00D92430" w:rsidRPr="00F30805" w:rsidRDefault="00D92430" w:rsidP="00A9173E">
            <w:pPr>
              <w:rPr>
                <w:rFonts w:ascii="Arial" w:hAnsi="Arial" w:cs="Arial"/>
                <w:sz w:val="18"/>
                <w:szCs w:val="18"/>
              </w:rPr>
            </w:pPr>
            <w:r w:rsidRPr="00F30805">
              <w:rPr>
                <w:rFonts w:ascii="Arial" w:hAnsi="Arial" w:cs="Arial"/>
                <w:sz w:val="18"/>
                <w:szCs w:val="18"/>
              </w:rPr>
              <w:t>SELECT NEXT</w:t>
            </w:r>
          </w:p>
          <w:p w14:paraId="746FF131" w14:textId="7FAF1A5D" w:rsidR="00D92430" w:rsidRPr="00F30805" w:rsidRDefault="00A40B8E" w:rsidP="00A9173E">
            <w:pPr>
              <w:rPr>
                <w:rFonts w:ascii="Arial" w:hAnsi="Arial" w:cs="Arial"/>
                <w:sz w:val="18"/>
                <w:szCs w:val="18"/>
              </w:rPr>
            </w:pPr>
            <w:r w:rsidRPr="00F30805">
              <w:rPr>
                <w:rFonts w:ascii="Arial" w:hAnsi="Arial" w:cs="Arial"/>
                <w:sz w:val="18"/>
                <w:szCs w:val="18"/>
              </w:rPr>
              <w:t>12-week trial</w:t>
            </w:r>
          </w:p>
        </w:tc>
        <w:tc>
          <w:tcPr>
            <w:tcW w:w="1219" w:type="dxa"/>
            <w:vMerge w:val="restart"/>
            <w:shd w:val="clear" w:color="auto" w:fill="auto"/>
          </w:tcPr>
          <w:p w14:paraId="0584E887" w14:textId="77777777" w:rsidR="00D92430" w:rsidRPr="00F30805" w:rsidRDefault="00D92430" w:rsidP="00A9173E">
            <w:pPr>
              <w:rPr>
                <w:rFonts w:ascii="Arial" w:hAnsi="Arial" w:cs="Arial"/>
                <w:sz w:val="18"/>
                <w:szCs w:val="18"/>
              </w:rPr>
            </w:pPr>
            <w:proofErr w:type="spellStart"/>
            <w:r w:rsidRPr="00F30805">
              <w:rPr>
                <w:rFonts w:ascii="Arial" w:hAnsi="Arial" w:cs="Arial"/>
                <w:sz w:val="18"/>
                <w:szCs w:val="18"/>
              </w:rPr>
              <w:t>csDMARD</w:t>
            </w:r>
            <w:proofErr w:type="spellEnd"/>
            <w:r w:rsidRPr="00F30805">
              <w:rPr>
                <w:rFonts w:ascii="Arial" w:hAnsi="Arial" w:cs="Arial"/>
                <w:sz w:val="18"/>
                <w:szCs w:val="18"/>
              </w:rPr>
              <w:t xml:space="preserve">  </w:t>
            </w:r>
            <w:proofErr w:type="spellStart"/>
            <w:r w:rsidRPr="00F30805">
              <w:rPr>
                <w:rFonts w:ascii="Arial" w:hAnsi="Arial" w:cs="Arial"/>
                <w:sz w:val="18"/>
                <w:szCs w:val="18"/>
              </w:rPr>
              <w:t>IR</w:t>
            </w:r>
            <w:r w:rsidRPr="00F30805">
              <w:rPr>
                <w:rFonts w:ascii="Arial" w:hAnsi="Arial" w:cs="Arial"/>
                <w:sz w:val="18"/>
                <w:szCs w:val="18"/>
                <w:vertAlign w:val="superscript"/>
              </w:rPr>
              <w:t>c</w:t>
            </w:r>
            <w:proofErr w:type="spellEnd"/>
          </w:p>
          <w:p w14:paraId="56D9431B" w14:textId="77777777" w:rsidR="00D92430" w:rsidRPr="00F30805" w:rsidRDefault="00D92430" w:rsidP="00A9173E">
            <w:pPr>
              <w:rPr>
                <w:rFonts w:ascii="Arial" w:hAnsi="Arial" w:cs="Arial"/>
                <w:sz w:val="18"/>
                <w:szCs w:val="18"/>
              </w:rPr>
            </w:pPr>
            <w:r w:rsidRPr="00F30805">
              <w:rPr>
                <w:rFonts w:ascii="Arial" w:hAnsi="Arial" w:cs="Arial"/>
                <w:sz w:val="18"/>
                <w:szCs w:val="18"/>
              </w:rPr>
              <w:t>(661)</w:t>
            </w:r>
          </w:p>
        </w:tc>
        <w:tc>
          <w:tcPr>
            <w:tcW w:w="2350" w:type="dxa"/>
            <w:vMerge w:val="restart"/>
            <w:shd w:val="clear" w:color="auto" w:fill="auto"/>
          </w:tcPr>
          <w:p w14:paraId="67F04842" w14:textId="77777777" w:rsidR="00D92430" w:rsidRPr="00F30805" w:rsidRDefault="00D92430" w:rsidP="00D92430">
            <w:pPr>
              <w:pStyle w:val="ListParagraph"/>
              <w:numPr>
                <w:ilvl w:val="0"/>
                <w:numId w:val="27"/>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15 mg</w:t>
            </w:r>
          </w:p>
          <w:p w14:paraId="081109EF" w14:textId="77777777" w:rsidR="00D92430" w:rsidRPr="00F30805" w:rsidRDefault="00D92430" w:rsidP="00D92430">
            <w:pPr>
              <w:pStyle w:val="ListParagraph"/>
              <w:numPr>
                <w:ilvl w:val="0"/>
                <w:numId w:val="27"/>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30 mg</w:t>
            </w:r>
          </w:p>
          <w:p w14:paraId="10B6D644" w14:textId="77777777" w:rsidR="00D92430" w:rsidRPr="00F30805" w:rsidRDefault="00D92430" w:rsidP="00D92430">
            <w:pPr>
              <w:pStyle w:val="ListParagraph"/>
              <w:numPr>
                <w:ilvl w:val="0"/>
                <w:numId w:val="27"/>
              </w:numPr>
              <w:spacing w:after="0" w:line="240" w:lineRule="auto"/>
              <w:jc w:val="left"/>
              <w:rPr>
                <w:rFonts w:ascii="Arial" w:hAnsi="Arial" w:cs="Arial"/>
                <w:sz w:val="18"/>
                <w:szCs w:val="18"/>
                <w:lang w:val="en-GB"/>
              </w:rPr>
            </w:pPr>
            <w:r w:rsidRPr="00F30805">
              <w:rPr>
                <w:rFonts w:ascii="Arial" w:hAnsi="Arial" w:cs="Arial"/>
                <w:sz w:val="18"/>
                <w:szCs w:val="18"/>
                <w:lang w:val="en-GB"/>
              </w:rPr>
              <w:t>Placebo</w:t>
            </w:r>
          </w:p>
          <w:p w14:paraId="5146AA45" w14:textId="77777777" w:rsidR="00D92430" w:rsidRPr="00F30805" w:rsidRDefault="00D92430" w:rsidP="00A9173E">
            <w:pPr>
              <w:pStyle w:val="ListParagraph"/>
              <w:ind w:left="360"/>
              <w:rPr>
                <w:rFonts w:ascii="Arial" w:hAnsi="Arial" w:cs="Arial"/>
                <w:sz w:val="18"/>
                <w:szCs w:val="18"/>
                <w:lang w:val="en-GB"/>
              </w:rPr>
            </w:pPr>
          </w:p>
          <w:p w14:paraId="1EFF026B" w14:textId="77777777" w:rsidR="00D92430" w:rsidRPr="00F30805" w:rsidRDefault="00D92430" w:rsidP="00421627">
            <w:pPr>
              <w:jc w:val="left"/>
              <w:rPr>
                <w:rFonts w:ascii="Arial" w:hAnsi="Arial" w:cs="Arial"/>
                <w:sz w:val="18"/>
                <w:szCs w:val="18"/>
              </w:rPr>
            </w:pPr>
            <w:r w:rsidRPr="00F30805">
              <w:rPr>
                <w:rFonts w:ascii="Arial" w:hAnsi="Arial" w:cs="Arial"/>
                <w:sz w:val="18"/>
                <w:szCs w:val="18"/>
              </w:rPr>
              <w:t xml:space="preserve">On background </w:t>
            </w:r>
            <w:proofErr w:type="spellStart"/>
            <w:r w:rsidRPr="00F30805">
              <w:rPr>
                <w:rFonts w:ascii="Arial" w:hAnsi="Arial" w:cs="Arial"/>
                <w:sz w:val="18"/>
                <w:szCs w:val="18"/>
              </w:rPr>
              <w:t>csDMARDs</w:t>
            </w:r>
            <w:proofErr w:type="spellEnd"/>
          </w:p>
        </w:tc>
        <w:tc>
          <w:tcPr>
            <w:tcW w:w="3544" w:type="dxa"/>
            <w:shd w:val="clear" w:color="auto" w:fill="auto"/>
          </w:tcPr>
          <w:p w14:paraId="380C852F" w14:textId="77777777" w:rsidR="00AE0B35" w:rsidRPr="00F30805" w:rsidRDefault="00D92430" w:rsidP="00AE0B35">
            <w:pPr>
              <w:spacing w:after="0" w:line="240" w:lineRule="auto"/>
              <w:jc w:val="left"/>
              <w:rPr>
                <w:rFonts w:ascii="Arial" w:hAnsi="Arial" w:cs="Arial"/>
                <w:sz w:val="18"/>
                <w:szCs w:val="18"/>
              </w:rPr>
            </w:pPr>
            <w:r w:rsidRPr="00F30805">
              <w:rPr>
                <w:rFonts w:ascii="Arial" w:hAnsi="Arial" w:cs="Arial"/>
                <w:sz w:val="18"/>
                <w:szCs w:val="18"/>
              </w:rPr>
              <w:t>Primary Endpoint:</w:t>
            </w:r>
          </w:p>
          <w:p w14:paraId="535E2C66" w14:textId="77777777" w:rsidR="00D92430" w:rsidRPr="00F30805" w:rsidRDefault="00D92430" w:rsidP="00AE0B35">
            <w:pPr>
              <w:pStyle w:val="ListParagraph"/>
              <w:ind w:left="459"/>
              <w:rPr>
                <w:rFonts w:ascii="Arial" w:hAnsi="Arial" w:cs="Arial"/>
                <w:sz w:val="18"/>
              </w:rPr>
            </w:pPr>
            <w:r w:rsidRPr="00F30805">
              <w:rPr>
                <w:rFonts w:ascii="Arial" w:hAnsi="Arial" w:cs="Arial"/>
                <w:sz w:val="18"/>
              </w:rPr>
              <w:t>ACR20 at Week 12</w:t>
            </w:r>
          </w:p>
          <w:p w14:paraId="5EDA141A" w14:textId="77777777" w:rsidR="00D92430" w:rsidRPr="00F30805" w:rsidRDefault="00D92430" w:rsidP="00AE0B35">
            <w:pPr>
              <w:pStyle w:val="ListParagraph"/>
              <w:spacing w:after="0" w:line="240" w:lineRule="auto"/>
              <w:ind w:left="177"/>
              <w:jc w:val="left"/>
              <w:rPr>
                <w:rFonts w:ascii="Arial" w:hAnsi="Arial" w:cs="Arial"/>
                <w:sz w:val="18"/>
                <w:szCs w:val="18"/>
              </w:rPr>
            </w:pPr>
          </w:p>
        </w:tc>
      </w:tr>
      <w:tr w:rsidR="00D92430" w:rsidRPr="00F30805" w14:paraId="06D95BB2" w14:textId="77777777" w:rsidTr="00AE0B35">
        <w:trPr>
          <w:trHeight w:val="311"/>
        </w:trPr>
        <w:tc>
          <w:tcPr>
            <w:tcW w:w="1926" w:type="dxa"/>
            <w:vMerge/>
            <w:shd w:val="clear" w:color="auto" w:fill="auto"/>
          </w:tcPr>
          <w:p w14:paraId="56254F6B" w14:textId="77777777" w:rsidR="00D92430" w:rsidRPr="00F30805" w:rsidRDefault="00D92430" w:rsidP="00A9173E">
            <w:pPr>
              <w:rPr>
                <w:rFonts w:ascii="Arial" w:hAnsi="Arial" w:cs="Arial"/>
                <w:sz w:val="18"/>
                <w:szCs w:val="18"/>
              </w:rPr>
            </w:pPr>
          </w:p>
        </w:tc>
        <w:tc>
          <w:tcPr>
            <w:tcW w:w="1219" w:type="dxa"/>
            <w:vMerge/>
            <w:shd w:val="clear" w:color="auto" w:fill="auto"/>
          </w:tcPr>
          <w:p w14:paraId="7064A0F2" w14:textId="77777777" w:rsidR="00D92430" w:rsidRPr="00F30805" w:rsidRDefault="00D92430" w:rsidP="00A9173E">
            <w:pPr>
              <w:rPr>
                <w:rFonts w:ascii="Arial" w:hAnsi="Arial" w:cs="Arial"/>
                <w:sz w:val="18"/>
                <w:szCs w:val="18"/>
              </w:rPr>
            </w:pPr>
          </w:p>
        </w:tc>
        <w:tc>
          <w:tcPr>
            <w:tcW w:w="2350" w:type="dxa"/>
            <w:vMerge/>
            <w:shd w:val="clear" w:color="auto" w:fill="auto"/>
          </w:tcPr>
          <w:p w14:paraId="5F7F6563" w14:textId="77777777" w:rsidR="00D92430" w:rsidRPr="00F30805" w:rsidRDefault="00D92430" w:rsidP="00D92430">
            <w:pPr>
              <w:pStyle w:val="ListParagraph"/>
              <w:numPr>
                <w:ilvl w:val="0"/>
                <w:numId w:val="27"/>
              </w:numPr>
              <w:spacing w:after="0" w:line="240" w:lineRule="auto"/>
              <w:jc w:val="left"/>
              <w:rPr>
                <w:rFonts w:ascii="Arial" w:hAnsi="Arial" w:cs="Arial"/>
                <w:sz w:val="18"/>
                <w:szCs w:val="18"/>
                <w:lang w:val="en-GB"/>
              </w:rPr>
            </w:pPr>
          </w:p>
        </w:tc>
        <w:tc>
          <w:tcPr>
            <w:tcW w:w="3544" w:type="dxa"/>
            <w:shd w:val="clear" w:color="auto" w:fill="auto"/>
          </w:tcPr>
          <w:p w14:paraId="3561825F" w14:textId="77777777" w:rsidR="00D92430" w:rsidRPr="00F30805" w:rsidRDefault="00D92430" w:rsidP="00AE0B35">
            <w:pPr>
              <w:pStyle w:val="ListParagraph"/>
              <w:spacing w:after="0" w:line="240" w:lineRule="auto"/>
              <w:ind w:left="0"/>
              <w:jc w:val="left"/>
              <w:rPr>
                <w:rFonts w:ascii="Arial" w:hAnsi="Arial" w:cs="Arial"/>
                <w:sz w:val="18"/>
                <w:szCs w:val="18"/>
              </w:rPr>
            </w:pPr>
            <w:r w:rsidRPr="00F30805">
              <w:rPr>
                <w:rFonts w:ascii="Arial" w:hAnsi="Arial" w:cs="Arial"/>
                <w:sz w:val="18"/>
                <w:szCs w:val="18"/>
              </w:rPr>
              <w:t>Key Secondary Endpoints:</w:t>
            </w:r>
            <w:r w:rsidRPr="00F30805">
              <w:rPr>
                <w:rFonts w:ascii="Arial" w:hAnsi="Arial" w:cs="Arial"/>
                <w:sz w:val="18"/>
                <w:szCs w:val="18"/>
              </w:rPr>
              <w:br/>
            </w:r>
          </w:p>
          <w:p w14:paraId="78D35691" w14:textId="77777777" w:rsidR="00D92430" w:rsidRPr="00F30805" w:rsidRDefault="00D92430"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Clinical Remission (DAS28- CRP &lt;2.6) at Week 12</w:t>
            </w:r>
          </w:p>
          <w:p w14:paraId="5EACF3A2" w14:textId="77777777" w:rsidR="00D92430" w:rsidRPr="00F30805" w:rsidRDefault="00D92430"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Δ Physical Function HAQ-DI at Week 12</w:t>
            </w:r>
          </w:p>
          <w:p w14:paraId="2C0B6A8A" w14:textId="0AD90F42" w:rsidR="00D92430" w:rsidRPr="00F30805" w:rsidRDefault="00D92430"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Low Disease Activity (DAS28-CRP ≤ 3.2) at Week 12</w:t>
            </w:r>
          </w:p>
          <w:p w14:paraId="442B19BD" w14:textId="4C383E48" w:rsidR="0037253E" w:rsidRPr="00F30805" w:rsidRDefault="007C728E"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SF-36 PCS</w:t>
            </w:r>
            <w:r w:rsidRPr="00F30805">
              <w:rPr>
                <w:rFonts w:ascii="Arial" w:hAnsi="Arial" w:cs="Arial"/>
                <w:sz w:val="18"/>
                <w:szCs w:val="18"/>
              </w:rPr>
              <w:t xml:space="preserve"> at Week 12</w:t>
            </w:r>
          </w:p>
          <w:p w14:paraId="16B1B716" w14:textId="432A6222" w:rsidR="0037253E" w:rsidRPr="00F30805" w:rsidRDefault="007C728E"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Morning stiffness</w:t>
            </w:r>
            <w:r w:rsidRPr="00F30805">
              <w:rPr>
                <w:rFonts w:ascii="Arial" w:hAnsi="Arial" w:cs="Arial"/>
                <w:sz w:val="18"/>
                <w:szCs w:val="18"/>
              </w:rPr>
              <w:t xml:space="preserve"> at Week 12</w:t>
            </w:r>
          </w:p>
          <w:p w14:paraId="3B8FE6BA" w14:textId="7C39D6AB" w:rsidR="0037253E" w:rsidRPr="00F30805" w:rsidRDefault="007C728E" w:rsidP="00AE0B35">
            <w:pPr>
              <w:pStyle w:val="ListParagraph"/>
              <w:numPr>
                <w:ilvl w:val="0"/>
                <w:numId w:val="29"/>
              </w:numPr>
              <w:spacing w:after="0" w:line="240" w:lineRule="auto"/>
              <w:ind w:left="160" w:hanging="160"/>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FACIT-F</w:t>
            </w:r>
            <w:r w:rsidRPr="00F30805">
              <w:rPr>
                <w:rFonts w:ascii="Arial" w:hAnsi="Arial" w:cs="Arial"/>
                <w:sz w:val="18"/>
                <w:szCs w:val="18"/>
              </w:rPr>
              <w:t xml:space="preserve"> at Week 12 </w:t>
            </w:r>
          </w:p>
          <w:p w14:paraId="4D02FE0F" w14:textId="77777777" w:rsidR="00D92430" w:rsidRPr="00F30805" w:rsidRDefault="00D92430" w:rsidP="00AE0B35">
            <w:pPr>
              <w:pStyle w:val="ListParagraph"/>
              <w:spacing w:after="0" w:line="240" w:lineRule="auto"/>
              <w:ind w:left="177"/>
              <w:jc w:val="left"/>
              <w:rPr>
                <w:rFonts w:ascii="Arial" w:hAnsi="Arial" w:cs="Arial"/>
                <w:sz w:val="18"/>
                <w:szCs w:val="18"/>
              </w:rPr>
            </w:pPr>
          </w:p>
        </w:tc>
      </w:tr>
      <w:tr w:rsidR="00D92430" w:rsidRPr="00F30805" w14:paraId="711836DC" w14:textId="77777777" w:rsidTr="00AE0B35">
        <w:trPr>
          <w:trHeight w:val="311"/>
        </w:trPr>
        <w:tc>
          <w:tcPr>
            <w:tcW w:w="1926" w:type="dxa"/>
            <w:vMerge w:val="restart"/>
            <w:shd w:val="clear" w:color="auto" w:fill="auto"/>
          </w:tcPr>
          <w:p w14:paraId="5B9F71C3" w14:textId="7B9354DF" w:rsidR="00D92430" w:rsidRPr="00F30805" w:rsidRDefault="00D92430" w:rsidP="00A9173E">
            <w:pPr>
              <w:rPr>
                <w:rFonts w:ascii="Arial" w:hAnsi="Arial" w:cs="Arial"/>
                <w:sz w:val="18"/>
                <w:szCs w:val="18"/>
              </w:rPr>
            </w:pPr>
            <w:r w:rsidRPr="00F30805">
              <w:rPr>
                <w:rFonts w:ascii="Arial" w:hAnsi="Arial" w:cs="Arial"/>
                <w:sz w:val="18"/>
                <w:szCs w:val="18"/>
              </w:rPr>
              <w:t>SELECT COMPARE</w:t>
            </w:r>
          </w:p>
          <w:p w14:paraId="5E2BEF36" w14:textId="36D7BF95" w:rsidR="00A40B8E" w:rsidRPr="00F30805" w:rsidRDefault="00A40B8E" w:rsidP="00A9173E">
            <w:pPr>
              <w:rPr>
                <w:rFonts w:ascii="Arial" w:hAnsi="Arial" w:cs="Arial"/>
                <w:sz w:val="18"/>
                <w:szCs w:val="18"/>
              </w:rPr>
            </w:pPr>
            <w:r w:rsidRPr="00F30805">
              <w:rPr>
                <w:rFonts w:ascii="Arial" w:hAnsi="Arial" w:cs="Arial"/>
                <w:sz w:val="18"/>
                <w:szCs w:val="18"/>
              </w:rPr>
              <w:t>48-week trial</w:t>
            </w:r>
          </w:p>
          <w:p w14:paraId="0EDC253A" w14:textId="77777777" w:rsidR="00D92430" w:rsidRPr="00F30805" w:rsidRDefault="00D92430" w:rsidP="00A9173E">
            <w:pPr>
              <w:rPr>
                <w:rFonts w:ascii="Arial" w:hAnsi="Arial" w:cs="Arial"/>
                <w:sz w:val="18"/>
                <w:szCs w:val="18"/>
              </w:rPr>
            </w:pPr>
          </w:p>
        </w:tc>
        <w:tc>
          <w:tcPr>
            <w:tcW w:w="1219" w:type="dxa"/>
            <w:vMerge w:val="restart"/>
            <w:shd w:val="clear" w:color="auto" w:fill="auto"/>
          </w:tcPr>
          <w:p w14:paraId="2E8CDE50" w14:textId="77777777" w:rsidR="00D92430" w:rsidRPr="00F30805" w:rsidRDefault="00D92430" w:rsidP="00A9173E">
            <w:pPr>
              <w:rPr>
                <w:rFonts w:ascii="Arial" w:hAnsi="Arial" w:cs="Arial"/>
                <w:sz w:val="18"/>
                <w:szCs w:val="18"/>
              </w:rPr>
            </w:pPr>
            <w:r w:rsidRPr="00F30805">
              <w:rPr>
                <w:rFonts w:ascii="Arial" w:hAnsi="Arial" w:cs="Arial"/>
                <w:sz w:val="18"/>
                <w:szCs w:val="18"/>
              </w:rPr>
              <w:t>MTX-</w:t>
            </w:r>
            <w:proofErr w:type="spellStart"/>
            <w:r w:rsidRPr="00F30805">
              <w:rPr>
                <w:rFonts w:ascii="Arial" w:hAnsi="Arial" w:cs="Arial"/>
                <w:sz w:val="18"/>
                <w:szCs w:val="18"/>
              </w:rPr>
              <w:t>IR</w:t>
            </w:r>
            <w:r w:rsidRPr="00F30805">
              <w:rPr>
                <w:rFonts w:ascii="Arial" w:hAnsi="Arial" w:cs="Arial"/>
                <w:sz w:val="18"/>
                <w:szCs w:val="18"/>
                <w:vertAlign w:val="superscript"/>
              </w:rPr>
              <w:t>d</w:t>
            </w:r>
            <w:proofErr w:type="spellEnd"/>
          </w:p>
          <w:p w14:paraId="6D397E66" w14:textId="77777777" w:rsidR="00D92430" w:rsidRPr="00F30805" w:rsidRDefault="00D92430" w:rsidP="00A9173E">
            <w:pPr>
              <w:rPr>
                <w:rFonts w:ascii="Arial" w:hAnsi="Arial" w:cs="Arial"/>
                <w:sz w:val="18"/>
                <w:szCs w:val="18"/>
              </w:rPr>
            </w:pPr>
            <w:r w:rsidRPr="00F30805">
              <w:rPr>
                <w:rFonts w:ascii="Arial" w:hAnsi="Arial" w:cs="Arial"/>
                <w:sz w:val="18"/>
                <w:szCs w:val="18"/>
              </w:rPr>
              <w:t>(1629)</w:t>
            </w:r>
          </w:p>
        </w:tc>
        <w:tc>
          <w:tcPr>
            <w:tcW w:w="2350" w:type="dxa"/>
            <w:vMerge w:val="restart"/>
            <w:shd w:val="clear" w:color="auto" w:fill="auto"/>
          </w:tcPr>
          <w:p w14:paraId="51B2F901" w14:textId="77777777" w:rsidR="00D92430" w:rsidRPr="00F30805" w:rsidRDefault="00D92430" w:rsidP="00D92430">
            <w:pPr>
              <w:pStyle w:val="ListParagraph"/>
              <w:numPr>
                <w:ilvl w:val="0"/>
                <w:numId w:val="26"/>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15 mg</w:t>
            </w:r>
          </w:p>
          <w:p w14:paraId="5A076F35" w14:textId="77777777" w:rsidR="00D92430" w:rsidRPr="00F30805" w:rsidRDefault="00D92430" w:rsidP="00D92430">
            <w:pPr>
              <w:pStyle w:val="ListParagraph"/>
              <w:numPr>
                <w:ilvl w:val="0"/>
                <w:numId w:val="26"/>
              </w:numPr>
              <w:spacing w:after="0" w:line="240" w:lineRule="auto"/>
              <w:jc w:val="left"/>
              <w:rPr>
                <w:rFonts w:ascii="Arial" w:hAnsi="Arial" w:cs="Arial"/>
                <w:sz w:val="18"/>
                <w:szCs w:val="18"/>
                <w:lang w:val="en-GB"/>
              </w:rPr>
            </w:pPr>
            <w:r w:rsidRPr="00F30805">
              <w:rPr>
                <w:rFonts w:ascii="Arial" w:hAnsi="Arial" w:cs="Arial"/>
                <w:sz w:val="18"/>
                <w:szCs w:val="18"/>
                <w:lang w:val="en-GB"/>
              </w:rPr>
              <w:t>Placebo</w:t>
            </w:r>
          </w:p>
          <w:p w14:paraId="6A4227E8" w14:textId="77777777" w:rsidR="00D92430" w:rsidRPr="00F30805" w:rsidRDefault="00D92430" w:rsidP="00D92430">
            <w:pPr>
              <w:pStyle w:val="ListParagraph"/>
              <w:numPr>
                <w:ilvl w:val="0"/>
                <w:numId w:val="26"/>
              </w:numPr>
              <w:spacing w:after="0" w:line="240" w:lineRule="auto"/>
              <w:jc w:val="left"/>
              <w:rPr>
                <w:rFonts w:ascii="Arial" w:hAnsi="Arial" w:cs="Arial"/>
                <w:sz w:val="18"/>
                <w:szCs w:val="18"/>
                <w:lang w:val="en-GB"/>
              </w:rPr>
            </w:pPr>
            <w:r w:rsidRPr="00F30805">
              <w:rPr>
                <w:rFonts w:ascii="Arial" w:hAnsi="Arial" w:cs="Arial"/>
                <w:sz w:val="18"/>
                <w:szCs w:val="18"/>
                <w:lang w:val="en-GB"/>
              </w:rPr>
              <w:t>Adalimumab 40 mg</w:t>
            </w:r>
          </w:p>
          <w:p w14:paraId="0701DF74" w14:textId="77777777" w:rsidR="00D92430" w:rsidRPr="00F30805" w:rsidRDefault="00D92430" w:rsidP="00A9173E">
            <w:pPr>
              <w:rPr>
                <w:rFonts w:ascii="Arial" w:hAnsi="Arial" w:cs="Arial"/>
                <w:sz w:val="18"/>
                <w:szCs w:val="18"/>
              </w:rPr>
            </w:pPr>
          </w:p>
          <w:p w14:paraId="6DE61564" w14:textId="77777777" w:rsidR="00D92430" w:rsidRPr="00F30805" w:rsidRDefault="00D92430" w:rsidP="00A9173E">
            <w:pPr>
              <w:rPr>
                <w:rFonts w:ascii="Arial" w:hAnsi="Arial" w:cs="Arial"/>
                <w:sz w:val="18"/>
                <w:szCs w:val="18"/>
              </w:rPr>
            </w:pPr>
            <w:r w:rsidRPr="00F30805">
              <w:rPr>
                <w:rFonts w:ascii="Arial" w:hAnsi="Arial" w:cs="Arial"/>
                <w:sz w:val="18"/>
                <w:szCs w:val="18"/>
              </w:rPr>
              <w:t>On background MTX</w:t>
            </w:r>
          </w:p>
        </w:tc>
        <w:tc>
          <w:tcPr>
            <w:tcW w:w="3544" w:type="dxa"/>
            <w:shd w:val="clear" w:color="auto" w:fill="auto"/>
          </w:tcPr>
          <w:p w14:paraId="2ECF9CA2" w14:textId="77777777" w:rsidR="00D92430" w:rsidRPr="00F30805" w:rsidRDefault="00D92430" w:rsidP="00AE0B35">
            <w:pPr>
              <w:jc w:val="left"/>
              <w:rPr>
                <w:rFonts w:ascii="Arial" w:hAnsi="Arial" w:cs="Arial"/>
                <w:sz w:val="18"/>
                <w:szCs w:val="18"/>
              </w:rPr>
            </w:pPr>
            <w:r w:rsidRPr="00F30805">
              <w:rPr>
                <w:rFonts w:ascii="Arial" w:hAnsi="Arial" w:cs="Arial"/>
                <w:sz w:val="18"/>
                <w:szCs w:val="18"/>
              </w:rPr>
              <w:t>Primary Endpoint:</w:t>
            </w:r>
          </w:p>
          <w:p w14:paraId="6DB8BDB4" w14:textId="77777777" w:rsidR="00D92430" w:rsidRPr="00F30805" w:rsidRDefault="00D92430" w:rsidP="00AE0B35">
            <w:pPr>
              <w:pStyle w:val="ListParagraph"/>
              <w:numPr>
                <w:ilvl w:val="0"/>
                <w:numId w:val="34"/>
              </w:numPr>
              <w:spacing w:after="0" w:line="240" w:lineRule="auto"/>
              <w:jc w:val="left"/>
              <w:rPr>
                <w:rFonts w:ascii="Arial" w:hAnsi="Arial" w:cs="Arial"/>
                <w:sz w:val="18"/>
                <w:szCs w:val="18"/>
              </w:rPr>
            </w:pPr>
            <w:r w:rsidRPr="00F30805">
              <w:rPr>
                <w:rFonts w:ascii="Arial" w:hAnsi="Arial" w:cs="Arial"/>
                <w:sz w:val="18"/>
                <w:szCs w:val="18"/>
              </w:rPr>
              <w:t>ACR20 at Week 12</w:t>
            </w:r>
          </w:p>
          <w:p w14:paraId="63528DD6" w14:textId="77777777" w:rsidR="00D92430" w:rsidRPr="00F30805" w:rsidRDefault="00D92430" w:rsidP="00AE0B35">
            <w:pPr>
              <w:pStyle w:val="ListParagraph"/>
              <w:spacing w:after="0" w:line="240" w:lineRule="auto"/>
              <w:ind w:left="177"/>
              <w:jc w:val="left"/>
              <w:rPr>
                <w:rFonts w:ascii="Arial" w:hAnsi="Arial" w:cs="Arial"/>
                <w:sz w:val="18"/>
                <w:szCs w:val="18"/>
              </w:rPr>
            </w:pPr>
          </w:p>
        </w:tc>
      </w:tr>
      <w:tr w:rsidR="00D92430" w:rsidRPr="00F30805" w14:paraId="76667F2C" w14:textId="77777777" w:rsidTr="00AE0B35">
        <w:trPr>
          <w:trHeight w:val="311"/>
        </w:trPr>
        <w:tc>
          <w:tcPr>
            <w:tcW w:w="1926" w:type="dxa"/>
            <w:vMerge/>
            <w:shd w:val="clear" w:color="auto" w:fill="auto"/>
          </w:tcPr>
          <w:p w14:paraId="48FD9A3F" w14:textId="77777777" w:rsidR="00D92430" w:rsidRPr="00F30805" w:rsidRDefault="00D92430" w:rsidP="00A9173E">
            <w:pPr>
              <w:rPr>
                <w:rFonts w:ascii="Arial" w:hAnsi="Arial" w:cs="Arial"/>
                <w:sz w:val="18"/>
                <w:szCs w:val="18"/>
              </w:rPr>
            </w:pPr>
          </w:p>
        </w:tc>
        <w:tc>
          <w:tcPr>
            <w:tcW w:w="1219" w:type="dxa"/>
            <w:vMerge/>
            <w:shd w:val="clear" w:color="auto" w:fill="auto"/>
          </w:tcPr>
          <w:p w14:paraId="44133455" w14:textId="77777777" w:rsidR="00D92430" w:rsidRPr="00F30805" w:rsidRDefault="00D92430" w:rsidP="00A9173E">
            <w:pPr>
              <w:rPr>
                <w:rFonts w:ascii="Arial" w:hAnsi="Arial" w:cs="Arial"/>
                <w:sz w:val="18"/>
                <w:szCs w:val="18"/>
              </w:rPr>
            </w:pPr>
          </w:p>
        </w:tc>
        <w:tc>
          <w:tcPr>
            <w:tcW w:w="2350" w:type="dxa"/>
            <w:vMerge/>
            <w:shd w:val="clear" w:color="auto" w:fill="auto"/>
          </w:tcPr>
          <w:p w14:paraId="2FCB8BBA" w14:textId="77777777" w:rsidR="00D92430" w:rsidRPr="00F30805" w:rsidRDefault="00D92430" w:rsidP="00D92430">
            <w:pPr>
              <w:pStyle w:val="ListParagraph"/>
              <w:numPr>
                <w:ilvl w:val="0"/>
                <w:numId w:val="26"/>
              </w:numPr>
              <w:spacing w:after="0" w:line="240" w:lineRule="auto"/>
              <w:jc w:val="left"/>
              <w:rPr>
                <w:rFonts w:ascii="Arial" w:hAnsi="Arial" w:cs="Arial"/>
                <w:sz w:val="18"/>
                <w:szCs w:val="18"/>
                <w:lang w:val="en-GB"/>
              </w:rPr>
            </w:pPr>
          </w:p>
        </w:tc>
        <w:tc>
          <w:tcPr>
            <w:tcW w:w="3544" w:type="dxa"/>
            <w:shd w:val="clear" w:color="auto" w:fill="auto"/>
          </w:tcPr>
          <w:p w14:paraId="2EBC3929" w14:textId="77777777" w:rsidR="00D92430" w:rsidRPr="00F30805" w:rsidRDefault="00D92430" w:rsidP="00AE0B35">
            <w:pPr>
              <w:pStyle w:val="ListParagraph"/>
              <w:spacing w:after="0" w:line="240" w:lineRule="auto"/>
              <w:ind w:left="0"/>
              <w:jc w:val="left"/>
              <w:rPr>
                <w:rFonts w:ascii="Arial" w:hAnsi="Arial" w:cs="Arial"/>
                <w:sz w:val="18"/>
                <w:szCs w:val="18"/>
              </w:rPr>
            </w:pPr>
            <w:r w:rsidRPr="00F30805">
              <w:rPr>
                <w:rFonts w:ascii="Arial" w:hAnsi="Arial" w:cs="Arial"/>
                <w:sz w:val="18"/>
                <w:szCs w:val="18"/>
              </w:rPr>
              <w:t>Key Secondary Endpoints:</w:t>
            </w:r>
            <w:r w:rsidRPr="00F30805">
              <w:rPr>
                <w:rFonts w:ascii="Arial" w:hAnsi="Arial" w:cs="Arial"/>
                <w:sz w:val="18"/>
                <w:szCs w:val="18"/>
              </w:rPr>
              <w:br/>
            </w:r>
          </w:p>
          <w:p w14:paraId="05E9A487" w14:textId="77777777" w:rsidR="00D92430" w:rsidRPr="00F30805" w:rsidRDefault="00D92430"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Low Disease Activity (DAS28-CRP ≤3.2) at Week 12</w:t>
            </w:r>
          </w:p>
          <w:p w14:paraId="6F597F38" w14:textId="77777777" w:rsidR="00D92430" w:rsidRPr="00F30805" w:rsidRDefault="00D92430"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Clinical Remission</w:t>
            </w:r>
          </w:p>
          <w:p w14:paraId="57727FAD" w14:textId="238A40EF" w:rsidR="00D92430" w:rsidRPr="00F30805" w:rsidRDefault="00D92430" w:rsidP="00AE0B35">
            <w:pPr>
              <w:pStyle w:val="ListParagraph"/>
              <w:spacing w:after="0" w:line="240" w:lineRule="auto"/>
              <w:ind w:left="177"/>
              <w:jc w:val="left"/>
              <w:rPr>
                <w:rFonts w:ascii="Arial" w:hAnsi="Arial" w:cs="Arial"/>
                <w:sz w:val="18"/>
                <w:szCs w:val="18"/>
              </w:rPr>
            </w:pPr>
            <w:r w:rsidRPr="00F30805">
              <w:rPr>
                <w:rFonts w:ascii="Arial" w:hAnsi="Arial" w:cs="Arial"/>
                <w:sz w:val="18"/>
                <w:szCs w:val="18"/>
              </w:rPr>
              <w:t>(DAS28-CRP &lt;2.6) at Week 12</w:t>
            </w:r>
            <w:r w:rsidR="007C728E" w:rsidRPr="00F30805">
              <w:rPr>
                <w:rFonts w:ascii="Arial" w:hAnsi="Arial" w:cs="Arial"/>
                <w:sz w:val="18"/>
                <w:szCs w:val="18"/>
              </w:rPr>
              <w:t xml:space="preserve">; </w:t>
            </w:r>
          </w:p>
          <w:p w14:paraId="5E990542" w14:textId="04F8E09F" w:rsidR="00D92430" w:rsidRPr="00F30805" w:rsidRDefault="00D92430"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lastRenderedPageBreak/>
              <w:t>ACR50 vs adalimumab at Week 12</w:t>
            </w:r>
            <w:r w:rsidR="005218CC" w:rsidRPr="00F30805">
              <w:rPr>
                <w:rFonts w:ascii="Arial" w:hAnsi="Arial" w:cs="Arial"/>
                <w:sz w:val="18"/>
                <w:szCs w:val="18"/>
              </w:rPr>
              <w:t xml:space="preserve">; </w:t>
            </w:r>
          </w:p>
          <w:p w14:paraId="2F6BA705" w14:textId="77777777" w:rsidR="00D92430" w:rsidRPr="00F30805" w:rsidRDefault="00D92430"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 xml:space="preserve">Δ Physical Function </w:t>
            </w:r>
          </w:p>
          <w:p w14:paraId="514D692F" w14:textId="09E9E2A6" w:rsidR="007C728E" w:rsidRPr="00F30805" w:rsidRDefault="00D92430" w:rsidP="007C728E">
            <w:pPr>
              <w:spacing w:after="0" w:line="240" w:lineRule="auto"/>
              <w:ind w:left="177"/>
              <w:jc w:val="left"/>
              <w:rPr>
                <w:rFonts w:ascii="Arial" w:hAnsi="Arial" w:cs="Arial"/>
                <w:sz w:val="18"/>
                <w:szCs w:val="18"/>
              </w:rPr>
            </w:pPr>
            <w:r w:rsidRPr="00F30805">
              <w:rPr>
                <w:rFonts w:ascii="Arial" w:hAnsi="Arial" w:cs="Arial"/>
                <w:sz w:val="18"/>
                <w:szCs w:val="18"/>
              </w:rPr>
              <w:t xml:space="preserve">(HAQ-DI) </w:t>
            </w:r>
            <w:r w:rsidR="007C728E" w:rsidRPr="00F30805">
              <w:rPr>
                <w:rFonts w:ascii="Arial" w:hAnsi="Arial" w:cs="Arial"/>
                <w:sz w:val="18"/>
                <w:szCs w:val="18"/>
              </w:rPr>
              <w:t xml:space="preserve">vs adalimumab </w:t>
            </w:r>
            <w:r w:rsidRPr="00F30805">
              <w:rPr>
                <w:rFonts w:ascii="Arial" w:hAnsi="Arial" w:cs="Arial"/>
                <w:sz w:val="18"/>
                <w:szCs w:val="18"/>
              </w:rPr>
              <w:t>at Week 12</w:t>
            </w:r>
            <w:r w:rsidR="007C728E" w:rsidRPr="00F30805">
              <w:rPr>
                <w:rFonts w:ascii="Arial" w:hAnsi="Arial" w:cs="Arial"/>
                <w:sz w:val="18"/>
                <w:szCs w:val="18"/>
              </w:rPr>
              <w:t xml:space="preserve">; </w:t>
            </w:r>
          </w:p>
          <w:p w14:paraId="2F0C9BCA" w14:textId="6CA8BB44" w:rsidR="007C728E" w:rsidRPr="00F30805" w:rsidRDefault="007C728E"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Δ Patient’s Assessment of Pain vs adalimumab at Week 12</w:t>
            </w:r>
          </w:p>
          <w:p w14:paraId="2DFADF83" w14:textId="488846B0" w:rsidR="00D92430" w:rsidRPr="00F30805" w:rsidRDefault="00D92430"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Radiographic progression (</w:t>
            </w:r>
            <w:proofErr w:type="spellStart"/>
            <w:r w:rsidRPr="00F30805">
              <w:rPr>
                <w:rFonts w:ascii="Arial" w:hAnsi="Arial" w:cs="Arial"/>
                <w:sz w:val="18"/>
                <w:szCs w:val="18"/>
              </w:rPr>
              <w:t>ΔmTSS</w:t>
            </w:r>
            <w:proofErr w:type="spellEnd"/>
            <w:r w:rsidRPr="00F30805">
              <w:rPr>
                <w:rFonts w:ascii="Arial" w:hAnsi="Arial" w:cs="Arial"/>
                <w:sz w:val="18"/>
                <w:szCs w:val="18"/>
              </w:rPr>
              <w:t>) at Week 26</w:t>
            </w:r>
          </w:p>
          <w:p w14:paraId="19605D0E" w14:textId="1B908C68" w:rsidR="0037253E" w:rsidRPr="00F30805" w:rsidRDefault="007C728E"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SF-36 PCS</w:t>
            </w:r>
            <w:r w:rsidRPr="00F30805">
              <w:rPr>
                <w:rFonts w:ascii="Arial" w:hAnsi="Arial" w:cs="Arial"/>
                <w:sz w:val="18"/>
                <w:szCs w:val="18"/>
              </w:rPr>
              <w:t xml:space="preserve"> at Week 12</w:t>
            </w:r>
          </w:p>
          <w:p w14:paraId="7155D0CA" w14:textId="48BDE66F" w:rsidR="0037253E" w:rsidRPr="00F30805" w:rsidRDefault="007C728E"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Morning stiffness</w:t>
            </w:r>
            <w:r w:rsidRPr="00F30805">
              <w:rPr>
                <w:rFonts w:ascii="Arial" w:hAnsi="Arial" w:cs="Arial"/>
                <w:sz w:val="18"/>
                <w:szCs w:val="18"/>
              </w:rPr>
              <w:t xml:space="preserve"> at Week 12</w:t>
            </w:r>
          </w:p>
          <w:p w14:paraId="3F7E96A8" w14:textId="41E47EBA" w:rsidR="0037253E" w:rsidRPr="00F30805" w:rsidRDefault="007C728E"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 xml:space="preserve">Δ </w:t>
            </w:r>
            <w:r w:rsidR="0037253E" w:rsidRPr="00F30805">
              <w:rPr>
                <w:rFonts w:ascii="Arial" w:hAnsi="Arial" w:cs="Arial"/>
                <w:sz w:val="18"/>
                <w:szCs w:val="18"/>
              </w:rPr>
              <w:t>FACIT-F</w:t>
            </w:r>
            <w:r w:rsidRPr="00F30805">
              <w:rPr>
                <w:rFonts w:ascii="Arial" w:hAnsi="Arial" w:cs="Arial"/>
                <w:sz w:val="18"/>
                <w:szCs w:val="18"/>
              </w:rPr>
              <w:t xml:space="preserve"> at Week 12</w:t>
            </w:r>
          </w:p>
        </w:tc>
      </w:tr>
      <w:tr w:rsidR="00D92430" w:rsidRPr="00F30805" w14:paraId="2B7777A2" w14:textId="77777777" w:rsidTr="00AE0B35">
        <w:trPr>
          <w:trHeight w:val="428"/>
        </w:trPr>
        <w:tc>
          <w:tcPr>
            <w:tcW w:w="1926" w:type="dxa"/>
            <w:vMerge w:val="restart"/>
            <w:shd w:val="clear" w:color="auto" w:fill="auto"/>
          </w:tcPr>
          <w:p w14:paraId="5529BA83" w14:textId="00CD85DB" w:rsidR="00D92430" w:rsidRPr="00F30805" w:rsidRDefault="00D92430" w:rsidP="00A9173E">
            <w:pPr>
              <w:rPr>
                <w:rFonts w:ascii="Arial" w:hAnsi="Arial" w:cs="Arial"/>
                <w:sz w:val="18"/>
                <w:szCs w:val="18"/>
              </w:rPr>
            </w:pPr>
            <w:r w:rsidRPr="00F30805">
              <w:rPr>
                <w:rFonts w:ascii="Arial" w:hAnsi="Arial" w:cs="Arial"/>
                <w:sz w:val="18"/>
                <w:szCs w:val="18"/>
              </w:rPr>
              <w:lastRenderedPageBreak/>
              <w:t>SELECT BEYOND</w:t>
            </w:r>
          </w:p>
          <w:p w14:paraId="6794E22C" w14:textId="74C7B6D9" w:rsidR="00A40B8E" w:rsidRPr="00F30805" w:rsidRDefault="00A40B8E" w:rsidP="00A9173E">
            <w:pPr>
              <w:rPr>
                <w:rFonts w:ascii="Arial" w:hAnsi="Arial" w:cs="Arial"/>
                <w:sz w:val="18"/>
                <w:szCs w:val="18"/>
              </w:rPr>
            </w:pPr>
            <w:r w:rsidRPr="00F30805">
              <w:rPr>
                <w:rFonts w:ascii="Arial" w:hAnsi="Arial" w:cs="Arial"/>
                <w:sz w:val="18"/>
                <w:szCs w:val="18"/>
              </w:rPr>
              <w:t>12-week trial</w:t>
            </w:r>
          </w:p>
          <w:p w14:paraId="3CE5136C" w14:textId="77777777" w:rsidR="00D92430" w:rsidRPr="00F30805" w:rsidRDefault="00D92430" w:rsidP="00A9173E">
            <w:pPr>
              <w:rPr>
                <w:rFonts w:ascii="Arial" w:hAnsi="Arial" w:cs="Arial"/>
                <w:sz w:val="18"/>
                <w:szCs w:val="18"/>
              </w:rPr>
            </w:pPr>
          </w:p>
        </w:tc>
        <w:tc>
          <w:tcPr>
            <w:tcW w:w="1219" w:type="dxa"/>
            <w:vMerge w:val="restart"/>
            <w:shd w:val="clear" w:color="auto" w:fill="auto"/>
          </w:tcPr>
          <w:p w14:paraId="3B26FC4A" w14:textId="77777777" w:rsidR="00D92430" w:rsidRPr="00F30805" w:rsidRDefault="00D92430" w:rsidP="00A9173E">
            <w:pPr>
              <w:rPr>
                <w:rFonts w:ascii="Arial" w:hAnsi="Arial" w:cs="Arial"/>
                <w:sz w:val="18"/>
                <w:szCs w:val="18"/>
              </w:rPr>
            </w:pPr>
            <w:proofErr w:type="spellStart"/>
            <w:r w:rsidRPr="00F30805">
              <w:rPr>
                <w:rFonts w:ascii="Arial" w:hAnsi="Arial" w:cs="Arial"/>
                <w:sz w:val="18"/>
                <w:szCs w:val="18"/>
              </w:rPr>
              <w:t>bDMARD-IR</w:t>
            </w:r>
            <w:r w:rsidRPr="00F30805">
              <w:rPr>
                <w:rFonts w:ascii="Arial" w:hAnsi="Arial" w:cs="Arial"/>
                <w:sz w:val="18"/>
                <w:szCs w:val="18"/>
                <w:vertAlign w:val="superscript"/>
              </w:rPr>
              <w:t>e</w:t>
            </w:r>
            <w:proofErr w:type="spellEnd"/>
          </w:p>
          <w:p w14:paraId="61A9657E" w14:textId="77777777" w:rsidR="00D92430" w:rsidRPr="00F30805" w:rsidRDefault="00D92430" w:rsidP="00A9173E">
            <w:pPr>
              <w:rPr>
                <w:rFonts w:ascii="Arial" w:hAnsi="Arial" w:cs="Arial"/>
                <w:sz w:val="18"/>
                <w:szCs w:val="18"/>
              </w:rPr>
            </w:pPr>
            <w:r w:rsidRPr="00F30805">
              <w:rPr>
                <w:rFonts w:ascii="Arial" w:hAnsi="Arial" w:cs="Arial"/>
                <w:sz w:val="18"/>
                <w:szCs w:val="18"/>
              </w:rPr>
              <w:t>(499)</w:t>
            </w:r>
          </w:p>
        </w:tc>
        <w:tc>
          <w:tcPr>
            <w:tcW w:w="2350" w:type="dxa"/>
            <w:vMerge w:val="restart"/>
            <w:shd w:val="clear" w:color="auto" w:fill="auto"/>
          </w:tcPr>
          <w:p w14:paraId="3AA77EF8" w14:textId="77777777" w:rsidR="00D92430" w:rsidRPr="00F30805" w:rsidRDefault="00D92430" w:rsidP="00D92430">
            <w:pPr>
              <w:pStyle w:val="ListParagraph"/>
              <w:numPr>
                <w:ilvl w:val="0"/>
                <w:numId w:val="28"/>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15 mg</w:t>
            </w:r>
          </w:p>
          <w:p w14:paraId="46BED506" w14:textId="77777777" w:rsidR="00D92430" w:rsidRPr="00F30805" w:rsidRDefault="00D92430" w:rsidP="00D92430">
            <w:pPr>
              <w:pStyle w:val="ListParagraph"/>
              <w:numPr>
                <w:ilvl w:val="0"/>
                <w:numId w:val="28"/>
              </w:numPr>
              <w:spacing w:after="0" w:line="240" w:lineRule="auto"/>
              <w:jc w:val="left"/>
              <w:rPr>
                <w:rFonts w:ascii="Arial" w:hAnsi="Arial" w:cs="Arial"/>
                <w:sz w:val="18"/>
                <w:szCs w:val="18"/>
                <w:lang w:val="en-GB"/>
              </w:rPr>
            </w:pPr>
            <w:r w:rsidRPr="00F30805">
              <w:rPr>
                <w:rFonts w:ascii="Arial" w:hAnsi="Arial" w:cs="Arial"/>
                <w:sz w:val="18"/>
                <w:szCs w:val="18"/>
                <w:lang w:val="en-GB"/>
              </w:rPr>
              <w:t>Upadacitinib 30 mg</w:t>
            </w:r>
          </w:p>
          <w:p w14:paraId="21FF145C" w14:textId="77777777" w:rsidR="00D92430" w:rsidRPr="00F30805" w:rsidRDefault="00D92430" w:rsidP="00D92430">
            <w:pPr>
              <w:pStyle w:val="ListParagraph"/>
              <w:numPr>
                <w:ilvl w:val="0"/>
                <w:numId w:val="28"/>
              </w:numPr>
              <w:spacing w:after="0" w:line="240" w:lineRule="auto"/>
              <w:jc w:val="left"/>
              <w:rPr>
                <w:rFonts w:ascii="Arial" w:hAnsi="Arial" w:cs="Arial"/>
                <w:sz w:val="18"/>
                <w:szCs w:val="18"/>
                <w:lang w:val="en-GB"/>
              </w:rPr>
            </w:pPr>
            <w:r w:rsidRPr="00F30805">
              <w:rPr>
                <w:rFonts w:ascii="Arial" w:hAnsi="Arial" w:cs="Arial"/>
                <w:sz w:val="18"/>
                <w:szCs w:val="18"/>
                <w:lang w:val="en-GB"/>
              </w:rPr>
              <w:t>Placebo</w:t>
            </w:r>
          </w:p>
          <w:p w14:paraId="51BCC458" w14:textId="77777777" w:rsidR="00D92430" w:rsidRPr="00F30805" w:rsidRDefault="00D92430" w:rsidP="00A9173E">
            <w:pPr>
              <w:pStyle w:val="ListParagraph"/>
              <w:spacing w:after="0" w:line="240" w:lineRule="auto"/>
              <w:ind w:left="0"/>
              <w:rPr>
                <w:rFonts w:ascii="Arial" w:hAnsi="Arial" w:cs="Arial"/>
                <w:sz w:val="18"/>
                <w:szCs w:val="18"/>
                <w:lang w:val="en-GB"/>
              </w:rPr>
            </w:pPr>
          </w:p>
          <w:p w14:paraId="51C54347" w14:textId="77777777" w:rsidR="00D92430" w:rsidRPr="00F30805" w:rsidRDefault="00D92430" w:rsidP="00421627">
            <w:pPr>
              <w:pStyle w:val="ListParagraph"/>
              <w:spacing w:after="0" w:line="240" w:lineRule="auto"/>
              <w:ind w:left="0"/>
              <w:jc w:val="left"/>
              <w:rPr>
                <w:rFonts w:ascii="Arial" w:hAnsi="Arial" w:cs="Arial"/>
                <w:sz w:val="18"/>
                <w:szCs w:val="18"/>
                <w:lang w:val="en-GB"/>
              </w:rPr>
            </w:pPr>
            <w:r w:rsidRPr="00F30805">
              <w:rPr>
                <w:rFonts w:ascii="Arial" w:hAnsi="Arial" w:cs="Arial"/>
                <w:sz w:val="18"/>
                <w:szCs w:val="18"/>
                <w:lang w:val="en-GB"/>
              </w:rPr>
              <w:t xml:space="preserve">On background </w:t>
            </w:r>
            <w:proofErr w:type="spellStart"/>
            <w:r w:rsidRPr="00F30805">
              <w:rPr>
                <w:rFonts w:ascii="Arial" w:hAnsi="Arial" w:cs="Arial"/>
                <w:sz w:val="18"/>
                <w:szCs w:val="18"/>
                <w:lang w:val="en-GB"/>
              </w:rPr>
              <w:t>csDMARDs</w:t>
            </w:r>
            <w:proofErr w:type="spellEnd"/>
          </w:p>
        </w:tc>
        <w:tc>
          <w:tcPr>
            <w:tcW w:w="3544" w:type="dxa"/>
            <w:shd w:val="clear" w:color="auto" w:fill="auto"/>
          </w:tcPr>
          <w:p w14:paraId="17B2D66F" w14:textId="77777777" w:rsidR="00D92430" w:rsidRPr="00F30805" w:rsidRDefault="00D92430" w:rsidP="00AE0B35">
            <w:pPr>
              <w:jc w:val="left"/>
              <w:rPr>
                <w:rFonts w:ascii="Arial" w:hAnsi="Arial" w:cs="Arial"/>
                <w:sz w:val="18"/>
                <w:szCs w:val="18"/>
              </w:rPr>
            </w:pPr>
            <w:r w:rsidRPr="00F30805">
              <w:rPr>
                <w:rFonts w:ascii="Arial" w:hAnsi="Arial" w:cs="Arial"/>
                <w:sz w:val="18"/>
                <w:szCs w:val="18"/>
              </w:rPr>
              <w:t>Primary Endpoint:</w:t>
            </w:r>
          </w:p>
          <w:p w14:paraId="42D9196B" w14:textId="77777777" w:rsidR="00D92430" w:rsidRPr="00F30805" w:rsidRDefault="00D92430" w:rsidP="00AE0B35">
            <w:pPr>
              <w:pStyle w:val="ListParagraph"/>
              <w:numPr>
                <w:ilvl w:val="0"/>
                <w:numId w:val="31"/>
              </w:numPr>
              <w:spacing w:after="0" w:line="240" w:lineRule="auto"/>
              <w:ind w:left="177" w:hanging="177"/>
              <w:jc w:val="left"/>
              <w:rPr>
                <w:rFonts w:ascii="Arial" w:hAnsi="Arial" w:cs="Arial"/>
                <w:sz w:val="18"/>
                <w:szCs w:val="18"/>
              </w:rPr>
            </w:pPr>
            <w:r w:rsidRPr="00F30805">
              <w:rPr>
                <w:rFonts w:ascii="Arial" w:hAnsi="Arial" w:cs="Arial"/>
                <w:sz w:val="18"/>
                <w:szCs w:val="18"/>
              </w:rPr>
              <w:t>ACR20 at Week 12</w:t>
            </w:r>
          </w:p>
          <w:p w14:paraId="1DB10773" w14:textId="77777777" w:rsidR="00D92430" w:rsidRPr="00F30805" w:rsidRDefault="00D92430" w:rsidP="00AE0B35">
            <w:pPr>
              <w:pStyle w:val="ListParagraph"/>
              <w:spacing w:after="0" w:line="240" w:lineRule="auto"/>
              <w:ind w:left="177"/>
              <w:jc w:val="left"/>
              <w:rPr>
                <w:rFonts w:ascii="Arial" w:hAnsi="Arial" w:cs="Arial"/>
                <w:sz w:val="18"/>
                <w:szCs w:val="18"/>
              </w:rPr>
            </w:pPr>
          </w:p>
        </w:tc>
      </w:tr>
      <w:tr w:rsidR="00D92430" w:rsidRPr="00F30805" w14:paraId="5B8C89A5" w14:textId="77777777" w:rsidTr="00AE0B35">
        <w:trPr>
          <w:trHeight w:val="428"/>
        </w:trPr>
        <w:tc>
          <w:tcPr>
            <w:tcW w:w="1926" w:type="dxa"/>
            <w:vMerge/>
            <w:shd w:val="clear" w:color="auto" w:fill="auto"/>
          </w:tcPr>
          <w:p w14:paraId="213545D0" w14:textId="77777777" w:rsidR="00D92430" w:rsidRPr="00F30805" w:rsidRDefault="00D92430" w:rsidP="00A9173E">
            <w:pPr>
              <w:rPr>
                <w:rFonts w:ascii="Arial" w:hAnsi="Arial" w:cs="Arial"/>
                <w:sz w:val="18"/>
                <w:szCs w:val="18"/>
              </w:rPr>
            </w:pPr>
          </w:p>
        </w:tc>
        <w:tc>
          <w:tcPr>
            <w:tcW w:w="1219" w:type="dxa"/>
            <w:vMerge/>
            <w:shd w:val="clear" w:color="auto" w:fill="auto"/>
          </w:tcPr>
          <w:p w14:paraId="13C40CBD" w14:textId="77777777" w:rsidR="00D92430" w:rsidRPr="00F30805" w:rsidRDefault="00D92430" w:rsidP="00A9173E">
            <w:pPr>
              <w:rPr>
                <w:rFonts w:ascii="Arial" w:hAnsi="Arial" w:cs="Arial"/>
                <w:sz w:val="18"/>
                <w:szCs w:val="18"/>
              </w:rPr>
            </w:pPr>
          </w:p>
        </w:tc>
        <w:tc>
          <w:tcPr>
            <w:tcW w:w="2350" w:type="dxa"/>
            <w:vMerge/>
            <w:shd w:val="clear" w:color="auto" w:fill="auto"/>
          </w:tcPr>
          <w:p w14:paraId="63296FC5" w14:textId="77777777" w:rsidR="00D92430" w:rsidRPr="00F30805" w:rsidRDefault="00D92430" w:rsidP="00D92430">
            <w:pPr>
              <w:pStyle w:val="ListParagraph"/>
              <w:numPr>
                <w:ilvl w:val="0"/>
                <w:numId w:val="29"/>
              </w:numPr>
              <w:spacing w:after="0" w:line="240" w:lineRule="auto"/>
              <w:jc w:val="left"/>
              <w:rPr>
                <w:rFonts w:ascii="Arial" w:hAnsi="Arial" w:cs="Arial"/>
                <w:sz w:val="18"/>
                <w:szCs w:val="18"/>
                <w:lang w:val="en-GB"/>
              </w:rPr>
            </w:pPr>
          </w:p>
        </w:tc>
        <w:tc>
          <w:tcPr>
            <w:tcW w:w="3544" w:type="dxa"/>
            <w:shd w:val="clear" w:color="auto" w:fill="auto"/>
          </w:tcPr>
          <w:p w14:paraId="47B1D2D9" w14:textId="77777777" w:rsidR="00D92430" w:rsidRPr="00F30805" w:rsidRDefault="00D92430" w:rsidP="00AE0B35">
            <w:pPr>
              <w:spacing w:after="0" w:line="240" w:lineRule="auto"/>
              <w:jc w:val="left"/>
              <w:rPr>
                <w:rFonts w:ascii="Arial" w:hAnsi="Arial" w:cs="Arial"/>
                <w:sz w:val="18"/>
                <w:szCs w:val="18"/>
              </w:rPr>
            </w:pPr>
            <w:r w:rsidRPr="00F30805">
              <w:rPr>
                <w:rFonts w:ascii="Arial" w:hAnsi="Arial" w:cs="Arial"/>
                <w:sz w:val="18"/>
                <w:szCs w:val="18"/>
              </w:rPr>
              <w:t>Key Secondary Endpoint:</w:t>
            </w:r>
            <w:r w:rsidRPr="00F30805">
              <w:rPr>
                <w:rFonts w:ascii="Arial" w:hAnsi="Arial" w:cs="Arial"/>
                <w:sz w:val="18"/>
                <w:szCs w:val="18"/>
              </w:rPr>
              <w:br/>
            </w:r>
          </w:p>
          <w:p w14:paraId="0BF2B975" w14:textId="77777777" w:rsidR="00D92430" w:rsidRPr="00F30805" w:rsidRDefault="00D92430"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Low Disease Activity</w:t>
            </w:r>
          </w:p>
          <w:p w14:paraId="79C1832F" w14:textId="77777777" w:rsidR="00D92430" w:rsidRPr="00F30805" w:rsidRDefault="00D92430" w:rsidP="00AE0B35">
            <w:pPr>
              <w:pStyle w:val="ListParagraph"/>
              <w:spacing w:after="0" w:line="240" w:lineRule="auto"/>
              <w:ind w:left="177"/>
              <w:jc w:val="left"/>
              <w:rPr>
                <w:rFonts w:ascii="Arial" w:hAnsi="Arial" w:cs="Arial"/>
                <w:sz w:val="18"/>
                <w:szCs w:val="18"/>
              </w:rPr>
            </w:pPr>
            <w:r w:rsidRPr="00F30805">
              <w:rPr>
                <w:rFonts w:ascii="Arial" w:hAnsi="Arial" w:cs="Arial"/>
                <w:sz w:val="18"/>
                <w:szCs w:val="18"/>
              </w:rPr>
              <w:t>(DAS28-CRP ≤3.2) at Week 12</w:t>
            </w:r>
          </w:p>
          <w:p w14:paraId="0FD29F6F" w14:textId="6737F22C" w:rsidR="00D92430" w:rsidRPr="00F30805" w:rsidRDefault="00D92430"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Δ Physical Function (HAQ-DI) at Week 12</w:t>
            </w:r>
          </w:p>
          <w:p w14:paraId="68526EC7" w14:textId="609485FB" w:rsidR="0090145E" w:rsidRPr="00F30805" w:rsidRDefault="00AB6463" w:rsidP="00AE0B35">
            <w:pPr>
              <w:pStyle w:val="ListParagraph"/>
              <w:numPr>
                <w:ilvl w:val="0"/>
                <w:numId w:val="26"/>
              </w:numPr>
              <w:spacing w:after="0" w:line="240" w:lineRule="auto"/>
              <w:ind w:left="177" w:hanging="177"/>
              <w:jc w:val="left"/>
              <w:rPr>
                <w:rFonts w:ascii="Arial" w:hAnsi="Arial" w:cs="Arial"/>
                <w:sz w:val="18"/>
                <w:szCs w:val="18"/>
              </w:rPr>
            </w:pPr>
            <w:r w:rsidRPr="00F30805">
              <w:rPr>
                <w:rFonts w:ascii="Arial" w:hAnsi="Arial" w:cs="Arial"/>
                <w:sz w:val="18"/>
                <w:szCs w:val="18"/>
              </w:rPr>
              <w:t xml:space="preserve">Δ </w:t>
            </w:r>
            <w:r w:rsidR="0090145E" w:rsidRPr="00F30805">
              <w:rPr>
                <w:rFonts w:ascii="Arial" w:hAnsi="Arial" w:cs="Arial"/>
                <w:sz w:val="18"/>
                <w:szCs w:val="18"/>
              </w:rPr>
              <w:t>SF-36 PCS</w:t>
            </w:r>
            <w:r w:rsidRPr="00F30805">
              <w:rPr>
                <w:rFonts w:ascii="Arial" w:hAnsi="Arial" w:cs="Arial"/>
                <w:sz w:val="18"/>
                <w:szCs w:val="18"/>
              </w:rPr>
              <w:t xml:space="preserve"> at Week 12</w:t>
            </w:r>
          </w:p>
          <w:p w14:paraId="1E3B1475" w14:textId="77777777" w:rsidR="00D92430" w:rsidRPr="00F30805" w:rsidRDefault="00D92430" w:rsidP="00AE0B35">
            <w:pPr>
              <w:spacing w:after="0" w:line="240" w:lineRule="auto"/>
              <w:ind w:left="177"/>
              <w:jc w:val="left"/>
              <w:rPr>
                <w:rFonts w:ascii="Arial" w:hAnsi="Arial" w:cs="Arial"/>
                <w:sz w:val="18"/>
                <w:szCs w:val="18"/>
              </w:rPr>
            </w:pPr>
          </w:p>
        </w:tc>
      </w:tr>
      <w:tr w:rsidR="00D92430" w:rsidRPr="00F30805" w14:paraId="5219D2FC" w14:textId="77777777" w:rsidTr="00AE0B35">
        <w:trPr>
          <w:trHeight w:val="428"/>
        </w:trPr>
        <w:tc>
          <w:tcPr>
            <w:tcW w:w="9039" w:type="dxa"/>
            <w:gridSpan w:val="4"/>
            <w:shd w:val="clear" w:color="auto" w:fill="auto"/>
          </w:tcPr>
          <w:p w14:paraId="3989612C" w14:textId="3A5EA9D3" w:rsidR="00D92430" w:rsidRPr="00F30805" w:rsidRDefault="00D92430" w:rsidP="00A9173E">
            <w:pPr>
              <w:autoSpaceDE w:val="0"/>
              <w:autoSpaceDN w:val="0"/>
              <w:adjustRightInd w:val="0"/>
              <w:spacing w:after="0" w:line="240" w:lineRule="auto"/>
              <w:rPr>
                <w:rFonts w:ascii="Arial" w:eastAsia="TimesNewRomanPSMT" w:hAnsi="Arial" w:cs="Arial"/>
                <w:b/>
                <w:sz w:val="18"/>
                <w:szCs w:val="18"/>
              </w:rPr>
            </w:pPr>
            <w:r w:rsidRPr="00F30805">
              <w:rPr>
                <w:rFonts w:ascii="Arial" w:eastAsia="TimesNewRomanPSMT" w:hAnsi="Arial" w:cs="Arial"/>
                <w:b/>
                <w:sz w:val="18"/>
                <w:szCs w:val="18"/>
              </w:rPr>
              <w:t xml:space="preserve">Abbreviations: </w:t>
            </w:r>
          </w:p>
          <w:p w14:paraId="6661B3D7"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ACR20 (or 50) = American College of Rheumatology ≥20% (or ≥50%) improvement</w:t>
            </w:r>
          </w:p>
          <w:p w14:paraId="4D3D3DA9"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proofErr w:type="spellStart"/>
            <w:r w:rsidRPr="00F30805">
              <w:rPr>
                <w:rFonts w:ascii="Arial" w:eastAsia="TimesNewRomanPSMT" w:hAnsi="Arial" w:cs="Arial"/>
                <w:sz w:val="18"/>
                <w:szCs w:val="18"/>
              </w:rPr>
              <w:t>bDMARD</w:t>
            </w:r>
            <w:proofErr w:type="spellEnd"/>
            <w:r w:rsidRPr="00F30805">
              <w:rPr>
                <w:rFonts w:ascii="Arial" w:eastAsia="TimesNewRomanPSMT" w:hAnsi="Arial" w:cs="Arial"/>
                <w:sz w:val="18"/>
                <w:szCs w:val="18"/>
              </w:rPr>
              <w:t xml:space="preserve"> = biologic disease-modifying anti-rheumatic drug</w:t>
            </w:r>
          </w:p>
          <w:p w14:paraId="7F8C7B4E"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CRP = C-Reactive Protein</w:t>
            </w:r>
          </w:p>
          <w:p w14:paraId="4B634BAF" w14:textId="6F549D4F"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DAS28 = Disease Activity Score 28 joints</w:t>
            </w:r>
          </w:p>
          <w:p w14:paraId="1C23E167" w14:textId="28C0C071" w:rsidR="0037253E" w:rsidRPr="00F30805" w:rsidRDefault="0037253E"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 xml:space="preserve">FACIT-F = Functional </w:t>
            </w:r>
            <w:r w:rsidR="00DD1462" w:rsidRPr="00F30805">
              <w:rPr>
                <w:rFonts w:ascii="Arial" w:eastAsia="TimesNewRomanPSMT" w:hAnsi="Arial" w:cs="Arial"/>
                <w:sz w:val="18"/>
                <w:szCs w:val="18"/>
              </w:rPr>
              <w:t>Assessment of Chronic Illness Therapy-Fatigue</w:t>
            </w:r>
          </w:p>
          <w:p w14:paraId="3B5B453A"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proofErr w:type="spellStart"/>
            <w:r w:rsidRPr="00F30805">
              <w:rPr>
                <w:rFonts w:ascii="Arial" w:eastAsia="TimesNewRomanPSMT" w:hAnsi="Arial" w:cs="Arial"/>
                <w:sz w:val="18"/>
                <w:szCs w:val="18"/>
              </w:rPr>
              <w:t>mTSS</w:t>
            </w:r>
            <w:proofErr w:type="spellEnd"/>
            <w:r w:rsidRPr="00F30805">
              <w:rPr>
                <w:rFonts w:ascii="Arial" w:eastAsia="TimesNewRomanPSMT" w:hAnsi="Arial" w:cs="Arial"/>
                <w:sz w:val="18"/>
                <w:szCs w:val="18"/>
              </w:rPr>
              <w:t xml:space="preserve"> = modified Total Sharp Score</w:t>
            </w:r>
          </w:p>
          <w:p w14:paraId="377B94F1"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proofErr w:type="spellStart"/>
            <w:r w:rsidRPr="00F30805">
              <w:rPr>
                <w:rFonts w:ascii="Arial" w:eastAsia="TimesNewRomanPSMT" w:hAnsi="Arial" w:cs="Arial"/>
                <w:sz w:val="18"/>
                <w:szCs w:val="18"/>
              </w:rPr>
              <w:t>csDMARD</w:t>
            </w:r>
            <w:proofErr w:type="spellEnd"/>
            <w:r w:rsidRPr="00F30805">
              <w:rPr>
                <w:rFonts w:ascii="Arial" w:eastAsia="TimesNewRomanPSMT" w:hAnsi="Arial" w:cs="Arial"/>
                <w:sz w:val="18"/>
                <w:szCs w:val="18"/>
              </w:rPr>
              <w:t xml:space="preserve"> = conventional synthetic disease-modifying anti-rheumatic drug</w:t>
            </w:r>
          </w:p>
          <w:p w14:paraId="1B0DB759"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HAQ-DI = Health Assessment Questionnaire Disability Index</w:t>
            </w:r>
          </w:p>
          <w:p w14:paraId="783F83FB"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IR = inadequate responder</w:t>
            </w:r>
          </w:p>
          <w:p w14:paraId="37B72C4B" w14:textId="05A3654E"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MTX = methotrexate</w:t>
            </w:r>
          </w:p>
          <w:p w14:paraId="687201ED" w14:textId="6A74D36A" w:rsidR="00DD1462" w:rsidRPr="00F30805" w:rsidRDefault="00DD1462"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SF-36 = Short Form (36) Health Survey</w:t>
            </w:r>
          </w:p>
          <w:p w14:paraId="7D6095E9" w14:textId="6FC4429E" w:rsidR="00DD1462" w:rsidRPr="00F30805" w:rsidRDefault="00DD1462"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rPr>
              <w:t>PCS = Physical Component Summary</w:t>
            </w:r>
          </w:p>
          <w:p w14:paraId="092B19AF"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vertAlign w:val="superscript"/>
              </w:rPr>
              <w:t xml:space="preserve">a </w:t>
            </w:r>
            <w:r w:rsidRPr="00F30805">
              <w:rPr>
                <w:rFonts w:ascii="Arial" w:eastAsia="TimesNewRomanPSMT" w:hAnsi="Arial" w:cs="Arial"/>
                <w:sz w:val="18"/>
                <w:szCs w:val="18"/>
              </w:rPr>
              <w:t>Patients were naïve to MTX or received no more than 3 weekly MTX doses</w:t>
            </w:r>
          </w:p>
          <w:p w14:paraId="5584F948"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vertAlign w:val="superscript"/>
              </w:rPr>
              <w:t>b</w:t>
            </w:r>
            <w:r w:rsidRPr="00F30805">
              <w:rPr>
                <w:rFonts w:ascii="Arial" w:eastAsia="TimesNewRomanPSMT" w:hAnsi="Arial" w:cs="Arial"/>
                <w:sz w:val="18"/>
                <w:szCs w:val="18"/>
              </w:rPr>
              <w:t xml:space="preserve"> Patients had inadequate response to MTX</w:t>
            </w:r>
          </w:p>
          <w:p w14:paraId="695C2D86"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vertAlign w:val="superscript"/>
              </w:rPr>
              <w:t>c</w:t>
            </w:r>
            <w:r w:rsidRPr="00F30805">
              <w:rPr>
                <w:rFonts w:ascii="Arial" w:eastAsia="TimesNewRomanPSMT" w:hAnsi="Arial" w:cs="Arial"/>
                <w:sz w:val="18"/>
                <w:szCs w:val="18"/>
              </w:rPr>
              <w:t xml:space="preserve"> Patients who had an inadequate response to </w:t>
            </w:r>
            <w:proofErr w:type="spellStart"/>
            <w:r w:rsidRPr="00F30805">
              <w:rPr>
                <w:rFonts w:ascii="Arial" w:eastAsia="TimesNewRomanPSMT" w:hAnsi="Arial" w:cs="Arial"/>
                <w:sz w:val="18"/>
                <w:szCs w:val="18"/>
              </w:rPr>
              <w:t>csDMARDs</w:t>
            </w:r>
            <w:proofErr w:type="spellEnd"/>
            <w:r w:rsidRPr="00F30805">
              <w:rPr>
                <w:rFonts w:ascii="Arial" w:eastAsia="TimesNewRomanPSMT" w:hAnsi="Arial" w:cs="Arial"/>
                <w:sz w:val="18"/>
                <w:szCs w:val="18"/>
              </w:rPr>
              <w:t xml:space="preserve">; patients with prior exposure to at most one </w:t>
            </w:r>
            <w:proofErr w:type="spellStart"/>
            <w:r w:rsidRPr="00F30805">
              <w:rPr>
                <w:rFonts w:ascii="Arial" w:eastAsia="TimesNewRomanPSMT" w:hAnsi="Arial" w:cs="Arial"/>
                <w:sz w:val="18"/>
                <w:szCs w:val="18"/>
              </w:rPr>
              <w:t>bDMARD</w:t>
            </w:r>
            <w:proofErr w:type="spellEnd"/>
            <w:r w:rsidRPr="00F30805">
              <w:rPr>
                <w:rFonts w:ascii="Arial" w:eastAsia="TimesNewRomanPSMT" w:hAnsi="Arial" w:cs="Arial"/>
                <w:sz w:val="18"/>
                <w:szCs w:val="18"/>
              </w:rPr>
              <w:t xml:space="preserve"> were eligible (up to 20% of total number of patients) if they had either limited exposure (&lt; 3 months) or had to discontinue the </w:t>
            </w:r>
            <w:proofErr w:type="spellStart"/>
            <w:r w:rsidRPr="00F30805">
              <w:rPr>
                <w:rFonts w:ascii="Arial" w:eastAsia="TimesNewRomanPSMT" w:hAnsi="Arial" w:cs="Arial"/>
                <w:sz w:val="18"/>
                <w:szCs w:val="18"/>
              </w:rPr>
              <w:t>bDMARD</w:t>
            </w:r>
            <w:proofErr w:type="spellEnd"/>
            <w:r w:rsidRPr="00F30805">
              <w:rPr>
                <w:rFonts w:ascii="Arial" w:eastAsia="TimesNewRomanPSMT" w:hAnsi="Arial" w:cs="Arial"/>
                <w:sz w:val="18"/>
                <w:szCs w:val="18"/>
              </w:rPr>
              <w:t xml:space="preserve"> due to intolerability</w:t>
            </w:r>
          </w:p>
          <w:p w14:paraId="104B5CE0"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vertAlign w:val="superscript"/>
              </w:rPr>
              <w:t>d</w:t>
            </w:r>
            <w:r w:rsidRPr="00F30805">
              <w:rPr>
                <w:rFonts w:ascii="Arial" w:eastAsia="TimesNewRomanPSMT" w:hAnsi="Arial" w:cs="Arial"/>
                <w:sz w:val="18"/>
                <w:szCs w:val="18"/>
              </w:rPr>
              <w:t xml:space="preserve"> Patients who had an inadequate response to MTX; patients with prior exposure to at most one </w:t>
            </w:r>
            <w:proofErr w:type="spellStart"/>
            <w:r w:rsidRPr="00F30805">
              <w:rPr>
                <w:rFonts w:ascii="Arial" w:eastAsia="TimesNewRomanPSMT" w:hAnsi="Arial" w:cs="Arial"/>
                <w:sz w:val="18"/>
                <w:szCs w:val="18"/>
              </w:rPr>
              <w:t>bDMARD</w:t>
            </w:r>
            <w:proofErr w:type="spellEnd"/>
            <w:r w:rsidRPr="00F30805">
              <w:rPr>
                <w:rFonts w:ascii="Arial" w:eastAsia="TimesNewRomanPSMT" w:hAnsi="Arial" w:cs="Arial"/>
                <w:sz w:val="18"/>
                <w:szCs w:val="18"/>
              </w:rPr>
              <w:t xml:space="preserve"> (except </w:t>
            </w:r>
            <w:proofErr w:type="spellStart"/>
            <w:r w:rsidRPr="00F30805">
              <w:rPr>
                <w:rFonts w:ascii="Arial" w:eastAsia="TimesNewRomanPSMT" w:hAnsi="Arial" w:cs="Arial"/>
                <w:sz w:val="18"/>
                <w:szCs w:val="18"/>
              </w:rPr>
              <w:t>adalimumab</w:t>
            </w:r>
            <w:proofErr w:type="spellEnd"/>
            <w:r w:rsidRPr="00F30805">
              <w:rPr>
                <w:rFonts w:ascii="Arial" w:eastAsia="TimesNewRomanPSMT" w:hAnsi="Arial" w:cs="Arial"/>
                <w:sz w:val="18"/>
                <w:szCs w:val="18"/>
              </w:rPr>
              <w:t xml:space="preserve">) were eligible (up to 20% of total study number of patients) if they had either limited exposure (&lt; 3 months) or had to discontinue the </w:t>
            </w:r>
            <w:proofErr w:type="spellStart"/>
            <w:r w:rsidRPr="00F30805">
              <w:rPr>
                <w:rFonts w:ascii="Arial" w:eastAsia="TimesNewRomanPSMT" w:hAnsi="Arial" w:cs="Arial"/>
                <w:sz w:val="18"/>
                <w:szCs w:val="18"/>
              </w:rPr>
              <w:t>bDMARD</w:t>
            </w:r>
            <w:proofErr w:type="spellEnd"/>
            <w:r w:rsidRPr="00F30805">
              <w:rPr>
                <w:rFonts w:ascii="Arial" w:eastAsia="TimesNewRomanPSMT" w:hAnsi="Arial" w:cs="Arial"/>
                <w:sz w:val="18"/>
                <w:szCs w:val="18"/>
              </w:rPr>
              <w:t xml:space="preserve"> due to intolerability</w:t>
            </w:r>
          </w:p>
          <w:p w14:paraId="3636C622" w14:textId="484C1B60"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r w:rsidRPr="00F30805">
              <w:rPr>
                <w:rFonts w:ascii="Arial" w:eastAsia="TimesNewRomanPSMT" w:hAnsi="Arial" w:cs="Arial"/>
                <w:sz w:val="18"/>
                <w:szCs w:val="18"/>
                <w:vertAlign w:val="superscript"/>
              </w:rPr>
              <w:t>e</w:t>
            </w:r>
            <w:r w:rsidRPr="00F30805">
              <w:rPr>
                <w:rFonts w:ascii="Arial" w:eastAsia="TimesNewRomanPSMT" w:hAnsi="Arial" w:cs="Arial"/>
                <w:sz w:val="18"/>
                <w:szCs w:val="18"/>
              </w:rPr>
              <w:t xml:space="preserve"> Patients who had an inadequate response or intolerance to at least one </w:t>
            </w:r>
            <w:proofErr w:type="spellStart"/>
            <w:r w:rsidRPr="00F30805">
              <w:rPr>
                <w:rFonts w:ascii="Arial" w:eastAsia="TimesNewRomanPSMT" w:hAnsi="Arial" w:cs="Arial"/>
                <w:sz w:val="18"/>
                <w:szCs w:val="18"/>
              </w:rPr>
              <w:t>bDMARD</w:t>
            </w:r>
            <w:proofErr w:type="spellEnd"/>
          </w:p>
          <w:p w14:paraId="6E5BC823" w14:textId="77777777" w:rsidR="00D92430" w:rsidRPr="00F30805" w:rsidRDefault="00D92430" w:rsidP="00A9173E">
            <w:pPr>
              <w:autoSpaceDE w:val="0"/>
              <w:autoSpaceDN w:val="0"/>
              <w:adjustRightInd w:val="0"/>
              <w:spacing w:after="0" w:line="240" w:lineRule="auto"/>
              <w:rPr>
                <w:rFonts w:ascii="Arial" w:eastAsia="TimesNewRomanPSMT" w:hAnsi="Arial" w:cs="Arial"/>
                <w:sz w:val="18"/>
                <w:szCs w:val="18"/>
              </w:rPr>
            </w:pPr>
          </w:p>
        </w:tc>
      </w:tr>
    </w:tbl>
    <w:p w14:paraId="43BFF985" w14:textId="77777777" w:rsidR="00D92430" w:rsidRPr="00F30805" w:rsidRDefault="00D92430" w:rsidP="00180F69">
      <w:pPr>
        <w:rPr>
          <w:rFonts w:ascii="Arial" w:eastAsia="MS Mincho" w:hAnsi="Arial" w:cs="Arial"/>
          <w:b/>
          <w:lang w:val="en-US" w:eastAsia="ja-JP"/>
        </w:rPr>
      </w:pPr>
    </w:p>
    <w:p w14:paraId="36D43357" w14:textId="4039A5BC" w:rsidR="00D92430" w:rsidRPr="00F30805" w:rsidRDefault="00D92430" w:rsidP="00B73976">
      <w:pPr>
        <w:pStyle w:val="Heading3"/>
        <w:rPr>
          <w:rFonts w:eastAsia="MS Mincho"/>
          <w:lang w:val="en-US" w:eastAsia="ja-JP"/>
        </w:rPr>
      </w:pPr>
      <w:r w:rsidRPr="00F30805">
        <w:rPr>
          <w:rFonts w:eastAsia="MS Mincho"/>
          <w:lang w:val="en-US" w:eastAsia="ja-JP"/>
        </w:rPr>
        <w:t>Clinical Response</w:t>
      </w:r>
    </w:p>
    <w:p w14:paraId="3CBDB95C" w14:textId="77777777" w:rsidR="0045659B" w:rsidRPr="00F30805" w:rsidRDefault="0045659B" w:rsidP="0045659B">
      <w:pPr>
        <w:pStyle w:val="Heading3"/>
        <w:rPr>
          <w:rFonts w:eastAsia="MS Mincho"/>
          <w:lang w:val="en-US" w:eastAsia="ja-JP"/>
        </w:rPr>
      </w:pPr>
      <w:r w:rsidRPr="00F30805">
        <w:rPr>
          <w:rFonts w:eastAsia="MS Mincho"/>
          <w:lang w:val="en-US" w:eastAsia="ja-JP"/>
        </w:rPr>
        <w:t>ACR Response</w:t>
      </w:r>
    </w:p>
    <w:p w14:paraId="557CCCF2" w14:textId="66B6AE94" w:rsidR="0045659B" w:rsidRPr="00F30805" w:rsidRDefault="0045659B" w:rsidP="0045659B">
      <w:pPr>
        <w:autoSpaceDE w:val="0"/>
        <w:autoSpaceDN w:val="0"/>
        <w:adjustRightInd w:val="0"/>
        <w:spacing w:before="120"/>
        <w:rPr>
          <w:rFonts w:ascii="Arial" w:eastAsiaTheme="minorHAnsi" w:hAnsi="Arial" w:cs="Arial"/>
          <w:lang w:val="en-US" w:eastAsia="ja-JP"/>
        </w:rPr>
      </w:pPr>
      <w:r w:rsidRPr="00F30805">
        <w:rPr>
          <w:rFonts w:ascii="Arial" w:eastAsiaTheme="minorHAnsi" w:hAnsi="Arial" w:cs="Arial"/>
          <w:lang w:val="en-US" w:eastAsia="ja-JP"/>
        </w:rPr>
        <w:t>In all studies, significantly more patients treated with RINVOQ 15 mg achieved ACR20, ACR50, and ACR70 responses at 12</w:t>
      </w:r>
      <w:r w:rsidR="008D6439" w:rsidRPr="00F30805">
        <w:rPr>
          <w:rFonts w:ascii="Arial" w:eastAsiaTheme="minorHAnsi" w:hAnsi="Arial" w:cs="Arial"/>
          <w:lang w:val="en-US" w:eastAsia="ja-JP"/>
        </w:rPr>
        <w:t>/14</w:t>
      </w:r>
      <w:r w:rsidRPr="00F30805">
        <w:rPr>
          <w:rFonts w:ascii="Arial" w:eastAsiaTheme="minorHAnsi" w:hAnsi="Arial" w:cs="Arial"/>
          <w:lang w:val="en-US" w:eastAsia="ja-JP"/>
        </w:rPr>
        <w:t xml:space="preserve"> weeks compared to placebo or MTX except for ACR70 in SELECT-BEYOND (Table 6). Time to onset of efficacy was rapid across measures with</w:t>
      </w:r>
      <w:r w:rsidR="00393CF1" w:rsidRPr="00F30805">
        <w:rPr>
          <w:rFonts w:ascii="Arial" w:eastAsiaTheme="minorHAnsi" w:hAnsi="Arial" w:cs="Arial"/>
          <w:lang w:val="en-US" w:eastAsia="ja-JP"/>
        </w:rPr>
        <w:t xml:space="preserve"> </w:t>
      </w:r>
      <w:r w:rsidR="00ED00E3" w:rsidRPr="00F30805">
        <w:rPr>
          <w:rFonts w:ascii="Arial" w:eastAsiaTheme="minorHAnsi" w:hAnsi="Arial" w:cs="Arial"/>
          <w:lang w:val="en-US" w:eastAsia="ja-JP"/>
        </w:rPr>
        <w:t>greater</w:t>
      </w:r>
      <w:r w:rsidR="00E62D17" w:rsidRPr="00F30805">
        <w:rPr>
          <w:rFonts w:ascii="Arial" w:eastAsiaTheme="minorHAnsi" w:hAnsi="Arial" w:cs="Arial"/>
          <w:lang w:val="en-US" w:eastAsia="ja-JP"/>
        </w:rPr>
        <w:t xml:space="preserve"> </w:t>
      </w:r>
      <w:r w:rsidRPr="00F30805">
        <w:rPr>
          <w:rFonts w:ascii="Arial" w:eastAsiaTheme="minorHAnsi" w:hAnsi="Arial" w:cs="Arial"/>
          <w:lang w:val="en-US" w:eastAsia="ja-JP"/>
        </w:rPr>
        <w:t xml:space="preserve">responses seen as early as Week 1 for ACR20. </w:t>
      </w:r>
      <w:r w:rsidR="005E6670" w:rsidRPr="00F30805">
        <w:rPr>
          <w:rFonts w:ascii="Arial" w:eastAsiaTheme="minorHAnsi" w:hAnsi="Arial" w:cs="Arial"/>
          <w:lang w:val="en-US" w:eastAsia="ja-JP"/>
        </w:rPr>
        <w:t>In SELECT-COMPARE, a</w:t>
      </w:r>
      <w:r w:rsidR="00D62E66" w:rsidRPr="00F30805">
        <w:rPr>
          <w:rFonts w:ascii="Arial" w:eastAsiaTheme="minorHAnsi" w:hAnsi="Arial" w:cs="Arial"/>
          <w:lang w:val="en-US" w:eastAsia="ja-JP"/>
        </w:rPr>
        <w:t xml:space="preserve"> </w:t>
      </w:r>
      <w:r w:rsidR="005E6670" w:rsidRPr="00F30805">
        <w:rPr>
          <w:rFonts w:ascii="Arial" w:eastAsiaTheme="minorHAnsi" w:hAnsi="Arial" w:cs="Arial"/>
          <w:lang w:val="en-US" w:eastAsia="ja-JP"/>
        </w:rPr>
        <w:t>higher proportion of patients treated with RINVOQ 15 mg achieved ACR20</w:t>
      </w:r>
      <w:r w:rsidR="002C04A3" w:rsidRPr="00F30805">
        <w:rPr>
          <w:rFonts w:ascii="Arial" w:eastAsiaTheme="minorHAnsi" w:hAnsi="Arial" w:cs="Arial"/>
          <w:lang w:val="en-US" w:eastAsia="ja-JP"/>
        </w:rPr>
        <w:t xml:space="preserve"> (Figure 1) and ACR70 </w:t>
      </w:r>
      <w:r w:rsidR="005E6670" w:rsidRPr="00F30805">
        <w:rPr>
          <w:rFonts w:ascii="Arial" w:eastAsiaTheme="minorHAnsi" w:hAnsi="Arial" w:cs="Arial"/>
          <w:lang w:val="en-US" w:eastAsia="ja-JP"/>
        </w:rPr>
        <w:t>at Week12</w:t>
      </w:r>
      <w:r w:rsidR="00D62E66" w:rsidRPr="00F30805">
        <w:rPr>
          <w:rFonts w:ascii="Arial" w:eastAsiaTheme="minorHAnsi" w:hAnsi="Arial" w:cs="Arial"/>
          <w:lang w:val="en-US" w:eastAsia="ja-JP"/>
        </w:rPr>
        <w:t xml:space="preserve"> </w:t>
      </w:r>
      <w:r w:rsidR="005E6670" w:rsidRPr="00F30805">
        <w:rPr>
          <w:rFonts w:ascii="Arial" w:eastAsiaTheme="minorHAnsi" w:hAnsi="Arial" w:cs="Arial"/>
          <w:lang w:val="en-US" w:eastAsia="ja-JP"/>
        </w:rPr>
        <w:t xml:space="preserve">compared to </w:t>
      </w:r>
      <w:r w:rsidR="002C04A3" w:rsidRPr="00F30805">
        <w:rPr>
          <w:rFonts w:ascii="Arial" w:eastAsiaTheme="minorHAnsi" w:hAnsi="Arial" w:cs="Arial"/>
          <w:lang w:val="en-US" w:eastAsia="ja-JP"/>
        </w:rPr>
        <w:t xml:space="preserve">placebo or </w:t>
      </w:r>
      <w:r w:rsidR="005E6670" w:rsidRPr="00F30805">
        <w:rPr>
          <w:rFonts w:ascii="Arial" w:eastAsiaTheme="minorHAnsi" w:hAnsi="Arial" w:cs="Arial"/>
          <w:lang w:val="en-US" w:eastAsia="ja-JP"/>
        </w:rPr>
        <w:t>adalimumab.</w:t>
      </w:r>
      <w:r w:rsidR="002C04A3" w:rsidRPr="00F30805">
        <w:rPr>
          <w:rFonts w:ascii="Arial" w:eastAsiaTheme="minorHAnsi" w:hAnsi="Arial" w:cs="Arial"/>
          <w:lang w:val="en-US" w:eastAsia="ja-JP"/>
        </w:rPr>
        <w:t xml:space="preserve"> In a multiplicity</w:t>
      </w:r>
      <w:r w:rsidR="0065593A" w:rsidRPr="00F30805">
        <w:rPr>
          <w:rFonts w:ascii="Arial" w:eastAsiaTheme="minorHAnsi" w:hAnsi="Arial" w:cs="Arial"/>
          <w:lang w:val="en-US" w:eastAsia="ja-JP"/>
        </w:rPr>
        <w:t>-</w:t>
      </w:r>
      <w:r w:rsidR="002C04A3" w:rsidRPr="00F30805">
        <w:rPr>
          <w:rFonts w:ascii="Arial" w:eastAsiaTheme="minorHAnsi" w:hAnsi="Arial" w:cs="Arial"/>
          <w:lang w:val="en-US" w:eastAsia="ja-JP"/>
        </w:rPr>
        <w:t xml:space="preserve">controlled comparison, </w:t>
      </w:r>
      <w:r w:rsidR="005E6670" w:rsidRPr="00F30805">
        <w:rPr>
          <w:rFonts w:ascii="Arial" w:eastAsiaTheme="minorHAnsi" w:hAnsi="Arial" w:cs="Arial"/>
          <w:lang w:val="en-US" w:eastAsia="ja-JP"/>
        </w:rPr>
        <w:t xml:space="preserve">RINVOQ </w:t>
      </w:r>
      <w:r w:rsidR="002C04A3" w:rsidRPr="00F30805">
        <w:rPr>
          <w:rFonts w:ascii="Arial" w:eastAsiaTheme="minorHAnsi" w:hAnsi="Arial" w:cs="Arial"/>
          <w:lang w:val="en-US" w:eastAsia="ja-JP"/>
        </w:rPr>
        <w:t>was superior</w:t>
      </w:r>
      <w:r w:rsidR="005E6670" w:rsidRPr="00F30805">
        <w:rPr>
          <w:rFonts w:ascii="Arial" w:eastAsiaTheme="minorHAnsi" w:hAnsi="Arial" w:cs="Arial"/>
          <w:lang w:val="en-US" w:eastAsia="ja-JP"/>
        </w:rPr>
        <w:t xml:space="preserve"> to adalimumab for ACR50 at Week 12</w:t>
      </w:r>
      <w:r w:rsidR="002C04A3" w:rsidRPr="00F30805">
        <w:rPr>
          <w:rFonts w:ascii="Arial" w:eastAsiaTheme="minorHAnsi" w:hAnsi="Arial" w:cs="Arial"/>
          <w:lang w:val="en-US" w:eastAsia="ja-JP"/>
        </w:rPr>
        <w:t>.</w:t>
      </w:r>
    </w:p>
    <w:p w14:paraId="2FCF478B" w14:textId="20F002C9" w:rsidR="0045659B" w:rsidRPr="00F30805" w:rsidRDefault="0045659B" w:rsidP="0045659B">
      <w:pPr>
        <w:autoSpaceDE w:val="0"/>
        <w:autoSpaceDN w:val="0"/>
        <w:adjustRightInd w:val="0"/>
        <w:spacing w:before="120"/>
        <w:rPr>
          <w:rFonts w:ascii="Arial" w:eastAsiaTheme="minorHAnsi" w:hAnsi="Arial" w:cs="Arial"/>
          <w:lang w:val="en-US" w:eastAsia="ja-JP"/>
        </w:rPr>
      </w:pPr>
      <w:r w:rsidRPr="00F30805">
        <w:rPr>
          <w:rFonts w:ascii="Arial" w:eastAsiaTheme="minorHAnsi" w:hAnsi="Arial" w:cs="Arial"/>
          <w:lang w:val="en-US" w:eastAsia="ja-JP"/>
        </w:rPr>
        <w:lastRenderedPageBreak/>
        <w:t xml:space="preserve">Treatment with RINVOQ 15 mg, alone or in combination with </w:t>
      </w:r>
      <w:proofErr w:type="spellStart"/>
      <w:r w:rsidRPr="00F30805">
        <w:rPr>
          <w:rFonts w:ascii="Arial" w:eastAsiaTheme="minorHAnsi" w:hAnsi="Arial" w:cs="Arial"/>
          <w:lang w:val="en-US" w:eastAsia="ja-JP"/>
        </w:rPr>
        <w:t>csDMARDs</w:t>
      </w:r>
      <w:proofErr w:type="spellEnd"/>
      <w:r w:rsidRPr="00F30805">
        <w:rPr>
          <w:rFonts w:ascii="Arial" w:eastAsiaTheme="minorHAnsi" w:hAnsi="Arial" w:cs="Arial"/>
          <w:lang w:val="en-US" w:eastAsia="ja-JP"/>
        </w:rPr>
        <w:t xml:space="preserve">, resulted in </w:t>
      </w:r>
      <w:r w:rsidR="00FC6A58">
        <w:rPr>
          <w:rFonts w:ascii="Arial" w:eastAsiaTheme="minorHAnsi" w:hAnsi="Arial" w:cs="Arial"/>
          <w:lang w:val="en-US" w:eastAsia="ja-JP"/>
        </w:rPr>
        <w:t>greater</w:t>
      </w:r>
      <w:r w:rsidRPr="00F30805">
        <w:rPr>
          <w:rFonts w:ascii="Arial" w:eastAsiaTheme="minorHAnsi" w:hAnsi="Arial" w:cs="Arial"/>
          <w:lang w:val="en-US" w:eastAsia="ja-JP"/>
        </w:rPr>
        <w:t xml:space="preserve"> improvements in individual ACR components, including tender and swollen joint counts, patient and physician global assessments, HAQ-DI, pain assessment, and </w:t>
      </w:r>
      <w:proofErr w:type="spellStart"/>
      <w:r w:rsidRPr="00F30805">
        <w:rPr>
          <w:rFonts w:ascii="Arial" w:eastAsiaTheme="minorHAnsi" w:hAnsi="Arial" w:cs="Arial"/>
          <w:lang w:val="en-US" w:eastAsia="ja-JP"/>
        </w:rPr>
        <w:t>hsCRP</w:t>
      </w:r>
      <w:proofErr w:type="spellEnd"/>
      <w:r w:rsidRPr="00F30805">
        <w:rPr>
          <w:rFonts w:ascii="Arial" w:eastAsiaTheme="minorHAnsi" w:hAnsi="Arial" w:cs="Arial"/>
          <w:lang w:val="en-US" w:eastAsia="ja-JP"/>
        </w:rPr>
        <w:t>, compared to placebo or MTX monotherapy</w:t>
      </w:r>
      <w:r w:rsidR="00FC6A58">
        <w:rPr>
          <w:rFonts w:ascii="Arial" w:eastAsiaTheme="minorHAnsi" w:hAnsi="Arial" w:cs="Arial"/>
          <w:lang w:val="en-US" w:eastAsia="ja-JP"/>
        </w:rPr>
        <w:t xml:space="preserve"> at Week 12/14</w:t>
      </w:r>
      <w:r w:rsidRPr="00F30805">
        <w:rPr>
          <w:rFonts w:ascii="Arial" w:eastAsiaTheme="minorHAnsi" w:hAnsi="Arial" w:cs="Arial"/>
          <w:lang w:val="en-US" w:eastAsia="ja-JP"/>
        </w:rPr>
        <w:t xml:space="preserve">. </w:t>
      </w:r>
      <w:r w:rsidR="00F271D9" w:rsidRPr="00F30805">
        <w:rPr>
          <w:rFonts w:ascii="Arial" w:eastAsiaTheme="minorHAnsi" w:hAnsi="Arial" w:cs="Arial"/>
          <w:lang w:val="en-US" w:eastAsia="ja-JP"/>
        </w:rPr>
        <w:t>In SELECT-COMPARE at Week 12, RINVOQ was superior to adalimumab for</w:t>
      </w:r>
      <w:r w:rsidR="005470C7" w:rsidRPr="00F30805">
        <w:rPr>
          <w:rFonts w:ascii="Arial" w:eastAsiaTheme="minorHAnsi" w:hAnsi="Arial" w:cs="Arial"/>
          <w:lang w:val="en-US" w:eastAsia="ja-JP"/>
        </w:rPr>
        <w:t xml:space="preserve"> </w:t>
      </w:r>
      <w:r w:rsidR="00F271D9" w:rsidRPr="00F30805">
        <w:rPr>
          <w:rFonts w:ascii="Arial" w:eastAsiaTheme="minorHAnsi" w:hAnsi="Arial" w:cs="Arial"/>
          <w:lang w:val="en-US" w:eastAsia="ja-JP"/>
        </w:rPr>
        <w:t xml:space="preserve">pain </w:t>
      </w:r>
      <w:r w:rsidR="005470C7" w:rsidRPr="00F30805">
        <w:rPr>
          <w:rFonts w:ascii="Arial" w:eastAsiaTheme="minorHAnsi" w:hAnsi="Arial" w:cs="Arial"/>
          <w:lang w:val="en-US" w:eastAsia="ja-JP"/>
        </w:rPr>
        <w:t xml:space="preserve">reduction </w:t>
      </w:r>
      <w:r w:rsidR="00F271D9" w:rsidRPr="00F30805">
        <w:rPr>
          <w:rFonts w:ascii="Arial" w:eastAsiaTheme="minorHAnsi" w:hAnsi="Arial" w:cs="Arial"/>
          <w:lang w:val="en-US" w:eastAsia="ja-JP"/>
        </w:rPr>
        <w:t>in a multiplicity-controlled comparison.</w:t>
      </w:r>
      <w:r w:rsidR="005B1F42" w:rsidRPr="00F30805">
        <w:rPr>
          <w:rFonts w:ascii="Arial" w:eastAsiaTheme="minorHAnsi" w:hAnsi="Arial" w:cs="Arial"/>
          <w:lang w:val="en-US" w:eastAsia="ja-JP"/>
        </w:rPr>
        <w:t xml:space="preserve"> </w:t>
      </w:r>
      <w:r w:rsidR="00FC6A58">
        <w:rPr>
          <w:rFonts w:ascii="Arial" w:eastAsia="MS Mincho" w:hAnsi="Arial" w:cs="Arial"/>
          <w:lang w:val="en-US" w:eastAsia="ja-JP"/>
        </w:rPr>
        <w:t>G</w:t>
      </w:r>
      <w:r w:rsidR="005B1F42" w:rsidRPr="00F30805">
        <w:rPr>
          <w:rFonts w:ascii="Arial" w:eastAsia="MS Mincho" w:hAnsi="Arial" w:cs="Arial"/>
          <w:lang w:val="en-US" w:eastAsia="ja-JP"/>
        </w:rPr>
        <w:t>reater pain reduction was seen as early as Week 1 compared to placebo and as early as Week 4 compared to adalimumab</w:t>
      </w:r>
      <w:r w:rsidR="004778F9" w:rsidRPr="00F30805">
        <w:rPr>
          <w:rFonts w:ascii="Arial" w:eastAsia="MS Mincho" w:hAnsi="Arial" w:cs="Arial"/>
          <w:lang w:val="en-US" w:eastAsia="ja-JP"/>
        </w:rPr>
        <w:t>.</w:t>
      </w:r>
    </w:p>
    <w:p w14:paraId="10373BFC" w14:textId="37CE3CFC" w:rsidR="007001B6" w:rsidRPr="00F30805" w:rsidRDefault="00F4297E" w:rsidP="00CA459F">
      <w:pPr>
        <w:pStyle w:val="Heading3"/>
        <w:rPr>
          <w:rFonts w:eastAsia="MS Mincho"/>
          <w:lang w:val="en-US" w:eastAsia="ja-JP"/>
        </w:rPr>
      </w:pPr>
      <w:r w:rsidRPr="00F30805">
        <w:rPr>
          <w:rFonts w:eastAsiaTheme="minorHAnsi"/>
          <w:lang w:val="en-US" w:eastAsia="ja-JP"/>
        </w:rPr>
        <w:t xml:space="preserve">Figure 1.  </w:t>
      </w:r>
      <w:r w:rsidRPr="00F30805">
        <w:rPr>
          <w:lang w:val="en-US"/>
        </w:rPr>
        <w:t>Percent of Patients Achieving ACR20 in SELECT COMPARE</w:t>
      </w:r>
      <w:r w:rsidRPr="00F30805">
        <w:rPr>
          <w:noProof/>
          <w:lang w:val="en-US"/>
        </w:rPr>
        <w:t xml:space="preserve"> </w:t>
      </w:r>
    </w:p>
    <w:p w14:paraId="3204EF9D" w14:textId="77777777" w:rsidR="007001B6" w:rsidRPr="00F30805" w:rsidRDefault="007001B6" w:rsidP="007001B6">
      <w:pPr>
        <w:spacing w:after="0" w:line="240" w:lineRule="auto"/>
        <w:jc w:val="left"/>
        <w:rPr>
          <w:rFonts w:ascii="Arial" w:eastAsia="MS Mincho" w:hAnsi="Arial" w:cs="Arial"/>
          <w:b/>
          <w:lang w:val="en-US" w:eastAsia="ja-JP"/>
        </w:rPr>
      </w:pPr>
    </w:p>
    <w:p w14:paraId="25761CC9" w14:textId="307F0F4E" w:rsidR="00FC6A58" w:rsidRDefault="00FC6A58" w:rsidP="00F14ABE">
      <w:pPr>
        <w:spacing w:after="0" w:line="240" w:lineRule="auto"/>
        <w:jc w:val="left"/>
        <w:rPr>
          <w:rFonts w:ascii="Arial" w:eastAsia="MS Mincho" w:hAnsi="Arial" w:cs="Arial"/>
          <w:b/>
          <w:lang w:val="en-US" w:eastAsia="ja-JP"/>
        </w:rPr>
      </w:pPr>
      <w:r>
        <w:rPr>
          <w:rFonts w:ascii="Arial" w:eastAsia="MS Mincho" w:hAnsi="Arial" w:cs="Arial"/>
          <w:b/>
          <w:noProof/>
          <w:lang w:eastAsia="en-AU"/>
        </w:rPr>
        <w:drawing>
          <wp:anchor distT="0" distB="0" distL="114300" distR="114300" simplePos="0" relativeHeight="251659264" behindDoc="1" locked="0" layoutInCell="1" allowOverlap="1" wp14:anchorId="73951CF0" wp14:editId="04946D62">
            <wp:simplePos x="0" y="0"/>
            <wp:positionH relativeFrom="column">
              <wp:posOffset>0</wp:posOffset>
            </wp:positionH>
            <wp:positionV relativeFrom="paragraph">
              <wp:posOffset>-304</wp:posOffset>
            </wp:positionV>
            <wp:extent cx="5730875" cy="3023870"/>
            <wp:effectExtent l="0" t="0" r="3175" b="5080"/>
            <wp:wrapTight wrapText="bothSides">
              <wp:wrapPolygon edited="0">
                <wp:start x="0" y="0"/>
                <wp:lineTo x="0" y="21500"/>
                <wp:lineTo x="21540" y="21500"/>
                <wp:lineTo x="21540" y="0"/>
                <wp:lineTo x="0" y="0"/>
              </wp:wrapPolygon>
            </wp:wrapTight>
            <wp:docPr id="1" name="Picture 1" descr="Figure 1.  Percent of Patients Achieving ACR20 in SELECT COMP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3023870"/>
                    </a:xfrm>
                    <a:prstGeom prst="rect">
                      <a:avLst/>
                    </a:prstGeom>
                    <a:noFill/>
                  </pic:spPr>
                </pic:pic>
              </a:graphicData>
            </a:graphic>
            <wp14:sizeRelH relativeFrom="page">
              <wp14:pctWidth>0</wp14:pctWidth>
            </wp14:sizeRelH>
            <wp14:sizeRelV relativeFrom="page">
              <wp14:pctHeight>0</wp14:pctHeight>
            </wp14:sizeRelV>
          </wp:anchor>
        </w:drawing>
      </w:r>
    </w:p>
    <w:p w14:paraId="05C26A26" w14:textId="29256277" w:rsidR="00D92430" w:rsidRPr="00F30805" w:rsidRDefault="00D92430" w:rsidP="00066888">
      <w:pPr>
        <w:pStyle w:val="Heading4"/>
        <w:rPr>
          <w:rFonts w:eastAsia="MS Mincho"/>
          <w:lang w:val="en-US" w:eastAsia="ja-JP"/>
        </w:rPr>
      </w:pPr>
      <w:r w:rsidRPr="00F30805">
        <w:rPr>
          <w:rFonts w:eastAsia="MS Mincho"/>
          <w:lang w:val="en-US" w:eastAsia="ja-JP"/>
        </w:rPr>
        <w:t>Remission and low disease activity</w:t>
      </w:r>
    </w:p>
    <w:p w14:paraId="0E6EE99B" w14:textId="596ED31D" w:rsidR="00D92430" w:rsidRPr="00F30805" w:rsidRDefault="00D92430" w:rsidP="00AE0B35">
      <w:pPr>
        <w:spacing w:before="120"/>
        <w:rPr>
          <w:rFonts w:ascii="Arial" w:eastAsia="MS Mincho" w:hAnsi="Arial" w:cs="Arial"/>
          <w:highlight w:val="yellow"/>
          <w:lang w:val="en-US" w:eastAsia="ja-JP"/>
        </w:rPr>
      </w:pPr>
      <w:r w:rsidRPr="00F30805">
        <w:rPr>
          <w:rFonts w:ascii="Arial" w:eastAsia="MS Mincho" w:hAnsi="Arial" w:cs="Arial"/>
          <w:lang w:val="en-US" w:eastAsia="ja-JP"/>
        </w:rPr>
        <w:t xml:space="preserve">In </w:t>
      </w:r>
      <w:r w:rsidR="004A4475" w:rsidRPr="00F30805">
        <w:rPr>
          <w:rFonts w:ascii="Arial" w:eastAsia="MS Mincho" w:hAnsi="Arial" w:cs="Arial"/>
          <w:lang w:val="en-US" w:eastAsia="ja-JP"/>
        </w:rPr>
        <w:t>the</w:t>
      </w:r>
      <w:r w:rsidR="00CA5658" w:rsidRPr="00F30805">
        <w:rPr>
          <w:rFonts w:ascii="Arial" w:eastAsia="MS Mincho" w:hAnsi="Arial" w:cs="Arial"/>
          <w:lang w:val="en-US" w:eastAsia="ja-JP"/>
        </w:rPr>
        <w:t xml:space="preserve"> </w:t>
      </w:r>
      <w:r w:rsidRPr="00F30805">
        <w:rPr>
          <w:rFonts w:ascii="Arial" w:eastAsia="MS Mincho" w:hAnsi="Arial" w:cs="Arial"/>
          <w:lang w:val="en-US" w:eastAsia="ja-JP"/>
        </w:rPr>
        <w:t xml:space="preserve">studies, a significantly higher proportion of patients treated with </w:t>
      </w:r>
      <w:r w:rsidR="00913C60" w:rsidRPr="00F30805">
        <w:rPr>
          <w:rFonts w:ascii="Arial" w:eastAsia="MS Mincho" w:hAnsi="Arial" w:cs="Arial"/>
          <w:lang w:val="en-US" w:eastAsia="ja-JP"/>
        </w:rPr>
        <w:t xml:space="preserve">upadacitinib </w:t>
      </w:r>
      <w:r w:rsidRPr="00F30805">
        <w:rPr>
          <w:rFonts w:ascii="Arial" w:eastAsia="MS Mincho" w:hAnsi="Arial" w:cs="Arial"/>
          <w:lang w:val="en-US" w:eastAsia="ja-JP"/>
        </w:rPr>
        <w:t xml:space="preserve">15 mg achieved low disease activity (DAS28-CRP ≤3.2) and clinical remission (DAS28-CRP &lt;2.6) compared to placebo, </w:t>
      </w:r>
      <w:r w:rsidR="00E23A34">
        <w:rPr>
          <w:rFonts w:ascii="Arial" w:eastAsia="MS Mincho" w:hAnsi="Arial" w:cs="Arial"/>
          <w:lang w:val="en-US" w:eastAsia="ja-JP"/>
        </w:rPr>
        <w:t xml:space="preserve">or </w:t>
      </w:r>
      <w:r w:rsidRPr="00F30805">
        <w:rPr>
          <w:rFonts w:ascii="Arial" w:eastAsia="MS Mincho" w:hAnsi="Arial" w:cs="Arial"/>
          <w:lang w:val="en-US" w:eastAsia="ja-JP"/>
        </w:rPr>
        <w:t>MTX (Table 6). Overall, both low disease activity and clinical remission rates were consistent across patient populations, with or without MTX.</w:t>
      </w:r>
    </w:p>
    <w:p w14:paraId="32B3A670" w14:textId="1DCF30CD" w:rsidR="00634227" w:rsidRPr="00F30805" w:rsidRDefault="00AE0B35" w:rsidP="00CA5658">
      <w:pPr>
        <w:spacing w:after="0" w:line="240" w:lineRule="auto"/>
        <w:jc w:val="left"/>
        <w:rPr>
          <w:rFonts w:ascii="Arial" w:eastAsia="MS Mincho" w:hAnsi="Arial" w:cs="Arial"/>
          <w:b/>
          <w:lang w:val="en-US" w:eastAsia="ja-JP"/>
        </w:rPr>
      </w:pPr>
      <w:r w:rsidRPr="00F30805">
        <w:rPr>
          <w:rFonts w:ascii="Arial" w:eastAsia="MS Mincho" w:hAnsi="Arial" w:cs="Arial"/>
          <w:b/>
          <w:lang w:val="en-US" w:eastAsia="ja-JP"/>
        </w:rPr>
        <w:br w:type="page"/>
      </w:r>
    </w:p>
    <w:p w14:paraId="2F3D032D" w14:textId="090752F5" w:rsidR="00D92430" w:rsidRPr="00F30805" w:rsidRDefault="00D92430" w:rsidP="00066888">
      <w:pPr>
        <w:pStyle w:val="Heading3"/>
        <w:rPr>
          <w:rFonts w:eastAsia="SimSun"/>
          <w:lang w:val="en-US" w:eastAsia="ja-JP"/>
        </w:rPr>
      </w:pPr>
      <w:r w:rsidRPr="00F30805">
        <w:rPr>
          <w:rFonts w:eastAsia="MS Mincho"/>
          <w:lang w:val="en-US" w:eastAsia="ja-JP"/>
        </w:rPr>
        <w:lastRenderedPageBreak/>
        <w:t xml:space="preserve">Table 6. </w:t>
      </w:r>
      <w:r w:rsidRPr="00F30805">
        <w:rPr>
          <w:rFonts w:eastAsia="SimSun"/>
          <w:lang w:val="en-US" w:eastAsia="ja-JP"/>
        </w:rPr>
        <w:t>Response and Remission</w:t>
      </w:r>
    </w:p>
    <w:tbl>
      <w:tblPr>
        <w:tblStyle w:val="TableGrid"/>
        <w:tblW w:w="8075" w:type="dxa"/>
        <w:jc w:val="center"/>
        <w:tblLayout w:type="fixed"/>
        <w:tblLook w:val="04A0" w:firstRow="1" w:lastRow="0" w:firstColumn="1" w:lastColumn="0" w:noHBand="0" w:noVBand="1"/>
      </w:tblPr>
      <w:tblGrid>
        <w:gridCol w:w="1129"/>
        <w:gridCol w:w="567"/>
        <w:gridCol w:w="567"/>
        <w:gridCol w:w="709"/>
        <w:gridCol w:w="709"/>
        <w:gridCol w:w="567"/>
        <w:gridCol w:w="709"/>
        <w:gridCol w:w="567"/>
        <w:gridCol w:w="567"/>
        <w:gridCol w:w="708"/>
        <w:gridCol w:w="567"/>
        <w:gridCol w:w="709"/>
      </w:tblGrid>
      <w:tr w:rsidR="00D92430" w:rsidRPr="00F30805" w14:paraId="6626E484" w14:textId="77777777" w:rsidTr="001C766D">
        <w:trPr>
          <w:trHeight w:val="692"/>
          <w:jc w:val="center"/>
        </w:trPr>
        <w:tc>
          <w:tcPr>
            <w:tcW w:w="1129" w:type="dxa"/>
            <w:vAlign w:val="center"/>
          </w:tcPr>
          <w:p w14:paraId="52AF93FD"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Study</w:t>
            </w:r>
          </w:p>
        </w:tc>
        <w:tc>
          <w:tcPr>
            <w:tcW w:w="1134" w:type="dxa"/>
            <w:gridSpan w:val="2"/>
            <w:vAlign w:val="center"/>
          </w:tcPr>
          <w:p w14:paraId="34CD250E"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SELECT</w:t>
            </w:r>
          </w:p>
          <w:p w14:paraId="3D136340"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EARLY</w:t>
            </w:r>
          </w:p>
          <w:p w14:paraId="2BD36DEF"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MTX-Naive</w:t>
            </w:r>
          </w:p>
          <w:p w14:paraId="692D41F0" w14:textId="77777777" w:rsidR="00D92430" w:rsidRPr="00F30805" w:rsidRDefault="00D92430" w:rsidP="00A9173E">
            <w:pPr>
              <w:spacing w:after="0" w:line="240" w:lineRule="auto"/>
              <w:jc w:val="center"/>
              <w:rPr>
                <w:rFonts w:ascii="Arial" w:hAnsi="Arial" w:cs="Arial"/>
                <w:b/>
                <w:sz w:val="16"/>
                <w:szCs w:val="16"/>
              </w:rPr>
            </w:pPr>
          </w:p>
        </w:tc>
        <w:tc>
          <w:tcPr>
            <w:tcW w:w="1418" w:type="dxa"/>
            <w:gridSpan w:val="2"/>
            <w:vAlign w:val="center"/>
          </w:tcPr>
          <w:p w14:paraId="08478568"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SELECT</w:t>
            </w:r>
          </w:p>
          <w:p w14:paraId="3AD5ABDE"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MONO</w:t>
            </w:r>
          </w:p>
          <w:p w14:paraId="322F2942"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MTX-IR</w:t>
            </w:r>
          </w:p>
          <w:p w14:paraId="564E9900" w14:textId="77777777" w:rsidR="00D92430" w:rsidRPr="00F30805" w:rsidRDefault="00D92430" w:rsidP="00A9173E">
            <w:pPr>
              <w:spacing w:after="0" w:line="240" w:lineRule="auto"/>
              <w:jc w:val="center"/>
              <w:rPr>
                <w:rFonts w:ascii="Arial" w:hAnsi="Arial" w:cs="Arial"/>
                <w:b/>
                <w:sz w:val="16"/>
                <w:szCs w:val="16"/>
              </w:rPr>
            </w:pPr>
          </w:p>
        </w:tc>
        <w:tc>
          <w:tcPr>
            <w:tcW w:w="1276" w:type="dxa"/>
            <w:gridSpan w:val="2"/>
            <w:vAlign w:val="center"/>
          </w:tcPr>
          <w:p w14:paraId="20506E8B"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SELECT</w:t>
            </w:r>
          </w:p>
          <w:p w14:paraId="48AD804B"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NEXT</w:t>
            </w:r>
          </w:p>
          <w:p w14:paraId="431FA71F" w14:textId="77777777" w:rsidR="00D92430" w:rsidRPr="00F30805" w:rsidRDefault="00D92430" w:rsidP="00A9173E">
            <w:pPr>
              <w:spacing w:after="0" w:line="240" w:lineRule="auto"/>
              <w:jc w:val="center"/>
              <w:rPr>
                <w:rFonts w:ascii="Arial" w:hAnsi="Arial" w:cs="Arial"/>
                <w:b/>
                <w:sz w:val="16"/>
                <w:szCs w:val="16"/>
              </w:rPr>
            </w:pPr>
            <w:proofErr w:type="spellStart"/>
            <w:r w:rsidRPr="00F30805">
              <w:rPr>
                <w:rFonts w:ascii="Arial" w:hAnsi="Arial" w:cs="Arial"/>
                <w:b/>
                <w:sz w:val="16"/>
                <w:szCs w:val="16"/>
              </w:rPr>
              <w:t>csDMARD</w:t>
            </w:r>
            <w:proofErr w:type="spellEnd"/>
            <w:r w:rsidRPr="00F30805">
              <w:rPr>
                <w:rFonts w:ascii="Arial" w:hAnsi="Arial" w:cs="Arial"/>
                <w:b/>
                <w:sz w:val="16"/>
                <w:szCs w:val="16"/>
              </w:rPr>
              <w:t>-IR</w:t>
            </w:r>
          </w:p>
          <w:p w14:paraId="305B1CFD" w14:textId="77777777" w:rsidR="00D92430" w:rsidRPr="00F30805" w:rsidRDefault="00D92430" w:rsidP="00A9173E">
            <w:pPr>
              <w:spacing w:after="0" w:line="240" w:lineRule="auto"/>
              <w:jc w:val="center"/>
              <w:rPr>
                <w:rFonts w:ascii="Arial" w:hAnsi="Arial" w:cs="Arial"/>
                <w:b/>
                <w:sz w:val="16"/>
                <w:szCs w:val="16"/>
              </w:rPr>
            </w:pPr>
          </w:p>
        </w:tc>
        <w:tc>
          <w:tcPr>
            <w:tcW w:w="1842" w:type="dxa"/>
            <w:gridSpan w:val="3"/>
            <w:vAlign w:val="center"/>
          </w:tcPr>
          <w:p w14:paraId="3273EFC0" w14:textId="1DF18DE5"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SELECT</w:t>
            </w:r>
          </w:p>
          <w:p w14:paraId="24C16A6C"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COMPARE</w:t>
            </w:r>
          </w:p>
          <w:p w14:paraId="2B1C8AA0"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MTX-IR</w:t>
            </w:r>
          </w:p>
        </w:tc>
        <w:tc>
          <w:tcPr>
            <w:tcW w:w="1276" w:type="dxa"/>
            <w:gridSpan w:val="2"/>
            <w:vAlign w:val="center"/>
          </w:tcPr>
          <w:p w14:paraId="00FEEA5B"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SELECT</w:t>
            </w:r>
          </w:p>
          <w:p w14:paraId="4E714A72" w14:textId="77777777" w:rsidR="00D92430" w:rsidRPr="00F30805" w:rsidRDefault="00D92430" w:rsidP="00A9173E">
            <w:pPr>
              <w:spacing w:after="0" w:line="240" w:lineRule="auto"/>
              <w:jc w:val="center"/>
              <w:rPr>
                <w:rFonts w:ascii="Arial" w:hAnsi="Arial" w:cs="Arial"/>
                <w:b/>
                <w:sz w:val="16"/>
                <w:szCs w:val="16"/>
              </w:rPr>
            </w:pPr>
            <w:r w:rsidRPr="00F30805">
              <w:rPr>
                <w:rFonts w:ascii="Arial" w:hAnsi="Arial" w:cs="Arial"/>
                <w:b/>
                <w:sz w:val="16"/>
                <w:szCs w:val="16"/>
              </w:rPr>
              <w:t>BEYOND</w:t>
            </w:r>
          </w:p>
          <w:p w14:paraId="6B41E9C1" w14:textId="77777777" w:rsidR="00D92430" w:rsidRPr="00F30805" w:rsidRDefault="00D92430" w:rsidP="00A9173E">
            <w:pPr>
              <w:spacing w:after="0" w:line="240" w:lineRule="auto"/>
              <w:jc w:val="center"/>
              <w:rPr>
                <w:rFonts w:ascii="Arial" w:hAnsi="Arial" w:cs="Arial"/>
                <w:b/>
                <w:sz w:val="16"/>
                <w:szCs w:val="16"/>
              </w:rPr>
            </w:pPr>
            <w:proofErr w:type="spellStart"/>
            <w:r w:rsidRPr="00F30805">
              <w:rPr>
                <w:rFonts w:ascii="Arial" w:hAnsi="Arial" w:cs="Arial"/>
                <w:b/>
                <w:sz w:val="16"/>
                <w:szCs w:val="16"/>
              </w:rPr>
              <w:t>bDMARD</w:t>
            </w:r>
            <w:proofErr w:type="spellEnd"/>
            <w:r w:rsidRPr="00F30805">
              <w:rPr>
                <w:rFonts w:ascii="Arial" w:hAnsi="Arial" w:cs="Arial"/>
                <w:b/>
                <w:sz w:val="16"/>
                <w:szCs w:val="16"/>
              </w:rPr>
              <w:t>-IR</w:t>
            </w:r>
          </w:p>
          <w:p w14:paraId="5AB17D75" w14:textId="77777777" w:rsidR="00D92430" w:rsidRPr="00F30805" w:rsidRDefault="00D92430" w:rsidP="00A9173E">
            <w:pPr>
              <w:spacing w:after="0" w:line="240" w:lineRule="auto"/>
              <w:jc w:val="center"/>
              <w:rPr>
                <w:rFonts w:ascii="Arial" w:hAnsi="Arial" w:cs="Arial"/>
                <w:b/>
                <w:sz w:val="16"/>
                <w:szCs w:val="16"/>
              </w:rPr>
            </w:pPr>
          </w:p>
        </w:tc>
      </w:tr>
      <w:tr w:rsidR="00D92430" w:rsidRPr="00F30805" w14:paraId="4EB423E9" w14:textId="77777777" w:rsidTr="001C766D">
        <w:trPr>
          <w:trHeight w:val="278"/>
          <w:jc w:val="center"/>
        </w:trPr>
        <w:tc>
          <w:tcPr>
            <w:tcW w:w="1129" w:type="dxa"/>
            <w:vAlign w:val="center"/>
          </w:tcPr>
          <w:p w14:paraId="7D19952F" w14:textId="77777777" w:rsidR="00D92430" w:rsidRPr="00F30805" w:rsidRDefault="00D92430" w:rsidP="00A9173E">
            <w:pPr>
              <w:spacing w:after="0" w:line="240" w:lineRule="auto"/>
              <w:rPr>
                <w:rFonts w:ascii="Arial" w:hAnsi="Arial" w:cs="Arial"/>
                <w:sz w:val="16"/>
                <w:szCs w:val="16"/>
              </w:rPr>
            </w:pPr>
          </w:p>
        </w:tc>
        <w:tc>
          <w:tcPr>
            <w:tcW w:w="567" w:type="dxa"/>
            <w:vAlign w:val="center"/>
          </w:tcPr>
          <w:p w14:paraId="597D283B"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MTX</w:t>
            </w:r>
          </w:p>
        </w:tc>
        <w:tc>
          <w:tcPr>
            <w:tcW w:w="567" w:type="dxa"/>
            <w:vAlign w:val="center"/>
          </w:tcPr>
          <w:p w14:paraId="317D3886"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UPA</w:t>
            </w:r>
          </w:p>
          <w:p w14:paraId="2BEE4565"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4"/>
                <w:szCs w:val="16"/>
              </w:rPr>
              <w:t>15mg</w:t>
            </w:r>
          </w:p>
        </w:tc>
        <w:tc>
          <w:tcPr>
            <w:tcW w:w="709" w:type="dxa"/>
            <w:vAlign w:val="center"/>
          </w:tcPr>
          <w:p w14:paraId="6EE90FED"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MTX</w:t>
            </w:r>
          </w:p>
        </w:tc>
        <w:tc>
          <w:tcPr>
            <w:tcW w:w="709" w:type="dxa"/>
            <w:vAlign w:val="center"/>
          </w:tcPr>
          <w:p w14:paraId="7E14E7F0"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UPA</w:t>
            </w:r>
          </w:p>
          <w:p w14:paraId="0312D14F"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15mg</w:t>
            </w:r>
          </w:p>
        </w:tc>
        <w:tc>
          <w:tcPr>
            <w:tcW w:w="567" w:type="dxa"/>
            <w:vAlign w:val="center"/>
          </w:tcPr>
          <w:p w14:paraId="03F48591"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PBO</w:t>
            </w:r>
          </w:p>
        </w:tc>
        <w:tc>
          <w:tcPr>
            <w:tcW w:w="709" w:type="dxa"/>
            <w:vAlign w:val="center"/>
          </w:tcPr>
          <w:p w14:paraId="56B4B231"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UPA</w:t>
            </w:r>
          </w:p>
          <w:p w14:paraId="6D24DA34"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15mg</w:t>
            </w:r>
          </w:p>
        </w:tc>
        <w:tc>
          <w:tcPr>
            <w:tcW w:w="567" w:type="dxa"/>
            <w:vAlign w:val="center"/>
          </w:tcPr>
          <w:p w14:paraId="39D3FAB2"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PBO</w:t>
            </w:r>
          </w:p>
        </w:tc>
        <w:tc>
          <w:tcPr>
            <w:tcW w:w="567" w:type="dxa"/>
            <w:vAlign w:val="center"/>
          </w:tcPr>
          <w:p w14:paraId="1445579B"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UPA</w:t>
            </w:r>
          </w:p>
          <w:p w14:paraId="433EA016"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4"/>
                <w:szCs w:val="16"/>
              </w:rPr>
              <w:t>15mg</w:t>
            </w:r>
          </w:p>
        </w:tc>
        <w:tc>
          <w:tcPr>
            <w:tcW w:w="708" w:type="dxa"/>
            <w:vAlign w:val="center"/>
          </w:tcPr>
          <w:p w14:paraId="54905078"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ADA</w:t>
            </w:r>
          </w:p>
          <w:p w14:paraId="3F6BFBB0"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 xml:space="preserve">40mg </w:t>
            </w:r>
          </w:p>
        </w:tc>
        <w:tc>
          <w:tcPr>
            <w:tcW w:w="567" w:type="dxa"/>
            <w:vAlign w:val="center"/>
          </w:tcPr>
          <w:p w14:paraId="2CA35E96" w14:textId="77777777" w:rsidR="00D92430" w:rsidRPr="00F30805" w:rsidRDefault="00D92430" w:rsidP="001C766D">
            <w:pPr>
              <w:spacing w:after="0" w:line="240" w:lineRule="auto"/>
              <w:jc w:val="center"/>
              <w:rPr>
                <w:rFonts w:ascii="Arial" w:hAnsi="Arial" w:cs="Arial"/>
                <w:sz w:val="16"/>
                <w:szCs w:val="16"/>
              </w:rPr>
            </w:pPr>
            <w:r w:rsidRPr="00F30805">
              <w:rPr>
                <w:rFonts w:ascii="Arial" w:hAnsi="Arial" w:cs="Arial"/>
                <w:sz w:val="16"/>
                <w:szCs w:val="16"/>
              </w:rPr>
              <w:t>PBO</w:t>
            </w:r>
          </w:p>
        </w:tc>
        <w:tc>
          <w:tcPr>
            <w:tcW w:w="709" w:type="dxa"/>
            <w:vAlign w:val="center"/>
          </w:tcPr>
          <w:p w14:paraId="12707D8E"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UPA</w:t>
            </w:r>
          </w:p>
          <w:p w14:paraId="008D7AFE"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15mg</w:t>
            </w:r>
          </w:p>
        </w:tc>
      </w:tr>
      <w:tr w:rsidR="00D92430" w:rsidRPr="00F30805" w14:paraId="161EA8F6" w14:textId="77777777" w:rsidTr="001C766D">
        <w:trPr>
          <w:trHeight w:val="278"/>
          <w:jc w:val="center"/>
        </w:trPr>
        <w:tc>
          <w:tcPr>
            <w:tcW w:w="1129" w:type="dxa"/>
            <w:vAlign w:val="center"/>
          </w:tcPr>
          <w:p w14:paraId="6FD27FFA" w14:textId="77777777" w:rsidR="00D92430" w:rsidRPr="00F30805" w:rsidRDefault="00D92430" w:rsidP="00A9173E">
            <w:pPr>
              <w:spacing w:after="0" w:line="240" w:lineRule="auto"/>
              <w:rPr>
                <w:rFonts w:ascii="Arial" w:hAnsi="Arial" w:cs="Arial"/>
                <w:sz w:val="16"/>
                <w:szCs w:val="16"/>
              </w:rPr>
            </w:pPr>
            <w:r w:rsidRPr="00F30805">
              <w:rPr>
                <w:rFonts w:ascii="Arial" w:hAnsi="Arial" w:cs="Arial"/>
                <w:sz w:val="16"/>
                <w:szCs w:val="16"/>
              </w:rPr>
              <w:t>N</w:t>
            </w:r>
          </w:p>
        </w:tc>
        <w:tc>
          <w:tcPr>
            <w:tcW w:w="567" w:type="dxa"/>
            <w:vAlign w:val="center"/>
          </w:tcPr>
          <w:p w14:paraId="7984996C"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314</w:t>
            </w:r>
          </w:p>
        </w:tc>
        <w:tc>
          <w:tcPr>
            <w:tcW w:w="567" w:type="dxa"/>
            <w:vAlign w:val="center"/>
          </w:tcPr>
          <w:p w14:paraId="6EFEAAF5"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317</w:t>
            </w:r>
          </w:p>
        </w:tc>
        <w:tc>
          <w:tcPr>
            <w:tcW w:w="709" w:type="dxa"/>
            <w:vAlign w:val="center"/>
          </w:tcPr>
          <w:p w14:paraId="3AF17A68"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216</w:t>
            </w:r>
          </w:p>
        </w:tc>
        <w:tc>
          <w:tcPr>
            <w:tcW w:w="709" w:type="dxa"/>
            <w:vAlign w:val="center"/>
          </w:tcPr>
          <w:p w14:paraId="5CF1B5EE"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217</w:t>
            </w:r>
          </w:p>
        </w:tc>
        <w:tc>
          <w:tcPr>
            <w:tcW w:w="567" w:type="dxa"/>
            <w:vAlign w:val="center"/>
          </w:tcPr>
          <w:p w14:paraId="3FDD569C"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221</w:t>
            </w:r>
          </w:p>
        </w:tc>
        <w:tc>
          <w:tcPr>
            <w:tcW w:w="709" w:type="dxa"/>
            <w:vAlign w:val="center"/>
          </w:tcPr>
          <w:p w14:paraId="29506EC6"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221</w:t>
            </w:r>
          </w:p>
        </w:tc>
        <w:tc>
          <w:tcPr>
            <w:tcW w:w="567" w:type="dxa"/>
            <w:vAlign w:val="center"/>
          </w:tcPr>
          <w:p w14:paraId="0DB65C14"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651</w:t>
            </w:r>
          </w:p>
        </w:tc>
        <w:tc>
          <w:tcPr>
            <w:tcW w:w="567" w:type="dxa"/>
            <w:vAlign w:val="center"/>
          </w:tcPr>
          <w:p w14:paraId="27F71CF2"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651</w:t>
            </w:r>
          </w:p>
        </w:tc>
        <w:tc>
          <w:tcPr>
            <w:tcW w:w="708" w:type="dxa"/>
            <w:vAlign w:val="center"/>
          </w:tcPr>
          <w:p w14:paraId="4E1E33CC"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327</w:t>
            </w:r>
          </w:p>
        </w:tc>
        <w:tc>
          <w:tcPr>
            <w:tcW w:w="567" w:type="dxa"/>
            <w:vAlign w:val="center"/>
          </w:tcPr>
          <w:p w14:paraId="77B608AD"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169</w:t>
            </w:r>
          </w:p>
        </w:tc>
        <w:tc>
          <w:tcPr>
            <w:tcW w:w="709" w:type="dxa"/>
            <w:vAlign w:val="center"/>
          </w:tcPr>
          <w:p w14:paraId="1D77C072"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164</w:t>
            </w:r>
          </w:p>
        </w:tc>
      </w:tr>
      <w:tr w:rsidR="00D92430" w:rsidRPr="00F30805" w14:paraId="273A1ED7" w14:textId="77777777" w:rsidTr="001C766D">
        <w:trPr>
          <w:trHeight w:val="278"/>
          <w:jc w:val="center"/>
        </w:trPr>
        <w:tc>
          <w:tcPr>
            <w:tcW w:w="1129" w:type="dxa"/>
            <w:vAlign w:val="center"/>
          </w:tcPr>
          <w:p w14:paraId="3144AD26" w14:textId="77777777" w:rsidR="00D92430" w:rsidRPr="00F30805" w:rsidRDefault="00D92430" w:rsidP="00A9173E">
            <w:pPr>
              <w:spacing w:after="0" w:line="240" w:lineRule="auto"/>
              <w:rPr>
                <w:rFonts w:ascii="Arial" w:hAnsi="Arial" w:cs="Arial"/>
                <w:sz w:val="16"/>
                <w:szCs w:val="16"/>
              </w:rPr>
            </w:pPr>
            <w:r w:rsidRPr="00F30805">
              <w:rPr>
                <w:rFonts w:ascii="Arial" w:hAnsi="Arial" w:cs="Arial"/>
                <w:sz w:val="16"/>
                <w:szCs w:val="16"/>
              </w:rPr>
              <w:t>Week</w:t>
            </w:r>
          </w:p>
        </w:tc>
        <w:tc>
          <w:tcPr>
            <w:tcW w:w="6946" w:type="dxa"/>
            <w:gridSpan w:val="11"/>
            <w:vAlign w:val="center"/>
          </w:tcPr>
          <w:p w14:paraId="32B36518" w14:textId="77777777" w:rsidR="00D92430" w:rsidRPr="00F30805" w:rsidRDefault="00D92430" w:rsidP="00A9173E">
            <w:pPr>
              <w:spacing w:after="0" w:line="240" w:lineRule="auto"/>
              <w:jc w:val="center"/>
              <w:rPr>
                <w:rFonts w:ascii="Arial" w:hAnsi="Arial" w:cs="Arial"/>
                <w:sz w:val="16"/>
                <w:szCs w:val="16"/>
              </w:rPr>
            </w:pPr>
          </w:p>
        </w:tc>
      </w:tr>
      <w:tr w:rsidR="00D92430" w:rsidRPr="00F30805" w14:paraId="3E17FC0A" w14:textId="77777777" w:rsidTr="001C766D">
        <w:trPr>
          <w:trHeight w:val="278"/>
          <w:jc w:val="center"/>
        </w:trPr>
        <w:tc>
          <w:tcPr>
            <w:tcW w:w="8075" w:type="dxa"/>
            <w:gridSpan w:val="12"/>
            <w:vAlign w:val="center"/>
          </w:tcPr>
          <w:p w14:paraId="7BBDDEC4" w14:textId="114DE968"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b/>
                <w:sz w:val="16"/>
                <w:szCs w:val="16"/>
              </w:rPr>
              <w:t>ACR20 (% of patients)</w:t>
            </w:r>
          </w:p>
        </w:tc>
      </w:tr>
      <w:tr w:rsidR="00D92430" w:rsidRPr="00F30805" w14:paraId="2BDE1888" w14:textId="77777777" w:rsidTr="001C766D">
        <w:trPr>
          <w:trHeight w:val="278"/>
          <w:jc w:val="center"/>
        </w:trPr>
        <w:tc>
          <w:tcPr>
            <w:tcW w:w="1129" w:type="dxa"/>
            <w:shd w:val="clear" w:color="auto" w:fill="auto"/>
            <w:vAlign w:val="center"/>
          </w:tcPr>
          <w:p w14:paraId="392CE8C5"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12</w:t>
            </w:r>
            <w:r w:rsidRPr="00F30805">
              <w:rPr>
                <w:rFonts w:ascii="Arial" w:hAnsi="Arial" w:cs="Arial"/>
                <w:sz w:val="16"/>
                <w:szCs w:val="16"/>
                <w:vertAlign w:val="superscript"/>
              </w:rPr>
              <w:t>a</w:t>
            </w:r>
            <w:r w:rsidRPr="00F30805">
              <w:rPr>
                <w:rFonts w:ascii="Arial" w:hAnsi="Arial" w:cs="Arial"/>
                <w:sz w:val="16"/>
                <w:szCs w:val="16"/>
              </w:rPr>
              <w:t>/14</w:t>
            </w:r>
            <w:r w:rsidRPr="00F30805">
              <w:rPr>
                <w:rFonts w:ascii="Arial" w:hAnsi="Arial" w:cs="Arial"/>
                <w:sz w:val="16"/>
                <w:szCs w:val="16"/>
                <w:vertAlign w:val="superscript"/>
              </w:rPr>
              <w:t>b</w:t>
            </w:r>
          </w:p>
        </w:tc>
        <w:tc>
          <w:tcPr>
            <w:tcW w:w="567" w:type="dxa"/>
            <w:shd w:val="clear" w:color="auto" w:fill="auto"/>
            <w:vAlign w:val="center"/>
          </w:tcPr>
          <w:p w14:paraId="0AEA9EF1"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54</w:t>
            </w:r>
          </w:p>
        </w:tc>
        <w:tc>
          <w:tcPr>
            <w:tcW w:w="567" w:type="dxa"/>
            <w:shd w:val="clear" w:color="auto" w:fill="auto"/>
            <w:vAlign w:val="center"/>
          </w:tcPr>
          <w:p w14:paraId="65E04111" w14:textId="45140103"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76</w:t>
            </w:r>
            <w:r w:rsidR="00630BEB" w:rsidRPr="00F30805">
              <w:rPr>
                <w:rFonts w:ascii="Arial" w:hAnsi="Arial" w:cs="Arial"/>
                <w:sz w:val="16"/>
                <w:szCs w:val="16"/>
                <w:vertAlign w:val="superscript"/>
              </w:rPr>
              <w:t>g</w:t>
            </w:r>
          </w:p>
        </w:tc>
        <w:tc>
          <w:tcPr>
            <w:tcW w:w="709" w:type="dxa"/>
            <w:shd w:val="clear" w:color="auto" w:fill="auto"/>
            <w:vAlign w:val="center"/>
          </w:tcPr>
          <w:p w14:paraId="672D07E2"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41</w:t>
            </w:r>
          </w:p>
        </w:tc>
        <w:tc>
          <w:tcPr>
            <w:tcW w:w="709" w:type="dxa"/>
            <w:shd w:val="clear" w:color="auto" w:fill="auto"/>
            <w:vAlign w:val="center"/>
          </w:tcPr>
          <w:p w14:paraId="459459B8"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68</w:t>
            </w:r>
            <w:r w:rsidRPr="00F30805">
              <w:rPr>
                <w:rFonts w:ascii="Arial" w:hAnsi="Arial" w:cs="Arial"/>
                <w:sz w:val="16"/>
                <w:szCs w:val="16"/>
                <w:vertAlign w:val="superscript"/>
              </w:rPr>
              <w:t>e</w:t>
            </w:r>
          </w:p>
        </w:tc>
        <w:tc>
          <w:tcPr>
            <w:tcW w:w="567" w:type="dxa"/>
            <w:shd w:val="clear" w:color="auto" w:fill="auto"/>
            <w:vAlign w:val="center"/>
          </w:tcPr>
          <w:p w14:paraId="6742C1E8"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36</w:t>
            </w:r>
          </w:p>
        </w:tc>
        <w:tc>
          <w:tcPr>
            <w:tcW w:w="709" w:type="dxa"/>
            <w:shd w:val="clear" w:color="auto" w:fill="auto"/>
            <w:vAlign w:val="center"/>
          </w:tcPr>
          <w:p w14:paraId="0715C7DD"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64</w:t>
            </w:r>
            <w:r w:rsidRPr="00F30805">
              <w:rPr>
                <w:rFonts w:ascii="Arial" w:hAnsi="Arial" w:cs="Arial"/>
                <w:sz w:val="16"/>
                <w:szCs w:val="16"/>
                <w:vertAlign w:val="superscript"/>
              </w:rPr>
              <w:t>e</w:t>
            </w:r>
          </w:p>
        </w:tc>
        <w:tc>
          <w:tcPr>
            <w:tcW w:w="567" w:type="dxa"/>
            <w:shd w:val="clear" w:color="auto" w:fill="auto"/>
            <w:vAlign w:val="center"/>
          </w:tcPr>
          <w:p w14:paraId="69A10FF2"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36</w:t>
            </w:r>
          </w:p>
        </w:tc>
        <w:tc>
          <w:tcPr>
            <w:tcW w:w="567" w:type="dxa"/>
            <w:shd w:val="clear" w:color="auto" w:fill="auto"/>
            <w:vAlign w:val="center"/>
          </w:tcPr>
          <w:p w14:paraId="62EDACA0" w14:textId="28462691"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71</w:t>
            </w:r>
            <w:r w:rsidRPr="00F30805">
              <w:rPr>
                <w:rFonts w:ascii="Arial" w:hAnsi="Arial" w:cs="Arial"/>
                <w:sz w:val="16"/>
                <w:szCs w:val="16"/>
                <w:vertAlign w:val="superscript"/>
              </w:rPr>
              <w:t>e,</w:t>
            </w:r>
            <w:r w:rsidR="009E53DE" w:rsidRPr="00F30805">
              <w:rPr>
                <w:rFonts w:ascii="Arial" w:hAnsi="Arial" w:cs="Arial"/>
                <w:sz w:val="16"/>
                <w:szCs w:val="16"/>
                <w:vertAlign w:val="superscript"/>
              </w:rPr>
              <w:t>i</w:t>
            </w:r>
          </w:p>
        </w:tc>
        <w:tc>
          <w:tcPr>
            <w:tcW w:w="708" w:type="dxa"/>
            <w:shd w:val="clear" w:color="auto" w:fill="auto"/>
            <w:vAlign w:val="center"/>
          </w:tcPr>
          <w:p w14:paraId="53045DAD"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63</w:t>
            </w:r>
          </w:p>
        </w:tc>
        <w:tc>
          <w:tcPr>
            <w:tcW w:w="567" w:type="dxa"/>
            <w:shd w:val="clear" w:color="auto" w:fill="auto"/>
            <w:vAlign w:val="center"/>
          </w:tcPr>
          <w:p w14:paraId="698A90BC"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28</w:t>
            </w:r>
          </w:p>
        </w:tc>
        <w:tc>
          <w:tcPr>
            <w:tcW w:w="709" w:type="dxa"/>
            <w:shd w:val="clear" w:color="auto" w:fill="auto"/>
            <w:vAlign w:val="center"/>
          </w:tcPr>
          <w:p w14:paraId="03DF62CE"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65</w:t>
            </w:r>
            <w:r w:rsidRPr="00F30805">
              <w:rPr>
                <w:rFonts w:ascii="Arial" w:hAnsi="Arial" w:cs="Arial"/>
                <w:sz w:val="16"/>
                <w:szCs w:val="16"/>
                <w:vertAlign w:val="superscript"/>
              </w:rPr>
              <w:t>e</w:t>
            </w:r>
          </w:p>
        </w:tc>
      </w:tr>
      <w:tr w:rsidR="00D92430" w:rsidRPr="00F30805" w14:paraId="19074399" w14:textId="77777777" w:rsidTr="001C766D">
        <w:trPr>
          <w:trHeight w:val="278"/>
          <w:jc w:val="center"/>
        </w:trPr>
        <w:tc>
          <w:tcPr>
            <w:tcW w:w="1129" w:type="dxa"/>
            <w:shd w:val="clear" w:color="auto" w:fill="auto"/>
            <w:vAlign w:val="center"/>
          </w:tcPr>
          <w:p w14:paraId="025FECE1"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24</w:t>
            </w:r>
            <w:r w:rsidRPr="00F30805">
              <w:rPr>
                <w:rFonts w:ascii="Arial" w:hAnsi="Arial" w:cs="Arial"/>
                <w:sz w:val="16"/>
                <w:szCs w:val="16"/>
                <w:vertAlign w:val="superscript"/>
              </w:rPr>
              <w:t>c</w:t>
            </w:r>
            <w:r w:rsidRPr="00F30805">
              <w:rPr>
                <w:rFonts w:ascii="Arial" w:hAnsi="Arial" w:cs="Arial"/>
                <w:sz w:val="16"/>
                <w:szCs w:val="16"/>
              </w:rPr>
              <w:t>/26</w:t>
            </w:r>
            <w:r w:rsidRPr="00F30805">
              <w:rPr>
                <w:rFonts w:ascii="Arial" w:hAnsi="Arial" w:cs="Arial"/>
                <w:sz w:val="16"/>
                <w:szCs w:val="16"/>
                <w:vertAlign w:val="superscript"/>
              </w:rPr>
              <w:t>d</w:t>
            </w:r>
          </w:p>
        </w:tc>
        <w:tc>
          <w:tcPr>
            <w:tcW w:w="567" w:type="dxa"/>
            <w:shd w:val="clear" w:color="auto" w:fill="auto"/>
            <w:vAlign w:val="center"/>
          </w:tcPr>
          <w:p w14:paraId="350F348D"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59</w:t>
            </w:r>
          </w:p>
        </w:tc>
        <w:tc>
          <w:tcPr>
            <w:tcW w:w="567" w:type="dxa"/>
            <w:shd w:val="clear" w:color="auto" w:fill="auto"/>
            <w:vAlign w:val="center"/>
          </w:tcPr>
          <w:p w14:paraId="235FE3A3" w14:textId="26424F56"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79</w:t>
            </w:r>
            <w:r w:rsidR="00E01FAC" w:rsidRPr="00F30805">
              <w:rPr>
                <w:rFonts w:ascii="Arial" w:hAnsi="Arial" w:cs="Arial"/>
                <w:sz w:val="16"/>
                <w:szCs w:val="16"/>
                <w:vertAlign w:val="superscript"/>
              </w:rPr>
              <w:t>g</w:t>
            </w:r>
          </w:p>
        </w:tc>
        <w:tc>
          <w:tcPr>
            <w:tcW w:w="709" w:type="dxa"/>
            <w:shd w:val="clear" w:color="auto" w:fill="D9D9D9" w:themeFill="background1" w:themeFillShade="D9"/>
            <w:vAlign w:val="center"/>
          </w:tcPr>
          <w:p w14:paraId="30ACA99A"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AF33410"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F212FB8"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07305A86"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auto"/>
            <w:vAlign w:val="center"/>
          </w:tcPr>
          <w:p w14:paraId="650D6E64"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36</w:t>
            </w:r>
          </w:p>
        </w:tc>
        <w:tc>
          <w:tcPr>
            <w:tcW w:w="567" w:type="dxa"/>
            <w:shd w:val="clear" w:color="auto" w:fill="auto"/>
            <w:vAlign w:val="center"/>
          </w:tcPr>
          <w:p w14:paraId="4F50D682" w14:textId="58EA54BB"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67</w:t>
            </w:r>
            <w:r w:rsidR="001D21C7" w:rsidRPr="00F30805">
              <w:rPr>
                <w:rFonts w:ascii="Arial" w:hAnsi="Arial" w:cs="Arial"/>
                <w:sz w:val="16"/>
                <w:szCs w:val="16"/>
                <w:vertAlign w:val="superscript"/>
              </w:rPr>
              <w:t>g</w:t>
            </w:r>
            <w:r w:rsidRPr="00F30805">
              <w:rPr>
                <w:rFonts w:ascii="Arial" w:hAnsi="Arial" w:cs="Arial"/>
                <w:sz w:val="16"/>
                <w:szCs w:val="16"/>
                <w:vertAlign w:val="superscript"/>
              </w:rPr>
              <w:t>,i</w:t>
            </w:r>
          </w:p>
        </w:tc>
        <w:tc>
          <w:tcPr>
            <w:tcW w:w="708" w:type="dxa"/>
            <w:shd w:val="clear" w:color="auto" w:fill="auto"/>
            <w:vAlign w:val="center"/>
          </w:tcPr>
          <w:p w14:paraId="6B420D72"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57</w:t>
            </w:r>
          </w:p>
        </w:tc>
        <w:tc>
          <w:tcPr>
            <w:tcW w:w="567" w:type="dxa"/>
            <w:shd w:val="clear" w:color="auto" w:fill="D9D9D9" w:themeFill="background1" w:themeFillShade="D9"/>
            <w:vAlign w:val="center"/>
          </w:tcPr>
          <w:p w14:paraId="600AAE8C"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4D70C80" w14:textId="77777777" w:rsidR="00D92430" w:rsidRPr="00F30805" w:rsidRDefault="00D92430" w:rsidP="00A9173E">
            <w:pPr>
              <w:keepLines/>
              <w:spacing w:after="0" w:line="240" w:lineRule="auto"/>
              <w:jc w:val="center"/>
              <w:rPr>
                <w:rFonts w:ascii="Arial" w:hAnsi="Arial" w:cs="Arial"/>
                <w:sz w:val="16"/>
                <w:szCs w:val="16"/>
              </w:rPr>
            </w:pPr>
          </w:p>
        </w:tc>
      </w:tr>
      <w:tr w:rsidR="00D92430" w:rsidRPr="00F30805" w14:paraId="181FD78D" w14:textId="77777777" w:rsidTr="001C766D">
        <w:trPr>
          <w:trHeight w:val="278"/>
          <w:jc w:val="center"/>
        </w:trPr>
        <w:tc>
          <w:tcPr>
            <w:tcW w:w="8075" w:type="dxa"/>
            <w:gridSpan w:val="12"/>
            <w:shd w:val="clear" w:color="auto" w:fill="auto"/>
            <w:vAlign w:val="center"/>
          </w:tcPr>
          <w:p w14:paraId="23E80BF7"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b/>
                <w:sz w:val="16"/>
                <w:szCs w:val="16"/>
              </w:rPr>
              <w:t>ACR50 (% of patients)</w:t>
            </w:r>
          </w:p>
        </w:tc>
      </w:tr>
      <w:tr w:rsidR="00D92430" w:rsidRPr="00F30805" w14:paraId="36ABD9C1" w14:textId="77777777" w:rsidTr="001C766D">
        <w:trPr>
          <w:trHeight w:val="278"/>
          <w:jc w:val="center"/>
        </w:trPr>
        <w:tc>
          <w:tcPr>
            <w:tcW w:w="1129" w:type="dxa"/>
            <w:shd w:val="clear" w:color="auto" w:fill="auto"/>
            <w:vAlign w:val="center"/>
          </w:tcPr>
          <w:p w14:paraId="189D0761"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12</w:t>
            </w:r>
            <w:r w:rsidRPr="00F30805">
              <w:rPr>
                <w:rFonts w:ascii="Arial" w:hAnsi="Arial" w:cs="Arial"/>
                <w:sz w:val="16"/>
                <w:szCs w:val="16"/>
                <w:vertAlign w:val="superscript"/>
              </w:rPr>
              <w:t>a</w:t>
            </w:r>
            <w:r w:rsidRPr="00F30805">
              <w:rPr>
                <w:rFonts w:ascii="Arial" w:hAnsi="Arial" w:cs="Arial"/>
                <w:sz w:val="16"/>
                <w:szCs w:val="16"/>
              </w:rPr>
              <w:t>/14</w:t>
            </w:r>
            <w:r w:rsidRPr="00F30805">
              <w:rPr>
                <w:rFonts w:ascii="Arial" w:hAnsi="Arial" w:cs="Arial"/>
                <w:sz w:val="16"/>
                <w:szCs w:val="16"/>
                <w:vertAlign w:val="superscript"/>
              </w:rPr>
              <w:t>b</w:t>
            </w:r>
          </w:p>
        </w:tc>
        <w:tc>
          <w:tcPr>
            <w:tcW w:w="567" w:type="dxa"/>
            <w:shd w:val="clear" w:color="auto" w:fill="auto"/>
            <w:vAlign w:val="center"/>
          </w:tcPr>
          <w:p w14:paraId="5B30CED5"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28</w:t>
            </w:r>
          </w:p>
        </w:tc>
        <w:tc>
          <w:tcPr>
            <w:tcW w:w="567" w:type="dxa"/>
            <w:shd w:val="clear" w:color="auto" w:fill="auto"/>
            <w:vAlign w:val="center"/>
          </w:tcPr>
          <w:p w14:paraId="7A7B9CDD"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52</w:t>
            </w:r>
            <w:r w:rsidRPr="00F30805">
              <w:rPr>
                <w:rFonts w:ascii="Arial" w:hAnsi="Arial" w:cs="Arial"/>
                <w:sz w:val="16"/>
                <w:szCs w:val="16"/>
                <w:vertAlign w:val="superscript"/>
              </w:rPr>
              <w:t>e</w:t>
            </w:r>
          </w:p>
        </w:tc>
        <w:tc>
          <w:tcPr>
            <w:tcW w:w="709" w:type="dxa"/>
            <w:shd w:val="clear" w:color="auto" w:fill="auto"/>
            <w:vAlign w:val="center"/>
          </w:tcPr>
          <w:p w14:paraId="733DC22B"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15</w:t>
            </w:r>
          </w:p>
        </w:tc>
        <w:tc>
          <w:tcPr>
            <w:tcW w:w="709" w:type="dxa"/>
            <w:shd w:val="clear" w:color="auto" w:fill="auto"/>
            <w:vAlign w:val="center"/>
          </w:tcPr>
          <w:p w14:paraId="234EDD70" w14:textId="30C17682"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42</w:t>
            </w:r>
            <w:r w:rsidR="005510D3" w:rsidRPr="00F30805">
              <w:rPr>
                <w:rFonts w:ascii="Arial" w:hAnsi="Arial" w:cs="Arial"/>
                <w:sz w:val="16"/>
                <w:szCs w:val="16"/>
                <w:vertAlign w:val="superscript"/>
              </w:rPr>
              <w:t>g</w:t>
            </w:r>
          </w:p>
        </w:tc>
        <w:tc>
          <w:tcPr>
            <w:tcW w:w="567" w:type="dxa"/>
            <w:shd w:val="clear" w:color="auto" w:fill="auto"/>
            <w:vAlign w:val="center"/>
          </w:tcPr>
          <w:p w14:paraId="2391E83B"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15</w:t>
            </w:r>
          </w:p>
        </w:tc>
        <w:tc>
          <w:tcPr>
            <w:tcW w:w="709" w:type="dxa"/>
            <w:shd w:val="clear" w:color="auto" w:fill="auto"/>
            <w:vAlign w:val="center"/>
          </w:tcPr>
          <w:p w14:paraId="2F86F168" w14:textId="08EC1446"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38</w:t>
            </w:r>
            <w:r w:rsidR="00D85943" w:rsidRPr="00F30805">
              <w:rPr>
                <w:rFonts w:ascii="Arial" w:hAnsi="Arial" w:cs="Arial"/>
                <w:sz w:val="16"/>
                <w:szCs w:val="16"/>
                <w:vertAlign w:val="superscript"/>
              </w:rPr>
              <w:t>g</w:t>
            </w:r>
          </w:p>
        </w:tc>
        <w:tc>
          <w:tcPr>
            <w:tcW w:w="567" w:type="dxa"/>
            <w:shd w:val="clear" w:color="auto" w:fill="auto"/>
            <w:vAlign w:val="center"/>
          </w:tcPr>
          <w:p w14:paraId="66E7F1AE"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15</w:t>
            </w:r>
          </w:p>
        </w:tc>
        <w:tc>
          <w:tcPr>
            <w:tcW w:w="567" w:type="dxa"/>
            <w:shd w:val="clear" w:color="auto" w:fill="auto"/>
            <w:vAlign w:val="center"/>
          </w:tcPr>
          <w:p w14:paraId="6B2F8450" w14:textId="63D27A00"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45</w:t>
            </w:r>
            <w:r w:rsidR="006D7DB5" w:rsidRPr="00F30805">
              <w:rPr>
                <w:rFonts w:ascii="Arial" w:hAnsi="Arial" w:cs="Arial"/>
                <w:sz w:val="16"/>
                <w:szCs w:val="16"/>
                <w:vertAlign w:val="superscript"/>
              </w:rPr>
              <w:t>g</w:t>
            </w:r>
            <w:r w:rsidRPr="00F30805">
              <w:rPr>
                <w:rFonts w:ascii="Arial" w:hAnsi="Arial" w:cs="Arial"/>
                <w:sz w:val="16"/>
                <w:szCs w:val="16"/>
                <w:vertAlign w:val="superscript"/>
              </w:rPr>
              <w:t>,h</w:t>
            </w:r>
            <w:r w:rsidR="00B41FEC" w:rsidRPr="00F30805">
              <w:rPr>
                <w:rFonts w:ascii="Arial" w:hAnsi="Arial" w:cs="Arial"/>
                <w:sz w:val="16"/>
                <w:szCs w:val="16"/>
                <w:vertAlign w:val="superscript"/>
              </w:rPr>
              <w:t xml:space="preserve">, </w:t>
            </w:r>
          </w:p>
        </w:tc>
        <w:tc>
          <w:tcPr>
            <w:tcW w:w="708" w:type="dxa"/>
            <w:shd w:val="clear" w:color="auto" w:fill="auto"/>
            <w:vAlign w:val="center"/>
          </w:tcPr>
          <w:p w14:paraId="18F3E4AE"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29</w:t>
            </w:r>
          </w:p>
        </w:tc>
        <w:tc>
          <w:tcPr>
            <w:tcW w:w="567" w:type="dxa"/>
            <w:shd w:val="clear" w:color="auto" w:fill="auto"/>
            <w:vAlign w:val="center"/>
          </w:tcPr>
          <w:p w14:paraId="5F98A52D"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12</w:t>
            </w:r>
          </w:p>
        </w:tc>
        <w:tc>
          <w:tcPr>
            <w:tcW w:w="709" w:type="dxa"/>
            <w:shd w:val="clear" w:color="auto" w:fill="auto"/>
            <w:vAlign w:val="center"/>
          </w:tcPr>
          <w:p w14:paraId="7E059180" w14:textId="1C9F3129"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34</w:t>
            </w:r>
            <w:r w:rsidR="007F2F71" w:rsidRPr="00F30805">
              <w:rPr>
                <w:rFonts w:ascii="Arial" w:hAnsi="Arial" w:cs="Arial"/>
                <w:sz w:val="16"/>
                <w:szCs w:val="16"/>
                <w:vertAlign w:val="superscript"/>
              </w:rPr>
              <w:t>g</w:t>
            </w:r>
          </w:p>
        </w:tc>
      </w:tr>
      <w:tr w:rsidR="00D92430" w:rsidRPr="00F30805" w14:paraId="564F841A" w14:textId="77777777" w:rsidTr="001C766D">
        <w:trPr>
          <w:trHeight w:val="278"/>
          <w:jc w:val="center"/>
        </w:trPr>
        <w:tc>
          <w:tcPr>
            <w:tcW w:w="1129" w:type="dxa"/>
            <w:shd w:val="clear" w:color="auto" w:fill="auto"/>
            <w:vAlign w:val="center"/>
          </w:tcPr>
          <w:p w14:paraId="79CD9D7F"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24</w:t>
            </w:r>
            <w:r w:rsidRPr="00F30805">
              <w:rPr>
                <w:rFonts w:ascii="Arial" w:hAnsi="Arial" w:cs="Arial"/>
                <w:sz w:val="16"/>
                <w:szCs w:val="16"/>
                <w:vertAlign w:val="superscript"/>
              </w:rPr>
              <w:t>c</w:t>
            </w:r>
            <w:r w:rsidRPr="00F30805">
              <w:rPr>
                <w:rFonts w:ascii="Arial" w:hAnsi="Arial" w:cs="Arial"/>
                <w:sz w:val="16"/>
                <w:szCs w:val="16"/>
              </w:rPr>
              <w:t>/26</w:t>
            </w:r>
            <w:r w:rsidRPr="00F30805">
              <w:rPr>
                <w:rFonts w:ascii="Arial" w:hAnsi="Arial" w:cs="Arial"/>
                <w:sz w:val="16"/>
                <w:szCs w:val="16"/>
                <w:vertAlign w:val="superscript"/>
              </w:rPr>
              <w:t>d</w:t>
            </w:r>
          </w:p>
        </w:tc>
        <w:tc>
          <w:tcPr>
            <w:tcW w:w="567" w:type="dxa"/>
            <w:shd w:val="clear" w:color="auto" w:fill="auto"/>
            <w:vAlign w:val="center"/>
          </w:tcPr>
          <w:p w14:paraId="60200FEA"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33</w:t>
            </w:r>
          </w:p>
        </w:tc>
        <w:tc>
          <w:tcPr>
            <w:tcW w:w="567" w:type="dxa"/>
            <w:shd w:val="clear" w:color="auto" w:fill="auto"/>
            <w:vAlign w:val="center"/>
          </w:tcPr>
          <w:p w14:paraId="490F6ABC" w14:textId="222DBF99"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60</w:t>
            </w:r>
            <w:r w:rsidR="00E01FAC" w:rsidRPr="00F30805">
              <w:rPr>
                <w:rFonts w:ascii="Arial" w:hAnsi="Arial" w:cs="Arial"/>
                <w:sz w:val="16"/>
                <w:szCs w:val="16"/>
                <w:vertAlign w:val="superscript"/>
              </w:rPr>
              <w:t>g</w:t>
            </w:r>
          </w:p>
        </w:tc>
        <w:tc>
          <w:tcPr>
            <w:tcW w:w="709" w:type="dxa"/>
            <w:shd w:val="clear" w:color="auto" w:fill="D9D9D9" w:themeFill="background1" w:themeFillShade="D9"/>
            <w:vAlign w:val="center"/>
          </w:tcPr>
          <w:p w14:paraId="6F7E8942"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4649672"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1EC7BCB"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855CF32"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auto"/>
            <w:vAlign w:val="center"/>
          </w:tcPr>
          <w:p w14:paraId="3EFA90B3"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21</w:t>
            </w:r>
          </w:p>
        </w:tc>
        <w:tc>
          <w:tcPr>
            <w:tcW w:w="567" w:type="dxa"/>
            <w:shd w:val="clear" w:color="auto" w:fill="auto"/>
            <w:vAlign w:val="center"/>
          </w:tcPr>
          <w:p w14:paraId="2D8E0436" w14:textId="5FE84D32"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54</w:t>
            </w:r>
            <w:r w:rsidR="00F24068" w:rsidRPr="00F30805">
              <w:rPr>
                <w:rFonts w:ascii="Arial" w:hAnsi="Arial" w:cs="Arial"/>
                <w:sz w:val="16"/>
                <w:szCs w:val="16"/>
                <w:vertAlign w:val="superscript"/>
              </w:rPr>
              <w:t>g</w:t>
            </w:r>
            <w:r w:rsidRPr="00F30805">
              <w:rPr>
                <w:rFonts w:ascii="Arial" w:hAnsi="Arial" w:cs="Arial"/>
                <w:sz w:val="16"/>
                <w:szCs w:val="16"/>
                <w:vertAlign w:val="superscript"/>
              </w:rPr>
              <w:t>,</w:t>
            </w:r>
            <w:r w:rsidR="00F24068" w:rsidRPr="00F30805">
              <w:rPr>
                <w:rFonts w:ascii="Arial" w:hAnsi="Arial" w:cs="Arial"/>
                <w:sz w:val="16"/>
                <w:szCs w:val="16"/>
                <w:vertAlign w:val="superscript"/>
              </w:rPr>
              <w:t>i</w:t>
            </w:r>
          </w:p>
        </w:tc>
        <w:tc>
          <w:tcPr>
            <w:tcW w:w="708" w:type="dxa"/>
            <w:shd w:val="clear" w:color="auto" w:fill="auto"/>
            <w:vAlign w:val="center"/>
          </w:tcPr>
          <w:p w14:paraId="3C4455A6"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42</w:t>
            </w:r>
          </w:p>
        </w:tc>
        <w:tc>
          <w:tcPr>
            <w:tcW w:w="567" w:type="dxa"/>
            <w:shd w:val="clear" w:color="auto" w:fill="D9D9D9" w:themeFill="background1" w:themeFillShade="D9"/>
            <w:vAlign w:val="center"/>
          </w:tcPr>
          <w:p w14:paraId="24968677"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3DB14FCF" w14:textId="77777777" w:rsidR="00D92430" w:rsidRPr="00F30805" w:rsidRDefault="00D92430" w:rsidP="00A9173E">
            <w:pPr>
              <w:keepLines/>
              <w:spacing w:after="0" w:line="240" w:lineRule="auto"/>
              <w:jc w:val="center"/>
              <w:rPr>
                <w:rFonts w:ascii="Arial" w:hAnsi="Arial" w:cs="Arial"/>
                <w:sz w:val="16"/>
                <w:szCs w:val="16"/>
              </w:rPr>
            </w:pPr>
          </w:p>
        </w:tc>
      </w:tr>
      <w:tr w:rsidR="00D92430" w:rsidRPr="00F30805" w14:paraId="13BCCCF5" w14:textId="77777777" w:rsidTr="001C766D">
        <w:trPr>
          <w:trHeight w:val="278"/>
          <w:jc w:val="center"/>
        </w:trPr>
        <w:tc>
          <w:tcPr>
            <w:tcW w:w="8075" w:type="dxa"/>
            <w:gridSpan w:val="12"/>
            <w:shd w:val="clear" w:color="auto" w:fill="auto"/>
            <w:vAlign w:val="center"/>
          </w:tcPr>
          <w:p w14:paraId="540D0D1C"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b/>
                <w:sz w:val="16"/>
                <w:szCs w:val="16"/>
              </w:rPr>
              <w:t>ACR70 (% of patients)</w:t>
            </w:r>
          </w:p>
        </w:tc>
      </w:tr>
      <w:tr w:rsidR="00D92430" w:rsidRPr="00F30805" w14:paraId="53A7B19F" w14:textId="77777777" w:rsidTr="001C766D">
        <w:trPr>
          <w:trHeight w:val="278"/>
          <w:jc w:val="center"/>
        </w:trPr>
        <w:tc>
          <w:tcPr>
            <w:tcW w:w="1129" w:type="dxa"/>
            <w:shd w:val="clear" w:color="auto" w:fill="auto"/>
            <w:vAlign w:val="center"/>
          </w:tcPr>
          <w:p w14:paraId="4D0F880D"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12</w:t>
            </w:r>
            <w:r w:rsidRPr="00F30805">
              <w:rPr>
                <w:rFonts w:ascii="Arial" w:hAnsi="Arial" w:cs="Arial"/>
                <w:sz w:val="16"/>
                <w:szCs w:val="16"/>
                <w:vertAlign w:val="superscript"/>
              </w:rPr>
              <w:t>a</w:t>
            </w:r>
            <w:r w:rsidRPr="00F30805">
              <w:rPr>
                <w:rFonts w:ascii="Arial" w:hAnsi="Arial" w:cs="Arial"/>
                <w:sz w:val="16"/>
                <w:szCs w:val="16"/>
              </w:rPr>
              <w:t>/14</w:t>
            </w:r>
            <w:r w:rsidRPr="00F30805">
              <w:rPr>
                <w:rFonts w:ascii="Arial" w:hAnsi="Arial" w:cs="Arial"/>
                <w:sz w:val="16"/>
                <w:szCs w:val="16"/>
                <w:vertAlign w:val="superscript"/>
              </w:rPr>
              <w:t>b</w:t>
            </w:r>
          </w:p>
        </w:tc>
        <w:tc>
          <w:tcPr>
            <w:tcW w:w="567" w:type="dxa"/>
            <w:shd w:val="clear" w:color="auto" w:fill="auto"/>
            <w:vAlign w:val="center"/>
          </w:tcPr>
          <w:p w14:paraId="67E34BA3"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14</w:t>
            </w:r>
          </w:p>
        </w:tc>
        <w:tc>
          <w:tcPr>
            <w:tcW w:w="567" w:type="dxa"/>
            <w:shd w:val="clear" w:color="auto" w:fill="auto"/>
            <w:vAlign w:val="center"/>
          </w:tcPr>
          <w:p w14:paraId="15D9A228" w14:textId="6DE6556C"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32</w:t>
            </w:r>
            <w:r w:rsidR="00630BEB" w:rsidRPr="00F30805">
              <w:rPr>
                <w:rFonts w:ascii="Arial" w:hAnsi="Arial" w:cs="Arial"/>
                <w:sz w:val="16"/>
                <w:szCs w:val="16"/>
                <w:vertAlign w:val="superscript"/>
              </w:rPr>
              <w:t>g</w:t>
            </w:r>
          </w:p>
        </w:tc>
        <w:tc>
          <w:tcPr>
            <w:tcW w:w="709" w:type="dxa"/>
            <w:shd w:val="clear" w:color="auto" w:fill="auto"/>
            <w:vAlign w:val="center"/>
          </w:tcPr>
          <w:p w14:paraId="592E8842"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w:t>
            </w:r>
          </w:p>
        </w:tc>
        <w:tc>
          <w:tcPr>
            <w:tcW w:w="709" w:type="dxa"/>
            <w:shd w:val="clear" w:color="auto" w:fill="auto"/>
            <w:vAlign w:val="center"/>
          </w:tcPr>
          <w:p w14:paraId="692E40DD" w14:textId="3867FD68"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23</w:t>
            </w:r>
            <w:r w:rsidR="005510D3" w:rsidRPr="00F30805">
              <w:rPr>
                <w:rFonts w:ascii="Arial" w:hAnsi="Arial" w:cs="Arial"/>
                <w:sz w:val="16"/>
                <w:szCs w:val="16"/>
                <w:vertAlign w:val="superscript"/>
              </w:rPr>
              <w:t>g</w:t>
            </w:r>
          </w:p>
        </w:tc>
        <w:tc>
          <w:tcPr>
            <w:tcW w:w="567" w:type="dxa"/>
            <w:shd w:val="clear" w:color="auto" w:fill="auto"/>
            <w:vAlign w:val="center"/>
          </w:tcPr>
          <w:p w14:paraId="2E7B45EA"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w:t>
            </w:r>
          </w:p>
        </w:tc>
        <w:tc>
          <w:tcPr>
            <w:tcW w:w="709" w:type="dxa"/>
            <w:shd w:val="clear" w:color="auto" w:fill="auto"/>
            <w:vAlign w:val="center"/>
          </w:tcPr>
          <w:p w14:paraId="4A35DD80" w14:textId="08714B49"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21</w:t>
            </w:r>
            <w:r w:rsidR="00D85943" w:rsidRPr="00F30805">
              <w:rPr>
                <w:rFonts w:ascii="Arial" w:hAnsi="Arial" w:cs="Arial"/>
                <w:sz w:val="16"/>
                <w:szCs w:val="16"/>
                <w:vertAlign w:val="superscript"/>
              </w:rPr>
              <w:t>g</w:t>
            </w:r>
          </w:p>
        </w:tc>
        <w:tc>
          <w:tcPr>
            <w:tcW w:w="567" w:type="dxa"/>
            <w:shd w:val="clear" w:color="auto" w:fill="auto"/>
            <w:vAlign w:val="center"/>
          </w:tcPr>
          <w:p w14:paraId="0F7F59E2"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5</w:t>
            </w:r>
          </w:p>
        </w:tc>
        <w:tc>
          <w:tcPr>
            <w:tcW w:w="567" w:type="dxa"/>
            <w:shd w:val="clear" w:color="auto" w:fill="auto"/>
            <w:vAlign w:val="center"/>
          </w:tcPr>
          <w:p w14:paraId="23A7F989" w14:textId="31EBE42D"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25</w:t>
            </w:r>
            <w:r w:rsidR="006D7DB5" w:rsidRPr="00F30805">
              <w:rPr>
                <w:rFonts w:ascii="Arial" w:hAnsi="Arial" w:cs="Arial"/>
                <w:sz w:val="16"/>
                <w:szCs w:val="16"/>
                <w:vertAlign w:val="superscript"/>
              </w:rPr>
              <w:t>g</w:t>
            </w:r>
            <w:r w:rsidRPr="00F30805">
              <w:rPr>
                <w:rFonts w:ascii="Arial" w:hAnsi="Arial" w:cs="Arial"/>
                <w:sz w:val="16"/>
                <w:szCs w:val="16"/>
                <w:vertAlign w:val="superscript"/>
              </w:rPr>
              <w:t>,</w:t>
            </w:r>
            <w:r w:rsidR="009E53DE" w:rsidRPr="00F30805">
              <w:rPr>
                <w:rFonts w:ascii="Arial" w:hAnsi="Arial" w:cs="Arial"/>
                <w:sz w:val="16"/>
                <w:szCs w:val="16"/>
                <w:vertAlign w:val="superscript"/>
              </w:rPr>
              <w:t>i</w:t>
            </w:r>
          </w:p>
        </w:tc>
        <w:tc>
          <w:tcPr>
            <w:tcW w:w="708" w:type="dxa"/>
            <w:shd w:val="clear" w:color="auto" w:fill="auto"/>
            <w:vAlign w:val="center"/>
          </w:tcPr>
          <w:p w14:paraId="7E1CCCB7"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13</w:t>
            </w:r>
          </w:p>
        </w:tc>
        <w:tc>
          <w:tcPr>
            <w:tcW w:w="567" w:type="dxa"/>
            <w:shd w:val="clear" w:color="auto" w:fill="auto"/>
            <w:vAlign w:val="center"/>
          </w:tcPr>
          <w:p w14:paraId="31E6816A"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7</w:t>
            </w:r>
          </w:p>
        </w:tc>
        <w:tc>
          <w:tcPr>
            <w:tcW w:w="709" w:type="dxa"/>
            <w:shd w:val="clear" w:color="auto" w:fill="auto"/>
            <w:vAlign w:val="center"/>
          </w:tcPr>
          <w:p w14:paraId="72FF9FF0"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12</w:t>
            </w:r>
          </w:p>
        </w:tc>
      </w:tr>
      <w:tr w:rsidR="00D92430" w:rsidRPr="00F30805" w14:paraId="62F9A9AC" w14:textId="77777777" w:rsidTr="001C766D">
        <w:trPr>
          <w:trHeight w:val="278"/>
          <w:jc w:val="center"/>
        </w:trPr>
        <w:tc>
          <w:tcPr>
            <w:tcW w:w="1129" w:type="dxa"/>
            <w:shd w:val="clear" w:color="auto" w:fill="auto"/>
            <w:vAlign w:val="center"/>
          </w:tcPr>
          <w:p w14:paraId="63560F47"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24</w:t>
            </w:r>
            <w:r w:rsidRPr="00F30805">
              <w:rPr>
                <w:rFonts w:ascii="Arial" w:hAnsi="Arial" w:cs="Arial"/>
                <w:sz w:val="16"/>
                <w:szCs w:val="16"/>
                <w:vertAlign w:val="superscript"/>
              </w:rPr>
              <w:t>c</w:t>
            </w:r>
            <w:r w:rsidRPr="00F30805">
              <w:rPr>
                <w:rFonts w:ascii="Arial" w:hAnsi="Arial" w:cs="Arial"/>
                <w:sz w:val="16"/>
                <w:szCs w:val="16"/>
              </w:rPr>
              <w:t>/26</w:t>
            </w:r>
            <w:r w:rsidRPr="00F30805">
              <w:rPr>
                <w:rFonts w:ascii="Arial" w:hAnsi="Arial" w:cs="Arial"/>
                <w:sz w:val="16"/>
                <w:szCs w:val="16"/>
                <w:vertAlign w:val="superscript"/>
              </w:rPr>
              <w:t>d</w:t>
            </w:r>
          </w:p>
        </w:tc>
        <w:tc>
          <w:tcPr>
            <w:tcW w:w="567" w:type="dxa"/>
            <w:shd w:val="clear" w:color="auto" w:fill="auto"/>
            <w:vAlign w:val="center"/>
          </w:tcPr>
          <w:p w14:paraId="779513EC"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18</w:t>
            </w:r>
          </w:p>
        </w:tc>
        <w:tc>
          <w:tcPr>
            <w:tcW w:w="567" w:type="dxa"/>
            <w:shd w:val="clear" w:color="auto" w:fill="auto"/>
            <w:vAlign w:val="center"/>
          </w:tcPr>
          <w:p w14:paraId="2D2A2B9D" w14:textId="419D6AB0"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44</w:t>
            </w:r>
            <w:r w:rsidR="00E01FAC" w:rsidRPr="00F30805">
              <w:rPr>
                <w:rFonts w:ascii="Arial" w:hAnsi="Arial" w:cs="Arial"/>
                <w:sz w:val="16"/>
                <w:szCs w:val="16"/>
                <w:vertAlign w:val="superscript"/>
              </w:rPr>
              <w:t>g</w:t>
            </w:r>
          </w:p>
        </w:tc>
        <w:tc>
          <w:tcPr>
            <w:tcW w:w="709" w:type="dxa"/>
            <w:shd w:val="clear" w:color="auto" w:fill="D9D9D9" w:themeFill="background1" w:themeFillShade="D9"/>
            <w:vAlign w:val="center"/>
          </w:tcPr>
          <w:p w14:paraId="45D7E8A5"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0704EE24"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633099A4"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5A831C1E"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auto"/>
            <w:vAlign w:val="center"/>
          </w:tcPr>
          <w:p w14:paraId="72DA882E"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10</w:t>
            </w:r>
          </w:p>
        </w:tc>
        <w:tc>
          <w:tcPr>
            <w:tcW w:w="567" w:type="dxa"/>
            <w:shd w:val="clear" w:color="auto" w:fill="auto"/>
            <w:vAlign w:val="center"/>
          </w:tcPr>
          <w:p w14:paraId="44A75262" w14:textId="1D9DA8C0"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35</w:t>
            </w:r>
            <w:r w:rsidR="00E42D55" w:rsidRPr="00F30805">
              <w:rPr>
                <w:rFonts w:ascii="Arial" w:hAnsi="Arial" w:cs="Arial"/>
                <w:sz w:val="16"/>
                <w:szCs w:val="16"/>
                <w:vertAlign w:val="superscript"/>
              </w:rPr>
              <w:t>g</w:t>
            </w:r>
            <w:r w:rsidRPr="00F30805">
              <w:rPr>
                <w:rFonts w:ascii="Arial" w:hAnsi="Arial" w:cs="Arial"/>
                <w:sz w:val="16"/>
                <w:szCs w:val="16"/>
                <w:vertAlign w:val="superscript"/>
              </w:rPr>
              <w:t>,</w:t>
            </w:r>
            <w:r w:rsidR="00E42D55" w:rsidRPr="00F30805">
              <w:rPr>
                <w:rFonts w:ascii="Arial" w:hAnsi="Arial" w:cs="Arial"/>
                <w:sz w:val="16"/>
                <w:szCs w:val="16"/>
                <w:vertAlign w:val="superscript"/>
              </w:rPr>
              <w:t>i</w:t>
            </w:r>
          </w:p>
        </w:tc>
        <w:tc>
          <w:tcPr>
            <w:tcW w:w="708" w:type="dxa"/>
            <w:shd w:val="clear" w:color="auto" w:fill="auto"/>
            <w:vAlign w:val="center"/>
          </w:tcPr>
          <w:p w14:paraId="6210553D"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23</w:t>
            </w:r>
          </w:p>
        </w:tc>
        <w:tc>
          <w:tcPr>
            <w:tcW w:w="567" w:type="dxa"/>
            <w:shd w:val="clear" w:color="auto" w:fill="D9D9D9" w:themeFill="background1" w:themeFillShade="D9"/>
            <w:vAlign w:val="center"/>
          </w:tcPr>
          <w:p w14:paraId="27A2E49F"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F296AF9" w14:textId="77777777" w:rsidR="00D92430" w:rsidRPr="00F30805" w:rsidRDefault="00D92430" w:rsidP="00A9173E">
            <w:pPr>
              <w:keepLines/>
              <w:spacing w:after="0" w:line="240" w:lineRule="auto"/>
              <w:jc w:val="center"/>
              <w:rPr>
                <w:rFonts w:ascii="Arial" w:hAnsi="Arial" w:cs="Arial"/>
                <w:sz w:val="16"/>
                <w:szCs w:val="16"/>
              </w:rPr>
            </w:pPr>
          </w:p>
        </w:tc>
      </w:tr>
      <w:tr w:rsidR="00D92430" w:rsidRPr="00F30805" w14:paraId="16ECA3F6" w14:textId="77777777" w:rsidTr="001C766D">
        <w:trPr>
          <w:trHeight w:val="278"/>
          <w:jc w:val="center"/>
        </w:trPr>
        <w:tc>
          <w:tcPr>
            <w:tcW w:w="8075" w:type="dxa"/>
            <w:gridSpan w:val="12"/>
            <w:shd w:val="clear" w:color="auto" w:fill="auto"/>
            <w:vAlign w:val="center"/>
          </w:tcPr>
          <w:p w14:paraId="769A4241" w14:textId="77777777" w:rsidR="00D92430" w:rsidRPr="00F30805" w:rsidRDefault="00D92430" w:rsidP="00A9173E">
            <w:pPr>
              <w:keepLines/>
              <w:spacing w:after="0" w:line="240" w:lineRule="auto"/>
              <w:jc w:val="center"/>
              <w:rPr>
                <w:rFonts w:ascii="Arial" w:hAnsi="Arial" w:cs="Arial"/>
                <w:b/>
                <w:sz w:val="16"/>
                <w:szCs w:val="16"/>
              </w:rPr>
            </w:pPr>
            <w:r w:rsidRPr="00F30805">
              <w:rPr>
                <w:rFonts w:ascii="Arial" w:hAnsi="Arial" w:cs="Arial"/>
                <w:b/>
                <w:sz w:val="16"/>
                <w:szCs w:val="16"/>
              </w:rPr>
              <w:t>LDA DAS28-CRP ≤3.2 (% of patients)</w:t>
            </w:r>
          </w:p>
        </w:tc>
      </w:tr>
      <w:tr w:rsidR="00D92430" w:rsidRPr="00F30805" w14:paraId="1617A168" w14:textId="77777777" w:rsidTr="001C766D">
        <w:trPr>
          <w:trHeight w:val="278"/>
          <w:jc w:val="center"/>
        </w:trPr>
        <w:tc>
          <w:tcPr>
            <w:tcW w:w="1129" w:type="dxa"/>
            <w:shd w:val="clear" w:color="auto" w:fill="auto"/>
            <w:vAlign w:val="center"/>
          </w:tcPr>
          <w:p w14:paraId="0F5AE106"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12</w:t>
            </w:r>
            <w:r w:rsidRPr="00F30805">
              <w:rPr>
                <w:rFonts w:ascii="Arial" w:hAnsi="Arial" w:cs="Arial"/>
                <w:sz w:val="16"/>
                <w:szCs w:val="16"/>
                <w:vertAlign w:val="superscript"/>
              </w:rPr>
              <w:t>a</w:t>
            </w:r>
            <w:r w:rsidRPr="00F30805">
              <w:rPr>
                <w:rFonts w:ascii="Arial" w:hAnsi="Arial" w:cs="Arial"/>
                <w:sz w:val="16"/>
                <w:szCs w:val="16"/>
              </w:rPr>
              <w:t>/14</w:t>
            </w:r>
            <w:r w:rsidRPr="00F30805">
              <w:rPr>
                <w:rFonts w:ascii="Arial" w:hAnsi="Arial" w:cs="Arial"/>
                <w:sz w:val="16"/>
                <w:szCs w:val="16"/>
                <w:vertAlign w:val="superscript"/>
              </w:rPr>
              <w:t>b</w:t>
            </w:r>
          </w:p>
        </w:tc>
        <w:tc>
          <w:tcPr>
            <w:tcW w:w="567" w:type="dxa"/>
            <w:shd w:val="clear" w:color="auto" w:fill="auto"/>
            <w:vAlign w:val="center"/>
          </w:tcPr>
          <w:p w14:paraId="2C774FB0"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28</w:t>
            </w:r>
          </w:p>
        </w:tc>
        <w:tc>
          <w:tcPr>
            <w:tcW w:w="567" w:type="dxa"/>
            <w:shd w:val="clear" w:color="auto" w:fill="auto"/>
            <w:vAlign w:val="center"/>
          </w:tcPr>
          <w:p w14:paraId="7838E8BA" w14:textId="445F947B"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53</w:t>
            </w:r>
            <w:r w:rsidR="00630BEB" w:rsidRPr="00F30805">
              <w:rPr>
                <w:rFonts w:ascii="Arial" w:hAnsi="Arial" w:cs="Arial"/>
                <w:sz w:val="16"/>
                <w:szCs w:val="16"/>
                <w:vertAlign w:val="superscript"/>
              </w:rPr>
              <w:t>f</w:t>
            </w:r>
          </w:p>
        </w:tc>
        <w:tc>
          <w:tcPr>
            <w:tcW w:w="709" w:type="dxa"/>
            <w:shd w:val="clear" w:color="auto" w:fill="auto"/>
            <w:vAlign w:val="center"/>
          </w:tcPr>
          <w:p w14:paraId="3A4526F3"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19</w:t>
            </w:r>
          </w:p>
        </w:tc>
        <w:tc>
          <w:tcPr>
            <w:tcW w:w="709" w:type="dxa"/>
            <w:shd w:val="clear" w:color="auto" w:fill="auto"/>
            <w:vAlign w:val="center"/>
          </w:tcPr>
          <w:p w14:paraId="09F40A07"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45</w:t>
            </w:r>
            <w:r w:rsidRPr="00F30805">
              <w:rPr>
                <w:rFonts w:ascii="Arial" w:hAnsi="Arial" w:cs="Arial"/>
                <w:sz w:val="16"/>
                <w:szCs w:val="16"/>
                <w:vertAlign w:val="superscript"/>
              </w:rPr>
              <w:t>e</w:t>
            </w:r>
          </w:p>
        </w:tc>
        <w:tc>
          <w:tcPr>
            <w:tcW w:w="567" w:type="dxa"/>
            <w:shd w:val="clear" w:color="auto" w:fill="auto"/>
            <w:vAlign w:val="center"/>
          </w:tcPr>
          <w:p w14:paraId="72316889"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17</w:t>
            </w:r>
          </w:p>
        </w:tc>
        <w:tc>
          <w:tcPr>
            <w:tcW w:w="709" w:type="dxa"/>
            <w:shd w:val="clear" w:color="auto" w:fill="auto"/>
            <w:vAlign w:val="center"/>
          </w:tcPr>
          <w:p w14:paraId="6C84403C"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48</w:t>
            </w:r>
            <w:r w:rsidRPr="00F30805">
              <w:rPr>
                <w:rFonts w:ascii="Arial" w:hAnsi="Arial" w:cs="Arial"/>
                <w:sz w:val="16"/>
                <w:szCs w:val="16"/>
                <w:vertAlign w:val="superscript"/>
              </w:rPr>
              <w:t>e</w:t>
            </w:r>
          </w:p>
        </w:tc>
        <w:tc>
          <w:tcPr>
            <w:tcW w:w="567" w:type="dxa"/>
            <w:shd w:val="clear" w:color="auto" w:fill="auto"/>
            <w:vAlign w:val="center"/>
          </w:tcPr>
          <w:p w14:paraId="28A1305D"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14</w:t>
            </w:r>
          </w:p>
        </w:tc>
        <w:tc>
          <w:tcPr>
            <w:tcW w:w="567" w:type="dxa"/>
            <w:shd w:val="clear" w:color="auto" w:fill="auto"/>
            <w:vAlign w:val="center"/>
          </w:tcPr>
          <w:p w14:paraId="4AC92F49" w14:textId="21D01E82"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45</w:t>
            </w:r>
            <w:r w:rsidRPr="00F30805">
              <w:rPr>
                <w:rFonts w:ascii="Arial" w:hAnsi="Arial" w:cs="Arial"/>
                <w:sz w:val="16"/>
                <w:szCs w:val="16"/>
                <w:vertAlign w:val="superscript"/>
              </w:rPr>
              <w:t>e,</w:t>
            </w:r>
            <w:r w:rsidR="009E53DE" w:rsidRPr="00F30805">
              <w:rPr>
                <w:rFonts w:ascii="Arial" w:hAnsi="Arial" w:cs="Arial"/>
                <w:sz w:val="16"/>
                <w:szCs w:val="16"/>
                <w:vertAlign w:val="superscript"/>
              </w:rPr>
              <w:t>i</w:t>
            </w:r>
          </w:p>
        </w:tc>
        <w:tc>
          <w:tcPr>
            <w:tcW w:w="708" w:type="dxa"/>
            <w:shd w:val="clear" w:color="auto" w:fill="auto"/>
            <w:vAlign w:val="center"/>
          </w:tcPr>
          <w:p w14:paraId="2327D2A5"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29</w:t>
            </w:r>
          </w:p>
        </w:tc>
        <w:tc>
          <w:tcPr>
            <w:tcW w:w="567" w:type="dxa"/>
            <w:shd w:val="clear" w:color="auto" w:fill="auto"/>
            <w:vAlign w:val="center"/>
          </w:tcPr>
          <w:p w14:paraId="49C8D696"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14</w:t>
            </w:r>
          </w:p>
        </w:tc>
        <w:tc>
          <w:tcPr>
            <w:tcW w:w="709" w:type="dxa"/>
            <w:shd w:val="clear" w:color="auto" w:fill="auto"/>
            <w:vAlign w:val="center"/>
          </w:tcPr>
          <w:p w14:paraId="38DD1FBE"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43</w:t>
            </w:r>
            <w:r w:rsidRPr="00F30805">
              <w:rPr>
                <w:rFonts w:ascii="Arial" w:hAnsi="Arial" w:cs="Arial"/>
                <w:sz w:val="16"/>
                <w:szCs w:val="16"/>
                <w:vertAlign w:val="superscript"/>
              </w:rPr>
              <w:t>e</w:t>
            </w:r>
          </w:p>
        </w:tc>
      </w:tr>
      <w:tr w:rsidR="00D92430" w:rsidRPr="00F30805" w14:paraId="09E86465" w14:textId="77777777" w:rsidTr="001C766D">
        <w:trPr>
          <w:trHeight w:val="278"/>
          <w:jc w:val="center"/>
        </w:trPr>
        <w:tc>
          <w:tcPr>
            <w:tcW w:w="1129" w:type="dxa"/>
            <w:shd w:val="clear" w:color="auto" w:fill="auto"/>
            <w:vAlign w:val="center"/>
          </w:tcPr>
          <w:p w14:paraId="2397BD0B"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24</w:t>
            </w:r>
            <w:r w:rsidRPr="00F30805">
              <w:rPr>
                <w:rFonts w:ascii="Arial" w:hAnsi="Arial" w:cs="Arial"/>
                <w:sz w:val="16"/>
                <w:szCs w:val="16"/>
                <w:vertAlign w:val="superscript"/>
              </w:rPr>
              <w:t>c</w:t>
            </w:r>
            <w:r w:rsidRPr="00F30805">
              <w:rPr>
                <w:rFonts w:ascii="Arial" w:hAnsi="Arial" w:cs="Arial"/>
                <w:sz w:val="16"/>
                <w:szCs w:val="16"/>
              </w:rPr>
              <w:t>/26</w:t>
            </w:r>
            <w:r w:rsidRPr="00F30805">
              <w:rPr>
                <w:rFonts w:ascii="Arial" w:hAnsi="Arial" w:cs="Arial"/>
                <w:sz w:val="16"/>
                <w:szCs w:val="16"/>
                <w:vertAlign w:val="superscript"/>
              </w:rPr>
              <w:t>d</w:t>
            </w:r>
          </w:p>
        </w:tc>
        <w:tc>
          <w:tcPr>
            <w:tcW w:w="567" w:type="dxa"/>
            <w:shd w:val="clear" w:color="auto" w:fill="auto"/>
            <w:vAlign w:val="center"/>
          </w:tcPr>
          <w:p w14:paraId="0F3C138F"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32</w:t>
            </w:r>
          </w:p>
        </w:tc>
        <w:tc>
          <w:tcPr>
            <w:tcW w:w="567" w:type="dxa"/>
            <w:shd w:val="clear" w:color="auto" w:fill="auto"/>
            <w:vAlign w:val="center"/>
          </w:tcPr>
          <w:p w14:paraId="0EC71025" w14:textId="482F2350"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60</w:t>
            </w:r>
            <w:r w:rsidR="00E01FAC" w:rsidRPr="00F30805">
              <w:rPr>
                <w:rFonts w:ascii="Arial" w:hAnsi="Arial" w:cs="Arial"/>
                <w:sz w:val="16"/>
                <w:szCs w:val="16"/>
                <w:vertAlign w:val="superscript"/>
              </w:rPr>
              <w:t>g</w:t>
            </w:r>
          </w:p>
        </w:tc>
        <w:tc>
          <w:tcPr>
            <w:tcW w:w="709" w:type="dxa"/>
            <w:shd w:val="clear" w:color="auto" w:fill="D9D9D9" w:themeFill="background1" w:themeFillShade="D9"/>
            <w:vAlign w:val="center"/>
          </w:tcPr>
          <w:p w14:paraId="05C321F4"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9FA3E32"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030D29E"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C0CB1B1"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auto"/>
            <w:vAlign w:val="center"/>
          </w:tcPr>
          <w:p w14:paraId="3E09B948"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18</w:t>
            </w:r>
          </w:p>
        </w:tc>
        <w:tc>
          <w:tcPr>
            <w:tcW w:w="567" w:type="dxa"/>
            <w:shd w:val="clear" w:color="auto" w:fill="auto"/>
            <w:vAlign w:val="center"/>
          </w:tcPr>
          <w:p w14:paraId="1615C943" w14:textId="3B035AE2"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55</w:t>
            </w:r>
            <w:r w:rsidR="00990204" w:rsidRPr="00F30805">
              <w:rPr>
                <w:rFonts w:ascii="Arial" w:hAnsi="Arial" w:cs="Arial"/>
                <w:sz w:val="16"/>
                <w:szCs w:val="16"/>
                <w:vertAlign w:val="superscript"/>
              </w:rPr>
              <w:t>g</w:t>
            </w:r>
            <w:r w:rsidRPr="00F30805">
              <w:rPr>
                <w:rFonts w:ascii="Arial" w:hAnsi="Arial" w:cs="Arial"/>
                <w:sz w:val="16"/>
                <w:szCs w:val="16"/>
                <w:vertAlign w:val="superscript"/>
              </w:rPr>
              <w:t>,</w:t>
            </w:r>
            <w:r w:rsidR="00990204" w:rsidRPr="00F30805">
              <w:rPr>
                <w:rFonts w:ascii="Arial" w:hAnsi="Arial" w:cs="Arial"/>
                <w:sz w:val="16"/>
                <w:szCs w:val="16"/>
                <w:vertAlign w:val="superscript"/>
              </w:rPr>
              <w:t>i</w:t>
            </w:r>
          </w:p>
        </w:tc>
        <w:tc>
          <w:tcPr>
            <w:tcW w:w="708" w:type="dxa"/>
            <w:shd w:val="clear" w:color="auto" w:fill="auto"/>
            <w:vAlign w:val="center"/>
          </w:tcPr>
          <w:p w14:paraId="5CD6DB77"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39</w:t>
            </w:r>
          </w:p>
        </w:tc>
        <w:tc>
          <w:tcPr>
            <w:tcW w:w="567" w:type="dxa"/>
            <w:shd w:val="clear" w:color="auto" w:fill="D9D9D9" w:themeFill="background1" w:themeFillShade="D9"/>
            <w:vAlign w:val="center"/>
          </w:tcPr>
          <w:p w14:paraId="39AE530D"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FB4E5FF" w14:textId="77777777" w:rsidR="00D92430" w:rsidRPr="00F30805" w:rsidRDefault="00D92430" w:rsidP="00A9173E">
            <w:pPr>
              <w:keepLines/>
              <w:spacing w:after="0" w:line="240" w:lineRule="auto"/>
              <w:jc w:val="center"/>
              <w:rPr>
                <w:rFonts w:ascii="Arial" w:hAnsi="Arial" w:cs="Arial"/>
                <w:sz w:val="16"/>
                <w:szCs w:val="16"/>
              </w:rPr>
            </w:pPr>
          </w:p>
        </w:tc>
      </w:tr>
      <w:tr w:rsidR="00D92430" w:rsidRPr="00F30805" w14:paraId="171D71D5" w14:textId="77777777" w:rsidTr="001C766D">
        <w:trPr>
          <w:trHeight w:val="278"/>
          <w:jc w:val="center"/>
        </w:trPr>
        <w:tc>
          <w:tcPr>
            <w:tcW w:w="8075" w:type="dxa"/>
            <w:gridSpan w:val="12"/>
            <w:shd w:val="clear" w:color="auto" w:fill="auto"/>
            <w:vAlign w:val="center"/>
          </w:tcPr>
          <w:p w14:paraId="6ABAB0CC"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b/>
                <w:sz w:val="16"/>
                <w:szCs w:val="16"/>
              </w:rPr>
              <w:t>CR DAS28-CRP &lt;2.6 (% of patients)</w:t>
            </w:r>
          </w:p>
        </w:tc>
      </w:tr>
      <w:tr w:rsidR="00D92430" w:rsidRPr="00F30805" w14:paraId="3FA79F78" w14:textId="77777777" w:rsidTr="001C766D">
        <w:trPr>
          <w:trHeight w:val="278"/>
          <w:jc w:val="center"/>
        </w:trPr>
        <w:tc>
          <w:tcPr>
            <w:tcW w:w="1129" w:type="dxa"/>
            <w:shd w:val="clear" w:color="auto" w:fill="auto"/>
            <w:vAlign w:val="center"/>
          </w:tcPr>
          <w:p w14:paraId="5FA4A52F"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12</w:t>
            </w:r>
            <w:r w:rsidRPr="00F30805">
              <w:rPr>
                <w:rFonts w:ascii="Arial" w:hAnsi="Arial" w:cs="Arial"/>
                <w:sz w:val="16"/>
                <w:szCs w:val="16"/>
                <w:vertAlign w:val="superscript"/>
              </w:rPr>
              <w:t>a</w:t>
            </w:r>
            <w:r w:rsidRPr="00F30805">
              <w:rPr>
                <w:rFonts w:ascii="Arial" w:hAnsi="Arial" w:cs="Arial"/>
                <w:sz w:val="16"/>
                <w:szCs w:val="16"/>
              </w:rPr>
              <w:t>/14</w:t>
            </w:r>
            <w:r w:rsidRPr="00F30805">
              <w:rPr>
                <w:rFonts w:ascii="Arial" w:hAnsi="Arial" w:cs="Arial"/>
                <w:sz w:val="16"/>
                <w:szCs w:val="16"/>
                <w:vertAlign w:val="superscript"/>
              </w:rPr>
              <w:t>b</w:t>
            </w:r>
          </w:p>
        </w:tc>
        <w:tc>
          <w:tcPr>
            <w:tcW w:w="567" w:type="dxa"/>
            <w:shd w:val="clear" w:color="auto" w:fill="auto"/>
            <w:vAlign w:val="center"/>
          </w:tcPr>
          <w:p w14:paraId="4A61EDBD"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14</w:t>
            </w:r>
          </w:p>
        </w:tc>
        <w:tc>
          <w:tcPr>
            <w:tcW w:w="567" w:type="dxa"/>
            <w:shd w:val="clear" w:color="auto" w:fill="auto"/>
            <w:vAlign w:val="center"/>
          </w:tcPr>
          <w:p w14:paraId="29EA5A8E" w14:textId="5D1CAE9B" w:rsidR="00D92430" w:rsidRPr="00F30805" w:rsidRDefault="009E53DE" w:rsidP="00A9173E">
            <w:pPr>
              <w:keepLines/>
              <w:spacing w:after="0" w:line="240" w:lineRule="auto"/>
              <w:jc w:val="center"/>
              <w:rPr>
                <w:rFonts w:ascii="Arial" w:hAnsi="Arial" w:cs="Arial"/>
                <w:sz w:val="16"/>
                <w:szCs w:val="16"/>
              </w:rPr>
            </w:pPr>
            <w:r w:rsidRPr="00F30805">
              <w:rPr>
                <w:rFonts w:ascii="Arial" w:hAnsi="Arial" w:cs="Arial"/>
                <w:sz w:val="16"/>
                <w:szCs w:val="16"/>
              </w:rPr>
              <w:t>36</w:t>
            </w:r>
            <w:r w:rsidRPr="00F30805">
              <w:rPr>
                <w:rFonts w:ascii="Arial" w:hAnsi="Arial" w:cs="Arial"/>
                <w:sz w:val="16"/>
                <w:szCs w:val="16"/>
                <w:vertAlign w:val="superscript"/>
              </w:rPr>
              <w:t>g</w:t>
            </w:r>
          </w:p>
        </w:tc>
        <w:tc>
          <w:tcPr>
            <w:tcW w:w="709" w:type="dxa"/>
            <w:shd w:val="clear" w:color="auto" w:fill="auto"/>
            <w:vAlign w:val="center"/>
          </w:tcPr>
          <w:p w14:paraId="1EA0CCD5"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8</w:t>
            </w:r>
          </w:p>
        </w:tc>
        <w:tc>
          <w:tcPr>
            <w:tcW w:w="709" w:type="dxa"/>
            <w:shd w:val="clear" w:color="auto" w:fill="auto"/>
            <w:vAlign w:val="center"/>
          </w:tcPr>
          <w:p w14:paraId="19DED9A7"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28</w:t>
            </w:r>
            <w:r w:rsidRPr="00F30805">
              <w:rPr>
                <w:rFonts w:ascii="Arial" w:hAnsi="Arial" w:cs="Arial"/>
                <w:sz w:val="16"/>
                <w:szCs w:val="16"/>
                <w:vertAlign w:val="superscript"/>
              </w:rPr>
              <w:t>e</w:t>
            </w:r>
          </w:p>
        </w:tc>
        <w:tc>
          <w:tcPr>
            <w:tcW w:w="567" w:type="dxa"/>
            <w:shd w:val="clear" w:color="auto" w:fill="auto"/>
            <w:vAlign w:val="center"/>
          </w:tcPr>
          <w:p w14:paraId="1550A015"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10</w:t>
            </w:r>
          </w:p>
        </w:tc>
        <w:tc>
          <w:tcPr>
            <w:tcW w:w="709" w:type="dxa"/>
            <w:shd w:val="clear" w:color="auto" w:fill="auto"/>
            <w:vAlign w:val="center"/>
          </w:tcPr>
          <w:p w14:paraId="5119F2E3"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31</w:t>
            </w:r>
            <w:r w:rsidRPr="00F30805">
              <w:rPr>
                <w:rFonts w:ascii="Arial" w:hAnsi="Arial" w:cs="Arial"/>
                <w:sz w:val="16"/>
                <w:szCs w:val="16"/>
                <w:vertAlign w:val="superscript"/>
              </w:rPr>
              <w:t>e</w:t>
            </w:r>
          </w:p>
        </w:tc>
        <w:tc>
          <w:tcPr>
            <w:tcW w:w="567" w:type="dxa"/>
            <w:shd w:val="clear" w:color="auto" w:fill="auto"/>
            <w:vAlign w:val="center"/>
          </w:tcPr>
          <w:p w14:paraId="6B87BD36"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6</w:t>
            </w:r>
          </w:p>
        </w:tc>
        <w:tc>
          <w:tcPr>
            <w:tcW w:w="567" w:type="dxa"/>
            <w:shd w:val="clear" w:color="auto" w:fill="auto"/>
            <w:vAlign w:val="center"/>
          </w:tcPr>
          <w:p w14:paraId="5172BD26" w14:textId="3063466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29</w:t>
            </w:r>
            <w:r w:rsidRPr="00F30805">
              <w:rPr>
                <w:rFonts w:ascii="Arial" w:hAnsi="Arial" w:cs="Arial"/>
                <w:sz w:val="16"/>
                <w:szCs w:val="16"/>
                <w:vertAlign w:val="superscript"/>
              </w:rPr>
              <w:t>e,</w:t>
            </w:r>
            <w:r w:rsidR="00D24CAA" w:rsidRPr="00F30805">
              <w:rPr>
                <w:rFonts w:ascii="Arial" w:hAnsi="Arial" w:cs="Arial"/>
                <w:sz w:val="16"/>
                <w:szCs w:val="16"/>
                <w:vertAlign w:val="superscript"/>
              </w:rPr>
              <w:t>i</w:t>
            </w:r>
          </w:p>
        </w:tc>
        <w:tc>
          <w:tcPr>
            <w:tcW w:w="708" w:type="dxa"/>
            <w:shd w:val="clear" w:color="auto" w:fill="auto"/>
            <w:vAlign w:val="center"/>
          </w:tcPr>
          <w:p w14:paraId="39CF3073"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18</w:t>
            </w:r>
          </w:p>
        </w:tc>
        <w:tc>
          <w:tcPr>
            <w:tcW w:w="567" w:type="dxa"/>
            <w:shd w:val="clear" w:color="auto" w:fill="auto"/>
            <w:vAlign w:val="center"/>
          </w:tcPr>
          <w:p w14:paraId="5C8276DB"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9</w:t>
            </w:r>
          </w:p>
        </w:tc>
        <w:tc>
          <w:tcPr>
            <w:tcW w:w="709" w:type="dxa"/>
            <w:shd w:val="clear" w:color="auto" w:fill="auto"/>
            <w:vAlign w:val="center"/>
          </w:tcPr>
          <w:p w14:paraId="1416898D" w14:textId="6B90ABF1"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29</w:t>
            </w:r>
            <w:r w:rsidR="004E1E4C" w:rsidRPr="00F30805">
              <w:rPr>
                <w:rFonts w:ascii="Arial" w:hAnsi="Arial" w:cs="Arial"/>
                <w:sz w:val="16"/>
                <w:szCs w:val="16"/>
                <w:vertAlign w:val="superscript"/>
              </w:rPr>
              <w:t>g</w:t>
            </w:r>
          </w:p>
        </w:tc>
      </w:tr>
      <w:tr w:rsidR="00D92430" w:rsidRPr="00F30805" w14:paraId="4EA1344A" w14:textId="77777777" w:rsidTr="001C766D">
        <w:trPr>
          <w:trHeight w:val="278"/>
          <w:jc w:val="center"/>
        </w:trPr>
        <w:tc>
          <w:tcPr>
            <w:tcW w:w="1129" w:type="dxa"/>
            <w:shd w:val="clear" w:color="auto" w:fill="auto"/>
            <w:vAlign w:val="center"/>
          </w:tcPr>
          <w:p w14:paraId="1C9D8FBE" w14:textId="77777777" w:rsidR="00D92430" w:rsidRPr="00F30805" w:rsidRDefault="00D92430" w:rsidP="00A9173E">
            <w:pPr>
              <w:keepLines/>
              <w:spacing w:after="0" w:line="240" w:lineRule="auto"/>
              <w:rPr>
                <w:rFonts w:ascii="Arial" w:hAnsi="Arial" w:cs="Arial"/>
                <w:sz w:val="16"/>
                <w:szCs w:val="16"/>
              </w:rPr>
            </w:pPr>
            <w:r w:rsidRPr="00F30805">
              <w:rPr>
                <w:rFonts w:ascii="Arial" w:hAnsi="Arial" w:cs="Arial"/>
                <w:sz w:val="16"/>
                <w:szCs w:val="16"/>
              </w:rPr>
              <w:t>24</w:t>
            </w:r>
            <w:r w:rsidRPr="00F30805">
              <w:rPr>
                <w:rFonts w:ascii="Arial" w:hAnsi="Arial" w:cs="Arial"/>
                <w:sz w:val="16"/>
                <w:szCs w:val="16"/>
                <w:vertAlign w:val="superscript"/>
              </w:rPr>
              <w:t>c</w:t>
            </w:r>
            <w:r w:rsidRPr="00F30805">
              <w:rPr>
                <w:rFonts w:ascii="Arial" w:hAnsi="Arial" w:cs="Arial"/>
                <w:sz w:val="16"/>
                <w:szCs w:val="16"/>
              </w:rPr>
              <w:t>/26</w:t>
            </w:r>
            <w:r w:rsidRPr="00F30805">
              <w:rPr>
                <w:rFonts w:ascii="Arial" w:hAnsi="Arial" w:cs="Arial"/>
                <w:sz w:val="16"/>
                <w:szCs w:val="16"/>
                <w:vertAlign w:val="superscript"/>
              </w:rPr>
              <w:t>d</w:t>
            </w:r>
          </w:p>
        </w:tc>
        <w:tc>
          <w:tcPr>
            <w:tcW w:w="567" w:type="dxa"/>
            <w:shd w:val="clear" w:color="auto" w:fill="auto"/>
            <w:vAlign w:val="center"/>
          </w:tcPr>
          <w:p w14:paraId="63A03AFF"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18</w:t>
            </w:r>
          </w:p>
        </w:tc>
        <w:tc>
          <w:tcPr>
            <w:tcW w:w="567" w:type="dxa"/>
            <w:shd w:val="clear" w:color="auto" w:fill="auto"/>
            <w:vAlign w:val="center"/>
          </w:tcPr>
          <w:p w14:paraId="150433B6" w14:textId="2821242E"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48</w:t>
            </w:r>
            <w:r w:rsidR="00D8218F" w:rsidRPr="00F30805">
              <w:rPr>
                <w:rFonts w:ascii="Arial" w:hAnsi="Arial" w:cs="Arial"/>
                <w:sz w:val="16"/>
                <w:szCs w:val="16"/>
                <w:vertAlign w:val="superscript"/>
              </w:rPr>
              <w:t>f</w:t>
            </w:r>
          </w:p>
        </w:tc>
        <w:tc>
          <w:tcPr>
            <w:tcW w:w="709" w:type="dxa"/>
            <w:shd w:val="clear" w:color="auto" w:fill="D9D9D9" w:themeFill="background1" w:themeFillShade="D9"/>
            <w:vAlign w:val="center"/>
          </w:tcPr>
          <w:p w14:paraId="5D40963F"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1D0D385"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134F469F"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355092B" w14:textId="77777777" w:rsidR="00D92430" w:rsidRPr="00F30805" w:rsidRDefault="00D92430" w:rsidP="00A9173E">
            <w:pPr>
              <w:keepLines/>
              <w:spacing w:after="0" w:line="240" w:lineRule="auto"/>
              <w:jc w:val="center"/>
              <w:rPr>
                <w:rFonts w:ascii="Arial" w:hAnsi="Arial" w:cs="Arial"/>
                <w:sz w:val="16"/>
                <w:szCs w:val="16"/>
              </w:rPr>
            </w:pPr>
          </w:p>
        </w:tc>
        <w:tc>
          <w:tcPr>
            <w:tcW w:w="567" w:type="dxa"/>
            <w:shd w:val="clear" w:color="auto" w:fill="auto"/>
            <w:vAlign w:val="center"/>
          </w:tcPr>
          <w:p w14:paraId="504D946E"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9</w:t>
            </w:r>
          </w:p>
        </w:tc>
        <w:tc>
          <w:tcPr>
            <w:tcW w:w="567" w:type="dxa"/>
            <w:shd w:val="clear" w:color="auto" w:fill="auto"/>
            <w:vAlign w:val="center"/>
          </w:tcPr>
          <w:p w14:paraId="4B4429AF" w14:textId="3091F125"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41</w:t>
            </w:r>
            <w:r w:rsidR="00422CC1" w:rsidRPr="00F30805">
              <w:rPr>
                <w:rFonts w:ascii="Arial" w:hAnsi="Arial" w:cs="Arial"/>
                <w:sz w:val="16"/>
                <w:szCs w:val="16"/>
                <w:vertAlign w:val="superscript"/>
              </w:rPr>
              <w:t>g</w:t>
            </w:r>
            <w:r w:rsidRPr="00F30805">
              <w:rPr>
                <w:rFonts w:ascii="Arial" w:hAnsi="Arial" w:cs="Arial"/>
                <w:sz w:val="16"/>
                <w:szCs w:val="16"/>
                <w:vertAlign w:val="superscript"/>
              </w:rPr>
              <w:t>,</w:t>
            </w:r>
            <w:r w:rsidR="00D24CAA" w:rsidRPr="00F30805">
              <w:rPr>
                <w:rFonts w:ascii="Arial" w:hAnsi="Arial" w:cs="Arial"/>
                <w:sz w:val="16"/>
                <w:szCs w:val="16"/>
                <w:vertAlign w:val="superscript"/>
              </w:rPr>
              <w:t>i</w:t>
            </w:r>
          </w:p>
        </w:tc>
        <w:tc>
          <w:tcPr>
            <w:tcW w:w="708" w:type="dxa"/>
            <w:shd w:val="clear" w:color="auto" w:fill="auto"/>
            <w:vAlign w:val="center"/>
          </w:tcPr>
          <w:p w14:paraId="110003BB" w14:textId="77777777" w:rsidR="00D92430" w:rsidRPr="00F30805" w:rsidRDefault="00D92430" w:rsidP="00A9173E">
            <w:pPr>
              <w:keepLines/>
              <w:spacing w:after="0" w:line="240" w:lineRule="auto"/>
              <w:jc w:val="center"/>
              <w:rPr>
                <w:rFonts w:ascii="Arial" w:hAnsi="Arial" w:cs="Arial"/>
                <w:sz w:val="16"/>
                <w:szCs w:val="16"/>
              </w:rPr>
            </w:pPr>
            <w:r w:rsidRPr="00F30805">
              <w:rPr>
                <w:rFonts w:ascii="Arial" w:hAnsi="Arial" w:cs="Arial"/>
                <w:sz w:val="16"/>
                <w:szCs w:val="16"/>
              </w:rPr>
              <w:t>27</w:t>
            </w:r>
          </w:p>
        </w:tc>
        <w:tc>
          <w:tcPr>
            <w:tcW w:w="567" w:type="dxa"/>
            <w:shd w:val="clear" w:color="auto" w:fill="D9D9D9" w:themeFill="background1" w:themeFillShade="D9"/>
            <w:vAlign w:val="center"/>
          </w:tcPr>
          <w:p w14:paraId="489BD8A7" w14:textId="77777777" w:rsidR="00D92430" w:rsidRPr="00F30805"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DD34F98" w14:textId="77777777" w:rsidR="00D92430" w:rsidRPr="00F30805" w:rsidRDefault="00D92430" w:rsidP="00A9173E">
            <w:pPr>
              <w:keepLines/>
              <w:spacing w:after="0" w:line="240" w:lineRule="auto"/>
              <w:jc w:val="center"/>
              <w:rPr>
                <w:rFonts w:ascii="Arial" w:hAnsi="Arial" w:cs="Arial"/>
                <w:sz w:val="16"/>
                <w:szCs w:val="16"/>
              </w:rPr>
            </w:pPr>
          </w:p>
        </w:tc>
      </w:tr>
      <w:tr w:rsidR="00D92430" w:rsidRPr="00F30805" w14:paraId="18ED6102" w14:textId="77777777" w:rsidTr="001C766D">
        <w:trPr>
          <w:trHeight w:val="278"/>
          <w:jc w:val="center"/>
        </w:trPr>
        <w:tc>
          <w:tcPr>
            <w:tcW w:w="8075" w:type="dxa"/>
            <w:gridSpan w:val="12"/>
            <w:vAlign w:val="center"/>
          </w:tcPr>
          <w:p w14:paraId="403DAB9C"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b/>
                <w:sz w:val="16"/>
                <w:szCs w:val="16"/>
              </w:rPr>
              <w:t>SDAI ≤3.3 (% of patients)</w:t>
            </w:r>
          </w:p>
        </w:tc>
      </w:tr>
      <w:tr w:rsidR="00D92430" w:rsidRPr="00F30805" w14:paraId="37854513" w14:textId="77777777" w:rsidTr="001C766D">
        <w:trPr>
          <w:trHeight w:val="278"/>
          <w:jc w:val="center"/>
        </w:trPr>
        <w:tc>
          <w:tcPr>
            <w:tcW w:w="1129" w:type="dxa"/>
            <w:vAlign w:val="center"/>
          </w:tcPr>
          <w:p w14:paraId="65AF3B54" w14:textId="77777777" w:rsidR="00D92430" w:rsidRPr="00F30805" w:rsidRDefault="00D92430" w:rsidP="00A9173E">
            <w:pPr>
              <w:spacing w:after="0" w:line="240" w:lineRule="auto"/>
              <w:rPr>
                <w:rFonts w:ascii="Arial" w:hAnsi="Arial" w:cs="Arial"/>
                <w:sz w:val="16"/>
                <w:szCs w:val="16"/>
              </w:rPr>
            </w:pPr>
            <w:r w:rsidRPr="00F30805">
              <w:rPr>
                <w:rFonts w:ascii="Arial" w:hAnsi="Arial" w:cs="Arial"/>
                <w:sz w:val="16"/>
                <w:szCs w:val="16"/>
              </w:rPr>
              <w:t>12</w:t>
            </w:r>
            <w:r w:rsidRPr="00F30805">
              <w:rPr>
                <w:rFonts w:ascii="Arial" w:hAnsi="Arial" w:cs="Arial"/>
                <w:sz w:val="16"/>
                <w:szCs w:val="16"/>
                <w:vertAlign w:val="superscript"/>
              </w:rPr>
              <w:t>a</w:t>
            </w:r>
            <w:r w:rsidRPr="00F30805">
              <w:rPr>
                <w:rFonts w:ascii="Arial" w:hAnsi="Arial" w:cs="Arial"/>
                <w:sz w:val="16"/>
                <w:szCs w:val="16"/>
              </w:rPr>
              <w:t>/14</w:t>
            </w:r>
            <w:r w:rsidRPr="00F30805">
              <w:rPr>
                <w:rFonts w:ascii="Arial" w:hAnsi="Arial" w:cs="Arial"/>
                <w:sz w:val="16"/>
                <w:szCs w:val="16"/>
                <w:vertAlign w:val="superscript"/>
              </w:rPr>
              <w:t>b</w:t>
            </w:r>
          </w:p>
        </w:tc>
        <w:tc>
          <w:tcPr>
            <w:tcW w:w="567" w:type="dxa"/>
            <w:vAlign w:val="center"/>
          </w:tcPr>
          <w:p w14:paraId="0E83E8CD"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6</w:t>
            </w:r>
          </w:p>
        </w:tc>
        <w:tc>
          <w:tcPr>
            <w:tcW w:w="567" w:type="dxa"/>
            <w:vAlign w:val="center"/>
          </w:tcPr>
          <w:p w14:paraId="7586A76F" w14:textId="69DCDAC0"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16</w:t>
            </w:r>
            <w:r w:rsidR="00963374" w:rsidRPr="00F30805">
              <w:rPr>
                <w:rFonts w:ascii="Arial" w:hAnsi="Arial" w:cs="Arial"/>
                <w:sz w:val="16"/>
                <w:szCs w:val="16"/>
                <w:vertAlign w:val="superscript"/>
              </w:rPr>
              <w:t>g</w:t>
            </w:r>
          </w:p>
        </w:tc>
        <w:tc>
          <w:tcPr>
            <w:tcW w:w="709" w:type="dxa"/>
            <w:vAlign w:val="center"/>
          </w:tcPr>
          <w:p w14:paraId="49D2388C"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w:t>
            </w:r>
          </w:p>
        </w:tc>
        <w:tc>
          <w:tcPr>
            <w:tcW w:w="709" w:type="dxa"/>
            <w:vAlign w:val="center"/>
          </w:tcPr>
          <w:p w14:paraId="20D02A01" w14:textId="58C0EE6F"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14</w:t>
            </w:r>
            <w:r w:rsidR="00555A0B" w:rsidRPr="00F30805">
              <w:rPr>
                <w:rFonts w:ascii="Arial" w:hAnsi="Arial" w:cs="Arial"/>
                <w:sz w:val="16"/>
                <w:szCs w:val="16"/>
                <w:vertAlign w:val="superscript"/>
              </w:rPr>
              <w:t>g</w:t>
            </w:r>
          </w:p>
        </w:tc>
        <w:tc>
          <w:tcPr>
            <w:tcW w:w="567" w:type="dxa"/>
            <w:vAlign w:val="center"/>
          </w:tcPr>
          <w:p w14:paraId="6CE8255A"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3</w:t>
            </w:r>
          </w:p>
        </w:tc>
        <w:tc>
          <w:tcPr>
            <w:tcW w:w="709" w:type="dxa"/>
            <w:vAlign w:val="center"/>
          </w:tcPr>
          <w:p w14:paraId="20EDE85B" w14:textId="7C880DBC"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10</w:t>
            </w:r>
            <w:r w:rsidR="00555A0B" w:rsidRPr="00F30805">
              <w:rPr>
                <w:rFonts w:ascii="Arial" w:hAnsi="Arial" w:cs="Arial"/>
                <w:sz w:val="16"/>
                <w:szCs w:val="16"/>
                <w:vertAlign w:val="superscript"/>
              </w:rPr>
              <w:t>g</w:t>
            </w:r>
          </w:p>
        </w:tc>
        <w:tc>
          <w:tcPr>
            <w:tcW w:w="567" w:type="dxa"/>
            <w:vAlign w:val="center"/>
          </w:tcPr>
          <w:p w14:paraId="61F7ABDF"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3</w:t>
            </w:r>
          </w:p>
        </w:tc>
        <w:tc>
          <w:tcPr>
            <w:tcW w:w="567" w:type="dxa"/>
            <w:vAlign w:val="center"/>
          </w:tcPr>
          <w:p w14:paraId="7589686B" w14:textId="0A83D75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12</w:t>
            </w:r>
            <w:r w:rsidR="00182610" w:rsidRPr="00F30805">
              <w:rPr>
                <w:rFonts w:ascii="Arial" w:hAnsi="Arial" w:cs="Arial"/>
                <w:sz w:val="16"/>
                <w:szCs w:val="16"/>
                <w:vertAlign w:val="superscript"/>
              </w:rPr>
              <w:t>g</w:t>
            </w:r>
            <w:r w:rsidRPr="00F30805">
              <w:rPr>
                <w:rFonts w:ascii="Arial" w:hAnsi="Arial" w:cs="Arial"/>
                <w:sz w:val="16"/>
                <w:szCs w:val="16"/>
                <w:vertAlign w:val="superscript"/>
              </w:rPr>
              <w:t>,</w:t>
            </w:r>
            <w:r w:rsidR="0070663C" w:rsidRPr="00F30805">
              <w:rPr>
                <w:rFonts w:ascii="Arial" w:hAnsi="Arial" w:cs="Arial"/>
                <w:sz w:val="16"/>
                <w:szCs w:val="16"/>
                <w:vertAlign w:val="superscript"/>
              </w:rPr>
              <w:t>i</w:t>
            </w:r>
          </w:p>
        </w:tc>
        <w:tc>
          <w:tcPr>
            <w:tcW w:w="708" w:type="dxa"/>
            <w:vAlign w:val="center"/>
          </w:tcPr>
          <w:p w14:paraId="3377CBFB"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7</w:t>
            </w:r>
          </w:p>
        </w:tc>
        <w:tc>
          <w:tcPr>
            <w:tcW w:w="567" w:type="dxa"/>
            <w:vAlign w:val="center"/>
          </w:tcPr>
          <w:p w14:paraId="15D92072"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5</w:t>
            </w:r>
          </w:p>
        </w:tc>
        <w:tc>
          <w:tcPr>
            <w:tcW w:w="709" w:type="dxa"/>
            <w:vAlign w:val="center"/>
          </w:tcPr>
          <w:p w14:paraId="45BE7B19"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9</w:t>
            </w:r>
          </w:p>
        </w:tc>
      </w:tr>
      <w:tr w:rsidR="00D92430" w:rsidRPr="00F30805" w14:paraId="549B9B0A" w14:textId="77777777" w:rsidTr="001C766D">
        <w:trPr>
          <w:trHeight w:val="278"/>
          <w:jc w:val="center"/>
        </w:trPr>
        <w:tc>
          <w:tcPr>
            <w:tcW w:w="1129" w:type="dxa"/>
            <w:vAlign w:val="center"/>
          </w:tcPr>
          <w:p w14:paraId="0EB7BF53" w14:textId="77777777" w:rsidR="00D92430" w:rsidRPr="00F30805" w:rsidRDefault="00D92430" w:rsidP="00A9173E">
            <w:pPr>
              <w:spacing w:after="0" w:line="240" w:lineRule="auto"/>
              <w:rPr>
                <w:rFonts w:ascii="Arial" w:hAnsi="Arial" w:cs="Arial"/>
                <w:sz w:val="16"/>
                <w:szCs w:val="16"/>
              </w:rPr>
            </w:pPr>
            <w:r w:rsidRPr="00F30805">
              <w:rPr>
                <w:rFonts w:ascii="Arial" w:hAnsi="Arial" w:cs="Arial"/>
                <w:sz w:val="16"/>
                <w:szCs w:val="16"/>
              </w:rPr>
              <w:t>24</w:t>
            </w:r>
            <w:r w:rsidRPr="00F30805">
              <w:rPr>
                <w:rFonts w:ascii="Arial" w:hAnsi="Arial" w:cs="Arial"/>
                <w:sz w:val="16"/>
                <w:szCs w:val="16"/>
                <w:vertAlign w:val="superscript"/>
              </w:rPr>
              <w:t>c</w:t>
            </w:r>
            <w:r w:rsidRPr="00F30805">
              <w:rPr>
                <w:rFonts w:ascii="Arial" w:hAnsi="Arial" w:cs="Arial"/>
                <w:sz w:val="16"/>
                <w:szCs w:val="16"/>
              </w:rPr>
              <w:t>/26</w:t>
            </w:r>
            <w:r w:rsidRPr="00F30805">
              <w:rPr>
                <w:rFonts w:ascii="Arial" w:hAnsi="Arial" w:cs="Arial"/>
                <w:sz w:val="16"/>
                <w:szCs w:val="16"/>
                <w:vertAlign w:val="superscript"/>
              </w:rPr>
              <w:t>d</w:t>
            </w:r>
          </w:p>
        </w:tc>
        <w:tc>
          <w:tcPr>
            <w:tcW w:w="567" w:type="dxa"/>
            <w:vAlign w:val="center"/>
          </w:tcPr>
          <w:p w14:paraId="3A338954"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9</w:t>
            </w:r>
          </w:p>
        </w:tc>
        <w:tc>
          <w:tcPr>
            <w:tcW w:w="567" w:type="dxa"/>
            <w:vAlign w:val="center"/>
          </w:tcPr>
          <w:p w14:paraId="66281B81" w14:textId="7EE8E9C3"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28</w:t>
            </w:r>
            <w:r w:rsidR="00963374" w:rsidRPr="00F30805">
              <w:rPr>
                <w:rFonts w:ascii="Arial" w:hAnsi="Arial" w:cs="Arial"/>
                <w:sz w:val="16"/>
                <w:szCs w:val="16"/>
                <w:vertAlign w:val="superscript"/>
              </w:rPr>
              <w:t>g</w:t>
            </w:r>
          </w:p>
        </w:tc>
        <w:tc>
          <w:tcPr>
            <w:tcW w:w="709" w:type="dxa"/>
            <w:shd w:val="clear" w:color="auto" w:fill="D9D9D9" w:themeFill="background1" w:themeFillShade="D9"/>
            <w:vAlign w:val="center"/>
          </w:tcPr>
          <w:p w14:paraId="2BB40259" w14:textId="77777777" w:rsidR="00D92430" w:rsidRPr="00F30805" w:rsidRDefault="00D92430" w:rsidP="00A9173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33CAEC0C" w14:textId="77777777" w:rsidR="00D92430" w:rsidRPr="00F30805" w:rsidRDefault="00D92430" w:rsidP="00A9173E">
            <w:pPr>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ACE486D" w14:textId="77777777" w:rsidR="00D92430" w:rsidRPr="00F30805" w:rsidRDefault="00D92430" w:rsidP="00A9173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6BD3CB0" w14:textId="77777777" w:rsidR="00D92430" w:rsidRPr="00F30805" w:rsidRDefault="00D92430" w:rsidP="00A9173E">
            <w:pPr>
              <w:spacing w:after="0" w:line="240" w:lineRule="auto"/>
              <w:jc w:val="center"/>
              <w:rPr>
                <w:rFonts w:ascii="Arial" w:hAnsi="Arial" w:cs="Arial"/>
                <w:sz w:val="16"/>
                <w:szCs w:val="16"/>
              </w:rPr>
            </w:pPr>
          </w:p>
        </w:tc>
        <w:tc>
          <w:tcPr>
            <w:tcW w:w="567" w:type="dxa"/>
            <w:vAlign w:val="center"/>
          </w:tcPr>
          <w:p w14:paraId="44CE0387"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5</w:t>
            </w:r>
          </w:p>
        </w:tc>
        <w:tc>
          <w:tcPr>
            <w:tcW w:w="567" w:type="dxa"/>
            <w:vAlign w:val="center"/>
          </w:tcPr>
          <w:p w14:paraId="2E6A38D9" w14:textId="2BC254B6"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24</w:t>
            </w:r>
            <w:r w:rsidR="00182610" w:rsidRPr="00F30805">
              <w:rPr>
                <w:rFonts w:ascii="Arial" w:hAnsi="Arial" w:cs="Arial"/>
                <w:sz w:val="16"/>
                <w:szCs w:val="16"/>
                <w:vertAlign w:val="superscript"/>
              </w:rPr>
              <w:t>g</w:t>
            </w:r>
            <w:r w:rsidRPr="00F30805">
              <w:rPr>
                <w:rFonts w:ascii="Arial" w:hAnsi="Arial" w:cs="Arial"/>
                <w:sz w:val="16"/>
                <w:szCs w:val="16"/>
                <w:vertAlign w:val="superscript"/>
              </w:rPr>
              <w:t>,</w:t>
            </w:r>
            <w:r w:rsidR="00182610" w:rsidRPr="00F30805">
              <w:rPr>
                <w:rFonts w:ascii="Arial" w:hAnsi="Arial" w:cs="Arial"/>
                <w:sz w:val="16"/>
                <w:szCs w:val="16"/>
                <w:vertAlign w:val="superscript"/>
              </w:rPr>
              <w:t>i</w:t>
            </w:r>
          </w:p>
        </w:tc>
        <w:tc>
          <w:tcPr>
            <w:tcW w:w="708" w:type="dxa"/>
            <w:vAlign w:val="center"/>
          </w:tcPr>
          <w:p w14:paraId="3C139867"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14</w:t>
            </w:r>
          </w:p>
        </w:tc>
        <w:tc>
          <w:tcPr>
            <w:tcW w:w="567" w:type="dxa"/>
            <w:shd w:val="clear" w:color="auto" w:fill="D9D9D9" w:themeFill="background1" w:themeFillShade="D9"/>
            <w:vAlign w:val="center"/>
          </w:tcPr>
          <w:p w14:paraId="56CA6A67" w14:textId="77777777" w:rsidR="00D92430" w:rsidRPr="00F30805" w:rsidRDefault="00D92430" w:rsidP="00A9173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E60DA18" w14:textId="77777777" w:rsidR="00D92430" w:rsidRPr="00F30805" w:rsidRDefault="00D92430" w:rsidP="00A9173E">
            <w:pPr>
              <w:spacing w:after="0" w:line="240" w:lineRule="auto"/>
              <w:jc w:val="center"/>
              <w:rPr>
                <w:rFonts w:ascii="Arial" w:hAnsi="Arial" w:cs="Arial"/>
                <w:sz w:val="16"/>
                <w:szCs w:val="16"/>
              </w:rPr>
            </w:pPr>
          </w:p>
        </w:tc>
      </w:tr>
      <w:tr w:rsidR="00D92430" w:rsidRPr="00F30805" w14:paraId="553FCDDB" w14:textId="77777777" w:rsidTr="001C766D">
        <w:trPr>
          <w:trHeight w:val="278"/>
          <w:jc w:val="center"/>
        </w:trPr>
        <w:tc>
          <w:tcPr>
            <w:tcW w:w="8075" w:type="dxa"/>
            <w:gridSpan w:val="12"/>
            <w:vAlign w:val="center"/>
          </w:tcPr>
          <w:p w14:paraId="29B664A5" w14:textId="74FFF872" w:rsidR="00D92430" w:rsidRPr="00F30805" w:rsidRDefault="00D92430" w:rsidP="00A9173E">
            <w:pPr>
              <w:spacing w:after="0" w:line="240" w:lineRule="auto"/>
              <w:jc w:val="center"/>
              <w:rPr>
                <w:rFonts w:ascii="Arial" w:hAnsi="Arial" w:cs="Arial"/>
                <w:sz w:val="16"/>
                <w:szCs w:val="16"/>
              </w:rPr>
            </w:pPr>
            <w:r w:rsidRPr="00F30805">
              <w:rPr>
                <w:rFonts w:ascii="Arial" w:hAnsi="Arial" w:cs="Arial"/>
                <w:b/>
                <w:sz w:val="16"/>
                <w:szCs w:val="16"/>
              </w:rPr>
              <w:t>CDAI ≤2.8 (% of patients)</w:t>
            </w:r>
          </w:p>
        </w:tc>
      </w:tr>
      <w:tr w:rsidR="00D92430" w:rsidRPr="00F30805" w14:paraId="187D4E32" w14:textId="77777777" w:rsidTr="001C766D">
        <w:trPr>
          <w:trHeight w:val="278"/>
          <w:jc w:val="center"/>
        </w:trPr>
        <w:tc>
          <w:tcPr>
            <w:tcW w:w="1129" w:type="dxa"/>
            <w:vAlign w:val="center"/>
          </w:tcPr>
          <w:p w14:paraId="0BC92214" w14:textId="77777777" w:rsidR="00D92430" w:rsidRPr="00F30805" w:rsidRDefault="00D92430" w:rsidP="00A9173E">
            <w:pPr>
              <w:spacing w:after="0" w:line="240" w:lineRule="auto"/>
              <w:rPr>
                <w:rFonts w:ascii="Arial" w:hAnsi="Arial" w:cs="Arial"/>
                <w:sz w:val="16"/>
                <w:szCs w:val="16"/>
              </w:rPr>
            </w:pPr>
            <w:r w:rsidRPr="00F30805">
              <w:rPr>
                <w:rFonts w:ascii="Arial" w:hAnsi="Arial" w:cs="Arial"/>
                <w:sz w:val="16"/>
                <w:szCs w:val="16"/>
              </w:rPr>
              <w:t>12</w:t>
            </w:r>
            <w:r w:rsidRPr="00F30805">
              <w:rPr>
                <w:rFonts w:ascii="Arial" w:hAnsi="Arial" w:cs="Arial"/>
                <w:sz w:val="16"/>
                <w:szCs w:val="16"/>
                <w:vertAlign w:val="superscript"/>
              </w:rPr>
              <w:t>a</w:t>
            </w:r>
            <w:r w:rsidRPr="00F30805">
              <w:rPr>
                <w:rFonts w:ascii="Arial" w:hAnsi="Arial" w:cs="Arial"/>
                <w:sz w:val="16"/>
                <w:szCs w:val="16"/>
              </w:rPr>
              <w:t>/14</w:t>
            </w:r>
            <w:r w:rsidRPr="00F30805">
              <w:rPr>
                <w:rFonts w:ascii="Arial" w:hAnsi="Arial" w:cs="Arial"/>
                <w:sz w:val="16"/>
                <w:szCs w:val="16"/>
                <w:vertAlign w:val="superscript"/>
              </w:rPr>
              <w:t>b</w:t>
            </w:r>
          </w:p>
        </w:tc>
        <w:tc>
          <w:tcPr>
            <w:tcW w:w="567" w:type="dxa"/>
            <w:vAlign w:val="center"/>
          </w:tcPr>
          <w:p w14:paraId="3E2D12BC"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6</w:t>
            </w:r>
          </w:p>
        </w:tc>
        <w:tc>
          <w:tcPr>
            <w:tcW w:w="567" w:type="dxa"/>
            <w:vAlign w:val="center"/>
          </w:tcPr>
          <w:p w14:paraId="62349C59" w14:textId="59388B9A"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16</w:t>
            </w:r>
            <w:r w:rsidR="00406747" w:rsidRPr="00F30805">
              <w:rPr>
                <w:rFonts w:ascii="Arial" w:hAnsi="Arial" w:cs="Arial"/>
                <w:sz w:val="16"/>
                <w:szCs w:val="16"/>
                <w:vertAlign w:val="superscript"/>
              </w:rPr>
              <w:t>g</w:t>
            </w:r>
          </w:p>
        </w:tc>
        <w:tc>
          <w:tcPr>
            <w:tcW w:w="709" w:type="dxa"/>
            <w:vAlign w:val="center"/>
          </w:tcPr>
          <w:p w14:paraId="175EEB4F"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w:t>
            </w:r>
          </w:p>
        </w:tc>
        <w:tc>
          <w:tcPr>
            <w:tcW w:w="709" w:type="dxa"/>
            <w:vAlign w:val="center"/>
          </w:tcPr>
          <w:p w14:paraId="2F75FB89" w14:textId="695089B4"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13</w:t>
            </w:r>
            <w:r w:rsidR="00555A0B" w:rsidRPr="00F30805">
              <w:rPr>
                <w:rFonts w:ascii="Arial" w:hAnsi="Arial" w:cs="Arial"/>
                <w:sz w:val="16"/>
                <w:szCs w:val="16"/>
                <w:vertAlign w:val="superscript"/>
              </w:rPr>
              <w:t>g</w:t>
            </w:r>
          </w:p>
        </w:tc>
        <w:tc>
          <w:tcPr>
            <w:tcW w:w="567" w:type="dxa"/>
            <w:vAlign w:val="center"/>
          </w:tcPr>
          <w:p w14:paraId="5C3F7555"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3</w:t>
            </w:r>
          </w:p>
        </w:tc>
        <w:tc>
          <w:tcPr>
            <w:tcW w:w="709" w:type="dxa"/>
            <w:vAlign w:val="center"/>
          </w:tcPr>
          <w:p w14:paraId="0985316C" w14:textId="51BFBAC5"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9</w:t>
            </w:r>
            <w:r w:rsidR="00555A0B" w:rsidRPr="00F30805">
              <w:rPr>
                <w:rFonts w:ascii="Arial" w:hAnsi="Arial" w:cs="Arial"/>
                <w:sz w:val="16"/>
                <w:szCs w:val="16"/>
                <w:vertAlign w:val="superscript"/>
              </w:rPr>
              <w:t>g</w:t>
            </w:r>
          </w:p>
        </w:tc>
        <w:tc>
          <w:tcPr>
            <w:tcW w:w="567" w:type="dxa"/>
            <w:vAlign w:val="center"/>
          </w:tcPr>
          <w:p w14:paraId="55C5B328"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3</w:t>
            </w:r>
          </w:p>
        </w:tc>
        <w:tc>
          <w:tcPr>
            <w:tcW w:w="567" w:type="dxa"/>
            <w:vAlign w:val="center"/>
          </w:tcPr>
          <w:p w14:paraId="1C76E4D8" w14:textId="436D057C"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13</w:t>
            </w:r>
            <w:r w:rsidR="00EE0C59" w:rsidRPr="00F30805">
              <w:rPr>
                <w:rFonts w:ascii="Arial" w:hAnsi="Arial" w:cs="Arial"/>
                <w:sz w:val="16"/>
                <w:szCs w:val="16"/>
                <w:vertAlign w:val="superscript"/>
              </w:rPr>
              <w:t>g</w:t>
            </w:r>
            <w:r w:rsidRPr="00F30805">
              <w:rPr>
                <w:rFonts w:ascii="Arial" w:hAnsi="Arial" w:cs="Arial"/>
                <w:sz w:val="16"/>
                <w:szCs w:val="16"/>
                <w:vertAlign w:val="superscript"/>
              </w:rPr>
              <w:t>,i</w:t>
            </w:r>
          </w:p>
        </w:tc>
        <w:tc>
          <w:tcPr>
            <w:tcW w:w="708" w:type="dxa"/>
            <w:vAlign w:val="center"/>
          </w:tcPr>
          <w:p w14:paraId="1835E7BF"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8</w:t>
            </w:r>
          </w:p>
        </w:tc>
        <w:tc>
          <w:tcPr>
            <w:tcW w:w="567" w:type="dxa"/>
            <w:vAlign w:val="center"/>
          </w:tcPr>
          <w:p w14:paraId="6708437B"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5</w:t>
            </w:r>
          </w:p>
        </w:tc>
        <w:tc>
          <w:tcPr>
            <w:tcW w:w="709" w:type="dxa"/>
            <w:vAlign w:val="center"/>
          </w:tcPr>
          <w:p w14:paraId="4311AF42"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8</w:t>
            </w:r>
          </w:p>
        </w:tc>
      </w:tr>
      <w:tr w:rsidR="00D92430" w:rsidRPr="00F30805" w14:paraId="6160009F" w14:textId="77777777" w:rsidTr="001C766D">
        <w:trPr>
          <w:trHeight w:val="278"/>
          <w:jc w:val="center"/>
        </w:trPr>
        <w:tc>
          <w:tcPr>
            <w:tcW w:w="1129" w:type="dxa"/>
            <w:vAlign w:val="center"/>
          </w:tcPr>
          <w:p w14:paraId="1A2D9820" w14:textId="77777777" w:rsidR="00D92430" w:rsidRPr="00F30805" w:rsidRDefault="00D92430" w:rsidP="00A9173E">
            <w:pPr>
              <w:spacing w:after="0" w:line="240" w:lineRule="auto"/>
              <w:rPr>
                <w:rFonts w:ascii="Arial" w:hAnsi="Arial" w:cs="Arial"/>
                <w:sz w:val="16"/>
                <w:szCs w:val="16"/>
              </w:rPr>
            </w:pPr>
            <w:r w:rsidRPr="00F30805">
              <w:rPr>
                <w:rFonts w:ascii="Arial" w:hAnsi="Arial" w:cs="Arial"/>
                <w:sz w:val="16"/>
                <w:szCs w:val="16"/>
              </w:rPr>
              <w:t>24</w:t>
            </w:r>
            <w:r w:rsidRPr="00F30805">
              <w:rPr>
                <w:rFonts w:ascii="Arial" w:hAnsi="Arial" w:cs="Arial"/>
                <w:sz w:val="16"/>
                <w:szCs w:val="16"/>
                <w:vertAlign w:val="superscript"/>
              </w:rPr>
              <w:t>c</w:t>
            </w:r>
            <w:r w:rsidRPr="00F30805">
              <w:rPr>
                <w:rFonts w:ascii="Arial" w:hAnsi="Arial" w:cs="Arial"/>
                <w:sz w:val="16"/>
                <w:szCs w:val="16"/>
              </w:rPr>
              <w:t>/26</w:t>
            </w:r>
            <w:r w:rsidRPr="00F30805">
              <w:rPr>
                <w:rFonts w:ascii="Arial" w:hAnsi="Arial" w:cs="Arial"/>
                <w:sz w:val="16"/>
                <w:szCs w:val="16"/>
                <w:vertAlign w:val="superscript"/>
              </w:rPr>
              <w:t>d</w:t>
            </w:r>
          </w:p>
        </w:tc>
        <w:tc>
          <w:tcPr>
            <w:tcW w:w="567" w:type="dxa"/>
            <w:vAlign w:val="center"/>
          </w:tcPr>
          <w:p w14:paraId="6231D3CC"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11</w:t>
            </w:r>
          </w:p>
        </w:tc>
        <w:tc>
          <w:tcPr>
            <w:tcW w:w="567" w:type="dxa"/>
            <w:vAlign w:val="center"/>
          </w:tcPr>
          <w:p w14:paraId="2C972096" w14:textId="487851CB"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28</w:t>
            </w:r>
            <w:r w:rsidR="00406747" w:rsidRPr="00F30805">
              <w:rPr>
                <w:rFonts w:ascii="Arial" w:hAnsi="Arial" w:cs="Arial"/>
                <w:sz w:val="16"/>
                <w:szCs w:val="16"/>
                <w:vertAlign w:val="superscript"/>
              </w:rPr>
              <w:t>g</w:t>
            </w:r>
          </w:p>
        </w:tc>
        <w:tc>
          <w:tcPr>
            <w:tcW w:w="709" w:type="dxa"/>
            <w:shd w:val="clear" w:color="auto" w:fill="D9D9D9" w:themeFill="background1" w:themeFillShade="D9"/>
            <w:vAlign w:val="center"/>
          </w:tcPr>
          <w:p w14:paraId="3CC9EE6A" w14:textId="77777777" w:rsidR="00D92430" w:rsidRPr="00F30805" w:rsidRDefault="00D92430" w:rsidP="00A9173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9CC1CC5" w14:textId="77777777" w:rsidR="00D92430" w:rsidRPr="00F30805" w:rsidRDefault="00D92430" w:rsidP="00A9173E">
            <w:pPr>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16787741" w14:textId="77777777" w:rsidR="00D92430" w:rsidRPr="00F30805" w:rsidRDefault="00D92430" w:rsidP="00A9173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683A93E" w14:textId="77777777" w:rsidR="00D92430" w:rsidRPr="00F30805" w:rsidRDefault="00D92430" w:rsidP="00A9173E">
            <w:pPr>
              <w:spacing w:after="0" w:line="240" w:lineRule="auto"/>
              <w:jc w:val="center"/>
              <w:rPr>
                <w:rFonts w:ascii="Arial" w:hAnsi="Arial" w:cs="Arial"/>
                <w:sz w:val="16"/>
                <w:szCs w:val="16"/>
              </w:rPr>
            </w:pPr>
          </w:p>
        </w:tc>
        <w:tc>
          <w:tcPr>
            <w:tcW w:w="567" w:type="dxa"/>
            <w:vAlign w:val="center"/>
          </w:tcPr>
          <w:p w14:paraId="240084F2"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6</w:t>
            </w:r>
          </w:p>
        </w:tc>
        <w:tc>
          <w:tcPr>
            <w:tcW w:w="567" w:type="dxa"/>
            <w:vAlign w:val="center"/>
          </w:tcPr>
          <w:p w14:paraId="42F8EE16" w14:textId="108328FA"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23</w:t>
            </w:r>
            <w:r w:rsidR="00EE0C59" w:rsidRPr="00F30805">
              <w:rPr>
                <w:rFonts w:ascii="Arial" w:hAnsi="Arial" w:cs="Arial"/>
                <w:sz w:val="16"/>
                <w:szCs w:val="16"/>
                <w:vertAlign w:val="superscript"/>
              </w:rPr>
              <w:t>g</w:t>
            </w:r>
            <w:r w:rsidRPr="00F30805">
              <w:rPr>
                <w:rFonts w:ascii="Arial" w:hAnsi="Arial" w:cs="Arial"/>
                <w:sz w:val="16"/>
                <w:szCs w:val="16"/>
                <w:vertAlign w:val="superscript"/>
              </w:rPr>
              <w:t>,</w:t>
            </w:r>
            <w:r w:rsidR="00EE0C59" w:rsidRPr="00F30805">
              <w:rPr>
                <w:rFonts w:ascii="Arial" w:hAnsi="Arial" w:cs="Arial"/>
                <w:sz w:val="16"/>
                <w:szCs w:val="16"/>
                <w:vertAlign w:val="superscript"/>
              </w:rPr>
              <w:t>i</w:t>
            </w:r>
          </w:p>
        </w:tc>
        <w:tc>
          <w:tcPr>
            <w:tcW w:w="708" w:type="dxa"/>
            <w:vAlign w:val="center"/>
          </w:tcPr>
          <w:p w14:paraId="62D2A858" w14:textId="77777777" w:rsidR="00D92430" w:rsidRPr="00F30805" w:rsidRDefault="00D92430" w:rsidP="00A9173E">
            <w:pPr>
              <w:spacing w:after="0" w:line="240" w:lineRule="auto"/>
              <w:jc w:val="center"/>
              <w:rPr>
                <w:rFonts w:ascii="Arial" w:hAnsi="Arial" w:cs="Arial"/>
                <w:sz w:val="16"/>
                <w:szCs w:val="16"/>
              </w:rPr>
            </w:pPr>
            <w:r w:rsidRPr="00F30805">
              <w:rPr>
                <w:rFonts w:ascii="Arial" w:hAnsi="Arial" w:cs="Arial"/>
                <w:sz w:val="16"/>
                <w:szCs w:val="16"/>
              </w:rPr>
              <w:t>14</w:t>
            </w:r>
          </w:p>
        </w:tc>
        <w:tc>
          <w:tcPr>
            <w:tcW w:w="567" w:type="dxa"/>
            <w:shd w:val="clear" w:color="auto" w:fill="D9D9D9" w:themeFill="background1" w:themeFillShade="D9"/>
            <w:vAlign w:val="center"/>
          </w:tcPr>
          <w:p w14:paraId="46911674" w14:textId="77777777" w:rsidR="00D92430" w:rsidRPr="00F30805" w:rsidRDefault="00D92430" w:rsidP="00A9173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47173BDA" w14:textId="77777777" w:rsidR="00D92430" w:rsidRPr="00F30805" w:rsidRDefault="00D92430" w:rsidP="00A9173E">
            <w:pPr>
              <w:spacing w:after="0" w:line="240" w:lineRule="auto"/>
              <w:jc w:val="center"/>
              <w:rPr>
                <w:rFonts w:ascii="Arial" w:hAnsi="Arial" w:cs="Arial"/>
                <w:sz w:val="16"/>
                <w:szCs w:val="16"/>
              </w:rPr>
            </w:pPr>
          </w:p>
        </w:tc>
      </w:tr>
      <w:tr w:rsidR="00BA2C87" w:rsidRPr="00F30805" w14:paraId="2EAAF6B8" w14:textId="77777777" w:rsidTr="001C766D">
        <w:trPr>
          <w:trHeight w:val="278"/>
          <w:jc w:val="center"/>
        </w:trPr>
        <w:tc>
          <w:tcPr>
            <w:tcW w:w="8075" w:type="dxa"/>
            <w:gridSpan w:val="12"/>
            <w:vAlign w:val="center"/>
          </w:tcPr>
          <w:p w14:paraId="376DF60F" w14:textId="77777777" w:rsidR="00BA2C87" w:rsidRPr="00F30805" w:rsidRDefault="00BA2C87" w:rsidP="00BA2C87">
            <w:pPr>
              <w:spacing w:after="0" w:line="240" w:lineRule="auto"/>
              <w:rPr>
                <w:rFonts w:ascii="Arial" w:hAnsi="Arial" w:cs="Arial"/>
                <w:b/>
                <w:sz w:val="16"/>
                <w:szCs w:val="16"/>
              </w:rPr>
            </w:pPr>
            <w:r w:rsidRPr="00F30805">
              <w:rPr>
                <w:rFonts w:ascii="Arial" w:hAnsi="Arial" w:cs="Arial"/>
                <w:b/>
                <w:sz w:val="16"/>
                <w:szCs w:val="16"/>
              </w:rPr>
              <w:t xml:space="preserve">Abbreviations: </w:t>
            </w:r>
          </w:p>
          <w:p w14:paraId="10857FD5"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 xml:space="preserve">ACR20 (or 50 or 70) = American College of Rheumatology ≥20% (or ≥50% or ≥70%) improvement; </w:t>
            </w:r>
          </w:p>
          <w:p w14:paraId="6C85D4CF"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 xml:space="preserve">ADA = adalimumab; </w:t>
            </w:r>
          </w:p>
          <w:p w14:paraId="6541FF82"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CDAI = Clinical Disease Activity Index</w:t>
            </w:r>
          </w:p>
          <w:p w14:paraId="2FF4173D"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CR = Clinical Remission</w:t>
            </w:r>
          </w:p>
          <w:p w14:paraId="422C400C"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CRP = c-reactive protein</w:t>
            </w:r>
          </w:p>
          <w:p w14:paraId="36A1F1BD"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DAS28 = Disease Activity Score 28 joints</w:t>
            </w:r>
          </w:p>
          <w:p w14:paraId="7DC3B048"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LDA = Low Disease Activity</w:t>
            </w:r>
          </w:p>
          <w:p w14:paraId="574EA514"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MTX = methotrexate</w:t>
            </w:r>
          </w:p>
          <w:p w14:paraId="7F1FD1E5"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PBO = placebo</w:t>
            </w:r>
          </w:p>
          <w:p w14:paraId="02C43209"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 xml:space="preserve">SDAI = Simple Disease Activity Index </w:t>
            </w:r>
          </w:p>
          <w:p w14:paraId="3BC02FDA"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rPr>
              <w:t>UPA= upadacitinib</w:t>
            </w:r>
          </w:p>
          <w:p w14:paraId="56F89AF5"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vertAlign w:val="superscript"/>
              </w:rPr>
              <w:t>a</w:t>
            </w:r>
            <w:r w:rsidRPr="00F30805">
              <w:rPr>
                <w:rFonts w:ascii="Arial" w:hAnsi="Arial" w:cs="Arial"/>
                <w:sz w:val="16"/>
                <w:szCs w:val="16"/>
              </w:rPr>
              <w:t xml:space="preserve"> SELECT-NEXT, SELECT-EARLY, SELECT-COMPARE, SELECT-BEYOND</w:t>
            </w:r>
          </w:p>
          <w:p w14:paraId="1A5D94E7"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vertAlign w:val="superscript"/>
              </w:rPr>
              <w:t>b</w:t>
            </w:r>
            <w:r w:rsidRPr="00F30805">
              <w:rPr>
                <w:rFonts w:ascii="Arial" w:hAnsi="Arial" w:cs="Arial"/>
                <w:sz w:val="16"/>
                <w:szCs w:val="16"/>
              </w:rPr>
              <w:t xml:space="preserve"> SELECT-MONOTHERAPY</w:t>
            </w:r>
          </w:p>
          <w:p w14:paraId="13262AFA"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vertAlign w:val="superscript"/>
              </w:rPr>
              <w:t xml:space="preserve">c </w:t>
            </w:r>
            <w:r w:rsidRPr="00F30805">
              <w:rPr>
                <w:rFonts w:ascii="Arial" w:hAnsi="Arial" w:cs="Arial"/>
                <w:sz w:val="16"/>
                <w:szCs w:val="16"/>
              </w:rPr>
              <w:t>SELECT-EARLY</w:t>
            </w:r>
          </w:p>
          <w:p w14:paraId="3A4B701E" w14:textId="77777777"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vertAlign w:val="superscript"/>
              </w:rPr>
              <w:t>d</w:t>
            </w:r>
            <w:r w:rsidRPr="00F30805">
              <w:rPr>
                <w:rFonts w:ascii="Arial" w:hAnsi="Arial" w:cs="Arial"/>
                <w:sz w:val="16"/>
                <w:szCs w:val="16"/>
              </w:rPr>
              <w:t xml:space="preserve"> SELECT-COMPARE</w:t>
            </w:r>
          </w:p>
          <w:p w14:paraId="7B190AAF" w14:textId="70C81A53"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vertAlign w:val="superscript"/>
              </w:rPr>
              <w:t>e</w:t>
            </w:r>
            <w:r w:rsidRPr="00F30805">
              <w:rPr>
                <w:rFonts w:ascii="Arial" w:hAnsi="Arial" w:cs="Arial"/>
                <w:sz w:val="16"/>
                <w:szCs w:val="16"/>
              </w:rPr>
              <w:t xml:space="preserve"> multiplicity</w:t>
            </w:r>
            <w:r w:rsidR="00104637" w:rsidRPr="00F30805">
              <w:rPr>
                <w:rFonts w:ascii="Arial" w:hAnsi="Arial" w:cs="Arial"/>
                <w:sz w:val="16"/>
                <w:szCs w:val="16"/>
              </w:rPr>
              <w:t>-</w:t>
            </w:r>
            <w:r w:rsidRPr="00F30805">
              <w:rPr>
                <w:rFonts w:ascii="Arial" w:hAnsi="Arial" w:cs="Arial"/>
                <w:sz w:val="16"/>
                <w:szCs w:val="16"/>
              </w:rPr>
              <w:t>controlled p≤0.001upadacitinib vs placebo or MTX comparison</w:t>
            </w:r>
          </w:p>
          <w:p w14:paraId="0ABBC8F9" w14:textId="47A6E8A6"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vertAlign w:val="superscript"/>
              </w:rPr>
              <w:t xml:space="preserve">f </w:t>
            </w:r>
            <w:r w:rsidRPr="00F30805">
              <w:rPr>
                <w:rFonts w:ascii="Arial" w:hAnsi="Arial" w:cs="Arial"/>
                <w:sz w:val="16"/>
                <w:szCs w:val="16"/>
              </w:rPr>
              <w:t xml:space="preserve"> multiplicity</w:t>
            </w:r>
            <w:r w:rsidR="00104637" w:rsidRPr="00F30805">
              <w:rPr>
                <w:rFonts w:ascii="Arial" w:hAnsi="Arial" w:cs="Arial"/>
                <w:sz w:val="16"/>
                <w:szCs w:val="16"/>
              </w:rPr>
              <w:t>-</w:t>
            </w:r>
            <w:r w:rsidRPr="00F30805">
              <w:rPr>
                <w:rFonts w:ascii="Arial" w:hAnsi="Arial" w:cs="Arial"/>
                <w:sz w:val="16"/>
                <w:szCs w:val="16"/>
              </w:rPr>
              <w:t>controlled p≤0.</w:t>
            </w:r>
            <w:r w:rsidRPr="00F30805" w:rsidDel="0097486F">
              <w:rPr>
                <w:rFonts w:ascii="Arial" w:hAnsi="Arial" w:cs="Arial"/>
                <w:sz w:val="16"/>
                <w:szCs w:val="16"/>
              </w:rPr>
              <w:t xml:space="preserve">01 </w:t>
            </w:r>
            <w:r w:rsidRPr="00F30805">
              <w:rPr>
                <w:rFonts w:ascii="Arial" w:hAnsi="Arial" w:cs="Arial"/>
                <w:sz w:val="16"/>
                <w:szCs w:val="16"/>
              </w:rPr>
              <w:t>upadacitinib vs placebo or MTX comparison</w:t>
            </w:r>
          </w:p>
          <w:p w14:paraId="6119B36D" w14:textId="3D71C380"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vertAlign w:val="superscript"/>
              </w:rPr>
              <w:t xml:space="preserve">g </w:t>
            </w:r>
            <w:r w:rsidRPr="00F30805">
              <w:rPr>
                <w:rFonts w:ascii="Arial" w:hAnsi="Arial" w:cs="Arial"/>
                <w:sz w:val="16"/>
                <w:szCs w:val="16"/>
              </w:rPr>
              <w:t xml:space="preserve"> nominal p≤0.05 upadacitinib vs placebo or MTX comparison</w:t>
            </w:r>
          </w:p>
          <w:p w14:paraId="32053491" w14:textId="693803F1" w:rsidR="00BA2C87" w:rsidRPr="00F30805" w:rsidRDefault="00BA2C87" w:rsidP="00BA2C87">
            <w:pPr>
              <w:spacing w:after="0" w:line="240" w:lineRule="auto"/>
              <w:rPr>
                <w:rFonts w:ascii="Arial" w:hAnsi="Arial" w:cs="Arial"/>
                <w:sz w:val="16"/>
                <w:szCs w:val="16"/>
              </w:rPr>
            </w:pPr>
            <w:r w:rsidRPr="00F30805">
              <w:rPr>
                <w:rFonts w:ascii="Arial" w:hAnsi="Arial" w:cs="Arial"/>
                <w:sz w:val="16"/>
                <w:szCs w:val="16"/>
                <w:vertAlign w:val="superscript"/>
              </w:rPr>
              <w:t>h</w:t>
            </w:r>
            <w:r w:rsidRPr="00F30805">
              <w:rPr>
                <w:rFonts w:ascii="Arial" w:hAnsi="Arial" w:cs="Arial"/>
                <w:sz w:val="16"/>
                <w:szCs w:val="16"/>
              </w:rPr>
              <w:t xml:space="preserve"> multiplicity</w:t>
            </w:r>
            <w:r w:rsidR="00104637" w:rsidRPr="00F30805">
              <w:rPr>
                <w:rFonts w:ascii="Arial" w:hAnsi="Arial" w:cs="Arial"/>
                <w:sz w:val="16"/>
                <w:szCs w:val="16"/>
              </w:rPr>
              <w:t>-</w:t>
            </w:r>
            <w:r w:rsidRPr="00F30805">
              <w:rPr>
                <w:rFonts w:ascii="Arial" w:hAnsi="Arial" w:cs="Arial"/>
                <w:sz w:val="16"/>
                <w:szCs w:val="16"/>
              </w:rPr>
              <w:t xml:space="preserve">controlled p≤0.001 upadacitinib vs </w:t>
            </w:r>
            <w:proofErr w:type="spellStart"/>
            <w:r w:rsidRPr="00F30805">
              <w:rPr>
                <w:rFonts w:ascii="Arial" w:hAnsi="Arial" w:cs="Arial"/>
                <w:sz w:val="16"/>
                <w:szCs w:val="16"/>
              </w:rPr>
              <w:t>adalimumab</w:t>
            </w:r>
            <w:proofErr w:type="spellEnd"/>
            <w:r w:rsidRPr="00F30805">
              <w:rPr>
                <w:rFonts w:ascii="Arial" w:hAnsi="Arial" w:cs="Arial"/>
                <w:sz w:val="16"/>
                <w:szCs w:val="16"/>
              </w:rPr>
              <w:t xml:space="preserve"> comparison</w:t>
            </w:r>
          </w:p>
          <w:p w14:paraId="7DCCA38B" w14:textId="75987A4C" w:rsidR="00BA2C87" w:rsidRPr="00F30805" w:rsidRDefault="00BA2C87" w:rsidP="00BA2C87">
            <w:pPr>
              <w:spacing w:after="0" w:line="240" w:lineRule="auto"/>
              <w:rPr>
                <w:rFonts w:ascii="Arial" w:hAnsi="Arial" w:cs="Arial"/>
                <w:sz w:val="16"/>
                <w:szCs w:val="16"/>
              </w:rPr>
            </w:pPr>
            <w:proofErr w:type="spellStart"/>
            <w:r w:rsidRPr="00F30805">
              <w:rPr>
                <w:rFonts w:ascii="Arial" w:hAnsi="Arial" w:cs="Arial"/>
                <w:sz w:val="16"/>
                <w:szCs w:val="16"/>
                <w:vertAlign w:val="superscript"/>
              </w:rPr>
              <w:t>i</w:t>
            </w:r>
            <w:proofErr w:type="spellEnd"/>
            <w:r w:rsidRPr="00F30805">
              <w:rPr>
                <w:rFonts w:ascii="Arial" w:hAnsi="Arial" w:cs="Arial"/>
                <w:sz w:val="16"/>
                <w:szCs w:val="16"/>
              </w:rPr>
              <w:t xml:space="preserve">  nominal p≤0.05 upadacitinib vs </w:t>
            </w:r>
            <w:proofErr w:type="spellStart"/>
            <w:r w:rsidRPr="00F30805">
              <w:rPr>
                <w:rFonts w:ascii="Arial" w:hAnsi="Arial" w:cs="Arial"/>
                <w:sz w:val="16"/>
                <w:szCs w:val="16"/>
              </w:rPr>
              <w:t>adalimumab</w:t>
            </w:r>
            <w:proofErr w:type="spellEnd"/>
            <w:r w:rsidRPr="00F30805">
              <w:rPr>
                <w:rFonts w:ascii="Arial" w:hAnsi="Arial" w:cs="Arial"/>
                <w:sz w:val="16"/>
                <w:szCs w:val="16"/>
              </w:rPr>
              <w:t xml:space="preserve"> comparison</w:t>
            </w:r>
          </w:p>
        </w:tc>
      </w:tr>
    </w:tbl>
    <w:p w14:paraId="6FC7C7FC" w14:textId="77777777" w:rsidR="00D92430" w:rsidRPr="00F30805" w:rsidRDefault="00D92430" w:rsidP="00180F69">
      <w:pPr>
        <w:rPr>
          <w:rFonts w:ascii="Arial" w:hAnsi="Arial" w:cs="Arial"/>
          <w:lang w:val="en-US"/>
        </w:rPr>
      </w:pPr>
    </w:p>
    <w:p w14:paraId="53F8CA28" w14:textId="77777777" w:rsidR="00B57D82" w:rsidRPr="00F30805" w:rsidRDefault="00B57D82" w:rsidP="00A9173E">
      <w:pPr>
        <w:autoSpaceDE w:val="0"/>
        <w:autoSpaceDN w:val="0"/>
        <w:adjustRightInd w:val="0"/>
        <w:rPr>
          <w:rFonts w:ascii="Arial" w:eastAsia="MS Mincho" w:hAnsi="Arial" w:cs="Arial"/>
          <w:b/>
          <w:iCs/>
          <w:lang w:val="en-US"/>
        </w:rPr>
      </w:pPr>
    </w:p>
    <w:p w14:paraId="0A703F2B" w14:textId="77777777" w:rsidR="00A9173E" w:rsidRPr="00F30805" w:rsidRDefault="00A9173E" w:rsidP="00B73976">
      <w:pPr>
        <w:pStyle w:val="Heading3"/>
        <w:rPr>
          <w:rFonts w:eastAsia="MS Mincho"/>
          <w:i/>
          <w:sz w:val="24"/>
          <w:szCs w:val="24"/>
          <w:lang w:val="en-US"/>
        </w:rPr>
      </w:pPr>
      <w:r w:rsidRPr="00F30805">
        <w:rPr>
          <w:rFonts w:eastAsia="MS Mincho"/>
          <w:lang w:val="en-US"/>
        </w:rPr>
        <w:lastRenderedPageBreak/>
        <w:t>Radiographic response</w:t>
      </w:r>
    </w:p>
    <w:p w14:paraId="0F3417E9" w14:textId="36534624" w:rsidR="00A9173E" w:rsidRPr="00F30805" w:rsidRDefault="00A9173E" w:rsidP="00AE0B35">
      <w:pPr>
        <w:autoSpaceDE w:val="0"/>
        <w:autoSpaceDN w:val="0"/>
        <w:adjustRightInd w:val="0"/>
        <w:spacing w:before="120"/>
        <w:rPr>
          <w:rFonts w:ascii="Arial" w:eastAsia="MS Mincho" w:hAnsi="Arial" w:cs="Arial"/>
          <w:lang w:val="en-GB"/>
        </w:rPr>
      </w:pPr>
      <w:r w:rsidRPr="00F30805">
        <w:rPr>
          <w:rFonts w:ascii="Arial" w:eastAsia="MS Mincho" w:hAnsi="Arial" w:cs="Arial"/>
          <w:lang w:val="en-GB"/>
        </w:rPr>
        <w:t>Inhibition of progression of structural joint damage was assessed using the modified Total Sharp Score (</w:t>
      </w:r>
      <w:proofErr w:type="spellStart"/>
      <w:r w:rsidRPr="00F30805">
        <w:rPr>
          <w:rFonts w:ascii="Arial" w:eastAsia="MS Mincho" w:hAnsi="Arial" w:cs="Arial"/>
          <w:lang w:val="en-GB"/>
        </w:rPr>
        <w:t>mTSS</w:t>
      </w:r>
      <w:proofErr w:type="spellEnd"/>
      <w:r w:rsidRPr="00F30805">
        <w:rPr>
          <w:rFonts w:ascii="Arial" w:eastAsia="MS Mincho" w:hAnsi="Arial" w:cs="Arial"/>
          <w:lang w:val="en-GB"/>
        </w:rPr>
        <w:t xml:space="preserve">) and its components, the erosion score, and joint space narrowing score at </w:t>
      </w:r>
      <w:r w:rsidR="007E46BA" w:rsidRPr="00F30805">
        <w:rPr>
          <w:rFonts w:ascii="Arial" w:eastAsia="MS Mincho" w:hAnsi="Arial" w:cs="Arial"/>
          <w:lang w:val="en-GB"/>
        </w:rPr>
        <w:t>W</w:t>
      </w:r>
      <w:r w:rsidRPr="00F30805">
        <w:rPr>
          <w:rFonts w:ascii="Arial" w:eastAsia="MS Mincho" w:hAnsi="Arial" w:cs="Arial"/>
          <w:lang w:val="en-GB"/>
        </w:rPr>
        <w:t xml:space="preserve">eek 26 (SELECT-COMPARE) and </w:t>
      </w:r>
      <w:r w:rsidR="007E46BA" w:rsidRPr="00F30805">
        <w:rPr>
          <w:rFonts w:ascii="Arial" w:eastAsia="MS Mincho" w:hAnsi="Arial" w:cs="Arial"/>
          <w:lang w:val="en-GB"/>
        </w:rPr>
        <w:t>W</w:t>
      </w:r>
      <w:r w:rsidRPr="00F30805">
        <w:rPr>
          <w:rFonts w:ascii="Arial" w:eastAsia="MS Mincho" w:hAnsi="Arial" w:cs="Arial"/>
          <w:lang w:val="en-GB"/>
        </w:rPr>
        <w:t xml:space="preserve">eek 24 (SELECT-EARLY). </w:t>
      </w:r>
    </w:p>
    <w:p w14:paraId="5C85FD77" w14:textId="15F8D1AD" w:rsidR="00A9173E" w:rsidRPr="00F30805" w:rsidRDefault="00A9173E" w:rsidP="002500CC">
      <w:pPr>
        <w:rPr>
          <w:rFonts w:ascii="Arial" w:hAnsi="Arial" w:cs="Arial"/>
          <w:lang w:val="en-GB"/>
        </w:rPr>
      </w:pPr>
      <w:r w:rsidRPr="00F30805">
        <w:rPr>
          <w:rFonts w:ascii="Arial" w:hAnsi="Arial" w:cs="Arial"/>
          <w:lang w:val="en-GB"/>
        </w:rPr>
        <w:t xml:space="preserve">Treatment with </w:t>
      </w:r>
      <w:r w:rsidR="00A700BC" w:rsidRPr="00F30805">
        <w:rPr>
          <w:rFonts w:ascii="Arial" w:hAnsi="Arial" w:cs="Arial"/>
          <w:lang w:val="en-GB"/>
        </w:rPr>
        <w:t>RINVOQ</w:t>
      </w:r>
      <w:r w:rsidRPr="00F30805">
        <w:rPr>
          <w:rFonts w:ascii="Arial" w:hAnsi="Arial" w:cs="Arial"/>
          <w:lang w:val="en-GB"/>
        </w:rPr>
        <w:t xml:space="preserve"> 15 mg resulted in significantly greater inhibition of the progression of structural joint damage compared to placebo at </w:t>
      </w:r>
      <w:r w:rsidR="007E46BA" w:rsidRPr="00F30805">
        <w:rPr>
          <w:rFonts w:ascii="Arial" w:hAnsi="Arial" w:cs="Arial"/>
          <w:lang w:val="en-GB"/>
        </w:rPr>
        <w:t>W</w:t>
      </w:r>
      <w:r w:rsidRPr="00F30805">
        <w:rPr>
          <w:rFonts w:ascii="Arial" w:hAnsi="Arial" w:cs="Arial"/>
          <w:lang w:val="en-GB"/>
        </w:rPr>
        <w:t xml:space="preserve">eek 26 in SELECT-COMPARE and as monotherapy compared to MTX at </w:t>
      </w:r>
      <w:r w:rsidR="007E46BA" w:rsidRPr="00F30805">
        <w:rPr>
          <w:rFonts w:ascii="Arial" w:hAnsi="Arial" w:cs="Arial"/>
          <w:lang w:val="en-GB"/>
        </w:rPr>
        <w:t>W</w:t>
      </w:r>
      <w:r w:rsidR="00FD2859" w:rsidRPr="00F30805">
        <w:rPr>
          <w:rFonts w:ascii="Arial" w:hAnsi="Arial" w:cs="Arial"/>
          <w:lang w:val="en-GB"/>
        </w:rPr>
        <w:t xml:space="preserve">eek 24 in SELECT-EARLY (Table </w:t>
      </w:r>
      <w:r w:rsidR="00FD1134" w:rsidRPr="00F30805">
        <w:rPr>
          <w:rFonts w:ascii="Arial" w:hAnsi="Arial" w:cs="Arial"/>
          <w:lang w:val="en-GB"/>
        </w:rPr>
        <w:t>7</w:t>
      </w:r>
      <w:r w:rsidRPr="00F30805">
        <w:rPr>
          <w:rFonts w:ascii="Arial" w:hAnsi="Arial" w:cs="Arial"/>
          <w:lang w:val="en-GB"/>
        </w:rPr>
        <w:t xml:space="preserve">). </w:t>
      </w:r>
      <w:r w:rsidR="00E23A34">
        <w:rPr>
          <w:rFonts w:ascii="Arial" w:hAnsi="Arial" w:cs="Arial"/>
          <w:lang w:val="en-GB"/>
        </w:rPr>
        <w:t>Analyses of</w:t>
      </w:r>
      <w:r w:rsidRPr="00F30805">
        <w:rPr>
          <w:rFonts w:ascii="Arial" w:hAnsi="Arial" w:cs="Arial"/>
          <w:lang w:val="en-GB"/>
        </w:rPr>
        <w:t xml:space="preserve"> erosion and joint space narrowing scores</w:t>
      </w:r>
      <w:r w:rsidR="00E23A34">
        <w:rPr>
          <w:rFonts w:ascii="Arial" w:hAnsi="Arial" w:cs="Arial"/>
          <w:lang w:val="en-GB"/>
        </w:rPr>
        <w:t xml:space="preserve"> were consistent with the overall scores</w:t>
      </w:r>
      <w:r w:rsidRPr="00F30805">
        <w:rPr>
          <w:rFonts w:ascii="Arial" w:hAnsi="Arial" w:cs="Arial"/>
          <w:lang w:val="en-GB"/>
        </w:rPr>
        <w:t>. The proportion of patients with no radiographic progression (</w:t>
      </w:r>
      <w:proofErr w:type="spellStart"/>
      <w:r w:rsidRPr="00F30805">
        <w:rPr>
          <w:rFonts w:ascii="Arial" w:hAnsi="Arial" w:cs="Arial"/>
          <w:lang w:val="en-GB"/>
        </w:rPr>
        <w:t>mTSS</w:t>
      </w:r>
      <w:proofErr w:type="spellEnd"/>
      <w:r w:rsidRPr="00F30805">
        <w:rPr>
          <w:rFonts w:ascii="Arial" w:hAnsi="Arial" w:cs="Arial"/>
          <w:lang w:val="en-GB"/>
        </w:rPr>
        <w:t xml:space="preserve"> change ≤ 0) was significantly higher with </w:t>
      </w:r>
      <w:r w:rsidR="00A700BC" w:rsidRPr="00F30805">
        <w:rPr>
          <w:rFonts w:ascii="Arial" w:hAnsi="Arial" w:cs="Arial"/>
          <w:lang w:val="en-GB"/>
        </w:rPr>
        <w:t>RINVOQ</w:t>
      </w:r>
      <w:r w:rsidRPr="00F30805">
        <w:rPr>
          <w:rFonts w:ascii="Arial" w:hAnsi="Arial" w:cs="Arial"/>
          <w:lang w:val="en-GB"/>
        </w:rPr>
        <w:t xml:space="preserve"> 15 mg</w:t>
      </w:r>
      <w:r w:rsidR="001730D3" w:rsidRPr="00F30805">
        <w:rPr>
          <w:rFonts w:ascii="Arial" w:hAnsi="Arial" w:cs="Arial"/>
          <w:lang w:val="en-GB"/>
        </w:rPr>
        <w:t xml:space="preserve"> in both studies.</w:t>
      </w:r>
      <w:r w:rsidRPr="00F30805">
        <w:rPr>
          <w:rFonts w:ascii="Arial" w:hAnsi="Arial" w:cs="Arial"/>
          <w:lang w:val="en-GB"/>
        </w:rPr>
        <w:t xml:space="preserve"> </w:t>
      </w:r>
    </w:p>
    <w:p w14:paraId="1B59A46F" w14:textId="1BAED74C" w:rsidR="00A9173E" w:rsidRPr="00F30805" w:rsidRDefault="00FD2859" w:rsidP="00066888">
      <w:pPr>
        <w:pStyle w:val="Heading3"/>
      </w:pPr>
      <w:r w:rsidRPr="00F30805">
        <w:t xml:space="preserve">Table </w:t>
      </w:r>
      <w:r w:rsidR="00FD1134" w:rsidRPr="00F30805">
        <w:t>7</w:t>
      </w:r>
      <w:r w:rsidR="00A9173E" w:rsidRPr="00F30805">
        <w:t>: Radiographic Changes</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953"/>
        <w:gridCol w:w="33"/>
        <w:gridCol w:w="985"/>
        <w:gridCol w:w="985"/>
        <w:gridCol w:w="28"/>
        <w:gridCol w:w="934"/>
        <w:gridCol w:w="23"/>
        <w:gridCol w:w="1405"/>
      </w:tblGrid>
      <w:tr w:rsidR="00A9173E" w:rsidRPr="00F30805" w14:paraId="50DB5B7D" w14:textId="77777777" w:rsidTr="00B57D82">
        <w:trPr>
          <w:trHeight w:val="223"/>
          <w:jc w:val="center"/>
        </w:trPr>
        <w:tc>
          <w:tcPr>
            <w:tcW w:w="3360" w:type="dxa"/>
            <w:shd w:val="clear" w:color="auto" w:fill="auto"/>
            <w:vAlign w:val="center"/>
          </w:tcPr>
          <w:p w14:paraId="590606DF" w14:textId="77777777" w:rsidR="00A9173E" w:rsidRPr="00F30805" w:rsidRDefault="00A9173E" w:rsidP="001C766D">
            <w:pPr>
              <w:spacing w:after="0" w:line="240" w:lineRule="auto"/>
              <w:jc w:val="center"/>
              <w:rPr>
                <w:rFonts w:ascii="Arial" w:hAnsi="Arial" w:cs="Arial"/>
                <w:b/>
                <w:sz w:val="18"/>
                <w:szCs w:val="18"/>
              </w:rPr>
            </w:pPr>
            <w:r w:rsidRPr="00F30805">
              <w:rPr>
                <w:rFonts w:ascii="Arial" w:hAnsi="Arial" w:cs="Arial"/>
                <w:b/>
                <w:sz w:val="18"/>
                <w:szCs w:val="18"/>
              </w:rPr>
              <w:t>Study</w:t>
            </w:r>
          </w:p>
        </w:tc>
        <w:tc>
          <w:tcPr>
            <w:tcW w:w="1971" w:type="dxa"/>
            <w:gridSpan w:val="3"/>
            <w:shd w:val="clear" w:color="auto" w:fill="auto"/>
            <w:vAlign w:val="center"/>
          </w:tcPr>
          <w:p w14:paraId="57427CF7" w14:textId="77777777" w:rsidR="00A9173E" w:rsidRPr="00F30805" w:rsidRDefault="00A9173E" w:rsidP="001C766D">
            <w:pPr>
              <w:spacing w:after="0" w:line="240" w:lineRule="auto"/>
              <w:jc w:val="center"/>
              <w:rPr>
                <w:rFonts w:ascii="Arial" w:hAnsi="Arial" w:cs="Arial"/>
                <w:b/>
                <w:sz w:val="18"/>
                <w:szCs w:val="18"/>
              </w:rPr>
            </w:pPr>
            <w:r w:rsidRPr="00F30805">
              <w:rPr>
                <w:rFonts w:ascii="Arial" w:hAnsi="Arial" w:cs="Arial"/>
                <w:b/>
                <w:sz w:val="18"/>
                <w:szCs w:val="18"/>
              </w:rPr>
              <w:t>SELECT</w:t>
            </w:r>
            <w:r w:rsidR="00B57D82" w:rsidRPr="00F30805">
              <w:rPr>
                <w:rFonts w:ascii="Arial" w:hAnsi="Arial" w:cs="Arial"/>
                <w:b/>
                <w:sz w:val="18"/>
                <w:szCs w:val="18"/>
              </w:rPr>
              <w:t xml:space="preserve"> </w:t>
            </w:r>
            <w:r w:rsidRPr="00F30805">
              <w:rPr>
                <w:rFonts w:ascii="Arial" w:hAnsi="Arial" w:cs="Arial"/>
                <w:b/>
                <w:sz w:val="18"/>
                <w:szCs w:val="18"/>
              </w:rPr>
              <w:t>EARLY</w:t>
            </w:r>
          </w:p>
          <w:p w14:paraId="2CC0F569" w14:textId="77777777" w:rsidR="00A9173E" w:rsidRPr="00F30805" w:rsidRDefault="00A9173E" w:rsidP="001C766D">
            <w:pPr>
              <w:spacing w:after="0" w:line="240" w:lineRule="auto"/>
              <w:jc w:val="center"/>
              <w:rPr>
                <w:rFonts w:ascii="Arial" w:hAnsi="Arial" w:cs="Arial"/>
                <w:b/>
                <w:sz w:val="18"/>
                <w:szCs w:val="18"/>
              </w:rPr>
            </w:pPr>
            <w:r w:rsidRPr="00F30805">
              <w:rPr>
                <w:rFonts w:ascii="Arial" w:hAnsi="Arial" w:cs="Arial"/>
                <w:b/>
                <w:sz w:val="18"/>
                <w:szCs w:val="18"/>
              </w:rPr>
              <w:t>MTX-Naive</w:t>
            </w:r>
          </w:p>
        </w:tc>
        <w:tc>
          <w:tcPr>
            <w:tcW w:w="3375" w:type="dxa"/>
            <w:gridSpan w:val="5"/>
            <w:shd w:val="clear" w:color="auto" w:fill="auto"/>
            <w:vAlign w:val="center"/>
          </w:tcPr>
          <w:p w14:paraId="01938348" w14:textId="77777777" w:rsidR="00A9173E" w:rsidRPr="00F30805" w:rsidRDefault="00A9173E" w:rsidP="001C766D">
            <w:pPr>
              <w:spacing w:after="0" w:line="240" w:lineRule="auto"/>
              <w:jc w:val="center"/>
              <w:rPr>
                <w:rFonts w:ascii="Arial" w:hAnsi="Arial" w:cs="Arial"/>
                <w:b/>
                <w:sz w:val="18"/>
                <w:szCs w:val="18"/>
              </w:rPr>
            </w:pPr>
            <w:r w:rsidRPr="00F30805">
              <w:rPr>
                <w:rFonts w:ascii="Arial" w:hAnsi="Arial" w:cs="Arial"/>
                <w:b/>
                <w:sz w:val="18"/>
                <w:szCs w:val="18"/>
              </w:rPr>
              <w:t>SELECT</w:t>
            </w:r>
            <w:r w:rsidR="00B57D82" w:rsidRPr="00F30805">
              <w:rPr>
                <w:rFonts w:ascii="Arial" w:hAnsi="Arial" w:cs="Arial"/>
                <w:b/>
                <w:sz w:val="18"/>
                <w:szCs w:val="18"/>
              </w:rPr>
              <w:t xml:space="preserve"> </w:t>
            </w:r>
            <w:r w:rsidRPr="00F30805">
              <w:rPr>
                <w:rFonts w:ascii="Arial" w:hAnsi="Arial" w:cs="Arial"/>
                <w:b/>
                <w:sz w:val="18"/>
                <w:szCs w:val="18"/>
              </w:rPr>
              <w:t>COMPARE</w:t>
            </w:r>
          </w:p>
          <w:p w14:paraId="1320153C" w14:textId="77777777" w:rsidR="00A9173E" w:rsidRPr="00F30805" w:rsidRDefault="00A9173E" w:rsidP="001C766D">
            <w:pPr>
              <w:spacing w:after="0" w:line="240" w:lineRule="auto"/>
              <w:jc w:val="center"/>
              <w:rPr>
                <w:rFonts w:ascii="Arial" w:hAnsi="Arial" w:cs="Arial"/>
                <w:b/>
                <w:sz w:val="18"/>
                <w:szCs w:val="18"/>
              </w:rPr>
            </w:pPr>
            <w:r w:rsidRPr="00F30805">
              <w:rPr>
                <w:rFonts w:ascii="Arial" w:hAnsi="Arial" w:cs="Arial"/>
                <w:b/>
                <w:sz w:val="18"/>
                <w:szCs w:val="18"/>
              </w:rPr>
              <w:t>MTX-IR</w:t>
            </w:r>
          </w:p>
        </w:tc>
      </w:tr>
      <w:tr w:rsidR="00A9173E" w:rsidRPr="00F30805" w14:paraId="2EAD3CF7" w14:textId="77777777" w:rsidTr="00B57D82">
        <w:trPr>
          <w:trHeight w:val="423"/>
          <w:jc w:val="center"/>
        </w:trPr>
        <w:tc>
          <w:tcPr>
            <w:tcW w:w="3360" w:type="dxa"/>
            <w:shd w:val="clear" w:color="auto" w:fill="auto"/>
            <w:vAlign w:val="center"/>
          </w:tcPr>
          <w:p w14:paraId="0A51B4B3"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Treatment Group</w:t>
            </w:r>
          </w:p>
        </w:tc>
        <w:tc>
          <w:tcPr>
            <w:tcW w:w="986" w:type="dxa"/>
            <w:gridSpan w:val="2"/>
            <w:shd w:val="clear" w:color="auto" w:fill="auto"/>
            <w:vAlign w:val="center"/>
          </w:tcPr>
          <w:p w14:paraId="7B8DF092"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MTX</w:t>
            </w:r>
          </w:p>
        </w:tc>
        <w:tc>
          <w:tcPr>
            <w:tcW w:w="985" w:type="dxa"/>
            <w:shd w:val="clear" w:color="auto" w:fill="auto"/>
            <w:vAlign w:val="center"/>
          </w:tcPr>
          <w:p w14:paraId="0F52FE10"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UPA</w:t>
            </w:r>
          </w:p>
          <w:p w14:paraId="7DE96A60"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15 mg</w:t>
            </w:r>
          </w:p>
        </w:tc>
        <w:tc>
          <w:tcPr>
            <w:tcW w:w="985" w:type="dxa"/>
            <w:shd w:val="clear" w:color="auto" w:fill="auto"/>
            <w:vAlign w:val="center"/>
          </w:tcPr>
          <w:p w14:paraId="7EA2D869" w14:textId="478AFB5A"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PBO</w:t>
            </w:r>
          </w:p>
        </w:tc>
        <w:tc>
          <w:tcPr>
            <w:tcW w:w="985" w:type="dxa"/>
            <w:gridSpan w:val="3"/>
            <w:shd w:val="clear" w:color="auto" w:fill="auto"/>
            <w:vAlign w:val="center"/>
          </w:tcPr>
          <w:p w14:paraId="485537F1"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UPA</w:t>
            </w:r>
          </w:p>
          <w:p w14:paraId="085005E0"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15mg</w:t>
            </w:r>
          </w:p>
        </w:tc>
        <w:tc>
          <w:tcPr>
            <w:tcW w:w="1405" w:type="dxa"/>
            <w:shd w:val="clear" w:color="auto" w:fill="auto"/>
            <w:vAlign w:val="center"/>
          </w:tcPr>
          <w:p w14:paraId="00FE1661"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ADA</w:t>
            </w:r>
            <w:r w:rsidRPr="00F30805" w:rsidDel="00C37265">
              <w:rPr>
                <w:rFonts w:ascii="Arial" w:hAnsi="Arial" w:cs="Arial"/>
                <w:sz w:val="18"/>
                <w:szCs w:val="18"/>
              </w:rPr>
              <w:t xml:space="preserve"> </w:t>
            </w:r>
            <w:r w:rsidRPr="00F30805">
              <w:rPr>
                <w:rFonts w:ascii="Arial" w:hAnsi="Arial" w:cs="Arial"/>
                <w:sz w:val="18"/>
                <w:szCs w:val="18"/>
              </w:rPr>
              <w:t xml:space="preserve">40mg </w:t>
            </w:r>
          </w:p>
        </w:tc>
      </w:tr>
      <w:tr w:rsidR="00A9173E" w:rsidRPr="00F30805" w14:paraId="2DFA35C8" w14:textId="77777777" w:rsidTr="00B57D82">
        <w:trPr>
          <w:trHeight w:val="211"/>
          <w:jc w:val="center"/>
        </w:trPr>
        <w:tc>
          <w:tcPr>
            <w:tcW w:w="8706" w:type="dxa"/>
            <w:gridSpan w:val="9"/>
            <w:shd w:val="clear" w:color="auto" w:fill="auto"/>
            <w:vAlign w:val="center"/>
          </w:tcPr>
          <w:p w14:paraId="47088C46" w14:textId="77777777" w:rsidR="00A9173E" w:rsidRPr="00F30805" w:rsidRDefault="00A9173E" w:rsidP="001C766D">
            <w:pPr>
              <w:spacing w:after="0" w:line="240" w:lineRule="auto"/>
              <w:rPr>
                <w:rFonts w:ascii="Arial" w:hAnsi="Arial" w:cs="Arial"/>
                <w:b/>
                <w:sz w:val="18"/>
                <w:szCs w:val="18"/>
              </w:rPr>
            </w:pPr>
            <w:r w:rsidRPr="00F30805">
              <w:rPr>
                <w:rFonts w:ascii="Arial" w:hAnsi="Arial" w:cs="Arial"/>
                <w:b/>
                <w:sz w:val="18"/>
                <w:szCs w:val="18"/>
              </w:rPr>
              <w:t>Modified Total Sharps Score, mean change from baseline</w:t>
            </w:r>
          </w:p>
        </w:tc>
      </w:tr>
      <w:tr w:rsidR="00A9173E" w:rsidRPr="00F30805" w14:paraId="5B83E561" w14:textId="77777777" w:rsidTr="00B57D82">
        <w:trPr>
          <w:trHeight w:val="235"/>
          <w:jc w:val="center"/>
        </w:trPr>
        <w:tc>
          <w:tcPr>
            <w:tcW w:w="3360" w:type="dxa"/>
            <w:shd w:val="clear" w:color="auto" w:fill="auto"/>
            <w:vAlign w:val="center"/>
          </w:tcPr>
          <w:p w14:paraId="72EDFB71" w14:textId="6A79F834" w:rsidR="00A9173E" w:rsidRPr="00F30805" w:rsidRDefault="00A9173E" w:rsidP="001C766D">
            <w:pPr>
              <w:spacing w:after="0" w:line="240" w:lineRule="auto"/>
              <w:rPr>
                <w:rFonts w:ascii="Arial" w:hAnsi="Arial" w:cs="Arial"/>
                <w:sz w:val="18"/>
                <w:szCs w:val="18"/>
              </w:rPr>
            </w:pPr>
            <w:r w:rsidRPr="00F30805">
              <w:rPr>
                <w:rFonts w:ascii="Arial" w:hAnsi="Arial" w:cs="Arial"/>
                <w:sz w:val="18"/>
                <w:szCs w:val="18"/>
              </w:rPr>
              <w:t>Week 24</w:t>
            </w:r>
            <w:r w:rsidR="00423C96" w:rsidRPr="00F30805">
              <w:rPr>
                <w:rFonts w:ascii="Arial" w:hAnsi="Arial" w:cs="Arial"/>
                <w:sz w:val="18"/>
                <w:szCs w:val="18"/>
                <w:vertAlign w:val="superscript"/>
              </w:rPr>
              <w:t>a</w:t>
            </w:r>
            <w:r w:rsidRPr="00F30805">
              <w:rPr>
                <w:rFonts w:ascii="Arial" w:hAnsi="Arial" w:cs="Arial"/>
                <w:sz w:val="18"/>
                <w:szCs w:val="18"/>
              </w:rPr>
              <w:t>/26</w:t>
            </w:r>
            <w:r w:rsidR="00423C96" w:rsidRPr="00F30805">
              <w:rPr>
                <w:rFonts w:ascii="Arial" w:hAnsi="Arial" w:cs="Arial"/>
                <w:sz w:val="18"/>
                <w:szCs w:val="18"/>
                <w:vertAlign w:val="superscript"/>
              </w:rPr>
              <w:t>b</w:t>
            </w:r>
          </w:p>
        </w:tc>
        <w:tc>
          <w:tcPr>
            <w:tcW w:w="953" w:type="dxa"/>
            <w:shd w:val="clear" w:color="auto" w:fill="auto"/>
            <w:vAlign w:val="center"/>
          </w:tcPr>
          <w:p w14:paraId="2ED40A53"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0.7</w:t>
            </w:r>
          </w:p>
        </w:tc>
        <w:tc>
          <w:tcPr>
            <w:tcW w:w="1018" w:type="dxa"/>
            <w:gridSpan w:val="2"/>
            <w:shd w:val="clear" w:color="auto" w:fill="auto"/>
            <w:vAlign w:val="center"/>
          </w:tcPr>
          <w:p w14:paraId="179CD7C3" w14:textId="6433DD06"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0.1</w:t>
            </w:r>
            <w:r w:rsidR="00EF33A3" w:rsidRPr="00F30805">
              <w:rPr>
                <w:rFonts w:ascii="Arial" w:hAnsi="Arial" w:cs="Arial"/>
                <w:sz w:val="18"/>
                <w:szCs w:val="18"/>
                <w:vertAlign w:val="superscript"/>
              </w:rPr>
              <w:t>e</w:t>
            </w:r>
          </w:p>
        </w:tc>
        <w:tc>
          <w:tcPr>
            <w:tcW w:w="1013" w:type="dxa"/>
            <w:gridSpan w:val="2"/>
            <w:shd w:val="clear" w:color="auto" w:fill="auto"/>
            <w:vAlign w:val="center"/>
          </w:tcPr>
          <w:p w14:paraId="770E23DC"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0.9</w:t>
            </w:r>
          </w:p>
        </w:tc>
        <w:tc>
          <w:tcPr>
            <w:tcW w:w="934" w:type="dxa"/>
            <w:shd w:val="clear" w:color="auto" w:fill="auto"/>
            <w:vAlign w:val="center"/>
          </w:tcPr>
          <w:p w14:paraId="7482AED2" w14:textId="34B30BDE"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0.2</w:t>
            </w:r>
            <w:r w:rsidR="00424CB8" w:rsidRPr="00F30805">
              <w:rPr>
                <w:rFonts w:ascii="Arial" w:hAnsi="Arial" w:cs="Arial"/>
                <w:sz w:val="18"/>
                <w:szCs w:val="18"/>
                <w:vertAlign w:val="superscript"/>
              </w:rPr>
              <w:t>d</w:t>
            </w:r>
          </w:p>
        </w:tc>
        <w:tc>
          <w:tcPr>
            <w:tcW w:w="1428" w:type="dxa"/>
            <w:gridSpan w:val="2"/>
            <w:shd w:val="clear" w:color="auto" w:fill="auto"/>
            <w:vAlign w:val="center"/>
          </w:tcPr>
          <w:p w14:paraId="5479B0E3"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0.1</w:t>
            </w:r>
          </w:p>
        </w:tc>
      </w:tr>
      <w:tr w:rsidR="00A9173E" w:rsidRPr="00F30805" w14:paraId="11E5F721" w14:textId="77777777" w:rsidTr="00B57D82">
        <w:trPr>
          <w:trHeight w:val="211"/>
          <w:jc w:val="center"/>
        </w:trPr>
        <w:tc>
          <w:tcPr>
            <w:tcW w:w="8706" w:type="dxa"/>
            <w:gridSpan w:val="9"/>
            <w:shd w:val="clear" w:color="auto" w:fill="auto"/>
            <w:vAlign w:val="center"/>
          </w:tcPr>
          <w:p w14:paraId="754FCFDB" w14:textId="77777777" w:rsidR="00A9173E" w:rsidRPr="00F30805" w:rsidRDefault="00A9173E" w:rsidP="001C766D">
            <w:pPr>
              <w:spacing w:after="0" w:line="240" w:lineRule="auto"/>
              <w:rPr>
                <w:rFonts w:ascii="Arial" w:hAnsi="Arial" w:cs="Arial"/>
                <w:b/>
                <w:sz w:val="18"/>
                <w:szCs w:val="18"/>
              </w:rPr>
            </w:pPr>
            <w:r w:rsidRPr="00F30805">
              <w:rPr>
                <w:rFonts w:ascii="Arial" w:hAnsi="Arial" w:cs="Arial"/>
                <w:b/>
                <w:sz w:val="18"/>
                <w:szCs w:val="18"/>
              </w:rPr>
              <w:t>Erosion Score, mean change from baseline</w:t>
            </w:r>
          </w:p>
        </w:tc>
      </w:tr>
      <w:tr w:rsidR="00A9173E" w:rsidRPr="00F30805" w14:paraId="26843DD1" w14:textId="77777777" w:rsidTr="00B57D82">
        <w:trPr>
          <w:trHeight w:val="223"/>
          <w:jc w:val="center"/>
        </w:trPr>
        <w:tc>
          <w:tcPr>
            <w:tcW w:w="3360" w:type="dxa"/>
            <w:shd w:val="clear" w:color="auto" w:fill="auto"/>
            <w:vAlign w:val="center"/>
          </w:tcPr>
          <w:p w14:paraId="3E466D0D" w14:textId="163E0AA6" w:rsidR="00A9173E" w:rsidRPr="00F30805" w:rsidRDefault="00A9173E" w:rsidP="001C766D">
            <w:pPr>
              <w:spacing w:after="0" w:line="240" w:lineRule="auto"/>
              <w:rPr>
                <w:rFonts w:ascii="Arial" w:hAnsi="Arial" w:cs="Arial"/>
                <w:sz w:val="18"/>
                <w:szCs w:val="18"/>
              </w:rPr>
            </w:pPr>
            <w:r w:rsidRPr="00F30805">
              <w:rPr>
                <w:rFonts w:ascii="Arial" w:hAnsi="Arial" w:cs="Arial"/>
                <w:sz w:val="18"/>
                <w:szCs w:val="18"/>
              </w:rPr>
              <w:t>Week 24</w:t>
            </w:r>
            <w:r w:rsidR="00423C96" w:rsidRPr="00F30805">
              <w:rPr>
                <w:rFonts w:ascii="Arial" w:hAnsi="Arial" w:cs="Arial"/>
                <w:sz w:val="18"/>
                <w:szCs w:val="18"/>
                <w:vertAlign w:val="superscript"/>
              </w:rPr>
              <w:t>a</w:t>
            </w:r>
            <w:r w:rsidRPr="00F30805">
              <w:rPr>
                <w:rFonts w:ascii="Arial" w:hAnsi="Arial" w:cs="Arial"/>
                <w:sz w:val="18"/>
                <w:szCs w:val="18"/>
              </w:rPr>
              <w:t>/26</w:t>
            </w:r>
            <w:r w:rsidR="00423C96" w:rsidRPr="00F30805">
              <w:rPr>
                <w:rFonts w:ascii="Arial" w:hAnsi="Arial" w:cs="Arial"/>
                <w:sz w:val="18"/>
                <w:szCs w:val="18"/>
                <w:vertAlign w:val="superscript"/>
              </w:rPr>
              <w:t>b</w:t>
            </w:r>
          </w:p>
        </w:tc>
        <w:tc>
          <w:tcPr>
            <w:tcW w:w="953" w:type="dxa"/>
            <w:shd w:val="clear" w:color="auto" w:fill="auto"/>
            <w:vAlign w:val="center"/>
          </w:tcPr>
          <w:p w14:paraId="2ED2712D"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0.3</w:t>
            </w:r>
          </w:p>
        </w:tc>
        <w:tc>
          <w:tcPr>
            <w:tcW w:w="1018" w:type="dxa"/>
            <w:gridSpan w:val="2"/>
            <w:shd w:val="clear" w:color="auto" w:fill="auto"/>
            <w:vAlign w:val="center"/>
          </w:tcPr>
          <w:p w14:paraId="5A4CA2F0" w14:textId="652B386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0.1</w:t>
            </w:r>
            <w:r w:rsidR="00905943" w:rsidRPr="00F30805">
              <w:rPr>
                <w:rFonts w:ascii="Arial" w:hAnsi="Arial" w:cs="Arial"/>
                <w:sz w:val="18"/>
                <w:szCs w:val="18"/>
                <w:vertAlign w:val="superscript"/>
              </w:rPr>
              <w:t>d</w:t>
            </w:r>
          </w:p>
        </w:tc>
        <w:tc>
          <w:tcPr>
            <w:tcW w:w="1013" w:type="dxa"/>
            <w:gridSpan w:val="2"/>
            <w:shd w:val="clear" w:color="auto" w:fill="auto"/>
            <w:vAlign w:val="center"/>
          </w:tcPr>
          <w:p w14:paraId="4913B7FD"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0.4</w:t>
            </w:r>
          </w:p>
        </w:tc>
        <w:tc>
          <w:tcPr>
            <w:tcW w:w="934" w:type="dxa"/>
            <w:shd w:val="clear" w:color="auto" w:fill="auto"/>
            <w:vAlign w:val="center"/>
          </w:tcPr>
          <w:p w14:paraId="148646D8" w14:textId="461FA6CD"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w:t>
            </w:r>
            <w:r w:rsidR="008318B5" w:rsidRPr="00F30805">
              <w:rPr>
                <w:rFonts w:ascii="Arial" w:hAnsi="Arial" w:cs="Arial"/>
                <w:sz w:val="18"/>
                <w:szCs w:val="18"/>
                <w:vertAlign w:val="superscript"/>
              </w:rPr>
              <w:t>d</w:t>
            </w:r>
          </w:p>
        </w:tc>
        <w:tc>
          <w:tcPr>
            <w:tcW w:w="1428" w:type="dxa"/>
            <w:gridSpan w:val="2"/>
            <w:shd w:val="clear" w:color="auto" w:fill="auto"/>
            <w:vAlign w:val="center"/>
          </w:tcPr>
          <w:p w14:paraId="7E588F73"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w:t>
            </w:r>
          </w:p>
        </w:tc>
      </w:tr>
      <w:tr w:rsidR="00A9173E" w:rsidRPr="00F30805" w14:paraId="70F45929" w14:textId="77777777" w:rsidTr="006C3397">
        <w:trPr>
          <w:trHeight w:val="332"/>
          <w:jc w:val="center"/>
        </w:trPr>
        <w:tc>
          <w:tcPr>
            <w:tcW w:w="8706" w:type="dxa"/>
            <w:gridSpan w:val="9"/>
            <w:shd w:val="clear" w:color="auto" w:fill="auto"/>
            <w:vAlign w:val="center"/>
          </w:tcPr>
          <w:p w14:paraId="0BFC812D" w14:textId="77777777" w:rsidR="00A9173E" w:rsidRPr="00F30805" w:rsidRDefault="00A9173E" w:rsidP="001C766D">
            <w:pPr>
              <w:spacing w:after="0" w:line="240" w:lineRule="auto"/>
              <w:rPr>
                <w:rFonts w:ascii="Arial" w:hAnsi="Arial" w:cs="Arial"/>
                <w:b/>
                <w:sz w:val="18"/>
                <w:szCs w:val="18"/>
              </w:rPr>
            </w:pPr>
            <w:r w:rsidRPr="00F30805">
              <w:rPr>
                <w:rFonts w:ascii="Arial" w:hAnsi="Arial" w:cs="Arial"/>
                <w:b/>
                <w:sz w:val="18"/>
                <w:szCs w:val="18"/>
              </w:rPr>
              <w:t>Joint Space Narrowing Score, mean change from baseline</w:t>
            </w:r>
          </w:p>
        </w:tc>
      </w:tr>
      <w:tr w:rsidR="00A9173E" w:rsidRPr="00F30805" w14:paraId="2D40F91B" w14:textId="77777777" w:rsidTr="00B57D82">
        <w:trPr>
          <w:trHeight w:val="223"/>
          <w:jc w:val="center"/>
        </w:trPr>
        <w:tc>
          <w:tcPr>
            <w:tcW w:w="3360" w:type="dxa"/>
            <w:shd w:val="clear" w:color="auto" w:fill="auto"/>
            <w:vAlign w:val="center"/>
          </w:tcPr>
          <w:p w14:paraId="690D747A" w14:textId="39507F9B" w:rsidR="00A9173E" w:rsidRPr="00F30805" w:rsidRDefault="00A9173E" w:rsidP="001C766D">
            <w:pPr>
              <w:spacing w:after="0" w:line="240" w:lineRule="auto"/>
              <w:rPr>
                <w:rFonts w:ascii="Arial" w:hAnsi="Arial" w:cs="Arial"/>
                <w:sz w:val="18"/>
                <w:szCs w:val="18"/>
              </w:rPr>
            </w:pPr>
            <w:r w:rsidRPr="00F30805">
              <w:rPr>
                <w:rFonts w:ascii="Arial" w:hAnsi="Arial" w:cs="Arial"/>
                <w:sz w:val="18"/>
                <w:szCs w:val="18"/>
              </w:rPr>
              <w:t>Week 24</w:t>
            </w:r>
            <w:r w:rsidR="00423C96" w:rsidRPr="00F30805">
              <w:rPr>
                <w:rFonts w:ascii="Arial" w:hAnsi="Arial" w:cs="Arial"/>
                <w:sz w:val="18"/>
                <w:szCs w:val="18"/>
                <w:vertAlign w:val="superscript"/>
              </w:rPr>
              <w:t>a</w:t>
            </w:r>
            <w:r w:rsidRPr="00F30805">
              <w:rPr>
                <w:rFonts w:ascii="Arial" w:hAnsi="Arial" w:cs="Arial"/>
                <w:sz w:val="18"/>
                <w:szCs w:val="18"/>
              </w:rPr>
              <w:t>/26</w:t>
            </w:r>
            <w:r w:rsidR="00423C96" w:rsidRPr="00F30805">
              <w:rPr>
                <w:rFonts w:ascii="Arial" w:hAnsi="Arial" w:cs="Arial"/>
                <w:sz w:val="18"/>
                <w:szCs w:val="18"/>
                <w:vertAlign w:val="superscript"/>
              </w:rPr>
              <w:t>b</w:t>
            </w:r>
          </w:p>
        </w:tc>
        <w:tc>
          <w:tcPr>
            <w:tcW w:w="953" w:type="dxa"/>
            <w:shd w:val="clear" w:color="auto" w:fill="auto"/>
            <w:vAlign w:val="center"/>
          </w:tcPr>
          <w:p w14:paraId="443A4C74"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0.3</w:t>
            </w:r>
          </w:p>
        </w:tc>
        <w:tc>
          <w:tcPr>
            <w:tcW w:w="1018" w:type="dxa"/>
            <w:gridSpan w:val="2"/>
            <w:shd w:val="clear" w:color="auto" w:fill="auto"/>
            <w:vAlign w:val="center"/>
          </w:tcPr>
          <w:p w14:paraId="0B93D9B5" w14:textId="603C20E4"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0.1</w:t>
            </w:r>
            <w:r w:rsidR="00905943" w:rsidRPr="00F30805">
              <w:rPr>
                <w:rFonts w:ascii="Arial" w:hAnsi="Arial" w:cs="Arial"/>
                <w:sz w:val="18"/>
                <w:szCs w:val="18"/>
                <w:vertAlign w:val="superscript"/>
              </w:rPr>
              <w:t>f</w:t>
            </w:r>
          </w:p>
        </w:tc>
        <w:tc>
          <w:tcPr>
            <w:tcW w:w="1013" w:type="dxa"/>
            <w:gridSpan w:val="2"/>
            <w:shd w:val="clear" w:color="auto" w:fill="auto"/>
            <w:vAlign w:val="center"/>
          </w:tcPr>
          <w:p w14:paraId="4213A6E2"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0.6</w:t>
            </w:r>
          </w:p>
        </w:tc>
        <w:tc>
          <w:tcPr>
            <w:tcW w:w="934" w:type="dxa"/>
            <w:shd w:val="clear" w:color="auto" w:fill="auto"/>
            <w:vAlign w:val="center"/>
          </w:tcPr>
          <w:p w14:paraId="06F5F370" w14:textId="7DC6C4E2"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0.2</w:t>
            </w:r>
            <w:r w:rsidR="008318B5" w:rsidRPr="00F30805">
              <w:rPr>
                <w:rFonts w:ascii="Arial" w:hAnsi="Arial" w:cs="Arial"/>
                <w:sz w:val="18"/>
                <w:szCs w:val="18"/>
                <w:vertAlign w:val="superscript"/>
              </w:rPr>
              <w:t>d</w:t>
            </w:r>
          </w:p>
        </w:tc>
        <w:tc>
          <w:tcPr>
            <w:tcW w:w="1428" w:type="dxa"/>
            <w:gridSpan w:val="2"/>
            <w:shd w:val="clear" w:color="auto" w:fill="auto"/>
            <w:vAlign w:val="center"/>
          </w:tcPr>
          <w:p w14:paraId="2488C02B"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0.1</w:t>
            </w:r>
          </w:p>
        </w:tc>
      </w:tr>
      <w:tr w:rsidR="00A9173E" w:rsidRPr="00F30805" w14:paraId="70E64CF7" w14:textId="77777777" w:rsidTr="00B57D82">
        <w:trPr>
          <w:trHeight w:val="223"/>
          <w:jc w:val="center"/>
        </w:trPr>
        <w:tc>
          <w:tcPr>
            <w:tcW w:w="8706" w:type="dxa"/>
            <w:gridSpan w:val="9"/>
            <w:shd w:val="clear" w:color="auto" w:fill="auto"/>
            <w:vAlign w:val="center"/>
          </w:tcPr>
          <w:p w14:paraId="3ABC9D2B" w14:textId="4D7C0E2F" w:rsidR="00A9173E" w:rsidRPr="00F30805" w:rsidRDefault="00A9173E" w:rsidP="001C766D">
            <w:pPr>
              <w:spacing w:after="0" w:line="240" w:lineRule="auto"/>
              <w:rPr>
                <w:rFonts w:ascii="Arial" w:hAnsi="Arial" w:cs="Arial"/>
                <w:b/>
                <w:sz w:val="18"/>
                <w:szCs w:val="18"/>
              </w:rPr>
            </w:pPr>
            <w:r w:rsidRPr="00F30805">
              <w:rPr>
                <w:rFonts w:ascii="Arial" w:hAnsi="Arial" w:cs="Arial"/>
                <w:b/>
                <w:sz w:val="18"/>
                <w:szCs w:val="18"/>
              </w:rPr>
              <w:t xml:space="preserve">Proportion of patients with no radiographic </w:t>
            </w:r>
            <w:proofErr w:type="spellStart"/>
            <w:r w:rsidRPr="00F30805">
              <w:rPr>
                <w:rFonts w:ascii="Arial" w:hAnsi="Arial" w:cs="Arial"/>
                <w:b/>
                <w:sz w:val="18"/>
                <w:szCs w:val="18"/>
              </w:rPr>
              <w:t>progression</w:t>
            </w:r>
            <w:r w:rsidR="00424CB8" w:rsidRPr="00F30805">
              <w:rPr>
                <w:rFonts w:ascii="Arial" w:hAnsi="Arial" w:cs="Arial"/>
                <w:b/>
                <w:sz w:val="18"/>
                <w:szCs w:val="18"/>
                <w:vertAlign w:val="superscript"/>
              </w:rPr>
              <w:t>c</w:t>
            </w:r>
            <w:proofErr w:type="spellEnd"/>
          </w:p>
        </w:tc>
      </w:tr>
      <w:tr w:rsidR="00A9173E" w:rsidRPr="00F30805" w14:paraId="10927E97" w14:textId="77777777" w:rsidTr="00B57D82">
        <w:trPr>
          <w:trHeight w:val="223"/>
          <w:jc w:val="center"/>
        </w:trPr>
        <w:tc>
          <w:tcPr>
            <w:tcW w:w="3360" w:type="dxa"/>
            <w:shd w:val="clear" w:color="auto" w:fill="auto"/>
            <w:vAlign w:val="center"/>
          </w:tcPr>
          <w:p w14:paraId="4E239179" w14:textId="42D3C221" w:rsidR="00A9173E" w:rsidRPr="00F30805" w:rsidRDefault="00A9173E" w:rsidP="001C766D">
            <w:pPr>
              <w:spacing w:after="0" w:line="240" w:lineRule="auto"/>
              <w:rPr>
                <w:rFonts w:ascii="Arial" w:hAnsi="Arial" w:cs="Arial"/>
                <w:sz w:val="18"/>
                <w:szCs w:val="18"/>
              </w:rPr>
            </w:pPr>
            <w:r w:rsidRPr="00F30805">
              <w:rPr>
                <w:rFonts w:ascii="Arial" w:hAnsi="Arial" w:cs="Arial"/>
                <w:sz w:val="18"/>
                <w:szCs w:val="18"/>
              </w:rPr>
              <w:t>Week 24</w:t>
            </w:r>
            <w:r w:rsidR="00423C96" w:rsidRPr="00F30805">
              <w:rPr>
                <w:rFonts w:ascii="Arial" w:hAnsi="Arial" w:cs="Arial"/>
                <w:sz w:val="18"/>
                <w:szCs w:val="18"/>
                <w:vertAlign w:val="superscript"/>
              </w:rPr>
              <w:t>a</w:t>
            </w:r>
            <w:r w:rsidRPr="00F30805">
              <w:rPr>
                <w:rFonts w:ascii="Arial" w:hAnsi="Arial" w:cs="Arial"/>
                <w:sz w:val="18"/>
                <w:szCs w:val="18"/>
              </w:rPr>
              <w:t>/26</w:t>
            </w:r>
            <w:r w:rsidR="00423C96" w:rsidRPr="00F30805">
              <w:rPr>
                <w:rFonts w:ascii="Arial" w:hAnsi="Arial" w:cs="Arial"/>
                <w:sz w:val="18"/>
                <w:szCs w:val="18"/>
                <w:vertAlign w:val="superscript"/>
              </w:rPr>
              <w:t>b</w:t>
            </w:r>
          </w:p>
        </w:tc>
        <w:tc>
          <w:tcPr>
            <w:tcW w:w="953" w:type="dxa"/>
            <w:shd w:val="clear" w:color="auto" w:fill="auto"/>
            <w:vAlign w:val="center"/>
          </w:tcPr>
          <w:p w14:paraId="45909E9B"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77.7</w:t>
            </w:r>
          </w:p>
        </w:tc>
        <w:tc>
          <w:tcPr>
            <w:tcW w:w="1018" w:type="dxa"/>
            <w:gridSpan w:val="2"/>
            <w:shd w:val="clear" w:color="auto" w:fill="auto"/>
            <w:vAlign w:val="center"/>
          </w:tcPr>
          <w:p w14:paraId="58217D5E" w14:textId="50CB4BF9"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87.5</w:t>
            </w:r>
            <w:r w:rsidR="00EF33A3" w:rsidRPr="00F30805">
              <w:rPr>
                <w:rFonts w:ascii="Arial" w:hAnsi="Arial" w:cs="Arial"/>
                <w:sz w:val="18"/>
                <w:szCs w:val="18"/>
                <w:vertAlign w:val="superscript"/>
              </w:rPr>
              <w:t>e</w:t>
            </w:r>
          </w:p>
        </w:tc>
        <w:tc>
          <w:tcPr>
            <w:tcW w:w="1013" w:type="dxa"/>
            <w:gridSpan w:val="2"/>
            <w:shd w:val="clear" w:color="auto" w:fill="auto"/>
            <w:vAlign w:val="center"/>
          </w:tcPr>
          <w:p w14:paraId="17D36FEB"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76.0</w:t>
            </w:r>
          </w:p>
        </w:tc>
        <w:tc>
          <w:tcPr>
            <w:tcW w:w="934" w:type="dxa"/>
            <w:shd w:val="clear" w:color="auto" w:fill="auto"/>
            <w:vAlign w:val="center"/>
          </w:tcPr>
          <w:p w14:paraId="25794C03" w14:textId="222E5D16"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83.5</w:t>
            </w:r>
            <w:r w:rsidR="00EF33A3" w:rsidRPr="00F30805">
              <w:rPr>
                <w:rFonts w:ascii="Arial" w:hAnsi="Arial" w:cs="Arial"/>
                <w:sz w:val="18"/>
                <w:szCs w:val="18"/>
                <w:vertAlign w:val="superscript"/>
              </w:rPr>
              <w:t>e</w:t>
            </w:r>
          </w:p>
        </w:tc>
        <w:tc>
          <w:tcPr>
            <w:tcW w:w="1428" w:type="dxa"/>
            <w:gridSpan w:val="2"/>
            <w:shd w:val="clear" w:color="auto" w:fill="auto"/>
            <w:vAlign w:val="center"/>
          </w:tcPr>
          <w:p w14:paraId="3965C710" w14:textId="77777777" w:rsidR="00A9173E" w:rsidRPr="00F30805" w:rsidRDefault="00A9173E" w:rsidP="001C766D">
            <w:pPr>
              <w:spacing w:after="0" w:line="240" w:lineRule="auto"/>
              <w:jc w:val="center"/>
              <w:rPr>
                <w:rFonts w:ascii="Arial" w:hAnsi="Arial" w:cs="Arial"/>
                <w:sz w:val="18"/>
                <w:szCs w:val="18"/>
              </w:rPr>
            </w:pPr>
            <w:r w:rsidRPr="00F30805">
              <w:rPr>
                <w:rFonts w:ascii="Arial" w:hAnsi="Arial" w:cs="Arial"/>
                <w:sz w:val="18"/>
                <w:szCs w:val="18"/>
              </w:rPr>
              <w:t>86.8</w:t>
            </w:r>
          </w:p>
        </w:tc>
      </w:tr>
      <w:tr w:rsidR="00A9173E" w:rsidRPr="00F30805" w14:paraId="1479BB8C" w14:textId="77777777" w:rsidTr="00B57D82">
        <w:trPr>
          <w:trHeight w:val="235"/>
          <w:jc w:val="center"/>
        </w:trPr>
        <w:tc>
          <w:tcPr>
            <w:tcW w:w="8706" w:type="dxa"/>
            <w:gridSpan w:val="9"/>
            <w:shd w:val="clear" w:color="auto" w:fill="auto"/>
            <w:vAlign w:val="center"/>
          </w:tcPr>
          <w:p w14:paraId="5C3097AD" w14:textId="77777777" w:rsidR="00A9173E" w:rsidRPr="00F30805" w:rsidRDefault="00A9173E" w:rsidP="001C766D">
            <w:pPr>
              <w:spacing w:after="0" w:line="240" w:lineRule="auto"/>
              <w:rPr>
                <w:rFonts w:ascii="Arial" w:hAnsi="Arial" w:cs="Arial"/>
                <w:b/>
                <w:sz w:val="16"/>
                <w:szCs w:val="16"/>
                <w:lang w:val="en-US"/>
              </w:rPr>
            </w:pPr>
            <w:r w:rsidRPr="00F30805">
              <w:rPr>
                <w:rFonts w:ascii="Arial" w:hAnsi="Arial" w:cs="Arial"/>
                <w:b/>
                <w:sz w:val="16"/>
                <w:szCs w:val="16"/>
                <w:lang w:val="en-US"/>
              </w:rPr>
              <w:t xml:space="preserve">Abbreviations: </w:t>
            </w:r>
          </w:p>
          <w:p w14:paraId="4F37B458" w14:textId="77777777" w:rsidR="00A9173E" w:rsidRPr="00F30805" w:rsidRDefault="00A9173E" w:rsidP="001C766D">
            <w:pPr>
              <w:spacing w:after="0" w:line="240" w:lineRule="auto"/>
              <w:rPr>
                <w:rFonts w:ascii="Arial" w:hAnsi="Arial" w:cs="Arial"/>
                <w:sz w:val="16"/>
                <w:szCs w:val="16"/>
                <w:lang w:val="en-US"/>
              </w:rPr>
            </w:pPr>
            <w:r w:rsidRPr="00F30805">
              <w:rPr>
                <w:rFonts w:ascii="Arial" w:hAnsi="Arial" w:cs="Arial"/>
                <w:sz w:val="16"/>
                <w:szCs w:val="16"/>
                <w:lang w:val="en-US"/>
              </w:rPr>
              <w:t>ADA = adalimumab</w:t>
            </w:r>
          </w:p>
          <w:p w14:paraId="270E6E69" w14:textId="77777777" w:rsidR="00A9173E" w:rsidRPr="00F30805" w:rsidRDefault="00A9173E" w:rsidP="001C766D">
            <w:pPr>
              <w:spacing w:after="0" w:line="240" w:lineRule="auto"/>
              <w:rPr>
                <w:rFonts w:ascii="Arial" w:hAnsi="Arial" w:cs="Arial"/>
                <w:sz w:val="16"/>
                <w:szCs w:val="16"/>
                <w:lang w:val="en-US"/>
              </w:rPr>
            </w:pPr>
            <w:r w:rsidRPr="00F30805">
              <w:rPr>
                <w:rFonts w:ascii="Arial" w:hAnsi="Arial" w:cs="Arial"/>
                <w:sz w:val="16"/>
                <w:szCs w:val="16"/>
                <w:lang w:val="en-US"/>
              </w:rPr>
              <w:t>IR = inadequate responder</w:t>
            </w:r>
          </w:p>
          <w:p w14:paraId="6FAE6ED5" w14:textId="77777777" w:rsidR="00A9173E" w:rsidRPr="00F30805" w:rsidRDefault="00A9173E" w:rsidP="001C766D">
            <w:pPr>
              <w:spacing w:after="0" w:line="240" w:lineRule="auto"/>
              <w:rPr>
                <w:rFonts w:ascii="Arial" w:hAnsi="Arial" w:cs="Arial"/>
                <w:sz w:val="16"/>
                <w:szCs w:val="16"/>
                <w:lang w:val="en-US"/>
              </w:rPr>
            </w:pPr>
            <w:r w:rsidRPr="00F30805">
              <w:rPr>
                <w:rFonts w:ascii="Arial" w:hAnsi="Arial" w:cs="Arial"/>
                <w:sz w:val="16"/>
                <w:szCs w:val="16"/>
                <w:lang w:val="en-US"/>
              </w:rPr>
              <w:t>MTX = methotrexate</w:t>
            </w:r>
          </w:p>
          <w:p w14:paraId="11DEE688" w14:textId="77777777" w:rsidR="00A9173E" w:rsidRPr="00F30805" w:rsidRDefault="00A9173E" w:rsidP="001C766D">
            <w:pPr>
              <w:spacing w:after="0" w:line="240" w:lineRule="auto"/>
              <w:rPr>
                <w:rFonts w:ascii="Arial" w:hAnsi="Arial" w:cs="Arial"/>
                <w:sz w:val="16"/>
                <w:szCs w:val="16"/>
                <w:lang w:val="en-US"/>
              </w:rPr>
            </w:pPr>
            <w:r w:rsidRPr="00F30805">
              <w:rPr>
                <w:rFonts w:ascii="Arial" w:hAnsi="Arial" w:cs="Arial"/>
                <w:sz w:val="16"/>
                <w:szCs w:val="16"/>
                <w:lang w:val="en-US"/>
              </w:rPr>
              <w:t>PBO = placebo</w:t>
            </w:r>
          </w:p>
          <w:p w14:paraId="2F3E9A57" w14:textId="77777777" w:rsidR="00A9173E" w:rsidRPr="00F30805" w:rsidRDefault="00A9173E" w:rsidP="001C766D">
            <w:pPr>
              <w:spacing w:after="0" w:line="240" w:lineRule="auto"/>
              <w:rPr>
                <w:rFonts w:ascii="Arial" w:hAnsi="Arial" w:cs="Arial"/>
                <w:sz w:val="16"/>
                <w:szCs w:val="16"/>
                <w:lang w:val="en-US"/>
              </w:rPr>
            </w:pPr>
            <w:r w:rsidRPr="00F30805">
              <w:rPr>
                <w:rFonts w:ascii="Arial" w:hAnsi="Arial" w:cs="Arial"/>
                <w:sz w:val="16"/>
                <w:szCs w:val="16"/>
                <w:lang w:val="en-US"/>
              </w:rPr>
              <w:t>UPA= upadacitinib</w:t>
            </w:r>
          </w:p>
          <w:p w14:paraId="018622CA" w14:textId="1E2EB791" w:rsidR="00A9173E" w:rsidRPr="00F30805" w:rsidRDefault="00256BF7" w:rsidP="001C766D">
            <w:pPr>
              <w:spacing w:after="0" w:line="240" w:lineRule="auto"/>
              <w:rPr>
                <w:rFonts w:ascii="Arial" w:hAnsi="Arial" w:cs="Arial"/>
                <w:sz w:val="16"/>
                <w:szCs w:val="16"/>
                <w:lang w:val="en-US"/>
              </w:rPr>
            </w:pPr>
            <w:r w:rsidRPr="00F30805">
              <w:rPr>
                <w:rFonts w:ascii="Arial" w:hAnsi="Arial" w:cs="Arial"/>
                <w:sz w:val="16"/>
                <w:szCs w:val="16"/>
                <w:vertAlign w:val="superscript"/>
                <w:lang w:val="en-US"/>
              </w:rPr>
              <w:t>a</w:t>
            </w:r>
            <w:r w:rsidRPr="00F30805">
              <w:rPr>
                <w:rFonts w:ascii="Arial" w:hAnsi="Arial" w:cs="Arial"/>
                <w:sz w:val="16"/>
                <w:szCs w:val="16"/>
                <w:lang w:val="en-US"/>
              </w:rPr>
              <w:t xml:space="preserve"> </w:t>
            </w:r>
            <w:r w:rsidR="00A9173E" w:rsidRPr="00F30805">
              <w:rPr>
                <w:rFonts w:ascii="Arial" w:hAnsi="Arial" w:cs="Arial"/>
                <w:sz w:val="16"/>
                <w:szCs w:val="16"/>
                <w:lang w:val="en-US"/>
              </w:rPr>
              <w:t>SELECT-EARLY</w:t>
            </w:r>
          </w:p>
          <w:p w14:paraId="11F142E7" w14:textId="509F3611" w:rsidR="00A9173E" w:rsidRPr="00F30805" w:rsidRDefault="00256BF7" w:rsidP="001C766D">
            <w:pPr>
              <w:spacing w:after="0" w:line="240" w:lineRule="auto"/>
              <w:rPr>
                <w:rFonts w:ascii="Arial" w:hAnsi="Arial" w:cs="Arial"/>
                <w:sz w:val="16"/>
                <w:szCs w:val="16"/>
                <w:lang w:val="en-US"/>
              </w:rPr>
            </w:pPr>
            <w:r w:rsidRPr="00F30805">
              <w:rPr>
                <w:rFonts w:ascii="Arial" w:hAnsi="Arial" w:cs="Arial"/>
                <w:sz w:val="16"/>
                <w:szCs w:val="16"/>
                <w:vertAlign w:val="superscript"/>
                <w:lang w:val="en-US"/>
              </w:rPr>
              <w:t xml:space="preserve">b </w:t>
            </w:r>
            <w:r w:rsidR="00A9173E" w:rsidRPr="00F30805">
              <w:rPr>
                <w:rFonts w:ascii="Arial" w:hAnsi="Arial" w:cs="Arial"/>
                <w:sz w:val="16"/>
                <w:szCs w:val="16"/>
                <w:lang w:val="en-US"/>
              </w:rPr>
              <w:t>SELECT-COMPARE</w:t>
            </w:r>
          </w:p>
          <w:p w14:paraId="6FA04F24" w14:textId="59AED5D7" w:rsidR="00A9173E" w:rsidRPr="00F30805" w:rsidRDefault="00256BF7" w:rsidP="001C766D">
            <w:pPr>
              <w:spacing w:after="0" w:line="240" w:lineRule="auto"/>
              <w:rPr>
                <w:rFonts w:ascii="Arial" w:hAnsi="Arial" w:cs="Arial"/>
                <w:sz w:val="16"/>
                <w:szCs w:val="16"/>
                <w:lang w:val="en-US"/>
              </w:rPr>
            </w:pPr>
            <w:r w:rsidRPr="00F30805">
              <w:rPr>
                <w:rFonts w:ascii="Arial" w:hAnsi="Arial" w:cs="Arial"/>
                <w:sz w:val="16"/>
                <w:szCs w:val="16"/>
                <w:vertAlign w:val="superscript"/>
                <w:lang w:val="en-US"/>
              </w:rPr>
              <w:t>c</w:t>
            </w:r>
            <w:r w:rsidRPr="00F30805">
              <w:rPr>
                <w:rFonts w:ascii="Arial" w:hAnsi="Arial" w:cs="Arial"/>
                <w:sz w:val="16"/>
                <w:szCs w:val="16"/>
                <w:lang w:val="en-US"/>
              </w:rPr>
              <w:t xml:space="preserve"> </w:t>
            </w:r>
            <w:r w:rsidR="00A9173E" w:rsidRPr="00F30805">
              <w:rPr>
                <w:rFonts w:ascii="Arial" w:hAnsi="Arial" w:cs="Arial"/>
                <w:sz w:val="16"/>
                <w:szCs w:val="16"/>
                <w:lang w:val="en-US"/>
              </w:rPr>
              <w:t xml:space="preserve">No progression defined as </w:t>
            </w:r>
            <w:proofErr w:type="spellStart"/>
            <w:r w:rsidR="00A9173E" w:rsidRPr="00F30805">
              <w:rPr>
                <w:rFonts w:ascii="Arial" w:hAnsi="Arial" w:cs="Arial"/>
                <w:sz w:val="16"/>
                <w:szCs w:val="16"/>
                <w:lang w:val="en-US"/>
              </w:rPr>
              <w:t>mTSS</w:t>
            </w:r>
            <w:proofErr w:type="spellEnd"/>
            <w:r w:rsidR="00A9173E" w:rsidRPr="00F30805">
              <w:rPr>
                <w:rFonts w:ascii="Arial" w:hAnsi="Arial" w:cs="Arial"/>
                <w:sz w:val="16"/>
                <w:szCs w:val="16"/>
                <w:lang w:val="en-US"/>
              </w:rPr>
              <w:t xml:space="preserve"> change ≤0.</w:t>
            </w:r>
          </w:p>
          <w:p w14:paraId="7408F865" w14:textId="14547750" w:rsidR="00A9173E" w:rsidRPr="00F30805" w:rsidRDefault="00256BF7" w:rsidP="001C766D">
            <w:pPr>
              <w:spacing w:after="0" w:line="240" w:lineRule="auto"/>
              <w:rPr>
                <w:rFonts w:ascii="Arial" w:hAnsi="Arial" w:cs="Arial"/>
                <w:sz w:val="16"/>
                <w:szCs w:val="16"/>
                <w:lang w:val="en-US"/>
              </w:rPr>
            </w:pPr>
            <w:r w:rsidRPr="00F30805">
              <w:rPr>
                <w:rFonts w:ascii="Arial" w:hAnsi="Arial" w:cs="Arial"/>
                <w:sz w:val="16"/>
                <w:szCs w:val="16"/>
                <w:vertAlign w:val="superscript"/>
                <w:lang w:val="en-US"/>
              </w:rPr>
              <w:t>d</w:t>
            </w:r>
            <w:r w:rsidRPr="00F30805">
              <w:rPr>
                <w:rFonts w:ascii="Arial" w:hAnsi="Arial" w:cs="Arial"/>
                <w:sz w:val="16"/>
                <w:szCs w:val="16"/>
                <w:lang w:val="en-US"/>
              </w:rPr>
              <w:t xml:space="preserve"> </w:t>
            </w:r>
            <w:r w:rsidR="00A9173E" w:rsidRPr="00F30805">
              <w:rPr>
                <w:rFonts w:ascii="Arial" w:hAnsi="Arial" w:cs="Arial"/>
                <w:sz w:val="16"/>
                <w:szCs w:val="16"/>
                <w:lang w:val="en-US"/>
              </w:rPr>
              <w:t>p≤0.001 upadacitinib vs placebo or MTX comparison</w:t>
            </w:r>
          </w:p>
          <w:p w14:paraId="172E3AE6" w14:textId="390C974E" w:rsidR="00A9173E" w:rsidRPr="00F30805" w:rsidRDefault="00256BF7" w:rsidP="001C766D">
            <w:pPr>
              <w:spacing w:after="0" w:line="240" w:lineRule="auto"/>
              <w:rPr>
                <w:rFonts w:ascii="Arial" w:hAnsi="Arial" w:cs="Arial"/>
                <w:sz w:val="16"/>
                <w:szCs w:val="16"/>
                <w:lang w:val="en-US"/>
              </w:rPr>
            </w:pPr>
            <w:r w:rsidRPr="00F30805">
              <w:rPr>
                <w:rFonts w:ascii="Arial" w:hAnsi="Arial" w:cs="Arial"/>
                <w:sz w:val="16"/>
                <w:szCs w:val="16"/>
                <w:vertAlign w:val="superscript"/>
                <w:lang w:val="en-US"/>
              </w:rPr>
              <w:t>e</w:t>
            </w:r>
            <w:r w:rsidR="00A9173E" w:rsidRPr="00F30805">
              <w:rPr>
                <w:rFonts w:ascii="Arial" w:hAnsi="Arial" w:cs="Arial"/>
                <w:sz w:val="16"/>
                <w:szCs w:val="16"/>
                <w:lang w:val="en-US"/>
              </w:rPr>
              <w:t>p≤0.01 upadacitinib vs placebo or MTX comparison</w:t>
            </w:r>
          </w:p>
          <w:p w14:paraId="639634F0" w14:textId="30CAEBC4" w:rsidR="00A9173E" w:rsidRPr="00F30805" w:rsidRDefault="00256BF7" w:rsidP="00B57D82">
            <w:pPr>
              <w:spacing w:after="0" w:line="240" w:lineRule="auto"/>
              <w:rPr>
                <w:rFonts w:ascii="Arial" w:hAnsi="Arial" w:cs="Arial"/>
                <w:sz w:val="20"/>
                <w:szCs w:val="20"/>
              </w:rPr>
            </w:pPr>
            <w:r w:rsidRPr="00F30805">
              <w:rPr>
                <w:rFonts w:ascii="Arial" w:hAnsi="Arial" w:cs="Arial"/>
                <w:sz w:val="16"/>
                <w:szCs w:val="16"/>
                <w:vertAlign w:val="superscript"/>
                <w:lang w:val="en-US"/>
              </w:rPr>
              <w:t>f</w:t>
            </w:r>
            <w:r w:rsidRPr="00F30805">
              <w:rPr>
                <w:rFonts w:ascii="Arial" w:hAnsi="Arial" w:cs="Arial"/>
                <w:sz w:val="16"/>
                <w:szCs w:val="16"/>
                <w:lang w:val="en-US"/>
              </w:rPr>
              <w:t xml:space="preserve"> </w:t>
            </w:r>
            <w:r w:rsidR="00A9173E" w:rsidRPr="00F30805">
              <w:rPr>
                <w:rFonts w:ascii="Arial" w:hAnsi="Arial" w:cs="Arial"/>
                <w:sz w:val="16"/>
                <w:szCs w:val="16"/>
                <w:lang w:val="en-US"/>
              </w:rPr>
              <w:t>p≤0.05 upadacitinib vs placebo or MTX comparison</w:t>
            </w:r>
          </w:p>
        </w:tc>
      </w:tr>
    </w:tbl>
    <w:p w14:paraId="1D1CB3F7" w14:textId="4ECB6D3A" w:rsidR="00A9173E" w:rsidRPr="00F30805" w:rsidRDefault="00A9173E" w:rsidP="00B73976">
      <w:pPr>
        <w:pStyle w:val="Heading3"/>
        <w:rPr>
          <w:lang w:val="en-US"/>
        </w:rPr>
      </w:pPr>
      <w:r w:rsidRPr="00F30805">
        <w:rPr>
          <w:lang w:val="en-US"/>
        </w:rPr>
        <w:t>Physical function response and health-related outcomes</w:t>
      </w:r>
    </w:p>
    <w:p w14:paraId="201FAC3A" w14:textId="3C8A5D3C" w:rsidR="005C5BF2" w:rsidRPr="00F30805" w:rsidRDefault="00A9173E" w:rsidP="005C5BF2">
      <w:pPr>
        <w:autoSpaceDE w:val="0"/>
        <w:autoSpaceDN w:val="0"/>
        <w:adjustRightInd w:val="0"/>
        <w:spacing w:before="120"/>
        <w:rPr>
          <w:rFonts w:ascii="Arial" w:eastAsiaTheme="minorHAnsi" w:hAnsi="Arial" w:cs="Arial"/>
          <w:lang w:val="en-US" w:eastAsia="ja-JP"/>
        </w:rPr>
      </w:pPr>
      <w:r w:rsidRPr="00F30805">
        <w:rPr>
          <w:rFonts w:ascii="Arial" w:eastAsia="MS Mincho" w:hAnsi="Arial" w:cs="Arial"/>
          <w:lang w:val="en-US" w:eastAsia="ja-JP"/>
        </w:rPr>
        <w:t xml:space="preserve">Treatment with </w:t>
      </w:r>
      <w:r w:rsidR="005B37C9" w:rsidRPr="00F30805">
        <w:rPr>
          <w:rFonts w:ascii="Arial" w:eastAsia="MS Mincho" w:hAnsi="Arial" w:cs="Arial"/>
          <w:lang w:val="en-US" w:eastAsia="ja-JP"/>
        </w:rPr>
        <w:t>upadacitinib</w:t>
      </w:r>
      <w:r w:rsidRPr="00F30805">
        <w:rPr>
          <w:rFonts w:ascii="Arial" w:eastAsia="MS Mincho" w:hAnsi="Arial" w:cs="Arial"/>
          <w:lang w:val="en-US" w:eastAsia="ja-JP"/>
        </w:rPr>
        <w:t xml:space="preserve"> 15 mg, alone or in combination with </w:t>
      </w:r>
      <w:proofErr w:type="spellStart"/>
      <w:r w:rsidRPr="00F30805">
        <w:rPr>
          <w:rFonts w:ascii="Arial" w:eastAsia="MS Mincho" w:hAnsi="Arial" w:cs="Arial"/>
          <w:lang w:val="en-US" w:eastAsia="ja-JP"/>
        </w:rPr>
        <w:t>csDMARDs</w:t>
      </w:r>
      <w:proofErr w:type="spellEnd"/>
      <w:r w:rsidRPr="00F30805">
        <w:rPr>
          <w:rFonts w:ascii="Arial" w:eastAsia="MS Mincho" w:hAnsi="Arial" w:cs="Arial"/>
          <w:lang w:val="en-US" w:eastAsia="ja-JP"/>
        </w:rPr>
        <w:t>, resulted in a significant</w:t>
      </w:r>
      <w:r w:rsidR="005B37C9" w:rsidRPr="00F30805">
        <w:rPr>
          <w:rFonts w:ascii="Arial" w:eastAsia="MS Mincho" w:hAnsi="Arial" w:cs="Arial"/>
          <w:lang w:val="en-US" w:eastAsia="ja-JP"/>
        </w:rPr>
        <w:t>ly greater</w:t>
      </w:r>
      <w:r w:rsidRPr="00F30805">
        <w:rPr>
          <w:rFonts w:ascii="Arial" w:eastAsia="MS Mincho" w:hAnsi="Arial" w:cs="Arial"/>
          <w:lang w:val="en-US" w:eastAsia="ja-JP"/>
        </w:rPr>
        <w:t xml:space="preserve"> improvement in physical function</w:t>
      </w:r>
      <w:r w:rsidR="001730D3" w:rsidRPr="00F30805">
        <w:rPr>
          <w:rFonts w:ascii="Arial" w:eastAsia="MS Mincho" w:hAnsi="Arial" w:cs="Arial"/>
          <w:lang w:val="en-US" w:eastAsia="ja-JP"/>
        </w:rPr>
        <w:t xml:space="preserve"> </w:t>
      </w:r>
      <w:r w:rsidRPr="00F30805">
        <w:rPr>
          <w:rFonts w:ascii="Arial" w:eastAsia="MS Mincho" w:hAnsi="Arial" w:cs="Arial"/>
          <w:lang w:val="en-US" w:eastAsia="ja-JP"/>
        </w:rPr>
        <w:t>compared to all comparators as measured by HAQ-DI</w:t>
      </w:r>
      <w:r w:rsidR="002E62D8" w:rsidRPr="00F30805">
        <w:rPr>
          <w:rFonts w:ascii="Arial" w:eastAsia="MS Mincho" w:hAnsi="Arial" w:cs="Arial"/>
          <w:lang w:val="en-US" w:eastAsia="ja-JP"/>
        </w:rPr>
        <w:t xml:space="preserve"> at Week 12/14</w:t>
      </w:r>
      <w:r w:rsidR="004F7042" w:rsidRPr="00F30805">
        <w:rPr>
          <w:rFonts w:ascii="Arial" w:eastAsia="MS Mincho" w:hAnsi="Arial" w:cs="Arial"/>
          <w:lang w:val="en-US" w:eastAsia="ja-JP"/>
        </w:rPr>
        <w:t xml:space="preserve"> (Table 8)</w:t>
      </w:r>
      <w:r w:rsidR="00BF2B0C" w:rsidRPr="00F30805">
        <w:rPr>
          <w:rFonts w:ascii="Arial" w:eastAsia="MS Mincho" w:hAnsi="Arial" w:cs="Arial"/>
          <w:lang w:val="en-US" w:eastAsia="ja-JP"/>
        </w:rPr>
        <w:t xml:space="preserve"> with RINVOQ being superior to adalimumab in a </w:t>
      </w:r>
      <w:r w:rsidR="00BF2B0C" w:rsidRPr="00F30805">
        <w:rPr>
          <w:rFonts w:ascii="Arial" w:eastAsiaTheme="minorHAnsi" w:hAnsi="Arial" w:cs="Arial"/>
          <w:lang w:val="en-US" w:eastAsia="ja-JP"/>
        </w:rPr>
        <w:t>multiplicity-controlled comparison</w:t>
      </w:r>
      <w:r w:rsidRPr="00F30805">
        <w:rPr>
          <w:rFonts w:ascii="Arial" w:eastAsia="MS Mincho" w:hAnsi="Arial" w:cs="Arial"/>
          <w:lang w:val="en-US" w:eastAsia="ja-JP"/>
        </w:rPr>
        <w:t xml:space="preserve">. </w:t>
      </w:r>
      <w:r w:rsidR="005C5BF2" w:rsidRPr="00F30805">
        <w:rPr>
          <w:rFonts w:ascii="Arial" w:eastAsiaTheme="minorHAnsi" w:hAnsi="Arial" w:cs="Arial"/>
          <w:lang w:val="en-US" w:eastAsia="ja-JP"/>
        </w:rPr>
        <w:t xml:space="preserve"> </w:t>
      </w:r>
    </w:p>
    <w:p w14:paraId="513B0EDA" w14:textId="5C463E51" w:rsidR="004F7042" w:rsidRPr="00F30805" w:rsidRDefault="004F7042" w:rsidP="00AE0B35">
      <w:pPr>
        <w:autoSpaceDE w:val="0"/>
        <w:autoSpaceDN w:val="0"/>
        <w:adjustRightInd w:val="0"/>
        <w:spacing w:before="120"/>
        <w:rPr>
          <w:rFonts w:ascii="Arial" w:eastAsia="MS Mincho" w:hAnsi="Arial" w:cs="Arial"/>
          <w:lang w:val="en-US" w:eastAsia="ja-JP"/>
        </w:rPr>
      </w:pPr>
    </w:p>
    <w:p w14:paraId="0DD18F2F" w14:textId="4ACBC143" w:rsidR="00694624" w:rsidRDefault="00694624" w:rsidP="00AE0B35">
      <w:pPr>
        <w:autoSpaceDE w:val="0"/>
        <w:autoSpaceDN w:val="0"/>
        <w:adjustRightInd w:val="0"/>
        <w:spacing w:before="120"/>
        <w:rPr>
          <w:rFonts w:ascii="Arial" w:eastAsia="MS Mincho" w:hAnsi="Arial" w:cs="Arial"/>
          <w:lang w:val="en-US" w:eastAsia="ja-JP"/>
        </w:rPr>
      </w:pPr>
    </w:p>
    <w:p w14:paraId="05C1F665" w14:textId="77777777" w:rsidR="00F30805" w:rsidRPr="00F30805" w:rsidRDefault="00F30805" w:rsidP="00AE0B35">
      <w:pPr>
        <w:autoSpaceDE w:val="0"/>
        <w:autoSpaceDN w:val="0"/>
        <w:adjustRightInd w:val="0"/>
        <w:spacing w:before="120"/>
        <w:rPr>
          <w:rFonts w:ascii="Arial" w:eastAsia="MS Mincho" w:hAnsi="Arial" w:cs="Arial"/>
          <w:lang w:val="en-US" w:eastAsia="ja-JP"/>
        </w:rPr>
      </w:pPr>
    </w:p>
    <w:p w14:paraId="7830BABD" w14:textId="7CC7CF74" w:rsidR="004F7042" w:rsidRPr="00F30805" w:rsidRDefault="004F7042" w:rsidP="004F7042">
      <w:pPr>
        <w:pStyle w:val="Heading3"/>
      </w:pPr>
      <w:r w:rsidRPr="00F30805">
        <w:lastRenderedPageBreak/>
        <w:t xml:space="preserve">Table 8: Mean change from baseline in HAQ-DI </w:t>
      </w:r>
      <w:proofErr w:type="spellStart"/>
      <w:r w:rsidRPr="00F30805">
        <w:rPr>
          <w:vertAlign w:val="superscript"/>
        </w:rPr>
        <w:t>a,b</w:t>
      </w:r>
      <w:proofErr w:type="spellEnd"/>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629"/>
        <w:gridCol w:w="719"/>
        <w:gridCol w:w="810"/>
        <w:gridCol w:w="810"/>
        <w:gridCol w:w="814"/>
        <w:gridCol w:w="810"/>
        <w:gridCol w:w="720"/>
        <w:gridCol w:w="959"/>
        <w:gridCol w:w="826"/>
        <w:gridCol w:w="826"/>
        <w:gridCol w:w="828"/>
      </w:tblGrid>
      <w:tr w:rsidR="00D57E8F" w:rsidRPr="00F30805" w14:paraId="101D9406" w14:textId="77777777" w:rsidTr="00986855">
        <w:trPr>
          <w:trHeight w:val="412"/>
        </w:trPr>
        <w:tc>
          <w:tcPr>
            <w:tcW w:w="1163" w:type="dxa"/>
          </w:tcPr>
          <w:p w14:paraId="75C7DA69" w14:textId="77777777" w:rsidR="00D57E8F" w:rsidRPr="00F30805" w:rsidRDefault="00D57E8F" w:rsidP="004F7042">
            <w:pPr>
              <w:autoSpaceDE w:val="0"/>
              <w:autoSpaceDN w:val="0"/>
              <w:adjustRightInd w:val="0"/>
              <w:spacing w:after="0" w:line="240" w:lineRule="auto"/>
              <w:jc w:val="left"/>
              <w:rPr>
                <w:rFonts w:ascii="Arial" w:hAnsi="Arial" w:cs="Arial"/>
                <w:b/>
                <w:sz w:val="18"/>
                <w:szCs w:val="18"/>
                <w:lang w:val="en-US"/>
              </w:rPr>
            </w:pPr>
            <w:r w:rsidRPr="00F30805">
              <w:rPr>
                <w:rFonts w:ascii="Arial" w:hAnsi="Arial" w:cs="Arial"/>
                <w:b/>
                <w:bCs/>
                <w:sz w:val="18"/>
                <w:szCs w:val="18"/>
                <w:lang w:val="en-US"/>
              </w:rPr>
              <w:t xml:space="preserve">Study </w:t>
            </w:r>
          </w:p>
        </w:tc>
        <w:tc>
          <w:tcPr>
            <w:tcW w:w="1348" w:type="dxa"/>
            <w:gridSpan w:val="2"/>
          </w:tcPr>
          <w:p w14:paraId="4F63535C" w14:textId="3ACB258A"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SELECT</w:t>
            </w:r>
          </w:p>
          <w:p w14:paraId="3081C89D" w14:textId="1E6BE0B3"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EARLY</w:t>
            </w:r>
          </w:p>
          <w:p w14:paraId="7DFA00DA" w14:textId="2B97E408"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MTX-</w:t>
            </w:r>
            <w:proofErr w:type="spellStart"/>
            <w:r w:rsidRPr="00F30805">
              <w:rPr>
                <w:rFonts w:ascii="Arial" w:hAnsi="Arial" w:cs="Arial"/>
                <w:b/>
                <w:bCs/>
                <w:sz w:val="18"/>
                <w:szCs w:val="18"/>
                <w:lang w:val="en-US"/>
              </w:rPr>
              <w:t>Naїve</w:t>
            </w:r>
            <w:proofErr w:type="spellEnd"/>
          </w:p>
        </w:tc>
        <w:tc>
          <w:tcPr>
            <w:tcW w:w="1620" w:type="dxa"/>
            <w:gridSpan w:val="2"/>
          </w:tcPr>
          <w:p w14:paraId="7AFFB8E2" w14:textId="5373276F"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SELECT</w:t>
            </w:r>
          </w:p>
          <w:p w14:paraId="3F64A286" w14:textId="03BCA585"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MONO</w:t>
            </w:r>
          </w:p>
          <w:p w14:paraId="12BBC23A" w14:textId="77268AC6"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MTX-IR</w:t>
            </w:r>
          </w:p>
        </w:tc>
        <w:tc>
          <w:tcPr>
            <w:tcW w:w="1624" w:type="dxa"/>
            <w:gridSpan w:val="2"/>
          </w:tcPr>
          <w:p w14:paraId="4816F2DA" w14:textId="30FB56C7"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SELECT</w:t>
            </w:r>
          </w:p>
          <w:p w14:paraId="336F6F7C" w14:textId="353CE3EA"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NEXT</w:t>
            </w:r>
          </w:p>
          <w:p w14:paraId="5514BD2A" w14:textId="7C0056C1"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proofErr w:type="spellStart"/>
            <w:r w:rsidRPr="00F30805">
              <w:rPr>
                <w:rFonts w:ascii="Arial" w:hAnsi="Arial" w:cs="Arial"/>
                <w:b/>
                <w:bCs/>
                <w:sz w:val="18"/>
                <w:szCs w:val="18"/>
                <w:lang w:val="en-US"/>
              </w:rPr>
              <w:t>csDMARD</w:t>
            </w:r>
            <w:proofErr w:type="spellEnd"/>
            <w:r w:rsidRPr="00F30805">
              <w:rPr>
                <w:rFonts w:ascii="Arial" w:hAnsi="Arial" w:cs="Arial"/>
                <w:b/>
                <w:bCs/>
                <w:sz w:val="18"/>
                <w:szCs w:val="18"/>
                <w:lang w:val="en-US"/>
              </w:rPr>
              <w:t>-IR</w:t>
            </w:r>
          </w:p>
        </w:tc>
        <w:tc>
          <w:tcPr>
            <w:tcW w:w="2505" w:type="dxa"/>
            <w:gridSpan w:val="3"/>
          </w:tcPr>
          <w:p w14:paraId="17A9DB49" w14:textId="119B45BA"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SELECT</w:t>
            </w:r>
          </w:p>
          <w:p w14:paraId="6A4E4FFE" w14:textId="0CCEB80E"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COMPARE</w:t>
            </w:r>
          </w:p>
          <w:p w14:paraId="595FA042" w14:textId="7177AF80"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MTX-IR</w:t>
            </w:r>
          </w:p>
        </w:tc>
        <w:tc>
          <w:tcPr>
            <w:tcW w:w="1654" w:type="dxa"/>
            <w:gridSpan w:val="2"/>
          </w:tcPr>
          <w:p w14:paraId="4493EDC6" w14:textId="00C57396"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SELECT</w:t>
            </w:r>
          </w:p>
          <w:p w14:paraId="7A15B10C" w14:textId="31F0012F"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BEYOND</w:t>
            </w:r>
          </w:p>
          <w:p w14:paraId="2D361DAF" w14:textId="5F6A2AAF" w:rsidR="00D57E8F" w:rsidRPr="00F30805" w:rsidRDefault="00D57E8F" w:rsidP="00D57E8F">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b/>
                <w:bCs/>
                <w:sz w:val="18"/>
                <w:szCs w:val="18"/>
                <w:lang w:val="en-US"/>
              </w:rPr>
              <w:t>BIO-IR</w:t>
            </w:r>
          </w:p>
        </w:tc>
      </w:tr>
      <w:tr w:rsidR="004F7042" w:rsidRPr="00F30805" w14:paraId="2BA213DF" w14:textId="77777777" w:rsidTr="00526425">
        <w:trPr>
          <w:trHeight w:val="278"/>
        </w:trPr>
        <w:tc>
          <w:tcPr>
            <w:tcW w:w="1163" w:type="dxa"/>
          </w:tcPr>
          <w:p w14:paraId="59C46EAA"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sz w:val="18"/>
                <w:szCs w:val="18"/>
                <w:lang w:val="en-US"/>
              </w:rPr>
              <w:t xml:space="preserve">Treatment group </w:t>
            </w:r>
          </w:p>
        </w:tc>
        <w:tc>
          <w:tcPr>
            <w:tcW w:w="629" w:type="dxa"/>
          </w:tcPr>
          <w:p w14:paraId="5FD64A58"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MTX </w:t>
            </w:r>
          </w:p>
        </w:tc>
        <w:tc>
          <w:tcPr>
            <w:tcW w:w="719" w:type="dxa"/>
          </w:tcPr>
          <w:p w14:paraId="3AEF02F6"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UPA </w:t>
            </w:r>
          </w:p>
          <w:p w14:paraId="7E516DE8"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15mg </w:t>
            </w:r>
          </w:p>
        </w:tc>
        <w:tc>
          <w:tcPr>
            <w:tcW w:w="810" w:type="dxa"/>
          </w:tcPr>
          <w:p w14:paraId="14F2559E"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MTX </w:t>
            </w:r>
          </w:p>
        </w:tc>
        <w:tc>
          <w:tcPr>
            <w:tcW w:w="810" w:type="dxa"/>
          </w:tcPr>
          <w:p w14:paraId="2FCB5D73"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UPA </w:t>
            </w:r>
          </w:p>
          <w:p w14:paraId="27CCD075"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15mg </w:t>
            </w:r>
          </w:p>
        </w:tc>
        <w:tc>
          <w:tcPr>
            <w:tcW w:w="814" w:type="dxa"/>
          </w:tcPr>
          <w:p w14:paraId="7765DD83"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PBO </w:t>
            </w:r>
          </w:p>
        </w:tc>
        <w:tc>
          <w:tcPr>
            <w:tcW w:w="810" w:type="dxa"/>
          </w:tcPr>
          <w:p w14:paraId="19EFCF99"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UPA </w:t>
            </w:r>
          </w:p>
          <w:p w14:paraId="1FFBCE5E"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15mg </w:t>
            </w:r>
          </w:p>
        </w:tc>
        <w:tc>
          <w:tcPr>
            <w:tcW w:w="720" w:type="dxa"/>
          </w:tcPr>
          <w:p w14:paraId="1A289EF4"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PBO </w:t>
            </w:r>
          </w:p>
        </w:tc>
        <w:tc>
          <w:tcPr>
            <w:tcW w:w="959" w:type="dxa"/>
          </w:tcPr>
          <w:p w14:paraId="2366AFF6"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UPA </w:t>
            </w:r>
          </w:p>
          <w:p w14:paraId="3579487C"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15mg </w:t>
            </w:r>
          </w:p>
        </w:tc>
        <w:tc>
          <w:tcPr>
            <w:tcW w:w="826" w:type="dxa"/>
          </w:tcPr>
          <w:p w14:paraId="08DE87E7"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ADA </w:t>
            </w:r>
          </w:p>
          <w:p w14:paraId="5C106E00"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40mg </w:t>
            </w:r>
          </w:p>
        </w:tc>
        <w:tc>
          <w:tcPr>
            <w:tcW w:w="826" w:type="dxa"/>
          </w:tcPr>
          <w:p w14:paraId="7D58E1F8"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PBO </w:t>
            </w:r>
          </w:p>
        </w:tc>
        <w:tc>
          <w:tcPr>
            <w:tcW w:w="828" w:type="dxa"/>
          </w:tcPr>
          <w:p w14:paraId="55E1DD7B"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UPA </w:t>
            </w:r>
          </w:p>
          <w:p w14:paraId="54FA9139"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15mg </w:t>
            </w:r>
          </w:p>
        </w:tc>
      </w:tr>
      <w:tr w:rsidR="004F7042" w:rsidRPr="00F30805" w14:paraId="2AD3006B" w14:textId="77777777" w:rsidTr="00526425">
        <w:trPr>
          <w:trHeight w:val="147"/>
        </w:trPr>
        <w:tc>
          <w:tcPr>
            <w:tcW w:w="1163" w:type="dxa"/>
          </w:tcPr>
          <w:p w14:paraId="03E11587"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sz w:val="18"/>
                <w:szCs w:val="18"/>
                <w:lang w:val="en-US"/>
              </w:rPr>
              <w:t xml:space="preserve">N </w:t>
            </w:r>
          </w:p>
        </w:tc>
        <w:tc>
          <w:tcPr>
            <w:tcW w:w="629" w:type="dxa"/>
          </w:tcPr>
          <w:p w14:paraId="6D038267" w14:textId="3C1FF9CC"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313</w:t>
            </w:r>
          </w:p>
        </w:tc>
        <w:tc>
          <w:tcPr>
            <w:tcW w:w="719" w:type="dxa"/>
          </w:tcPr>
          <w:p w14:paraId="3AAEA99F"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317 </w:t>
            </w:r>
          </w:p>
        </w:tc>
        <w:tc>
          <w:tcPr>
            <w:tcW w:w="810" w:type="dxa"/>
          </w:tcPr>
          <w:p w14:paraId="59AE0A82"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216 </w:t>
            </w:r>
          </w:p>
        </w:tc>
        <w:tc>
          <w:tcPr>
            <w:tcW w:w="810" w:type="dxa"/>
          </w:tcPr>
          <w:p w14:paraId="04D5FD97"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216 </w:t>
            </w:r>
          </w:p>
        </w:tc>
        <w:tc>
          <w:tcPr>
            <w:tcW w:w="814" w:type="dxa"/>
          </w:tcPr>
          <w:p w14:paraId="206E2D99"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220 </w:t>
            </w:r>
          </w:p>
        </w:tc>
        <w:tc>
          <w:tcPr>
            <w:tcW w:w="810" w:type="dxa"/>
          </w:tcPr>
          <w:p w14:paraId="3DD812B6"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216 </w:t>
            </w:r>
          </w:p>
        </w:tc>
        <w:tc>
          <w:tcPr>
            <w:tcW w:w="720" w:type="dxa"/>
          </w:tcPr>
          <w:p w14:paraId="25529893"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648 </w:t>
            </w:r>
          </w:p>
        </w:tc>
        <w:tc>
          <w:tcPr>
            <w:tcW w:w="959" w:type="dxa"/>
          </w:tcPr>
          <w:p w14:paraId="6CB40BAD"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644 </w:t>
            </w:r>
          </w:p>
        </w:tc>
        <w:tc>
          <w:tcPr>
            <w:tcW w:w="826" w:type="dxa"/>
          </w:tcPr>
          <w:p w14:paraId="5230E89A"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324 </w:t>
            </w:r>
          </w:p>
        </w:tc>
        <w:tc>
          <w:tcPr>
            <w:tcW w:w="826" w:type="dxa"/>
          </w:tcPr>
          <w:p w14:paraId="3958466B"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165 </w:t>
            </w:r>
          </w:p>
        </w:tc>
        <w:tc>
          <w:tcPr>
            <w:tcW w:w="828" w:type="dxa"/>
          </w:tcPr>
          <w:p w14:paraId="0A9254FC" w14:textId="77777777" w:rsidR="004F7042" w:rsidRPr="00F30805" w:rsidRDefault="004F7042" w:rsidP="004F7042">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 xml:space="preserve">163 </w:t>
            </w:r>
          </w:p>
        </w:tc>
      </w:tr>
      <w:tr w:rsidR="004F7042" w:rsidRPr="00F30805" w14:paraId="0C841307" w14:textId="77777777" w:rsidTr="00526425">
        <w:trPr>
          <w:trHeight w:val="407"/>
        </w:trPr>
        <w:tc>
          <w:tcPr>
            <w:tcW w:w="1163" w:type="dxa"/>
          </w:tcPr>
          <w:p w14:paraId="7BC3DD89"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sz w:val="18"/>
                <w:szCs w:val="18"/>
                <w:lang w:val="en-US"/>
              </w:rPr>
              <w:t xml:space="preserve">Baseline score, mean </w:t>
            </w:r>
          </w:p>
        </w:tc>
        <w:tc>
          <w:tcPr>
            <w:tcW w:w="629" w:type="dxa"/>
          </w:tcPr>
          <w:p w14:paraId="21823B25"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2416DAB7" w14:textId="4797B186"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1.6</w:t>
            </w:r>
          </w:p>
        </w:tc>
        <w:tc>
          <w:tcPr>
            <w:tcW w:w="719" w:type="dxa"/>
          </w:tcPr>
          <w:p w14:paraId="099299C3"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1BD16165" w14:textId="0D1F6C83"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1.6</w:t>
            </w:r>
          </w:p>
        </w:tc>
        <w:tc>
          <w:tcPr>
            <w:tcW w:w="810" w:type="dxa"/>
          </w:tcPr>
          <w:p w14:paraId="22E2D085"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4A921B09" w14:textId="35413D8B"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1.5</w:t>
            </w:r>
          </w:p>
        </w:tc>
        <w:tc>
          <w:tcPr>
            <w:tcW w:w="810" w:type="dxa"/>
          </w:tcPr>
          <w:p w14:paraId="0E5E4A5A"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6223FCB6" w14:textId="4DA0014A"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1.5</w:t>
            </w:r>
          </w:p>
        </w:tc>
        <w:tc>
          <w:tcPr>
            <w:tcW w:w="814" w:type="dxa"/>
          </w:tcPr>
          <w:p w14:paraId="0EC226C4"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19A2C728" w14:textId="6FC90B44"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1.4</w:t>
            </w:r>
          </w:p>
        </w:tc>
        <w:tc>
          <w:tcPr>
            <w:tcW w:w="810" w:type="dxa"/>
          </w:tcPr>
          <w:p w14:paraId="2C170187"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14BF18BC" w14:textId="01C6361F"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1.5</w:t>
            </w:r>
          </w:p>
        </w:tc>
        <w:tc>
          <w:tcPr>
            <w:tcW w:w="720" w:type="dxa"/>
          </w:tcPr>
          <w:p w14:paraId="50D1A37D"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0224978D" w14:textId="4AB9B13F"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1.6</w:t>
            </w:r>
          </w:p>
        </w:tc>
        <w:tc>
          <w:tcPr>
            <w:tcW w:w="959" w:type="dxa"/>
          </w:tcPr>
          <w:p w14:paraId="7A015D58"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50D6B8FD" w14:textId="5F708092"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1.6</w:t>
            </w:r>
          </w:p>
        </w:tc>
        <w:tc>
          <w:tcPr>
            <w:tcW w:w="826" w:type="dxa"/>
          </w:tcPr>
          <w:p w14:paraId="3963B7D0"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5883A7AA" w14:textId="4FD855E3"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1.6</w:t>
            </w:r>
          </w:p>
        </w:tc>
        <w:tc>
          <w:tcPr>
            <w:tcW w:w="826" w:type="dxa"/>
          </w:tcPr>
          <w:p w14:paraId="2B549DEC"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4DC408DD" w14:textId="69CE530A"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1.6</w:t>
            </w:r>
          </w:p>
        </w:tc>
        <w:tc>
          <w:tcPr>
            <w:tcW w:w="828" w:type="dxa"/>
          </w:tcPr>
          <w:p w14:paraId="385AF1E8"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p w14:paraId="7494D389" w14:textId="680C3BB1" w:rsidR="004F7042" w:rsidRPr="00F30805" w:rsidRDefault="004F7042"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lang w:val="en-US"/>
              </w:rPr>
              <w:t>1.7</w:t>
            </w:r>
          </w:p>
        </w:tc>
      </w:tr>
      <w:tr w:rsidR="006708B4" w:rsidRPr="00F30805" w14:paraId="10085620" w14:textId="77777777" w:rsidTr="006708B4">
        <w:trPr>
          <w:trHeight w:val="278"/>
        </w:trPr>
        <w:tc>
          <w:tcPr>
            <w:tcW w:w="1163" w:type="dxa"/>
          </w:tcPr>
          <w:p w14:paraId="41DAA884" w14:textId="04F213B2" w:rsidR="006708B4" w:rsidRPr="00F30805" w:rsidRDefault="006708B4" w:rsidP="006708B4">
            <w:pPr>
              <w:autoSpaceDE w:val="0"/>
              <w:autoSpaceDN w:val="0"/>
              <w:adjustRightInd w:val="0"/>
              <w:spacing w:after="0" w:line="240" w:lineRule="auto"/>
              <w:rPr>
                <w:rFonts w:ascii="Arial" w:hAnsi="Arial" w:cs="Arial"/>
                <w:sz w:val="18"/>
                <w:szCs w:val="18"/>
                <w:lang w:val="en-US"/>
              </w:rPr>
            </w:pPr>
            <w:r w:rsidRPr="00F30805">
              <w:rPr>
                <w:rFonts w:ascii="Arial" w:hAnsi="Arial" w:cs="Arial"/>
                <w:sz w:val="18"/>
                <w:szCs w:val="18"/>
                <w:lang w:val="en-US"/>
              </w:rPr>
              <w:t>Week 12</w:t>
            </w:r>
            <w:r w:rsidRPr="00F30805">
              <w:rPr>
                <w:rFonts w:ascii="Arial" w:hAnsi="Arial" w:cs="Arial"/>
                <w:position w:val="8"/>
                <w:sz w:val="18"/>
                <w:szCs w:val="18"/>
                <w:vertAlign w:val="superscript"/>
                <w:lang w:val="en-US"/>
              </w:rPr>
              <w:t>c</w:t>
            </w:r>
            <w:r w:rsidRPr="00F30805">
              <w:rPr>
                <w:rFonts w:ascii="Arial" w:hAnsi="Arial" w:cs="Arial"/>
                <w:sz w:val="18"/>
                <w:szCs w:val="18"/>
                <w:lang w:val="en-US"/>
              </w:rPr>
              <w:t>/14</w:t>
            </w:r>
            <w:r w:rsidRPr="00F30805">
              <w:rPr>
                <w:rFonts w:ascii="Arial" w:hAnsi="Arial" w:cs="Arial"/>
                <w:position w:val="8"/>
                <w:sz w:val="18"/>
                <w:szCs w:val="18"/>
                <w:vertAlign w:val="superscript"/>
                <w:lang w:val="en-US"/>
              </w:rPr>
              <w:t>d</w:t>
            </w:r>
          </w:p>
        </w:tc>
        <w:tc>
          <w:tcPr>
            <w:tcW w:w="629" w:type="dxa"/>
            <w:vAlign w:val="center"/>
          </w:tcPr>
          <w:p w14:paraId="7C7FB9E6" w14:textId="56EA6112" w:rsidR="006708B4" w:rsidRPr="00F30805" w:rsidRDefault="006708B4" w:rsidP="006708B4">
            <w:pPr>
              <w:autoSpaceDE w:val="0"/>
              <w:autoSpaceDN w:val="0"/>
              <w:adjustRightInd w:val="0"/>
              <w:spacing w:after="0" w:line="240" w:lineRule="auto"/>
              <w:rPr>
                <w:rFonts w:ascii="Arial" w:hAnsi="Arial" w:cs="Arial"/>
                <w:sz w:val="18"/>
                <w:szCs w:val="18"/>
                <w:lang w:val="en-US"/>
              </w:rPr>
            </w:pPr>
            <w:r w:rsidRPr="00F30805">
              <w:rPr>
                <w:rFonts w:ascii="Arial" w:hAnsi="Arial" w:cs="Arial"/>
                <w:sz w:val="18"/>
                <w:szCs w:val="18"/>
              </w:rPr>
              <w:t>-0.5</w:t>
            </w:r>
          </w:p>
        </w:tc>
        <w:tc>
          <w:tcPr>
            <w:tcW w:w="719" w:type="dxa"/>
            <w:vAlign w:val="center"/>
          </w:tcPr>
          <w:p w14:paraId="4B0BA69D" w14:textId="389DB1F8"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w:t>
            </w:r>
            <w:r w:rsidR="004F7042" w:rsidRPr="00F30805">
              <w:rPr>
                <w:rFonts w:ascii="Arial" w:hAnsi="Arial" w:cs="Arial"/>
                <w:sz w:val="18"/>
                <w:szCs w:val="18"/>
              </w:rPr>
              <w:t>8</w:t>
            </w:r>
            <w:r w:rsidR="00044D35" w:rsidRPr="00F30805">
              <w:rPr>
                <w:rFonts w:ascii="Arial" w:hAnsi="Arial" w:cs="Arial"/>
                <w:sz w:val="18"/>
                <w:szCs w:val="18"/>
                <w:vertAlign w:val="superscript"/>
              </w:rPr>
              <w:t>g</w:t>
            </w:r>
          </w:p>
        </w:tc>
        <w:tc>
          <w:tcPr>
            <w:tcW w:w="810" w:type="dxa"/>
            <w:vAlign w:val="center"/>
          </w:tcPr>
          <w:p w14:paraId="1903AAD5" w14:textId="666891AF"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-0.3</w:t>
            </w:r>
          </w:p>
        </w:tc>
        <w:tc>
          <w:tcPr>
            <w:tcW w:w="810" w:type="dxa"/>
            <w:vAlign w:val="center"/>
          </w:tcPr>
          <w:p w14:paraId="3CBD6008" w14:textId="54A9C702"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-0.7</w:t>
            </w:r>
            <w:r w:rsidRPr="00F30805">
              <w:rPr>
                <w:rFonts w:ascii="Arial" w:hAnsi="Arial" w:cs="Arial"/>
                <w:sz w:val="18"/>
                <w:szCs w:val="18"/>
                <w:vertAlign w:val="superscript"/>
              </w:rPr>
              <w:t>g</w:t>
            </w:r>
          </w:p>
        </w:tc>
        <w:tc>
          <w:tcPr>
            <w:tcW w:w="814" w:type="dxa"/>
            <w:vAlign w:val="center"/>
          </w:tcPr>
          <w:p w14:paraId="4819E4A7" w14:textId="104468CD"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-0.3</w:t>
            </w:r>
          </w:p>
        </w:tc>
        <w:tc>
          <w:tcPr>
            <w:tcW w:w="810" w:type="dxa"/>
            <w:vAlign w:val="center"/>
          </w:tcPr>
          <w:p w14:paraId="2465BB07" w14:textId="2B75487B"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-0.6</w:t>
            </w:r>
            <w:r w:rsidRPr="00F30805">
              <w:rPr>
                <w:rFonts w:ascii="Arial" w:hAnsi="Arial" w:cs="Arial"/>
                <w:sz w:val="18"/>
                <w:szCs w:val="18"/>
                <w:vertAlign w:val="superscript"/>
              </w:rPr>
              <w:t>g</w:t>
            </w:r>
          </w:p>
        </w:tc>
        <w:tc>
          <w:tcPr>
            <w:tcW w:w="720" w:type="dxa"/>
            <w:vAlign w:val="center"/>
          </w:tcPr>
          <w:p w14:paraId="6DC4C5A5" w14:textId="4D6A5F83"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-0.3</w:t>
            </w:r>
          </w:p>
        </w:tc>
        <w:tc>
          <w:tcPr>
            <w:tcW w:w="959" w:type="dxa"/>
            <w:vAlign w:val="center"/>
          </w:tcPr>
          <w:p w14:paraId="30DF3D6F" w14:textId="04DF13B6"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-0.6</w:t>
            </w:r>
            <w:r w:rsidRPr="00F30805">
              <w:rPr>
                <w:rFonts w:ascii="Arial" w:hAnsi="Arial" w:cs="Arial"/>
                <w:sz w:val="18"/>
                <w:szCs w:val="18"/>
                <w:vertAlign w:val="superscript"/>
              </w:rPr>
              <w:t>g,i</w:t>
            </w:r>
          </w:p>
        </w:tc>
        <w:tc>
          <w:tcPr>
            <w:tcW w:w="826" w:type="dxa"/>
            <w:vAlign w:val="center"/>
          </w:tcPr>
          <w:p w14:paraId="7F4493C7" w14:textId="7D03EEE7"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-0.5</w:t>
            </w:r>
          </w:p>
        </w:tc>
        <w:tc>
          <w:tcPr>
            <w:tcW w:w="826" w:type="dxa"/>
            <w:vAlign w:val="center"/>
          </w:tcPr>
          <w:p w14:paraId="04E62BF0" w14:textId="1AF10031" w:rsidR="006708B4" w:rsidRPr="00F30805" w:rsidRDefault="006708B4" w:rsidP="006708B4">
            <w:pPr>
              <w:autoSpaceDE w:val="0"/>
              <w:autoSpaceDN w:val="0"/>
              <w:adjustRightInd w:val="0"/>
              <w:spacing w:after="0" w:line="240" w:lineRule="auto"/>
              <w:rPr>
                <w:rFonts w:ascii="Arial" w:hAnsi="Arial" w:cs="Arial"/>
                <w:sz w:val="18"/>
                <w:szCs w:val="18"/>
                <w:lang w:val="en-US"/>
              </w:rPr>
            </w:pPr>
            <w:r w:rsidRPr="00F30805">
              <w:rPr>
                <w:rFonts w:ascii="Arial" w:hAnsi="Arial" w:cs="Arial"/>
                <w:sz w:val="18"/>
                <w:szCs w:val="18"/>
              </w:rPr>
              <w:t>-0.2</w:t>
            </w:r>
          </w:p>
        </w:tc>
        <w:tc>
          <w:tcPr>
            <w:tcW w:w="828" w:type="dxa"/>
            <w:vAlign w:val="center"/>
          </w:tcPr>
          <w:p w14:paraId="0D30465F" w14:textId="2AA11D69" w:rsidR="006708B4" w:rsidRPr="00F30805" w:rsidRDefault="006708B4" w:rsidP="006708B4">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-0.4</w:t>
            </w:r>
            <w:r w:rsidRPr="00F30805">
              <w:rPr>
                <w:rFonts w:ascii="Arial" w:hAnsi="Arial" w:cs="Arial"/>
                <w:sz w:val="18"/>
                <w:szCs w:val="18"/>
                <w:vertAlign w:val="superscript"/>
              </w:rPr>
              <w:t>g</w:t>
            </w:r>
          </w:p>
        </w:tc>
      </w:tr>
      <w:tr w:rsidR="00AE2DB9" w:rsidRPr="00F30805" w14:paraId="56943DC0" w14:textId="77777777" w:rsidTr="00B94A5C">
        <w:trPr>
          <w:trHeight w:val="278"/>
        </w:trPr>
        <w:tc>
          <w:tcPr>
            <w:tcW w:w="1163" w:type="dxa"/>
            <w:vAlign w:val="center"/>
          </w:tcPr>
          <w:p w14:paraId="07579DD4" w14:textId="26F91EF8" w:rsidR="00AE2DB9" w:rsidRPr="00F30805" w:rsidRDefault="00AE2DB9" w:rsidP="00AE2DB9">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sz w:val="18"/>
                <w:szCs w:val="18"/>
              </w:rPr>
              <w:t>Week 24</w:t>
            </w:r>
            <w:r w:rsidRPr="00F30805">
              <w:rPr>
                <w:rFonts w:ascii="Arial" w:hAnsi="Arial" w:cs="Arial"/>
                <w:sz w:val="18"/>
                <w:szCs w:val="18"/>
                <w:vertAlign w:val="superscript"/>
              </w:rPr>
              <w:t>e</w:t>
            </w:r>
            <w:r w:rsidRPr="00F30805">
              <w:rPr>
                <w:rFonts w:ascii="Arial" w:hAnsi="Arial" w:cs="Arial"/>
                <w:sz w:val="18"/>
                <w:szCs w:val="18"/>
              </w:rPr>
              <w:t>/26</w:t>
            </w:r>
            <w:r w:rsidRPr="00F30805">
              <w:rPr>
                <w:rFonts w:ascii="Arial" w:hAnsi="Arial" w:cs="Arial"/>
                <w:sz w:val="18"/>
                <w:szCs w:val="18"/>
                <w:vertAlign w:val="superscript"/>
              </w:rPr>
              <w:t>f</w:t>
            </w:r>
          </w:p>
        </w:tc>
        <w:tc>
          <w:tcPr>
            <w:tcW w:w="629" w:type="dxa"/>
            <w:vAlign w:val="center"/>
          </w:tcPr>
          <w:p w14:paraId="474E8862" w14:textId="3E25EA15"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-0.6</w:t>
            </w:r>
          </w:p>
        </w:tc>
        <w:tc>
          <w:tcPr>
            <w:tcW w:w="719" w:type="dxa"/>
            <w:vAlign w:val="center"/>
          </w:tcPr>
          <w:p w14:paraId="2AD3048D" w14:textId="14C1597A"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-0.9</w:t>
            </w:r>
            <w:r w:rsidR="00044D35" w:rsidRPr="00F30805">
              <w:rPr>
                <w:rFonts w:ascii="Arial" w:hAnsi="Arial" w:cs="Arial"/>
                <w:sz w:val="18"/>
                <w:szCs w:val="18"/>
                <w:vertAlign w:val="superscript"/>
              </w:rPr>
              <w:t>h</w:t>
            </w:r>
          </w:p>
        </w:tc>
        <w:tc>
          <w:tcPr>
            <w:tcW w:w="810" w:type="dxa"/>
            <w:shd w:val="clear" w:color="auto" w:fill="BFBFBF" w:themeFill="background1" w:themeFillShade="BF"/>
            <w:vAlign w:val="center"/>
          </w:tcPr>
          <w:p w14:paraId="7C624CBE" w14:textId="77777777" w:rsidR="00AE2DB9" w:rsidRPr="00F30805" w:rsidRDefault="00AE2DB9" w:rsidP="00AE2DB9">
            <w:pPr>
              <w:autoSpaceDE w:val="0"/>
              <w:autoSpaceDN w:val="0"/>
              <w:adjustRightInd w:val="0"/>
              <w:spacing w:after="0" w:line="240" w:lineRule="auto"/>
              <w:jc w:val="left"/>
              <w:rPr>
                <w:rFonts w:ascii="Arial" w:hAnsi="Arial" w:cs="Arial"/>
                <w:sz w:val="18"/>
                <w:szCs w:val="18"/>
                <w:lang w:val="en-US"/>
              </w:rPr>
            </w:pPr>
          </w:p>
        </w:tc>
        <w:tc>
          <w:tcPr>
            <w:tcW w:w="810" w:type="dxa"/>
            <w:shd w:val="clear" w:color="auto" w:fill="BFBFBF" w:themeFill="background1" w:themeFillShade="BF"/>
            <w:vAlign w:val="center"/>
          </w:tcPr>
          <w:p w14:paraId="622705B7"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tc>
        <w:tc>
          <w:tcPr>
            <w:tcW w:w="814" w:type="dxa"/>
            <w:shd w:val="clear" w:color="auto" w:fill="BFBFBF" w:themeFill="background1" w:themeFillShade="BF"/>
            <w:vAlign w:val="center"/>
          </w:tcPr>
          <w:p w14:paraId="0E131E84"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tc>
        <w:tc>
          <w:tcPr>
            <w:tcW w:w="810" w:type="dxa"/>
            <w:shd w:val="clear" w:color="auto" w:fill="BFBFBF" w:themeFill="background1" w:themeFillShade="BF"/>
            <w:vAlign w:val="center"/>
          </w:tcPr>
          <w:p w14:paraId="0E866A0D"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tc>
        <w:tc>
          <w:tcPr>
            <w:tcW w:w="720" w:type="dxa"/>
            <w:vAlign w:val="center"/>
          </w:tcPr>
          <w:p w14:paraId="559F1BC2" w14:textId="302C804F"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-0.3</w:t>
            </w:r>
          </w:p>
        </w:tc>
        <w:tc>
          <w:tcPr>
            <w:tcW w:w="959" w:type="dxa"/>
            <w:vAlign w:val="center"/>
          </w:tcPr>
          <w:p w14:paraId="53F8D3AB" w14:textId="589263C0"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-0.7</w:t>
            </w:r>
            <w:r w:rsidRPr="00F30805">
              <w:rPr>
                <w:rFonts w:ascii="Arial" w:hAnsi="Arial" w:cs="Arial"/>
                <w:sz w:val="18"/>
                <w:szCs w:val="18"/>
                <w:vertAlign w:val="superscript"/>
              </w:rPr>
              <w:t>h,</w:t>
            </w:r>
            <w:r w:rsidR="00F15583" w:rsidRPr="00F30805">
              <w:rPr>
                <w:rFonts w:ascii="Arial" w:hAnsi="Arial" w:cs="Arial"/>
                <w:sz w:val="18"/>
                <w:szCs w:val="18"/>
                <w:vertAlign w:val="superscript"/>
              </w:rPr>
              <w:t>j</w:t>
            </w:r>
          </w:p>
        </w:tc>
        <w:tc>
          <w:tcPr>
            <w:tcW w:w="826" w:type="dxa"/>
            <w:vAlign w:val="center"/>
          </w:tcPr>
          <w:p w14:paraId="0BDD1A12" w14:textId="4909228F"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r w:rsidRPr="00F30805">
              <w:rPr>
                <w:rFonts w:ascii="Arial" w:hAnsi="Arial" w:cs="Arial"/>
                <w:sz w:val="18"/>
                <w:szCs w:val="18"/>
              </w:rPr>
              <w:t>-0.6</w:t>
            </w:r>
          </w:p>
        </w:tc>
        <w:tc>
          <w:tcPr>
            <w:tcW w:w="826" w:type="dxa"/>
            <w:shd w:val="clear" w:color="auto" w:fill="BFBFBF" w:themeFill="background1" w:themeFillShade="BF"/>
            <w:vAlign w:val="center"/>
          </w:tcPr>
          <w:p w14:paraId="3C3DDAF0"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tc>
        <w:tc>
          <w:tcPr>
            <w:tcW w:w="828" w:type="dxa"/>
            <w:shd w:val="clear" w:color="auto" w:fill="BFBFBF" w:themeFill="background1" w:themeFillShade="BF"/>
            <w:vAlign w:val="center"/>
          </w:tcPr>
          <w:p w14:paraId="2C04FE15" w14:textId="77777777" w:rsidR="00AE2DB9" w:rsidRPr="00F30805" w:rsidRDefault="00AE2DB9" w:rsidP="00AE2DB9">
            <w:pPr>
              <w:autoSpaceDE w:val="0"/>
              <w:autoSpaceDN w:val="0"/>
              <w:adjustRightInd w:val="0"/>
              <w:spacing w:after="0" w:line="240" w:lineRule="auto"/>
              <w:jc w:val="center"/>
              <w:rPr>
                <w:rFonts w:ascii="Arial" w:hAnsi="Arial" w:cs="Arial"/>
                <w:sz w:val="18"/>
                <w:szCs w:val="18"/>
                <w:lang w:val="en-US"/>
              </w:rPr>
            </w:pPr>
          </w:p>
        </w:tc>
      </w:tr>
      <w:tr w:rsidR="004F7042" w:rsidRPr="00F30805" w14:paraId="1B17381B" w14:textId="77777777" w:rsidTr="00D57E8F">
        <w:trPr>
          <w:trHeight w:val="3509"/>
        </w:trPr>
        <w:tc>
          <w:tcPr>
            <w:tcW w:w="9914" w:type="dxa"/>
            <w:gridSpan w:val="12"/>
          </w:tcPr>
          <w:p w14:paraId="6B16EF22"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sz w:val="18"/>
                <w:szCs w:val="18"/>
                <w:lang w:val="en-US"/>
              </w:rPr>
              <w:t xml:space="preserve">Abbreviations: ADA = adalimumab; HAQ-DI = Health Assessment Questionnaire Disability Index; IR = inadequate responder; MTX = methotrexate; PBO = placebo; UPA = upadacitinib </w:t>
            </w:r>
          </w:p>
          <w:p w14:paraId="69E0D646"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position w:val="8"/>
                <w:sz w:val="18"/>
                <w:szCs w:val="18"/>
                <w:vertAlign w:val="superscript"/>
                <w:lang w:val="en-US"/>
              </w:rPr>
              <w:t xml:space="preserve">a </w:t>
            </w:r>
            <w:r w:rsidRPr="00F30805">
              <w:rPr>
                <w:rFonts w:ascii="Arial" w:hAnsi="Arial" w:cs="Arial"/>
                <w:sz w:val="18"/>
                <w:szCs w:val="18"/>
                <w:lang w:val="en-US"/>
              </w:rPr>
              <w:t xml:space="preserve">Data shown are mean </w:t>
            </w:r>
          </w:p>
          <w:p w14:paraId="71891D0F"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position w:val="8"/>
                <w:sz w:val="18"/>
                <w:szCs w:val="18"/>
                <w:vertAlign w:val="superscript"/>
                <w:lang w:val="en-US"/>
              </w:rPr>
              <w:t xml:space="preserve">b </w:t>
            </w:r>
            <w:r w:rsidRPr="00F30805">
              <w:rPr>
                <w:rFonts w:ascii="Arial" w:hAnsi="Arial" w:cs="Arial"/>
                <w:sz w:val="18"/>
                <w:szCs w:val="18"/>
                <w:lang w:val="en-US"/>
              </w:rPr>
              <w:t xml:space="preserve">Health Assessment Questionnaire-Disability Index: 0=best, 3=worst; 20 questions; 8 categories: dressing and grooming, arising, eating, walking, hygiene, reach, grip, and activities. </w:t>
            </w:r>
          </w:p>
          <w:p w14:paraId="342CBC4A"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position w:val="8"/>
                <w:sz w:val="18"/>
                <w:szCs w:val="18"/>
                <w:vertAlign w:val="superscript"/>
                <w:lang w:val="en-US"/>
              </w:rPr>
              <w:t xml:space="preserve">c </w:t>
            </w:r>
            <w:r w:rsidRPr="00F30805">
              <w:rPr>
                <w:rFonts w:ascii="Arial" w:hAnsi="Arial" w:cs="Arial"/>
                <w:sz w:val="18"/>
                <w:szCs w:val="18"/>
                <w:lang w:val="en-US"/>
              </w:rPr>
              <w:t xml:space="preserve">SELECT-EARLY, SELECT-NEXT, SELECT-COMPARE, SELECT-BEYOND </w:t>
            </w:r>
          </w:p>
          <w:p w14:paraId="334035D4"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position w:val="8"/>
                <w:sz w:val="18"/>
                <w:szCs w:val="18"/>
                <w:vertAlign w:val="superscript"/>
                <w:lang w:val="en-US"/>
              </w:rPr>
              <w:t xml:space="preserve">d </w:t>
            </w:r>
            <w:r w:rsidRPr="00F30805">
              <w:rPr>
                <w:rFonts w:ascii="Arial" w:hAnsi="Arial" w:cs="Arial"/>
                <w:sz w:val="18"/>
                <w:szCs w:val="18"/>
                <w:lang w:val="en-US"/>
              </w:rPr>
              <w:t xml:space="preserve">SELECT-MONOTHERAPY </w:t>
            </w:r>
          </w:p>
          <w:p w14:paraId="415DE2C7"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position w:val="8"/>
                <w:sz w:val="18"/>
                <w:szCs w:val="18"/>
                <w:vertAlign w:val="superscript"/>
                <w:lang w:val="en-US"/>
              </w:rPr>
              <w:t xml:space="preserve">e </w:t>
            </w:r>
            <w:r w:rsidRPr="00F30805">
              <w:rPr>
                <w:rFonts w:ascii="Arial" w:hAnsi="Arial" w:cs="Arial"/>
                <w:sz w:val="18"/>
                <w:szCs w:val="18"/>
                <w:lang w:val="en-US"/>
              </w:rPr>
              <w:t xml:space="preserve">SELECT-EARLY </w:t>
            </w:r>
          </w:p>
          <w:p w14:paraId="49D1C130" w14:textId="77777777"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position w:val="8"/>
                <w:sz w:val="18"/>
                <w:szCs w:val="18"/>
                <w:vertAlign w:val="superscript"/>
                <w:lang w:val="en-US"/>
              </w:rPr>
              <w:t xml:space="preserve">f </w:t>
            </w:r>
            <w:r w:rsidRPr="00F30805">
              <w:rPr>
                <w:rFonts w:ascii="Arial" w:hAnsi="Arial" w:cs="Arial"/>
                <w:sz w:val="18"/>
                <w:szCs w:val="18"/>
                <w:lang w:val="en-US"/>
              </w:rPr>
              <w:t xml:space="preserve">SELECT-COMPARE </w:t>
            </w:r>
          </w:p>
          <w:p w14:paraId="0EED2090" w14:textId="0309B311"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position w:val="8"/>
                <w:sz w:val="18"/>
                <w:szCs w:val="18"/>
                <w:vertAlign w:val="superscript"/>
                <w:lang w:val="en-US"/>
              </w:rPr>
              <w:t xml:space="preserve">g </w:t>
            </w:r>
            <w:r w:rsidRPr="00F30805">
              <w:rPr>
                <w:rFonts w:ascii="Arial" w:hAnsi="Arial" w:cs="Arial"/>
                <w:sz w:val="18"/>
                <w:szCs w:val="18"/>
                <w:lang w:val="en-US"/>
              </w:rPr>
              <w:t>multiplicity</w:t>
            </w:r>
            <w:r w:rsidR="00F15583" w:rsidRPr="00F30805">
              <w:rPr>
                <w:rFonts w:ascii="Arial" w:hAnsi="Arial" w:cs="Arial"/>
                <w:sz w:val="18"/>
                <w:szCs w:val="18"/>
                <w:lang w:val="en-US"/>
              </w:rPr>
              <w:t>-</w:t>
            </w:r>
            <w:r w:rsidRPr="00F30805">
              <w:rPr>
                <w:rFonts w:ascii="Arial" w:hAnsi="Arial" w:cs="Arial"/>
                <w:sz w:val="18"/>
                <w:szCs w:val="18"/>
                <w:lang w:val="en-US"/>
              </w:rPr>
              <w:t xml:space="preserve">controlled p≤0.001 upadacitinib vs placebo or MTX comparison </w:t>
            </w:r>
          </w:p>
          <w:p w14:paraId="3A06EAC9" w14:textId="602BB525" w:rsidR="004F7042" w:rsidRPr="00F30805" w:rsidRDefault="004F7042"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position w:val="8"/>
                <w:sz w:val="18"/>
                <w:szCs w:val="18"/>
                <w:vertAlign w:val="superscript"/>
                <w:lang w:val="en-US"/>
              </w:rPr>
              <w:t xml:space="preserve">h </w:t>
            </w:r>
            <w:r w:rsidRPr="00F30805">
              <w:rPr>
                <w:rFonts w:ascii="Arial" w:hAnsi="Arial" w:cs="Arial"/>
                <w:sz w:val="18"/>
                <w:szCs w:val="18"/>
                <w:lang w:val="en-US"/>
              </w:rPr>
              <w:t xml:space="preserve">nominal p≤0.001 upadacitinib vs placebo or MTX comparison </w:t>
            </w:r>
          </w:p>
          <w:p w14:paraId="5257B534" w14:textId="14BD1B00" w:rsidR="00F15583" w:rsidRPr="00F30805" w:rsidRDefault="004F7042" w:rsidP="004F7042">
            <w:pPr>
              <w:autoSpaceDE w:val="0"/>
              <w:autoSpaceDN w:val="0"/>
              <w:adjustRightInd w:val="0"/>
              <w:spacing w:after="0" w:line="240" w:lineRule="auto"/>
              <w:jc w:val="left"/>
              <w:rPr>
                <w:rFonts w:ascii="Arial" w:hAnsi="Arial" w:cs="Arial"/>
                <w:sz w:val="18"/>
                <w:szCs w:val="18"/>
                <w:lang w:val="en-US"/>
              </w:rPr>
            </w:pPr>
            <w:proofErr w:type="spellStart"/>
            <w:r w:rsidRPr="00F30805">
              <w:rPr>
                <w:rFonts w:ascii="Arial" w:hAnsi="Arial" w:cs="Arial"/>
                <w:position w:val="8"/>
                <w:sz w:val="18"/>
                <w:szCs w:val="18"/>
                <w:vertAlign w:val="superscript"/>
                <w:lang w:val="en-US"/>
              </w:rPr>
              <w:t>i</w:t>
            </w:r>
            <w:proofErr w:type="spellEnd"/>
            <w:r w:rsidRPr="00F30805">
              <w:rPr>
                <w:rFonts w:ascii="Arial" w:hAnsi="Arial" w:cs="Arial"/>
                <w:position w:val="8"/>
                <w:sz w:val="18"/>
                <w:szCs w:val="18"/>
                <w:vertAlign w:val="superscript"/>
                <w:lang w:val="en-US"/>
              </w:rPr>
              <w:t xml:space="preserve"> </w:t>
            </w:r>
            <w:r w:rsidR="00493AA9" w:rsidRPr="00F30805">
              <w:rPr>
                <w:rFonts w:ascii="Arial" w:hAnsi="Arial" w:cs="Arial"/>
                <w:sz w:val="18"/>
                <w:szCs w:val="18"/>
                <w:lang w:val="en-US"/>
              </w:rPr>
              <w:t>multiplicity</w:t>
            </w:r>
            <w:r w:rsidR="001D4DF7" w:rsidRPr="00F30805">
              <w:rPr>
                <w:rFonts w:ascii="Arial" w:hAnsi="Arial" w:cs="Arial"/>
                <w:sz w:val="18"/>
                <w:szCs w:val="18"/>
                <w:lang w:val="en-US"/>
              </w:rPr>
              <w:t>-</w:t>
            </w:r>
            <w:r w:rsidR="00493AA9" w:rsidRPr="00F30805">
              <w:rPr>
                <w:rFonts w:ascii="Arial" w:hAnsi="Arial" w:cs="Arial"/>
                <w:sz w:val="18"/>
                <w:szCs w:val="18"/>
                <w:lang w:val="en-US"/>
              </w:rPr>
              <w:t>controlled</w:t>
            </w:r>
            <w:r w:rsidRPr="00F30805">
              <w:rPr>
                <w:rFonts w:ascii="Arial" w:hAnsi="Arial" w:cs="Arial"/>
                <w:sz w:val="18"/>
                <w:szCs w:val="18"/>
                <w:lang w:val="en-US"/>
              </w:rPr>
              <w:t xml:space="preserve"> p≤0.01 upadacitinib vs </w:t>
            </w:r>
            <w:proofErr w:type="spellStart"/>
            <w:r w:rsidRPr="00F30805">
              <w:rPr>
                <w:rFonts w:ascii="Arial" w:hAnsi="Arial" w:cs="Arial"/>
                <w:sz w:val="18"/>
                <w:szCs w:val="18"/>
                <w:lang w:val="en-US"/>
              </w:rPr>
              <w:t>adalimumab</w:t>
            </w:r>
            <w:proofErr w:type="spellEnd"/>
            <w:r w:rsidRPr="00F30805">
              <w:rPr>
                <w:rFonts w:ascii="Arial" w:hAnsi="Arial" w:cs="Arial"/>
                <w:sz w:val="18"/>
                <w:szCs w:val="18"/>
                <w:lang w:val="en-US"/>
              </w:rPr>
              <w:t xml:space="preserve"> comparison </w:t>
            </w:r>
          </w:p>
          <w:p w14:paraId="3669FCE2" w14:textId="4AB772E3" w:rsidR="004F7042" w:rsidRPr="00F30805" w:rsidRDefault="00F15583" w:rsidP="004F7042">
            <w:pPr>
              <w:autoSpaceDE w:val="0"/>
              <w:autoSpaceDN w:val="0"/>
              <w:adjustRightInd w:val="0"/>
              <w:spacing w:after="0" w:line="240" w:lineRule="auto"/>
              <w:jc w:val="left"/>
              <w:rPr>
                <w:rFonts w:ascii="Arial" w:hAnsi="Arial" w:cs="Arial"/>
                <w:sz w:val="18"/>
                <w:szCs w:val="18"/>
                <w:lang w:val="en-US"/>
              </w:rPr>
            </w:pPr>
            <w:r w:rsidRPr="00F30805">
              <w:rPr>
                <w:rFonts w:ascii="Arial" w:hAnsi="Arial" w:cs="Arial"/>
                <w:sz w:val="18"/>
                <w:szCs w:val="18"/>
                <w:vertAlign w:val="superscript"/>
                <w:lang w:val="en-US"/>
              </w:rPr>
              <w:t>j</w:t>
            </w:r>
            <w:r w:rsidRPr="00F30805">
              <w:rPr>
                <w:rFonts w:ascii="Arial" w:hAnsi="Arial" w:cs="Arial"/>
                <w:sz w:val="18"/>
                <w:szCs w:val="18"/>
                <w:lang w:val="en-US"/>
              </w:rPr>
              <w:t xml:space="preserve"> nominal p≤0.01 upadacitinib vs </w:t>
            </w:r>
            <w:proofErr w:type="spellStart"/>
            <w:r w:rsidRPr="00F30805">
              <w:rPr>
                <w:rFonts w:ascii="Arial" w:hAnsi="Arial" w:cs="Arial"/>
                <w:sz w:val="18"/>
                <w:szCs w:val="18"/>
                <w:lang w:val="en-US"/>
              </w:rPr>
              <w:t>adalimumab</w:t>
            </w:r>
            <w:proofErr w:type="spellEnd"/>
            <w:r w:rsidRPr="00F30805">
              <w:rPr>
                <w:rFonts w:ascii="Arial" w:hAnsi="Arial" w:cs="Arial"/>
                <w:sz w:val="18"/>
                <w:szCs w:val="18"/>
                <w:lang w:val="en-US"/>
              </w:rPr>
              <w:t xml:space="preserve"> comparison</w:t>
            </w:r>
          </w:p>
        </w:tc>
      </w:tr>
    </w:tbl>
    <w:p w14:paraId="6677EC5F" w14:textId="61EC8ABF" w:rsidR="00D57E8F" w:rsidRPr="00F30805" w:rsidRDefault="00D57E8F" w:rsidP="00AE0B35">
      <w:pPr>
        <w:autoSpaceDE w:val="0"/>
        <w:autoSpaceDN w:val="0"/>
        <w:adjustRightInd w:val="0"/>
        <w:spacing w:before="120"/>
        <w:rPr>
          <w:rFonts w:ascii="Arial" w:eastAsia="MS Mincho" w:hAnsi="Arial" w:cs="Arial"/>
          <w:lang w:val="en-US" w:eastAsia="ja-JP"/>
        </w:rPr>
      </w:pPr>
    </w:p>
    <w:p w14:paraId="160563CA" w14:textId="30056F4C" w:rsidR="00980B3F" w:rsidRPr="00F30805" w:rsidRDefault="00980B3F" w:rsidP="00980B3F">
      <w:pPr>
        <w:autoSpaceDE w:val="0"/>
        <w:autoSpaceDN w:val="0"/>
        <w:adjustRightInd w:val="0"/>
        <w:spacing w:before="120"/>
        <w:rPr>
          <w:rFonts w:ascii="Arial" w:eastAsia="MS Mincho" w:hAnsi="Arial" w:cs="Arial"/>
          <w:lang w:val="en-US" w:eastAsia="ja-JP"/>
        </w:rPr>
      </w:pPr>
      <w:r w:rsidRPr="00F30805">
        <w:rPr>
          <w:rFonts w:ascii="Arial" w:eastAsia="MS Mincho" w:hAnsi="Arial" w:cs="Arial"/>
          <w:lang w:val="en-US" w:eastAsia="ja-JP"/>
        </w:rPr>
        <w:t>In the studies SELECT-MONOTHERAPY, SELECT-NEXT, and SELECT-COMPARE, treatment with upadacitinib 15 mg resulted in a significantly greater improvement in the mean duration of morning joint stiffness compared to placebo or MTX</w:t>
      </w:r>
      <w:r w:rsidR="001730D3" w:rsidRPr="00F30805">
        <w:rPr>
          <w:rFonts w:ascii="Arial" w:eastAsia="MS Mincho" w:hAnsi="Arial" w:cs="Arial"/>
          <w:lang w:val="en-US" w:eastAsia="ja-JP"/>
        </w:rPr>
        <w:t xml:space="preserve"> at Week 12/14</w:t>
      </w:r>
      <w:r w:rsidRPr="00F30805">
        <w:rPr>
          <w:rFonts w:ascii="Arial" w:eastAsia="MS Mincho" w:hAnsi="Arial" w:cs="Arial"/>
          <w:lang w:val="en-US" w:eastAsia="ja-JP"/>
        </w:rPr>
        <w:t>.</w:t>
      </w:r>
    </w:p>
    <w:p w14:paraId="4A93B959" w14:textId="5B74C0DE" w:rsidR="004F7042" w:rsidRPr="00F30805" w:rsidRDefault="00980B3F" w:rsidP="00980B3F">
      <w:pPr>
        <w:autoSpaceDE w:val="0"/>
        <w:autoSpaceDN w:val="0"/>
        <w:adjustRightInd w:val="0"/>
        <w:spacing w:before="120"/>
        <w:rPr>
          <w:rFonts w:ascii="Arial" w:eastAsia="MS Mincho" w:hAnsi="Arial" w:cs="Arial"/>
          <w:lang w:val="en-US" w:eastAsia="ja-JP"/>
        </w:rPr>
      </w:pPr>
      <w:r w:rsidRPr="00F30805">
        <w:rPr>
          <w:rFonts w:ascii="Arial" w:eastAsia="MS Mincho" w:hAnsi="Arial" w:cs="Arial"/>
          <w:lang w:val="en-US" w:eastAsia="ja-JP"/>
        </w:rPr>
        <w:t>In the clinical studies, upadacitinib treated patients reported significant improvements in patient-reported quality of life, as measured by the Short Form (36) Health Survey (SF-36) Physical Component Score compared to placebo and MTX. Moreover, upadacitinib treated patients reported significant improvements in fatigue</w:t>
      </w:r>
      <w:r w:rsidR="002E62D8" w:rsidRPr="00F30805">
        <w:rPr>
          <w:rFonts w:ascii="Arial" w:eastAsia="MS Mincho" w:hAnsi="Arial" w:cs="Arial"/>
          <w:lang w:val="en-US" w:eastAsia="ja-JP"/>
        </w:rPr>
        <w:t xml:space="preserve"> at Week 12</w:t>
      </w:r>
      <w:r w:rsidRPr="00F30805">
        <w:rPr>
          <w:rFonts w:ascii="Arial" w:eastAsia="MS Mincho" w:hAnsi="Arial" w:cs="Arial"/>
          <w:lang w:val="en-US" w:eastAsia="ja-JP"/>
        </w:rPr>
        <w:t>, as measured by the Functional Assessment of Chronic Illness Therapy-Fatigue score (FACIT-F) compared to placebo.</w:t>
      </w:r>
    </w:p>
    <w:p w14:paraId="1941C5E3" w14:textId="77777777" w:rsidR="00180F69" w:rsidRPr="00F30805" w:rsidRDefault="001A3992" w:rsidP="001A3992">
      <w:pPr>
        <w:pStyle w:val="Heading2"/>
        <w:keepNext/>
        <w:spacing w:before="0" w:after="120"/>
        <w:rPr>
          <w:rFonts w:ascii="Arial" w:hAnsi="Arial" w:cs="Arial"/>
          <w:lang w:val="en-US"/>
        </w:rPr>
      </w:pPr>
      <w:r w:rsidRPr="00F30805">
        <w:rPr>
          <w:rFonts w:ascii="Arial" w:hAnsi="Arial" w:cs="Arial"/>
          <w:lang w:val="en-US"/>
        </w:rPr>
        <w:t>Pharmacokinetic properties</w:t>
      </w:r>
    </w:p>
    <w:p w14:paraId="0B51589B" w14:textId="60A0DA7B" w:rsidR="001A3992" w:rsidRPr="00F30805" w:rsidRDefault="00A9173E" w:rsidP="00AE0B35">
      <w:pPr>
        <w:spacing w:before="120"/>
        <w:rPr>
          <w:rFonts w:ascii="Arial" w:hAnsi="Arial" w:cs="Arial"/>
        </w:rPr>
      </w:pPr>
      <w:r w:rsidRPr="00F30805">
        <w:rPr>
          <w:rFonts w:ascii="Arial" w:hAnsi="Arial" w:cs="Arial"/>
        </w:rPr>
        <w:t xml:space="preserve">Upadacitinib plasma exposures are proportional to dose over the therapeutic dose range. Steady-state plasma concentrations are achieved within 4 days with minimal accumulation after multiple once-daily administrations. The pharmacokinetic properties of </w:t>
      </w:r>
      <w:r w:rsidR="00A700BC" w:rsidRPr="00F30805">
        <w:rPr>
          <w:rFonts w:ascii="Arial" w:hAnsi="Arial" w:cs="Arial"/>
        </w:rPr>
        <w:t>RINVOQ</w:t>
      </w:r>
      <w:r w:rsidR="00FD2859" w:rsidRPr="00F30805">
        <w:rPr>
          <w:rFonts w:ascii="Arial" w:hAnsi="Arial" w:cs="Arial"/>
        </w:rPr>
        <w:t xml:space="preserve"> are provided in Table 9</w:t>
      </w:r>
      <w:r w:rsidRPr="00F30805">
        <w:rPr>
          <w:rFonts w:ascii="Arial" w:hAnsi="Arial" w:cs="Arial"/>
        </w:rPr>
        <w:t>.</w:t>
      </w:r>
    </w:p>
    <w:p w14:paraId="4AC0DC31" w14:textId="15EA858A" w:rsidR="00A9173E" w:rsidRPr="00F30805" w:rsidRDefault="00FD2859" w:rsidP="00066888">
      <w:pPr>
        <w:pStyle w:val="Heading3"/>
      </w:pPr>
      <w:r w:rsidRPr="00F30805">
        <w:lastRenderedPageBreak/>
        <w:t>Table 9</w:t>
      </w:r>
      <w:r w:rsidR="00A9173E" w:rsidRPr="00F30805">
        <w:t xml:space="preserve">. Pharmacokinetic Properties of </w:t>
      </w:r>
      <w:r w:rsidR="00A700BC" w:rsidRPr="00F30805">
        <w:t>RINVOQ</w:t>
      </w:r>
      <w:r w:rsidR="00A9173E" w:rsidRPr="00F30805">
        <w:t xml:space="preserve"> </w:t>
      </w:r>
    </w:p>
    <w:tbl>
      <w:tblPr>
        <w:tblStyle w:val="TableGrid"/>
        <w:tblW w:w="0" w:type="auto"/>
        <w:tblLayout w:type="fixed"/>
        <w:tblLook w:val="04A0" w:firstRow="1" w:lastRow="0" w:firstColumn="1" w:lastColumn="0" w:noHBand="0" w:noVBand="1"/>
      </w:tblPr>
      <w:tblGrid>
        <w:gridCol w:w="4644"/>
        <w:gridCol w:w="4536"/>
      </w:tblGrid>
      <w:tr w:rsidR="00A9173E" w:rsidRPr="00F30805" w14:paraId="2BB06AB0" w14:textId="77777777" w:rsidTr="00AE0B35">
        <w:trPr>
          <w:trHeight w:val="246"/>
        </w:trPr>
        <w:tc>
          <w:tcPr>
            <w:tcW w:w="9180" w:type="dxa"/>
            <w:gridSpan w:val="2"/>
            <w:vAlign w:val="center"/>
          </w:tcPr>
          <w:p w14:paraId="63CC323E" w14:textId="6111C557" w:rsidR="00A9173E" w:rsidRPr="00F30805" w:rsidRDefault="00A9173E" w:rsidP="00AE0B35">
            <w:pPr>
              <w:pStyle w:val="gtcbodytext"/>
              <w:keepNext/>
              <w:spacing w:before="120" w:after="120"/>
              <w:rPr>
                <w:rFonts w:ascii="Arial" w:hAnsi="Arial" w:cs="Arial"/>
                <w:b/>
                <w:bCs/>
                <w:sz w:val="22"/>
                <w:szCs w:val="22"/>
                <w:highlight w:val="yellow"/>
                <w:lang w:val="en-GB"/>
              </w:rPr>
            </w:pPr>
            <w:r w:rsidRPr="00F30805">
              <w:rPr>
                <w:rFonts w:ascii="Arial" w:hAnsi="Arial" w:cs="Arial"/>
                <w:b/>
                <w:bCs/>
                <w:sz w:val="22"/>
                <w:szCs w:val="22"/>
                <w:lang w:val="en-GB"/>
              </w:rPr>
              <w:t>Absorption</w:t>
            </w:r>
          </w:p>
        </w:tc>
      </w:tr>
      <w:tr w:rsidR="00A9173E" w:rsidRPr="00F30805" w14:paraId="3F2CD810" w14:textId="77777777" w:rsidTr="00AE0B35">
        <w:trPr>
          <w:trHeight w:val="276"/>
        </w:trPr>
        <w:tc>
          <w:tcPr>
            <w:tcW w:w="4644" w:type="dxa"/>
            <w:vAlign w:val="center"/>
          </w:tcPr>
          <w:p w14:paraId="29F9A693" w14:textId="77777777" w:rsidR="00A9173E" w:rsidRPr="00F30805" w:rsidRDefault="00A9173E" w:rsidP="00A9173E">
            <w:pPr>
              <w:pStyle w:val="gtcbodytext"/>
              <w:keepNext/>
              <w:spacing w:before="0"/>
              <w:rPr>
                <w:rFonts w:ascii="Arial" w:hAnsi="Arial" w:cs="Arial"/>
                <w:b/>
                <w:bCs/>
                <w:sz w:val="22"/>
                <w:szCs w:val="22"/>
                <w:lang w:val="en-GB"/>
              </w:rPr>
            </w:pPr>
            <w:proofErr w:type="spellStart"/>
            <w:r w:rsidRPr="00F30805">
              <w:rPr>
                <w:rFonts w:ascii="Arial" w:hAnsi="Arial" w:cs="Arial"/>
                <w:sz w:val="22"/>
                <w:szCs w:val="22"/>
              </w:rPr>
              <w:t>T</w:t>
            </w:r>
            <w:r w:rsidRPr="00F30805">
              <w:rPr>
                <w:rFonts w:ascii="Arial" w:hAnsi="Arial" w:cs="Arial"/>
                <w:sz w:val="22"/>
                <w:szCs w:val="22"/>
                <w:vertAlign w:val="subscript"/>
              </w:rPr>
              <w:t>max</w:t>
            </w:r>
            <w:proofErr w:type="spellEnd"/>
            <w:r w:rsidRPr="00F30805">
              <w:rPr>
                <w:rFonts w:ascii="Arial" w:hAnsi="Arial" w:cs="Arial"/>
                <w:sz w:val="22"/>
                <w:szCs w:val="22"/>
              </w:rPr>
              <w:t xml:space="preserve"> (h)</w:t>
            </w:r>
          </w:p>
        </w:tc>
        <w:tc>
          <w:tcPr>
            <w:tcW w:w="4536" w:type="dxa"/>
            <w:vAlign w:val="center"/>
          </w:tcPr>
          <w:p w14:paraId="69781790" w14:textId="77777777"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2-4</w:t>
            </w:r>
          </w:p>
        </w:tc>
      </w:tr>
      <w:tr w:rsidR="00A9173E" w:rsidRPr="00F30805" w14:paraId="403AA2F8" w14:textId="77777777" w:rsidTr="00AE0B35">
        <w:trPr>
          <w:trHeight w:val="276"/>
        </w:trPr>
        <w:tc>
          <w:tcPr>
            <w:tcW w:w="4644" w:type="dxa"/>
            <w:vAlign w:val="center"/>
          </w:tcPr>
          <w:p w14:paraId="3669B51B" w14:textId="77777777" w:rsidR="00A9173E" w:rsidRPr="00F30805" w:rsidRDefault="00A9173E" w:rsidP="00A9173E">
            <w:pPr>
              <w:pStyle w:val="gtcbodytext"/>
              <w:keepNext/>
              <w:spacing w:before="0"/>
              <w:rPr>
                <w:rFonts w:ascii="Arial" w:hAnsi="Arial" w:cs="Arial"/>
                <w:sz w:val="22"/>
                <w:szCs w:val="22"/>
              </w:rPr>
            </w:pPr>
            <w:r w:rsidRPr="00F30805">
              <w:rPr>
                <w:rFonts w:ascii="Arial" w:hAnsi="Arial" w:cs="Arial"/>
                <w:sz w:val="22"/>
                <w:szCs w:val="22"/>
              </w:rPr>
              <w:t>Effect of high-fat meal (relative to fasting)</w:t>
            </w:r>
          </w:p>
        </w:tc>
        <w:tc>
          <w:tcPr>
            <w:tcW w:w="4536" w:type="dxa"/>
            <w:vAlign w:val="center"/>
          </w:tcPr>
          <w:p w14:paraId="105597BD" w14:textId="77777777" w:rsidR="00A9173E" w:rsidRPr="00F30805" w:rsidRDefault="00A9173E" w:rsidP="00A9173E">
            <w:pPr>
              <w:pStyle w:val="gtcbodytext"/>
              <w:keepNext/>
              <w:spacing w:before="0"/>
              <w:jc w:val="center"/>
              <w:rPr>
                <w:rFonts w:ascii="Arial" w:hAnsi="Arial" w:cs="Arial"/>
                <w:sz w:val="22"/>
                <w:szCs w:val="22"/>
                <w:lang w:val="en-GB"/>
              </w:rPr>
            </w:pPr>
            <w:r w:rsidRPr="00F30805">
              <w:rPr>
                <w:rFonts w:ascii="Arial" w:hAnsi="Arial" w:cs="Arial"/>
                <w:sz w:val="22"/>
                <w:szCs w:val="22"/>
                <w:lang w:val="en-GB"/>
              </w:rPr>
              <w:t>No clinically relevant effect</w:t>
            </w:r>
          </w:p>
          <w:p w14:paraId="3EAAF9B6" w14:textId="77777777"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sz w:val="22"/>
                <w:szCs w:val="22"/>
                <w:lang w:val="en-GB"/>
              </w:rPr>
              <w:t xml:space="preserve">AUC: ↑ 29%, </w:t>
            </w:r>
            <w:proofErr w:type="spellStart"/>
            <w:r w:rsidRPr="00F30805">
              <w:rPr>
                <w:rFonts w:ascii="Arial" w:hAnsi="Arial" w:cs="Arial"/>
                <w:sz w:val="22"/>
                <w:szCs w:val="22"/>
              </w:rPr>
              <w:t>C</w:t>
            </w:r>
            <w:r w:rsidRPr="00F30805">
              <w:rPr>
                <w:rFonts w:ascii="Arial" w:hAnsi="Arial" w:cs="Arial"/>
                <w:sz w:val="22"/>
                <w:szCs w:val="22"/>
                <w:vertAlign w:val="subscript"/>
              </w:rPr>
              <w:t>max</w:t>
            </w:r>
            <w:proofErr w:type="spellEnd"/>
            <w:r w:rsidRPr="00F30805">
              <w:rPr>
                <w:rFonts w:ascii="Arial" w:hAnsi="Arial" w:cs="Arial"/>
                <w:sz w:val="22"/>
                <w:szCs w:val="22"/>
              </w:rPr>
              <w:t xml:space="preserve"> </w:t>
            </w:r>
            <w:r w:rsidRPr="00F30805">
              <w:rPr>
                <w:rFonts w:ascii="Arial" w:hAnsi="Arial" w:cs="Arial"/>
                <w:sz w:val="22"/>
                <w:szCs w:val="22"/>
                <w:lang w:val="en-GB"/>
              </w:rPr>
              <w:t xml:space="preserve">↑ </w:t>
            </w:r>
            <w:r w:rsidRPr="00F30805">
              <w:rPr>
                <w:rFonts w:ascii="Arial" w:hAnsi="Arial" w:cs="Arial"/>
                <w:sz w:val="22"/>
                <w:szCs w:val="22"/>
              </w:rPr>
              <w:t>39%</w:t>
            </w:r>
          </w:p>
        </w:tc>
      </w:tr>
      <w:tr w:rsidR="00A9173E" w:rsidRPr="00F30805" w14:paraId="7D06BBCA" w14:textId="77777777" w:rsidTr="00AE0B35">
        <w:trPr>
          <w:trHeight w:val="291"/>
        </w:trPr>
        <w:tc>
          <w:tcPr>
            <w:tcW w:w="9180" w:type="dxa"/>
            <w:gridSpan w:val="2"/>
            <w:vAlign w:val="center"/>
          </w:tcPr>
          <w:p w14:paraId="248AD47E" w14:textId="77777777" w:rsidR="00A9173E" w:rsidRPr="00F30805" w:rsidRDefault="00A9173E" w:rsidP="00AE0B35">
            <w:pPr>
              <w:pStyle w:val="gtcbodytext"/>
              <w:keepNext/>
              <w:spacing w:before="120" w:after="120"/>
              <w:rPr>
                <w:rFonts w:ascii="Arial" w:hAnsi="Arial" w:cs="Arial"/>
                <w:b/>
                <w:bCs/>
                <w:sz w:val="22"/>
                <w:szCs w:val="22"/>
                <w:lang w:val="en-GB"/>
              </w:rPr>
            </w:pPr>
            <w:r w:rsidRPr="00F30805">
              <w:rPr>
                <w:rFonts w:ascii="Arial" w:hAnsi="Arial" w:cs="Arial"/>
                <w:b/>
                <w:bCs/>
                <w:sz w:val="22"/>
                <w:szCs w:val="22"/>
                <w:lang w:val="en-GB"/>
              </w:rPr>
              <w:t>Distribution</w:t>
            </w:r>
          </w:p>
        </w:tc>
      </w:tr>
      <w:tr w:rsidR="00A9173E" w:rsidRPr="00F30805" w14:paraId="2F378733" w14:textId="77777777" w:rsidTr="00AE0B35">
        <w:trPr>
          <w:trHeight w:val="246"/>
        </w:trPr>
        <w:tc>
          <w:tcPr>
            <w:tcW w:w="4644" w:type="dxa"/>
            <w:vAlign w:val="center"/>
          </w:tcPr>
          <w:p w14:paraId="065F224E" w14:textId="77777777" w:rsidR="00A9173E" w:rsidRPr="00F30805" w:rsidRDefault="00A9173E" w:rsidP="00A9173E">
            <w:pPr>
              <w:pStyle w:val="gtcbodytext"/>
              <w:keepNext/>
              <w:spacing w:before="0"/>
              <w:rPr>
                <w:rFonts w:ascii="Arial" w:hAnsi="Arial" w:cs="Arial"/>
                <w:b/>
                <w:bCs/>
                <w:sz w:val="22"/>
                <w:szCs w:val="22"/>
                <w:lang w:val="en-GB"/>
              </w:rPr>
            </w:pPr>
            <w:r w:rsidRPr="00F30805">
              <w:rPr>
                <w:rFonts w:ascii="Arial" w:hAnsi="Arial" w:cs="Arial"/>
                <w:sz w:val="22"/>
                <w:szCs w:val="22"/>
                <w:lang w:val="en-GB"/>
              </w:rPr>
              <w:t>% Bound to human plasma proteins</w:t>
            </w:r>
          </w:p>
        </w:tc>
        <w:tc>
          <w:tcPr>
            <w:tcW w:w="4536" w:type="dxa"/>
            <w:vAlign w:val="center"/>
          </w:tcPr>
          <w:p w14:paraId="0AB3CFCC" w14:textId="01CC7C04"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5</w:t>
            </w:r>
            <w:r w:rsidR="001408C3" w:rsidRPr="00F30805">
              <w:rPr>
                <w:rFonts w:ascii="Arial" w:hAnsi="Arial" w:cs="Arial"/>
                <w:bCs/>
                <w:sz w:val="22"/>
                <w:szCs w:val="22"/>
                <w:lang w:val="en-GB"/>
              </w:rPr>
              <w:t>9</w:t>
            </w:r>
          </w:p>
        </w:tc>
      </w:tr>
      <w:tr w:rsidR="00A9173E" w:rsidRPr="00F30805" w14:paraId="073ADE13" w14:textId="77777777" w:rsidTr="00AE0B35">
        <w:trPr>
          <w:trHeight w:val="261"/>
        </w:trPr>
        <w:tc>
          <w:tcPr>
            <w:tcW w:w="4644" w:type="dxa"/>
            <w:vAlign w:val="center"/>
          </w:tcPr>
          <w:p w14:paraId="004A6AF3" w14:textId="77777777" w:rsidR="00A9173E" w:rsidRPr="00F30805" w:rsidRDefault="00A9173E" w:rsidP="00A9173E">
            <w:pPr>
              <w:pStyle w:val="gtcbodytext"/>
              <w:keepNext/>
              <w:spacing w:before="0"/>
              <w:rPr>
                <w:rFonts w:ascii="Arial" w:hAnsi="Arial" w:cs="Arial"/>
                <w:b/>
                <w:bCs/>
                <w:sz w:val="22"/>
                <w:szCs w:val="22"/>
                <w:lang w:val="en-GB"/>
              </w:rPr>
            </w:pPr>
            <w:r w:rsidRPr="00F30805">
              <w:rPr>
                <w:rFonts w:ascii="Arial" w:hAnsi="Arial" w:cs="Arial"/>
                <w:sz w:val="22"/>
                <w:szCs w:val="22"/>
                <w:lang w:val="en-GB"/>
              </w:rPr>
              <w:t>Blood-to-plasma ratio</w:t>
            </w:r>
          </w:p>
        </w:tc>
        <w:tc>
          <w:tcPr>
            <w:tcW w:w="4536" w:type="dxa"/>
            <w:vAlign w:val="center"/>
          </w:tcPr>
          <w:p w14:paraId="41F5A154" w14:textId="77777777"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1.0</w:t>
            </w:r>
          </w:p>
        </w:tc>
      </w:tr>
      <w:tr w:rsidR="00A9173E" w:rsidRPr="00F30805" w14:paraId="04459DCD" w14:textId="77777777" w:rsidTr="00AE0B35">
        <w:trPr>
          <w:trHeight w:val="246"/>
        </w:trPr>
        <w:tc>
          <w:tcPr>
            <w:tcW w:w="9180" w:type="dxa"/>
            <w:gridSpan w:val="2"/>
            <w:vAlign w:val="center"/>
          </w:tcPr>
          <w:p w14:paraId="7866367F" w14:textId="77777777" w:rsidR="00A9173E" w:rsidRPr="00F30805" w:rsidRDefault="00A9173E" w:rsidP="00AE0B35">
            <w:pPr>
              <w:pStyle w:val="gtcbodytext"/>
              <w:keepNext/>
              <w:spacing w:before="120" w:after="120"/>
              <w:rPr>
                <w:rFonts w:ascii="Arial" w:hAnsi="Arial" w:cs="Arial"/>
                <w:b/>
                <w:bCs/>
                <w:sz w:val="22"/>
                <w:szCs w:val="22"/>
                <w:lang w:val="en-GB"/>
              </w:rPr>
            </w:pPr>
            <w:r w:rsidRPr="00F30805">
              <w:rPr>
                <w:rFonts w:ascii="Arial" w:hAnsi="Arial" w:cs="Arial"/>
                <w:b/>
                <w:bCs/>
                <w:sz w:val="22"/>
                <w:szCs w:val="22"/>
                <w:lang w:val="en-GB"/>
              </w:rPr>
              <w:t>Metabolism</w:t>
            </w:r>
          </w:p>
        </w:tc>
      </w:tr>
      <w:tr w:rsidR="00A9173E" w:rsidRPr="00F30805" w14:paraId="512A84DD" w14:textId="77777777" w:rsidTr="00AE0B35">
        <w:trPr>
          <w:trHeight w:val="246"/>
        </w:trPr>
        <w:tc>
          <w:tcPr>
            <w:tcW w:w="4644" w:type="dxa"/>
            <w:vAlign w:val="center"/>
          </w:tcPr>
          <w:p w14:paraId="7DC37818" w14:textId="77777777" w:rsidR="00A9173E" w:rsidRPr="00F30805" w:rsidRDefault="00A9173E" w:rsidP="00A9173E">
            <w:pPr>
              <w:pStyle w:val="gtcbodytext"/>
              <w:keepNext/>
              <w:spacing w:before="0"/>
              <w:rPr>
                <w:rFonts w:ascii="Arial" w:hAnsi="Arial" w:cs="Arial"/>
                <w:bCs/>
                <w:sz w:val="22"/>
                <w:szCs w:val="22"/>
                <w:lang w:val="en-GB"/>
              </w:rPr>
            </w:pPr>
            <w:r w:rsidRPr="00F30805">
              <w:rPr>
                <w:rFonts w:ascii="Arial" w:hAnsi="Arial" w:cs="Arial"/>
                <w:bCs/>
                <w:sz w:val="22"/>
                <w:szCs w:val="22"/>
                <w:lang w:val="en-GB"/>
              </w:rPr>
              <w:t>Metabolism</w:t>
            </w:r>
          </w:p>
        </w:tc>
        <w:tc>
          <w:tcPr>
            <w:tcW w:w="4536" w:type="dxa"/>
            <w:vAlign w:val="center"/>
          </w:tcPr>
          <w:p w14:paraId="4EE31A84" w14:textId="41B57C6B"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CYP3A</w:t>
            </w:r>
            <w:r w:rsidR="0097744F" w:rsidRPr="00F30805">
              <w:rPr>
                <w:rFonts w:ascii="Arial" w:hAnsi="Arial" w:cs="Arial"/>
                <w:bCs/>
                <w:sz w:val="22"/>
                <w:szCs w:val="22"/>
                <w:lang w:val="en-GB"/>
              </w:rPr>
              <w:t>4</w:t>
            </w:r>
            <w:r w:rsidRPr="00F30805">
              <w:rPr>
                <w:rFonts w:ascii="Arial" w:hAnsi="Arial" w:cs="Arial"/>
                <w:bCs/>
                <w:sz w:val="22"/>
                <w:szCs w:val="22"/>
                <w:lang w:val="en-GB"/>
              </w:rPr>
              <w:t>, CYP2D6 (minor)</w:t>
            </w:r>
          </w:p>
          <w:p w14:paraId="797D2612" w14:textId="77777777"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No active metabolites</w:t>
            </w:r>
          </w:p>
        </w:tc>
      </w:tr>
      <w:tr w:rsidR="00A9173E" w:rsidRPr="00F30805" w14:paraId="662867C8" w14:textId="77777777" w:rsidTr="00AE0B35">
        <w:trPr>
          <w:trHeight w:val="276"/>
        </w:trPr>
        <w:tc>
          <w:tcPr>
            <w:tcW w:w="9180" w:type="dxa"/>
            <w:gridSpan w:val="2"/>
            <w:vAlign w:val="center"/>
          </w:tcPr>
          <w:p w14:paraId="6737E3BB" w14:textId="77777777" w:rsidR="00A9173E" w:rsidRPr="00F30805" w:rsidRDefault="00A9173E" w:rsidP="00AE0B35">
            <w:pPr>
              <w:pStyle w:val="gtcbodytext"/>
              <w:keepNext/>
              <w:spacing w:before="120" w:after="120"/>
              <w:rPr>
                <w:rFonts w:ascii="Arial" w:hAnsi="Arial" w:cs="Arial"/>
                <w:b/>
                <w:bCs/>
                <w:sz w:val="22"/>
                <w:szCs w:val="22"/>
                <w:lang w:val="en-GB"/>
              </w:rPr>
            </w:pPr>
            <w:r w:rsidRPr="00F30805">
              <w:rPr>
                <w:rFonts w:ascii="Arial" w:hAnsi="Arial" w:cs="Arial"/>
                <w:b/>
                <w:bCs/>
                <w:sz w:val="22"/>
                <w:szCs w:val="22"/>
                <w:lang w:val="en-GB"/>
              </w:rPr>
              <w:t>Elimination</w:t>
            </w:r>
          </w:p>
        </w:tc>
      </w:tr>
      <w:tr w:rsidR="00A9173E" w:rsidRPr="00F30805" w14:paraId="129EBB80" w14:textId="77777777" w:rsidTr="00AE0B35">
        <w:trPr>
          <w:trHeight w:val="261"/>
        </w:trPr>
        <w:tc>
          <w:tcPr>
            <w:tcW w:w="4644" w:type="dxa"/>
            <w:vAlign w:val="center"/>
          </w:tcPr>
          <w:p w14:paraId="37223E3F" w14:textId="77777777" w:rsidR="00A9173E" w:rsidRPr="00F30805" w:rsidRDefault="00A9173E" w:rsidP="00A9173E">
            <w:pPr>
              <w:pStyle w:val="gtcbodytext"/>
              <w:keepNext/>
              <w:spacing w:before="0"/>
              <w:rPr>
                <w:rFonts w:ascii="Arial" w:hAnsi="Arial" w:cs="Arial"/>
                <w:b/>
                <w:bCs/>
                <w:sz w:val="22"/>
                <w:szCs w:val="22"/>
              </w:rPr>
            </w:pPr>
            <w:r w:rsidRPr="00F30805">
              <w:rPr>
                <w:rFonts w:ascii="Arial" w:hAnsi="Arial" w:cs="Arial"/>
                <w:sz w:val="22"/>
                <w:szCs w:val="22"/>
                <w:lang w:val="en-GB"/>
              </w:rPr>
              <w:t>Terminal phase elimination t</w:t>
            </w:r>
            <w:r w:rsidRPr="00F30805">
              <w:rPr>
                <w:rFonts w:ascii="Arial" w:hAnsi="Arial" w:cs="Arial"/>
                <w:sz w:val="22"/>
                <w:szCs w:val="22"/>
                <w:vertAlign w:val="subscript"/>
                <w:lang w:val="en-GB"/>
              </w:rPr>
              <w:t>1/2</w:t>
            </w:r>
            <w:r w:rsidRPr="00F30805">
              <w:rPr>
                <w:rFonts w:ascii="Arial" w:hAnsi="Arial" w:cs="Arial"/>
                <w:sz w:val="22"/>
                <w:szCs w:val="22"/>
                <w:lang w:val="en-GB"/>
              </w:rPr>
              <w:t xml:space="preserve"> (h) </w:t>
            </w:r>
          </w:p>
        </w:tc>
        <w:tc>
          <w:tcPr>
            <w:tcW w:w="4536" w:type="dxa"/>
            <w:vAlign w:val="center"/>
          </w:tcPr>
          <w:p w14:paraId="37BAC184" w14:textId="77777777"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9-14</w:t>
            </w:r>
          </w:p>
        </w:tc>
      </w:tr>
      <w:tr w:rsidR="00A9173E" w:rsidRPr="00F30805" w14:paraId="6C88C4B7" w14:textId="77777777" w:rsidTr="00AE0B35">
        <w:trPr>
          <w:trHeight w:val="246"/>
        </w:trPr>
        <w:tc>
          <w:tcPr>
            <w:tcW w:w="4644" w:type="dxa"/>
            <w:vAlign w:val="center"/>
          </w:tcPr>
          <w:p w14:paraId="6E8BC91B" w14:textId="4E29EB57" w:rsidR="00A9173E" w:rsidRPr="00F30805" w:rsidRDefault="00A9173E" w:rsidP="00A9173E">
            <w:pPr>
              <w:pStyle w:val="gtcbodytext"/>
              <w:keepNext/>
              <w:spacing w:before="0"/>
              <w:rPr>
                <w:rFonts w:ascii="Arial" w:hAnsi="Arial" w:cs="Arial"/>
                <w:b/>
                <w:bCs/>
                <w:sz w:val="22"/>
                <w:szCs w:val="22"/>
              </w:rPr>
            </w:pPr>
            <w:r w:rsidRPr="00F30805">
              <w:rPr>
                <w:rFonts w:ascii="Arial" w:hAnsi="Arial" w:cs="Arial"/>
                <w:sz w:val="22"/>
                <w:szCs w:val="22"/>
                <w:lang w:val="en-GB"/>
              </w:rPr>
              <w:t xml:space="preserve">% of dose excreted unchanged in </w:t>
            </w:r>
            <w:proofErr w:type="spellStart"/>
            <w:r w:rsidRPr="00F30805">
              <w:rPr>
                <w:rFonts w:ascii="Arial" w:hAnsi="Arial" w:cs="Arial"/>
                <w:sz w:val="22"/>
                <w:szCs w:val="22"/>
                <w:lang w:val="en-GB"/>
              </w:rPr>
              <w:t>urine</w:t>
            </w:r>
            <w:r w:rsidR="007E63B8" w:rsidRPr="00F30805">
              <w:rPr>
                <w:rFonts w:ascii="Arial" w:hAnsi="Arial" w:cs="Arial"/>
                <w:sz w:val="22"/>
                <w:szCs w:val="22"/>
                <w:vertAlign w:val="superscript"/>
                <w:lang w:val="en-GB"/>
              </w:rPr>
              <w:t>a</w:t>
            </w:r>
            <w:proofErr w:type="spellEnd"/>
          </w:p>
        </w:tc>
        <w:tc>
          <w:tcPr>
            <w:tcW w:w="4536" w:type="dxa"/>
            <w:vAlign w:val="center"/>
          </w:tcPr>
          <w:p w14:paraId="03AF0613" w14:textId="77777777"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24</w:t>
            </w:r>
          </w:p>
        </w:tc>
      </w:tr>
      <w:tr w:rsidR="00A9173E" w:rsidRPr="00F30805" w14:paraId="378AE37A" w14:textId="77777777" w:rsidTr="00AE0B35">
        <w:trPr>
          <w:trHeight w:val="261"/>
        </w:trPr>
        <w:tc>
          <w:tcPr>
            <w:tcW w:w="4644" w:type="dxa"/>
            <w:vAlign w:val="center"/>
          </w:tcPr>
          <w:p w14:paraId="55EF9B10" w14:textId="7340AE55" w:rsidR="00A9173E" w:rsidRPr="00F30805" w:rsidRDefault="00A9173E" w:rsidP="00A9173E">
            <w:pPr>
              <w:pStyle w:val="gtcbodytext"/>
              <w:keepNext/>
              <w:spacing w:before="0"/>
              <w:rPr>
                <w:rFonts w:ascii="Arial" w:hAnsi="Arial" w:cs="Arial"/>
                <w:b/>
                <w:bCs/>
                <w:sz w:val="22"/>
                <w:szCs w:val="22"/>
              </w:rPr>
            </w:pPr>
            <w:r w:rsidRPr="00F30805">
              <w:rPr>
                <w:rFonts w:ascii="Arial" w:hAnsi="Arial" w:cs="Arial"/>
                <w:sz w:val="22"/>
                <w:szCs w:val="22"/>
                <w:lang w:val="en-GB"/>
              </w:rPr>
              <w:t xml:space="preserve">% of dose excreted unchanged in </w:t>
            </w:r>
            <w:proofErr w:type="spellStart"/>
            <w:r w:rsidRPr="00F30805">
              <w:rPr>
                <w:rFonts w:ascii="Arial" w:hAnsi="Arial" w:cs="Arial"/>
                <w:sz w:val="22"/>
                <w:szCs w:val="22"/>
                <w:lang w:val="en-GB"/>
              </w:rPr>
              <w:t>faeces</w:t>
            </w:r>
            <w:r w:rsidR="007E63B8" w:rsidRPr="00F30805">
              <w:rPr>
                <w:rFonts w:ascii="Arial" w:hAnsi="Arial" w:cs="Arial"/>
                <w:sz w:val="22"/>
                <w:szCs w:val="22"/>
                <w:vertAlign w:val="superscript"/>
                <w:lang w:val="en-GB"/>
              </w:rPr>
              <w:t>a</w:t>
            </w:r>
            <w:proofErr w:type="spellEnd"/>
          </w:p>
        </w:tc>
        <w:tc>
          <w:tcPr>
            <w:tcW w:w="4536" w:type="dxa"/>
            <w:vAlign w:val="center"/>
          </w:tcPr>
          <w:p w14:paraId="641C94F2" w14:textId="77777777"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38</w:t>
            </w:r>
          </w:p>
        </w:tc>
      </w:tr>
      <w:tr w:rsidR="00A9173E" w:rsidRPr="00F30805" w14:paraId="5630A108" w14:textId="77777777" w:rsidTr="00AE0B35">
        <w:trPr>
          <w:trHeight w:val="261"/>
        </w:trPr>
        <w:tc>
          <w:tcPr>
            <w:tcW w:w="4644" w:type="dxa"/>
            <w:vAlign w:val="center"/>
          </w:tcPr>
          <w:p w14:paraId="664597CF" w14:textId="52550560" w:rsidR="00A9173E" w:rsidRPr="00F30805" w:rsidRDefault="00A9173E" w:rsidP="00A9173E">
            <w:pPr>
              <w:pStyle w:val="gtcbodytext"/>
              <w:keepNext/>
              <w:spacing w:before="0"/>
              <w:rPr>
                <w:rFonts w:ascii="Arial" w:hAnsi="Arial" w:cs="Arial"/>
                <w:sz w:val="22"/>
                <w:szCs w:val="22"/>
                <w:lang w:val="en-GB"/>
              </w:rPr>
            </w:pPr>
            <w:r w:rsidRPr="00F30805">
              <w:rPr>
                <w:rFonts w:ascii="Arial" w:hAnsi="Arial" w:cs="Arial"/>
                <w:sz w:val="22"/>
                <w:szCs w:val="22"/>
                <w:lang w:val="en-GB"/>
              </w:rPr>
              <w:t xml:space="preserve">% of dose excreted as </w:t>
            </w:r>
            <w:proofErr w:type="spellStart"/>
            <w:r w:rsidRPr="00F30805">
              <w:rPr>
                <w:rFonts w:ascii="Arial" w:hAnsi="Arial" w:cs="Arial"/>
                <w:sz w:val="22"/>
                <w:szCs w:val="22"/>
                <w:lang w:val="en-GB"/>
              </w:rPr>
              <w:t>metabolites</w:t>
            </w:r>
            <w:r w:rsidR="007E63B8" w:rsidRPr="00F30805">
              <w:rPr>
                <w:rFonts w:ascii="Arial" w:hAnsi="Arial" w:cs="Arial"/>
                <w:sz w:val="22"/>
                <w:szCs w:val="22"/>
                <w:vertAlign w:val="superscript"/>
                <w:lang w:val="en-GB"/>
              </w:rPr>
              <w:t>a</w:t>
            </w:r>
            <w:proofErr w:type="spellEnd"/>
          </w:p>
        </w:tc>
        <w:tc>
          <w:tcPr>
            <w:tcW w:w="4536" w:type="dxa"/>
            <w:vAlign w:val="center"/>
          </w:tcPr>
          <w:p w14:paraId="16DDCDE6" w14:textId="77777777" w:rsidR="00A9173E" w:rsidRPr="00F30805" w:rsidRDefault="00A9173E" w:rsidP="00A9173E">
            <w:pPr>
              <w:pStyle w:val="gtcbodytext"/>
              <w:keepNext/>
              <w:spacing w:before="0"/>
              <w:jc w:val="center"/>
              <w:rPr>
                <w:rFonts w:ascii="Arial" w:hAnsi="Arial" w:cs="Arial"/>
                <w:bCs/>
                <w:sz w:val="22"/>
                <w:szCs w:val="22"/>
                <w:lang w:val="en-GB"/>
              </w:rPr>
            </w:pPr>
            <w:r w:rsidRPr="00F30805">
              <w:rPr>
                <w:rFonts w:ascii="Arial" w:hAnsi="Arial" w:cs="Arial"/>
                <w:bCs/>
                <w:sz w:val="22"/>
                <w:szCs w:val="22"/>
                <w:lang w:val="en-GB"/>
              </w:rPr>
              <w:t>34</w:t>
            </w:r>
          </w:p>
        </w:tc>
      </w:tr>
      <w:tr w:rsidR="00A9173E" w:rsidRPr="00F30805" w14:paraId="3A16B387" w14:textId="77777777" w:rsidTr="00AE0B35">
        <w:trPr>
          <w:trHeight w:val="261"/>
        </w:trPr>
        <w:tc>
          <w:tcPr>
            <w:tcW w:w="9180" w:type="dxa"/>
            <w:gridSpan w:val="2"/>
            <w:vAlign w:val="center"/>
          </w:tcPr>
          <w:p w14:paraId="229E9DC1" w14:textId="76476CB1" w:rsidR="00A9173E" w:rsidRPr="00F30805" w:rsidRDefault="007E63B8" w:rsidP="00A9173E">
            <w:pPr>
              <w:rPr>
                <w:rFonts w:ascii="Arial" w:hAnsi="Arial" w:cs="Arial"/>
                <w:w w:val="101"/>
                <w:sz w:val="18"/>
                <w:szCs w:val="18"/>
                <w:lang w:val="en-US"/>
              </w:rPr>
            </w:pPr>
            <w:proofErr w:type="spellStart"/>
            <w:r w:rsidRPr="00F30805">
              <w:rPr>
                <w:rFonts w:ascii="Arial" w:hAnsi="Arial" w:cs="Arial"/>
                <w:w w:val="101"/>
                <w:sz w:val="18"/>
                <w:szCs w:val="18"/>
                <w:vertAlign w:val="superscript"/>
                <w:lang w:val="en-US"/>
              </w:rPr>
              <w:t>a</w:t>
            </w:r>
            <w:r w:rsidR="00A9173E" w:rsidRPr="00F30805">
              <w:rPr>
                <w:rFonts w:ascii="Arial" w:hAnsi="Arial" w:cs="Arial"/>
                <w:w w:val="101"/>
                <w:sz w:val="18"/>
                <w:szCs w:val="18"/>
                <w:lang w:val="en-US"/>
              </w:rPr>
              <w:t>Based</w:t>
            </w:r>
            <w:proofErr w:type="spellEnd"/>
            <w:r w:rsidR="00A9173E" w:rsidRPr="00F30805">
              <w:rPr>
                <w:rFonts w:ascii="Arial" w:hAnsi="Arial" w:cs="Arial"/>
                <w:w w:val="101"/>
                <w:sz w:val="18"/>
                <w:szCs w:val="18"/>
                <w:lang w:val="en-US"/>
              </w:rPr>
              <w:t xml:space="preserve"> on single dose administration of [</w:t>
            </w:r>
            <w:r w:rsidR="00A9173E" w:rsidRPr="00F30805">
              <w:rPr>
                <w:rFonts w:ascii="Arial" w:hAnsi="Arial" w:cs="Arial"/>
                <w:w w:val="101"/>
                <w:sz w:val="18"/>
                <w:szCs w:val="18"/>
                <w:vertAlign w:val="superscript"/>
                <w:lang w:val="en-US"/>
              </w:rPr>
              <w:t>14</w:t>
            </w:r>
            <w:r w:rsidR="00A9173E" w:rsidRPr="00F30805">
              <w:rPr>
                <w:rFonts w:ascii="Arial" w:hAnsi="Arial" w:cs="Arial"/>
                <w:w w:val="101"/>
                <w:sz w:val="18"/>
                <w:szCs w:val="18"/>
                <w:lang w:val="en-US"/>
              </w:rPr>
              <w:t>C] upadacitinib immediate-release solution in a mass balance study.</w:t>
            </w:r>
          </w:p>
        </w:tc>
      </w:tr>
    </w:tbl>
    <w:p w14:paraId="13F227A6" w14:textId="77777777" w:rsidR="00A9173E" w:rsidRPr="00F30805" w:rsidRDefault="00A9173E" w:rsidP="00180F69">
      <w:pPr>
        <w:rPr>
          <w:rFonts w:ascii="Arial" w:hAnsi="Arial" w:cs="Arial"/>
          <w:lang w:val="en-US"/>
        </w:rPr>
      </w:pPr>
    </w:p>
    <w:p w14:paraId="4BE7CA78" w14:textId="77777777" w:rsidR="00A9173E" w:rsidRPr="00F30805" w:rsidRDefault="00A9173E" w:rsidP="00A9173E">
      <w:pPr>
        <w:outlineLvl w:val="1"/>
        <w:rPr>
          <w:rFonts w:ascii="Arial" w:hAnsi="Arial" w:cs="Arial"/>
          <w:b/>
          <w:w w:val="101"/>
          <w:szCs w:val="19"/>
        </w:rPr>
      </w:pPr>
      <w:r w:rsidRPr="00F30805">
        <w:rPr>
          <w:rFonts w:ascii="Arial" w:hAnsi="Arial" w:cs="Arial"/>
          <w:b/>
          <w:w w:val="101"/>
          <w:szCs w:val="19"/>
        </w:rPr>
        <w:t>Pharmacokinetics in special populations</w:t>
      </w:r>
    </w:p>
    <w:p w14:paraId="164F3C28" w14:textId="77777777" w:rsidR="00A9173E" w:rsidRPr="00F30805" w:rsidRDefault="00A9173E" w:rsidP="00B73976">
      <w:pPr>
        <w:pStyle w:val="Heading3"/>
        <w:rPr>
          <w:w w:val="101"/>
        </w:rPr>
      </w:pPr>
      <w:r w:rsidRPr="00F30805">
        <w:rPr>
          <w:w w:val="101"/>
        </w:rPr>
        <w:t>Renal Impairment</w:t>
      </w:r>
    </w:p>
    <w:p w14:paraId="78C386D8" w14:textId="77777777" w:rsidR="00A9173E" w:rsidRPr="00F30805" w:rsidRDefault="00A9173E" w:rsidP="00AE0B35">
      <w:pPr>
        <w:spacing w:before="120"/>
        <w:rPr>
          <w:rFonts w:ascii="Arial" w:hAnsi="Arial" w:cs="Arial"/>
          <w:w w:val="101"/>
          <w:szCs w:val="19"/>
        </w:rPr>
      </w:pPr>
      <w:r w:rsidRPr="00F30805">
        <w:rPr>
          <w:rFonts w:ascii="Arial" w:hAnsi="Arial" w:cs="Arial"/>
          <w:w w:val="101"/>
          <w:szCs w:val="19"/>
        </w:rPr>
        <w:t xml:space="preserve">Renal impairment has no clinically relevant effect on upadacitinib exposure. Upadacitinib AUC was 18%, 33%, and 44% higher in subjects with mild, moderate, and severe renal impairment, respectively, compared to subjects with normal renal function. Upadacitinib </w:t>
      </w:r>
      <w:proofErr w:type="spellStart"/>
      <w:r w:rsidRPr="00F30805">
        <w:rPr>
          <w:rFonts w:ascii="Arial" w:hAnsi="Arial" w:cs="Arial"/>
          <w:w w:val="101"/>
          <w:szCs w:val="19"/>
        </w:rPr>
        <w:t>C</w:t>
      </w:r>
      <w:r w:rsidRPr="00F30805">
        <w:rPr>
          <w:rFonts w:ascii="Arial" w:hAnsi="Arial" w:cs="Arial"/>
          <w:w w:val="101"/>
          <w:szCs w:val="19"/>
          <w:vertAlign w:val="subscript"/>
        </w:rPr>
        <w:t>max</w:t>
      </w:r>
      <w:proofErr w:type="spellEnd"/>
      <w:r w:rsidRPr="00F30805">
        <w:rPr>
          <w:rFonts w:ascii="Arial" w:hAnsi="Arial" w:cs="Arial"/>
          <w:w w:val="101"/>
          <w:szCs w:val="19"/>
        </w:rPr>
        <w:t xml:space="preserve"> was similar in subjects with normal and impaired renal function.</w:t>
      </w:r>
    </w:p>
    <w:p w14:paraId="00191524" w14:textId="77777777" w:rsidR="00A9173E" w:rsidRPr="00F30805" w:rsidRDefault="00A9173E" w:rsidP="00B73976">
      <w:pPr>
        <w:pStyle w:val="Heading3"/>
        <w:rPr>
          <w:w w:val="101"/>
        </w:rPr>
      </w:pPr>
      <w:r w:rsidRPr="00F30805">
        <w:rPr>
          <w:w w:val="101"/>
        </w:rPr>
        <w:t xml:space="preserve">Hepatic Impairment </w:t>
      </w:r>
    </w:p>
    <w:p w14:paraId="5D4CC58A" w14:textId="77777777" w:rsidR="00A9173E" w:rsidRPr="00F30805" w:rsidRDefault="00A9173E" w:rsidP="00AE0B35">
      <w:pPr>
        <w:spacing w:before="120"/>
        <w:rPr>
          <w:rFonts w:ascii="Arial" w:hAnsi="Arial" w:cs="Arial"/>
          <w:w w:val="101"/>
          <w:szCs w:val="19"/>
        </w:rPr>
      </w:pPr>
      <w:r w:rsidRPr="00F30805">
        <w:rPr>
          <w:rFonts w:ascii="Arial" w:hAnsi="Arial" w:cs="Arial"/>
          <w:w w:val="101"/>
          <w:szCs w:val="19"/>
        </w:rPr>
        <w:t xml:space="preserve">Mild (Child-Pugh A) and moderate (Child-Pugh B) hepatic impairment has no clinically relevant effect on upadacitinib exposure. Upadacitinib AUC was 28% and 24% higher in subjects with mild and moderate hepatic impairment, respectively, compared to subjects with normal liver function. Upadacitinib </w:t>
      </w:r>
      <w:proofErr w:type="spellStart"/>
      <w:r w:rsidRPr="00F30805">
        <w:rPr>
          <w:rFonts w:ascii="Arial" w:hAnsi="Arial" w:cs="Arial"/>
          <w:w w:val="101"/>
          <w:szCs w:val="19"/>
        </w:rPr>
        <w:t>C</w:t>
      </w:r>
      <w:r w:rsidRPr="00F30805">
        <w:rPr>
          <w:rFonts w:ascii="Arial" w:hAnsi="Arial" w:cs="Arial"/>
          <w:w w:val="101"/>
          <w:szCs w:val="19"/>
          <w:vertAlign w:val="subscript"/>
        </w:rPr>
        <w:t>max</w:t>
      </w:r>
      <w:proofErr w:type="spellEnd"/>
      <w:r w:rsidRPr="00F30805">
        <w:rPr>
          <w:rFonts w:ascii="Arial" w:hAnsi="Arial" w:cs="Arial"/>
          <w:w w:val="101"/>
          <w:szCs w:val="19"/>
          <w:vertAlign w:val="subscript"/>
        </w:rPr>
        <w:t xml:space="preserve"> </w:t>
      </w:r>
      <w:r w:rsidRPr="00F30805">
        <w:rPr>
          <w:rFonts w:ascii="Arial" w:hAnsi="Arial" w:cs="Arial"/>
          <w:w w:val="101"/>
          <w:szCs w:val="19"/>
        </w:rPr>
        <w:t>was unchanged in subjects with mild hepatic impairment and 43% higher in subjects with moderate hepatic impairment compared to subjects with normal liver function. Upadacitinib was not studied in patients with severe hepatic impairment (Child-Pugh C).</w:t>
      </w:r>
    </w:p>
    <w:p w14:paraId="65433991" w14:textId="77777777" w:rsidR="00A9173E" w:rsidRPr="00F30805" w:rsidRDefault="00A9173E" w:rsidP="00B73976">
      <w:pPr>
        <w:pStyle w:val="Heading3"/>
        <w:rPr>
          <w:w w:val="101"/>
        </w:rPr>
      </w:pPr>
      <w:r w:rsidRPr="00F30805">
        <w:rPr>
          <w:w w:val="101"/>
        </w:rPr>
        <w:t>Other Intrinsic Factors</w:t>
      </w:r>
    </w:p>
    <w:p w14:paraId="5F044F82" w14:textId="77777777" w:rsidR="001C766D" w:rsidRPr="00F30805" w:rsidRDefault="00A9173E" w:rsidP="00AE0B35">
      <w:pPr>
        <w:spacing w:before="120"/>
        <w:jc w:val="left"/>
        <w:rPr>
          <w:rFonts w:ascii="Arial" w:hAnsi="Arial" w:cs="Arial"/>
          <w:w w:val="101"/>
        </w:rPr>
      </w:pPr>
      <w:r w:rsidRPr="00F30805">
        <w:rPr>
          <w:rFonts w:ascii="Arial" w:hAnsi="Arial" w:cs="Arial"/>
          <w:w w:val="101"/>
        </w:rPr>
        <w:t>Age, sex, body weight, race, and ethnicity did not have a clinically meaningful effect on upadacitinib exposure.</w:t>
      </w:r>
    </w:p>
    <w:p w14:paraId="436B1447" w14:textId="77777777" w:rsidR="001A3992" w:rsidRPr="00F30805" w:rsidRDefault="001A3992" w:rsidP="001A3992">
      <w:pPr>
        <w:pStyle w:val="Heading2"/>
        <w:spacing w:before="0" w:after="120"/>
        <w:rPr>
          <w:rFonts w:ascii="Arial" w:hAnsi="Arial" w:cs="Arial"/>
          <w:lang w:val="en-US"/>
        </w:rPr>
      </w:pPr>
      <w:r w:rsidRPr="00F30805">
        <w:rPr>
          <w:rFonts w:ascii="Arial" w:hAnsi="Arial" w:cs="Arial"/>
          <w:lang w:val="en-US"/>
        </w:rPr>
        <w:lastRenderedPageBreak/>
        <w:t>Preclinical safety data</w:t>
      </w:r>
    </w:p>
    <w:p w14:paraId="7DF5D0C4" w14:textId="77777777" w:rsidR="00EB2E6E" w:rsidRPr="00F30805" w:rsidRDefault="00EB2E6E" w:rsidP="002500CC">
      <w:pPr>
        <w:rPr>
          <w:rFonts w:ascii="Arial" w:hAnsi="Arial" w:cs="Arial"/>
          <w:b/>
        </w:rPr>
      </w:pPr>
      <w:r w:rsidRPr="00F30805">
        <w:rPr>
          <w:rFonts w:ascii="Arial" w:hAnsi="Arial" w:cs="Arial"/>
        </w:rPr>
        <w:t xml:space="preserve">Upadacitinib is teratogenic in both rats and rabbits (see </w:t>
      </w:r>
      <w:r w:rsidRPr="00F30805">
        <w:rPr>
          <w:rFonts w:ascii="Arial" w:hAnsi="Arial" w:cs="Arial"/>
          <w:b/>
          <w:bCs/>
        </w:rPr>
        <w:t>4.6 Fertility, Pregnancy and Lactation</w:t>
      </w:r>
      <w:r w:rsidRPr="00F30805">
        <w:rPr>
          <w:rFonts w:ascii="Arial" w:hAnsi="Arial" w:cs="Arial"/>
        </w:rPr>
        <w:t>)</w:t>
      </w:r>
    </w:p>
    <w:p w14:paraId="5A56DB66" w14:textId="77777777" w:rsidR="001A3992" w:rsidRPr="00F30805" w:rsidRDefault="001A3992" w:rsidP="001A3992">
      <w:pPr>
        <w:pStyle w:val="Heading3"/>
        <w:spacing w:before="0" w:after="120"/>
        <w:rPr>
          <w:rFonts w:cs="Arial"/>
        </w:rPr>
      </w:pPr>
      <w:r w:rsidRPr="00F30805">
        <w:rPr>
          <w:rFonts w:cs="Arial"/>
        </w:rPr>
        <w:t>Genotoxicity</w:t>
      </w:r>
    </w:p>
    <w:p w14:paraId="512BBCFB" w14:textId="77777777" w:rsidR="004952E5" w:rsidRPr="00F30805" w:rsidRDefault="004952E5" w:rsidP="002500CC">
      <w:pPr>
        <w:rPr>
          <w:rFonts w:ascii="Arial" w:hAnsi="Arial" w:cs="Arial"/>
          <w:b/>
        </w:rPr>
      </w:pPr>
      <w:r w:rsidRPr="00F30805">
        <w:rPr>
          <w:rFonts w:ascii="Arial" w:hAnsi="Arial" w:cs="Arial"/>
        </w:rPr>
        <w:t xml:space="preserve">Upadacitinib was not mutagenic in a bacterial mutagenicity assay or clastogenic in an </w:t>
      </w:r>
      <w:r w:rsidRPr="00F30805">
        <w:rPr>
          <w:rFonts w:ascii="Arial" w:hAnsi="Arial" w:cs="Arial"/>
          <w:i/>
        </w:rPr>
        <w:t>in vitro</w:t>
      </w:r>
      <w:r w:rsidRPr="00F30805">
        <w:rPr>
          <w:rFonts w:ascii="Arial" w:hAnsi="Arial" w:cs="Arial"/>
        </w:rPr>
        <w:t xml:space="preserve"> chromosomal aberration assay (human peripheral blood lymphocytes) or an </w:t>
      </w:r>
      <w:r w:rsidRPr="00F30805">
        <w:rPr>
          <w:rFonts w:ascii="Arial" w:hAnsi="Arial" w:cs="Arial"/>
          <w:i/>
        </w:rPr>
        <w:t>in vivo</w:t>
      </w:r>
      <w:r w:rsidRPr="00F30805">
        <w:rPr>
          <w:rFonts w:ascii="Arial" w:hAnsi="Arial" w:cs="Arial"/>
        </w:rPr>
        <w:t xml:space="preserve"> rat bone marrow micronucleus assay.</w:t>
      </w:r>
    </w:p>
    <w:p w14:paraId="4709827E" w14:textId="77777777" w:rsidR="001A3992" w:rsidRPr="00F30805" w:rsidRDefault="001A3992" w:rsidP="001A3992">
      <w:pPr>
        <w:pStyle w:val="Heading3"/>
        <w:spacing w:before="0" w:after="120"/>
        <w:rPr>
          <w:rFonts w:cs="Arial"/>
          <w:lang w:val="en-US"/>
        </w:rPr>
      </w:pPr>
      <w:proofErr w:type="spellStart"/>
      <w:r w:rsidRPr="00F30805">
        <w:rPr>
          <w:rFonts w:cs="Arial"/>
        </w:rPr>
        <w:t>Carcin</w:t>
      </w:r>
      <w:r w:rsidRPr="00F30805">
        <w:rPr>
          <w:rFonts w:cs="Arial"/>
          <w:lang w:val="en-US"/>
        </w:rPr>
        <w:t>ogenicity</w:t>
      </w:r>
      <w:proofErr w:type="spellEnd"/>
    </w:p>
    <w:p w14:paraId="52DFFB15" w14:textId="2DEB8B99" w:rsidR="00CB6CF7" w:rsidRPr="00F30805" w:rsidRDefault="00EB2E6E" w:rsidP="00AE0B35">
      <w:pPr>
        <w:spacing w:before="120"/>
        <w:rPr>
          <w:rFonts w:ascii="Arial" w:hAnsi="Arial" w:cs="Arial"/>
          <w:spacing w:val="-1"/>
        </w:rPr>
      </w:pPr>
      <w:r w:rsidRPr="00F30805">
        <w:rPr>
          <w:rFonts w:ascii="Arial" w:hAnsi="Arial" w:cs="Arial"/>
          <w:spacing w:val="-1"/>
        </w:rPr>
        <w:t xml:space="preserve">The carcinogenic potential of upadacitinib was evaluated in Sprague-Dawley rats and Tg.rasH2 mice. No evidence of </w:t>
      </w:r>
      <w:proofErr w:type="spellStart"/>
      <w:r w:rsidRPr="00F30805">
        <w:rPr>
          <w:rFonts w:ascii="Arial" w:hAnsi="Arial" w:cs="Arial"/>
          <w:spacing w:val="-1"/>
        </w:rPr>
        <w:t>tumo</w:t>
      </w:r>
      <w:r w:rsidR="00EE6DDD" w:rsidRPr="00F30805">
        <w:rPr>
          <w:rFonts w:ascii="Arial" w:hAnsi="Arial" w:cs="Arial"/>
          <w:spacing w:val="-1"/>
        </w:rPr>
        <w:t>u</w:t>
      </w:r>
      <w:r w:rsidRPr="00F30805">
        <w:rPr>
          <w:rFonts w:ascii="Arial" w:hAnsi="Arial" w:cs="Arial"/>
          <w:spacing w:val="-1"/>
        </w:rPr>
        <w:t>rigenicity</w:t>
      </w:r>
      <w:proofErr w:type="spellEnd"/>
      <w:r w:rsidRPr="00F30805">
        <w:rPr>
          <w:rFonts w:ascii="Arial" w:hAnsi="Arial" w:cs="Arial"/>
          <w:spacing w:val="-1"/>
        </w:rPr>
        <w:t xml:space="preserve"> was observed in male or female rats that received upadacitinib for up to 101 weeks at oral doses up to 15 or 20 mg/kg/day, respectively (approximately </w:t>
      </w:r>
      <w:r w:rsidR="004952E5" w:rsidRPr="00F30805">
        <w:rPr>
          <w:rFonts w:ascii="Arial" w:hAnsi="Arial" w:cs="Arial"/>
          <w:spacing w:val="-1"/>
        </w:rPr>
        <w:t>5 and 12</w:t>
      </w:r>
      <w:r w:rsidRPr="00F30805">
        <w:rPr>
          <w:rFonts w:ascii="Arial" w:hAnsi="Arial" w:cs="Arial"/>
          <w:spacing w:val="-1"/>
        </w:rPr>
        <w:t xml:space="preserve"> times the clinical dose of 15 mg on an AUC basis for males and females, respectively). No evidence of </w:t>
      </w:r>
      <w:proofErr w:type="spellStart"/>
      <w:r w:rsidRPr="00F30805">
        <w:rPr>
          <w:rFonts w:ascii="Arial" w:hAnsi="Arial" w:cs="Arial"/>
          <w:spacing w:val="-1"/>
        </w:rPr>
        <w:t>tumo</w:t>
      </w:r>
      <w:r w:rsidR="00EE6DDD" w:rsidRPr="00F30805">
        <w:rPr>
          <w:rFonts w:ascii="Arial" w:hAnsi="Arial" w:cs="Arial"/>
          <w:spacing w:val="-1"/>
        </w:rPr>
        <w:t>u</w:t>
      </w:r>
      <w:r w:rsidRPr="00F30805">
        <w:rPr>
          <w:rFonts w:ascii="Arial" w:hAnsi="Arial" w:cs="Arial"/>
          <w:spacing w:val="-1"/>
        </w:rPr>
        <w:t>rigenicity</w:t>
      </w:r>
      <w:proofErr w:type="spellEnd"/>
      <w:r w:rsidRPr="00F30805">
        <w:rPr>
          <w:rFonts w:ascii="Arial" w:hAnsi="Arial" w:cs="Arial"/>
          <w:spacing w:val="-1"/>
        </w:rPr>
        <w:t xml:space="preserve"> was observed in Tg.rasH2 mice that received upadacitinib for 26 weeks at oral doses up to 20 mg/kg/day in male or female mice</w:t>
      </w:r>
      <w:r w:rsidR="004952E5" w:rsidRPr="00F30805">
        <w:rPr>
          <w:rFonts w:ascii="Arial" w:hAnsi="Arial" w:cs="Arial"/>
          <w:spacing w:val="-1"/>
        </w:rPr>
        <w:t xml:space="preserve"> (approximately 3 times the clinical dose of 15 mg on an AUC basis)</w:t>
      </w:r>
      <w:r w:rsidRPr="00F30805">
        <w:rPr>
          <w:rFonts w:ascii="Arial" w:hAnsi="Arial" w:cs="Arial"/>
          <w:spacing w:val="-1"/>
        </w:rPr>
        <w:t>.</w:t>
      </w:r>
    </w:p>
    <w:p w14:paraId="75B03043" w14:textId="77777777" w:rsidR="001A3992" w:rsidRPr="00F30805" w:rsidRDefault="001A3992" w:rsidP="00F177D3">
      <w:pPr>
        <w:pStyle w:val="Heading1"/>
        <w:numPr>
          <w:ilvl w:val="0"/>
          <w:numId w:val="22"/>
        </w:numPr>
        <w:spacing w:before="240" w:after="240"/>
        <w:ind w:left="431" w:hanging="431"/>
        <w:rPr>
          <w:rFonts w:ascii="Arial" w:hAnsi="Arial" w:cs="Arial"/>
        </w:rPr>
      </w:pPr>
      <w:r w:rsidRPr="00F30805">
        <w:rPr>
          <w:rFonts w:ascii="Arial" w:hAnsi="Arial" w:cs="Arial"/>
        </w:rPr>
        <w:t>Pharmaceutical particulars</w:t>
      </w:r>
    </w:p>
    <w:p w14:paraId="0338802A" w14:textId="77777777" w:rsidR="001A3992" w:rsidRPr="00F30805" w:rsidRDefault="001A3992" w:rsidP="001A3992">
      <w:pPr>
        <w:pStyle w:val="Heading2"/>
        <w:spacing w:before="0" w:after="120"/>
        <w:rPr>
          <w:rFonts w:ascii="Arial" w:hAnsi="Arial" w:cs="Arial"/>
          <w:lang w:val="en-US"/>
        </w:rPr>
      </w:pPr>
      <w:r w:rsidRPr="00F30805">
        <w:rPr>
          <w:rFonts w:ascii="Arial" w:hAnsi="Arial" w:cs="Arial"/>
          <w:lang w:val="en-US"/>
        </w:rPr>
        <w:t xml:space="preserve">List of excipients </w:t>
      </w:r>
    </w:p>
    <w:p w14:paraId="29998E9F" w14:textId="14413BA6" w:rsidR="00EB2E6E" w:rsidRPr="00F30805" w:rsidRDefault="00EB2E6E" w:rsidP="00AE0B35">
      <w:pPr>
        <w:spacing w:before="120"/>
        <w:rPr>
          <w:rFonts w:ascii="Arial" w:eastAsia="MS Mincho" w:hAnsi="Arial" w:cs="Arial"/>
          <w:lang w:val="en-US" w:eastAsia="ja-JP"/>
        </w:rPr>
      </w:pPr>
      <w:r w:rsidRPr="00F30805">
        <w:rPr>
          <w:rFonts w:ascii="Arial" w:eastAsia="MS Mincho" w:hAnsi="Arial" w:cs="Arial"/>
          <w:lang w:val="en-US" w:eastAsia="ja-JP"/>
        </w:rPr>
        <w:t xml:space="preserve">Each tablet contains the following inactive ingredients: microcrystalline cellulose, </w:t>
      </w:r>
      <w:proofErr w:type="spellStart"/>
      <w:r w:rsidRPr="00F30805">
        <w:rPr>
          <w:rFonts w:ascii="Arial" w:eastAsia="MS Mincho" w:hAnsi="Arial" w:cs="Arial"/>
          <w:lang w:val="en-US" w:eastAsia="ja-JP"/>
        </w:rPr>
        <w:t>hypromellose</w:t>
      </w:r>
      <w:proofErr w:type="spellEnd"/>
      <w:r w:rsidRPr="00F30805">
        <w:rPr>
          <w:rFonts w:ascii="Arial" w:eastAsia="MS Mincho" w:hAnsi="Arial" w:cs="Arial"/>
          <w:lang w:val="en-US" w:eastAsia="ja-JP"/>
        </w:rPr>
        <w:t xml:space="preserve">, mannitol, tartaric acid, </w:t>
      </w:r>
      <w:r w:rsidR="006F67DD" w:rsidRPr="00F30805">
        <w:rPr>
          <w:rFonts w:ascii="Arial" w:eastAsia="MS Mincho" w:hAnsi="Arial" w:cs="Arial"/>
          <w:lang w:val="en-US" w:eastAsia="ja-JP"/>
        </w:rPr>
        <w:t xml:space="preserve">colloidal anhydrous </w:t>
      </w:r>
      <w:r w:rsidRPr="00F30805">
        <w:rPr>
          <w:rFonts w:ascii="Arial" w:eastAsia="MS Mincho" w:hAnsi="Arial" w:cs="Arial"/>
          <w:lang w:val="en-US" w:eastAsia="ja-JP"/>
        </w:rPr>
        <w:t xml:space="preserve">silica, and magnesium stearate. </w:t>
      </w:r>
    </w:p>
    <w:p w14:paraId="0301288F" w14:textId="259A1391" w:rsidR="00EB2E6E" w:rsidRPr="00F30805" w:rsidRDefault="00EB2E6E" w:rsidP="00AE0B35">
      <w:pPr>
        <w:spacing w:before="120"/>
        <w:rPr>
          <w:rFonts w:ascii="Arial" w:eastAsia="MS Mincho" w:hAnsi="Arial" w:cs="Arial"/>
          <w:lang w:val="en-US" w:eastAsia="ja-JP"/>
        </w:rPr>
      </w:pPr>
      <w:r w:rsidRPr="00F30805">
        <w:rPr>
          <w:rFonts w:ascii="Arial" w:eastAsia="MS Mincho" w:hAnsi="Arial" w:cs="Arial"/>
          <w:lang w:val="en-US" w:eastAsia="ja-JP"/>
        </w:rPr>
        <w:t>Film coating contains polyvinyl alcohol, macrogol</w:t>
      </w:r>
      <w:r w:rsidR="006F67DD" w:rsidRPr="00F30805">
        <w:rPr>
          <w:rFonts w:ascii="Arial" w:eastAsia="MS Mincho" w:hAnsi="Arial" w:cs="Arial"/>
          <w:lang w:val="en-US" w:eastAsia="ja-JP"/>
        </w:rPr>
        <w:t xml:space="preserve"> 3350</w:t>
      </w:r>
      <w:r w:rsidRPr="00F30805">
        <w:rPr>
          <w:rFonts w:ascii="Arial" w:eastAsia="MS Mincho" w:hAnsi="Arial" w:cs="Arial"/>
          <w:lang w:val="en-US" w:eastAsia="ja-JP"/>
        </w:rPr>
        <w:t xml:space="preserve">, talc, titanium dioxide (E171), </w:t>
      </w:r>
      <w:proofErr w:type="spellStart"/>
      <w:r w:rsidRPr="00F30805">
        <w:rPr>
          <w:rFonts w:ascii="Arial" w:eastAsia="MS Mincho" w:hAnsi="Arial" w:cs="Arial"/>
          <w:lang w:val="en-US" w:eastAsia="ja-JP"/>
        </w:rPr>
        <w:t>ferrosoferric</w:t>
      </w:r>
      <w:proofErr w:type="spellEnd"/>
      <w:r w:rsidRPr="00F30805">
        <w:rPr>
          <w:rFonts w:ascii="Arial" w:eastAsia="MS Mincho" w:hAnsi="Arial" w:cs="Arial"/>
          <w:lang w:val="en-US" w:eastAsia="ja-JP"/>
        </w:rPr>
        <w:t xml:space="preserve"> oxide (E172) and iron oxide red (E172).</w:t>
      </w:r>
    </w:p>
    <w:p w14:paraId="5E7DA24E" w14:textId="77777777" w:rsidR="003467A5" w:rsidRPr="00F30805" w:rsidRDefault="001A3992" w:rsidP="003467A5">
      <w:pPr>
        <w:pStyle w:val="Heading2"/>
        <w:keepNext/>
        <w:keepLines/>
        <w:spacing w:before="0" w:after="120"/>
        <w:rPr>
          <w:rFonts w:ascii="Arial" w:hAnsi="Arial" w:cs="Arial"/>
          <w:lang w:val="en-US"/>
        </w:rPr>
      </w:pPr>
      <w:r w:rsidRPr="00F30805">
        <w:rPr>
          <w:rFonts w:ascii="Arial" w:hAnsi="Arial" w:cs="Arial"/>
          <w:lang w:val="en-US"/>
        </w:rPr>
        <w:t xml:space="preserve">Incompatibilities </w:t>
      </w:r>
    </w:p>
    <w:p w14:paraId="14C87890" w14:textId="77777777" w:rsidR="006E632C" w:rsidRPr="00F30805" w:rsidRDefault="00EB2E6E" w:rsidP="00AE0B35">
      <w:pPr>
        <w:spacing w:before="120"/>
        <w:rPr>
          <w:rFonts w:ascii="Arial" w:hAnsi="Arial" w:cs="Arial"/>
          <w:spacing w:val="1"/>
          <w:w w:val="107"/>
          <w:szCs w:val="19"/>
        </w:rPr>
      </w:pPr>
      <w:r w:rsidRPr="00F30805">
        <w:rPr>
          <w:rFonts w:ascii="Arial" w:hAnsi="Arial" w:cs="Arial"/>
          <w:spacing w:val="1"/>
          <w:w w:val="107"/>
          <w:szCs w:val="19"/>
        </w:rPr>
        <w:t>Incompatibilities were either not assessed or not identified as part of the registration of this medicine.</w:t>
      </w:r>
    </w:p>
    <w:p w14:paraId="69C5D7D8" w14:textId="77777777" w:rsidR="003467A5" w:rsidRPr="00F30805" w:rsidRDefault="001A3992" w:rsidP="001A3992">
      <w:pPr>
        <w:pStyle w:val="Heading2"/>
        <w:spacing w:before="0" w:after="120"/>
        <w:rPr>
          <w:rFonts w:ascii="Arial" w:hAnsi="Arial" w:cs="Arial"/>
          <w:lang w:val="en-US"/>
        </w:rPr>
      </w:pPr>
      <w:r w:rsidRPr="00F30805">
        <w:rPr>
          <w:rFonts w:ascii="Arial" w:hAnsi="Arial" w:cs="Arial"/>
          <w:lang w:val="en-US"/>
        </w:rPr>
        <w:t>Shelf life</w:t>
      </w:r>
    </w:p>
    <w:p w14:paraId="65F667C3" w14:textId="77777777" w:rsidR="001A3992" w:rsidRPr="00F30805" w:rsidRDefault="002E6514" w:rsidP="00AE0B35">
      <w:pPr>
        <w:spacing w:before="120"/>
        <w:rPr>
          <w:rFonts w:ascii="Arial" w:hAnsi="Arial" w:cs="Arial"/>
          <w:lang w:val="en-US"/>
        </w:rPr>
      </w:pPr>
      <w:r w:rsidRPr="00F30805">
        <w:rPr>
          <w:rFonts w:ascii="Arial" w:hAnsi="Arial" w:cs="Arial"/>
          <w:lang w:val="en-US"/>
        </w:rPr>
        <w:t>In Australia, information on the shelf life can be found on the public summary of the Australian Register of Therapeutic Goods (ARTG).  The expiry date can be found on the packaging.</w:t>
      </w:r>
    </w:p>
    <w:p w14:paraId="38F78C11" w14:textId="77777777" w:rsidR="003467A5" w:rsidRPr="00F30805" w:rsidRDefault="001A3992" w:rsidP="001A3992">
      <w:pPr>
        <w:pStyle w:val="Heading2"/>
        <w:keepNext/>
        <w:keepLines/>
        <w:spacing w:before="0" w:after="120"/>
        <w:rPr>
          <w:rFonts w:ascii="Arial" w:hAnsi="Arial" w:cs="Arial"/>
          <w:lang w:val="en-US"/>
        </w:rPr>
      </w:pPr>
      <w:r w:rsidRPr="00F30805">
        <w:rPr>
          <w:rFonts w:ascii="Arial" w:hAnsi="Arial" w:cs="Arial"/>
          <w:lang w:val="en-US"/>
        </w:rPr>
        <w:t>Special precautions for storage</w:t>
      </w:r>
    </w:p>
    <w:p w14:paraId="0BC5350E" w14:textId="77777777" w:rsidR="00EB2E6E" w:rsidRPr="00F30805" w:rsidRDefault="00EB2E6E" w:rsidP="002500CC">
      <w:pPr>
        <w:rPr>
          <w:rFonts w:ascii="Arial" w:hAnsi="Arial" w:cs="Arial"/>
          <w:b/>
        </w:rPr>
      </w:pPr>
      <w:r w:rsidRPr="00F30805">
        <w:rPr>
          <w:rFonts w:ascii="Arial" w:hAnsi="Arial" w:cs="Arial"/>
        </w:rPr>
        <w:t>Store below 30°C.</w:t>
      </w:r>
    </w:p>
    <w:p w14:paraId="27911B80" w14:textId="77777777" w:rsidR="00EB2E6E" w:rsidRPr="00F30805" w:rsidRDefault="00EB2E6E" w:rsidP="002500CC">
      <w:pPr>
        <w:rPr>
          <w:rFonts w:ascii="Arial" w:hAnsi="Arial" w:cs="Arial"/>
          <w:lang w:val="en-US"/>
        </w:rPr>
      </w:pPr>
      <w:r w:rsidRPr="00F30805">
        <w:rPr>
          <w:rFonts w:ascii="Arial" w:hAnsi="Arial" w:cs="Arial"/>
          <w:noProof/>
        </w:rPr>
        <w:t>Store in the original blister in order to protect from moisture.</w:t>
      </w:r>
    </w:p>
    <w:p w14:paraId="04D8C6EF" w14:textId="77777777" w:rsidR="003467A5" w:rsidRPr="00F30805" w:rsidRDefault="001A3992" w:rsidP="00EB2E6E">
      <w:pPr>
        <w:pStyle w:val="Heading2"/>
        <w:spacing w:before="0" w:after="120"/>
        <w:rPr>
          <w:rFonts w:ascii="Arial" w:hAnsi="Arial" w:cs="Arial"/>
          <w:lang w:val="en-US"/>
        </w:rPr>
      </w:pPr>
      <w:r w:rsidRPr="00F30805">
        <w:rPr>
          <w:rFonts w:ascii="Arial" w:hAnsi="Arial" w:cs="Arial"/>
          <w:lang w:val="en-US"/>
        </w:rPr>
        <w:lastRenderedPageBreak/>
        <w:t>Nature and contents of container</w:t>
      </w:r>
    </w:p>
    <w:p w14:paraId="0B54729A" w14:textId="60AC0988" w:rsidR="00EB2E6E" w:rsidRPr="00F30805" w:rsidRDefault="00A700BC" w:rsidP="00765AD7">
      <w:pPr>
        <w:tabs>
          <w:tab w:val="left" w:pos="780"/>
        </w:tabs>
        <w:spacing w:before="120"/>
        <w:rPr>
          <w:rFonts w:ascii="Arial" w:hAnsi="Arial" w:cs="Arial"/>
          <w:spacing w:val="2"/>
        </w:rPr>
      </w:pPr>
      <w:r w:rsidRPr="00F30805">
        <w:rPr>
          <w:rFonts w:ascii="Arial" w:hAnsi="Arial" w:cs="Arial"/>
          <w:spacing w:val="2"/>
        </w:rPr>
        <w:t>RINVOQ</w:t>
      </w:r>
      <w:r w:rsidR="00EB2E6E" w:rsidRPr="00F30805">
        <w:rPr>
          <w:rFonts w:ascii="Arial" w:hAnsi="Arial" w:cs="Arial"/>
          <w:spacing w:val="2"/>
        </w:rPr>
        <w:t xml:space="preserve"> 15 mg </w:t>
      </w:r>
      <w:r w:rsidR="005C4069" w:rsidRPr="00F30805">
        <w:rPr>
          <w:rFonts w:ascii="Arial" w:hAnsi="Arial" w:cs="Arial"/>
          <w:spacing w:val="2"/>
        </w:rPr>
        <w:t xml:space="preserve">modified </w:t>
      </w:r>
      <w:r w:rsidR="00EB2E6E" w:rsidRPr="00F30805">
        <w:rPr>
          <w:rFonts w:ascii="Arial" w:hAnsi="Arial" w:cs="Arial"/>
          <w:spacing w:val="2"/>
        </w:rPr>
        <w:t>release tablets are purple, biconvex oblong, with dimensions of 14 x 8 mm, and debossed with ‘a15’ on one side.</w:t>
      </w:r>
    </w:p>
    <w:p w14:paraId="41BD4521" w14:textId="77777777" w:rsidR="00EB2E6E" w:rsidRPr="00F30805" w:rsidRDefault="00EB2E6E" w:rsidP="00765AD7">
      <w:pPr>
        <w:tabs>
          <w:tab w:val="left" w:pos="780"/>
        </w:tabs>
        <w:spacing w:before="120"/>
        <w:rPr>
          <w:rFonts w:ascii="Arial" w:hAnsi="Arial" w:cs="Arial"/>
          <w:w w:val="110"/>
        </w:rPr>
      </w:pPr>
      <w:r w:rsidRPr="00F30805">
        <w:rPr>
          <w:rFonts w:ascii="Arial" w:hAnsi="Arial" w:cs="Arial"/>
          <w:w w:val="110"/>
        </w:rPr>
        <w:t>The following presentations are available:</w:t>
      </w:r>
    </w:p>
    <w:p w14:paraId="1511CBE5" w14:textId="35CC4D7E" w:rsidR="00EB2E6E" w:rsidRPr="00F30805" w:rsidRDefault="00EB2E6E" w:rsidP="00765AD7">
      <w:pPr>
        <w:tabs>
          <w:tab w:val="left" w:pos="780"/>
        </w:tabs>
        <w:spacing w:before="120"/>
        <w:rPr>
          <w:rFonts w:ascii="Arial" w:hAnsi="Arial" w:cs="Arial"/>
          <w:w w:val="110"/>
        </w:rPr>
      </w:pPr>
      <w:r w:rsidRPr="00F30805">
        <w:rPr>
          <w:rFonts w:ascii="Arial" w:hAnsi="Arial" w:cs="Arial"/>
          <w:w w:val="110"/>
        </w:rPr>
        <w:t xml:space="preserve">Starter Pack 15 mg (7 tablets) - 1 carton containing one </w:t>
      </w:r>
      <w:r w:rsidR="0053391C" w:rsidRPr="00F30805">
        <w:rPr>
          <w:rFonts w:ascii="Arial" w:hAnsi="Arial" w:cs="Arial"/>
          <w:w w:val="110"/>
        </w:rPr>
        <w:t>PVC/PE/PCTFE/Al</w:t>
      </w:r>
      <w:r w:rsidR="009B7CD1" w:rsidRPr="00F30805">
        <w:rPr>
          <w:rFonts w:ascii="Arial" w:hAnsi="Arial" w:cs="Arial"/>
          <w:w w:val="110"/>
        </w:rPr>
        <w:t>uminium</w:t>
      </w:r>
      <w:r w:rsidR="0053391C" w:rsidRPr="00F30805">
        <w:rPr>
          <w:rFonts w:ascii="Arial" w:hAnsi="Arial" w:cs="Arial"/>
          <w:w w:val="110"/>
        </w:rPr>
        <w:t xml:space="preserve"> </w:t>
      </w:r>
      <w:r w:rsidRPr="00F30805">
        <w:rPr>
          <w:rFonts w:ascii="Arial" w:hAnsi="Arial" w:cs="Arial"/>
          <w:w w:val="110"/>
        </w:rPr>
        <w:t>blister with 7 tablets.</w:t>
      </w:r>
    </w:p>
    <w:p w14:paraId="66C7DFEA" w14:textId="6283D747" w:rsidR="00EB2E6E" w:rsidRPr="00F30805" w:rsidRDefault="00EB2E6E" w:rsidP="00765AD7">
      <w:pPr>
        <w:spacing w:before="120"/>
        <w:rPr>
          <w:rFonts w:ascii="Arial" w:hAnsi="Arial" w:cs="Arial"/>
          <w:lang w:val="en-US"/>
        </w:rPr>
      </w:pPr>
      <w:r w:rsidRPr="00F30805">
        <w:rPr>
          <w:rFonts w:ascii="Arial" w:hAnsi="Arial" w:cs="Arial"/>
          <w:w w:val="110"/>
        </w:rPr>
        <w:t xml:space="preserve">Monthly Pack 15 mg (28 tablets) - 1 carton containing four </w:t>
      </w:r>
      <w:r w:rsidR="0053391C" w:rsidRPr="00F30805">
        <w:rPr>
          <w:rFonts w:ascii="Arial" w:hAnsi="Arial" w:cs="Arial"/>
          <w:w w:val="110"/>
        </w:rPr>
        <w:t>PVC/PE/PCTFE/Al</w:t>
      </w:r>
      <w:r w:rsidR="009B7CD1" w:rsidRPr="00F30805">
        <w:rPr>
          <w:rFonts w:ascii="Arial" w:hAnsi="Arial" w:cs="Arial"/>
          <w:w w:val="110"/>
        </w:rPr>
        <w:t>uminium</w:t>
      </w:r>
      <w:r w:rsidR="0053391C" w:rsidRPr="00F30805">
        <w:rPr>
          <w:rFonts w:ascii="Arial" w:hAnsi="Arial" w:cs="Arial"/>
          <w:w w:val="110"/>
        </w:rPr>
        <w:t xml:space="preserve"> </w:t>
      </w:r>
      <w:r w:rsidRPr="00F30805">
        <w:rPr>
          <w:rFonts w:ascii="Arial" w:hAnsi="Arial" w:cs="Arial"/>
          <w:w w:val="110"/>
        </w:rPr>
        <w:t xml:space="preserve">blisters with 7 tablets in each blister. </w:t>
      </w:r>
      <w:r w:rsidRPr="00F30805">
        <w:rPr>
          <w:rFonts w:ascii="Arial" w:hAnsi="Arial" w:cs="Arial"/>
          <w:lang w:val="en-US"/>
        </w:rPr>
        <w:t>Not all presentations may be marketed.</w:t>
      </w:r>
    </w:p>
    <w:p w14:paraId="1CE5F80A" w14:textId="77777777" w:rsidR="003467A5" w:rsidRPr="00F30805" w:rsidRDefault="001A3992" w:rsidP="001A3992">
      <w:pPr>
        <w:pStyle w:val="Heading2"/>
        <w:spacing w:before="0" w:after="120"/>
        <w:rPr>
          <w:rFonts w:ascii="Arial" w:hAnsi="Arial" w:cs="Arial"/>
          <w:lang w:val="en-US"/>
        </w:rPr>
      </w:pPr>
      <w:r w:rsidRPr="00F30805">
        <w:rPr>
          <w:rFonts w:ascii="Arial" w:hAnsi="Arial" w:cs="Arial"/>
          <w:lang w:val="en-US"/>
        </w:rPr>
        <w:t>Special precautions for disposal</w:t>
      </w:r>
    </w:p>
    <w:p w14:paraId="3D695DEB" w14:textId="77777777" w:rsidR="001A3992" w:rsidRPr="00F30805" w:rsidRDefault="00EB2E6E" w:rsidP="00765AD7">
      <w:pPr>
        <w:spacing w:before="120"/>
        <w:rPr>
          <w:rFonts w:ascii="Arial" w:hAnsi="Arial" w:cs="Arial"/>
          <w:lang w:val="en-US"/>
        </w:rPr>
      </w:pPr>
      <w:r w:rsidRPr="00F30805">
        <w:rPr>
          <w:rFonts w:ascii="Arial" w:hAnsi="Arial" w:cs="Arial"/>
          <w:spacing w:val="1"/>
        </w:rPr>
        <w:t>I</w:t>
      </w:r>
      <w:r w:rsidRPr="00F30805">
        <w:rPr>
          <w:rFonts w:ascii="Arial" w:hAnsi="Arial" w:cs="Arial"/>
        </w:rPr>
        <w:t>n</w:t>
      </w:r>
      <w:r w:rsidRPr="00F30805">
        <w:rPr>
          <w:rFonts w:ascii="Arial" w:hAnsi="Arial" w:cs="Arial"/>
          <w:spacing w:val="9"/>
        </w:rPr>
        <w:t xml:space="preserve"> </w:t>
      </w:r>
      <w:r w:rsidRPr="00F30805">
        <w:rPr>
          <w:rFonts w:ascii="Arial" w:hAnsi="Arial" w:cs="Arial"/>
          <w:spacing w:val="1"/>
        </w:rPr>
        <w:t>Australia</w:t>
      </w:r>
      <w:r w:rsidRPr="00F30805">
        <w:rPr>
          <w:rFonts w:ascii="Arial" w:hAnsi="Arial" w:cs="Arial"/>
        </w:rPr>
        <w:t xml:space="preserve">, </w:t>
      </w:r>
      <w:r w:rsidRPr="00F30805">
        <w:rPr>
          <w:rFonts w:ascii="Arial" w:hAnsi="Arial" w:cs="Arial"/>
          <w:spacing w:val="3"/>
        </w:rPr>
        <w:t>an</w:t>
      </w:r>
      <w:r w:rsidRPr="00F30805">
        <w:rPr>
          <w:rFonts w:ascii="Arial" w:hAnsi="Arial" w:cs="Arial"/>
        </w:rPr>
        <w:t>y</w:t>
      </w:r>
      <w:r w:rsidRPr="00F30805">
        <w:rPr>
          <w:rFonts w:ascii="Arial" w:hAnsi="Arial" w:cs="Arial"/>
          <w:spacing w:val="22"/>
        </w:rPr>
        <w:t xml:space="preserve"> </w:t>
      </w:r>
      <w:r w:rsidRPr="00F30805">
        <w:rPr>
          <w:rFonts w:ascii="Arial" w:hAnsi="Arial" w:cs="Arial"/>
          <w:w w:val="112"/>
        </w:rPr>
        <w:t>unused</w:t>
      </w:r>
      <w:r w:rsidRPr="00F30805">
        <w:rPr>
          <w:rFonts w:ascii="Arial" w:hAnsi="Arial" w:cs="Arial"/>
          <w:spacing w:val="5"/>
          <w:w w:val="112"/>
        </w:rPr>
        <w:t xml:space="preserve"> </w:t>
      </w:r>
      <w:r w:rsidRPr="00F30805">
        <w:rPr>
          <w:rFonts w:ascii="Arial" w:hAnsi="Arial" w:cs="Arial"/>
          <w:spacing w:val="-1"/>
          <w:w w:val="112"/>
        </w:rPr>
        <w:t>medicin</w:t>
      </w:r>
      <w:r w:rsidRPr="00F30805">
        <w:rPr>
          <w:rFonts w:ascii="Arial" w:hAnsi="Arial" w:cs="Arial"/>
          <w:w w:val="112"/>
        </w:rPr>
        <w:t>e</w:t>
      </w:r>
      <w:r w:rsidRPr="00F30805">
        <w:rPr>
          <w:rFonts w:ascii="Arial" w:hAnsi="Arial" w:cs="Arial"/>
          <w:spacing w:val="-18"/>
          <w:w w:val="112"/>
        </w:rPr>
        <w:t xml:space="preserve"> </w:t>
      </w:r>
      <w:r w:rsidRPr="00F30805">
        <w:rPr>
          <w:rFonts w:ascii="Arial" w:hAnsi="Arial" w:cs="Arial"/>
          <w:spacing w:val="1"/>
        </w:rPr>
        <w:t>o</w:t>
      </w:r>
      <w:r w:rsidRPr="00F30805">
        <w:rPr>
          <w:rFonts w:ascii="Arial" w:hAnsi="Arial" w:cs="Arial"/>
        </w:rPr>
        <w:t>r</w:t>
      </w:r>
      <w:r w:rsidRPr="00F30805">
        <w:rPr>
          <w:rFonts w:ascii="Arial" w:hAnsi="Arial" w:cs="Arial"/>
          <w:spacing w:val="25"/>
        </w:rPr>
        <w:t xml:space="preserve"> </w:t>
      </w:r>
      <w:r w:rsidRPr="00F30805">
        <w:rPr>
          <w:rFonts w:ascii="Arial" w:hAnsi="Arial" w:cs="Arial"/>
        </w:rPr>
        <w:t xml:space="preserve">waste </w:t>
      </w:r>
      <w:r w:rsidRPr="00F30805">
        <w:rPr>
          <w:rFonts w:ascii="Arial" w:hAnsi="Arial" w:cs="Arial"/>
          <w:w w:val="112"/>
        </w:rPr>
        <w:t>material</w:t>
      </w:r>
      <w:r w:rsidRPr="00F30805">
        <w:rPr>
          <w:rFonts w:ascii="Arial" w:hAnsi="Arial" w:cs="Arial"/>
          <w:spacing w:val="-1"/>
          <w:w w:val="112"/>
        </w:rPr>
        <w:t xml:space="preserve"> </w:t>
      </w:r>
      <w:r w:rsidRPr="00F30805">
        <w:rPr>
          <w:rFonts w:ascii="Arial" w:hAnsi="Arial" w:cs="Arial"/>
          <w:w w:val="112"/>
        </w:rPr>
        <w:t>should</w:t>
      </w:r>
      <w:r w:rsidRPr="00F30805">
        <w:rPr>
          <w:rFonts w:ascii="Arial" w:hAnsi="Arial" w:cs="Arial"/>
          <w:spacing w:val="-13"/>
          <w:w w:val="112"/>
        </w:rPr>
        <w:t xml:space="preserve"> </w:t>
      </w:r>
      <w:r w:rsidRPr="00F30805">
        <w:rPr>
          <w:rFonts w:ascii="Arial" w:hAnsi="Arial" w:cs="Arial"/>
          <w:spacing w:val="-5"/>
        </w:rPr>
        <w:t>b</w:t>
      </w:r>
      <w:r w:rsidRPr="00F30805">
        <w:rPr>
          <w:rFonts w:ascii="Arial" w:hAnsi="Arial" w:cs="Arial"/>
        </w:rPr>
        <w:t>e</w:t>
      </w:r>
      <w:r w:rsidRPr="00F30805">
        <w:rPr>
          <w:rFonts w:ascii="Arial" w:hAnsi="Arial" w:cs="Arial"/>
          <w:spacing w:val="22"/>
        </w:rPr>
        <w:t xml:space="preserve"> </w:t>
      </w:r>
      <w:r w:rsidRPr="00F30805">
        <w:rPr>
          <w:rFonts w:ascii="Arial" w:hAnsi="Arial" w:cs="Arial"/>
          <w:spacing w:val="1"/>
          <w:w w:val="111"/>
        </w:rPr>
        <w:t>dispose</w:t>
      </w:r>
      <w:r w:rsidRPr="00F30805">
        <w:rPr>
          <w:rFonts w:ascii="Arial" w:hAnsi="Arial" w:cs="Arial"/>
          <w:w w:val="111"/>
        </w:rPr>
        <w:t xml:space="preserve">d </w:t>
      </w:r>
      <w:r w:rsidRPr="00F30805">
        <w:rPr>
          <w:rFonts w:ascii="Arial" w:hAnsi="Arial" w:cs="Arial"/>
          <w:spacing w:val="-6"/>
        </w:rPr>
        <w:t>o</w:t>
      </w:r>
      <w:r w:rsidRPr="00F30805">
        <w:rPr>
          <w:rFonts w:ascii="Arial" w:hAnsi="Arial" w:cs="Arial"/>
        </w:rPr>
        <w:t>f</w:t>
      </w:r>
      <w:r w:rsidRPr="00F30805">
        <w:rPr>
          <w:rFonts w:ascii="Arial" w:hAnsi="Arial" w:cs="Arial"/>
          <w:spacing w:val="8"/>
        </w:rPr>
        <w:t xml:space="preserve"> </w:t>
      </w:r>
      <w:r w:rsidRPr="00F30805">
        <w:rPr>
          <w:rFonts w:ascii="Arial" w:hAnsi="Arial" w:cs="Arial"/>
          <w:spacing w:val="-2"/>
        </w:rPr>
        <w:t>i</w:t>
      </w:r>
      <w:r w:rsidRPr="00F30805">
        <w:rPr>
          <w:rFonts w:ascii="Arial" w:hAnsi="Arial" w:cs="Arial"/>
        </w:rPr>
        <w:t>n</w:t>
      </w:r>
      <w:r w:rsidRPr="00F30805">
        <w:rPr>
          <w:rFonts w:ascii="Arial" w:hAnsi="Arial" w:cs="Arial"/>
          <w:spacing w:val="12"/>
        </w:rPr>
        <w:t xml:space="preserve"> </w:t>
      </w:r>
      <w:r w:rsidRPr="00F30805">
        <w:rPr>
          <w:rFonts w:ascii="Arial" w:hAnsi="Arial" w:cs="Arial"/>
          <w:w w:val="111"/>
        </w:rPr>
        <w:t>accordance</w:t>
      </w:r>
      <w:r w:rsidRPr="00F30805">
        <w:rPr>
          <w:rFonts w:ascii="Arial" w:hAnsi="Arial" w:cs="Arial"/>
          <w:spacing w:val="-4"/>
          <w:w w:val="111"/>
        </w:rPr>
        <w:t xml:space="preserve"> </w:t>
      </w:r>
      <w:r w:rsidRPr="00F30805">
        <w:rPr>
          <w:rFonts w:ascii="Arial" w:hAnsi="Arial" w:cs="Arial"/>
          <w:spacing w:val="3"/>
          <w:w w:val="111"/>
        </w:rPr>
        <w:t xml:space="preserve">with </w:t>
      </w:r>
      <w:r w:rsidRPr="00F30805">
        <w:rPr>
          <w:rFonts w:ascii="Arial" w:hAnsi="Arial" w:cs="Arial"/>
          <w:spacing w:val="1"/>
        </w:rPr>
        <w:t>loca</w:t>
      </w:r>
      <w:r w:rsidRPr="00F30805">
        <w:rPr>
          <w:rFonts w:ascii="Arial" w:hAnsi="Arial" w:cs="Arial"/>
        </w:rPr>
        <w:t>l</w:t>
      </w:r>
      <w:r w:rsidRPr="00F30805">
        <w:rPr>
          <w:rFonts w:ascii="Arial" w:hAnsi="Arial" w:cs="Arial"/>
          <w:spacing w:val="19"/>
        </w:rPr>
        <w:t xml:space="preserve"> </w:t>
      </w:r>
      <w:r w:rsidRPr="00F30805">
        <w:rPr>
          <w:rFonts w:ascii="Arial" w:hAnsi="Arial" w:cs="Arial"/>
          <w:w w:val="113"/>
        </w:rPr>
        <w:t>requirements.</w:t>
      </w:r>
    </w:p>
    <w:p w14:paraId="0E44C263" w14:textId="77777777" w:rsidR="001A3992" w:rsidRPr="00F30805" w:rsidRDefault="001A3992" w:rsidP="001A3992">
      <w:pPr>
        <w:pStyle w:val="Heading2"/>
        <w:spacing w:before="0" w:after="120"/>
        <w:rPr>
          <w:rFonts w:ascii="Arial" w:hAnsi="Arial" w:cs="Arial"/>
          <w:lang w:val="en-US"/>
        </w:rPr>
      </w:pPr>
      <w:r w:rsidRPr="00F30805">
        <w:rPr>
          <w:rFonts w:ascii="Arial" w:hAnsi="Arial" w:cs="Arial"/>
          <w:lang w:val="en-US"/>
        </w:rPr>
        <w:t>Physicochemical properties</w:t>
      </w:r>
    </w:p>
    <w:p w14:paraId="7EE20469" w14:textId="77777777" w:rsidR="00EB2E6E" w:rsidRPr="00F30805" w:rsidRDefault="00EB2E6E" w:rsidP="00765AD7">
      <w:pPr>
        <w:spacing w:before="120"/>
        <w:rPr>
          <w:rFonts w:ascii="Arial" w:hAnsi="Arial" w:cs="Arial"/>
          <w:lang w:val="en-US"/>
        </w:rPr>
      </w:pPr>
      <w:r w:rsidRPr="00F30805">
        <w:rPr>
          <w:rFonts w:ascii="Arial" w:hAnsi="Arial" w:cs="Arial"/>
          <w:lang w:val="en-US"/>
        </w:rPr>
        <w:t>Upadacitinib is a white to light brown powder with the following chemical name: (3S,4R)-3-Ethyl-4-(3H-imidazo[1,2-a]pyrrolo[2,3-e]pyrazin-8-yl)-N-(2,2,2-trifluoroethyl)pyrrolidine-1-carboxamide hydrate (2:1).</w:t>
      </w:r>
    </w:p>
    <w:p w14:paraId="3FD0360B" w14:textId="77777777" w:rsidR="00EB2E6E" w:rsidRPr="00F30805" w:rsidRDefault="00EB2E6E" w:rsidP="00765AD7">
      <w:pPr>
        <w:spacing w:before="120"/>
        <w:rPr>
          <w:rFonts w:ascii="Arial" w:hAnsi="Arial" w:cs="Arial"/>
          <w:lang w:val="en-US"/>
        </w:rPr>
      </w:pPr>
      <w:r w:rsidRPr="00F30805">
        <w:rPr>
          <w:rFonts w:ascii="Arial" w:hAnsi="Arial" w:cs="Arial"/>
          <w:lang w:val="en-US"/>
        </w:rPr>
        <w:t>The strength of upadacitinib is based on anhydrous upadacitinib. The solubility of upadacitinib in water is 38 to less than 0.2 mg/mL across a pH range of 2 to 9 at 37</w:t>
      </w:r>
      <w:r w:rsidRPr="00F30805">
        <w:rPr>
          <w:rFonts w:ascii="Arial" w:hAnsi="Arial" w:cs="Arial"/>
          <w:vertAlign w:val="superscript"/>
          <w:lang w:val="en-US"/>
        </w:rPr>
        <w:t>o</w:t>
      </w:r>
      <w:r w:rsidRPr="00F30805">
        <w:rPr>
          <w:rFonts w:ascii="Arial" w:hAnsi="Arial" w:cs="Arial"/>
          <w:lang w:val="en-US"/>
        </w:rPr>
        <w:t xml:space="preserve">C. </w:t>
      </w:r>
    </w:p>
    <w:p w14:paraId="31B60E40" w14:textId="430EB066" w:rsidR="00EB2E6E" w:rsidRPr="00F30805" w:rsidRDefault="00EB2E6E" w:rsidP="002500CC">
      <w:pPr>
        <w:rPr>
          <w:rFonts w:ascii="Arial" w:hAnsi="Arial" w:cs="Arial"/>
          <w:b/>
          <w:lang w:val="en-US"/>
        </w:rPr>
      </w:pPr>
      <w:r w:rsidRPr="00F30805">
        <w:rPr>
          <w:rFonts w:ascii="Arial" w:hAnsi="Arial" w:cs="Arial"/>
          <w:lang w:val="en-US"/>
        </w:rPr>
        <w:t>Upadacitinib has a molecular weight of 389.38 g/mol and a molecular formula of C</w:t>
      </w:r>
      <w:r w:rsidRPr="00F30805">
        <w:rPr>
          <w:rFonts w:ascii="Arial" w:hAnsi="Arial" w:cs="Arial"/>
          <w:vertAlign w:val="subscript"/>
          <w:lang w:val="en-US"/>
        </w:rPr>
        <w:t>17</w:t>
      </w:r>
      <w:r w:rsidRPr="00F30805">
        <w:rPr>
          <w:rFonts w:ascii="Arial" w:hAnsi="Arial" w:cs="Arial"/>
          <w:lang w:val="en-US"/>
        </w:rPr>
        <w:t>H</w:t>
      </w:r>
      <w:r w:rsidRPr="00F30805">
        <w:rPr>
          <w:rFonts w:ascii="Arial" w:hAnsi="Arial" w:cs="Arial"/>
          <w:vertAlign w:val="subscript"/>
          <w:lang w:val="en-US"/>
        </w:rPr>
        <w:t>19</w:t>
      </w:r>
      <w:r w:rsidRPr="00F30805">
        <w:rPr>
          <w:rFonts w:ascii="Arial" w:hAnsi="Arial" w:cs="Arial"/>
          <w:lang w:val="en-US"/>
        </w:rPr>
        <w:t>F</w:t>
      </w:r>
      <w:r w:rsidRPr="00F30805">
        <w:rPr>
          <w:rFonts w:ascii="Arial" w:hAnsi="Arial" w:cs="Arial"/>
          <w:vertAlign w:val="subscript"/>
          <w:lang w:val="en-US"/>
        </w:rPr>
        <w:t>3</w:t>
      </w:r>
      <w:r w:rsidRPr="00F30805">
        <w:rPr>
          <w:rFonts w:ascii="Arial" w:hAnsi="Arial" w:cs="Arial"/>
          <w:lang w:val="en-US"/>
        </w:rPr>
        <w:t>N</w:t>
      </w:r>
      <w:r w:rsidRPr="00F30805">
        <w:rPr>
          <w:rFonts w:ascii="Arial" w:hAnsi="Arial" w:cs="Arial"/>
          <w:vertAlign w:val="subscript"/>
          <w:lang w:val="en-US"/>
        </w:rPr>
        <w:t>6</w:t>
      </w:r>
      <w:r w:rsidRPr="00F30805">
        <w:rPr>
          <w:rFonts w:ascii="Arial" w:hAnsi="Arial" w:cs="Arial"/>
          <w:lang w:val="en-US"/>
        </w:rPr>
        <w:t>O • ½ H</w:t>
      </w:r>
      <w:r w:rsidRPr="00F30805">
        <w:rPr>
          <w:rFonts w:ascii="Arial" w:hAnsi="Arial" w:cs="Arial"/>
          <w:vertAlign w:val="subscript"/>
          <w:lang w:val="en-US"/>
        </w:rPr>
        <w:t>2</w:t>
      </w:r>
      <w:r w:rsidRPr="00F30805">
        <w:rPr>
          <w:rFonts w:ascii="Arial" w:hAnsi="Arial" w:cs="Arial"/>
          <w:lang w:val="en-US"/>
        </w:rPr>
        <w:t xml:space="preserve">O. </w:t>
      </w:r>
    </w:p>
    <w:p w14:paraId="294CEEA4" w14:textId="77777777" w:rsidR="00EB2E6E" w:rsidRPr="00F30805" w:rsidRDefault="00EB2E6E" w:rsidP="00EB2E6E">
      <w:pPr>
        <w:pStyle w:val="Heading3"/>
        <w:spacing w:before="0" w:after="120"/>
        <w:rPr>
          <w:rFonts w:cs="Arial"/>
          <w:lang w:val="en-US"/>
        </w:rPr>
      </w:pPr>
      <w:r w:rsidRPr="00F30805">
        <w:rPr>
          <w:rFonts w:cs="Arial"/>
          <w:lang w:val="en-US"/>
        </w:rPr>
        <w:t>Chemical structure</w:t>
      </w:r>
    </w:p>
    <w:p w14:paraId="076BD69C" w14:textId="599F4000" w:rsidR="00EB2E6E" w:rsidRPr="00F30805" w:rsidRDefault="00EB2E6E" w:rsidP="00066888">
      <w:pPr>
        <w:spacing w:before="120"/>
        <w:rPr>
          <w:rFonts w:ascii="Arial" w:hAnsi="Arial" w:cs="Arial"/>
          <w:lang w:val="en-US"/>
        </w:rPr>
      </w:pPr>
      <w:r w:rsidRPr="00F30805">
        <w:rPr>
          <w:rFonts w:ascii="Arial" w:hAnsi="Arial" w:cs="Arial"/>
          <w:lang w:val="en-US"/>
        </w:rPr>
        <w:t>The chemical structure of upadacitinib is:</w:t>
      </w:r>
    </w:p>
    <w:p w14:paraId="46D6349B" w14:textId="2D4944FF" w:rsidR="00066888" w:rsidRPr="00F30805" w:rsidRDefault="00235023" w:rsidP="00EB2E6E">
      <w:pPr>
        <w:rPr>
          <w:rFonts w:ascii="Arial" w:hAnsi="Arial" w:cs="Arial"/>
          <w:lang w:val="en-US"/>
        </w:rPr>
      </w:pPr>
      <w:bookmarkStart w:id="1" w:name="_GoBack"/>
      <w:r w:rsidRPr="00F30805">
        <w:rPr>
          <w:rFonts w:ascii="Arial" w:hAnsi="Arial" w:cs="Arial"/>
          <w:noProof/>
          <w:lang w:eastAsia="en-AU"/>
        </w:rPr>
        <w:drawing>
          <wp:anchor distT="0" distB="0" distL="114300" distR="114300" simplePos="0" relativeHeight="251658240" behindDoc="0" locked="0" layoutInCell="1" allowOverlap="1" wp14:anchorId="185824ED" wp14:editId="5D7BF386">
            <wp:simplePos x="0" y="0"/>
            <wp:positionH relativeFrom="margin">
              <wp:align>left</wp:align>
            </wp:positionH>
            <wp:positionV relativeFrom="paragraph">
              <wp:posOffset>116868</wp:posOffset>
            </wp:positionV>
            <wp:extent cx="2389505" cy="1972945"/>
            <wp:effectExtent l="0" t="0" r="0" b="0"/>
            <wp:wrapNone/>
            <wp:docPr id="2" name="Picture 2"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9505" cy="19729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3673F96E" w14:textId="0ABE0231" w:rsidR="00066888" w:rsidRPr="00F30805" w:rsidRDefault="00066888" w:rsidP="00EB2E6E">
      <w:pPr>
        <w:rPr>
          <w:rFonts w:ascii="Arial" w:hAnsi="Arial" w:cs="Arial"/>
          <w:lang w:val="en-US"/>
        </w:rPr>
      </w:pPr>
    </w:p>
    <w:p w14:paraId="512A7EE3" w14:textId="09E12C2D" w:rsidR="00066888" w:rsidRPr="00F30805" w:rsidRDefault="00066888" w:rsidP="00EB2E6E">
      <w:pPr>
        <w:rPr>
          <w:rFonts w:ascii="Arial" w:hAnsi="Arial" w:cs="Arial"/>
          <w:lang w:val="en-US"/>
        </w:rPr>
      </w:pPr>
    </w:p>
    <w:p w14:paraId="619C3E69" w14:textId="28FC4308" w:rsidR="00066888" w:rsidRPr="00F30805" w:rsidRDefault="00066888" w:rsidP="00EB2E6E">
      <w:pPr>
        <w:rPr>
          <w:rFonts w:ascii="Arial" w:hAnsi="Arial" w:cs="Arial"/>
          <w:lang w:val="en-US"/>
        </w:rPr>
      </w:pPr>
    </w:p>
    <w:p w14:paraId="14255842" w14:textId="537AE8FE" w:rsidR="00066888" w:rsidRPr="00F30805" w:rsidRDefault="00066888" w:rsidP="00EB2E6E">
      <w:pPr>
        <w:rPr>
          <w:rFonts w:ascii="Arial" w:hAnsi="Arial" w:cs="Arial"/>
          <w:lang w:val="en-US"/>
        </w:rPr>
      </w:pPr>
    </w:p>
    <w:p w14:paraId="4FA9E867" w14:textId="77777777" w:rsidR="00066888" w:rsidRPr="00F30805" w:rsidRDefault="00066888" w:rsidP="00EB2E6E">
      <w:pPr>
        <w:rPr>
          <w:rFonts w:ascii="Arial" w:hAnsi="Arial" w:cs="Arial"/>
          <w:lang w:val="en-US"/>
        </w:rPr>
      </w:pPr>
    </w:p>
    <w:p w14:paraId="794BA888" w14:textId="779F7F09" w:rsidR="001A3992" w:rsidRPr="00F30805" w:rsidRDefault="001A3992" w:rsidP="001A3992">
      <w:pPr>
        <w:pStyle w:val="Heading3"/>
        <w:spacing w:before="0" w:after="120"/>
        <w:rPr>
          <w:rFonts w:cs="Arial"/>
          <w:lang w:val="en-US"/>
        </w:rPr>
      </w:pPr>
      <w:r w:rsidRPr="00F30805">
        <w:rPr>
          <w:rFonts w:cs="Arial"/>
          <w:lang w:val="en-US"/>
        </w:rPr>
        <w:lastRenderedPageBreak/>
        <w:t>CAS number</w:t>
      </w:r>
    </w:p>
    <w:p w14:paraId="668D6AA8" w14:textId="200D90BD" w:rsidR="003467A5" w:rsidRPr="00F30805" w:rsidRDefault="0053391C" w:rsidP="00765AD7">
      <w:pPr>
        <w:spacing w:before="120"/>
        <w:rPr>
          <w:rFonts w:ascii="Arial" w:hAnsi="Arial" w:cs="Arial"/>
          <w:lang w:val="en-US"/>
        </w:rPr>
      </w:pPr>
      <w:r w:rsidRPr="00F30805">
        <w:rPr>
          <w:rFonts w:ascii="Arial" w:hAnsi="Arial" w:cs="Arial"/>
        </w:rPr>
        <w:t>1310726-60-3</w:t>
      </w:r>
    </w:p>
    <w:p w14:paraId="5A41959B" w14:textId="77777777" w:rsidR="001A3992" w:rsidRPr="00F30805" w:rsidRDefault="001A3992" w:rsidP="00F177D3">
      <w:pPr>
        <w:pStyle w:val="Heading1"/>
        <w:numPr>
          <w:ilvl w:val="0"/>
          <w:numId w:val="22"/>
        </w:numPr>
        <w:spacing w:before="240" w:after="240"/>
        <w:ind w:left="431" w:hanging="431"/>
        <w:rPr>
          <w:rFonts w:ascii="Arial" w:hAnsi="Arial" w:cs="Arial"/>
        </w:rPr>
      </w:pPr>
      <w:r w:rsidRPr="00F30805">
        <w:rPr>
          <w:rFonts w:ascii="Arial" w:hAnsi="Arial" w:cs="Arial"/>
        </w:rPr>
        <w:t>Medicine schedule (Poisons Standard)</w:t>
      </w:r>
    </w:p>
    <w:p w14:paraId="21154EB3" w14:textId="77777777" w:rsidR="003467A5" w:rsidRPr="00F30805" w:rsidRDefault="00EB2E6E" w:rsidP="00765AD7">
      <w:pPr>
        <w:spacing w:before="120"/>
        <w:rPr>
          <w:rFonts w:ascii="Arial" w:hAnsi="Arial" w:cs="Arial"/>
          <w:lang w:val="en-US"/>
        </w:rPr>
      </w:pPr>
      <w:r w:rsidRPr="00F30805">
        <w:rPr>
          <w:rFonts w:ascii="Arial" w:hAnsi="Arial" w:cs="Arial"/>
          <w:lang w:val="en-US"/>
        </w:rPr>
        <w:t xml:space="preserve"> </w:t>
      </w:r>
      <w:r w:rsidRPr="00F30805">
        <w:rPr>
          <w:rFonts w:ascii="Arial" w:hAnsi="Arial" w:cs="Arial"/>
          <w:spacing w:val="-3"/>
        </w:rPr>
        <w:t>Prescription Only Medicine – Schedule 4</w:t>
      </w:r>
    </w:p>
    <w:p w14:paraId="4978F860" w14:textId="77777777" w:rsidR="003467A5" w:rsidRPr="00F30805" w:rsidRDefault="001A3992" w:rsidP="00F177D3">
      <w:pPr>
        <w:pStyle w:val="Heading1"/>
        <w:numPr>
          <w:ilvl w:val="0"/>
          <w:numId w:val="22"/>
        </w:numPr>
        <w:spacing w:before="240" w:after="240"/>
        <w:ind w:left="431" w:hanging="431"/>
        <w:rPr>
          <w:rFonts w:ascii="Arial" w:hAnsi="Arial" w:cs="Arial"/>
        </w:rPr>
      </w:pPr>
      <w:r w:rsidRPr="00F30805">
        <w:rPr>
          <w:rFonts w:ascii="Arial" w:hAnsi="Arial" w:cs="Arial"/>
        </w:rPr>
        <w:t>Sponsor</w:t>
      </w:r>
    </w:p>
    <w:p w14:paraId="40DD626D" w14:textId="77777777" w:rsidR="00EB2E6E" w:rsidRPr="00F30805" w:rsidRDefault="00EB2E6E" w:rsidP="00765AD7">
      <w:pPr>
        <w:spacing w:before="120" w:line="300" w:lineRule="exact"/>
        <w:rPr>
          <w:rFonts w:ascii="Arial" w:hAnsi="Arial" w:cs="Arial"/>
        </w:rPr>
      </w:pPr>
      <w:r w:rsidRPr="00F30805">
        <w:rPr>
          <w:rFonts w:ascii="Arial" w:hAnsi="Arial" w:cs="Arial"/>
          <w:lang w:val="en-US"/>
        </w:rPr>
        <w:t xml:space="preserve"> </w:t>
      </w:r>
      <w:r w:rsidRPr="00F30805">
        <w:rPr>
          <w:rFonts w:ascii="Arial" w:hAnsi="Arial" w:cs="Arial"/>
        </w:rPr>
        <w:t>AbbVie Pty Ltd</w:t>
      </w:r>
    </w:p>
    <w:p w14:paraId="0815CA7D" w14:textId="77777777" w:rsidR="00EB2E6E" w:rsidRPr="00F30805" w:rsidRDefault="00EB2E6E" w:rsidP="00765AD7">
      <w:pPr>
        <w:spacing w:before="120" w:line="300" w:lineRule="exact"/>
        <w:rPr>
          <w:rFonts w:ascii="Arial" w:hAnsi="Arial" w:cs="Arial"/>
        </w:rPr>
      </w:pPr>
      <w:r w:rsidRPr="00F30805">
        <w:rPr>
          <w:rFonts w:ascii="Arial" w:hAnsi="Arial" w:cs="Arial"/>
        </w:rPr>
        <w:t xml:space="preserve">241 </w:t>
      </w:r>
      <w:proofErr w:type="spellStart"/>
      <w:r w:rsidRPr="00F30805">
        <w:rPr>
          <w:rFonts w:ascii="Arial" w:hAnsi="Arial" w:cs="Arial"/>
        </w:rPr>
        <w:t>O’Riordan</w:t>
      </w:r>
      <w:proofErr w:type="spellEnd"/>
      <w:r w:rsidRPr="00F30805">
        <w:rPr>
          <w:rFonts w:ascii="Arial" w:hAnsi="Arial" w:cs="Arial"/>
        </w:rPr>
        <w:t xml:space="preserve"> Street</w:t>
      </w:r>
    </w:p>
    <w:p w14:paraId="4705DD8C" w14:textId="77777777" w:rsidR="00EB2E6E" w:rsidRPr="00F30805" w:rsidRDefault="00EB2E6E" w:rsidP="00765AD7">
      <w:pPr>
        <w:spacing w:before="120" w:line="300" w:lineRule="exact"/>
        <w:rPr>
          <w:rFonts w:ascii="Arial" w:hAnsi="Arial" w:cs="Arial"/>
        </w:rPr>
      </w:pPr>
      <w:r w:rsidRPr="00F30805">
        <w:rPr>
          <w:rFonts w:ascii="Arial" w:hAnsi="Arial" w:cs="Arial"/>
        </w:rPr>
        <w:t>Mascot NSW 2020</w:t>
      </w:r>
    </w:p>
    <w:p w14:paraId="47113048" w14:textId="77777777" w:rsidR="00EB2E6E" w:rsidRPr="00F30805" w:rsidRDefault="00EB2E6E" w:rsidP="00765AD7">
      <w:pPr>
        <w:spacing w:before="120" w:line="300" w:lineRule="exact"/>
        <w:rPr>
          <w:rFonts w:ascii="Arial" w:hAnsi="Arial" w:cs="Arial"/>
        </w:rPr>
      </w:pPr>
      <w:r w:rsidRPr="00F30805">
        <w:rPr>
          <w:rFonts w:ascii="Arial" w:hAnsi="Arial" w:cs="Arial"/>
        </w:rPr>
        <w:t>AUSTRALIA</w:t>
      </w:r>
    </w:p>
    <w:p w14:paraId="79760DA0" w14:textId="77777777" w:rsidR="00EB2E6E" w:rsidRPr="00F30805" w:rsidRDefault="00EB2E6E" w:rsidP="00765AD7">
      <w:pPr>
        <w:spacing w:before="120"/>
        <w:rPr>
          <w:rFonts w:ascii="Arial" w:hAnsi="Arial" w:cs="Arial"/>
          <w:sz w:val="24"/>
        </w:rPr>
      </w:pPr>
      <w:r w:rsidRPr="00F30805">
        <w:rPr>
          <w:rFonts w:ascii="Arial" w:hAnsi="Arial" w:cs="Arial"/>
        </w:rPr>
        <w:t>Ph: 1800 043 460</w:t>
      </w:r>
    </w:p>
    <w:p w14:paraId="40F59A4D" w14:textId="77777777" w:rsidR="00EB2E6E" w:rsidRPr="00F30805" w:rsidRDefault="00D967CE" w:rsidP="00765AD7">
      <w:pPr>
        <w:spacing w:before="120"/>
        <w:rPr>
          <w:rFonts w:ascii="Arial" w:hAnsi="Arial" w:cs="Arial"/>
          <w:color w:val="0000FF"/>
        </w:rPr>
      </w:pPr>
      <w:hyperlink r:id="rId15" w:history="1">
        <w:r w:rsidR="00EB2E6E" w:rsidRPr="00F30805">
          <w:rPr>
            <w:rStyle w:val="Hyperlink"/>
            <w:rFonts w:ascii="Arial" w:hAnsi="Arial" w:cs="Arial"/>
          </w:rPr>
          <w:t>www.abbvie.com.au</w:t>
        </w:r>
      </w:hyperlink>
    </w:p>
    <w:p w14:paraId="292D5A75" w14:textId="77777777" w:rsidR="003467A5" w:rsidRPr="00F30805" w:rsidRDefault="00285173" w:rsidP="007E57BD">
      <w:pPr>
        <w:pStyle w:val="Heading1"/>
        <w:rPr>
          <w:rFonts w:ascii="Arial" w:hAnsi="Arial" w:cs="Arial"/>
          <w:lang w:val="en-US"/>
        </w:rPr>
      </w:pPr>
      <w:r w:rsidRPr="00F30805">
        <w:rPr>
          <w:rFonts w:ascii="Arial" w:hAnsi="Arial" w:cs="Arial"/>
          <w:lang w:val="en-US"/>
        </w:rPr>
        <w:t xml:space="preserve"> Date of first approval</w:t>
      </w:r>
    </w:p>
    <w:p w14:paraId="4BF41637" w14:textId="1BC0AF36" w:rsidR="00285173" w:rsidRPr="00F30805" w:rsidRDefault="001A5E74" w:rsidP="00765AD7">
      <w:pPr>
        <w:spacing w:before="120"/>
        <w:rPr>
          <w:rFonts w:ascii="Arial" w:hAnsi="Arial" w:cs="Arial"/>
          <w:lang w:val="en-US"/>
        </w:rPr>
      </w:pPr>
      <w:r>
        <w:rPr>
          <w:rFonts w:ascii="Arial" w:hAnsi="Arial" w:cs="Arial"/>
          <w:lang w:val="en-US"/>
        </w:rPr>
        <w:t>17 January 2020</w:t>
      </w:r>
    </w:p>
    <w:p w14:paraId="6E052268" w14:textId="77777777" w:rsidR="003467A5" w:rsidRPr="00F30805" w:rsidRDefault="00285173" w:rsidP="00F177D3">
      <w:pPr>
        <w:pStyle w:val="Heading1"/>
        <w:numPr>
          <w:ilvl w:val="0"/>
          <w:numId w:val="22"/>
        </w:numPr>
        <w:spacing w:before="240" w:after="240"/>
        <w:ind w:left="431" w:hanging="431"/>
        <w:rPr>
          <w:rFonts w:ascii="Arial" w:hAnsi="Arial" w:cs="Arial"/>
        </w:rPr>
      </w:pPr>
      <w:r w:rsidRPr="00F30805">
        <w:rPr>
          <w:rFonts w:ascii="Arial" w:hAnsi="Arial" w:cs="Arial"/>
        </w:rPr>
        <w:t>Date of revision</w:t>
      </w:r>
    </w:p>
    <w:p w14:paraId="38D2368A" w14:textId="4A0E5C4B" w:rsidR="00285173" w:rsidRPr="00F30805" w:rsidRDefault="001A5E74" w:rsidP="003467A5">
      <w:pPr>
        <w:rPr>
          <w:rFonts w:ascii="Arial" w:hAnsi="Arial" w:cs="Arial"/>
          <w:lang w:val="en-US"/>
        </w:rPr>
      </w:pPr>
      <w:r>
        <w:rPr>
          <w:rFonts w:ascii="Arial" w:hAnsi="Arial" w:cs="Arial"/>
        </w:rPr>
        <w:t>N/A</w:t>
      </w:r>
    </w:p>
    <w:p w14:paraId="73831A81" w14:textId="77777777" w:rsidR="00285173" w:rsidRPr="00F30805" w:rsidRDefault="00285173" w:rsidP="00285173">
      <w:pPr>
        <w:pStyle w:val="Heading2"/>
        <w:numPr>
          <w:ilvl w:val="0"/>
          <w:numId w:val="0"/>
        </w:numPr>
        <w:spacing w:before="0" w:after="120"/>
        <w:rPr>
          <w:rFonts w:ascii="Arial" w:hAnsi="Arial" w:cs="Arial"/>
          <w:lang w:val="en-US"/>
        </w:rPr>
      </w:pPr>
      <w:r w:rsidRPr="00F30805">
        <w:rPr>
          <w:rFonts w:ascii="Arial" w:hAnsi="Arial" w:cs="Arial"/>
          <w:lang w:val="en-US"/>
        </w:rPr>
        <w:t>Summary table of changes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6A0" w:firstRow="1" w:lastRow="0" w:firstColumn="1" w:lastColumn="0" w:noHBand="1" w:noVBand="1"/>
      </w:tblPr>
      <w:tblGrid>
        <w:gridCol w:w="1376"/>
        <w:gridCol w:w="7630"/>
      </w:tblGrid>
      <w:tr w:rsidR="00285173" w:rsidRPr="00F30805" w14:paraId="0D097250" w14:textId="77777777" w:rsidTr="002E6514">
        <w:tc>
          <w:tcPr>
            <w:tcW w:w="1384" w:type="dxa"/>
            <w:tcBorders>
              <w:top w:val="single" w:sz="8" w:space="0" w:color="000000"/>
              <w:left w:val="single" w:sz="8" w:space="0" w:color="000000"/>
              <w:bottom w:val="single" w:sz="18" w:space="0" w:color="000000"/>
              <w:right w:val="single" w:sz="8" w:space="0" w:color="000000"/>
            </w:tcBorders>
            <w:shd w:val="clear" w:color="auto" w:fill="F2F2F2"/>
            <w:vAlign w:val="center"/>
          </w:tcPr>
          <w:p w14:paraId="079CC6EB" w14:textId="77777777" w:rsidR="00285173" w:rsidRPr="00F30805" w:rsidRDefault="00285173" w:rsidP="00765AD7">
            <w:pPr>
              <w:spacing w:before="120" w:after="120"/>
              <w:rPr>
                <w:rFonts w:ascii="Arial" w:eastAsia="Times New Roman" w:hAnsi="Arial" w:cs="Arial"/>
                <w:b/>
                <w:bCs/>
                <w:lang w:val="en-US"/>
              </w:rPr>
            </w:pPr>
            <w:r w:rsidRPr="00F30805">
              <w:rPr>
                <w:rFonts w:ascii="Arial" w:eastAsia="Times New Roman" w:hAnsi="Arial" w:cs="Arial"/>
                <w:b/>
                <w:bCs/>
                <w:lang w:val="en-US"/>
              </w:rPr>
              <w:t>Section Changed</w:t>
            </w:r>
          </w:p>
        </w:tc>
        <w:tc>
          <w:tcPr>
            <w:tcW w:w="7858" w:type="dxa"/>
            <w:tcBorders>
              <w:top w:val="single" w:sz="8" w:space="0" w:color="000000"/>
              <w:left w:val="single" w:sz="8" w:space="0" w:color="000000"/>
              <w:bottom w:val="single" w:sz="18" w:space="0" w:color="000000"/>
              <w:right w:val="single" w:sz="8" w:space="0" w:color="000000"/>
            </w:tcBorders>
            <w:shd w:val="clear" w:color="auto" w:fill="F2F2F2"/>
            <w:vAlign w:val="center"/>
          </w:tcPr>
          <w:p w14:paraId="2487E92F" w14:textId="77777777" w:rsidR="00285173" w:rsidRPr="00F30805" w:rsidRDefault="00285173" w:rsidP="00765AD7">
            <w:pPr>
              <w:spacing w:before="120" w:after="120"/>
              <w:rPr>
                <w:rFonts w:ascii="Arial" w:eastAsia="Times New Roman" w:hAnsi="Arial" w:cs="Arial"/>
                <w:b/>
                <w:bCs/>
                <w:lang w:val="en-US"/>
              </w:rPr>
            </w:pPr>
            <w:r w:rsidRPr="00F30805">
              <w:rPr>
                <w:rFonts w:ascii="Arial" w:eastAsia="Times New Roman" w:hAnsi="Arial" w:cs="Arial"/>
                <w:b/>
                <w:bCs/>
                <w:lang w:val="en-US"/>
              </w:rPr>
              <w:t>Summary of new information</w:t>
            </w:r>
          </w:p>
        </w:tc>
      </w:tr>
      <w:tr w:rsidR="00285173" w:rsidRPr="00F30805" w14:paraId="20130D4D" w14:textId="77777777" w:rsidTr="002E6514">
        <w:tc>
          <w:tcPr>
            <w:tcW w:w="1384" w:type="dxa"/>
            <w:shd w:val="clear" w:color="auto" w:fill="auto"/>
            <w:vAlign w:val="center"/>
          </w:tcPr>
          <w:p w14:paraId="3E73306B" w14:textId="77777777" w:rsidR="00285173" w:rsidRPr="00F30805" w:rsidRDefault="00EB2E6E" w:rsidP="00765AD7">
            <w:pPr>
              <w:spacing w:before="120" w:after="120"/>
              <w:rPr>
                <w:rFonts w:ascii="Arial" w:eastAsia="Times New Roman" w:hAnsi="Arial" w:cs="Arial"/>
                <w:bCs/>
                <w:lang w:val="en-US"/>
              </w:rPr>
            </w:pPr>
            <w:r w:rsidRPr="00F30805">
              <w:rPr>
                <w:rFonts w:ascii="Arial" w:eastAsia="Times New Roman" w:hAnsi="Arial" w:cs="Arial"/>
                <w:bCs/>
                <w:lang w:val="en-US"/>
              </w:rPr>
              <w:t>All</w:t>
            </w:r>
          </w:p>
        </w:tc>
        <w:tc>
          <w:tcPr>
            <w:tcW w:w="7858" w:type="dxa"/>
            <w:shd w:val="clear" w:color="auto" w:fill="auto"/>
            <w:vAlign w:val="center"/>
          </w:tcPr>
          <w:p w14:paraId="64154C0A" w14:textId="77777777" w:rsidR="00285173" w:rsidRPr="00F30805" w:rsidRDefault="00EB2E6E" w:rsidP="00765AD7">
            <w:pPr>
              <w:spacing w:before="120" w:after="120"/>
              <w:rPr>
                <w:rFonts w:ascii="Arial" w:hAnsi="Arial" w:cs="Arial"/>
                <w:lang w:val="en-US"/>
              </w:rPr>
            </w:pPr>
            <w:r w:rsidRPr="00F30805">
              <w:rPr>
                <w:rFonts w:ascii="Arial" w:hAnsi="Arial" w:cs="Arial"/>
                <w:lang w:val="en-US"/>
              </w:rPr>
              <w:t>New document</w:t>
            </w:r>
          </w:p>
        </w:tc>
      </w:tr>
    </w:tbl>
    <w:p w14:paraId="6EAB5141" w14:textId="77777777" w:rsidR="00960CD5" w:rsidRPr="00F30805" w:rsidRDefault="00960CD5" w:rsidP="00285173">
      <w:pPr>
        <w:pStyle w:val="Heading1"/>
        <w:numPr>
          <w:ilvl w:val="0"/>
          <w:numId w:val="0"/>
        </w:numPr>
        <w:spacing w:before="0" w:after="120"/>
        <w:rPr>
          <w:rFonts w:ascii="Arial" w:hAnsi="Arial" w:cs="Arial"/>
        </w:rPr>
      </w:pPr>
    </w:p>
    <w:sectPr w:rsidR="00960CD5" w:rsidRPr="00F30805" w:rsidSect="00E645B0">
      <w:footerReference w:type="default" r:id="rId16"/>
      <w:pgSz w:w="11906" w:h="16838"/>
      <w:pgMar w:top="1440" w:right="1440" w:bottom="1440" w:left="1440" w:header="708"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F68B8" w14:textId="77777777" w:rsidR="00D967CE" w:rsidRDefault="00D967CE" w:rsidP="001A3992">
      <w:pPr>
        <w:spacing w:after="0" w:line="240" w:lineRule="auto"/>
      </w:pPr>
      <w:r>
        <w:separator/>
      </w:r>
    </w:p>
  </w:endnote>
  <w:endnote w:type="continuationSeparator" w:id="0">
    <w:p w14:paraId="264BADF4" w14:textId="77777777" w:rsidR="00D967CE" w:rsidRDefault="00D967CE" w:rsidP="001A3992">
      <w:pPr>
        <w:spacing w:after="0" w:line="240" w:lineRule="auto"/>
      </w:pPr>
      <w:r>
        <w:continuationSeparator/>
      </w:r>
    </w:p>
  </w:endnote>
  <w:endnote w:type="continuationNotice" w:id="1">
    <w:p w14:paraId="54741D0B" w14:textId="77777777" w:rsidR="00D967CE" w:rsidRDefault="00D96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000" w:firstRow="0" w:lastRow="0" w:firstColumn="0" w:lastColumn="0" w:noHBand="0" w:noVBand="0"/>
    </w:tblPr>
    <w:tblGrid>
      <w:gridCol w:w="3039"/>
      <w:gridCol w:w="3026"/>
      <w:gridCol w:w="2961"/>
    </w:tblGrid>
    <w:tr w:rsidR="00D967CE" w:rsidRPr="00E6568A" w14:paraId="374B98A2" w14:textId="77777777" w:rsidTr="00AD3D7A">
      <w:tc>
        <w:tcPr>
          <w:tcW w:w="3100" w:type="dxa"/>
        </w:tcPr>
        <w:p w14:paraId="42C904A4" w14:textId="5F46C1B9" w:rsidR="00D967CE" w:rsidRPr="00BC44B7" w:rsidRDefault="00D967CE" w:rsidP="00BC44B7">
          <w:pPr>
            <w:pStyle w:val="Footer"/>
            <w:rPr>
              <w:rFonts w:ascii="Arial" w:hAnsi="Arial" w:cs="Arial"/>
              <w:sz w:val="18"/>
              <w:szCs w:val="18"/>
            </w:rPr>
          </w:pPr>
          <w:r w:rsidRPr="00FA76AB">
            <w:rPr>
              <w:rFonts w:ascii="Arial" w:hAnsi="Arial" w:cs="Arial"/>
              <w:sz w:val="18"/>
              <w:szCs w:val="14"/>
            </w:rPr>
            <w:t>RINVOQ</w:t>
          </w:r>
          <w:r w:rsidRPr="00FA76AB">
            <w:rPr>
              <w:rFonts w:ascii="Arial" w:hAnsi="Arial" w:cs="Arial"/>
              <w:sz w:val="14"/>
              <w:szCs w:val="14"/>
            </w:rPr>
            <w:t xml:space="preserve"> </w:t>
          </w:r>
          <w:r w:rsidRPr="00BC44B7">
            <w:rPr>
              <w:rFonts w:ascii="Arial" w:hAnsi="Arial" w:cs="Arial"/>
              <w:sz w:val="18"/>
              <w:szCs w:val="18"/>
            </w:rPr>
            <w:t>[upadacitinib] PI</w:t>
          </w:r>
        </w:p>
        <w:p w14:paraId="34C3D069" w14:textId="3963FE8A" w:rsidR="00D967CE" w:rsidRPr="00BC44B7" w:rsidRDefault="00D967CE" w:rsidP="005C75F4">
          <w:pPr>
            <w:pStyle w:val="Footer"/>
            <w:rPr>
              <w:rFonts w:ascii="Arial" w:hAnsi="Arial" w:cs="Arial"/>
              <w:sz w:val="18"/>
              <w:szCs w:val="18"/>
            </w:rPr>
          </w:pPr>
          <w:r w:rsidRPr="00BC44B7">
            <w:rPr>
              <w:rFonts w:ascii="Arial" w:hAnsi="Arial" w:cs="Arial"/>
              <w:sz w:val="18"/>
              <w:szCs w:val="18"/>
            </w:rPr>
            <w:t xml:space="preserve">Version 1 </w:t>
          </w:r>
        </w:p>
        <w:p w14:paraId="571F14E6" w14:textId="4C28C9A0" w:rsidR="00D967CE" w:rsidRPr="00BC44B7" w:rsidRDefault="00D967CE" w:rsidP="005C75F4">
          <w:pPr>
            <w:pStyle w:val="Footer"/>
            <w:rPr>
              <w:rFonts w:ascii="Arial" w:hAnsi="Arial" w:cs="Arial"/>
              <w:sz w:val="18"/>
              <w:szCs w:val="18"/>
            </w:rPr>
          </w:pPr>
        </w:p>
        <w:p w14:paraId="5E71A3B4" w14:textId="77777777" w:rsidR="00D967CE" w:rsidRPr="00E6568A" w:rsidRDefault="00D967CE" w:rsidP="005C75F4">
          <w:pPr>
            <w:pStyle w:val="Footer"/>
            <w:rPr>
              <w:rStyle w:val="PageNumber"/>
              <w:rFonts w:ascii="Arial" w:hAnsi="Arial"/>
              <w:bCs/>
              <w:iCs/>
              <w:sz w:val="18"/>
            </w:rPr>
          </w:pPr>
        </w:p>
      </w:tc>
      <w:tc>
        <w:tcPr>
          <w:tcW w:w="3101" w:type="dxa"/>
        </w:tcPr>
        <w:p w14:paraId="48A21CA9" w14:textId="54615D7F" w:rsidR="00D967CE" w:rsidRPr="00F30805" w:rsidRDefault="00D967CE" w:rsidP="005C75F4">
          <w:pPr>
            <w:pStyle w:val="Footer"/>
            <w:rPr>
              <w:rStyle w:val="PageNumber"/>
              <w:rFonts w:ascii="Arial" w:hAnsi="Arial"/>
              <w:bCs/>
              <w:iCs/>
              <w:sz w:val="18"/>
            </w:rPr>
          </w:pPr>
          <w:r w:rsidRPr="00F30805">
            <w:rPr>
              <w:rStyle w:val="PageNumber"/>
              <w:rFonts w:ascii="Arial" w:hAnsi="Arial"/>
              <w:bCs/>
              <w:sz w:val="18"/>
            </w:rPr>
            <w:t xml:space="preserve">         1</w:t>
          </w:r>
          <w:r>
            <w:rPr>
              <w:rStyle w:val="PageNumber"/>
              <w:rFonts w:ascii="Arial" w:hAnsi="Arial"/>
              <w:bCs/>
              <w:sz w:val="18"/>
            </w:rPr>
            <w:t>7</w:t>
          </w:r>
          <w:r w:rsidRPr="00F30805">
            <w:rPr>
              <w:rStyle w:val="PageNumber"/>
              <w:rFonts w:ascii="Arial" w:hAnsi="Arial"/>
              <w:bCs/>
              <w:sz w:val="18"/>
            </w:rPr>
            <w:t xml:space="preserve"> January 2020</w:t>
          </w:r>
        </w:p>
        <w:p w14:paraId="0E326B4B" w14:textId="77777777" w:rsidR="00D967CE" w:rsidRPr="00E6568A" w:rsidRDefault="00D967CE" w:rsidP="005C75F4">
          <w:pPr>
            <w:pStyle w:val="Footer"/>
            <w:rPr>
              <w:rStyle w:val="PageNumber"/>
              <w:rFonts w:ascii="Arial" w:hAnsi="Arial"/>
              <w:bCs/>
              <w:iCs/>
              <w:sz w:val="18"/>
            </w:rPr>
          </w:pPr>
        </w:p>
      </w:tc>
      <w:tc>
        <w:tcPr>
          <w:tcW w:w="3041" w:type="dxa"/>
        </w:tcPr>
        <w:p w14:paraId="3F4AE54D" w14:textId="7000DB2F" w:rsidR="00D967CE" w:rsidRPr="00E6568A" w:rsidRDefault="00D967CE" w:rsidP="005C75F4">
          <w:pPr>
            <w:pStyle w:val="Footer"/>
            <w:jc w:val="right"/>
            <w:rPr>
              <w:rStyle w:val="PageNumber"/>
              <w:rFonts w:ascii="Arial" w:hAnsi="Arial"/>
              <w:bCs/>
              <w:iCs/>
              <w:sz w:val="18"/>
              <w:highlight w:val="yellow"/>
            </w:rPr>
          </w:pPr>
          <w:r w:rsidRPr="00E6568A">
            <w:rPr>
              <w:rFonts w:ascii="Arial" w:hAnsi="Arial"/>
              <w:sz w:val="18"/>
            </w:rPr>
            <w:t xml:space="preserve">Page </w:t>
          </w:r>
          <w:r w:rsidRPr="00E6568A">
            <w:rPr>
              <w:rFonts w:ascii="Arial" w:hAnsi="Arial"/>
              <w:sz w:val="18"/>
            </w:rPr>
            <w:fldChar w:fldCharType="begin"/>
          </w:r>
          <w:r w:rsidRPr="00E6568A">
            <w:rPr>
              <w:rFonts w:ascii="Arial" w:hAnsi="Arial"/>
              <w:sz w:val="18"/>
            </w:rPr>
            <w:instrText xml:space="preserve"> PAGE  \* Arabic  \* MERGEFORMAT </w:instrText>
          </w:r>
          <w:r w:rsidRPr="00E6568A">
            <w:rPr>
              <w:rFonts w:ascii="Arial" w:hAnsi="Arial"/>
              <w:sz w:val="18"/>
            </w:rPr>
            <w:fldChar w:fldCharType="separate"/>
          </w:r>
          <w:r w:rsidR="0072445A">
            <w:rPr>
              <w:rFonts w:ascii="Arial" w:hAnsi="Arial"/>
              <w:noProof/>
              <w:sz w:val="18"/>
            </w:rPr>
            <w:t>31</w:t>
          </w:r>
          <w:r w:rsidRPr="00E6568A">
            <w:rPr>
              <w:rFonts w:ascii="Arial" w:hAnsi="Arial"/>
              <w:sz w:val="18"/>
            </w:rPr>
            <w:fldChar w:fldCharType="end"/>
          </w:r>
          <w:r w:rsidRPr="00E6568A">
            <w:rPr>
              <w:rFonts w:ascii="Arial" w:hAnsi="Arial"/>
              <w:sz w:val="18"/>
            </w:rPr>
            <w:t xml:space="preserve"> of </w:t>
          </w:r>
          <w:r w:rsidRPr="00E6568A">
            <w:rPr>
              <w:rFonts w:ascii="Arial" w:hAnsi="Arial"/>
              <w:sz w:val="18"/>
            </w:rPr>
            <w:fldChar w:fldCharType="begin"/>
          </w:r>
          <w:r w:rsidRPr="00E6568A">
            <w:rPr>
              <w:rFonts w:ascii="Arial" w:hAnsi="Arial"/>
              <w:sz w:val="18"/>
            </w:rPr>
            <w:instrText xml:space="preserve"> NUMPAGES  \* Arabic  \* MERGEFORMAT </w:instrText>
          </w:r>
          <w:r w:rsidRPr="00E6568A">
            <w:rPr>
              <w:rFonts w:ascii="Arial" w:hAnsi="Arial"/>
              <w:sz w:val="18"/>
            </w:rPr>
            <w:fldChar w:fldCharType="separate"/>
          </w:r>
          <w:r w:rsidR="0072445A">
            <w:rPr>
              <w:rFonts w:ascii="Arial" w:hAnsi="Arial"/>
              <w:noProof/>
              <w:sz w:val="18"/>
            </w:rPr>
            <w:t>31</w:t>
          </w:r>
          <w:r w:rsidRPr="00E6568A">
            <w:rPr>
              <w:rFonts w:ascii="Arial" w:hAnsi="Arial"/>
              <w:sz w:val="18"/>
            </w:rPr>
            <w:fldChar w:fldCharType="end"/>
          </w:r>
          <w:r w:rsidRPr="00E6568A">
            <w:rPr>
              <w:rFonts w:ascii="Arial" w:hAnsi="Arial"/>
              <w:sz w:val="18"/>
            </w:rPr>
            <w:t xml:space="preserve"> </w:t>
          </w:r>
        </w:p>
      </w:tc>
    </w:tr>
  </w:tbl>
  <w:p w14:paraId="6A2B5AA3" w14:textId="77777777" w:rsidR="00D967CE" w:rsidRPr="00B8074A" w:rsidRDefault="00D967CE" w:rsidP="00245C3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9078D" w14:textId="77777777" w:rsidR="00D967CE" w:rsidRDefault="00D967CE" w:rsidP="001A3992">
      <w:pPr>
        <w:spacing w:after="0" w:line="240" w:lineRule="auto"/>
      </w:pPr>
      <w:r>
        <w:separator/>
      </w:r>
    </w:p>
  </w:footnote>
  <w:footnote w:type="continuationSeparator" w:id="0">
    <w:p w14:paraId="61ED5361" w14:textId="77777777" w:rsidR="00D967CE" w:rsidRDefault="00D967CE" w:rsidP="001A3992">
      <w:pPr>
        <w:spacing w:after="0" w:line="240" w:lineRule="auto"/>
      </w:pPr>
      <w:r>
        <w:continuationSeparator/>
      </w:r>
    </w:p>
  </w:footnote>
  <w:footnote w:type="continuationNotice" w:id="1">
    <w:p w14:paraId="0B07364E" w14:textId="77777777" w:rsidR="00D967CE" w:rsidRDefault="00D967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F04E8"/>
    <w:multiLevelType w:val="hybridMultilevel"/>
    <w:tmpl w:val="2DCEAE00"/>
    <w:lvl w:ilvl="0" w:tplc="271A679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06DFD"/>
    <w:multiLevelType w:val="hybridMultilevel"/>
    <w:tmpl w:val="9DFC5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3354E"/>
    <w:multiLevelType w:val="hybridMultilevel"/>
    <w:tmpl w:val="4B7E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3112E"/>
    <w:multiLevelType w:val="hybridMultilevel"/>
    <w:tmpl w:val="7A08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7277E7"/>
    <w:multiLevelType w:val="hybridMultilevel"/>
    <w:tmpl w:val="EBFE30DC"/>
    <w:lvl w:ilvl="0" w:tplc="0C090001">
      <w:start w:val="1"/>
      <w:numFmt w:val="bullet"/>
      <w:lvlText w:val=""/>
      <w:lvlJc w:val="left"/>
      <w:pPr>
        <w:ind w:left="720" w:hanging="360"/>
      </w:pPr>
      <w:rPr>
        <w:rFonts w:ascii="Symbol" w:hAnsi="Symbol" w:hint="default"/>
      </w:rPr>
    </w:lvl>
    <w:lvl w:ilvl="1" w:tplc="F20686FE">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62535"/>
    <w:multiLevelType w:val="hybridMultilevel"/>
    <w:tmpl w:val="31445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0852D2"/>
    <w:multiLevelType w:val="hybridMultilevel"/>
    <w:tmpl w:val="BC6CF6EE"/>
    <w:lvl w:ilvl="0" w:tplc="66C03CCC">
      <w:start w:val="1"/>
      <w:numFmt w:val="bullet"/>
      <w:pStyle w:val="ListParagraph"/>
      <w:lvlText w:val=""/>
      <w:lvlJc w:val="left"/>
      <w:pPr>
        <w:ind w:left="720" w:hanging="360"/>
      </w:pPr>
      <w:rPr>
        <w:rFonts w:ascii="Symbol" w:hAnsi="Symbol" w:hint="default"/>
      </w:rPr>
    </w:lvl>
    <w:lvl w:ilvl="1" w:tplc="034614D0">
      <w:numFmt w:val="bullet"/>
      <w:lvlText w:val="•"/>
      <w:lvlJc w:val="left"/>
      <w:pPr>
        <w:ind w:left="1740" w:hanging="6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300046"/>
    <w:multiLevelType w:val="hybridMultilevel"/>
    <w:tmpl w:val="75FCE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C5B9B"/>
    <w:multiLevelType w:val="hybridMultilevel"/>
    <w:tmpl w:val="1BEA63A2"/>
    <w:lvl w:ilvl="0" w:tplc="271A679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31183"/>
    <w:multiLevelType w:val="hybridMultilevel"/>
    <w:tmpl w:val="F7808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C93D82"/>
    <w:multiLevelType w:val="hybridMultilevel"/>
    <w:tmpl w:val="B51C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42DE9"/>
    <w:multiLevelType w:val="hybridMultilevel"/>
    <w:tmpl w:val="14C88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8F49AF"/>
    <w:multiLevelType w:val="hybridMultilevel"/>
    <w:tmpl w:val="1DFC9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03B05"/>
    <w:multiLevelType w:val="hybridMultilevel"/>
    <w:tmpl w:val="DB889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15A93"/>
    <w:multiLevelType w:val="hybridMultilevel"/>
    <w:tmpl w:val="24F6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EA6A4B"/>
    <w:multiLevelType w:val="hybridMultilevel"/>
    <w:tmpl w:val="174AB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96FE6"/>
    <w:multiLevelType w:val="hybridMultilevel"/>
    <w:tmpl w:val="97CC184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E0F00"/>
    <w:multiLevelType w:val="hybridMultilevel"/>
    <w:tmpl w:val="5DA05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5648C6"/>
    <w:multiLevelType w:val="hybridMultilevel"/>
    <w:tmpl w:val="2DB26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182F1E"/>
    <w:multiLevelType w:val="hybridMultilevel"/>
    <w:tmpl w:val="CCE26E60"/>
    <w:lvl w:ilvl="0" w:tplc="0C090001">
      <w:start w:val="1"/>
      <w:numFmt w:val="bullet"/>
      <w:lvlText w:val=""/>
      <w:lvlJc w:val="left"/>
      <w:pPr>
        <w:ind w:left="720" w:hanging="360"/>
      </w:pPr>
      <w:rPr>
        <w:rFonts w:ascii="Symbol" w:hAnsi="Symbol" w:hint="default"/>
      </w:rPr>
    </w:lvl>
    <w:lvl w:ilvl="1" w:tplc="AB2680E6">
      <w:numFmt w:val="bullet"/>
      <w:lvlText w:val="•"/>
      <w:lvlJc w:val="left"/>
      <w:pPr>
        <w:ind w:left="1800" w:hanging="72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4677DB"/>
    <w:multiLevelType w:val="hybridMultilevel"/>
    <w:tmpl w:val="DF44C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4566C"/>
    <w:multiLevelType w:val="hybridMultilevel"/>
    <w:tmpl w:val="5374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686BD1"/>
    <w:multiLevelType w:val="hybridMultilevel"/>
    <w:tmpl w:val="0D549A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D7567E6"/>
    <w:multiLevelType w:val="hybridMultilevel"/>
    <w:tmpl w:val="81064984"/>
    <w:lvl w:ilvl="0" w:tplc="1E0E5F82">
      <w:start w:val="4"/>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783E0F"/>
    <w:multiLevelType w:val="hybridMultilevel"/>
    <w:tmpl w:val="FD52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D51668"/>
    <w:multiLevelType w:val="hybridMultilevel"/>
    <w:tmpl w:val="9512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CE1B95"/>
    <w:multiLevelType w:val="hybridMultilevel"/>
    <w:tmpl w:val="3648F2D4"/>
    <w:lvl w:ilvl="0" w:tplc="546049A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652093"/>
    <w:multiLevelType w:val="hybridMultilevel"/>
    <w:tmpl w:val="DCE4B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0"/>
  </w:num>
  <w:num w:numId="4">
    <w:abstractNumId w:val="22"/>
  </w:num>
  <w:num w:numId="5">
    <w:abstractNumId w:val="37"/>
  </w:num>
  <w:num w:numId="6">
    <w:abstractNumId w:val="31"/>
  </w:num>
  <w:num w:numId="7">
    <w:abstractNumId w:val="26"/>
  </w:num>
  <w:num w:numId="8">
    <w:abstractNumId w:val="32"/>
  </w:num>
  <w:num w:numId="9">
    <w:abstractNumId w:val="10"/>
  </w:num>
  <w:num w:numId="10">
    <w:abstractNumId w:val="25"/>
  </w:num>
  <w:num w:numId="11">
    <w:abstractNumId w:val="33"/>
  </w:num>
  <w:num w:numId="12">
    <w:abstractNumId w:val="34"/>
  </w:num>
  <w:num w:numId="13">
    <w:abstractNumId w:val="8"/>
  </w:num>
  <w:num w:numId="14">
    <w:abstractNumId w:val="1"/>
  </w:num>
  <w:num w:numId="15">
    <w:abstractNumId w:val="11"/>
  </w:num>
  <w:num w:numId="16">
    <w:abstractNumId w:val="36"/>
  </w:num>
  <w:num w:numId="17">
    <w:abstractNumId w:val="23"/>
  </w:num>
  <w:num w:numId="18">
    <w:abstractNumId w:val="21"/>
  </w:num>
  <w:num w:numId="19">
    <w:abstractNumId w:val="14"/>
  </w:num>
  <w:num w:numId="20">
    <w:abstractNumId w:val="15"/>
  </w:num>
  <w:num w:numId="21">
    <w:abstractNumId w:val="6"/>
  </w:num>
  <w:num w:numId="22">
    <w:abstractNumId w:val="30"/>
    <w:lvlOverride w:ilvl="0">
      <w:startOverride w:val="1"/>
    </w:lvlOverride>
  </w:num>
  <w:num w:numId="23">
    <w:abstractNumId w:val="16"/>
  </w:num>
  <w:num w:numId="24">
    <w:abstractNumId w:val="9"/>
  </w:num>
  <w:num w:numId="25">
    <w:abstractNumId w:val="13"/>
  </w:num>
  <w:num w:numId="26">
    <w:abstractNumId w:val="12"/>
  </w:num>
  <w:num w:numId="27">
    <w:abstractNumId w:val="24"/>
  </w:num>
  <w:num w:numId="28">
    <w:abstractNumId w:val="5"/>
  </w:num>
  <w:num w:numId="29">
    <w:abstractNumId w:val="27"/>
  </w:num>
  <w:num w:numId="30">
    <w:abstractNumId w:val="7"/>
  </w:num>
  <w:num w:numId="31">
    <w:abstractNumId w:val="20"/>
  </w:num>
  <w:num w:numId="32">
    <w:abstractNumId w:val="19"/>
  </w:num>
  <w:num w:numId="33">
    <w:abstractNumId w:val="17"/>
  </w:num>
  <w:num w:numId="34">
    <w:abstractNumId w:val="2"/>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num>
  <w:num w:numId="43">
    <w:abstractNumId w:val="29"/>
  </w:num>
  <w:num w:numId="44">
    <w:abstractNumId w:val="28"/>
  </w:num>
  <w:num w:numId="45">
    <w:abstractNumId w:val="18"/>
  </w:num>
  <w:num w:numId="46">
    <w:abstractNumId w:val="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00"/>
    <w:rsid w:val="0000283B"/>
    <w:rsid w:val="00002EFE"/>
    <w:rsid w:val="00004A15"/>
    <w:rsid w:val="00005608"/>
    <w:rsid w:val="00007A3D"/>
    <w:rsid w:val="0001539F"/>
    <w:rsid w:val="000156F9"/>
    <w:rsid w:val="0002163E"/>
    <w:rsid w:val="00023975"/>
    <w:rsid w:val="000251F0"/>
    <w:rsid w:val="00033948"/>
    <w:rsid w:val="00034C40"/>
    <w:rsid w:val="0003651C"/>
    <w:rsid w:val="000378EA"/>
    <w:rsid w:val="000408AB"/>
    <w:rsid w:val="00042212"/>
    <w:rsid w:val="00042302"/>
    <w:rsid w:val="000436E3"/>
    <w:rsid w:val="00043EFA"/>
    <w:rsid w:val="00044D35"/>
    <w:rsid w:val="0004694F"/>
    <w:rsid w:val="00046A73"/>
    <w:rsid w:val="00047341"/>
    <w:rsid w:val="00052F20"/>
    <w:rsid w:val="0005441B"/>
    <w:rsid w:val="000546C5"/>
    <w:rsid w:val="00055A64"/>
    <w:rsid w:val="000624EC"/>
    <w:rsid w:val="00066888"/>
    <w:rsid w:val="00070A7A"/>
    <w:rsid w:val="00070E67"/>
    <w:rsid w:val="00081709"/>
    <w:rsid w:val="000853A5"/>
    <w:rsid w:val="000874B9"/>
    <w:rsid w:val="00094283"/>
    <w:rsid w:val="0009749A"/>
    <w:rsid w:val="000A0156"/>
    <w:rsid w:val="000A0BFC"/>
    <w:rsid w:val="000A16B6"/>
    <w:rsid w:val="000A2774"/>
    <w:rsid w:val="000A3274"/>
    <w:rsid w:val="000B1E6E"/>
    <w:rsid w:val="000B5C7E"/>
    <w:rsid w:val="000D1636"/>
    <w:rsid w:val="000D39F1"/>
    <w:rsid w:val="000D4C47"/>
    <w:rsid w:val="000E5AF3"/>
    <w:rsid w:val="000F0D9D"/>
    <w:rsid w:val="000F2C85"/>
    <w:rsid w:val="000F387D"/>
    <w:rsid w:val="000F4E8E"/>
    <w:rsid w:val="00100BD6"/>
    <w:rsid w:val="00102711"/>
    <w:rsid w:val="001042B7"/>
    <w:rsid w:val="00104637"/>
    <w:rsid w:val="00110221"/>
    <w:rsid w:val="0011232F"/>
    <w:rsid w:val="0011253E"/>
    <w:rsid w:val="00114062"/>
    <w:rsid w:val="0012135B"/>
    <w:rsid w:val="0012273C"/>
    <w:rsid w:val="0012277D"/>
    <w:rsid w:val="00126A48"/>
    <w:rsid w:val="00133EAF"/>
    <w:rsid w:val="00137852"/>
    <w:rsid w:val="001408C3"/>
    <w:rsid w:val="0014137A"/>
    <w:rsid w:val="0014289A"/>
    <w:rsid w:val="001428CF"/>
    <w:rsid w:val="00142C07"/>
    <w:rsid w:val="0014346A"/>
    <w:rsid w:val="0015609F"/>
    <w:rsid w:val="001566ED"/>
    <w:rsid w:val="0016517E"/>
    <w:rsid w:val="0016532C"/>
    <w:rsid w:val="001654BB"/>
    <w:rsid w:val="0017230B"/>
    <w:rsid w:val="001730D3"/>
    <w:rsid w:val="00176044"/>
    <w:rsid w:val="001777FD"/>
    <w:rsid w:val="00180F69"/>
    <w:rsid w:val="00181AF3"/>
    <w:rsid w:val="00182174"/>
    <w:rsid w:val="00182610"/>
    <w:rsid w:val="00184D41"/>
    <w:rsid w:val="0019074B"/>
    <w:rsid w:val="00194DAA"/>
    <w:rsid w:val="00195958"/>
    <w:rsid w:val="00196A6F"/>
    <w:rsid w:val="001A3992"/>
    <w:rsid w:val="001A5E74"/>
    <w:rsid w:val="001A7A5B"/>
    <w:rsid w:val="001A7B3F"/>
    <w:rsid w:val="001B15E4"/>
    <w:rsid w:val="001B4588"/>
    <w:rsid w:val="001B57F8"/>
    <w:rsid w:val="001B5D3B"/>
    <w:rsid w:val="001B6FAD"/>
    <w:rsid w:val="001C0F2D"/>
    <w:rsid w:val="001C12C8"/>
    <w:rsid w:val="001C4687"/>
    <w:rsid w:val="001C4EBA"/>
    <w:rsid w:val="001C766D"/>
    <w:rsid w:val="001D0E5C"/>
    <w:rsid w:val="001D12BB"/>
    <w:rsid w:val="001D21C7"/>
    <w:rsid w:val="001D302C"/>
    <w:rsid w:val="001D35AF"/>
    <w:rsid w:val="001D4DF7"/>
    <w:rsid w:val="001D6700"/>
    <w:rsid w:val="001D7AAF"/>
    <w:rsid w:val="001E2B3D"/>
    <w:rsid w:val="001F08CA"/>
    <w:rsid w:val="001F30CC"/>
    <w:rsid w:val="00200BA7"/>
    <w:rsid w:val="00203889"/>
    <w:rsid w:val="0020402C"/>
    <w:rsid w:val="00204C0A"/>
    <w:rsid w:val="00205DF7"/>
    <w:rsid w:val="00211117"/>
    <w:rsid w:val="00216E78"/>
    <w:rsid w:val="00217AE0"/>
    <w:rsid w:val="00220A00"/>
    <w:rsid w:val="002252D4"/>
    <w:rsid w:val="002330D6"/>
    <w:rsid w:val="00235023"/>
    <w:rsid w:val="00236BF9"/>
    <w:rsid w:val="0024011B"/>
    <w:rsid w:val="0024241D"/>
    <w:rsid w:val="00245C39"/>
    <w:rsid w:val="00246ED2"/>
    <w:rsid w:val="002500CC"/>
    <w:rsid w:val="00254626"/>
    <w:rsid w:val="00256BF7"/>
    <w:rsid w:val="00261D8D"/>
    <w:rsid w:val="00262D16"/>
    <w:rsid w:val="00263B45"/>
    <w:rsid w:val="00270608"/>
    <w:rsid w:val="00271DB2"/>
    <w:rsid w:val="00275CC2"/>
    <w:rsid w:val="00280C1E"/>
    <w:rsid w:val="00282F1E"/>
    <w:rsid w:val="00285173"/>
    <w:rsid w:val="00291DD7"/>
    <w:rsid w:val="00292C02"/>
    <w:rsid w:val="002A3CBA"/>
    <w:rsid w:val="002A67BE"/>
    <w:rsid w:val="002A7411"/>
    <w:rsid w:val="002B3096"/>
    <w:rsid w:val="002B3BA3"/>
    <w:rsid w:val="002B4CBA"/>
    <w:rsid w:val="002B74EF"/>
    <w:rsid w:val="002C04A3"/>
    <w:rsid w:val="002C0E4E"/>
    <w:rsid w:val="002C42D0"/>
    <w:rsid w:val="002C432D"/>
    <w:rsid w:val="002C7D8C"/>
    <w:rsid w:val="002C7F98"/>
    <w:rsid w:val="002E18D2"/>
    <w:rsid w:val="002E277D"/>
    <w:rsid w:val="002E4025"/>
    <w:rsid w:val="002E4E5F"/>
    <w:rsid w:val="002E4FD8"/>
    <w:rsid w:val="002E50C8"/>
    <w:rsid w:val="002E5A2E"/>
    <w:rsid w:val="002E62D8"/>
    <w:rsid w:val="002E6514"/>
    <w:rsid w:val="002E6D19"/>
    <w:rsid w:val="002F4050"/>
    <w:rsid w:val="002F6B8D"/>
    <w:rsid w:val="00304247"/>
    <w:rsid w:val="00304D45"/>
    <w:rsid w:val="003051F3"/>
    <w:rsid w:val="003062BB"/>
    <w:rsid w:val="00313AFF"/>
    <w:rsid w:val="00314C3D"/>
    <w:rsid w:val="00317CE7"/>
    <w:rsid w:val="003211C0"/>
    <w:rsid w:val="003212C9"/>
    <w:rsid w:val="00322289"/>
    <w:rsid w:val="00330285"/>
    <w:rsid w:val="00330D17"/>
    <w:rsid w:val="00332784"/>
    <w:rsid w:val="00333781"/>
    <w:rsid w:val="00334219"/>
    <w:rsid w:val="00336856"/>
    <w:rsid w:val="003467A5"/>
    <w:rsid w:val="003517E4"/>
    <w:rsid w:val="00352033"/>
    <w:rsid w:val="00354109"/>
    <w:rsid w:val="0035447C"/>
    <w:rsid w:val="003544A4"/>
    <w:rsid w:val="00361904"/>
    <w:rsid w:val="00367B64"/>
    <w:rsid w:val="00371189"/>
    <w:rsid w:val="0037253E"/>
    <w:rsid w:val="00375DF3"/>
    <w:rsid w:val="003766C2"/>
    <w:rsid w:val="00377D9E"/>
    <w:rsid w:val="00377E86"/>
    <w:rsid w:val="003906C4"/>
    <w:rsid w:val="00392A54"/>
    <w:rsid w:val="00393CF1"/>
    <w:rsid w:val="00393E22"/>
    <w:rsid w:val="00394451"/>
    <w:rsid w:val="00394568"/>
    <w:rsid w:val="003A1511"/>
    <w:rsid w:val="003A3479"/>
    <w:rsid w:val="003A3DBE"/>
    <w:rsid w:val="003A3EA5"/>
    <w:rsid w:val="003B1CEF"/>
    <w:rsid w:val="003C0E39"/>
    <w:rsid w:val="003C25C4"/>
    <w:rsid w:val="003C5F17"/>
    <w:rsid w:val="003C7769"/>
    <w:rsid w:val="003D7B02"/>
    <w:rsid w:val="003E0B8B"/>
    <w:rsid w:val="003E6138"/>
    <w:rsid w:val="003F0191"/>
    <w:rsid w:val="0040237B"/>
    <w:rsid w:val="0040310A"/>
    <w:rsid w:val="00406747"/>
    <w:rsid w:val="00410BA8"/>
    <w:rsid w:val="00411AB3"/>
    <w:rsid w:val="0041387E"/>
    <w:rsid w:val="00416A6D"/>
    <w:rsid w:val="004211CB"/>
    <w:rsid w:val="00421627"/>
    <w:rsid w:val="00422C8B"/>
    <w:rsid w:val="00422CC1"/>
    <w:rsid w:val="00423C96"/>
    <w:rsid w:val="00424CB8"/>
    <w:rsid w:val="00431ACD"/>
    <w:rsid w:val="00443B88"/>
    <w:rsid w:val="00444473"/>
    <w:rsid w:val="004447A0"/>
    <w:rsid w:val="004518B7"/>
    <w:rsid w:val="00451A33"/>
    <w:rsid w:val="00454766"/>
    <w:rsid w:val="0045659B"/>
    <w:rsid w:val="00456D30"/>
    <w:rsid w:val="004575FD"/>
    <w:rsid w:val="004629EE"/>
    <w:rsid w:val="00466BDD"/>
    <w:rsid w:val="004723E0"/>
    <w:rsid w:val="004735D1"/>
    <w:rsid w:val="0047640C"/>
    <w:rsid w:val="004778F9"/>
    <w:rsid w:val="00480DE4"/>
    <w:rsid w:val="004831DA"/>
    <w:rsid w:val="00487366"/>
    <w:rsid w:val="00490E0D"/>
    <w:rsid w:val="00490E24"/>
    <w:rsid w:val="00491EB8"/>
    <w:rsid w:val="00493A04"/>
    <w:rsid w:val="00493AA9"/>
    <w:rsid w:val="004952E5"/>
    <w:rsid w:val="00495B0D"/>
    <w:rsid w:val="00496DDA"/>
    <w:rsid w:val="004A4475"/>
    <w:rsid w:val="004B57CE"/>
    <w:rsid w:val="004B6B19"/>
    <w:rsid w:val="004C02F8"/>
    <w:rsid w:val="004C07E2"/>
    <w:rsid w:val="004C7B4E"/>
    <w:rsid w:val="004E1658"/>
    <w:rsid w:val="004E1E4C"/>
    <w:rsid w:val="004E7271"/>
    <w:rsid w:val="004F06ED"/>
    <w:rsid w:val="004F0F8F"/>
    <w:rsid w:val="004F17A0"/>
    <w:rsid w:val="004F1CAD"/>
    <w:rsid w:val="004F2470"/>
    <w:rsid w:val="004F2FAD"/>
    <w:rsid w:val="004F7042"/>
    <w:rsid w:val="00500368"/>
    <w:rsid w:val="0050343C"/>
    <w:rsid w:val="00503B40"/>
    <w:rsid w:val="005058D0"/>
    <w:rsid w:val="005078CC"/>
    <w:rsid w:val="00510F79"/>
    <w:rsid w:val="00513080"/>
    <w:rsid w:val="00514D14"/>
    <w:rsid w:val="00514F05"/>
    <w:rsid w:val="005218CC"/>
    <w:rsid w:val="00521D01"/>
    <w:rsid w:val="0052224E"/>
    <w:rsid w:val="00523DB7"/>
    <w:rsid w:val="00524016"/>
    <w:rsid w:val="00524512"/>
    <w:rsid w:val="00525DDF"/>
    <w:rsid w:val="00526425"/>
    <w:rsid w:val="0053391C"/>
    <w:rsid w:val="00534E75"/>
    <w:rsid w:val="00536BBD"/>
    <w:rsid w:val="00537B31"/>
    <w:rsid w:val="005417DE"/>
    <w:rsid w:val="00541A79"/>
    <w:rsid w:val="005431A5"/>
    <w:rsid w:val="005461C2"/>
    <w:rsid w:val="00546E5E"/>
    <w:rsid w:val="005470C7"/>
    <w:rsid w:val="005510D3"/>
    <w:rsid w:val="0055284C"/>
    <w:rsid w:val="00555A0B"/>
    <w:rsid w:val="00557750"/>
    <w:rsid w:val="00563563"/>
    <w:rsid w:val="0056360E"/>
    <w:rsid w:val="00567F62"/>
    <w:rsid w:val="00572C40"/>
    <w:rsid w:val="005734A4"/>
    <w:rsid w:val="00574081"/>
    <w:rsid w:val="00575345"/>
    <w:rsid w:val="00581E57"/>
    <w:rsid w:val="00587D30"/>
    <w:rsid w:val="005908B0"/>
    <w:rsid w:val="005959F1"/>
    <w:rsid w:val="005973FC"/>
    <w:rsid w:val="005A184A"/>
    <w:rsid w:val="005A371D"/>
    <w:rsid w:val="005B04D1"/>
    <w:rsid w:val="005B0922"/>
    <w:rsid w:val="005B1F42"/>
    <w:rsid w:val="005B2C25"/>
    <w:rsid w:val="005B3607"/>
    <w:rsid w:val="005B37C9"/>
    <w:rsid w:val="005B79B7"/>
    <w:rsid w:val="005C15E2"/>
    <w:rsid w:val="005C15F7"/>
    <w:rsid w:val="005C2585"/>
    <w:rsid w:val="005C3376"/>
    <w:rsid w:val="005C4069"/>
    <w:rsid w:val="005C46E0"/>
    <w:rsid w:val="005C5790"/>
    <w:rsid w:val="005C5BF2"/>
    <w:rsid w:val="005C70D7"/>
    <w:rsid w:val="005C75F4"/>
    <w:rsid w:val="005D0D2A"/>
    <w:rsid w:val="005D2BEC"/>
    <w:rsid w:val="005D444D"/>
    <w:rsid w:val="005D70D7"/>
    <w:rsid w:val="005E2731"/>
    <w:rsid w:val="005E2EBF"/>
    <w:rsid w:val="005E2F1D"/>
    <w:rsid w:val="005E5DAD"/>
    <w:rsid w:val="005E5F84"/>
    <w:rsid w:val="005E600E"/>
    <w:rsid w:val="005E6670"/>
    <w:rsid w:val="005E6E57"/>
    <w:rsid w:val="005F0C3B"/>
    <w:rsid w:val="005F1F7D"/>
    <w:rsid w:val="005F254F"/>
    <w:rsid w:val="005F2B6A"/>
    <w:rsid w:val="005F3B50"/>
    <w:rsid w:val="005F403B"/>
    <w:rsid w:val="005F64C7"/>
    <w:rsid w:val="005F702E"/>
    <w:rsid w:val="006018AE"/>
    <w:rsid w:val="006021E7"/>
    <w:rsid w:val="00603A97"/>
    <w:rsid w:val="0060555D"/>
    <w:rsid w:val="006059AF"/>
    <w:rsid w:val="00611C2F"/>
    <w:rsid w:val="0061656E"/>
    <w:rsid w:val="00617E81"/>
    <w:rsid w:val="00621AA2"/>
    <w:rsid w:val="00630BEB"/>
    <w:rsid w:val="00630EB8"/>
    <w:rsid w:val="00634227"/>
    <w:rsid w:val="00641D6F"/>
    <w:rsid w:val="006430ED"/>
    <w:rsid w:val="006514E6"/>
    <w:rsid w:val="0065593A"/>
    <w:rsid w:val="006621A7"/>
    <w:rsid w:val="00662899"/>
    <w:rsid w:val="006642EA"/>
    <w:rsid w:val="006708B4"/>
    <w:rsid w:val="0067602A"/>
    <w:rsid w:val="00677905"/>
    <w:rsid w:val="006815E2"/>
    <w:rsid w:val="00681ABC"/>
    <w:rsid w:val="00686F53"/>
    <w:rsid w:val="00694624"/>
    <w:rsid w:val="006A3800"/>
    <w:rsid w:val="006A6F2C"/>
    <w:rsid w:val="006B073F"/>
    <w:rsid w:val="006B0793"/>
    <w:rsid w:val="006B400C"/>
    <w:rsid w:val="006B4E5C"/>
    <w:rsid w:val="006B7DAF"/>
    <w:rsid w:val="006C3116"/>
    <w:rsid w:val="006C3397"/>
    <w:rsid w:val="006C377A"/>
    <w:rsid w:val="006C5F08"/>
    <w:rsid w:val="006D418B"/>
    <w:rsid w:val="006D529B"/>
    <w:rsid w:val="006D62F3"/>
    <w:rsid w:val="006D7DB5"/>
    <w:rsid w:val="006E3351"/>
    <w:rsid w:val="006E632C"/>
    <w:rsid w:val="006E7B58"/>
    <w:rsid w:val="006F1C0D"/>
    <w:rsid w:val="006F38DA"/>
    <w:rsid w:val="006F67DD"/>
    <w:rsid w:val="006F6A31"/>
    <w:rsid w:val="006F7E95"/>
    <w:rsid w:val="007001B6"/>
    <w:rsid w:val="00700542"/>
    <w:rsid w:val="00702606"/>
    <w:rsid w:val="0070320D"/>
    <w:rsid w:val="007033DB"/>
    <w:rsid w:val="00704A50"/>
    <w:rsid w:val="00705173"/>
    <w:rsid w:val="00705357"/>
    <w:rsid w:val="0070663C"/>
    <w:rsid w:val="007101EA"/>
    <w:rsid w:val="007211D7"/>
    <w:rsid w:val="007219F8"/>
    <w:rsid w:val="0072206B"/>
    <w:rsid w:val="007222A7"/>
    <w:rsid w:val="00723D86"/>
    <w:rsid w:val="0072445A"/>
    <w:rsid w:val="00726144"/>
    <w:rsid w:val="00734BF8"/>
    <w:rsid w:val="007410E1"/>
    <w:rsid w:val="00742C97"/>
    <w:rsid w:val="00746E5F"/>
    <w:rsid w:val="007476F2"/>
    <w:rsid w:val="00750E59"/>
    <w:rsid w:val="00751890"/>
    <w:rsid w:val="007547CC"/>
    <w:rsid w:val="00761AE9"/>
    <w:rsid w:val="00765072"/>
    <w:rsid w:val="00765AD7"/>
    <w:rsid w:val="007733DE"/>
    <w:rsid w:val="0077480D"/>
    <w:rsid w:val="00776034"/>
    <w:rsid w:val="00776E16"/>
    <w:rsid w:val="00777978"/>
    <w:rsid w:val="0078054C"/>
    <w:rsid w:val="00790648"/>
    <w:rsid w:val="00791D7D"/>
    <w:rsid w:val="00793B46"/>
    <w:rsid w:val="007948BE"/>
    <w:rsid w:val="00796004"/>
    <w:rsid w:val="007962E5"/>
    <w:rsid w:val="007A0340"/>
    <w:rsid w:val="007A105A"/>
    <w:rsid w:val="007A66DE"/>
    <w:rsid w:val="007A7E77"/>
    <w:rsid w:val="007B0A8D"/>
    <w:rsid w:val="007B1F0A"/>
    <w:rsid w:val="007B2F4A"/>
    <w:rsid w:val="007B5AF1"/>
    <w:rsid w:val="007C2830"/>
    <w:rsid w:val="007C510E"/>
    <w:rsid w:val="007C511D"/>
    <w:rsid w:val="007C66C8"/>
    <w:rsid w:val="007C728E"/>
    <w:rsid w:val="007D0360"/>
    <w:rsid w:val="007D1100"/>
    <w:rsid w:val="007D52BC"/>
    <w:rsid w:val="007D60D7"/>
    <w:rsid w:val="007E11CD"/>
    <w:rsid w:val="007E1D1F"/>
    <w:rsid w:val="007E46BA"/>
    <w:rsid w:val="007E57BD"/>
    <w:rsid w:val="007E63B8"/>
    <w:rsid w:val="007E7278"/>
    <w:rsid w:val="007E7629"/>
    <w:rsid w:val="007F2954"/>
    <w:rsid w:val="007F2F71"/>
    <w:rsid w:val="007F4426"/>
    <w:rsid w:val="00804884"/>
    <w:rsid w:val="00805EA9"/>
    <w:rsid w:val="00806E3B"/>
    <w:rsid w:val="00807046"/>
    <w:rsid w:val="0081403B"/>
    <w:rsid w:val="008233E6"/>
    <w:rsid w:val="00823A23"/>
    <w:rsid w:val="0082714E"/>
    <w:rsid w:val="008318B5"/>
    <w:rsid w:val="0083692B"/>
    <w:rsid w:val="00836B90"/>
    <w:rsid w:val="00840F84"/>
    <w:rsid w:val="00841C5F"/>
    <w:rsid w:val="00842553"/>
    <w:rsid w:val="00842D42"/>
    <w:rsid w:val="00843B4F"/>
    <w:rsid w:val="0084485A"/>
    <w:rsid w:val="00845192"/>
    <w:rsid w:val="008473CA"/>
    <w:rsid w:val="0084786B"/>
    <w:rsid w:val="00850674"/>
    <w:rsid w:val="00854B4D"/>
    <w:rsid w:val="00854EAD"/>
    <w:rsid w:val="00855D79"/>
    <w:rsid w:val="00856396"/>
    <w:rsid w:val="00863050"/>
    <w:rsid w:val="0086341F"/>
    <w:rsid w:val="00863C64"/>
    <w:rsid w:val="0086563D"/>
    <w:rsid w:val="00870C30"/>
    <w:rsid w:val="00876773"/>
    <w:rsid w:val="00881CAC"/>
    <w:rsid w:val="008840AF"/>
    <w:rsid w:val="00884A65"/>
    <w:rsid w:val="00885B7B"/>
    <w:rsid w:val="008947DC"/>
    <w:rsid w:val="00894809"/>
    <w:rsid w:val="00894C55"/>
    <w:rsid w:val="00895F09"/>
    <w:rsid w:val="00896708"/>
    <w:rsid w:val="008A0C85"/>
    <w:rsid w:val="008A2160"/>
    <w:rsid w:val="008A4A07"/>
    <w:rsid w:val="008A600D"/>
    <w:rsid w:val="008B094E"/>
    <w:rsid w:val="008C0264"/>
    <w:rsid w:val="008C10D3"/>
    <w:rsid w:val="008C248B"/>
    <w:rsid w:val="008D20CE"/>
    <w:rsid w:val="008D4C52"/>
    <w:rsid w:val="008D6439"/>
    <w:rsid w:val="008D79C4"/>
    <w:rsid w:val="008E0F02"/>
    <w:rsid w:val="008E1B94"/>
    <w:rsid w:val="008E3369"/>
    <w:rsid w:val="008E382B"/>
    <w:rsid w:val="008E6616"/>
    <w:rsid w:val="008E7A27"/>
    <w:rsid w:val="008F2ADE"/>
    <w:rsid w:val="008F355E"/>
    <w:rsid w:val="008F4C4A"/>
    <w:rsid w:val="009001E6"/>
    <w:rsid w:val="0090145E"/>
    <w:rsid w:val="009053E0"/>
    <w:rsid w:val="00905943"/>
    <w:rsid w:val="00905FE6"/>
    <w:rsid w:val="009064D5"/>
    <w:rsid w:val="00913C60"/>
    <w:rsid w:val="009142B3"/>
    <w:rsid w:val="00915CCC"/>
    <w:rsid w:val="009172B3"/>
    <w:rsid w:val="00920BA4"/>
    <w:rsid w:val="009270CA"/>
    <w:rsid w:val="00932A39"/>
    <w:rsid w:val="00933BCD"/>
    <w:rsid w:val="00937AC7"/>
    <w:rsid w:val="009417BF"/>
    <w:rsid w:val="009523F1"/>
    <w:rsid w:val="00953250"/>
    <w:rsid w:val="00955185"/>
    <w:rsid w:val="009559F2"/>
    <w:rsid w:val="00956C29"/>
    <w:rsid w:val="009572BA"/>
    <w:rsid w:val="00960CD5"/>
    <w:rsid w:val="00963374"/>
    <w:rsid w:val="009679FA"/>
    <w:rsid w:val="0097169F"/>
    <w:rsid w:val="00972215"/>
    <w:rsid w:val="00972D04"/>
    <w:rsid w:val="0097486F"/>
    <w:rsid w:val="00974A6B"/>
    <w:rsid w:val="00975325"/>
    <w:rsid w:val="0097744F"/>
    <w:rsid w:val="00980B3F"/>
    <w:rsid w:val="00982A9B"/>
    <w:rsid w:val="009836B1"/>
    <w:rsid w:val="00983F8F"/>
    <w:rsid w:val="009860F5"/>
    <w:rsid w:val="009862D8"/>
    <w:rsid w:val="00986855"/>
    <w:rsid w:val="00986F90"/>
    <w:rsid w:val="00990204"/>
    <w:rsid w:val="0099073D"/>
    <w:rsid w:val="00996BED"/>
    <w:rsid w:val="00997872"/>
    <w:rsid w:val="009A0638"/>
    <w:rsid w:val="009A1842"/>
    <w:rsid w:val="009A2F19"/>
    <w:rsid w:val="009A4223"/>
    <w:rsid w:val="009A4EE1"/>
    <w:rsid w:val="009A543F"/>
    <w:rsid w:val="009A5EFD"/>
    <w:rsid w:val="009A6E2F"/>
    <w:rsid w:val="009A7EDD"/>
    <w:rsid w:val="009B3D12"/>
    <w:rsid w:val="009B4206"/>
    <w:rsid w:val="009B7CD1"/>
    <w:rsid w:val="009C1C25"/>
    <w:rsid w:val="009C3E2D"/>
    <w:rsid w:val="009D2B33"/>
    <w:rsid w:val="009D3135"/>
    <w:rsid w:val="009E37AD"/>
    <w:rsid w:val="009E53DE"/>
    <w:rsid w:val="009F3844"/>
    <w:rsid w:val="009F5863"/>
    <w:rsid w:val="00A012CB"/>
    <w:rsid w:val="00A026CD"/>
    <w:rsid w:val="00A07BDF"/>
    <w:rsid w:val="00A14269"/>
    <w:rsid w:val="00A17BD5"/>
    <w:rsid w:val="00A20E3E"/>
    <w:rsid w:val="00A27A2D"/>
    <w:rsid w:val="00A333B8"/>
    <w:rsid w:val="00A34405"/>
    <w:rsid w:val="00A35391"/>
    <w:rsid w:val="00A40B8E"/>
    <w:rsid w:val="00A418A6"/>
    <w:rsid w:val="00A514D5"/>
    <w:rsid w:val="00A5299D"/>
    <w:rsid w:val="00A572DC"/>
    <w:rsid w:val="00A57B9A"/>
    <w:rsid w:val="00A605E3"/>
    <w:rsid w:val="00A66545"/>
    <w:rsid w:val="00A700BC"/>
    <w:rsid w:val="00A82928"/>
    <w:rsid w:val="00A90171"/>
    <w:rsid w:val="00A9173E"/>
    <w:rsid w:val="00A91D7D"/>
    <w:rsid w:val="00A939F1"/>
    <w:rsid w:val="00A961FC"/>
    <w:rsid w:val="00AA0EF7"/>
    <w:rsid w:val="00AA2ED1"/>
    <w:rsid w:val="00AA69B0"/>
    <w:rsid w:val="00AA70F3"/>
    <w:rsid w:val="00AA7C30"/>
    <w:rsid w:val="00AB28FF"/>
    <w:rsid w:val="00AB4167"/>
    <w:rsid w:val="00AB6463"/>
    <w:rsid w:val="00AC4966"/>
    <w:rsid w:val="00AD3D7A"/>
    <w:rsid w:val="00AD7F19"/>
    <w:rsid w:val="00AE084A"/>
    <w:rsid w:val="00AE0B35"/>
    <w:rsid w:val="00AE2DB9"/>
    <w:rsid w:val="00AE4F0C"/>
    <w:rsid w:val="00AE567E"/>
    <w:rsid w:val="00AE5B0B"/>
    <w:rsid w:val="00AF2846"/>
    <w:rsid w:val="00AF4404"/>
    <w:rsid w:val="00AF515F"/>
    <w:rsid w:val="00B0353E"/>
    <w:rsid w:val="00B0386A"/>
    <w:rsid w:val="00B103AA"/>
    <w:rsid w:val="00B10C08"/>
    <w:rsid w:val="00B20836"/>
    <w:rsid w:val="00B20856"/>
    <w:rsid w:val="00B215CE"/>
    <w:rsid w:val="00B21E31"/>
    <w:rsid w:val="00B2296F"/>
    <w:rsid w:val="00B23177"/>
    <w:rsid w:val="00B244A0"/>
    <w:rsid w:val="00B320A7"/>
    <w:rsid w:val="00B3343E"/>
    <w:rsid w:val="00B34CEA"/>
    <w:rsid w:val="00B3568D"/>
    <w:rsid w:val="00B36B1E"/>
    <w:rsid w:val="00B41FEC"/>
    <w:rsid w:val="00B43F63"/>
    <w:rsid w:val="00B45665"/>
    <w:rsid w:val="00B4647E"/>
    <w:rsid w:val="00B47DE1"/>
    <w:rsid w:val="00B57CD8"/>
    <w:rsid w:val="00B57D82"/>
    <w:rsid w:val="00B57F87"/>
    <w:rsid w:val="00B66B36"/>
    <w:rsid w:val="00B73976"/>
    <w:rsid w:val="00B83908"/>
    <w:rsid w:val="00B84E71"/>
    <w:rsid w:val="00B872C8"/>
    <w:rsid w:val="00B9025C"/>
    <w:rsid w:val="00B9115E"/>
    <w:rsid w:val="00B94A5C"/>
    <w:rsid w:val="00BA202B"/>
    <w:rsid w:val="00BA2C87"/>
    <w:rsid w:val="00BA2E5B"/>
    <w:rsid w:val="00BB49A0"/>
    <w:rsid w:val="00BB7B4E"/>
    <w:rsid w:val="00BC1FC8"/>
    <w:rsid w:val="00BC2B8F"/>
    <w:rsid w:val="00BC44B7"/>
    <w:rsid w:val="00BC659D"/>
    <w:rsid w:val="00BD0079"/>
    <w:rsid w:val="00BD05D8"/>
    <w:rsid w:val="00BD2027"/>
    <w:rsid w:val="00BD3280"/>
    <w:rsid w:val="00BD37CA"/>
    <w:rsid w:val="00BD46BA"/>
    <w:rsid w:val="00BE2A26"/>
    <w:rsid w:val="00BE3A61"/>
    <w:rsid w:val="00BE3C80"/>
    <w:rsid w:val="00BE3C9E"/>
    <w:rsid w:val="00BE755B"/>
    <w:rsid w:val="00BF06F0"/>
    <w:rsid w:val="00BF0B8F"/>
    <w:rsid w:val="00BF2B0C"/>
    <w:rsid w:val="00BF766A"/>
    <w:rsid w:val="00C15B58"/>
    <w:rsid w:val="00C16672"/>
    <w:rsid w:val="00C231A2"/>
    <w:rsid w:val="00C23678"/>
    <w:rsid w:val="00C35EA1"/>
    <w:rsid w:val="00C3710D"/>
    <w:rsid w:val="00C40A59"/>
    <w:rsid w:val="00C43F0C"/>
    <w:rsid w:val="00C44D87"/>
    <w:rsid w:val="00C5063F"/>
    <w:rsid w:val="00C51A38"/>
    <w:rsid w:val="00C56F53"/>
    <w:rsid w:val="00C649A2"/>
    <w:rsid w:val="00C66A71"/>
    <w:rsid w:val="00C7099B"/>
    <w:rsid w:val="00C70F1E"/>
    <w:rsid w:val="00C761A6"/>
    <w:rsid w:val="00C85EB2"/>
    <w:rsid w:val="00C85F80"/>
    <w:rsid w:val="00C879B1"/>
    <w:rsid w:val="00C93132"/>
    <w:rsid w:val="00C93335"/>
    <w:rsid w:val="00C94F6E"/>
    <w:rsid w:val="00CA2ED1"/>
    <w:rsid w:val="00CA459F"/>
    <w:rsid w:val="00CA5658"/>
    <w:rsid w:val="00CB219B"/>
    <w:rsid w:val="00CB4164"/>
    <w:rsid w:val="00CB41A5"/>
    <w:rsid w:val="00CB5A22"/>
    <w:rsid w:val="00CB63DA"/>
    <w:rsid w:val="00CB6CF7"/>
    <w:rsid w:val="00CC011D"/>
    <w:rsid w:val="00CC3B66"/>
    <w:rsid w:val="00CC4009"/>
    <w:rsid w:val="00CC5831"/>
    <w:rsid w:val="00CD1C5B"/>
    <w:rsid w:val="00CD7F67"/>
    <w:rsid w:val="00CE01A6"/>
    <w:rsid w:val="00CE0EF4"/>
    <w:rsid w:val="00CE2A3E"/>
    <w:rsid w:val="00CE4F7B"/>
    <w:rsid w:val="00CE5713"/>
    <w:rsid w:val="00CF1415"/>
    <w:rsid w:val="00CF3FDB"/>
    <w:rsid w:val="00CF6207"/>
    <w:rsid w:val="00CF72DA"/>
    <w:rsid w:val="00CF7480"/>
    <w:rsid w:val="00D0253A"/>
    <w:rsid w:val="00D05B58"/>
    <w:rsid w:val="00D05EF2"/>
    <w:rsid w:val="00D06E41"/>
    <w:rsid w:val="00D10A86"/>
    <w:rsid w:val="00D1232C"/>
    <w:rsid w:val="00D13543"/>
    <w:rsid w:val="00D214D5"/>
    <w:rsid w:val="00D23C5F"/>
    <w:rsid w:val="00D24CAA"/>
    <w:rsid w:val="00D25672"/>
    <w:rsid w:val="00D26471"/>
    <w:rsid w:val="00D320F9"/>
    <w:rsid w:val="00D40886"/>
    <w:rsid w:val="00D507EC"/>
    <w:rsid w:val="00D52741"/>
    <w:rsid w:val="00D5565F"/>
    <w:rsid w:val="00D57E8F"/>
    <w:rsid w:val="00D6171F"/>
    <w:rsid w:val="00D623DD"/>
    <w:rsid w:val="00D62E66"/>
    <w:rsid w:val="00D63853"/>
    <w:rsid w:val="00D7496F"/>
    <w:rsid w:val="00D772EA"/>
    <w:rsid w:val="00D8218F"/>
    <w:rsid w:val="00D82FBA"/>
    <w:rsid w:val="00D85143"/>
    <w:rsid w:val="00D85943"/>
    <w:rsid w:val="00D8604A"/>
    <w:rsid w:val="00D91D56"/>
    <w:rsid w:val="00D92430"/>
    <w:rsid w:val="00D92A40"/>
    <w:rsid w:val="00D962ED"/>
    <w:rsid w:val="00D967CE"/>
    <w:rsid w:val="00D96D72"/>
    <w:rsid w:val="00D97D75"/>
    <w:rsid w:val="00DA79F9"/>
    <w:rsid w:val="00DB7C92"/>
    <w:rsid w:val="00DB7F4C"/>
    <w:rsid w:val="00DC51B2"/>
    <w:rsid w:val="00DC5C52"/>
    <w:rsid w:val="00DD1462"/>
    <w:rsid w:val="00DD5DD9"/>
    <w:rsid w:val="00DE0BC2"/>
    <w:rsid w:val="00DE2AD7"/>
    <w:rsid w:val="00DE72B7"/>
    <w:rsid w:val="00DF35DA"/>
    <w:rsid w:val="00DF4722"/>
    <w:rsid w:val="00E01FAC"/>
    <w:rsid w:val="00E06FCB"/>
    <w:rsid w:val="00E1337B"/>
    <w:rsid w:val="00E13AF1"/>
    <w:rsid w:val="00E1460D"/>
    <w:rsid w:val="00E23A34"/>
    <w:rsid w:val="00E300BC"/>
    <w:rsid w:val="00E304DF"/>
    <w:rsid w:val="00E349E3"/>
    <w:rsid w:val="00E34D22"/>
    <w:rsid w:val="00E35A1D"/>
    <w:rsid w:val="00E3793E"/>
    <w:rsid w:val="00E42D55"/>
    <w:rsid w:val="00E44A27"/>
    <w:rsid w:val="00E44EC3"/>
    <w:rsid w:val="00E45FF1"/>
    <w:rsid w:val="00E47344"/>
    <w:rsid w:val="00E5103F"/>
    <w:rsid w:val="00E51663"/>
    <w:rsid w:val="00E55BFC"/>
    <w:rsid w:val="00E563B9"/>
    <w:rsid w:val="00E57A24"/>
    <w:rsid w:val="00E62D17"/>
    <w:rsid w:val="00E645B0"/>
    <w:rsid w:val="00E6568A"/>
    <w:rsid w:val="00E65A62"/>
    <w:rsid w:val="00E6651B"/>
    <w:rsid w:val="00E70F8F"/>
    <w:rsid w:val="00E72E9F"/>
    <w:rsid w:val="00E74A56"/>
    <w:rsid w:val="00E80864"/>
    <w:rsid w:val="00E83636"/>
    <w:rsid w:val="00E84929"/>
    <w:rsid w:val="00E86184"/>
    <w:rsid w:val="00E919A8"/>
    <w:rsid w:val="00E97DEF"/>
    <w:rsid w:val="00EA06BD"/>
    <w:rsid w:val="00EA1FF0"/>
    <w:rsid w:val="00EA458C"/>
    <w:rsid w:val="00EA60CD"/>
    <w:rsid w:val="00EB0458"/>
    <w:rsid w:val="00EB07B4"/>
    <w:rsid w:val="00EB2E6E"/>
    <w:rsid w:val="00EB6861"/>
    <w:rsid w:val="00EC1988"/>
    <w:rsid w:val="00EC3023"/>
    <w:rsid w:val="00EC44E8"/>
    <w:rsid w:val="00EC48E5"/>
    <w:rsid w:val="00EC4D65"/>
    <w:rsid w:val="00EC6D08"/>
    <w:rsid w:val="00EC6E4F"/>
    <w:rsid w:val="00ED00E3"/>
    <w:rsid w:val="00ED1D01"/>
    <w:rsid w:val="00ED3802"/>
    <w:rsid w:val="00ED7E2B"/>
    <w:rsid w:val="00EE0C59"/>
    <w:rsid w:val="00EE13A0"/>
    <w:rsid w:val="00EE27AE"/>
    <w:rsid w:val="00EE6DDD"/>
    <w:rsid w:val="00EF2072"/>
    <w:rsid w:val="00EF227C"/>
    <w:rsid w:val="00EF24E5"/>
    <w:rsid w:val="00EF33A3"/>
    <w:rsid w:val="00EF3CC8"/>
    <w:rsid w:val="00EF4697"/>
    <w:rsid w:val="00EF4F13"/>
    <w:rsid w:val="00EF50C8"/>
    <w:rsid w:val="00F06E44"/>
    <w:rsid w:val="00F13BF6"/>
    <w:rsid w:val="00F14ABE"/>
    <w:rsid w:val="00F15583"/>
    <w:rsid w:val="00F16B96"/>
    <w:rsid w:val="00F177D3"/>
    <w:rsid w:val="00F17C8C"/>
    <w:rsid w:val="00F20120"/>
    <w:rsid w:val="00F23E5C"/>
    <w:rsid w:val="00F24068"/>
    <w:rsid w:val="00F2445C"/>
    <w:rsid w:val="00F254E4"/>
    <w:rsid w:val="00F271D9"/>
    <w:rsid w:val="00F27257"/>
    <w:rsid w:val="00F30805"/>
    <w:rsid w:val="00F3219B"/>
    <w:rsid w:val="00F340CB"/>
    <w:rsid w:val="00F3561B"/>
    <w:rsid w:val="00F35824"/>
    <w:rsid w:val="00F371F9"/>
    <w:rsid w:val="00F4297E"/>
    <w:rsid w:val="00F43202"/>
    <w:rsid w:val="00F446A3"/>
    <w:rsid w:val="00F52E2D"/>
    <w:rsid w:val="00F53156"/>
    <w:rsid w:val="00F5414C"/>
    <w:rsid w:val="00F70798"/>
    <w:rsid w:val="00F7106B"/>
    <w:rsid w:val="00F71672"/>
    <w:rsid w:val="00F816C3"/>
    <w:rsid w:val="00F81BC3"/>
    <w:rsid w:val="00F97B74"/>
    <w:rsid w:val="00F97F9B"/>
    <w:rsid w:val="00FA28F8"/>
    <w:rsid w:val="00FA32AC"/>
    <w:rsid w:val="00FA5338"/>
    <w:rsid w:val="00FA59A6"/>
    <w:rsid w:val="00FA5AB3"/>
    <w:rsid w:val="00FA5E8B"/>
    <w:rsid w:val="00FA76AB"/>
    <w:rsid w:val="00FB0F45"/>
    <w:rsid w:val="00FB28E9"/>
    <w:rsid w:val="00FC039A"/>
    <w:rsid w:val="00FC18BA"/>
    <w:rsid w:val="00FC413B"/>
    <w:rsid w:val="00FC5656"/>
    <w:rsid w:val="00FC6A58"/>
    <w:rsid w:val="00FD1134"/>
    <w:rsid w:val="00FD19B7"/>
    <w:rsid w:val="00FD2859"/>
    <w:rsid w:val="00FD5D66"/>
    <w:rsid w:val="00FD62EA"/>
    <w:rsid w:val="00FE0819"/>
    <w:rsid w:val="00FE0EA1"/>
    <w:rsid w:val="00FE192B"/>
    <w:rsid w:val="00FE2DA6"/>
    <w:rsid w:val="00FE4099"/>
    <w:rsid w:val="00FF1022"/>
    <w:rsid w:val="00FF16E8"/>
    <w:rsid w:val="00FF521A"/>
    <w:rsid w:val="00FF7764"/>
    <w:rsid w:val="09294EF2"/>
    <w:rsid w:val="15C08A26"/>
    <w:rsid w:val="1A7B13C9"/>
    <w:rsid w:val="1F402EB1"/>
    <w:rsid w:val="5B7C0669"/>
    <w:rsid w:val="77282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00428A"/>
  <w15:docId w15:val="{089421B8-3469-4AB4-A487-244D2CA0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C39"/>
    <w:pPr>
      <w:spacing w:after="240" w:line="360" w:lineRule="exact"/>
      <w:jc w:val="both"/>
    </w:pPr>
    <w:rPr>
      <w:sz w:val="22"/>
      <w:szCs w:val="22"/>
      <w:lang w:val="en-AU"/>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Cambria" w:eastAsia="Times New Roman" w:hAnsi="Cambria"/>
      <w:b/>
      <w:bCs/>
      <w:caps/>
      <w:sz w:val="28"/>
      <w:szCs w:val="28"/>
    </w:rPr>
  </w:style>
  <w:style w:type="paragraph" w:styleId="Heading2">
    <w:name w:val="heading 2"/>
    <w:basedOn w:val="Normal"/>
    <w:next w:val="Normal"/>
    <w:link w:val="Heading2Char"/>
    <w:uiPriority w:val="9"/>
    <w:unhideWhenUsed/>
    <w:qFormat/>
    <w:rsid w:val="008F4C4A"/>
    <w:pPr>
      <w:numPr>
        <w:ilvl w:val="1"/>
        <w:numId w:val="1"/>
      </w:numPr>
      <w:spacing w:before="240"/>
      <w:ind w:left="578" w:hanging="578"/>
      <w:outlineLvl w:val="1"/>
    </w:pPr>
    <w:rPr>
      <w:b/>
      <w:sz w:val="24"/>
    </w:rPr>
  </w:style>
  <w:style w:type="paragraph" w:styleId="Heading3">
    <w:name w:val="heading 3"/>
    <w:basedOn w:val="Normal"/>
    <w:next w:val="Normal"/>
    <w:link w:val="Heading3Char"/>
    <w:uiPriority w:val="9"/>
    <w:unhideWhenUsed/>
    <w:qFormat/>
    <w:rsid w:val="00734BF8"/>
    <w:pPr>
      <w:keepNext/>
      <w:keepLines/>
      <w:spacing w:before="200" w:after="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B73976"/>
    <w:pPr>
      <w:keepNext/>
      <w:keepLines/>
      <w:outlineLvl w:val="3"/>
    </w:pPr>
    <w:rPr>
      <w:rFonts w:ascii="Arial" w:eastAsia="Times New Roman" w:hAnsi="Arial"/>
      <w:bCs/>
      <w:iCs/>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rsid w:val="001A3992"/>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3992"/>
    <w:rPr>
      <w:rFonts w:ascii="Cambria" w:eastAsia="Times New Roman" w:hAnsi="Cambria"/>
      <w:b/>
      <w:bCs/>
      <w:caps/>
      <w:sz w:val="28"/>
      <w:szCs w:val="28"/>
      <w:lang w:val="en-AU"/>
    </w:rPr>
  </w:style>
  <w:style w:type="character" w:customStyle="1" w:styleId="Heading2Char">
    <w:name w:val="Heading 2 Char"/>
    <w:link w:val="Heading2"/>
    <w:uiPriority w:val="9"/>
    <w:rsid w:val="008F4C4A"/>
    <w:rPr>
      <w:b/>
      <w:sz w:val="24"/>
    </w:rPr>
  </w:style>
  <w:style w:type="character" w:customStyle="1" w:styleId="Heading3Char">
    <w:name w:val="Heading 3 Char"/>
    <w:link w:val="Heading3"/>
    <w:uiPriority w:val="9"/>
    <w:rsid w:val="00734BF8"/>
    <w:rPr>
      <w:rFonts w:ascii="Arial" w:eastAsia="Times New Roman" w:hAnsi="Arial"/>
      <w:b/>
      <w:bCs/>
      <w:sz w:val="22"/>
      <w:szCs w:val="22"/>
      <w:lang w:val="en-AU"/>
    </w:rPr>
  </w:style>
  <w:style w:type="character" w:customStyle="1" w:styleId="Heading4Char">
    <w:name w:val="Heading 4 Char"/>
    <w:link w:val="Heading4"/>
    <w:uiPriority w:val="9"/>
    <w:rsid w:val="00B73976"/>
    <w:rPr>
      <w:rFonts w:ascii="Arial" w:eastAsia="Times New Roman" w:hAnsi="Arial"/>
      <w:bCs/>
      <w:iCs/>
      <w:sz w:val="22"/>
      <w:szCs w:val="22"/>
      <w:u w:val="single"/>
      <w:lang w:val="en-AU"/>
    </w:rPr>
  </w:style>
  <w:style w:type="character" w:customStyle="1" w:styleId="Heading5Char">
    <w:name w:val="Heading 5 Char"/>
    <w:link w:val="Heading5"/>
    <w:uiPriority w:val="9"/>
    <w:semiHidden/>
    <w:rsid w:val="001A3992"/>
    <w:rPr>
      <w:rFonts w:ascii="Cambria" w:eastAsia="Times New Roman" w:hAnsi="Cambria" w:cs="Times New Roman"/>
      <w:color w:val="243F60"/>
    </w:rPr>
  </w:style>
  <w:style w:type="character" w:customStyle="1" w:styleId="Heading6Char">
    <w:name w:val="Heading 6 Char"/>
    <w:link w:val="Heading6"/>
    <w:uiPriority w:val="9"/>
    <w:semiHidden/>
    <w:rsid w:val="001A3992"/>
    <w:rPr>
      <w:rFonts w:ascii="Cambria" w:eastAsia="Times New Roman" w:hAnsi="Cambria" w:cs="Times New Roman"/>
      <w:i/>
      <w:iCs/>
      <w:color w:val="243F60"/>
    </w:rPr>
  </w:style>
  <w:style w:type="character" w:customStyle="1" w:styleId="Heading7Char">
    <w:name w:val="Heading 7 Char"/>
    <w:link w:val="Heading7"/>
    <w:uiPriority w:val="9"/>
    <w:semiHidden/>
    <w:rsid w:val="001A3992"/>
    <w:rPr>
      <w:rFonts w:ascii="Cambria" w:eastAsia="Times New Roman" w:hAnsi="Cambria" w:cs="Times New Roman"/>
      <w:i/>
      <w:iCs/>
      <w:color w:val="404040"/>
    </w:rPr>
  </w:style>
  <w:style w:type="character" w:customStyle="1" w:styleId="Heading8Char">
    <w:name w:val="Heading 8 Char"/>
    <w:link w:val="Heading8"/>
    <w:uiPriority w:val="9"/>
    <w:semiHidden/>
    <w:rsid w:val="001A399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A3992"/>
    <w:rPr>
      <w:rFonts w:ascii="Cambria" w:eastAsia="Times New Roman" w:hAnsi="Cambria" w:cs="Times New Roman"/>
      <w:i/>
      <w:iCs/>
      <w:color w:val="404040"/>
      <w:sz w:val="20"/>
      <w:szCs w:val="20"/>
    </w:rPr>
  </w:style>
  <w:style w:type="paragraph" w:styleId="ListParagraph">
    <w:name w:val="List Paragraph"/>
    <w:basedOn w:val="Normal"/>
    <w:uiPriority w:val="34"/>
    <w:qFormat/>
    <w:rsid w:val="00245C39"/>
    <w:pPr>
      <w:numPr>
        <w:numId w:val="13"/>
      </w:numPr>
      <w:contextualSpacing/>
    </w:pPr>
    <w:rPr>
      <w:rFonts w:cs="Calibri"/>
    </w:rPr>
  </w:style>
  <w:style w:type="character" w:styleId="CommentReference">
    <w:name w:val="annotation reference"/>
    <w:unhideWhenUsed/>
    <w:rsid w:val="001A3992"/>
    <w:rPr>
      <w:sz w:val="16"/>
      <w:szCs w:val="16"/>
    </w:rPr>
  </w:style>
  <w:style w:type="paragraph" w:styleId="CommentText">
    <w:name w:val="annotation text"/>
    <w:aliases w:val="Annotationtext"/>
    <w:basedOn w:val="Normal"/>
    <w:link w:val="CommentTextChar"/>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sz w:val="20"/>
    </w:rPr>
  </w:style>
  <w:style w:type="character" w:customStyle="1" w:styleId="FootnoteTextChar">
    <w:name w:val="Footnote Text Char"/>
    <w:link w:val="FootnoteText"/>
    <w:uiPriority w:val="99"/>
    <w:rsid w:val="001A3992"/>
    <w:rPr>
      <w:rFonts w:ascii="Calibri" w:eastAsia="Calibri" w:hAnsi="Calibri" w:cs="Times New Roman"/>
      <w:sz w:val="20"/>
    </w:rPr>
  </w:style>
  <w:style w:type="character" w:styleId="FootnoteReference">
    <w:name w:val="footnote reference"/>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uiPriority w:val="99"/>
    <w:unhideWhenUsed/>
    <w:rsid w:val="001A3992"/>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2F6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B8D"/>
  </w:style>
  <w:style w:type="character" w:styleId="PageNumber">
    <w:name w:val="page number"/>
    <w:basedOn w:val="DefaultParagraphFont"/>
    <w:rsid w:val="00245C39"/>
  </w:style>
  <w:style w:type="table" w:styleId="TableGrid">
    <w:name w:val="Table Grid"/>
    <w:basedOn w:val="TableNormal"/>
    <w:uiPriority w:val="59"/>
    <w:rsid w:val="00E45FF1"/>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1">
    <w:name w:val="Bullet Text 1"/>
    <w:basedOn w:val="Normal"/>
    <w:rsid w:val="00270608"/>
    <w:pPr>
      <w:spacing w:after="0" w:line="240" w:lineRule="auto"/>
      <w:jc w:val="left"/>
    </w:pPr>
    <w:rPr>
      <w:rFonts w:ascii="Times New Roman" w:eastAsia="Times New Roman" w:hAnsi="Times New Roman"/>
      <w:color w:val="000000"/>
      <w:szCs w:val="20"/>
      <w:lang w:val="en-US"/>
    </w:rPr>
  </w:style>
  <w:style w:type="paragraph" w:customStyle="1" w:styleId="TableLeft">
    <w:name w:val="Table Left"/>
    <w:link w:val="TableLeftChar"/>
    <w:uiPriority w:val="2"/>
    <w:rsid w:val="00270608"/>
    <w:pPr>
      <w:keepNext/>
      <w:keepLines/>
      <w:tabs>
        <w:tab w:val="left" w:pos="360"/>
      </w:tabs>
      <w:spacing w:before="40" w:after="40" w:line="240" w:lineRule="exact"/>
    </w:pPr>
    <w:rPr>
      <w:rFonts w:ascii="Times New Roman" w:eastAsia="MS Mincho" w:hAnsi="Times New Roman"/>
    </w:rPr>
  </w:style>
  <w:style w:type="character" w:customStyle="1" w:styleId="TableLeftChar">
    <w:name w:val="Table Left Char"/>
    <w:link w:val="TableLeft"/>
    <w:uiPriority w:val="2"/>
    <w:rsid w:val="00270608"/>
    <w:rPr>
      <w:rFonts w:ascii="Times New Roman" w:eastAsia="MS Mincho" w:hAnsi="Times New Roman"/>
    </w:rPr>
  </w:style>
  <w:style w:type="character" w:customStyle="1" w:styleId="gtclinktext8">
    <w:name w:val="gtclinktext8"/>
    <w:rsid w:val="00270608"/>
    <w:rPr>
      <w:strike w:val="0"/>
      <w:dstrike w:val="0"/>
      <w:u w:val="none"/>
      <w:effect w:val="none"/>
    </w:rPr>
  </w:style>
  <w:style w:type="paragraph" w:customStyle="1" w:styleId="gtcbodytext">
    <w:name w:val="gtcbodytext"/>
    <w:basedOn w:val="Normal"/>
    <w:rsid w:val="00A9173E"/>
    <w:pPr>
      <w:spacing w:before="144" w:after="0" w:line="240" w:lineRule="auto"/>
      <w:jc w:val="left"/>
    </w:pPr>
    <w:rPr>
      <w:rFonts w:ascii="Times New Roman" w:eastAsia="Times New Roman" w:hAnsi="Times New Roman"/>
      <w:sz w:val="24"/>
      <w:szCs w:val="24"/>
      <w:lang w:val="en-US"/>
    </w:rPr>
  </w:style>
  <w:style w:type="character" w:styleId="LineNumber">
    <w:name w:val="line number"/>
    <w:basedOn w:val="DefaultParagraphFont"/>
    <w:uiPriority w:val="99"/>
    <w:semiHidden/>
    <w:unhideWhenUsed/>
    <w:rsid w:val="002330D6"/>
  </w:style>
  <w:style w:type="paragraph" w:styleId="CommentSubject">
    <w:name w:val="annotation subject"/>
    <w:basedOn w:val="CommentText"/>
    <w:next w:val="CommentText"/>
    <w:link w:val="CommentSubjectChar"/>
    <w:uiPriority w:val="99"/>
    <w:semiHidden/>
    <w:unhideWhenUsed/>
    <w:rsid w:val="00081709"/>
    <w:rPr>
      <w:rFonts w:ascii="Calibri" w:hAnsi="Calibri"/>
      <w:b/>
      <w:bCs/>
    </w:rPr>
  </w:style>
  <w:style w:type="character" w:customStyle="1" w:styleId="CommentSubjectChar">
    <w:name w:val="Comment Subject Char"/>
    <w:basedOn w:val="CommentTextChar"/>
    <w:link w:val="CommentSubject"/>
    <w:uiPriority w:val="99"/>
    <w:semiHidden/>
    <w:rsid w:val="00081709"/>
    <w:rPr>
      <w:rFonts w:ascii="Cambria" w:hAnsi="Cambria"/>
      <w:b/>
      <w:bCs/>
      <w:sz w:val="20"/>
      <w:szCs w:val="20"/>
      <w:lang w:val="en-AU"/>
    </w:rPr>
  </w:style>
  <w:style w:type="paragraph" w:styleId="Revision">
    <w:name w:val="Revision"/>
    <w:hidden/>
    <w:uiPriority w:val="99"/>
    <w:semiHidden/>
    <w:rsid w:val="001B57F8"/>
    <w:rPr>
      <w:sz w:val="22"/>
      <w:szCs w:val="22"/>
      <w:lang w:val="en-AU"/>
    </w:rPr>
  </w:style>
  <w:style w:type="paragraph" w:customStyle="1" w:styleId="Default">
    <w:name w:val="Default"/>
    <w:rsid w:val="005E6E57"/>
    <w:pPr>
      <w:autoSpaceDE w:val="0"/>
      <w:autoSpaceDN w:val="0"/>
      <w:adjustRightInd w:val="0"/>
    </w:pPr>
    <w:rPr>
      <w:rFonts w:ascii="Times New Roman" w:hAnsi="Times New Roman"/>
      <w:color w:val="000000"/>
      <w:sz w:val="24"/>
      <w:szCs w:val="24"/>
    </w:rPr>
  </w:style>
  <w:style w:type="paragraph" w:customStyle="1" w:styleId="Table">
    <w:name w:val="Table"/>
    <w:basedOn w:val="Normal"/>
    <w:link w:val="TableChar"/>
    <w:rsid w:val="00F71672"/>
    <w:pPr>
      <w:spacing w:before="120"/>
    </w:pPr>
    <w:rPr>
      <w:rFonts w:ascii="Arial" w:hAnsi="Arial" w:cs="Arial"/>
      <w:b/>
    </w:rPr>
  </w:style>
  <w:style w:type="character" w:customStyle="1" w:styleId="TableChar">
    <w:name w:val="Table Char"/>
    <w:basedOn w:val="DefaultParagraphFont"/>
    <w:link w:val="Table"/>
    <w:rsid w:val="00F71672"/>
    <w:rPr>
      <w:rFonts w:ascii="Arial" w:hAnsi="Arial" w:cs="Arial"/>
      <w:b/>
      <w:sz w:val="22"/>
      <w:szCs w:val="22"/>
      <w:lang w:val="en-AU"/>
    </w:rPr>
  </w:style>
  <w:style w:type="character" w:customStyle="1" w:styleId="gtclinktext10">
    <w:name w:val="gtclinktext10"/>
    <w:rsid w:val="00C879B1"/>
    <w:rPr>
      <w:strike w:val="0"/>
      <w:dstrike w:val="0"/>
      <w:u w:val="none"/>
      <w:effect w:val="none"/>
    </w:rPr>
  </w:style>
  <w:style w:type="paragraph" w:customStyle="1" w:styleId="GTCSection2Bookmark">
    <w:name w:val="GTC Section 2 Bookmark"/>
    <w:basedOn w:val="Normal"/>
    <w:rsid w:val="003C5F17"/>
    <w:pPr>
      <w:keepNext/>
      <w:spacing w:before="240" w:after="120" w:line="240" w:lineRule="auto"/>
      <w:jc w:val="left"/>
    </w:pPr>
    <w:rPr>
      <w:rFonts w:ascii="Times New Roman" w:eastAsiaTheme="minorHAnsi" w:hAnsi="Times New Roman"/>
      <w:b/>
      <w:bCs/>
      <w:sz w:val="24"/>
      <w:szCs w:val="24"/>
      <w:lang w:val="en-US"/>
    </w:rPr>
  </w:style>
  <w:style w:type="paragraph" w:styleId="BodyText">
    <w:name w:val="Body Text"/>
    <w:link w:val="BodyTextChar"/>
    <w:semiHidden/>
    <w:rsid w:val="008840AF"/>
    <w:pPr>
      <w:suppressAutoHyphens/>
      <w:spacing w:after="240" w:line="360" w:lineRule="exact"/>
    </w:pPr>
    <w:rPr>
      <w:rFonts w:ascii="Times New Roman" w:eastAsia="Times New Roman" w:hAnsi="Times New Roman"/>
      <w:sz w:val="24"/>
    </w:rPr>
  </w:style>
  <w:style w:type="character" w:customStyle="1" w:styleId="BodyTextChar">
    <w:name w:val="Body Text Char"/>
    <w:basedOn w:val="DefaultParagraphFont"/>
    <w:link w:val="BodyText"/>
    <w:semiHidden/>
    <w:rsid w:val="008840AF"/>
    <w:rPr>
      <w:rFonts w:ascii="Times New Roman" w:eastAsia="Times New Roman" w:hAnsi="Times New Roman"/>
      <w:sz w:val="24"/>
    </w:rPr>
  </w:style>
  <w:style w:type="paragraph" w:customStyle="1" w:styleId="PIHeading2">
    <w:name w:val="PI Heading 2"/>
    <w:basedOn w:val="Normal"/>
    <w:link w:val="PIHeading2Char"/>
    <w:rsid w:val="00AA7C30"/>
    <w:pPr>
      <w:keepNext/>
      <w:keepLines/>
      <w:spacing w:before="360" w:after="120" w:line="240" w:lineRule="auto"/>
      <w:jc w:val="left"/>
      <w:outlineLvl w:val="1"/>
    </w:pPr>
    <w:rPr>
      <w:rFonts w:ascii="Arial" w:eastAsia="Times New Roman" w:hAnsi="Arial"/>
      <w:b/>
      <w:sz w:val="24"/>
      <w:szCs w:val="20"/>
      <w:lang w:val="en-US"/>
    </w:rPr>
  </w:style>
  <w:style w:type="character" w:customStyle="1" w:styleId="PIHeading2Char">
    <w:name w:val="PI Heading 2 Char"/>
    <w:link w:val="PIHeading2"/>
    <w:rsid w:val="00AA7C30"/>
    <w:rPr>
      <w:rFonts w:ascii="Arial" w:eastAsia="Times New Roman"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37615">
      <w:bodyDiv w:val="1"/>
      <w:marLeft w:val="0"/>
      <w:marRight w:val="0"/>
      <w:marTop w:val="0"/>
      <w:marBottom w:val="0"/>
      <w:divBdr>
        <w:top w:val="none" w:sz="0" w:space="0" w:color="auto"/>
        <w:left w:val="none" w:sz="0" w:space="0" w:color="auto"/>
        <w:bottom w:val="none" w:sz="0" w:space="0" w:color="auto"/>
        <w:right w:val="none" w:sz="0" w:space="0" w:color="auto"/>
      </w:divBdr>
    </w:div>
    <w:div w:id="711002215">
      <w:bodyDiv w:val="1"/>
      <w:marLeft w:val="0"/>
      <w:marRight w:val="0"/>
      <w:marTop w:val="0"/>
      <w:marBottom w:val="0"/>
      <w:divBdr>
        <w:top w:val="none" w:sz="0" w:space="0" w:color="auto"/>
        <w:left w:val="none" w:sz="0" w:space="0" w:color="auto"/>
        <w:bottom w:val="none" w:sz="0" w:space="0" w:color="auto"/>
        <w:right w:val="none" w:sz="0" w:space="0" w:color="auto"/>
      </w:divBdr>
    </w:div>
    <w:div w:id="867180755">
      <w:bodyDiv w:val="1"/>
      <w:marLeft w:val="0"/>
      <w:marRight w:val="0"/>
      <w:marTop w:val="0"/>
      <w:marBottom w:val="0"/>
      <w:divBdr>
        <w:top w:val="none" w:sz="0" w:space="0" w:color="auto"/>
        <w:left w:val="none" w:sz="0" w:space="0" w:color="auto"/>
        <w:bottom w:val="none" w:sz="0" w:space="0" w:color="auto"/>
        <w:right w:val="none" w:sz="0" w:space="0" w:color="auto"/>
      </w:divBdr>
    </w:div>
    <w:div w:id="1378697064">
      <w:bodyDiv w:val="1"/>
      <w:marLeft w:val="0"/>
      <w:marRight w:val="0"/>
      <w:marTop w:val="0"/>
      <w:marBottom w:val="0"/>
      <w:divBdr>
        <w:top w:val="none" w:sz="0" w:space="0" w:color="auto"/>
        <w:left w:val="none" w:sz="0" w:space="0" w:color="auto"/>
        <w:bottom w:val="none" w:sz="0" w:space="0" w:color="auto"/>
        <w:right w:val="none" w:sz="0" w:space="0" w:color="auto"/>
      </w:divBdr>
    </w:div>
    <w:div w:id="1910269979">
      <w:bodyDiv w:val="1"/>
      <w:marLeft w:val="0"/>
      <w:marRight w:val="0"/>
      <w:marTop w:val="0"/>
      <w:marBottom w:val="0"/>
      <w:divBdr>
        <w:top w:val="none" w:sz="0" w:space="0" w:color="auto"/>
        <w:left w:val="none" w:sz="0" w:space="0" w:color="auto"/>
        <w:bottom w:val="none" w:sz="0" w:space="0" w:color="auto"/>
        <w:right w:val="none" w:sz="0" w:space="0" w:color="auto"/>
      </w:divBdr>
      <w:divsChild>
        <w:div w:id="750278391">
          <w:marLeft w:val="0"/>
          <w:marRight w:val="0"/>
          <w:marTop w:val="0"/>
          <w:marBottom w:val="0"/>
          <w:divBdr>
            <w:top w:val="none" w:sz="0" w:space="0" w:color="auto"/>
            <w:left w:val="none" w:sz="0" w:space="0" w:color="auto"/>
            <w:bottom w:val="none" w:sz="0" w:space="0" w:color="auto"/>
            <w:right w:val="none" w:sz="0" w:space="0" w:color="auto"/>
          </w:divBdr>
          <w:divsChild>
            <w:div w:id="1656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6082">
      <w:bodyDiv w:val="1"/>
      <w:marLeft w:val="0"/>
      <w:marRight w:val="0"/>
      <w:marTop w:val="0"/>
      <w:marBottom w:val="0"/>
      <w:divBdr>
        <w:top w:val="none" w:sz="0" w:space="0" w:color="auto"/>
        <w:left w:val="none" w:sz="0" w:space="0" w:color="auto"/>
        <w:bottom w:val="none" w:sz="0" w:space="0" w:color="auto"/>
        <w:right w:val="none" w:sz="0" w:space="0" w:color="auto"/>
      </w:divBdr>
      <w:divsChild>
        <w:div w:id="309293170">
          <w:marLeft w:val="0"/>
          <w:marRight w:val="0"/>
          <w:marTop w:val="0"/>
          <w:marBottom w:val="0"/>
          <w:divBdr>
            <w:top w:val="none" w:sz="0" w:space="0" w:color="auto"/>
            <w:left w:val="none" w:sz="0" w:space="0" w:color="auto"/>
            <w:bottom w:val="none" w:sz="0" w:space="0" w:color="auto"/>
            <w:right w:val="none" w:sz="0" w:space="0" w:color="auto"/>
          </w:divBdr>
          <w:divsChild>
            <w:div w:id="18049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173;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yperlink" Target="http://www.abbvie.com.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F5554B2016B42A34B89C2E7B452A5" ma:contentTypeVersion="" ma:contentTypeDescription="Create a new document." ma:contentTypeScope="" ma:versionID="5f299a176b26219c64cb0bfc760861b6">
  <xsd:schema xmlns:xsd="http://www.w3.org/2001/XMLSchema" xmlns:xs="http://www.w3.org/2001/XMLSchema" xmlns:p="http://schemas.microsoft.com/office/2006/metadata/properties" xmlns:ns2="FFA7861F-3AFA-4819-9668-4324B5B6584D" xmlns:ns3="ffa7861f-3afa-4819-9668-4324b5b6584d" targetNamespace="http://schemas.microsoft.com/office/2006/metadata/properties" ma:root="true" ma:fieldsID="34e870811b63bb222257441e3df27a6b" ns2:_="" ns3:_="">
    <xsd:import namespace="FFA7861F-3AFA-4819-9668-4324B5B6584D"/>
    <xsd:import namespace="ffa7861f-3afa-4819-9668-4324b5b6584d"/>
    <xsd:element name="properties">
      <xsd:complexType>
        <xsd:sequence>
          <xsd:element name="documentManagement">
            <xsd:complexType>
              <xsd:all>
                <xsd:element ref="ns2:Category" minOccurs="0"/>
                <xsd:element ref="ns2:Description0" minOccurs="0"/>
                <xsd:element ref="ns2:Sub_x002d_Category" minOccurs="0"/>
                <xsd:element ref="ns3:oex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861F-3AFA-4819-9668-4324B5B6584D"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heumatology"/>
          <xsd:enumeration value="Gastroenterology"/>
          <xsd:enumeration value="Dermatology"/>
        </xsd:restriction>
      </xsd:simpleType>
    </xsd:element>
    <xsd:element name="Description0" ma:index="9" nillable="true" ma:displayName="Description" ma:internalName="Description0">
      <xsd:simpleType>
        <xsd:restriction base="dms:Note">
          <xsd:maxLength value="255"/>
        </xsd:restriction>
      </xsd:simpleType>
    </xsd:element>
    <xsd:element name="Sub_x002d_Category" ma:index="10" nillable="true" ma:displayName="Sub-Category" ma:format="Dropdown" ma:internalName="Sub_x002d_Category">
      <xsd:simpleType>
        <xsd:restriction base="dms:Choice">
          <xsd:enumeration value="Rheumatoid Arthritis"/>
          <xsd:enumeration value="AxSpA"/>
          <xsd:enumeration value="UC"/>
          <xsd:enumeration value="CD"/>
          <xsd:enumeration value="AD"/>
          <xsd:enumeration value="PsA"/>
          <xsd:enumeration value="GCA"/>
        </xsd:restriction>
      </xsd:simpleType>
    </xsd:element>
  </xsd:schema>
  <xsd:schema xmlns:xsd="http://www.w3.org/2001/XMLSchema" xmlns:xs="http://www.w3.org/2001/XMLSchema" xmlns:dms="http://schemas.microsoft.com/office/2006/documentManagement/types" xmlns:pc="http://schemas.microsoft.com/office/infopath/2007/PartnerControls" targetNamespace="ffa7861f-3afa-4819-9668-4324b5b6584d" elementFormDefault="qualified">
    <xsd:import namespace="http://schemas.microsoft.com/office/2006/documentManagement/types"/>
    <xsd:import namespace="http://schemas.microsoft.com/office/infopath/2007/PartnerControls"/>
    <xsd:element name="oexv" ma:index="11" nillable="true" ma:displayName="Type" ma:internalName="oex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FA7861F-3AFA-4819-9668-4324B5B6584D">Rheumatology</Category>
    <Sub_x002d_Category xmlns="FFA7861F-3AFA-4819-9668-4324B5B6584D">Rheumatoid Arthritis</Sub_x002d_Category>
    <oexv xmlns="ffa7861f-3afa-4819-9668-4324b5b6584d" xsi:nil="true"/>
    <Description0 xmlns="FFA7861F-3AFA-4819-9668-4324B5B658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1CAA-50AB-44B5-9C79-B3CF69924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7861F-3AFA-4819-9668-4324B5B6584D"/>
    <ds:schemaRef ds:uri="ffa7861f-3afa-4819-9668-4324b5b65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11171-4970-4A31-887A-5A793A379593}">
  <ds:schemaRefs>
    <ds:schemaRef ds:uri="http://schemas.microsoft.com/sharepoint/v3/contenttype/forms"/>
  </ds:schemaRefs>
</ds:datastoreItem>
</file>

<file path=customXml/itemProps3.xml><?xml version="1.0" encoding="utf-8"?>
<ds:datastoreItem xmlns:ds="http://schemas.openxmlformats.org/officeDocument/2006/customXml" ds:itemID="{FEF340CB-AF23-4963-884D-54F734D6C809}">
  <ds:schemaRefs>
    <ds:schemaRef ds:uri="http://purl.org/dc/terms/"/>
    <ds:schemaRef ds:uri="ffa7861f-3afa-4819-9668-4324b5b6584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FA7861F-3AFA-4819-9668-4324B5B6584D"/>
    <ds:schemaRef ds:uri="http://www.w3.org/XML/1998/namespace"/>
    <ds:schemaRef ds:uri="http://purl.org/dc/dcmitype/"/>
  </ds:schemaRefs>
</ds:datastoreItem>
</file>

<file path=customXml/itemProps4.xml><?xml version="1.0" encoding="utf-8"?>
<ds:datastoreItem xmlns:ds="http://schemas.openxmlformats.org/officeDocument/2006/customXml" ds:itemID="{F0B5B51B-3B2D-4F4C-8C11-6A331E98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8083</Words>
  <Characters>45026</Characters>
  <Application>Microsoft Office Word</Application>
  <DocSecurity>0</DocSecurity>
  <Lines>938</Lines>
  <Paragraphs>442</Paragraphs>
  <ScaleCrop>false</ScaleCrop>
  <HeadingPairs>
    <vt:vector size="2" baseType="variant">
      <vt:variant>
        <vt:lpstr>Title</vt:lpstr>
      </vt:variant>
      <vt:variant>
        <vt:i4>1</vt:i4>
      </vt:variant>
    </vt:vector>
  </HeadingPairs>
  <TitlesOfParts>
    <vt:vector size="1" baseType="lpstr">
      <vt:lpstr>Attachment: Product Information for Upadacitinib</vt:lpstr>
    </vt:vector>
  </TitlesOfParts>
  <Company>AbbVie Inc</Company>
  <LinksUpToDate>false</LinksUpToDate>
  <CharactersWithSpaces>52667</CharactersWithSpaces>
  <SharedDoc>false</SharedDoc>
  <HLinks>
    <vt:vector size="6" baseType="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Upadacitinib</dc:title>
  <dc:subject>prescription medicines</dc:subject>
  <dc:creator>AbbVie</dc:creator>
  <dcterms:created xsi:type="dcterms:W3CDTF">2020-05-12T00:46:00Z</dcterms:created>
  <dcterms:modified xsi:type="dcterms:W3CDTF">2020-05-12T01:16:00Z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0x010100AB1F5554B2016B42A34B89C2E7B452A5</vt:lpwstr>
  </property>
</Properties>
</file>