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F6F66" w:rsidP="006E2461">
            <w:pPr>
              <w:pStyle w:val="Date"/>
              <w:framePr w:hSpace="0" w:wrap="auto" w:vAnchor="margin" w:hAnchor="text" w:yAlign="inline"/>
              <w:suppressOverlap w:val="0"/>
            </w:pPr>
            <w:r>
              <w:t>April</w:t>
            </w:r>
            <w:r w:rsidR="00C130FE">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E2461">
            <w:pPr>
              <w:pStyle w:val="Title"/>
            </w:pPr>
            <w:r w:rsidRPr="00A964D1">
              <w:t>Australian Pu</w:t>
            </w:r>
            <w:r w:rsidR="00C130FE">
              <w:t>blic Assess</w:t>
            </w:r>
            <w:r w:rsidR="0036602A">
              <w:t xml:space="preserve">ment Report for </w:t>
            </w:r>
            <w:proofErr w:type="spellStart"/>
            <w:r w:rsidR="0036602A">
              <w:t>Umeclidinium</w:t>
            </w:r>
            <w:proofErr w:type="spellEnd"/>
            <w:r w:rsidR="0036602A">
              <w:t xml:space="preserve"> bromide and </w:t>
            </w:r>
            <w:proofErr w:type="spellStart"/>
            <w:r w:rsidR="0036602A">
              <w:t>Vilanterol</w:t>
            </w:r>
            <w:proofErr w:type="spellEnd"/>
            <w:r w:rsidR="0036602A">
              <w:t xml:space="preserve"> </w:t>
            </w:r>
            <w:proofErr w:type="spellStart"/>
            <w:r w:rsidR="0036602A" w:rsidRPr="006E2461">
              <w:t>trifenatate</w:t>
            </w:r>
            <w:proofErr w:type="spellEnd"/>
          </w:p>
        </w:tc>
      </w:tr>
      <w:tr w:rsidR="0032583B" w:rsidRPr="00B64760" w:rsidTr="0032583B">
        <w:tc>
          <w:tcPr>
            <w:tcW w:w="9079" w:type="dxa"/>
          </w:tcPr>
          <w:p w:rsidR="0032583B" w:rsidRPr="008E7846" w:rsidRDefault="0032583B" w:rsidP="006E2461">
            <w:pPr>
              <w:pStyle w:val="Subtitle"/>
            </w:pPr>
            <w:r w:rsidRPr="008E7846">
              <w:t xml:space="preserve">Proprietary Product Name: </w:t>
            </w:r>
            <w:proofErr w:type="spellStart"/>
            <w:r w:rsidR="00CF6510">
              <w:t>Anoro</w:t>
            </w:r>
            <w:proofErr w:type="spellEnd"/>
            <w:r w:rsidR="00CF6510">
              <w:t xml:space="preserve"> </w:t>
            </w:r>
            <w:proofErr w:type="spellStart"/>
            <w:r w:rsidR="00CF6510">
              <w:t>E</w:t>
            </w:r>
            <w:r w:rsidR="00C130FE">
              <w:t>llipta</w:t>
            </w:r>
            <w:proofErr w:type="spellEnd"/>
          </w:p>
        </w:tc>
      </w:tr>
      <w:tr w:rsidR="0032583B" w:rsidRPr="00B64760" w:rsidTr="0032583B">
        <w:trPr>
          <w:trHeight w:val="486"/>
        </w:trPr>
        <w:tc>
          <w:tcPr>
            <w:tcW w:w="9079" w:type="dxa"/>
          </w:tcPr>
          <w:p w:rsidR="0032583B" w:rsidRPr="008E7846" w:rsidRDefault="00CF6510" w:rsidP="00392B23">
            <w:pPr>
              <w:pStyle w:val="Subtitle"/>
            </w:pPr>
            <w:r>
              <w:t xml:space="preserve">Sponsor: </w:t>
            </w:r>
            <w:r w:rsidR="00163792">
              <w:t xml:space="preserve"> GlaxoSmithKline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0B6CC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0B6CC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B6CC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B6CC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B6CC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1477D" w:rsidRPr="00FA4F3A">
          <w:rPr>
            <w:rStyle w:val="Hyperlink"/>
          </w:rPr>
          <w:t>https://www.tga.gov.au/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0B6CC7">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E1477D">
        <w:t>escription medicine submission.</w:t>
      </w:r>
    </w:p>
    <w:p w:rsidR="008E7846" w:rsidRDefault="008E7846" w:rsidP="000B6CC7">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0B6CC7">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0B6CC7">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0B6CC7">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6602A">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752E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0577584" w:history="1">
            <w:r w:rsidR="001752EA" w:rsidRPr="007A664D">
              <w:rPr>
                <w:rStyle w:val="Hyperlink"/>
                <w:noProof/>
              </w:rPr>
              <w:t>List of the most common abbreviations used in this AusPAR</w:t>
            </w:r>
            <w:r w:rsidR="001752EA">
              <w:rPr>
                <w:noProof/>
                <w:webHidden/>
              </w:rPr>
              <w:tab/>
            </w:r>
            <w:r w:rsidR="001752EA">
              <w:rPr>
                <w:noProof/>
                <w:webHidden/>
              </w:rPr>
              <w:fldChar w:fldCharType="begin"/>
            </w:r>
            <w:r w:rsidR="001752EA">
              <w:rPr>
                <w:noProof/>
                <w:webHidden/>
              </w:rPr>
              <w:instrText xml:space="preserve"> PAGEREF _Toc420577584 \h </w:instrText>
            </w:r>
            <w:r w:rsidR="001752EA">
              <w:rPr>
                <w:noProof/>
                <w:webHidden/>
              </w:rPr>
            </w:r>
            <w:r w:rsidR="001752EA">
              <w:rPr>
                <w:noProof/>
                <w:webHidden/>
              </w:rPr>
              <w:fldChar w:fldCharType="separate"/>
            </w:r>
            <w:r w:rsidR="001752EA">
              <w:rPr>
                <w:noProof/>
                <w:webHidden/>
              </w:rPr>
              <w:t>5</w:t>
            </w:r>
            <w:r w:rsidR="001752EA">
              <w:rPr>
                <w:noProof/>
                <w:webHidden/>
              </w:rPr>
              <w:fldChar w:fldCharType="end"/>
            </w:r>
          </w:hyperlink>
        </w:p>
        <w:p w:rsidR="001752EA" w:rsidRDefault="00163792">
          <w:pPr>
            <w:pStyle w:val="TOC2"/>
            <w:rPr>
              <w:rFonts w:asciiTheme="minorHAnsi" w:eastAsiaTheme="minorEastAsia" w:hAnsiTheme="minorHAnsi" w:cstheme="minorBidi"/>
              <w:b w:val="0"/>
              <w:noProof/>
              <w:sz w:val="22"/>
              <w:lang w:eastAsia="en-AU"/>
            </w:rPr>
          </w:pPr>
          <w:hyperlink w:anchor="_Toc420577585" w:history="1">
            <w:r w:rsidR="001752EA" w:rsidRPr="007A664D">
              <w:rPr>
                <w:rStyle w:val="Hyperlink"/>
                <w:noProof/>
              </w:rPr>
              <w:t>I. Introduction to product submission</w:t>
            </w:r>
            <w:r w:rsidR="001752EA">
              <w:rPr>
                <w:noProof/>
                <w:webHidden/>
              </w:rPr>
              <w:tab/>
            </w:r>
            <w:r w:rsidR="001752EA">
              <w:rPr>
                <w:noProof/>
                <w:webHidden/>
              </w:rPr>
              <w:fldChar w:fldCharType="begin"/>
            </w:r>
            <w:r w:rsidR="001752EA">
              <w:rPr>
                <w:noProof/>
                <w:webHidden/>
              </w:rPr>
              <w:instrText xml:space="preserve"> PAGEREF _Toc420577585 \h </w:instrText>
            </w:r>
            <w:r w:rsidR="001752EA">
              <w:rPr>
                <w:noProof/>
                <w:webHidden/>
              </w:rPr>
            </w:r>
            <w:r w:rsidR="001752EA">
              <w:rPr>
                <w:noProof/>
                <w:webHidden/>
              </w:rPr>
              <w:fldChar w:fldCharType="separate"/>
            </w:r>
            <w:r w:rsidR="001752EA">
              <w:rPr>
                <w:noProof/>
                <w:webHidden/>
              </w:rPr>
              <w:t>8</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86" w:history="1">
            <w:r w:rsidR="001752EA" w:rsidRPr="007A664D">
              <w:rPr>
                <w:rStyle w:val="Hyperlink"/>
                <w:noProof/>
                <w:lang w:eastAsia="en-AU"/>
              </w:rPr>
              <w:t>Submission details</w:t>
            </w:r>
            <w:r w:rsidR="001752EA">
              <w:rPr>
                <w:noProof/>
                <w:webHidden/>
              </w:rPr>
              <w:tab/>
            </w:r>
            <w:r w:rsidR="001752EA">
              <w:rPr>
                <w:noProof/>
                <w:webHidden/>
              </w:rPr>
              <w:fldChar w:fldCharType="begin"/>
            </w:r>
            <w:r w:rsidR="001752EA">
              <w:rPr>
                <w:noProof/>
                <w:webHidden/>
              </w:rPr>
              <w:instrText xml:space="preserve"> PAGEREF _Toc420577586 \h </w:instrText>
            </w:r>
            <w:r w:rsidR="001752EA">
              <w:rPr>
                <w:noProof/>
                <w:webHidden/>
              </w:rPr>
            </w:r>
            <w:r w:rsidR="001752EA">
              <w:rPr>
                <w:noProof/>
                <w:webHidden/>
              </w:rPr>
              <w:fldChar w:fldCharType="separate"/>
            </w:r>
            <w:r w:rsidR="001752EA">
              <w:rPr>
                <w:noProof/>
                <w:webHidden/>
              </w:rPr>
              <w:t>8</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87" w:history="1">
            <w:r w:rsidR="001752EA" w:rsidRPr="007A664D">
              <w:rPr>
                <w:rStyle w:val="Hyperlink"/>
                <w:noProof/>
              </w:rPr>
              <w:t>Product background</w:t>
            </w:r>
            <w:r w:rsidR="001752EA">
              <w:rPr>
                <w:noProof/>
                <w:webHidden/>
              </w:rPr>
              <w:tab/>
            </w:r>
            <w:r w:rsidR="001752EA">
              <w:rPr>
                <w:noProof/>
                <w:webHidden/>
              </w:rPr>
              <w:fldChar w:fldCharType="begin"/>
            </w:r>
            <w:r w:rsidR="001752EA">
              <w:rPr>
                <w:noProof/>
                <w:webHidden/>
              </w:rPr>
              <w:instrText xml:space="preserve"> PAGEREF _Toc420577587 \h </w:instrText>
            </w:r>
            <w:r w:rsidR="001752EA">
              <w:rPr>
                <w:noProof/>
                <w:webHidden/>
              </w:rPr>
            </w:r>
            <w:r w:rsidR="001752EA">
              <w:rPr>
                <w:noProof/>
                <w:webHidden/>
              </w:rPr>
              <w:fldChar w:fldCharType="separate"/>
            </w:r>
            <w:r w:rsidR="001752EA">
              <w:rPr>
                <w:noProof/>
                <w:webHidden/>
              </w:rPr>
              <w:t>8</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88" w:history="1">
            <w:r w:rsidR="001752EA" w:rsidRPr="007A664D">
              <w:rPr>
                <w:rStyle w:val="Hyperlink"/>
                <w:noProof/>
              </w:rPr>
              <w:t>Regulatory status</w:t>
            </w:r>
            <w:r w:rsidR="001752EA">
              <w:rPr>
                <w:noProof/>
                <w:webHidden/>
              </w:rPr>
              <w:tab/>
            </w:r>
            <w:r w:rsidR="001752EA">
              <w:rPr>
                <w:noProof/>
                <w:webHidden/>
              </w:rPr>
              <w:fldChar w:fldCharType="begin"/>
            </w:r>
            <w:r w:rsidR="001752EA">
              <w:rPr>
                <w:noProof/>
                <w:webHidden/>
              </w:rPr>
              <w:instrText xml:space="preserve"> PAGEREF _Toc420577588 \h </w:instrText>
            </w:r>
            <w:r w:rsidR="001752EA">
              <w:rPr>
                <w:noProof/>
                <w:webHidden/>
              </w:rPr>
            </w:r>
            <w:r w:rsidR="001752EA">
              <w:rPr>
                <w:noProof/>
                <w:webHidden/>
              </w:rPr>
              <w:fldChar w:fldCharType="separate"/>
            </w:r>
            <w:r w:rsidR="001752EA">
              <w:rPr>
                <w:noProof/>
                <w:webHidden/>
              </w:rPr>
              <w:t>9</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89" w:history="1">
            <w:r w:rsidR="001752EA" w:rsidRPr="007A664D">
              <w:rPr>
                <w:rStyle w:val="Hyperlink"/>
                <w:noProof/>
              </w:rPr>
              <w:t>Product Information</w:t>
            </w:r>
            <w:r w:rsidR="001752EA">
              <w:rPr>
                <w:noProof/>
                <w:webHidden/>
              </w:rPr>
              <w:tab/>
            </w:r>
            <w:r w:rsidR="001752EA">
              <w:rPr>
                <w:noProof/>
                <w:webHidden/>
              </w:rPr>
              <w:fldChar w:fldCharType="begin"/>
            </w:r>
            <w:r w:rsidR="001752EA">
              <w:rPr>
                <w:noProof/>
                <w:webHidden/>
              </w:rPr>
              <w:instrText xml:space="preserve"> PAGEREF _Toc420577589 \h </w:instrText>
            </w:r>
            <w:r w:rsidR="001752EA">
              <w:rPr>
                <w:noProof/>
                <w:webHidden/>
              </w:rPr>
            </w:r>
            <w:r w:rsidR="001752EA">
              <w:rPr>
                <w:noProof/>
                <w:webHidden/>
              </w:rPr>
              <w:fldChar w:fldCharType="separate"/>
            </w:r>
            <w:r w:rsidR="001752EA">
              <w:rPr>
                <w:noProof/>
                <w:webHidden/>
              </w:rPr>
              <w:t>9</w:t>
            </w:r>
            <w:r w:rsidR="001752EA">
              <w:rPr>
                <w:noProof/>
                <w:webHidden/>
              </w:rPr>
              <w:fldChar w:fldCharType="end"/>
            </w:r>
          </w:hyperlink>
        </w:p>
        <w:p w:rsidR="001752EA" w:rsidRDefault="00163792">
          <w:pPr>
            <w:pStyle w:val="TOC2"/>
            <w:rPr>
              <w:rFonts w:asciiTheme="minorHAnsi" w:eastAsiaTheme="minorEastAsia" w:hAnsiTheme="minorHAnsi" w:cstheme="minorBidi"/>
              <w:b w:val="0"/>
              <w:noProof/>
              <w:sz w:val="22"/>
              <w:lang w:eastAsia="en-AU"/>
            </w:rPr>
          </w:pPr>
          <w:hyperlink w:anchor="_Toc420577590" w:history="1">
            <w:r w:rsidR="001752EA" w:rsidRPr="007A664D">
              <w:rPr>
                <w:rStyle w:val="Hyperlink"/>
                <w:noProof/>
              </w:rPr>
              <w:t>II. Quality findings</w:t>
            </w:r>
            <w:r w:rsidR="001752EA">
              <w:rPr>
                <w:noProof/>
                <w:webHidden/>
              </w:rPr>
              <w:tab/>
            </w:r>
            <w:r w:rsidR="001752EA">
              <w:rPr>
                <w:noProof/>
                <w:webHidden/>
              </w:rPr>
              <w:fldChar w:fldCharType="begin"/>
            </w:r>
            <w:r w:rsidR="001752EA">
              <w:rPr>
                <w:noProof/>
                <w:webHidden/>
              </w:rPr>
              <w:instrText xml:space="preserve"> PAGEREF _Toc420577590 \h </w:instrText>
            </w:r>
            <w:r w:rsidR="001752EA">
              <w:rPr>
                <w:noProof/>
                <w:webHidden/>
              </w:rPr>
            </w:r>
            <w:r w:rsidR="001752EA">
              <w:rPr>
                <w:noProof/>
                <w:webHidden/>
              </w:rPr>
              <w:fldChar w:fldCharType="separate"/>
            </w:r>
            <w:r w:rsidR="001752EA">
              <w:rPr>
                <w:noProof/>
                <w:webHidden/>
              </w:rPr>
              <w:t>10</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91" w:history="1">
            <w:r w:rsidR="001752EA" w:rsidRPr="007A664D">
              <w:rPr>
                <w:rStyle w:val="Hyperlink"/>
                <w:noProof/>
              </w:rPr>
              <w:t>Drug substances (active ingredient)</w:t>
            </w:r>
            <w:r w:rsidR="001752EA">
              <w:rPr>
                <w:noProof/>
                <w:webHidden/>
              </w:rPr>
              <w:tab/>
            </w:r>
            <w:r w:rsidR="001752EA">
              <w:rPr>
                <w:noProof/>
                <w:webHidden/>
              </w:rPr>
              <w:fldChar w:fldCharType="begin"/>
            </w:r>
            <w:r w:rsidR="001752EA">
              <w:rPr>
                <w:noProof/>
                <w:webHidden/>
              </w:rPr>
              <w:instrText xml:space="preserve"> PAGEREF _Toc420577591 \h </w:instrText>
            </w:r>
            <w:r w:rsidR="001752EA">
              <w:rPr>
                <w:noProof/>
                <w:webHidden/>
              </w:rPr>
            </w:r>
            <w:r w:rsidR="001752EA">
              <w:rPr>
                <w:noProof/>
                <w:webHidden/>
              </w:rPr>
              <w:fldChar w:fldCharType="separate"/>
            </w:r>
            <w:r w:rsidR="001752EA">
              <w:rPr>
                <w:noProof/>
                <w:webHidden/>
              </w:rPr>
              <w:t>10</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92" w:history="1">
            <w:r w:rsidR="001752EA" w:rsidRPr="007A664D">
              <w:rPr>
                <w:rStyle w:val="Hyperlink"/>
                <w:noProof/>
              </w:rPr>
              <w:t>Drug product</w:t>
            </w:r>
            <w:r w:rsidR="001752EA">
              <w:rPr>
                <w:noProof/>
                <w:webHidden/>
              </w:rPr>
              <w:tab/>
            </w:r>
            <w:r w:rsidR="001752EA">
              <w:rPr>
                <w:noProof/>
                <w:webHidden/>
              </w:rPr>
              <w:fldChar w:fldCharType="begin"/>
            </w:r>
            <w:r w:rsidR="001752EA">
              <w:rPr>
                <w:noProof/>
                <w:webHidden/>
              </w:rPr>
              <w:instrText xml:space="preserve"> PAGEREF _Toc420577592 \h </w:instrText>
            </w:r>
            <w:r w:rsidR="001752EA">
              <w:rPr>
                <w:noProof/>
                <w:webHidden/>
              </w:rPr>
            </w:r>
            <w:r w:rsidR="001752EA">
              <w:rPr>
                <w:noProof/>
                <w:webHidden/>
              </w:rPr>
              <w:fldChar w:fldCharType="separate"/>
            </w:r>
            <w:r w:rsidR="001752EA">
              <w:rPr>
                <w:noProof/>
                <w:webHidden/>
              </w:rPr>
              <w:t>11</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93" w:history="1">
            <w:r w:rsidR="001752EA" w:rsidRPr="007A664D">
              <w:rPr>
                <w:rStyle w:val="Hyperlink"/>
                <w:noProof/>
              </w:rPr>
              <w:t>Biopharmaceutics</w:t>
            </w:r>
            <w:r w:rsidR="001752EA">
              <w:rPr>
                <w:noProof/>
                <w:webHidden/>
              </w:rPr>
              <w:tab/>
            </w:r>
            <w:r w:rsidR="001752EA">
              <w:rPr>
                <w:noProof/>
                <w:webHidden/>
              </w:rPr>
              <w:fldChar w:fldCharType="begin"/>
            </w:r>
            <w:r w:rsidR="001752EA">
              <w:rPr>
                <w:noProof/>
                <w:webHidden/>
              </w:rPr>
              <w:instrText xml:space="preserve"> PAGEREF _Toc420577593 \h </w:instrText>
            </w:r>
            <w:r w:rsidR="001752EA">
              <w:rPr>
                <w:noProof/>
                <w:webHidden/>
              </w:rPr>
            </w:r>
            <w:r w:rsidR="001752EA">
              <w:rPr>
                <w:noProof/>
                <w:webHidden/>
              </w:rPr>
              <w:fldChar w:fldCharType="separate"/>
            </w:r>
            <w:r w:rsidR="001752EA">
              <w:rPr>
                <w:noProof/>
                <w:webHidden/>
              </w:rPr>
              <w:t>11</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94" w:history="1">
            <w:r w:rsidR="001752EA" w:rsidRPr="007A664D">
              <w:rPr>
                <w:rStyle w:val="Hyperlink"/>
                <w:noProof/>
              </w:rPr>
              <w:t>Advisory committee considerations</w:t>
            </w:r>
            <w:r w:rsidR="001752EA">
              <w:rPr>
                <w:noProof/>
                <w:webHidden/>
              </w:rPr>
              <w:tab/>
            </w:r>
            <w:r w:rsidR="001752EA">
              <w:rPr>
                <w:noProof/>
                <w:webHidden/>
              </w:rPr>
              <w:fldChar w:fldCharType="begin"/>
            </w:r>
            <w:r w:rsidR="001752EA">
              <w:rPr>
                <w:noProof/>
                <w:webHidden/>
              </w:rPr>
              <w:instrText xml:space="preserve"> PAGEREF _Toc420577594 \h </w:instrText>
            </w:r>
            <w:r w:rsidR="001752EA">
              <w:rPr>
                <w:noProof/>
                <w:webHidden/>
              </w:rPr>
            </w:r>
            <w:r w:rsidR="001752EA">
              <w:rPr>
                <w:noProof/>
                <w:webHidden/>
              </w:rPr>
              <w:fldChar w:fldCharType="separate"/>
            </w:r>
            <w:r w:rsidR="001752EA">
              <w:rPr>
                <w:noProof/>
                <w:webHidden/>
              </w:rPr>
              <w:t>11</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95" w:history="1">
            <w:r w:rsidR="001752EA" w:rsidRPr="007A664D">
              <w:rPr>
                <w:rStyle w:val="Hyperlink"/>
                <w:noProof/>
              </w:rPr>
              <w:t>Quality summary and conclusions</w:t>
            </w:r>
            <w:r w:rsidR="001752EA">
              <w:rPr>
                <w:noProof/>
                <w:webHidden/>
              </w:rPr>
              <w:tab/>
            </w:r>
            <w:r w:rsidR="001752EA">
              <w:rPr>
                <w:noProof/>
                <w:webHidden/>
              </w:rPr>
              <w:fldChar w:fldCharType="begin"/>
            </w:r>
            <w:r w:rsidR="001752EA">
              <w:rPr>
                <w:noProof/>
                <w:webHidden/>
              </w:rPr>
              <w:instrText xml:space="preserve"> PAGEREF _Toc420577595 \h </w:instrText>
            </w:r>
            <w:r w:rsidR="001752EA">
              <w:rPr>
                <w:noProof/>
                <w:webHidden/>
              </w:rPr>
            </w:r>
            <w:r w:rsidR="001752EA">
              <w:rPr>
                <w:noProof/>
                <w:webHidden/>
              </w:rPr>
              <w:fldChar w:fldCharType="separate"/>
            </w:r>
            <w:r w:rsidR="001752EA">
              <w:rPr>
                <w:noProof/>
                <w:webHidden/>
              </w:rPr>
              <w:t>12</w:t>
            </w:r>
            <w:r w:rsidR="001752EA">
              <w:rPr>
                <w:noProof/>
                <w:webHidden/>
              </w:rPr>
              <w:fldChar w:fldCharType="end"/>
            </w:r>
          </w:hyperlink>
        </w:p>
        <w:p w:rsidR="001752EA" w:rsidRDefault="00163792">
          <w:pPr>
            <w:pStyle w:val="TOC2"/>
            <w:rPr>
              <w:rFonts w:asciiTheme="minorHAnsi" w:eastAsiaTheme="minorEastAsia" w:hAnsiTheme="minorHAnsi" w:cstheme="minorBidi"/>
              <w:b w:val="0"/>
              <w:noProof/>
              <w:sz w:val="22"/>
              <w:lang w:eastAsia="en-AU"/>
            </w:rPr>
          </w:pPr>
          <w:hyperlink w:anchor="_Toc420577596" w:history="1">
            <w:r w:rsidR="001752EA" w:rsidRPr="007A664D">
              <w:rPr>
                <w:rStyle w:val="Hyperlink"/>
                <w:noProof/>
              </w:rPr>
              <w:t>III. Nonclinical findings</w:t>
            </w:r>
            <w:r w:rsidR="001752EA">
              <w:rPr>
                <w:noProof/>
                <w:webHidden/>
              </w:rPr>
              <w:tab/>
            </w:r>
            <w:r w:rsidR="001752EA">
              <w:rPr>
                <w:noProof/>
                <w:webHidden/>
              </w:rPr>
              <w:fldChar w:fldCharType="begin"/>
            </w:r>
            <w:r w:rsidR="001752EA">
              <w:rPr>
                <w:noProof/>
                <w:webHidden/>
              </w:rPr>
              <w:instrText xml:space="preserve"> PAGEREF _Toc420577596 \h </w:instrText>
            </w:r>
            <w:r w:rsidR="001752EA">
              <w:rPr>
                <w:noProof/>
                <w:webHidden/>
              </w:rPr>
            </w:r>
            <w:r w:rsidR="001752EA">
              <w:rPr>
                <w:noProof/>
                <w:webHidden/>
              </w:rPr>
              <w:fldChar w:fldCharType="separate"/>
            </w:r>
            <w:r w:rsidR="001752EA">
              <w:rPr>
                <w:noProof/>
                <w:webHidden/>
              </w:rPr>
              <w:t>12</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97" w:history="1">
            <w:r w:rsidR="001752EA" w:rsidRPr="007A664D">
              <w:rPr>
                <w:rStyle w:val="Hyperlink"/>
                <w:noProof/>
              </w:rPr>
              <w:t>Introduction</w:t>
            </w:r>
            <w:r w:rsidR="001752EA">
              <w:rPr>
                <w:noProof/>
                <w:webHidden/>
              </w:rPr>
              <w:tab/>
            </w:r>
            <w:r w:rsidR="001752EA">
              <w:rPr>
                <w:noProof/>
                <w:webHidden/>
              </w:rPr>
              <w:fldChar w:fldCharType="begin"/>
            </w:r>
            <w:r w:rsidR="001752EA">
              <w:rPr>
                <w:noProof/>
                <w:webHidden/>
              </w:rPr>
              <w:instrText xml:space="preserve"> PAGEREF _Toc420577597 \h </w:instrText>
            </w:r>
            <w:r w:rsidR="001752EA">
              <w:rPr>
                <w:noProof/>
                <w:webHidden/>
              </w:rPr>
            </w:r>
            <w:r w:rsidR="001752EA">
              <w:rPr>
                <w:noProof/>
                <w:webHidden/>
              </w:rPr>
              <w:fldChar w:fldCharType="separate"/>
            </w:r>
            <w:r w:rsidR="001752EA">
              <w:rPr>
                <w:noProof/>
                <w:webHidden/>
              </w:rPr>
              <w:t>12</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98" w:history="1">
            <w:r w:rsidR="001752EA" w:rsidRPr="007A664D">
              <w:rPr>
                <w:rStyle w:val="Hyperlink"/>
                <w:noProof/>
              </w:rPr>
              <w:t>Pharmacology</w:t>
            </w:r>
            <w:r w:rsidR="001752EA">
              <w:rPr>
                <w:noProof/>
                <w:webHidden/>
              </w:rPr>
              <w:tab/>
            </w:r>
            <w:r w:rsidR="001752EA">
              <w:rPr>
                <w:noProof/>
                <w:webHidden/>
              </w:rPr>
              <w:fldChar w:fldCharType="begin"/>
            </w:r>
            <w:r w:rsidR="001752EA">
              <w:rPr>
                <w:noProof/>
                <w:webHidden/>
              </w:rPr>
              <w:instrText xml:space="preserve"> PAGEREF _Toc420577598 \h </w:instrText>
            </w:r>
            <w:r w:rsidR="001752EA">
              <w:rPr>
                <w:noProof/>
                <w:webHidden/>
              </w:rPr>
            </w:r>
            <w:r w:rsidR="001752EA">
              <w:rPr>
                <w:noProof/>
                <w:webHidden/>
              </w:rPr>
              <w:fldChar w:fldCharType="separate"/>
            </w:r>
            <w:r w:rsidR="001752EA">
              <w:rPr>
                <w:noProof/>
                <w:webHidden/>
              </w:rPr>
              <w:t>12</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599" w:history="1">
            <w:r w:rsidR="001752EA" w:rsidRPr="007A664D">
              <w:rPr>
                <w:rStyle w:val="Hyperlink"/>
                <w:noProof/>
              </w:rPr>
              <w:t>Pharmacokinetics</w:t>
            </w:r>
            <w:r w:rsidR="001752EA">
              <w:rPr>
                <w:noProof/>
                <w:webHidden/>
              </w:rPr>
              <w:tab/>
            </w:r>
            <w:r w:rsidR="001752EA">
              <w:rPr>
                <w:noProof/>
                <w:webHidden/>
              </w:rPr>
              <w:fldChar w:fldCharType="begin"/>
            </w:r>
            <w:r w:rsidR="001752EA">
              <w:rPr>
                <w:noProof/>
                <w:webHidden/>
              </w:rPr>
              <w:instrText xml:space="preserve"> PAGEREF _Toc420577599 \h </w:instrText>
            </w:r>
            <w:r w:rsidR="001752EA">
              <w:rPr>
                <w:noProof/>
                <w:webHidden/>
              </w:rPr>
            </w:r>
            <w:r w:rsidR="001752EA">
              <w:rPr>
                <w:noProof/>
                <w:webHidden/>
              </w:rPr>
              <w:fldChar w:fldCharType="separate"/>
            </w:r>
            <w:r w:rsidR="001752EA">
              <w:rPr>
                <w:noProof/>
                <w:webHidden/>
              </w:rPr>
              <w:t>13</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00" w:history="1">
            <w:r w:rsidR="001752EA" w:rsidRPr="007A664D">
              <w:rPr>
                <w:rStyle w:val="Hyperlink"/>
                <w:noProof/>
              </w:rPr>
              <w:t>Toxicology</w:t>
            </w:r>
            <w:r w:rsidR="001752EA">
              <w:rPr>
                <w:noProof/>
                <w:webHidden/>
              </w:rPr>
              <w:tab/>
            </w:r>
            <w:r w:rsidR="001752EA">
              <w:rPr>
                <w:noProof/>
                <w:webHidden/>
              </w:rPr>
              <w:fldChar w:fldCharType="begin"/>
            </w:r>
            <w:r w:rsidR="001752EA">
              <w:rPr>
                <w:noProof/>
                <w:webHidden/>
              </w:rPr>
              <w:instrText xml:space="preserve"> PAGEREF _Toc420577600 \h </w:instrText>
            </w:r>
            <w:r w:rsidR="001752EA">
              <w:rPr>
                <w:noProof/>
                <w:webHidden/>
              </w:rPr>
            </w:r>
            <w:r w:rsidR="001752EA">
              <w:rPr>
                <w:noProof/>
                <w:webHidden/>
              </w:rPr>
              <w:fldChar w:fldCharType="separate"/>
            </w:r>
            <w:r w:rsidR="001752EA">
              <w:rPr>
                <w:noProof/>
                <w:webHidden/>
              </w:rPr>
              <w:t>15</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01" w:history="1">
            <w:r w:rsidR="001752EA" w:rsidRPr="007A664D">
              <w:rPr>
                <w:rStyle w:val="Hyperlink"/>
                <w:noProof/>
              </w:rPr>
              <w:t>Impurities</w:t>
            </w:r>
            <w:r w:rsidR="001752EA">
              <w:rPr>
                <w:noProof/>
                <w:webHidden/>
              </w:rPr>
              <w:tab/>
            </w:r>
            <w:r w:rsidR="001752EA">
              <w:rPr>
                <w:noProof/>
                <w:webHidden/>
              </w:rPr>
              <w:fldChar w:fldCharType="begin"/>
            </w:r>
            <w:r w:rsidR="001752EA">
              <w:rPr>
                <w:noProof/>
                <w:webHidden/>
              </w:rPr>
              <w:instrText xml:space="preserve"> PAGEREF _Toc420577601 \h </w:instrText>
            </w:r>
            <w:r w:rsidR="001752EA">
              <w:rPr>
                <w:noProof/>
                <w:webHidden/>
              </w:rPr>
            </w:r>
            <w:r w:rsidR="001752EA">
              <w:rPr>
                <w:noProof/>
                <w:webHidden/>
              </w:rPr>
              <w:fldChar w:fldCharType="separate"/>
            </w:r>
            <w:r w:rsidR="001752EA">
              <w:rPr>
                <w:noProof/>
                <w:webHidden/>
              </w:rPr>
              <w:t>20</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02" w:history="1">
            <w:r w:rsidR="001752EA" w:rsidRPr="007A664D">
              <w:rPr>
                <w:rStyle w:val="Hyperlink"/>
                <w:noProof/>
              </w:rPr>
              <w:t>Comments on the safety specification of the risk management plan</w:t>
            </w:r>
            <w:r w:rsidR="001752EA">
              <w:rPr>
                <w:noProof/>
                <w:webHidden/>
              </w:rPr>
              <w:tab/>
            </w:r>
            <w:r w:rsidR="001752EA">
              <w:rPr>
                <w:noProof/>
                <w:webHidden/>
              </w:rPr>
              <w:fldChar w:fldCharType="begin"/>
            </w:r>
            <w:r w:rsidR="001752EA">
              <w:rPr>
                <w:noProof/>
                <w:webHidden/>
              </w:rPr>
              <w:instrText xml:space="preserve"> PAGEREF _Toc420577602 \h </w:instrText>
            </w:r>
            <w:r w:rsidR="001752EA">
              <w:rPr>
                <w:noProof/>
                <w:webHidden/>
              </w:rPr>
            </w:r>
            <w:r w:rsidR="001752EA">
              <w:rPr>
                <w:noProof/>
                <w:webHidden/>
              </w:rPr>
              <w:fldChar w:fldCharType="separate"/>
            </w:r>
            <w:r w:rsidR="001752EA">
              <w:rPr>
                <w:noProof/>
                <w:webHidden/>
              </w:rPr>
              <w:t>21</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03" w:history="1">
            <w:r w:rsidR="001752EA" w:rsidRPr="007A664D">
              <w:rPr>
                <w:rStyle w:val="Hyperlink"/>
                <w:noProof/>
              </w:rPr>
              <w:t>Nonclinical summary and conclusions</w:t>
            </w:r>
            <w:r w:rsidR="001752EA">
              <w:rPr>
                <w:noProof/>
                <w:webHidden/>
              </w:rPr>
              <w:tab/>
            </w:r>
            <w:r w:rsidR="001752EA">
              <w:rPr>
                <w:noProof/>
                <w:webHidden/>
              </w:rPr>
              <w:fldChar w:fldCharType="begin"/>
            </w:r>
            <w:r w:rsidR="001752EA">
              <w:rPr>
                <w:noProof/>
                <w:webHidden/>
              </w:rPr>
              <w:instrText xml:space="preserve"> PAGEREF _Toc420577603 \h </w:instrText>
            </w:r>
            <w:r w:rsidR="001752EA">
              <w:rPr>
                <w:noProof/>
                <w:webHidden/>
              </w:rPr>
            </w:r>
            <w:r w:rsidR="001752EA">
              <w:rPr>
                <w:noProof/>
                <w:webHidden/>
              </w:rPr>
              <w:fldChar w:fldCharType="separate"/>
            </w:r>
            <w:r w:rsidR="001752EA">
              <w:rPr>
                <w:noProof/>
                <w:webHidden/>
              </w:rPr>
              <w:t>21</w:t>
            </w:r>
            <w:r w:rsidR="001752EA">
              <w:rPr>
                <w:noProof/>
                <w:webHidden/>
              </w:rPr>
              <w:fldChar w:fldCharType="end"/>
            </w:r>
          </w:hyperlink>
        </w:p>
        <w:p w:rsidR="001752EA" w:rsidRDefault="00163792">
          <w:pPr>
            <w:pStyle w:val="TOC2"/>
            <w:rPr>
              <w:rFonts w:asciiTheme="minorHAnsi" w:eastAsiaTheme="minorEastAsia" w:hAnsiTheme="minorHAnsi" w:cstheme="minorBidi"/>
              <w:b w:val="0"/>
              <w:noProof/>
              <w:sz w:val="22"/>
              <w:lang w:eastAsia="en-AU"/>
            </w:rPr>
          </w:pPr>
          <w:hyperlink w:anchor="_Toc420577604" w:history="1">
            <w:r w:rsidR="001752EA" w:rsidRPr="007A664D">
              <w:rPr>
                <w:rStyle w:val="Hyperlink"/>
                <w:noProof/>
              </w:rPr>
              <w:t>IV. Clinical findings</w:t>
            </w:r>
            <w:r w:rsidR="001752EA">
              <w:rPr>
                <w:noProof/>
                <w:webHidden/>
              </w:rPr>
              <w:tab/>
            </w:r>
            <w:r w:rsidR="001752EA">
              <w:rPr>
                <w:noProof/>
                <w:webHidden/>
              </w:rPr>
              <w:fldChar w:fldCharType="begin"/>
            </w:r>
            <w:r w:rsidR="001752EA">
              <w:rPr>
                <w:noProof/>
                <w:webHidden/>
              </w:rPr>
              <w:instrText xml:space="preserve"> PAGEREF _Toc420577604 \h </w:instrText>
            </w:r>
            <w:r w:rsidR="001752EA">
              <w:rPr>
                <w:noProof/>
                <w:webHidden/>
              </w:rPr>
            </w:r>
            <w:r w:rsidR="001752EA">
              <w:rPr>
                <w:noProof/>
                <w:webHidden/>
              </w:rPr>
              <w:fldChar w:fldCharType="separate"/>
            </w:r>
            <w:r w:rsidR="001752EA">
              <w:rPr>
                <w:noProof/>
                <w:webHidden/>
              </w:rPr>
              <w:t>23</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05" w:history="1">
            <w:r w:rsidR="001752EA" w:rsidRPr="007A664D">
              <w:rPr>
                <w:rStyle w:val="Hyperlink"/>
                <w:noProof/>
              </w:rPr>
              <w:t>Introduction</w:t>
            </w:r>
            <w:r w:rsidR="001752EA">
              <w:rPr>
                <w:noProof/>
                <w:webHidden/>
              </w:rPr>
              <w:tab/>
            </w:r>
            <w:r w:rsidR="001752EA">
              <w:rPr>
                <w:noProof/>
                <w:webHidden/>
              </w:rPr>
              <w:fldChar w:fldCharType="begin"/>
            </w:r>
            <w:r w:rsidR="001752EA">
              <w:rPr>
                <w:noProof/>
                <w:webHidden/>
              </w:rPr>
              <w:instrText xml:space="preserve"> PAGEREF _Toc420577605 \h </w:instrText>
            </w:r>
            <w:r w:rsidR="001752EA">
              <w:rPr>
                <w:noProof/>
                <w:webHidden/>
              </w:rPr>
            </w:r>
            <w:r w:rsidR="001752EA">
              <w:rPr>
                <w:noProof/>
                <w:webHidden/>
              </w:rPr>
              <w:fldChar w:fldCharType="separate"/>
            </w:r>
            <w:r w:rsidR="001752EA">
              <w:rPr>
                <w:noProof/>
                <w:webHidden/>
              </w:rPr>
              <w:t>23</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06" w:history="1">
            <w:r w:rsidR="001752EA" w:rsidRPr="007A664D">
              <w:rPr>
                <w:rStyle w:val="Hyperlink"/>
                <w:noProof/>
              </w:rPr>
              <w:t>Pharmacokinetics</w:t>
            </w:r>
            <w:r w:rsidR="001752EA">
              <w:rPr>
                <w:noProof/>
                <w:webHidden/>
              </w:rPr>
              <w:tab/>
            </w:r>
            <w:r w:rsidR="001752EA">
              <w:rPr>
                <w:noProof/>
                <w:webHidden/>
              </w:rPr>
              <w:fldChar w:fldCharType="begin"/>
            </w:r>
            <w:r w:rsidR="001752EA">
              <w:rPr>
                <w:noProof/>
                <w:webHidden/>
              </w:rPr>
              <w:instrText xml:space="preserve"> PAGEREF _Toc420577606 \h </w:instrText>
            </w:r>
            <w:r w:rsidR="001752EA">
              <w:rPr>
                <w:noProof/>
                <w:webHidden/>
              </w:rPr>
            </w:r>
            <w:r w:rsidR="001752EA">
              <w:rPr>
                <w:noProof/>
                <w:webHidden/>
              </w:rPr>
              <w:fldChar w:fldCharType="separate"/>
            </w:r>
            <w:r w:rsidR="001752EA">
              <w:rPr>
                <w:noProof/>
                <w:webHidden/>
              </w:rPr>
              <w:t>24</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07" w:history="1">
            <w:r w:rsidR="001752EA" w:rsidRPr="007A664D">
              <w:rPr>
                <w:rStyle w:val="Hyperlink"/>
                <w:noProof/>
              </w:rPr>
              <w:t>Pharmacodynamics</w:t>
            </w:r>
            <w:r w:rsidR="001752EA">
              <w:rPr>
                <w:noProof/>
                <w:webHidden/>
              </w:rPr>
              <w:tab/>
            </w:r>
            <w:r w:rsidR="001752EA">
              <w:rPr>
                <w:noProof/>
                <w:webHidden/>
              </w:rPr>
              <w:fldChar w:fldCharType="begin"/>
            </w:r>
            <w:r w:rsidR="001752EA">
              <w:rPr>
                <w:noProof/>
                <w:webHidden/>
              </w:rPr>
              <w:instrText xml:space="preserve"> PAGEREF _Toc420577607 \h </w:instrText>
            </w:r>
            <w:r w:rsidR="001752EA">
              <w:rPr>
                <w:noProof/>
                <w:webHidden/>
              </w:rPr>
            </w:r>
            <w:r w:rsidR="001752EA">
              <w:rPr>
                <w:noProof/>
                <w:webHidden/>
              </w:rPr>
              <w:fldChar w:fldCharType="separate"/>
            </w:r>
            <w:r w:rsidR="001752EA">
              <w:rPr>
                <w:noProof/>
                <w:webHidden/>
              </w:rPr>
              <w:t>28</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08" w:history="1">
            <w:r w:rsidR="001752EA" w:rsidRPr="007A664D">
              <w:rPr>
                <w:rStyle w:val="Hyperlink"/>
                <w:noProof/>
              </w:rPr>
              <w:t>Dosage selection for the pivotal studies</w:t>
            </w:r>
            <w:r w:rsidR="001752EA">
              <w:rPr>
                <w:noProof/>
                <w:webHidden/>
              </w:rPr>
              <w:tab/>
            </w:r>
            <w:r w:rsidR="001752EA">
              <w:rPr>
                <w:noProof/>
                <w:webHidden/>
              </w:rPr>
              <w:fldChar w:fldCharType="begin"/>
            </w:r>
            <w:r w:rsidR="001752EA">
              <w:rPr>
                <w:noProof/>
                <w:webHidden/>
              </w:rPr>
              <w:instrText xml:space="preserve"> PAGEREF _Toc420577608 \h </w:instrText>
            </w:r>
            <w:r w:rsidR="001752EA">
              <w:rPr>
                <w:noProof/>
                <w:webHidden/>
              </w:rPr>
            </w:r>
            <w:r w:rsidR="001752EA">
              <w:rPr>
                <w:noProof/>
                <w:webHidden/>
              </w:rPr>
              <w:fldChar w:fldCharType="separate"/>
            </w:r>
            <w:r w:rsidR="001752EA">
              <w:rPr>
                <w:noProof/>
                <w:webHidden/>
              </w:rPr>
              <w:t>29</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09" w:history="1">
            <w:r w:rsidR="001752EA" w:rsidRPr="007A664D">
              <w:rPr>
                <w:rStyle w:val="Hyperlink"/>
                <w:noProof/>
              </w:rPr>
              <w:t>Efficacy</w:t>
            </w:r>
            <w:r w:rsidR="001752EA">
              <w:rPr>
                <w:noProof/>
                <w:webHidden/>
              </w:rPr>
              <w:tab/>
            </w:r>
            <w:r w:rsidR="001752EA">
              <w:rPr>
                <w:noProof/>
                <w:webHidden/>
              </w:rPr>
              <w:fldChar w:fldCharType="begin"/>
            </w:r>
            <w:r w:rsidR="001752EA">
              <w:rPr>
                <w:noProof/>
                <w:webHidden/>
              </w:rPr>
              <w:instrText xml:space="preserve"> PAGEREF _Toc420577609 \h </w:instrText>
            </w:r>
            <w:r w:rsidR="001752EA">
              <w:rPr>
                <w:noProof/>
                <w:webHidden/>
              </w:rPr>
            </w:r>
            <w:r w:rsidR="001752EA">
              <w:rPr>
                <w:noProof/>
                <w:webHidden/>
              </w:rPr>
              <w:fldChar w:fldCharType="separate"/>
            </w:r>
            <w:r w:rsidR="001752EA">
              <w:rPr>
                <w:noProof/>
                <w:webHidden/>
              </w:rPr>
              <w:t>31</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10" w:history="1">
            <w:r w:rsidR="001752EA" w:rsidRPr="007A664D">
              <w:rPr>
                <w:rStyle w:val="Hyperlink"/>
                <w:noProof/>
              </w:rPr>
              <w:t>Safety</w:t>
            </w:r>
            <w:r w:rsidR="001752EA">
              <w:rPr>
                <w:noProof/>
                <w:webHidden/>
              </w:rPr>
              <w:tab/>
            </w:r>
            <w:r w:rsidR="001752EA">
              <w:rPr>
                <w:noProof/>
                <w:webHidden/>
              </w:rPr>
              <w:fldChar w:fldCharType="begin"/>
            </w:r>
            <w:r w:rsidR="001752EA">
              <w:rPr>
                <w:noProof/>
                <w:webHidden/>
              </w:rPr>
              <w:instrText xml:space="preserve"> PAGEREF _Toc420577610 \h </w:instrText>
            </w:r>
            <w:r w:rsidR="001752EA">
              <w:rPr>
                <w:noProof/>
                <w:webHidden/>
              </w:rPr>
            </w:r>
            <w:r w:rsidR="001752EA">
              <w:rPr>
                <w:noProof/>
                <w:webHidden/>
              </w:rPr>
              <w:fldChar w:fldCharType="separate"/>
            </w:r>
            <w:r w:rsidR="001752EA">
              <w:rPr>
                <w:noProof/>
                <w:webHidden/>
              </w:rPr>
              <w:t>36</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11" w:history="1">
            <w:r w:rsidR="001752EA" w:rsidRPr="007A664D">
              <w:rPr>
                <w:rStyle w:val="Hyperlink"/>
                <w:noProof/>
              </w:rPr>
              <w:t>Evaluator’s conclusions on safety</w:t>
            </w:r>
            <w:r w:rsidR="001752EA">
              <w:rPr>
                <w:noProof/>
                <w:webHidden/>
              </w:rPr>
              <w:tab/>
            </w:r>
            <w:r w:rsidR="001752EA">
              <w:rPr>
                <w:noProof/>
                <w:webHidden/>
              </w:rPr>
              <w:fldChar w:fldCharType="begin"/>
            </w:r>
            <w:r w:rsidR="001752EA">
              <w:rPr>
                <w:noProof/>
                <w:webHidden/>
              </w:rPr>
              <w:instrText xml:space="preserve"> PAGEREF _Toc420577611 \h </w:instrText>
            </w:r>
            <w:r w:rsidR="001752EA">
              <w:rPr>
                <w:noProof/>
                <w:webHidden/>
              </w:rPr>
            </w:r>
            <w:r w:rsidR="001752EA">
              <w:rPr>
                <w:noProof/>
                <w:webHidden/>
              </w:rPr>
              <w:fldChar w:fldCharType="separate"/>
            </w:r>
            <w:r w:rsidR="001752EA">
              <w:rPr>
                <w:noProof/>
                <w:webHidden/>
              </w:rPr>
              <w:t>39</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12" w:history="1">
            <w:r w:rsidR="001752EA" w:rsidRPr="007A664D">
              <w:rPr>
                <w:rStyle w:val="Hyperlink"/>
                <w:noProof/>
              </w:rPr>
              <w:t>First round benefit-risk assessment</w:t>
            </w:r>
            <w:r w:rsidR="001752EA">
              <w:rPr>
                <w:noProof/>
                <w:webHidden/>
              </w:rPr>
              <w:tab/>
            </w:r>
            <w:r w:rsidR="001752EA">
              <w:rPr>
                <w:noProof/>
                <w:webHidden/>
              </w:rPr>
              <w:fldChar w:fldCharType="begin"/>
            </w:r>
            <w:r w:rsidR="001752EA">
              <w:rPr>
                <w:noProof/>
                <w:webHidden/>
              </w:rPr>
              <w:instrText xml:space="preserve"> PAGEREF _Toc420577612 \h </w:instrText>
            </w:r>
            <w:r w:rsidR="001752EA">
              <w:rPr>
                <w:noProof/>
                <w:webHidden/>
              </w:rPr>
            </w:r>
            <w:r w:rsidR="001752EA">
              <w:rPr>
                <w:noProof/>
                <w:webHidden/>
              </w:rPr>
              <w:fldChar w:fldCharType="separate"/>
            </w:r>
            <w:r w:rsidR="001752EA">
              <w:rPr>
                <w:noProof/>
                <w:webHidden/>
              </w:rPr>
              <w:t>39</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13" w:history="1">
            <w:r w:rsidR="001752EA" w:rsidRPr="007A664D">
              <w:rPr>
                <w:rStyle w:val="Hyperlink"/>
                <w:noProof/>
              </w:rPr>
              <w:t>First round recommendation regarding authorisation</w:t>
            </w:r>
            <w:r w:rsidR="001752EA">
              <w:rPr>
                <w:noProof/>
                <w:webHidden/>
              </w:rPr>
              <w:tab/>
            </w:r>
            <w:r w:rsidR="001752EA">
              <w:rPr>
                <w:noProof/>
                <w:webHidden/>
              </w:rPr>
              <w:fldChar w:fldCharType="begin"/>
            </w:r>
            <w:r w:rsidR="001752EA">
              <w:rPr>
                <w:noProof/>
                <w:webHidden/>
              </w:rPr>
              <w:instrText xml:space="preserve"> PAGEREF _Toc420577613 \h </w:instrText>
            </w:r>
            <w:r w:rsidR="001752EA">
              <w:rPr>
                <w:noProof/>
                <w:webHidden/>
              </w:rPr>
            </w:r>
            <w:r w:rsidR="001752EA">
              <w:rPr>
                <w:noProof/>
                <w:webHidden/>
              </w:rPr>
              <w:fldChar w:fldCharType="separate"/>
            </w:r>
            <w:r w:rsidR="001752EA">
              <w:rPr>
                <w:noProof/>
                <w:webHidden/>
              </w:rPr>
              <w:t>41</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14" w:history="1">
            <w:r w:rsidR="001752EA" w:rsidRPr="007A664D">
              <w:rPr>
                <w:rStyle w:val="Hyperlink"/>
                <w:noProof/>
              </w:rPr>
              <w:t>Clinical questions</w:t>
            </w:r>
            <w:r w:rsidR="001752EA">
              <w:rPr>
                <w:noProof/>
                <w:webHidden/>
              </w:rPr>
              <w:tab/>
            </w:r>
            <w:r w:rsidR="001752EA">
              <w:rPr>
                <w:noProof/>
                <w:webHidden/>
              </w:rPr>
              <w:fldChar w:fldCharType="begin"/>
            </w:r>
            <w:r w:rsidR="001752EA">
              <w:rPr>
                <w:noProof/>
                <w:webHidden/>
              </w:rPr>
              <w:instrText xml:space="preserve"> PAGEREF _Toc420577614 \h </w:instrText>
            </w:r>
            <w:r w:rsidR="001752EA">
              <w:rPr>
                <w:noProof/>
                <w:webHidden/>
              </w:rPr>
            </w:r>
            <w:r w:rsidR="001752EA">
              <w:rPr>
                <w:noProof/>
                <w:webHidden/>
              </w:rPr>
              <w:fldChar w:fldCharType="separate"/>
            </w:r>
            <w:r w:rsidR="001752EA">
              <w:rPr>
                <w:noProof/>
                <w:webHidden/>
              </w:rPr>
              <w:t>42</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15" w:history="1">
            <w:r w:rsidR="001752EA" w:rsidRPr="007A664D">
              <w:rPr>
                <w:rStyle w:val="Hyperlink"/>
                <w:noProof/>
              </w:rPr>
              <w:t>Second Round Evaluation of clinical data submitted in response to questions</w:t>
            </w:r>
            <w:r w:rsidR="001752EA">
              <w:rPr>
                <w:noProof/>
                <w:webHidden/>
              </w:rPr>
              <w:tab/>
            </w:r>
            <w:r w:rsidR="001752EA">
              <w:rPr>
                <w:noProof/>
                <w:webHidden/>
              </w:rPr>
              <w:fldChar w:fldCharType="begin"/>
            </w:r>
            <w:r w:rsidR="001752EA">
              <w:rPr>
                <w:noProof/>
                <w:webHidden/>
              </w:rPr>
              <w:instrText xml:space="preserve"> PAGEREF _Toc420577615 \h </w:instrText>
            </w:r>
            <w:r w:rsidR="001752EA">
              <w:rPr>
                <w:noProof/>
                <w:webHidden/>
              </w:rPr>
            </w:r>
            <w:r w:rsidR="001752EA">
              <w:rPr>
                <w:noProof/>
                <w:webHidden/>
              </w:rPr>
              <w:fldChar w:fldCharType="separate"/>
            </w:r>
            <w:r w:rsidR="001752EA">
              <w:rPr>
                <w:noProof/>
                <w:webHidden/>
              </w:rPr>
              <w:t>42</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16" w:history="1">
            <w:r w:rsidR="001752EA" w:rsidRPr="007A664D">
              <w:rPr>
                <w:rStyle w:val="Hyperlink"/>
                <w:noProof/>
              </w:rPr>
              <w:t>Second round benefit-risk assessment</w:t>
            </w:r>
            <w:r w:rsidR="001752EA">
              <w:rPr>
                <w:noProof/>
                <w:webHidden/>
              </w:rPr>
              <w:tab/>
            </w:r>
            <w:r w:rsidR="001752EA">
              <w:rPr>
                <w:noProof/>
                <w:webHidden/>
              </w:rPr>
              <w:fldChar w:fldCharType="begin"/>
            </w:r>
            <w:r w:rsidR="001752EA">
              <w:rPr>
                <w:noProof/>
                <w:webHidden/>
              </w:rPr>
              <w:instrText xml:space="preserve"> PAGEREF _Toc420577616 \h </w:instrText>
            </w:r>
            <w:r w:rsidR="001752EA">
              <w:rPr>
                <w:noProof/>
                <w:webHidden/>
              </w:rPr>
            </w:r>
            <w:r w:rsidR="001752EA">
              <w:rPr>
                <w:noProof/>
                <w:webHidden/>
              </w:rPr>
              <w:fldChar w:fldCharType="separate"/>
            </w:r>
            <w:r w:rsidR="001752EA">
              <w:rPr>
                <w:noProof/>
                <w:webHidden/>
              </w:rPr>
              <w:t>43</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17" w:history="1">
            <w:r w:rsidR="001752EA" w:rsidRPr="007A664D">
              <w:rPr>
                <w:rStyle w:val="Hyperlink"/>
                <w:noProof/>
              </w:rPr>
              <w:t>Second round recommendation regarding authorisation</w:t>
            </w:r>
            <w:r w:rsidR="001752EA">
              <w:rPr>
                <w:noProof/>
                <w:webHidden/>
              </w:rPr>
              <w:tab/>
            </w:r>
            <w:r w:rsidR="001752EA">
              <w:rPr>
                <w:noProof/>
                <w:webHidden/>
              </w:rPr>
              <w:fldChar w:fldCharType="begin"/>
            </w:r>
            <w:r w:rsidR="001752EA">
              <w:rPr>
                <w:noProof/>
                <w:webHidden/>
              </w:rPr>
              <w:instrText xml:space="preserve"> PAGEREF _Toc420577617 \h </w:instrText>
            </w:r>
            <w:r w:rsidR="001752EA">
              <w:rPr>
                <w:noProof/>
                <w:webHidden/>
              </w:rPr>
            </w:r>
            <w:r w:rsidR="001752EA">
              <w:rPr>
                <w:noProof/>
                <w:webHidden/>
              </w:rPr>
              <w:fldChar w:fldCharType="separate"/>
            </w:r>
            <w:r w:rsidR="001752EA">
              <w:rPr>
                <w:noProof/>
                <w:webHidden/>
              </w:rPr>
              <w:t>43</w:t>
            </w:r>
            <w:r w:rsidR="001752EA">
              <w:rPr>
                <w:noProof/>
                <w:webHidden/>
              </w:rPr>
              <w:fldChar w:fldCharType="end"/>
            </w:r>
          </w:hyperlink>
        </w:p>
        <w:p w:rsidR="001752EA" w:rsidRDefault="00163792">
          <w:pPr>
            <w:pStyle w:val="TOC2"/>
            <w:rPr>
              <w:rFonts w:asciiTheme="minorHAnsi" w:eastAsiaTheme="minorEastAsia" w:hAnsiTheme="minorHAnsi" w:cstheme="minorBidi"/>
              <w:b w:val="0"/>
              <w:noProof/>
              <w:sz w:val="22"/>
              <w:lang w:eastAsia="en-AU"/>
            </w:rPr>
          </w:pPr>
          <w:hyperlink w:anchor="_Toc420577618" w:history="1">
            <w:r w:rsidR="001752EA" w:rsidRPr="007A664D">
              <w:rPr>
                <w:rStyle w:val="Hyperlink"/>
                <w:noProof/>
              </w:rPr>
              <w:t>V. Pharmacovigilance findings</w:t>
            </w:r>
            <w:r w:rsidR="001752EA">
              <w:rPr>
                <w:noProof/>
                <w:webHidden/>
              </w:rPr>
              <w:tab/>
            </w:r>
            <w:r w:rsidR="001752EA">
              <w:rPr>
                <w:noProof/>
                <w:webHidden/>
              </w:rPr>
              <w:fldChar w:fldCharType="begin"/>
            </w:r>
            <w:r w:rsidR="001752EA">
              <w:rPr>
                <w:noProof/>
                <w:webHidden/>
              </w:rPr>
              <w:instrText xml:space="preserve"> PAGEREF _Toc420577618 \h </w:instrText>
            </w:r>
            <w:r w:rsidR="001752EA">
              <w:rPr>
                <w:noProof/>
                <w:webHidden/>
              </w:rPr>
            </w:r>
            <w:r w:rsidR="001752EA">
              <w:rPr>
                <w:noProof/>
                <w:webHidden/>
              </w:rPr>
              <w:fldChar w:fldCharType="separate"/>
            </w:r>
            <w:r w:rsidR="001752EA">
              <w:rPr>
                <w:noProof/>
                <w:webHidden/>
              </w:rPr>
              <w:t>43</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19" w:history="1">
            <w:r w:rsidR="001752EA" w:rsidRPr="007A664D">
              <w:rPr>
                <w:rStyle w:val="Hyperlink"/>
                <w:noProof/>
                <w:lang w:eastAsia="en-AU"/>
              </w:rPr>
              <w:t>Risk management plan</w:t>
            </w:r>
            <w:r w:rsidR="001752EA">
              <w:rPr>
                <w:noProof/>
                <w:webHidden/>
              </w:rPr>
              <w:tab/>
            </w:r>
            <w:r w:rsidR="001752EA">
              <w:rPr>
                <w:noProof/>
                <w:webHidden/>
              </w:rPr>
              <w:fldChar w:fldCharType="begin"/>
            </w:r>
            <w:r w:rsidR="001752EA">
              <w:rPr>
                <w:noProof/>
                <w:webHidden/>
              </w:rPr>
              <w:instrText xml:space="preserve"> PAGEREF _Toc420577619 \h </w:instrText>
            </w:r>
            <w:r w:rsidR="001752EA">
              <w:rPr>
                <w:noProof/>
                <w:webHidden/>
              </w:rPr>
            </w:r>
            <w:r w:rsidR="001752EA">
              <w:rPr>
                <w:noProof/>
                <w:webHidden/>
              </w:rPr>
              <w:fldChar w:fldCharType="separate"/>
            </w:r>
            <w:r w:rsidR="001752EA">
              <w:rPr>
                <w:noProof/>
                <w:webHidden/>
              </w:rPr>
              <w:t>43</w:t>
            </w:r>
            <w:r w:rsidR="001752EA">
              <w:rPr>
                <w:noProof/>
                <w:webHidden/>
              </w:rPr>
              <w:fldChar w:fldCharType="end"/>
            </w:r>
          </w:hyperlink>
        </w:p>
        <w:p w:rsidR="001752EA" w:rsidRDefault="00163792">
          <w:pPr>
            <w:pStyle w:val="TOC2"/>
            <w:rPr>
              <w:rFonts w:asciiTheme="minorHAnsi" w:eastAsiaTheme="minorEastAsia" w:hAnsiTheme="minorHAnsi" w:cstheme="minorBidi"/>
              <w:b w:val="0"/>
              <w:noProof/>
              <w:sz w:val="22"/>
              <w:lang w:eastAsia="en-AU"/>
            </w:rPr>
          </w:pPr>
          <w:hyperlink w:anchor="_Toc420577620" w:history="1">
            <w:r w:rsidR="001752EA" w:rsidRPr="007A664D">
              <w:rPr>
                <w:rStyle w:val="Hyperlink"/>
                <w:noProof/>
              </w:rPr>
              <w:t>VI. Overall conclusion and risk/benefit assessment</w:t>
            </w:r>
            <w:r w:rsidR="001752EA">
              <w:rPr>
                <w:noProof/>
                <w:webHidden/>
              </w:rPr>
              <w:tab/>
            </w:r>
            <w:r w:rsidR="001752EA">
              <w:rPr>
                <w:noProof/>
                <w:webHidden/>
              </w:rPr>
              <w:fldChar w:fldCharType="begin"/>
            </w:r>
            <w:r w:rsidR="001752EA">
              <w:rPr>
                <w:noProof/>
                <w:webHidden/>
              </w:rPr>
              <w:instrText xml:space="preserve"> PAGEREF _Toc420577620 \h </w:instrText>
            </w:r>
            <w:r w:rsidR="001752EA">
              <w:rPr>
                <w:noProof/>
                <w:webHidden/>
              </w:rPr>
            </w:r>
            <w:r w:rsidR="001752EA">
              <w:rPr>
                <w:noProof/>
                <w:webHidden/>
              </w:rPr>
              <w:fldChar w:fldCharType="separate"/>
            </w:r>
            <w:r w:rsidR="001752EA">
              <w:rPr>
                <w:noProof/>
                <w:webHidden/>
              </w:rPr>
              <w:t>52</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21" w:history="1">
            <w:r w:rsidR="001752EA" w:rsidRPr="007A664D">
              <w:rPr>
                <w:rStyle w:val="Hyperlink"/>
                <w:noProof/>
              </w:rPr>
              <w:t>Background:</w:t>
            </w:r>
            <w:r w:rsidR="001752EA">
              <w:rPr>
                <w:noProof/>
                <w:webHidden/>
              </w:rPr>
              <w:tab/>
            </w:r>
            <w:r w:rsidR="001752EA">
              <w:rPr>
                <w:noProof/>
                <w:webHidden/>
              </w:rPr>
              <w:fldChar w:fldCharType="begin"/>
            </w:r>
            <w:r w:rsidR="001752EA">
              <w:rPr>
                <w:noProof/>
                <w:webHidden/>
              </w:rPr>
              <w:instrText xml:space="preserve"> PAGEREF _Toc420577621 \h </w:instrText>
            </w:r>
            <w:r w:rsidR="001752EA">
              <w:rPr>
                <w:noProof/>
                <w:webHidden/>
              </w:rPr>
            </w:r>
            <w:r w:rsidR="001752EA">
              <w:rPr>
                <w:noProof/>
                <w:webHidden/>
              </w:rPr>
              <w:fldChar w:fldCharType="separate"/>
            </w:r>
            <w:r w:rsidR="001752EA">
              <w:rPr>
                <w:noProof/>
                <w:webHidden/>
              </w:rPr>
              <w:t>53</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22" w:history="1">
            <w:r w:rsidR="001752EA" w:rsidRPr="007A664D">
              <w:rPr>
                <w:rStyle w:val="Hyperlink"/>
                <w:noProof/>
              </w:rPr>
              <w:t>Quality</w:t>
            </w:r>
            <w:r w:rsidR="001752EA">
              <w:rPr>
                <w:noProof/>
                <w:webHidden/>
              </w:rPr>
              <w:tab/>
            </w:r>
            <w:r w:rsidR="001752EA">
              <w:rPr>
                <w:noProof/>
                <w:webHidden/>
              </w:rPr>
              <w:fldChar w:fldCharType="begin"/>
            </w:r>
            <w:r w:rsidR="001752EA">
              <w:rPr>
                <w:noProof/>
                <w:webHidden/>
              </w:rPr>
              <w:instrText xml:space="preserve"> PAGEREF _Toc420577622 \h </w:instrText>
            </w:r>
            <w:r w:rsidR="001752EA">
              <w:rPr>
                <w:noProof/>
                <w:webHidden/>
              </w:rPr>
            </w:r>
            <w:r w:rsidR="001752EA">
              <w:rPr>
                <w:noProof/>
                <w:webHidden/>
              </w:rPr>
              <w:fldChar w:fldCharType="separate"/>
            </w:r>
            <w:r w:rsidR="001752EA">
              <w:rPr>
                <w:noProof/>
                <w:webHidden/>
              </w:rPr>
              <w:t>54</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23" w:history="1">
            <w:r w:rsidR="001752EA" w:rsidRPr="007A664D">
              <w:rPr>
                <w:rStyle w:val="Hyperlink"/>
                <w:noProof/>
              </w:rPr>
              <w:t>Nonclinical</w:t>
            </w:r>
            <w:r w:rsidR="001752EA">
              <w:rPr>
                <w:noProof/>
                <w:webHidden/>
              </w:rPr>
              <w:tab/>
            </w:r>
            <w:r w:rsidR="001752EA">
              <w:rPr>
                <w:noProof/>
                <w:webHidden/>
              </w:rPr>
              <w:fldChar w:fldCharType="begin"/>
            </w:r>
            <w:r w:rsidR="001752EA">
              <w:rPr>
                <w:noProof/>
                <w:webHidden/>
              </w:rPr>
              <w:instrText xml:space="preserve"> PAGEREF _Toc420577623 \h </w:instrText>
            </w:r>
            <w:r w:rsidR="001752EA">
              <w:rPr>
                <w:noProof/>
                <w:webHidden/>
              </w:rPr>
            </w:r>
            <w:r w:rsidR="001752EA">
              <w:rPr>
                <w:noProof/>
                <w:webHidden/>
              </w:rPr>
              <w:fldChar w:fldCharType="separate"/>
            </w:r>
            <w:r w:rsidR="001752EA">
              <w:rPr>
                <w:noProof/>
                <w:webHidden/>
              </w:rPr>
              <w:t>55</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24" w:history="1">
            <w:r w:rsidR="001752EA" w:rsidRPr="007A664D">
              <w:rPr>
                <w:rStyle w:val="Hyperlink"/>
                <w:noProof/>
              </w:rPr>
              <w:t>Clinical</w:t>
            </w:r>
            <w:r w:rsidR="001752EA">
              <w:rPr>
                <w:noProof/>
                <w:webHidden/>
              </w:rPr>
              <w:tab/>
            </w:r>
            <w:r w:rsidR="001752EA">
              <w:rPr>
                <w:noProof/>
                <w:webHidden/>
              </w:rPr>
              <w:fldChar w:fldCharType="begin"/>
            </w:r>
            <w:r w:rsidR="001752EA">
              <w:rPr>
                <w:noProof/>
                <w:webHidden/>
              </w:rPr>
              <w:instrText xml:space="preserve"> PAGEREF _Toc420577624 \h </w:instrText>
            </w:r>
            <w:r w:rsidR="001752EA">
              <w:rPr>
                <w:noProof/>
                <w:webHidden/>
              </w:rPr>
            </w:r>
            <w:r w:rsidR="001752EA">
              <w:rPr>
                <w:noProof/>
                <w:webHidden/>
              </w:rPr>
              <w:fldChar w:fldCharType="separate"/>
            </w:r>
            <w:r w:rsidR="001752EA">
              <w:rPr>
                <w:noProof/>
                <w:webHidden/>
              </w:rPr>
              <w:t>55</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25" w:history="1">
            <w:r w:rsidR="001752EA" w:rsidRPr="007A664D">
              <w:rPr>
                <w:rStyle w:val="Hyperlink"/>
                <w:noProof/>
                <w:lang w:eastAsia="en-AU"/>
              </w:rPr>
              <w:t>Risk management plan</w:t>
            </w:r>
            <w:r w:rsidR="001752EA">
              <w:rPr>
                <w:noProof/>
                <w:webHidden/>
              </w:rPr>
              <w:tab/>
            </w:r>
            <w:r w:rsidR="001752EA">
              <w:rPr>
                <w:noProof/>
                <w:webHidden/>
              </w:rPr>
              <w:fldChar w:fldCharType="begin"/>
            </w:r>
            <w:r w:rsidR="001752EA">
              <w:rPr>
                <w:noProof/>
                <w:webHidden/>
              </w:rPr>
              <w:instrText xml:space="preserve"> PAGEREF _Toc420577625 \h </w:instrText>
            </w:r>
            <w:r w:rsidR="001752EA">
              <w:rPr>
                <w:noProof/>
                <w:webHidden/>
              </w:rPr>
            </w:r>
            <w:r w:rsidR="001752EA">
              <w:rPr>
                <w:noProof/>
                <w:webHidden/>
              </w:rPr>
              <w:fldChar w:fldCharType="separate"/>
            </w:r>
            <w:r w:rsidR="001752EA">
              <w:rPr>
                <w:noProof/>
                <w:webHidden/>
              </w:rPr>
              <w:t>62</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26" w:history="1">
            <w:r w:rsidR="001752EA" w:rsidRPr="007A664D">
              <w:rPr>
                <w:rStyle w:val="Hyperlink"/>
                <w:noProof/>
              </w:rPr>
              <w:t>Risk-benefit analysis</w:t>
            </w:r>
            <w:r w:rsidR="001752EA">
              <w:rPr>
                <w:noProof/>
                <w:webHidden/>
              </w:rPr>
              <w:tab/>
            </w:r>
            <w:r w:rsidR="001752EA">
              <w:rPr>
                <w:noProof/>
                <w:webHidden/>
              </w:rPr>
              <w:fldChar w:fldCharType="begin"/>
            </w:r>
            <w:r w:rsidR="001752EA">
              <w:rPr>
                <w:noProof/>
                <w:webHidden/>
              </w:rPr>
              <w:instrText xml:space="preserve"> PAGEREF _Toc420577626 \h </w:instrText>
            </w:r>
            <w:r w:rsidR="001752EA">
              <w:rPr>
                <w:noProof/>
                <w:webHidden/>
              </w:rPr>
            </w:r>
            <w:r w:rsidR="001752EA">
              <w:rPr>
                <w:noProof/>
                <w:webHidden/>
              </w:rPr>
              <w:fldChar w:fldCharType="separate"/>
            </w:r>
            <w:r w:rsidR="001752EA">
              <w:rPr>
                <w:noProof/>
                <w:webHidden/>
              </w:rPr>
              <w:t>62</w:t>
            </w:r>
            <w:r w:rsidR="001752EA">
              <w:rPr>
                <w:noProof/>
                <w:webHidden/>
              </w:rPr>
              <w:fldChar w:fldCharType="end"/>
            </w:r>
          </w:hyperlink>
        </w:p>
        <w:p w:rsidR="001752EA" w:rsidRDefault="00163792">
          <w:pPr>
            <w:pStyle w:val="TOC3"/>
            <w:rPr>
              <w:rFonts w:asciiTheme="minorHAnsi" w:eastAsiaTheme="minorEastAsia" w:hAnsiTheme="minorHAnsi" w:cstheme="minorBidi"/>
              <w:noProof/>
              <w:lang w:eastAsia="en-AU"/>
            </w:rPr>
          </w:pPr>
          <w:hyperlink w:anchor="_Toc420577627" w:history="1">
            <w:r w:rsidR="001752EA" w:rsidRPr="007A664D">
              <w:rPr>
                <w:rStyle w:val="Hyperlink"/>
                <w:noProof/>
              </w:rPr>
              <w:t>Outcome</w:t>
            </w:r>
            <w:r w:rsidR="001752EA">
              <w:rPr>
                <w:noProof/>
                <w:webHidden/>
              </w:rPr>
              <w:tab/>
            </w:r>
            <w:r w:rsidR="001752EA">
              <w:rPr>
                <w:noProof/>
                <w:webHidden/>
              </w:rPr>
              <w:fldChar w:fldCharType="begin"/>
            </w:r>
            <w:r w:rsidR="001752EA">
              <w:rPr>
                <w:noProof/>
                <w:webHidden/>
              </w:rPr>
              <w:instrText xml:space="preserve"> PAGEREF _Toc420577627 \h </w:instrText>
            </w:r>
            <w:r w:rsidR="001752EA">
              <w:rPr>
                <w:noProof/>
                <w:webHidden/>
              </w:rPr>
            </w:r>
            <w:r w:rsidR="001752EA">
              <w:rPr>
                <w:noProof/>
                <w:webHidden/>
              </w:rPr>
              <w:fldChar w:fldCharType="separate"/>
            </w:r>
            <w:r w:rsidR="001752EA">
              <w:rPr>
                <w:noProof/>
                <w:webHidden/>
              </w:rPr>
              <w:t>70</w:t>
            </w:r>
            <w:r w:rsidR="001752EA">
              <w:rPr>
                <w:noProof/>
                <w:webHidden/>
              </w:rPr>
              <w:fldChar w:fldCharType="end"/>
            </w:r>
          </w:hyperlink>
        </w:p>
        <w:p w:rsidR="001752EA" w:rsidRDefault="00163792">
          <w:pPr>
            <w:pStyle w:val="TOC2"/>
            <w:rPr>
              <w:rFonts w:asciiTheme="minorHAnsi" w:eastAsiaTheme="minorEastAsia" w:hAnsiTheme="minorHAnsi" w:cstheme="minorBidi"/>
              <w:b w:val="0"/>
              <w:noProof/>
              <w:sz w:val="22"/>
              <w:lang w:eastAsia="en-AU"/>
            </w:rPr>
          </w:pPr>
          <w:hyperlink w:anchor="_Toc420577628" w:history="1">
            <w:r w:rsidR="001752EA" w:rsidRPr="007A664D">
              <w:rPr>
                <w:rStyle w:val="Hyperlink"/>
                <w:noProof/>
              </w:rPr>
              <w:t>Attachment 1. Product Information</w:t>
            </w:r>
            <w:r w:rsidR="001752EA">
              <w:rPr>
                <w:noProof/>
                <w:webHidden/>
              </w:rPr>
              <w:tab/>
            </w:r>
            <w:r w:rsidR="001752EA">
              <w:rPr>
                <w:noProof/>
                <w:webHidden/>
              </w:rPr>
              <w:fldChar w:fldCharType="begin"/>
            </w:r>
            <w:r w:rsidR="001752EA">
              <w:rPr>
                <w:noProof/>
                <w:webHidden/>
              </w:rPr>
              <w:instrText xml:space="preserve"> PAGEREF _Toc420577628 \h </w:instrText>
            </w:r>
            <w:r w:rsidR="001752EA">
              <w:rPr>
                <w:noProof/>
                <w:webHidden/>
              </w:rPr>
            </w:r>
            <w:r w:rsidR="001752EA">
              <w:rPr>
                <w:noProof/>
                <w:webHidden/>
              </w:rPr>
              <w:fldChar w:fldCharType="separate"/>
            </w:r>
            <w:r w:rsidR="001752EA">
              <w:rPr>
                <w:noProof/>
                <w:webHidden/>
              </w:rPr>
              <w:t>71</w:t>
            </w:r>
            <w:r w:rsidR="001752EA">
              <w:rPr>
                <w:noProof/>
                <w:webHidden/>
              </w:rPr>
              <w:fldChar w:fldCharType="end"/>
            </w:r>
          </w:hyperlink>
        </w:p>
        <w:p w:rsidR="001752EA" w:rsidRDefault="00163792">
          <w:pPr>
            <w:pStyle w:val="TOC2"/>
            <w:rPr>
              <w:rFonts w:asciiTheme="minorHAnsi" w:eastAsiaTheme="minorEastAsia" w:hAnsiTheme="minorHAnsi" w:cstheme="minorBidi"/>
              <w:b w:val="0"/>
              <w:noProof/>
              <w:sz w:val="22"/>
              <w:lang w:eastAsia="en-AU"/>
            </w:rPr>
          </w:pPr>
          <w:hyperlink w:anchor="_Toc420577629" w:history="1">
            <w:r w:rsidR="001752EA" w:rsidRPr="007A664D">
              <w:rPr>
                <w:rStyle w:val="Hyperlink"/>
                <w:noProof/>
                <w:lang w:eastAsia="en-AU"/>
              </w:rPr>
              <w:t>Attachment 2. Extract from the Clinical Evaluation Report</w:t>
            </w:r>
            <w:r w:rsidR="001752EA">
              <w:rPr>
                <w:noProof/>
                <w:webHidden/>
              </w:rPr>
              <w:tab/>
            </w:r>
            <w:r w:rsidR="001752EA">
              <w:rPr>
                <w:noProof/>
                <w:webHidden/>
              </w:rPr>
              <w:fldChar w:fldCharType="begin"/>
            </w:r>
            <w:r w:rsidR="001752EA">
              <w:rPr>
                <w:noProof/>
                <w:webHidden/>
              </w:rPr>
              <w:instrText xml:space="preserve"> PAGEREF _Toc420577629 \h </w:instrText>
            </w:r>
            <w:r w:rsidR="001752EA">
              <w:rPr>
                <w:noProof/>
                <w:webHidden/>
              </w:rPr>
            </w:r>
            <w:r w:rsidR="001752EA">
              <w:rPr>
                <w:noProof/>
                <w:webHidden/>
              </w:rPr>
              <w:fldChar w:fldCharType="separate"/>
            </w:r>
            <w:r w:rsidR="001752EA">
              <w:rPr>
                <w:noProof/>
                <w:webHidden/>
              </w:rPr>
              <w:t>71</w:t>
            </w:r>
            <w:r w:rsidR="001752EA">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Pr="00FD119B" w:rsidRDefault="00FD119B" w:rsidP="006E2461">
      <w:pPr>
        <w:pStyle w:val="Heading2"/>
        <w:pageBreakBefore/>
      </w:pPr>
      <w:bookmarkStart w:id="3" w:name="_Toc351716269"/>
      <w:bookmarkStart w:id="4" w:name="_Toc351718881"/>
      <w:bookmarkStart w:id="5" w:name="_Toc355338616"/>
      <w:bookmarkStart w:id="6" w:name="_Toc356306144"/>
      <w:bookmarkStart w:id="7" w:name="_Toc420577584"/>
      <w:r w:rsidRPr="00FD119B">
        <w:lastRenderedPageBreak/>
        <w:t>List of the most common abbreviations</w:t>
      </w:r>
      <w:bookmarkEnd w:id="3"/>
      <w:bookmarkEnd w:id="4"/>
      <w:bookmarkEnd w:id="5"/>
      <w:bookmarkEnd w:id="6"/>
      <w:r w:rsidRPr="00FD119B">
        <w:t xml:space="preserve"> used in this </w:t>
      </w:r>
      <w:r w:rsidRPr="004F0C4A">
        <w:t>AusPAR</w:t>
      </w:r>
      <w:bookmarkEnd w:id="7"/>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A427FC" w:rsidTr="00A427FC">
        <w:tc>
          <w:tcPr>
            <w:tcW w:w="1809" w:type="dxa"/>
          </w:tcPr>
          <w:p w:rsidR="00A427FC" w:rsidRPr="006E4912" w:rsidRDefault="00A427FC" w:rsidP="00A427FC">
            <w:r w:rsidRPr="006E4912">
              <w:t>AE</w:t>
            </w:r>
          </w:p>
        </w:tc>
        <w:tc>
          <w:tcPr>
            <w:tcW w:w="6911" w:type="dxa"/>
          </w:tcPr>
          <w:p w:rsidR="00A427FC" w:rsidRPr="006E4912" w:rsidRDefault="00A427FC" w:rsidP="00A427FC">
            <w:r w:rsidRPr="006E4912">
              <w:t>adverse event</w:t>
            </w:r>
          </w:p>
        </w:tc>
      </w:tr>
      <w:tr w:rsidR="00A427FC" w:rsidTr="00A427FC">
        <w:tc>
          <w:tcPr>
            <w:tcW w:w="1809" w:type="dxa"/>
          </w:tcPr>
          <w:p w:rsidR="00A427FC" w:rsidRPr="006E4912" w:rsidRDefault="00A427FC" w:rsidP="00A427FC">
            <w:r w:rsidRPr="006E4912">
              <w:t>AESI</w:t>
            </w:r>
          </w:p>
        </w:tc>
        <w:tc>
          <w:tcPr>
            <w:tcW w:w="6911" w:type="dxa"/>
          </w:tcPr>
          <w:p w:rsidR="00A427FC" w:rsidRPr="006E4912" w:rsidRDefault="00A427FC" w:rsidP="00A427FC">
            <w:r w:rsidRPr="006E4912">
              <w:t>adverse event of special interest</w:t>
            </w:r>
          </w:p>
        </w:tc>
      </w:tr>
      <w:tr w:rsidR="002350B9" w:rsidTr="00A427FC">
        <w:tc>
          <w:tcPr>
            <w:tcW w:w="1809" w:type="dxa"/>
          </w:tcPr>
          <w:p w:rsidR="002350B9" w:rsidRPr="006E4912" w:rsidRDefault="002350B9" w:rsidP="00A427FC">
            <w:r>
              <w:t>ASA</w:t>
            </w:r>
          </w:p>
        </w:tc>
        <w:tc>
          <w:tcPr>
            <w:tcW w:w="6911" w:type="dxa"/>
          </w:tcPr>
          <w:p w:rsidR="002350B9" w:rsidRPr="006E4912" w:rsidRDefault="002350B9" w:rsidP="00A427FC">
            <w:r>
              <w:t>Australian specific annex (of the RMP)</w:t>
            </w:r>
          </w:p>
        </w:tc>
      </w:tr>
      <w:tr w:rsidR="0035367F" w:rsidTr="00A427FC">
        <w:tc>
          <w:tcPr>
            <w:tcW w:w="1809" w:type="dxa"/>
          </w:tcPr>
          <w:p w:rsidR="0035367F" w:rsidRPr="006E4912" w:rsidRDefault="0035367F" w:rsidP="00A427FC">
            <w:r>
              <w:t>AUC</w:t>
            </w:r>
            <w:r w:rsidRPr="0035367F">
              <w:rPr>
                <w:vertAlign w:val="subscript"/>
              </w:rPr>
              <w:t>0-24</w:t>
            </w:r>
            <w:r w:rsidR="00E15620">
              <w:rPr>
                <w:vertAlign w:val="subscript"/>
              </w:rPr>
              <w:t xml:space="preserve"> </w:t>
            </w:r>
            <w:r>
              <w:rPr>
                <w:vertAlign w:val="subscript"/>
              </w:rPr>
              <w:t>h</w:t>
            </w:r>
          </w:p>
        </w:tc>
        <w:tc>
          <w:tcPr>
            <w:tcW w:w="6911" w:type="dxa"/>
          </w:tcPr>
          <w:p w:rsidR="0035367F" w:rsidRPr="006E4912" w:rsidRDefault="003476A7" w:rsidP="00A427FC">
            <w:r>
              <w:t>Area under the concentration time curve for 0 to 24 hours</w:t>
            </w:r>
          </w:p>
        </w:tc>
      </w:tr>
      <w:tr w:rsidR="00A427FC" w:rsidTr="00A427FC">
        <w:tc>
          <w:tcPr>
            <w:tcW w:w="1809" w:type="dxa"/>
          </w:tcPr>
          <w:p w:rsidR="00A427FC" w:rsidRPr="006E4912" w:rsidRDefault="00A427FC" w:rsidP="00A427FC">
            <w:r w:rsidRPr="006E4912">
              <w:t>CHMP</w:t>
            </w:r>
          </w:p>
        </w:tc>
        <w:tc>
          <w:tcPr>
            <w:tcW w:w="6911" w:type="dxa"/>
          </w:tcPr>
          <w:p w:rsidR="00A427FC" w:rsidRPr="006E4912" w:rsidRDefault="00A427FC" w:rsidP="00A427FC">
            <w:r w:rsidRPr="006E4912">
              <w:t>Committee for Medicinal Products for Human Use</w:t>
            </w:r>
          </w:p>
        </w:tc>
      </w:tr>
      <w:tr w:rsidR="00A427FC" w:rsidTr="00A427FC">
        <w:tc>
          <w:tcPr>
            <w:tcW w:w="1809" w:type="dxa"/>
          </w:tcPr>
          <w:p w:rsidR="00A427FC" w:rsidRPr="006E4912" w:rsidRDefault="00A427FC" w:rsidP="00A427FC">
            <w:r w:rsidRPr="006E4912">
              <w:t>CI</w:t>
            </w:r>
          </w:p>
        </w:tc>
        <w:tc>
          <w:tcPr>
            <w:tcW w:w="6911" w:type="dxa"/>
          </w:tcPr>
          <w:p w:rsidR="00A427FC" w:rsidRPr="006E4912" w:rsidRDefault="00A427FC" w:rsidP="00A427FC">
            <w:r w:rsidRPr="006E4912">
              <w:t>confidence interval</w:t>
            </w:r>
          </w:p>
        </w:tc>
      </w:tr>
      <w:tr w:rsidR="00A427FC" w:rsidTr="00A427FC">
        <w:tc>
          <w:tcPr>
            <w:tcW w:w="1809" w:type="dxa"/>
          </w:tcPr>
          <w:p w:rsidR="00A427FC" w:rsidRPr="006E4912" w:rsidRDefault="00A427FC" w:rsidP="00A427FC">
            <w:proofErr w:type="spellStart"/>
            <w:r w:rsidRPr="006E4912">
              <w:t>C</w:t>
            </w:r>
            <w:r w:rsidRPr="00313817">
              <w:rPr>
                <w:vertAlign w:val="subscript"/>
              </w:rPr>
              <w:t>max</w:t>
            </w:r>
            <w:proofErr w:type="spellEnd"/>
          </w:p>
        </w:tc>
        <w:tc>
          <w:tcPr>
            <w:tcW w:w="6911" w:type="dxa"/>
          </w:tcPr>
          <w:p w:rsidR="00A427FC" w:rsidRPr="006E4912" w:rsidRDefault="00A427FC" w:rsidP="00A427FC">
            <w:r w:rsidRPr="006E4912">
              <w:t>maximum concentration</w:t>
            </w:r>
          </w:p>
        </w:tc>
      </w:tr>
      <w:tr w:rsidR="00A427FC" w:rsidTr="00A427FC">
        <w:tc>
          <w:tcPr>
            <w:tcW w:w="1809" w:type="dxa"/>
          </w:tcPr>
          <w:p w:rsidR="00A427FC" w:rsidRPr="006E4912" w:rsidRDefault="00A427FC" w:rsidP="00A427FC">
            <w:r w:rsidRPr="006E4912">
              <w:t>CNS</w:t>
            </w:r>
          </w:p>
        </w:tc>
        <w:tc>
          <w:tcPr>
            <w:tcW w:w="6911" w:type="dxa"/>
          </w:tcPr>
          <w:p w:rsidR="00A427FC" w:rsidRPr="006E4912" w:rsidRDefault="00A427FC" w:rsidP="00A427FC">
            <w:r w:rsidRPr="006E4912">
              <w:t>central nervous system</w:t>
            </w:r>
          </w:p>
        </w:tc>
      </w:tr>
      <w:tr w:rsidR="00A427FC" w:rsidTr="00A427FC">
        <w:tc>
          <w:tcPr>
            <w:tcW w:w="1809" w:type="dxa"/>
          </w:tcPr>
          <w:p w:rsidR="00A427FC" w:rsidRPr="006E4912" w:rsidRDefault="00A427FC" w:rsidP="00A427FC">
            <w:r w:rsidRPr="006E4912">
              <w:t>COPD</w:t>
            </w:r>
          </w:p>
        </w:tc>
        <w:tc>
          <w:tcPr>
            <w:tcW w:w="6911" w:type="dxa"/>
          </w:tcPr>
          <w:p w:rsidR="00A427FC" w:rsidRPr="006E4912" w:rsidRDefault="00A427FC" w:rsidP="00A427FC">
            <w:r w:rsidRPr="006E4912">
              <w:t>chronic obstructive pulmonary disease</w:t>
            </w:r>
          </w:p>
        </w:tc>
      </w:tr>
      <w:tr w:rsidR="00A427FC" w:rsidTr="00A427FC">
        <w:tc>
          <w:tcPr>
            <w:tcW w:w="1809" w:type="dxa"/>
          </w:tcPr>
          <w:p w:rsidR="00A427FC" w:rsidRPr="006E4912" w:rsidRDefault="00A427FC" w:rsidP="00A427FC">
            <w:r w:rsidRPr="006E4912">
              <w:t>CYP</w:t>
            </w:r>
          </w:p>
        </w:tc>
        <w:tc>
          <w:tcPr>
            <w:tcW w:w="6911" w:type="dxa"/>
          </w:tcPr>
          <w:p w:rsidR="00A427FC" w:rsidRPr="006E4912" w:rsidRDefault="00A427FC" w:rsidP="00A427FC">
            <w:r w:rsidRPr="006E4912">
              <w:t>cytochrome P450</w:t>
            </w:r>
          </w:p>
        </w:tc>
      </w:tr>
      <w:tr w:rsidR="009442C3" w:rsidRPr="009442C3" w:rsidTr="00077A4E">
        <w:tc>
          <w:tcPr>
            <w:tcW w:w="1809" w:type="dxa"/>
          </w:tcPr>
          <w:p w:rsidR="009442C3" w:rsidRPr="009442C3" w:rsidRDefault="009442C3" w:rsidP="009442C3">
            <w:r w:rsidRPr="009442C3">
              <w:t>CYP1A1</w:t>
            </w:r>
          </w:p>
        </w:tc>
        <w:tc>
          <w:tcPr>
            <w:tcW w:w="6911" w:type="dxa"/>
          </w:tcPr>
          <w:p w:rsidR="009442C3" w:rsidRPr="009442C3" w:rsidRDefault="009442C3" w:rsidP="009442C3">
            <w:r w:rsidRPr="009442C3">
              <w:t>P450 1A1</w:t>
            </w:r>
          </w:p>
        </w:tc>
      </w:tr>
      <w:tr w:rsidR="00A427FC" w:rsidTr="00A427FC">
        <w:tc>
          <w:tcPr>
            <w:tcW w:w="1809" w:type="dxa"/>
          </w:tcPr>
          <w:p w:rsidR="00A427FC" w:rsidRPr="006E4912" w:rsidRDefault="00A427FC" w:rsidP="00A427FC">
            <w:r w:rsidRPr="006E4912">
              <w:t>CYP2D6</w:t>
            </w:r>
          </w:p>
        </w:tc>
        <w:tc>
          <w:tcPr>
            <w:tcW w:w="6911" w:type="dxa"/>
          </w:tcPr>
          <w:p w:rsidR="00A427FC" w:rsidRPr="006E4912" w:rsidRDefault="00A427FC" w:rsidP="00A427FC">
            <w:r w:rsidRPr="006E4912">
              <w:t>P450 2D6</w:t>
            </w:r>
          </w:p>
        </w:tc>
      </w:tr>
      <w:tr w:rsidR="009442C3" w:rsidTr="00A427FC">
        <w:tc>
          <w:tcPr>
            <w:tcW w:w="1809" w:type="dxa"/>
          </w:tcPr>
          <w:p w:rsidR="009442C3" w:rsidRPr="009442C3" w:rsidRDefault="009442C3" w:rsidP="00A427FC">
            <w:r w:rsidRPr="009442C3">
              <w:t>CYP3A4</w:t>
            </w:r>
          </w:p>
        </w:tc>
        <w:tc>
          <w:tcPr>
            <w:tcW w:w="6911" w:type="dxa"/>
          </w:tcPr>
          <w:p w:rsidR="009442C3" w:rsidRPr="009442C3" w:rsidRDefault="009442C3" w:rsidP="00A427FC">
            <w:r w:rsidRPr="009442C3">
              <w:t>P450</w:t>
            </w:r>
            <w:r>
              <w:t xml:space="preserve"> 3A4</w:t>
            </w:r>
          </w:p>
        </w:tc>
      </w:tr>
      <w:tr w:rsidR="00A427FC" w:rsidTr="00A427FC">
        <w:tc>
          <w:tcPr>
            <w:tcW w:w="1809" w:type="dxa"/>
          </w:tcPr>
          <w:p w:rsidR="00A427FC" w:rsidRPr="006E4912" w:rsidRDefault="00A427FC" w:rsidP="00A427FC">
            <w:r w:rsidRPr="006E4912">
              <w:t>ECG</w:t>
            </w:r>
          </w:p>
        </w:tc>
        <w:tc>
          <w:tcPr>
            <w:tcW w:w="6911" w:type="dxa"/>
          </w:tcPr>
          <w:p w:rsidR="00A427FC" w:rsidRPr="006E4912" w:rsidRDefault="00A427FC" w:rsidP="00A427FC">
            <w:r w:rsidRPr="006E4912">
              <w:t>electrocardiogram</w:t>
            </w:r>
          </w:p>
        </w:tc>
      </w:tr>
      <w:tr w:rsidR="00A427FC" w:rsidTr="00A427FC">
        <w:tc>
          <w:tcPr>
            <w:tcW w:w="1809" w:type="dxa"/>
          </w:tcPr>
          <w:p w:rsidR="00A427FC" w:rsidRPr="006E4912" w:rsidRDefault="00A427FC" w:rsidP="00A427FC">
            <w:r w:rsidRPr="006E4912">
              <w:t>ED</w:t>
            </w:r>
            <w:r w:rsidRPr="0036602A">
              <w:rPr>
                <w:vertAlign w:val="subscript"/>
              </w:rPr>
              <w:t>50</w:t>
            </w:r>
          </w:p>
        </w:tc>
        <w:tc>
          <w:tcPr>
            <w:tcW w:w="6911" w:type="dxa"/>
          </w:tcPr>
          <w:p w:rsidR="00A427FC" w:rsidRPr="006E4912" w:rsidRDefault="00A427FC" w:rsidP="000673C3">
            <w:r w:rsidRPr="006E4912">
              <w:t xml:space="preserve">estimated dose that would yield 50% of </w:t>
            </w:r>
            <w:r w:rsidR="000673C3">
              <w:t>effective dose</w:t>
            </w:r>
          </w:p>
        </w:tc>
      </w:tr>
      <w:tr w:rsidR="00A427FC" w:rsidTr="00A427FC">
        <w:tc>
          <w:tcPr>
            <w:tcW w:w="1809" w:type="dxa"/>
          </w:tcPr>
          <w:p w:rsidR="00A427FC" w:rsidRPr="006E4912" w:rsidRDefault="00A427FC" w:rsidP="00A427FC">
            <w:r w:rsidRPr="006E4912">
              <w:t>EET</w:t>
            </w:r>
          </w:p>
        </w:tc>
        <w:tc>
          <w:tcPr>
            <w:tcW w:w="6911" w:type="dxa"/>
          </w:tcPr>
          <w:p w:rsidR="00A427FC" w:rsidRPr="006E4912" w:rsidRDefault="00A427FC" w:rsidP="00A427FC">
            <w:r w:rsidRPr="006E4912">
              <w:t>exercise endurance time</w:t>
            </w:r>
          </w:p>
        </w:tc>
      </w:tr>
      <w:tr w:rsidR="00A427FC" w:rsidTr="00A427FC">
        <w:tc>
          <w:tcPr>
            <w:tcW w:w="1809" w:type="dxa"/>
          </w:tcPr>
          <w:p w:rsidR="00A427FC" w:rsidRPr="006E4912" w:rsidRDefault="00A427FC" w:rsidP="00A427FC">
            <w:r w:rsidRPr="006E4912">
              <w:t>EMA</w:t>
            </w:r>
          </w:p>
        </w:tc>
        <w:tc>
          <w:tcPr>
            <w:tcW w:w="6911" w:type="dxa"/>
          </w:tcPr>
          <w:p w:rsidR="00A427FC" w:rsidRPr="006E4912" w:rsidRDefault="00A427FC" w:rsidP="00A427FC">
            <w:r w:rsidRPr="006E4912">
              <w:t>European Medicines Agency</w:t>
            </w:r>
          </w:p>
        </w:tc>
      </w:tr>
      <w:tr w:rsidR="00A427FC" w:rsidTr="00A427FC">
        <w:tc>
          <w:tcPr>
            <w:tcW w:w="1809" w:type="dxa"/>
          </w:tcPr>
          <w:p w:rsidR="00A427FC" w:rsidRPr="006E4912" w:rsidRDefault="00A427FC" w:rsidP="00A427FC">
            <w:proofErr w:type="spellStart"/>
            <w:r w:rsidRPr="006E4912">
              <w:t>E</w:t>
            </w:r>
            <w:r w:rsidRPr="00F429FC">
              <w:rPr>
                <w:vertAlign w:val="subscript"/>
              </w:rPr>
              <w:t>max</w:t>
            </w:r>
            <w:proofErr w:type="spellEnd"/>
          </w:p>
        </w:tc>
        <w:tc>
          <w:tcPr>
            <w:tcW w:w="6911" w:type="dxa"/>
          </w:tcPr>
          <w:p w:rsidR="00A427FC" w:rsidRPr="006E4912" w:rsidRDefault="00A427FC" w:rsidP="00A427FC">
            <w:r w:rsidRPr="006E4912">
              <w:t>maximum effect</w:t>
            </w:r>
          </w:p>
        </w:tc>
      </w:tr>
      <w:tr w:rsidR="00A427FC" w:rsidTr="00A427FC">
        <w:tc>
          <w:tcPr>
            <w:tcW w:w="1809" w:type="dxa"/>
          </w:tcPr>
          <w:p w:rsidR="00A427FC" w:rsidRPr="006E4912" w:rsidRDefault="00A427FC" w:rsidP="00A427FC">
            <w:r w:rsidRPr="006E4912">
              <w:t>FDA</w:t>
            </w:r>
          </w:p>
        </w:tc>
        <w:tc>
          <w:tcPr>
            <w:tcW w:w="6911" w:type="dxa"/>
          </w:tcPr>
          <w:p w:rsidR="00A427FC" w:rsidRPr="006E4912" w:rsidRDefault="00A427FC" w:rsidP="00A427FC">
            <w:r w:rsidRPr="006E4912">
              <w:t>Food and Drug Administration</w:t>
            </w:r>
          </w:p>
        </w:tc>
      </w:tr>
      <w:tr w:rsidR="00A427FC" w:rsidTr="00A427FC">
        <w:tc>
          <w:tcPr>
            <w:tcW w:w="1809" w:type="dxa"/>
          </w:tcPr>
          <w:p w:rsidR="00A427FC" w:rsidRPr="006E4912" w:rsidRDefault="00A427FC" w:rsidP="00A427FC">
            <w:r w:rsidRPr="006E4912">
              <w:t>FEV1</w:t>
            </w:r>
          </w:p>
        </w:tc>
        <w:tc>
          <w:tcPr>
            <w:tcW w:w="6911" w:type="dxa"/>
          </w:tcPr>
          <w:p w:rsidR="00A427FC" w:rsidRPr="006E4912" w:rsidRDefault="00A427FC" w:rsidP="00A427FC">
            <w:r w:rsidRPr="006E4912">
              <w:t>forced expiratory volume in 1 second</w:t>
            </w:r>
          </w:p>
        </w:tc>
      </w:tr>
      <w:tr w:rsidR="00A427FC" w:rsidTr="00A427FC">
        <w:tc>
          <w:tcPr>
            <w:tcW w:w="1809" w:type="dxa"/>
          </w:tcPr>
          <w:p w:rsidR="00A427FC" w:rsidRPr="006E4912" w:rsidRDefault="00A427FC" w:rsidP="00A427FC">
            <w:r w:rsidRPr="006E4912">
              <w:t>FF</w:t>
            </w:r>
          </w:p>
        </w:tc>
        <w:tc>
          <w:tcPr>
            <w:tcW w:w="6911" w:type="dxa"/>
          </w:tcPr>
          <w:p w:rsidR="00A427FC" w:rsidRPr="006E4912" w:rsidRDefault="00A427FC" w:rsidP="00A427FC">
            <w:r w:rsidRPr="006E4912">
              <w:t xml:space="preserve">fluticasone </w:t>
            </w:r>
            <w:proofErr w:type="spellStart"/>
            <w:r w:rsidRPr="006E4912">
              <w:t>furoate</w:t>
            </w:r>
            <w:proofErr w:type="spellEnd"/>
          </w:p>
        </w:tc>
      </w:tr>
      <w:tr w:rsidR="006C39F3" w:rsidRPr="006C39F3" w:rsidTr="00A427FC">
        <w:tc>
          <w:tcPr>
            <w:tcW w:w="1809" w:type="dxa"/>
          </w:tcPr>
          <w:p w:rsidR="00A427FC" w:rsidRPr="006E4912" w:rsidRDefault="00A427FC" w:rsidP="00A427FC">
            <w:r w:rsidRPr="006E4912">
              <w:t>FVC</w:t>
            </w:r>
          </w:p>
        </w:tc>
        <w:tc>
          <w:tcPr>
            <w:tcW w:w="6911" w:type="dxa"/>
          </w:tcPr>
          <w:p w:rsidR="00A427FC" w:rsidRPr="006C39F3" w:rsidRDefault="00A427FC" w:rsidP="004D3555">
            <w:pPr>
              <w:rPr>
                <w:color w:val="auto"/>
              </w:rPr>
            </w:pPr>
            <w:r w:rsidRPr="006C39F3">
              <w:rPr>
                <w:color w:val="auto"/>
              </w:rPr>
              <w:t>forced vital capacity</w:t>
            </w:r>
          </w:p>
        </w:tc>
      </w:tr>
      <w:tr w:rsidR="00A427FC" w:rsidTr="00A427FC">
        <w:tc>
          <w:tcPr>
            <w:tcW w:w="1809" w:type="dxa"/>
          </w:tcPr>
          <w:p w:rsidR="00A427FC" w:rsidRPr="006E4912" w:rsidRDefault="00A427FC" w:rsidP="00A427FC">
            <w:r w:rsidRPr="006E4912">
              <w:t>GCP</w:t>
            </w:r>
          </w:p>
        </w:tc>
        <w:tc>
          <w:tcPr>
            <w:tcW w:w="6911" w:type="dxa"/>
          </w:tcPr>
          <w:p w:rsidR="00A427FC" w:rsidRPr="006E4912" w:rsidRDefault="00A427FC" w:rsidP="00A427FC">
            <w:r>
              <w:t>G</w:t>
            </w:r>
            <w:r w:rsidRPr="006E4912">
              <w:t>ood Clinical Practice</w:t>
            </w:r>
          </w:p>
        </w:tc>
      </w:tr>
      <w:tr w:rsidR="00A427FC" w:rsidTr="00A427FC">
        <w:tc>
          <w:tcPr>
            <w:tcW w:w="1809" w:type="dxa"/>
          </w:tcPr>
          <w:p w:rsidR="00A427FC" w:rsidRPr="006E4912" w:rsidRDefault="00A427FC" w:rsidP="00A427FC">
            <w:r w:rsidRPr="006E4912">
              <w:lastRenderedPageBreak/>
              <w:t>GOLD</w:t>
            </w:r>
          </w:p>
        </w:tc>
        <w:tc>
          <w:tcPr>
            <w:tcW w:w="6911" w:type="dxa"/>
          </w:tcPr>
          <w:p w:rsidR="00A427FC" w:rsidRPr="006E4912" w:rsidRDefault="00A427FC" w:rsidP="00A427FC">
            <w:r w:rsidRPr="006E4912">
              <w:t>Global Initiative for Obstructive Lung Disease</w:t>
            </w:r>
          </w:p>
        </w:tc>
      </w:tr>
      <w:tr w:rsidR="00A427FC" w:rsidTr="00A427FC">
        <w:tc>
          <w:tcPr>
            <w:tcW w:w="1809" w:type="dxa"/>
          </w:tcPr>
          <w:p w:rsidR="00A427FC" w:rsidRPr="006E4912" w:rsidRDefault="00A427FC" w:rsidP="00A427FC">
            <w:r w:rsidRPr="006E4912">
              <w:t>GSK</w:t>
            </w:r>
          </w:p>
        </w:tc>
        <w:tc>
          <w:tcPr>
            <w:tcW w:w="6911" w:type="dxa"/>
          </w:tcPr>
          <w:p w:rsidR="00A427FC" w:rsidRPr="006E4912" w:rsidRDefault="00A427FC" w:rsidP="00A427FC">
            <w:r w:rsidRPr="006E4912">
              <w:t>GlaxoSmithKline</w:t>
            </w:r>
          </w:p>
        </w:tc>
      </w:tr>
      <w:tr w:rsidR="00A427FC" w:rsidTr="00A427FC">
        <w:tc>
          <w:tcPr>
            <w:tcW w:w="1809" w:type="dxa"/>
          </w:tcPr>
          <w:p w:rsidR="00A427FC" w:rsidRPr="006E4912" w:rsidRDefault="00A427FC" w:rsidP="00A427FC">
            <w:r w:rsidRPr="006E4912">
              <w:t>GSK573719</w:t>
            </w:r>
          </w:p>
        </w:tc>
        <w:tc>
          <w:tcPr>
            <w:tcW w:w="6911" w:type="dxa"/>
          </w:tcPr>
          <w:p w:rsidR="00A427FC" w:rsidRPr="006E4912" w:rsidRDefault="00A427FC" w:rsidP="00A427FC">
            <w:r w:rsidRPr="006E4912">
              <w:t>umeclidinium bromide (UMEC)</w:t>
            </w:r>
          </w:p>
        </w:tc>
      </w:tr>
      <w:tr w:rsidR="00A427FC" w:rsidTr="00A427FC">
        <w:tc>
          <w:tcPr>
            <w:tcW w:w="1809" w:type="dxa"/>
          </w:tcPr>
          <w:p w:rsidR="00A427FC" w:rsidRPr="006E4912" w:rsidRDefault="00A427FC" w:rsidP="00A427FC">
            <w:r w:rsidRPr="006E4912">
              <w:t>h</w:t>
            </w:r>
          </w:p>
        </w:tc>
        <w:tc>
          <w:tcPr>
            <w:tcW w:w="6911" w:type="dxa"/>
          </w:tcPr>
          <w:p w:rsidR="00A427FC" w:rsidRPr="006E4912" w:rsidRDefault="00A427FC" w:rsidP="00A427FC">
            <w:r>
              <w:t>h</w:t>
            </w:r>
            <w:r w:rsidRPr="006E4912">
              <w:t>our</w:t>
            </w:r>
            <w:r>
              <w:t>(s)</w:t>
            </w:r>
          </w:p>
        </w:tc>
      </w:tr>
      <w:tr w:rsidR="006F6218" w:rsidTr="00A427FC">
        <w:tc>
          <w:tcPr>
            <w:tcW w:w="1809" w:type="dxa"/>
          </w:tcPr>
          <w:p w:rsidR="006F6218" w:rsidRDefault="006F6218">
            <w:proofErr w:type="spellStart"/>
            <w:r w:rsidRPr="00001910">
              <w:t>hERG</w:t>
            </w:r>
            <w:proofErr w:type="spellEnd"/>
            <w:r w:rsidRPr="00001910">
              <w:t> K</w:t>
            </w:r>
            <w:r w:rsidRPr="00001910">
              <w:rPr>
                <w:vertAlign w:val="superscript"/>
              </w:rPr>
              <w:t>+</w:t>
            </w:r>
            <w:r w:rsidRPr="00001910">
              <w:t xml:space="preserve"> </w:t>
            </w:r>
          </w:p>
        </w:tc>
        <w:tc>
          <w:tcPr>
            <w:tcW w:w="6911" w:type="dxa"/>
          </w:tcPr>
          <w:p w:rsidR="006F6218" w:rsidRDefault="006F6218" w:rsidP="006F6218">
            <w:r w:rsidRPr="006F6218">
              <w:t>human ether-à</w:t>
            </w:r>
            <w:r>
              <w:t>-go-go-related gene pota</w:t>
            </w:r>
            <w:r w:rsidRPr="006F6218">
              <w:t>s</w:t>
            </w:r>
            <w:r>
              <w:t>sium</w:t>
            </w:r>
            <w:r w:rsidRPr="006F6218">
              <w:t xml:space="preserve"> channel</w:t>
            </w:r>
          </w:p>
        </w:tc>
      </w:tr>
      <w:tr w:rsidR="00A427FC" w:rsidTr="00A427FC">
        <w:tc>
          <w:tcPr>
            <w:tcW w:w="1809" w:type="dxa"/>
          </w:tcPr>
          <w:p w:rsidR="00A427FC" w:rsidRPr="006E4912" w:rsidRDefault="00A427FC" w:rsidP="00A427FC">
            <w:r w:rsidRPr="006E4912">
              <w:t>IC</w:t>
            </w:r>
            <w:r w:rsidRPr="00A662F8">
              <w:rPr>
                <w:vertAlign w:val="subscript"/>
              </w:rPr>
              <w:t>50</w:t>
            </w:r>
          </w:p>
        </w:tc>
        <w:tc>
          <w:tcPr>
            <w:tcW w:w="6911" w:type="dxa"/>
          </w:tcPr>
          <w:p w:rsidR="00A427FC" w:rsidRPr="006E4912" w:rsidRDefault="00A427FC" w:rsidP="00A427FC">
            <w:r w:rsidRPr="006E4912">
              <w:t>half maximal inhibitory concentration</w:t>
            </w:r>
          </w:p>
        </w:tc>
      </w:tr>
      <w:tr w:rsidR="00A427FC" w:rsidTr="00A427FC">
        <w:tc>
          <w:tcPr>
            <w:tcW w:w="1809" w:type="dxa"/>
          </w:tcPr>
          <w:p w:rsidR="00A427FC" w:rsidRPr="006E4912" w:rsidRDefault="00A427FC" w:rsidP="00A427FC">
            <w:r w:rsidRPr="006E4912">
              <w:t>ICH</w:t>
            </w:r>
          </w:p>
        </w:tc>
        <w:tc>
          <w:tcPr>
            <w:tcW w:w="6911" w:type="dxa"/>
          </w:tcPr>
          <w:p w:rsidR="00A427FC" w:rsidRPr="006E4912" w:rsidRDefault="00A427FC" w:rsidP="00A427FC">
            <w:r w:rsidRPr="006E4912">
              <w:t>Internati</w:t>
            </w:r>
            <w:r w:rsidR="0036602A">
              <w:t>onal Conference on</w:t>
            </w:r>
            <w:r w:rsidR="0036602A" w:rsidRPr="0036602A">
              <w:rPr>
                <w:color w:val="auto"/>
                <w:szCs w:val="22"/>
                <w:lang w:eastAsia="en-US"/>
              </w:rPr>
              <w:t xml:space="preserve"> </w:t>
            </w:r>
            <w:r w:rsidR="0036602A" w:rsidRPr="0036602A">
              <w:t xml:space="preserve">Harmonisation </w:t>
            </w:r>
            <w:r w:rsidR="0036602A" w:rsidRPr="0036602A">
              <w:rPr>
                <w:lang w:val="en"/>
              </w:rPr>
              <w:t>of Technical Requirements for Registration of Pharmaceuticals for Human Use</w:t>
            </w:r>
          </w:p>
        </w:tc>
      </w:tr>
      <w:tr w:rsidR="00A427FC" w:rsidTr="00A427FC">
        <w:tc>
          <w:tcPr>
            <w:tcW w:w="1809" w:type="dxa"/>
          </w:tcPr>
          <w:p w:rsidR="00A427FC" w:rsidRPr="006E4912" w:rsidRDefault="00A427FC" w:rsidP="00A427FC">
            <w:r w:rsidRPr="006E4912">
              <w:t>ICS</w:t>
            </w:r>
          </w:p>
        </w:tc>
        <w:tc>
          <w:tcPr>
            <w:tcW w:w="6911" w:type="dxa"/>
          </w:tcPr>
          <w:p w:rsidR="00A427FC" w:rsidRPr="006E4912" w:rsidRDefault="00A427FC" w:rsidP="00A427FC">
            <w:r w:rsidRPr="006E4912">
              <w:t>inhaled corticosteroid</w:t>
            </w:r>
          </w:p>
        </w:tc>
      </w:tr>
      <w:tr w:rsidR="00A427FC" w:rsidTr="00A427FC">
        <w:tc>
          <w:tcPr>
            <w:tcW w:w="1809" w:type="dxa"/>
          </w:tcPr>
          <w:p w:rsidR="00A427FC" w:rsidRPr="006E4912" w:rsidRDefault="00A427FC" w:rsidP="00A427FC">
            <w:r w:rsidRPr="006E4912">
              <w:t>IH</w:t>
            </w:r>
          </w:p>
        </w:tc>
        <w:tc>
          <w:tcPr>
            <w:tcW w:w="6911" w:type="dxa"/>
          </w:tcPr>
          <w:p w:rsidR="00A427FC" w:rsidRPr="006E4912" w:rsidRDefault="00A427FC" w:rsidP="00A427FC">
            <w:r w:rsidRPr="006E4912">
              <w:t>inhalation</w:t>
            </w:r>
          </w:p>
        </w:tc>
      </w:tr>
      <w:tr w:rsidR="00A427FC" w:rsidTr="00A427FC">
        <w:tc>
          <w:tcPr>
            <w:tcW w:w="1809" w:type="dxa"/>
          </w:tcPr>
          <w:p w:rsidR="00A427FC" w:rsidRPr="006E4912" w:rsidRDefault="00A427FC" w:rsidP="00A427FC">
            <w:r w:rsidRPr="006E4912">
              <w:t>ITT</w:t>
            </w:r>
          </w:p>
        </w:tc>
        <w:tc>
          <w:tcPr>
            <w:tcW w:w="6911" w:type="dxa"/>
          </w:tcPr>
          <w:p w:rsidR="00A427FC" w:rsidRPr="006E4912" w:rsidRDefault="00A427FC" w:rsidP="00A427FC">
            <w:r>
              <w:t>intent-to-t</w:t>
            </w:r>
            <w:r w:rsidRPr="006E4912">
              <w:t>reat</w:t>
            </w:r>
          </w:p>
        </w:tc>
      </w:tr>
      <w:tr w:rsidR="00A427FC" w:rsidTr="00A427FC">
        <w:tc>
          <w:tcPr>
            <w:tcW w:w="1809" w:type="dxa"/>
          </w:tcPr>
          <w:p w:rsidR="00B201DB" w:rsidRPr="006E4912" w:rsidRDefault="00A427FC" w:rsidP="00B201DB">
            <w:r w:rsidRPr="006E4912">
              <w:t>IV</w:t>
            </w:r>
          </w:p>
        </w:tc>
        <w:tc>
          <w:tcPr>
            <w:tcW w:w="6911" w:type="dxa"/>
          </w:tcPr>
          <w:p w:rsidR="00A427FC" w:rsidRPr="006E4912" w:rsidRDefault="00A427FC" w:rsidP="00A427FC">
            <w:r w:rsidRPr="006E4912">
              <w:t>intravenous(</w:t>
            </w:r>
            <w:proofErr w:type="spellStart"/>
            <w:r w:rsidRPr="006E4912">
              <w:t>ly</w:t>
            </w:r>
            <w:proofErr w:type="spellEnd"/>
            <w:r w:rsidRPr="006E4912">
              <w:t>)</w:t>
            </w:r>
          </w:p>
        </w:tc>
      </w:tr>
      <w:tr w:rsidR="00B201DB" w:rsidTr="00A427FC">
        <w:tc>
          <w:tcPr>
            <w:tcW w:w="1809" w:type="dxa"/>
          </w:tcPr>
          <w:p w:rsidR="00B201DB" w:rsidRPr="006E4912" w:rsidRDefault="00B201DB" w:rsidP="00B201DB">
            <w:r>
              <w:t>Ki</w:t>
            </w:r>
          </w:p>
        </w:tc>
        <w:tc>
          <w:tcPr>
            <w:tcW w:w="6911" w:type="dxa"/>
          </w:tcPr>
          <w:p w:rsidR="00B201DB" w:rsidRPr="006E4912" w:rsidRDefault="00E30542" w:rsidP="00A427FC">
            <w:r>
              <w:t>Affinity (binding)</w:t>
            </w:r>
            <w:r w:rsidR="00E10C7F">
              <w:t xml:space="preserve"> constant</w:t>
            </w:r>
          </w:p>
        </w:tc>
      </w:tr>
      <w:tr w:rsidR="00A427FC" w:rsidTr="00A427FC">
        <w:tc>
          <w:tcPr>
            <w:tcW w:w="1809" w:type="dxa"/>
          </w:tcPr>
          <w:p w:rsidR="00A427FC" w:rsidRPr="006E4912" w:rsidRDefault="00A427FC" w:rsidP="00A427FC">
            <w:r w:rsidRPr="006E4912">
              <w:t>L</w:t>
            </w:r>
          </w:p>
        </w:tc>
        <w:tc>
          <w:tcPr>
            <w:tcW w:w="6911" w:type="dxa"/>
          </w:tcPr>
          <w:p w:rsidR="00A427FC" w:rsidRPr="006E4912" w:rsidRDefault="00A427FC" w:rsidP="00A427FC">
            <w:r>
              <w:t>litre</w:t>
            </w:r>
          </w:p>
        </w:tc>
      </w:tr>
      <w:tr w:rsidR="00A427FC" w:rsidTr="00A427FC">
        <w:tc>
          <w:tcPr>
            <w:tcW w:w="1809" w:type="dxa"/>
          </w:tcPr>
          <w:p w:rsidR="00A427FC" w:rsidRPr="006E4912" w:rsidRDefault="00A427FC" w:rsidP="00A427FC">
            <w:r w:rsidRPr="006E4912">
              <w:t>LABA</w:t>
            </w:r>
          </w:p>
        </w:tc>
        <w:tc>
          <w:tcPr>
            <w:tcW w:w="6911" w:type="dxa"/>
          </w:tcPr>
          <w:p w:rsidR="00A427FC" w:rsidRPr="006E4912" w:rsidRDefault="00A427FC" w:rsidP="00A427FC">
            <w:r>
              <w:t>long acting</w:t>
            </w:r>
            <w:r w:rsidRPr="006E4912">
              <w:t xml:space="preserve"> beta</w:t>
            </w:r>
            <w:r w:rsidRPr="002D141B">
              <w:rPr>
                <w:vertAlign w:val="subscript"/>
              </w:rPr>
              <w:t>2</w:t>
            </w:r>
            <w:r w:rsidR="002D141B">
              <w:t>-</w:t>
            </w:r>
            <w:r w:rsidRPr="006E4912">
              <w:t>agonist</w:t>
            </w:r>
          </w:p>
        </w:tc>
      </w:tr>
      <w:tr w:rsidR="00A427FC" w:rsidTr="00A427FC">
        <w:tc>
          <w:tcPr>
            <w:tcW w:w="1809" w:type="dxa"/>
          </w:tcPr>
          <w:p w:rsidR="00A427FC" w:rsidRPr="006E4912" w:rsidRDefault="00A427FC" w:rsidP="00A427FC">
            <w:r w:rsidRPr="006E4912">
              <w:t>LAMA</w:t>
            </w:r>
          </w:p>
        </w:tc>
        <w:tc>
          <w:tcPr>
            <w:tcW w:w="6911" w:type="dxa"/>
          </w:tcPr>
          <w:p w:rsidR="00A427FC" w:rsidRPr="006E4912" w:rsidRDefault="00A427FC" w:rsidP="00A427FC">
            <w:r>
              <w:t>long acting</w:t>
            </w:r>
            <w:r w:rsidRPr="006E4912">
              <w:t xml:space="preserve"> muscarinic antagonist</w:t>
            </w:r>
          </w:p>
        </w:tc>
      </w:tr>
      <w:tr w:rsidR="00A427FC" w:rsidTr="00A427FC">
        <w:tc>
          <w:tcPr>
            <w:tcW w:w="1809" w:type="dxa"/>
          </w:tcPr>
          <w:p w:rsidR="00A427FC" w:rsidRPr="000E558C" w:rsidRDefault="00A427FC" w:rsidP="00A427FC">
            <w:pPr>
              <w:rPr>
                <w:color w:val="auto"/>
              </w:rPr>
            </w:pPr>
            <w:r w:rsidRPr="000E558C">
              <w:rPr>
                <w:color w:val="auto"/>
              </w:rPr>
              <w:t>LS</w:t>
            </w:r>
          </w:p>
        </w:tc>
        <w:tc>
          <w:tcPr>
            <w:tcW w:w="6911" w:type="dxa"/>
          </w:tcPr>
          <w:p w:rsidR="00A427FC" w:rsidRPr="000E558C" w:rsidRDefault="00A427FC" w:rsidP="00A427FC">
            <w:pPr>
              <w:rPr>
                <w:color w:val="auto"/>
              </w:rPr>
            </w:pPr>
            <w:r w:rsidRPr="000E558C">
              <w:rPr>
                <w:color w:val="auto"/>
              </w:rPr>
              <w:t>least squares</w:t>
            </w:r>
          </w:p>
        </w:tc>
      </w:tr>
      <w:tr w:rsidR="00240523" w:rsidTr="00A427FC">
        <w:tc>
          <w:tcPr>
            <w:tcW w:w="1809" w:type="dxa"/>
          </w:tcPr>
          <w:p w:rsidR="00240523" w:rsidRPr="000E558C" w:rsidRDefault="00240523" w:rsidP="00A427FC">
            <w:pPr>
              <w:rPr>
                <w:color w:val="auto"/>
              </w:rPr>
            </w:pPr>
            <w:r w:rsidRPr="000E558C">
              <w:rPr>
                <w:color w:val="auto"/>
              </w:rPr>
              <w:t>LSM</w:t>
            </w:r>
          </w:p>
        </w:tc>
        <w:tc>
          <w:tcPr>
            <w:tcW w:w="6911" w:type="dxa"/>
          </w:tcPr>
          <w:p w:rsidR="00240523" w:rsidRPr="000E558C" w:rsidRDefault="00240523" w:rsidP="00A427FC">
            <w:pPr>
              <w:rPr>
                <w:color w:val="auto"/>
              </w:rPr>
            </w:pPr>
            <w:r w:rsidRPr="000E558C">
              <w:rPr>
                <w:color w:val="auto"/>
              </w:rPr>
              <w:t>Least squares mean</w:t>
            </w:r>
          </w:p>
        </w:tc>
      </w:tr>
      <w:tr w:rsidR="00A427FC" w:rsidTr="00A427FC">
        <w:tc>
          <w:tcPr>
            <w:tcW w:w="1809" w:type="dxa"/>
          </w:tcPr>
          <w:p w:rsidR="00A427FC" w:rsidRPr="006E4912" w:rsidRDefault="00A427FC" w:rsidP="00A427FC">
            <w:r w:rsidRPr="006E4912">
              <w:t>MACE</w:t>
            </w:r>
          </w:p>
        </w:tc>
        <w:tc>
          <w:tcPr>
            <w:tcW w:w="6911" w:type="dxa"/>
          </w:tcPr>
          <w:p w:rsidR="00A427FC" w:rsidRPr="006E4912" w:rsidRDefault="00A427FC" w:rsidP="00A427FC">
            <w:r w:rsidRPr="006E4912">
              <w:t>Major Adverse Cardiac Event</w:t>
            </w:r>
          </w:p>
        </w:tc>
      </w:tr>
      <w:tr w:rsidR="00A427FC" w:rsidTr="00A427FC">
        <w:tc>
          <w:tcPr>
            <w:tcW w:w="1809" w:type="dxa"/>
          </w:tcPr>
          <w:p w:rsidR="00A427FC" w:rsidRPr="006E4912" w:rsidRDefault="00A427FC" w:rsidP="00A427FC">
            <w:r>
              <w:t>µg</w:t>
            </w:r>
          </w:p>
        </w:tc>
        <w:tc>
          <w:tcPr>
            <w:tcW w:w="6911" w:type="dxa"/>
          </w:tcPr>
          <w:p w:rsidR="00A427FC" w:rsidRPr="006E4912" w:rsidRDefault="00A427FC" w:rsidP="00A427FC">
            <w:r w:rsidRPr="006E4912">
              <w:t>microgram</w:t>
            </w:r>
          </w:p>
        </w:tc>
      </w:tr>
      <w:tr w:rsidR="00A427FC" w:rsidTr="00A427FC">
        <w:tc>
          <w:tcPr>
            <w:tcW w:w="1809" w:type="dxa"/>
          </w:tcPr>
          <w:p w:rsidR="00A427FC" w:rsidRPr="006E4912" w:rsidRDefault="00A427FC" w:rsidP="00A427FC">
            <w:proofErr w:type="spellStart"/>
            <w:r w:rsidRPr="006E4912">
              <w:t>MedDRA</w:t>
            </w:r>
            <w:proofErr w:type="spellEnd"/>
          </w:p>
        </w:tc>
        <w:tc>
          <w:tcPr>
            <w:tcW w:w="6911" w:type="dxa"/>
          </w:tcPr>
          <w:p w:rsidR="00A427FC" w:rsidRPr="006E4912" w:rsidRDefault="00A427FC" w:rsidP="00A427FC">
            <w:r w:rsidRPr="006E4912">
              <w:t>Medical Dictionary for Regulatory Activities</w:t>
            </w:r>
          </w:p>
        </w:tc>
      </w:tr>
      <w:tr w:rsidR="00A427FC" w:rsidTr="00A427FC">
        <w:tc>
          <w:tcPr>
            <w:tcW w:w="1809" w:type="dxa"/>
          </w:tcPr>
          <w:p w:rsidR="00A427FC" w:rsidRPr="006E4912" w:rsidRDefault="00F705C7" w:rsidP="00A427FC">
            <w:r>
              <w:t>mL</w:t>
            </w:r>
          </w:p>
        </w:tc>
        <w:tc>
          <w:tcPr>
            <w:tcW w:w="6911" w:type="dxa"/>
          </w:tcPr>
          <w:p w:rsidR="00A427FC" w:rsidRPr="006E4912" w:rsidRDefault="002A434E" w:rsidP="00A427FC">
            <w:r w:rsidRPr="006E4912">
              <w:t>millilitre</w:t>
            </w:r>
          </w:p>
        </w:tc>
      </w:tr>
      <w:tr w:rsidR="00FD56D7" w:rsidTr="00A427FC">
        <w:tc>
          <w:tcPr>
            <w:tcW w:w="1809" w:type="dxa"/>
          </w:tcPr>
          <w:p w:rsidR="00FD56D7" w:rsidRPr="009C562B" w:rsidRDefault="00FD56D7" w:rsidP="00A427FC">
            <w:r w:rsidRPr="00FD56D7">
              <w:t>NOAEL</w:t>
            </w:r>
          </w:p>
        </w:tc>
        <w:tc>
          <w:tcPr>
            <w:tcW w:w="6911" w:type="dxa"/>
          </w:tcPr>
          <w:p w:rsidR="00FD56D7" w:rsidRPr="009C562B" w:rsidRDefault="00FD56D7" w:rsidP="00A427FC">
            <w:r>
              <w:t>no observed</w:t>
            </w:r>
            <w:r w:rsidRPr="00FD56D7">
              <w:t xml:space="preserve"> </w:t>
            </w:r>
            <w:r>
              <w:t xml:space="preserve">adverse </w:t>
            </w:r>
            <w:r w:rsidRPr="00FD56D7">
              <w:t>effect level</w:t>
            </w:r>
          </w:p>
        </w:tc>
      </w:tr>
      <w:tr w:rsidR="009615C3" w:rsidTr="00A427FC">
        <w:tc>
          <w:tcPr>
            <w:tcW w:w="1809" w:type="dxa"/>
          </w:tcPr>
          <w:p w:rsidR="009615C3" w:rsidRPr="009C562B" w:rsidRDefault="009615C3" w:rsidP="00A427FC">
            <w:r>
              <w:t>NOEL</w:t>
            </w:r>
          </w:p>
        </w:tc>
        <w:tc>
          <w:tcPr>
            <w:tcW w:w="6911" w:type="dxa"/>
          </w:tcPr>
          <w:p w:rsidR="009615C3" w:rsidRPr="009C562B" w:rsidRDefault="009615C3" w:rsidP="00A427FC">
            <w:r w:rsidRPr="009615C3">
              <w:t>no observable effect level</w:t>
            </w:r>
          </w:p>
        </w:tc>
      </w:tr>
      <w:tr w:rsidR="00C2755D" w:rsidTr="00A427FC">
        <w:tc>
          <w:tcPr>
            <w:tcW w:w="1809" w:type="dxa"/>
          </w:tcPr>
          <w:p w:rsidR="00C2755D" w:rsidRDefault="00C2755D" w:rsidP="00A427FC">
            <w:r>
              <w:t>OCT</w:t>
            </w:r>
          </w:p>
        </w:tc>
        <w:tc>
          <w:tcPr>
            <w:tcW w:w="6911" w:type="dxa"/>
          </w:tcPr>
          <w:p w:rsidR="00C2755D" w:rsidRPr="009615C3" w:rsidRDefault="00C2755D" w:rsidP="00C2755D">
            <w:r w:rsidRPr="00C2755D">
              <w:t>org</w:t>
            </w:r>
            <w:r>
              <w:t>anic cation transporter</w:t>
            </w:r>
          </w:p>
        </w:tc>
      </w:tr>
      <w:tr w:rsidR="00413C5A" w:rsidTr="00A427FC">
        <w:tc>
          <w:tcPr>
            <w:tcW w:w="1809" w:type="dxa"/>
          </w:tcPr>
          <w:p w:rsidR="00413C5A" w:rsidRPr="00746931" w:rsidRDefault="00413C5A" w:rsidP="00A427FC">
            <w:r>
              <w:t>PASS</w:t>
            </w:r>
          </w:p>
        </w:tc>
        <w:tc>
          <w:tcPr>
            <w:tcW w:w="6911" w:type="dxa"/>
          </w:tcPr>
          <w:p w:rsidR="00413C5A" w:rsidRPr="00746931" w:rsidRDefault="00413C5A" w:rsidP="00A427FC">
            <w:r w:rsidRPr="00413C5A">
              <w:t>post authorisation safety studies</w:t>
            </w:r>
          </w:p>
        </w:tc>
      </w:tr>
      <w:tr w:rsidR="00746931" w:rsidTr="00A427FC">
        <w:tc>
          <w:tcPr>
            <w:tcW w:w="1809" w:type="dxa"/>
          </w:tcPr>
          <w:p w:rsidR="00746931" w:rsidRPr="00746931" w:rsidRDefault="00746931" w:rsidP="00A427FC">
            <w:pPr>
              <w:rPr>
                <w:color w:val="auto"/>
              </w:rPr>
            </w:pPr>
            <w:r w:rsidRPr="00746931">
              <w:rPr>
                <w:color w:val="auto"/>
              </w:rPr>
              <w:lastRenderedPageBreak/>
              <w:t>PBRER</w:t>
            </w:r>
          </w:p>
        </w:tc>
        <w:tc>
          <w:tcPr>
            <w:tcW w:w="6911" w:type="dxa"/>
          </w:tcPr>
          <w:p w:rsidR="00746931" w:rsidRPr="00746931" w:rsidRDefault="00746931" w:rsidP="00A427FC">
            <w:pPr>
              <w:rPr>
                <w:color w:val="auto"/>
              </w:rPr>
            </w:pPr>
            <w:r w:rsidRPr="00746931">
              <w:rPr>
                <w:color w:val="auto"/>
              </w:rPr>
              <w:t>Periodic Benefit-Risk Evaluation Reports</w:t>
            </w:r>
          </w:p>
        </w:tc>
      </w:tr>
      <w:tr w:rsidR="00A427FC" w:rsidTr="00A427FC">
        <w:tc>
          <w:tcPr>
            <w:tcW w:w="1809" w:type="dxa"/>
          </w:tcPr>
          <w:p w:rsidR="00A427FC" w:rsidRPr="006E4912" w:rsidRDefault="00A427FC" w:rsidP="00A427FC">
            <w:r w:rsidRPr="006E4912">
              <w:t>PD</w:t>
            </w:r>
          </w:p>
        </w:tc>
        <w:tc>
          <w:tcPr>
            <w:tcW w:w="6911" w:type="dxa"/>
          </w:tcPr>
          <w:p w:rsidR="00A427FC" w:rsidRPr="006E4912" w:rsidRDefault="00A427FC" w:rsidP="00A427FC">
            <w:r w:rsidRPr="006E4912">
              <w:t>pharmacodynamic</w:t>
            </w:r>
          </w:p>
        </w:tc>
      </w:tr>
      <w:tr w:rsidR="00A427FC" w:rsidTr="00A427FC">
        <w:tc>
          <w:tcPr>
            <w:tcW w:w="1809" w:type="dxa"/>
          </w:tcPr>
          <w:p w:rsidR="00A427FC" w:rsidRPr="006E4912" w:rsidRDefault="00A427FC" w:rsidP="00A427FC">
            <w:r w:rsidRPr="006E4912">
              <w:t>P</w:t>
            </w:r>
            <w:r>
              <w:t>-</w:t>
            </w:r>
            <w:proofErr w:type="spellStart"/>
            <w:r w:rsidRPr="006E4912">
              <w:t>gp</w:t>
            </w:r>
            <w:proofErr w:type="spellEnd"/>
          </w:p>
        </w:tc>
        <w:tc>
          <w:tcPr>
            <w:tcW w:w="6911" w:type="dxa"/>
          </w:tcPr>
          <w:p w:rsidR="00A427FC" w:rsidRPr="006E4912" w:rsidRDefault="00A427FC" w:rsidP="00A427FC">
            <w:r w:rsidRPr="006E4912">
              <w:t>P</w:t>
            </w:r>
            <w:r>
              <w:t>-</w:t>
            </w:r>
            <w:r w:rsidRPr="006E4912">
              <w:t>glycoprotein</w:t>
            </w:r>
          </w:p>
        </w:tc>
      </w:tr>
      <w:tr w:rsidR="00A427FC" w:rsidTr="00A427FC">
        <w:tc>
          <w:tcPr>
            <w:tcW w:w="1809" w:type="dxa"/>
          </w:tcPr>
          <w:p w:rsidR="00A427FC" w:rsidRPr="006E4912" w:rsidRDefault="00A427FC" w:rsidP="00A427FC">
            <w:r w:rsidRPr="006E4912">
              <w:t>PK</w:t>
            </w:r>
          </w:p>
        </w:tc>
        <w:tc>
          <w:tcPr>
            <w:tcW w:w="6911" w:type="dxa"/>
          </w:tcPr>
          <w:p w:rsidR="00A427FC" w:rsidRPr="006E4912" w:rsidRDefault="00A427FC" w:rsidP="00A427FC">
            <w:r w:rsidRPr="006E4912">
              <w:t>pharmacokinetic(s)</w:t>
            </w:r>
          </w:p>
        </w:tc>
      </w:tr>
      <w:tr w:rsidR="000864A7" w:rsidTr="00A427FC">
        <w:tc>
          <w:tcPr>
            <w:tcW w:w="1809" w:type="dxa"/>
          </w:tcPr>
          <w:p w:rsidR="000864A7" w:rsidRPr="006E4912" w:rsidRDefault="000864A7" w:rsidP="00A427FC">
            <w:r w:rsidRPr="000864A7">
              <w:t>PMSB</w:t>
            </w:r>
          </w:p>
        </w:tc>
        <w:tc>
          <w:tcPr>
            <w:tcW w:w="6911" w:type="dxa"/>
          </w:tcPr>
          <w:p w:rsidR="000864A7" w:rsidRPr="006E4912" w:rsidRDefault="000864A7" w:rsidP="000864A7">
            <w:r w:rsidRPr="000864A7">
              <w:t>TGA’s P</w:t>
            </w:r>
            <w:r>
              <w:t>ost-Market Surveillance Branch</w:t>
            </w:r>
          </w:p>
        </w:tc>
      </w:tr>
      <w:tr w:rsidR="002350B9" w:rsidTr="00A427FC">
        <w:tc>
          <w:tcPr>
            <w:tcW w:w="1809" w:type="dxa"/>
          </w:tcPr>
          <w:p w:rsidR="002350B9" w:rsidRPr="006E4912" w:rsidRDefault="002350B9" w:rsidP="00A427FC">
            <w:r>
              <w:t>PSURs</w:t>
            </w:r>
          </w:p>
        </w:tc>
        <w:tc>
          <w:tcPr>
            <w:tcW w:w="6911" w:type="dxa"/>
          </w:tcPr>
          <w:p w:rsidR="002350B9" w:rsidRPr="006E4912" w:rsidRDefault="002350B9" w:rsidP="00A427FC">
            <w:r>
              <w:t>Periodic Safety Update Reports</w:t>
            </w:r>
          </w:p>
        </w:tc>
      </w:tr>
      <w:tr w:rsidR="00A427FC" w:rsidTr="00A427FC">
        <w:tc>
          <w:tcPr>
            <w:tcW w:w="1809" w:type="dxa"/>
          </w:tcPr>
          <w:p w:rsidR="00A427FC" w:rsidRPr="006E4912" w:rsidRDefault="00A427FC" w:rsidP="00A427FC">
            <w:r w:rsidRPr="006E4912">
              <w:t>QD</w:t>
            </w:r>
          </w:p>
        </w:tc>
        <w:tc>
          <w:tcPr>
            <w:tcW w:w="6911" w:type="dxa"/>
          </w:tcPr>
          <w:p w:rsidR="00A427FC" w:rsidRPr="006E4912" w:rsidRDefault="00A427FC" w:rsidP="00A427FC">
            <w:r w:rsidRPr="006E4912">
              <w:t>once</w:t>
            </w:r>
            <w:r>
              <w:t xml:space="preserve"> </w:t>
            </w:r>
            <w:r w:rsidRPr="006E4912">
              <w:t>daily</w:t>
            </w:r>
          </w:p>
        </w:tc>
      </w:tr>
      <w:tr w:rsidR="00B73028" w:rsidTr="00A427FC">
        <w:tc>
          <w:tcPr>
            <w:tcW w:w="1809" w:type="dxa"/>
          </w:tcPr>
          <w:p w:rsidR="00B73028" w:rsidRPr="006E4912" w:rsidRDefault="00B73028" w:rsidP="00A427FC">
            <w:proofErr w:type="spellStart"/>
            <w:r>
              <w:t>QTcF</w:t>
            </w:r>
            <w:proofErr w:type="spellEnd"/>
          </w:p>
        </w:tc>
        <w:tc>
          <w:tcPr>
            <w:tcW w:w="6911" w:type="dxa"/>
          </w:tcPr>
          <w:p w:rsidR="00B73028" w:rsidRPr="006E4912" w:rsidRDefault="00B73028" w:rsidP="00A427FC">
            <w:r w:rsidRPr="00B73028">
              <w:t xml:space="preserve">QT interval corrected for heart rate using </w:t>
            </w:r>
            <w:proofErr w:type="spellStart"/>
            <w:r w:rsidRPr="00B73028">
              <w:t>Fridericia’s</w:t>
            </w:r>
            <w:proofErr w:type="spellEnd"/>
            <w:r w:rsidRPr="00B73028">
              <w:t xml:space="preserve"> formula</w:t>
            </w:r>
          </w:p>
        </w:tc>
      </w:tr>
      <w:tr w:rsidR="00A427FC" w:rsidTr="00A427FC">
        <w:tc>
          <w:tcPr>
            <w:tcW w:w="1809" w:type="dxa"/>
          </w:tcPr>
          <w:p w:rsidR="00A427FC" w:rsidRPr="006E4912" w:rsidRDefault="00A427FC" w:rsidP="00A427FC">
            <w:r w:rsidRPr="006E4912">
              <w:t>SAE</w:t>
            </w:r>
          </w:p>
        </w:tc>
        <w:tc>
          <w:tcPr>
            <w:tcW w:w="6911" w:type="dxa"/>
          </w:tcPr>
          <w:p w:rsidR="00A427FC" w:rsidRPr="006E4912" w:rsidRDefault="00A427FC" w:rsidP="00A427FC">
            <w:r w:rsidRPr="006E4912">
              <w:t>serious adverse event</w:t>
            </w:r>
          </w:p>
        </w:tc>
      </w:tr>
      <w:tr w:rsidR="00077A4E" w:rsidTr="00A427FC">
        <w:tc>
          <w:tcPr>
            <w:tcW w:w="1809" w:type="dxa"/>
          </w:tcPr>
          <w:p w:rsidR="00077A4E" w:rsidRPr="006E4912" w:rsidRDefault="00077A4E" w:rsidP="00A427FC">
            <w:r>
              <w:t>SC</w:t>
            </w:r>
          </w:p>
        </w:tc>
        <w:tc>
          <w:tcPr>
            <w:tcW w:w="6911" w:type="dxa"/>
          </w:tcPr>
          <w:p w:rsidR="00077A4E" w:rsidRPr="006E4912" w:rsidRDefault="00BB41DF" w:rsidP="00A427FC">
            <w:r w:rsidRPr="00BB41DF">
              <w:t>subcutaneous</w:t>
            </w:r>
          </w:p>
        </w:tc>
      </w:tr>
      <w:tr w:rsidR="00A427FC" w:rsidTr="00A427FC">
        <w:tc>
          <w:tcPr>
            <w:tcW w:w="1809" w:type="dxa"/>
          </w:tcPr>
          <w:p w:rsidR="00A427FC" w:rsidRPr="006E4912" w:rsidRDefault="00A427FC" w:rsidP="00A427FC">
            <w:r w:rsidRPr="006E4912">
              <w:t>SD</w:t>
            </w:r>
          </w:p>
        </w:tc>
        <w:tc>
          <w:tcPr>
            <w:tcW w:w="6911" w:type="dxa"/>
          </w:tcPr>
          <w:p w:rsidR="00A427FC" w:rsidRPr="006E4912" w:rsidRDefault="00A427FC" w:rsidP="00A427FC">
            <w:r w:rsidRPr="006E4912">
              <w:t>standard deviation</w:t>
            </w:r>
          </w:p>
        </w:tc>
      </w:tr>
      <w:tr w:rsidR="00A427FC" w:rsidTr="00A427FC">
        <w:tc>
          <w:tcPr>
            <w:tcW w:w="1809" w:type="dxa"/>
          </w:tcPr>
          <w:p w:rsidR="00A427FC" w:rsidRPr="006E4912" w:rsidRDefault="00A427FC" w:rsidP="00A427FC">
            <w:r w:rsidRPr="006E4912">
              <w:t>SE</w:t>
            </w:r>
          </w:p>
        </w:tc>
        <w:tc>
          <w:tcPr>
            <w:tcW w:w="6911" w:type="dxa"/>
          </w:tcPr>
          <w:p w:rsidR="00A427FC" w:rsidRPr="006E4912" w:rsidRDefault="00A427FC" w:rsidP="00A427FC">
            <w:r w:rsidRPr="006E4912">
              <w:t>standard error</w:t>
            </w:r>
          </w:p>
        </w:tc>
      </w:tr>
      <w:tr w:rsidR="00A427FC" w:rsidTr="00A427FC">
        <w:tc>
          <w:tcPr>
            <w:tcW w:w="1809" w:type="dxa"/>
          </w:tcPr>
          <w:p w:rsidR="00A427FC" w:rsidRPr="006E4912" w:rsidRDefault="00A427FC" w:rsidP="00A427FC">
            <w:r w:rsidRPr="006E4912">
              <w:t>SGRQ</w:t>
            </w:r>
          </w:p>
        </w:tc>
        <w:tc>
          <w:tcPr>
            <w:tcW w:w="6911" w:type="dxa"/>
          </w:tcPr>
          <w:p w:rsidR="00A427FC" w:rsidRPr="006E4912" w:rsidRDefault="00A427FC" w:rsidP="004D3555">
            <w:r w:rsidRPr="006E4912">
              <w:t>St. George’s Respiratory Questionnaire</w:t>
            </w:r>
          </w:p>
        </w:tc>
      </w:tr>
      <w:tr w:rsidR="002350B9" w:rsidTr="00A427FC">
        <w:tc>
          <w:tcPr>
            <w:tcW w:w="1809" w:type="dxa"/>
          </w:tcPr>
          <w:p w:rsidR="002350B9" w:rsidRPr="006E4912" w:rsidRDefault="002350B9" w:rsidP="00A427FC">
            <w:r>
              <w:t>SMQ</w:t>
            </w:r>
            <w:r w:rsidR="00E90B5C">
              <w:t>(</w:t>
            </w:r>
            <w:r w:rsidR="009C562B">
              <w:t>s</w:t>
            </w:r>
            <w:r w:rsidR="00E90B5C">
              <w:t>)</w:t>
            </w:r>
          </w:p>
        </w:tc>
        <w:tc>
          <w:tcPr>
            <w:tcW w:w="6911" w:type="dxa"/>
          </w:tcPr>
          <w:p w:rsidR="002350B9" w:rsidRPr="006E4912" w:rsidRDefault="009C562B" w:rsidP="004D3555">
            <w:r>
              <w:t xml:space="preserve">Standardised </w:t>
            </w:r>
            <w:proofErr w:type="spellStart"/>
            <w:r>
              <w:t>MedRA</w:t>
            </w:r>
            <w:proofErr w:type="spellEnd"/>
            <w:r>
              <w:t xml:space="preserve"> </w:t>
            </w:r>
            <w:proofErr w:type="spellStart"/>
            <w:r>
              <w:t>Querie</w:t>
            </w:r>
            <w:proofErr w:type="spellEnd"/>
            <w:r w:rsidR="00E90B5C">
              <w:t>(</w:t>
            </w:r>
            <w:r>
              <w:t>s</w:t>
            </w:r>
            <w:r w:rsidR="00E90B5C">
              <w:t>)</w:t>
            </w:r>
          </w:p>
        </w:tc>
      </w:tr>
      <w:tr w:rsidR="00A427FC" w:rsidTr="00A427FC">
        <w:tc>
          <w:tcPr>
            <w:tcW w:w="1809" w:type="dxa"/>
          </w:tcPr>
          <w:p w:rsidR="00A427FC" w:rsidRPr="006E4912" w:rsidRDefault="00A427FC" w:rsidP="00A427FC">
            <w:r w:rsidRPr="006E4912">
              <w:t>SOBDA</w:t>
            </w:r>
          </w:p>
        </w:tc>
        <w:tc>
          <w:tcPr>
            <w:tcW w:w="6911" w:type="dxa"/>
          </w:tcPr>
          <w:p w:rsidR="00A427FC" w:rsidRPr="006E4912" w:rsidRDefault="00A427FC" w:rsidP="00A427FC">
            <w:r w:rsidRPr="006E4912">
              <w:t>shortness of breath with daily activities</w:t>
            </w:r>
          </w:p>
        </w:tc>
      </w:tr>
      <w:tr w:rsidR="00090C84" w:rsidTr="00A427FC">
        <w:tc>
          <w:tcPr>
            <w:tcW w:w="1809" w:type="dxa"/>
          </w:tcPr>
          <w:p w:rsidR="00090C84" w:rsidRPr="006E4912" w:rsidRDefault="00090C84" w:rsidP="00A427FC">
            <w:r>
              <w:t>SS</w:t>
            </w:r>
          </w:p>
        </w:tc>
        <w:tc>
          <w:tcPr>
            <w:tcW w:w="6911" w:type="dxa"/>
          </w:tcPr>
          <w:p w:rsidR="00090C84" w:rsidRPr="006E4912" w:rsidRDefault="00090C84" w:rsidP="00A427FC">
            <w:r>
              <w:t>safety specifications</w:t>
            </w:r>
          </w:p>
        </w:tc>
      </w:tr>
      <w:tr w:rsidR="00A427FC" w:rsidTr="00A427FC">
        <w:tc>
          <w:tcPr>
            <w:tcW w:w="1809" w:type="dxa"/>
          </w:tcPr>
          <w:p w:rsidR="00A427FC" w:rsidRPr="006E4912" w:rsidRDefault="00A427FC" w:rsidP="00A427FC">
            <w:r w:rsidRPr="006E4912">
              <w:t>TDI</w:t>
            </w:r>
          </w:p>
        </w:tc>
        <w:tc>
          <w:tcPr>
            <w:tcW w:w="6911" w:type="dxa"/>
          </w:tcPr>
          <w:p w:rsidR="00A427FC" w:rsidRPr="006E4912" w:rsidRDefault="00A427FC" w:rsidP="002C6F43">
            <w:r w:rsidRPr="006E4912">
              <w:t xml:space="preserve">Transition </w:t>
            </w:r>
            <w:r w:rsidR="009C562B" w:rsidRPr="006E4912">
              <w:t>Dyspnoea</w:t>
            </w:r>
            <w:r w:rsidRPr="006E4912">
              <w:t xml:space="preserve"> Index</w:t>
            </w:r>
          </w:p>
        </w:tc>
      </w:tr>
      <w:tr w:rsidR="006F0C0F" w:rsidTr="00A427FC">
        <w:tc>
          <w:tcPr>
            <w:tcW w:w="1809" w:type="dxa"/>
          </w:tcPr>
          <w:p w:rsidR="006F0C0F" w:rsidRPr="006E4912" w:rsidRDefault="006F0C0F" w:rsidP="00A427FC">
            <w:r>
              <w:t>TFH</w:t>
            </w:r>
          </w:p>
        </w:tc>
        <w:tc>
          <w:tcPr>
            <w:tcW w:w="6911" w:type="dxa"/>
          </w:tcPr>
          <w:p w:rsidR="006F0C0F" w:rsidRPr="006E4912" w:rsidRDefault="006F0C0F" w:rsidP="00A427FC">
            <w:r>
              <w:t>Twenty four hour</w:t>
            </w:r>
          </w:p>
        </w:tc>
      </w:tr>
      <w:tr w:rsidR="00A427FC" w:rsidTr="00A427FC">
        <w:tc>
          <w:tcPr>
            <w:tcW w:w="1809" w:type="dxa"/>
          </w:tcPr>
          <w:p w:rsidR="00A427FC" w:rsidRPr="006E4912" w:rsidRDefault="00A427FC" w:rsidP="00A427FC">
            <w:r w:rsidRPr="006E4912">
              <w:t>TIO</w:t>
            </w:r>
          </w:p>
        </w:tc>
        <w:tc>
          <w:tcPr>
            <w:tcW w:w="6911" w:type="dxa"/>
          </w:tcPr>
          <w:p w:rsidR="00A427FC" w:rsidRPr="006E4912" w:rsidRDefault="00A427FC" w:rsidP="00A427FC">
            <w:proofErr w:type="spellStart"/>
            <w:r w:rsidRPr="006E4912">
              <w:t>tiotropium</w:t>
            </w:r>
            <w:proofErr w:type="spellEnd"/>
            <w:r w:rsidRPr="006E4912">
              <w:t xml:space="preserve"> </w:t>
            </w:r>
            <w:r w:rsidR="003476A7">
              <w:t>(</w:t>
            </w:r>
            <w:r w:rsidRPr="006E4912">
              <w:t>bromide</w:t>
            </w:r>
            <w:r w:rsidR="003476A7">
              <w:t>)</w:t>
            </w:r>
          </w:p>
        </w:tc>
      </w:tr>
      <w:tr w:rsidR="00A427FC" w:rsidTr="00A427FC">
        <w:tc>
          <w:tcPr>
            <w:tcW w:w="1809" w:type="dxa"/>
          </w:tcPr>
          <w:p w:rsidR="00A427FC" w:rsidRPr="006E4912" w:rsidRDefault="00A427FC" w:rsidP="00A427FC">
            <w:proofErr w:type="spellStart"/>
            <w:r w:rsidRPr="006E4912">
              <w:t>t</w:t>
            </w:r>
            <w:r w:rsidRPr="003476A7">
              <w:rPr>
                <w:vertAlign w:val="subscript"/>
              </w:rPr>
              <w:t>max</w:t>
            </w:r>
            <w:proofErr w:type="spellEnd"/>
          </w:p>
        </w:tc>
        <w:tc>
          <w:tcPr>
            <w:tcW w:w="6911" w:type="dxa"/>
          </w:tcPr>
          <w:p w:rsidR="00A427FC" w:rsidRPr="006E4912" w:rsidRDefault="00A427FC" w:rsidP="00A427FC">
            <w:r w:rsidRPr="006E4912">
              <w:t xml:space="preserve">time of occurrence of </w:t>
            </w:r>
            <w:proofErr w:type="spellStart"/>
            <w:r w:rsidRPr="000910B6">
              <w:t>C</w:t>
            </w:r>
            <w:r w:rsidRPr="000910B6">
              <w:rPr>
                <w:vertAlign w:val="subscript"/>
              </w:rPr>
              <w:t>max</w:t>
            </w:r>
            <w:proofErr w:type="spellEnd"/>
          </w:p>
        </w:tc>
      </w:tr>
      <w:tr w:rsidR="00A427FC" w:rsidTr="00A427FC">
        <w:tc>
          <w:tcPr>
            <w:tcW w:w="1809" w:type="dxa"/>
          </w:tcPr>
          <w:p w:rsidR="00A427FC" w:rsidRPr="006E4912" w:rsidRDefault="00A427FC" w:rsidP="00A427FC">
            <w:r w:rsidRPr="006E4912">
              <w:t>UK</w:t>
            </w:r>
          </w:p>
        </w:tc>
        <w:tc>
          <w:tcPr>
            <w:tcW w:w="6911" w:type="dxa"/>
          </w:tcPr>
          <w:p w:rsidR="00A427FC" w:rsidRPr="006E4912" w:rsidRDefault="00A427FC" w:rsidP="00A427FC">
            <w:r w:rsidRPr="006E4912">
              <w:t>United Kingdom</w:t>
            </w:r>
          </w:p>
        </w:tc>
      </w:tr>
      <w:tr w:rsidR="00A427FC" w:rsidTr="00A427FC">
        <w:tc>
          <w:tcPr>
            <w:tcW w:w="1809" w:type="dxa"/>
          </w:tcPr>
          <w:p w:rsidR="00A427FC" w:rsidRPr="006E4912" w:rsidRDefault="00A427FC" w:rsidP="00A427FC">
            <w:r w:rsidRPr="006E4912">
              <w:t>UMEC</w:t>
            </w:r>
          </w:p>
        </w:tc>
        <w:tc>
          <w:tcPr>
            <w:tcW w:w="6911" w:type="dxa"/>
          </w:tcPr>
          <w:p w:rsidR="00A427FC" w:rsidRPr="006E4912" w:rsidRDefault="00A427FC" w:rsidP="00A427FC">
            <w:r w:rsidRPr="006E4912">
              <w:t>umeclidinium bromide (GSK573719)</w:t>
            </w:r>
          </w:p>
        </w:tc>
      </w:tr>
      <w:tr w:rsidR="00A427FC" w:rsidTr="00A427FC">
        <w:tc>
          <w:tcPr>
            <w:tcW w:w="1809" w:type="dxa"/>
          </w:tcPr>
          <w:p w:rsidR="00A427FC" w:rsidRPr="006E4912" w:rsidRDefault="00A427FC" w:rsidP="00A427FC">
            <w:r w:rsidRPr="006E4912">
              <w:t>US</w:t>
            </w:r>
            <w:r w:rsidR="003476A7">
              <w:t>A</w:t>
            </w:r>
          </w:p>
        </w:tc>
        <w:tc>
          <w:tcPr>
            <w:tcW w:w="6911" w:type="dxa"/>
          </w:tcPr>
          <w:p w:rsidR="00A427FC" w:rsidRPr="006E4912" w:rsidRDefault="00A427FC" w:rsidP="00A427FC">
            <w:r w:rsidRPr="006E4912">
              <w:t>United States</w:t>
            </w:r>
            <w:r w:rsidR="003476A7">
              <w:t xml:space="preserve"> of America</w:t>
            </w:r>
          </w:p>
        </w:tc>
      </w:tr>
      <w:tr w:rsidR="00A427FC" w:rsidTr="00A427FC">
        <w:tc>
          <w:tcPr>
            <w:tcW w:w="1809" w:type="dxa"/>
          </w:tcPr>
          <w:p w:rsidR="00A427FC" w:rsidRPr="006E4912" w:rsidRDefault="00A427FC" w:rsidP="00A427FC">
            <w:r w:rsidRPr="006E4912">
              <w:t>VI</w:t>
            </w:r>
          </w:p>
        </w:tc>
        <w:tc>
          <w:tcPr>
            <w:tcW w:w="6911" w:type="dxa"/>
          </w:tcPr>
          <w:p w:rsidR="00A427FC" w:rsidRPr="006E4912" w:rsidRDefault="00A427FC" w:rsidP="00A427FC">
            <w:r w:rsidRPr="006E4912">
              <w:t>vilanterol (GW642444)</w:t>
            </w:r>
          </w:p>
        </w:tc>
      </w:tr>
    </w:tbl>
    <w:p w:rsidR="008E7846" w:rsidRDefault="00F53C07" w:rsidP="00405D02">
      <w:pPr>
        <w:pStyle w:val="Heading2"/>
        <w:pageBreakBefore/>
      </w:pPr>
      <w:bookmarkStart w:id="8" w:name="_Toc420577585"/>
      <w:r>
        <w:lastRenderedPageBreak/>
        <w:t>I.</w:t>
      </w:r>
      <w:r w:rsidR="008E7846">
        <w:t xml:space="preserve"> Introduction to product submission</w:t>
      </w:r>
      <w:bookmarkEnd w:id="8"/>
      <w:bookmarkEnd w:id="2"/>
      <w:bookmarkEnd w:id="0"/>
    </w:p>
    <w:p w:rsidR="008E7846" w:rsidRDefault="008E7846" w:rsidP="008E7846">
      <w:pPr>
        <w:pStyle w:val="Heading3"/>
        <w:rPr>
          <w:lang w:eastAsia="en-AU"/>
        </w:rPr>
      </w:pPr>
      <w:bookmarkStart w:id="9" w:name="_Toc247691502"/>
      <w:bookmarkStart w:id="10" w:name="_Toc314842483"/>
      <w:bookmarkStart w:id="11" w:name="_Toc420577586"/>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256325">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256325" w:rsidRDefault="0036602A" w:rsidP="001B5C90">
            <w:r w:rsidRPr="00256325">
              <w:t xml:space="preserve">New </w:t>
            </w:r>
            <w:r>
              <w:t>fixed dose combination</w:t>
            </w:r>
          </w:p>
        </w:tc>
      </w:tr>
      <w:tr w:rsidR="008E7846" w:rsidRPr="003D1E62" w:rsidTr="00256325">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C130FE" w:rsidP="001B5C90">
            <w:r>
              <w:t>Approved</w:t>
            </w:r>
          </w:p>
        </w:tc>
      </w:tr>
      <w:tr w:rsidR="008E7846" w:rsidRPr="003D1E62" w:rsidTr="00256325">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C130FE" w:rsidP="001B5C90">
            <w:bookmarkStart w:id="12" w:name="_GoBack"/>
            <w:r>
              <w:t>3 July 2014</w:t>
            </w:r>
            <w:bookmarkEnd w:id="12"/>
          </w:p>
        </w:tc>
      </w:tr>
      <w:tr w:rsidR="008E7846" w:rsidRPr="00487162" w:rsidTr="00256325">
        <w:trPr>
          <w:gridAfter w:val="1"/>
          <w:wAfter w:w="283" w:type="dxa"/>
        </w:trPr>
        <w:tc>
          <w:tcPr>
            <w:tcW w:w="2907" w:type="dxa"/>
          </w:tcPr>
          <w:p w:rsidR="008E7846" w:rsidRPr="00487162" w:rsidRDefault="0036602A" w:rsidP="00E45619">
            <w:pPr>
              <w:rPr>
                <w:i/>
              </w:rPr>
            </w:pPr>
            <w:r>
              <w:rPr>
                <w:i/>
              </w:rPr>
              <w:t>Active ingredients</w:t>
            </w:r>
            <w:r w:rsidR="001B5C90">
              <w:rPr>
                <w:i/>
              </w:rPr>
              <w:t>:</w:t>
            </w:r>
          </w:p>
        </w:tc>
        <w:tc>
          <w:tcPr>
            <w:tcW w:w="6307" w:type="dxa"/>
          </w:tcPr>
          <w:p w:rsidR="008E7846" w:rsidRPr="00487162" w:rsidRDefault="00C130FE" w:rsidP="00E45619">
            <w:r>
              <w:t>Umeclidinium bromide and vilanterol trifenatate</w:t>
            </w:r>
          </w:p>
        </w:tc>
      </w:tr>
      <w:tr w:rsidR="008E7846" w:rsidRPr="00487162" w:rsidTr="00256325">
        <w:trPr>
          <w:gridAfter w:val="1"/>
          <w:wAfter w:w="283" w:type="dxa"/>
        </w:trPr>
        <w:tc>
          <w:tcPr>
            <w:tcW w:w="2907" w:type="dxa"/>
          </w:tcPr>
          <w:p w:rsidR="008E7846" w:rsidRPr="00487162" w:rsidRDefault="008E7846" w:rsidP="001B5C90">
            <w:pPr>
              <w:rPr>
                <w:i/>
              </w:rPr>
            </w:pPr>
            <w:r w:rsidRPr="00487162">
              <w:rPr>
                <w:i/>
              </w:rPr>
              <w:t>Product</w:t>
            </w:r>
            <w:r w:rsidR="00EE2A52">
              <w:rPr>
                <w:i/>
              </w:rPr>
              <w:t xml:space="preserve"> name</w:t>
            </w:r>
            <w:r w:rsidR="001B5C90">
              <w:rPr>
                <w:i/>
              </w:rPr>
              <w:t>:</w:t>
            </w:r>
          </w:p>
        </w:tc>
        <w:tc>
          <w:tcPr>
            <w:tcW w:w="6307" w:type="dxa"/>
          </w:tcPr>
          <w:p w:rsidR="008E7846" w:rsidRPr="00487162" w:rsidRDefault="00C130FE" w:rsidP="00E45619">
            <w:proofErr w:type="spellStart"/>
            <w:r>
              <w:t>Anoro</w:t>
            </w:r>
            <w:proofErr w:type="spellEnd"/>
            <w:r>
              <w:t xml:space="preserve"> </w:t>
            </w:r>
            <w:proofErr w:type="spellStart"/>
            <w:r>
              <w:t>Ellipta</w:t>
            </w:r>
            <w:proofErr w:type="spellEnd"/>
          </w:p>
        </w:tc>
      </w:tr>
      <w:tr w:rsidR="008E7846" w:rsidRPr="00487162" w:rsidTr="00256325">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C130FE" w:rsidRPr="00487162" w:rsidRDefault="00C130FE" w:rsidP="00E45619">
            <w:r>
              <w:t>GlaxoSmithKline Australia Pty Ltd</w:t>
            </w:r>
            <w:r w:rsidR="00EE2A52">
              <w:br/>
            </w:r>
            <w:r>
              <w:t>PO Box 18095</w:t>
            </w:r>
            <w:r w:rsidR="00EE2A52">
              <w:br/>
            </w:r>
            <w:r>
              <w:t xml:space="preserve">Melbourne </w:t>
            </w:r>
            <w:r w:rsidR="003B5481">
              <w:t xml:space="preserve"> </w:t>
            </w:r>
            <w:r>
              <w:t>VIC</w:t>
            </w:r>
            <w:r w:rsidR="003B5481">
              <w:t xml:space="preserve"> </w:t>
            </w:r>
            <w:r>
              <w:t xml:space="preserve"> 8003</w:t>
            </w:r>
          </w:p>
        </w:tc>
      </w:tr>
      <w:tr w:rsidR="008E7846" w:rsidRPr="00487162" w:rsidTr="00256325">
        <w:trPr>
          <w:gridAfter w:val="1"/>
          <w:wAfter w:w="283" w:type="dxa"/>
        </w:trPr>
        <w:tc>
          <w:tcPr>
            <w:tcW w:w="2907" w:type="dxa"/>
          </w:tcPr>
          <w:p w:rsidR="008E7846" w:rsidRPr="00487162" w:rsidRDefault="001F1DC8" w:rsidP="00E45619">
            <w:pPr>
              <w:rPr>
                <w:i/>
              </w:rPr>
            </w:pPr>
            <w:r>
              <w:rPr>
                <w:i/>
              </w:rPr>
              <w:t>Dose form</w:t>
            </w:r>
            <w:r w:rsidR="001B5C90">
              <w:rPr>
                <w:i/>
              </w:rPr>
              <w:t>:</w:t>
            </w:r>
          </w:p>
        </w:tc>
        <w:tc>
          <w:tcPr>
            <w:tcW w:w="6307" w:type="dxa"/>
          </w:tcPr>
          <w:p w:rsidR="008E7846" w:rsidRPr="00487162" w:rsidRDefault="00C130FE" w:rsidP="00E45619">
            <w:r>
              <w:t>Powder for Inhalation</w:t>
            </w:r>
          </w:p>
        </w:tc>
      </w:tr>
      <w:tr w:rsidR="008E7846" w:rsidRPr="00487162" w:rsidTr="00256325">
        <w:trPr>
          <w:gridAfter w:val="1"/>
          <w:wAfter w:w="283" w:type="dxa"/>
        </w:trPr>
        <w:tc>
          <w:tcPr>
            <w:tcW w:w="2907" w:type="dxa"/>
          </w:tcPr>
          <w:p w:rsidR="008E7846" w:rsidRPr="00487162" w:rsidRDefault="001F1DC8" w:rsidP="00E45619">
            <w:pPr>
              <w:rPr>
                <w:i/>
              </w:rPr>
            </w:pPr>
            <w:r>
              <w:rPr>
                <w:i/>
              </w:rPr>
              <w:t>Strength</w:t>
            </w:r>
            <w:r w:rsidR="003B5481">
              <w:rPr>
                <w:i/>
              </w:rPr>
              <w:t>s</w:t>
            </w:r>
            <w:r w:rsidR="008E7846" w:rsidRPr="00487162">
              <w:rPr>
                <w:i/>
              </w:rPr>
              <w:t xml:space="preserve">: </w:t>
            </w:r>
          </w:p>
        </w:tc>
        <w:tc>
          <w:tcPr>
            <w:tcW w:w="6307" w:type="dxa"/>
          </w:tcPr>
          <w:p w:rsidR="008E7846" w:rsidRPr="00487162" w:rsidRDefault="00C130FE" w:rsidP="001F1DC8">
            <w:r>
              <w:t xml:space="preserve">62.5 </w:t>
            </w:r>
            <w:r w:rsidR="00256325">
              <w:t>µg umeclidinium bromide/</w:t>
            </w:r>
            <w:r>
              <w:t xml:space="preserve">25 </w:t>
            </w:r>
            <w:r w:rsidR="00256325" w:rsidRPr="00256325">
              <w:t>µg</w:t>
            </w:r>
            <w:r w:rsidR="00BE09FE">
              <w:t xml:space="preserve"> </w:t>
            </w:r>
            <w:r w:rsidR="00256325" w:rsidRPr="00256325">
              <w:t>vilanterol trifenatate</w:t>
            </w:r>
          </w:p>
        </w:tc>
      </w:tr>
      <w:tr w:rsidR="008E7846" w:rsidRPr="00487162" w:rsidTr="00256325">
        <w:trPr>
          <w:gridAfter w:val="1"/>
          <w:wAfter w:w="283" w:type="dxa"/>
        </w:trPr>
        <w:tc>
          <w:tcPr>
            <w:tcW w:w="2907" w:type="dxa"/>
          </w:tcPr>
          <w:p w:rsidR="008E7846" w:rsidRPr="00487162" w:rsidRDefault="003B5481" w:rsidP="00E45619">
            <w:pPr>
              <w:rPr>
                <w:i/>
              </w:rPr>
            </w:pPr>
            <w:r>
              <w:rPr>
                <w:i/>
              </w:rPr>
              <w:t>Container</w:t>
            </w:r>
            <w:r w:rsidR="008E7846" w:rsidRPr="00487162">
              <w:rPr>
                <w:i/>
              </w:rPr>
              <w:t>:</w:t>
            </w:r>
          </w:p>
        </w:tc>
        <w:tc>
          <w:tcPr>
            <w:tcW w:w="6307" w:type="dxa"/>
          </w:tcPr>
          <w:p w:rsidR="008E7846" w:rsidRPr="00487162" w:rsidRDefault="00EE2A52" w:rsidP="00E45619">
            <w:r>
              <w:t>Inhaler -</w:t>
            </w:r>
            <w:r w:rsidR="00BE09FE">
              <w:t xml:space="preserve"> dry powder</w:t>
            </w:r>
          </w:p>
        </w:tc>
      </w:tr>
      <w:tr w:rsidR="008E7846" w:rsidRPr="00487162" w:rsidTr="00256325">
        <w:trPr>
          <w:gridAfter w:val="1"/>
          <w:wAfter w:w="283" w:type="dxa"/>
        </w:trPr>
        <w:tc>
          <w:tcPr>
            <w:tcW w:w="2907" w:type="dxa"/>
          </w:tcPr>
          <w:p w:rsidR="008E7846" w:rsidRPr="00487162" w:rsidRDefault="001F1DC8" w:rsidP="00E45619">
            <w:pPr>
              <w:rPr>
                <w:i/>
              </w:rPr>
            </w:pPr>
            <w:r>
              <w:rPr>
                <w:i/>
              </w:rPr>
              <w:t>Pack sizes</w:t>
            </w:r>
            <w:r w:rsidR="008E7846" w:rsidRPr="00487162">
              <w:rPr>
                <w:i/>
              </w:rPr>
              <w:t>:</w:t>
            </w:r>
          </w:p>
        </w:tc>
        <w:tc>
          <w:tcPr>
            <w:tcW w:w="6307" w:type="dxa"/>
          </w:tcPr>
          <w:p w:rsidR="008E7846" w:rsidRPr="00487162" w:rsidRDefault="00BE09FE" w:rsidP="00E45619">
            <w:r>
              <w:t>7 (</w:t>
            </w:r>
            <w:r w:rsidR="00A30D8C">
              <w:t xml:space="preserve">physicians </w:t>
            </w:r>
            <w:r>
              <w:t>sample pack), 30</w:t>
            </w:r>
          </w:p>
        </w:tc>
      </w:tr>
      <w:tr w:rsidR="008E7846" w:rsidRPr="00487162" w:rsidTr="00256325">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BE09FE" w:rsidRDefault="00BE09FE" w:rsidP="00E45619">
            <w:pPr>
              <w:rPr>
                <w:rFonts w:eastAsia="MS Mincho"/>
                <w:i/>
                <w:lang w:eastAsia="ja-JP"/>
              </w:rPr>
            </w:pPr>
            <w:proofErr w:type="spellStart"/>
            <w:r w:rsidRPr="00BE09FE">
              <w:rPr>
                <w:i/>
              </w:rPr>
              <w:t>Anoro</w:t>
            </w:r>
            <w:proofErr w:type="spellEnd"/>
            <w:r w:rsidRPr="00BE09FE">
              <w:rPr>
                <w:i/>
              </w:rPr>
              <w:t xml:space="preserve"> </w:t>
            </w:r>
            <w:proofErr w:type="spellStart"/>
            <w:r w:rsidRPr="00BE09FE">
              <w:rPr>
                <w:i/>
              </w:rPr>
              <w:t>Ellipta</w:t>
            </w:r>
            <w:proofErr w:type="spellEnd"/>
            <w:r w:rsidRPr="00BE09FE">
              <w:rPr>
                <w:i/>
              </w:rPr>
              <w:t xml:space="preserve"> is indicated as a long-term once daily maintenance bronchodilator treatment to relieve symptoms in adult patients with chronic obstructive pulmonary disease (COPD).</w:t>
            </w:r>
          </w:p>
        </w:tc>
      </w:tr>
      <w:tr w:rsidR="008E7846" w:rsidRPr="00487162" w:rsidTr="00256325">
        <w:trPr>
          <w:gridAfter w:val="1"/>
          <w:wAfter w:w="283" w:type="dxa"/>
        </w:trPr>
        <w:tc>
          <w:tcPr>
            <w:tcW w:w="2907" w:type="dxa"/>
          </w:tcPr>
          <w:p w:rsidR="008E7846" w:rsidRPr="00487162" w:rsidRDefault="001F1DC8" w:rsidP="00E45619">
            <w:pPr>
              <w:rPr>
                <w:i/>
              </w:rPr>
            </w:pPr>
            <w:r>
              <w:rPr>
                <w:i/>
              </w:rPr>
              <w:t>Route</w:t>
            </w:r>
            <w:r w:rsidR="008E7846" w:rsidRPr="00487162">
              <w:rPr>
                <w:i/>
              </w:rPr>
              <w:t xml:space="preserve"> of administration:</w:t>
            </w:r>
          </w:p>
        </w:tc>
        <w:tc>
          <w:tcPr>
            <w:tcW w:w="6307" w:type="dxa"/>
          </w:tcPr>
          <w:p w:rsidR="008E7846" w:rsidRPr="00487162" w:rsidRDefault="00BE09FE" w:rsidP="00E45619">
            <w:r>
              <w:t>Inhalation</w:t>
            </w:r>
          </w:p>
        </w:tc>
      </w:tr>
      <w:tr w:rsidR="008E7846" w:rsidRPr="00487162" w:rsidTr="00256325">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EE2A52" w:rsidRPr="00487162" w:rsidRDefault="001F1DC8" w:rsidP="003B5481">
            <w:r w:rsidRPr="001F1DC8">
              <w:t xml:space="preserve">Adults: </w:t>
            </w:r>
            <w:proofErr w:type="spellStart"/>
            <w:r w:rsidRPr="001F1DC8">
              <w:t>Anoro</w:t>
            </w:r>
            <w:proofErr w:type="spellEnd"/>
            <w:r w:rsidRPr="001F1DC8">
              <w:t xml:space="preserve"> </w:t>
            </w:r>
            <w:proofErr w:type="spellStart"/>
            <w:r w:rsidRPr="001F1DC8">
              <w:t>Ellipta</w:t>
            </w:r>
            <w:proofErr w:type="spellEnd"/>
            <w:r w:rsidRPr="001F1DC8">
              <w:t xml:space="preserve"> (</w:t>
            </w:r>
            <w:proofErr w:type="spellStart"/>
            <w:r w:rsidRPr="001F1DC8">
              <w:t>umeclidinium</w:t>
            </w:r>
            <w:proofErr w:type="spellEnd"/>
            <w:r w:rsidRPr="001F1DC8">
              <w:t xml:space="preserve"> bromide/</w:t>
            </w:r>
            <w:proofErr w:type="spellStart"/>
            <w:r w:rsidRPr="001F1DC8">
              <w:t>vilanterol</w:t>
            </w:r>
            <w:proofErr w:type="spellEnd"/>
            <w:r w:rsidRPr="001F1DC8">
              <w:t xml:space="preserve"> trifenatate 62.5/25 micrograms) should be taken as one inhalation once daily by the orally inhaled route.</w:t>
            </w:r>
            <w:r w:rsidR="003B5481">
              <w:t xml:space="preserve"> </w:t>
            </w:r>
            <w:proofErr w:type="spellStart"/>
            <w:r w:rsidRPr="001F1DC8">
              <w:t>Anoro</w:t>
            </w:r>
            <w:proofErr w:type="spellEnd"/>
            <w:r w:rsidRPr="001F1DC8">
              <w:t xml:space="preserve"> </w:t>
            </w:r>
            <w:proofErr w:type="spellStart"/>
            <w:r w:rsidRPr="001F1DC8">
              <w:t>Ellipta</w:t>
            </w:r>
            <w:proofErr w:type="spellEnd"/>
            <w:r w:rsidRPr="001F1DC8">
              <w:t xml:space="preserve"> should be taken at the same time every day.</w:t>
            </w:r>
            <w:r w:rsidR="003B5481">
              <w:t xml:space="preserve"> </w:t>
            </w:r>
            <w:r w:rsidRPr="001F1DC8">
              <w:t>This product should not be used in children.</w:t>
            </w:r>
            <w:r w:rsidR="003B5481">
              <w:t xml:space="preserve"> </w:t>
            </w:r>
            <w:r w:rsidRPr="001F1DC8">
              <w:t>Further details regarding dosage are provided in the Product Information (PI, attachment 1).</w:t>
            </w:r>
          </w:p>
        </w:tc>
      </w:tr>
      <w:tr w:rsidR="008E7846" w:rsidRPr="00487162" w:rsidTr="00256325">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1F1DC8">
              <w:rPr>
                <w:i/>
              </w:rPr>
              <w:t>umber</w:t>
            </w:r>
            <w:r w:rsidR="001B5C90">
              <w:rPr>
                <w:i/>
              </w:rPr>
              <w:t>:</w:t>
            </w:r>
          </w:p>
        </w:tc>
        <w:tc>
          <w:tcPr>
            <w:tcW w:w="6307" w:type="dxa"/>
          </w:tcPr>
          <w:p w:rsidR="008E7846" w:rsidRPr="00487162" w:rsidRDefault="00BE09FE" w:rsidP="00E45619">
            <w:r>
              <w:t>207529</w:t>
            </w:r>
          </w:p>
        </w:tc>
      </w:tr>
    </w:tbl>
    <w:p w:rsidR="008E7846" w:rsidRDefault="008E7846" w:rsidP="001D6125">
      <w:pPr>
        <w:pStyle w:val="Heading3"/>
      </w:pPr>
      <w:bookmarkStart w:id="13" w:name="_Toc247691503"/>
      <w:bookmarkStart w:id="14" w:name="_Toc314842484"/>
      <w:bookmarkStart w:id="15" w:name="_Toc420577587"/>
      <w:r w:rsidRPr="001D6125">
        <w:t>Product</w:t>
      </w:r>
      <w:r>
        <w:t xml:space="preserve"> background</w:t>
      </w:r>
      <w:bookmarkEnd w:id="13"/>
      <w:bookmarkEnd w:id="14"/>
      <w:bookmarkEnd w:id="15"/>
    </w:p>
    <w:p w:rsidR="004F4C09" w:rsidRDefault="001F1DC8" w:rsidP="001D6125">
      <w:r w:rsidRPr="00940A89">
        <w:t xml:space="preserve">This AusPAR describes the application by </w:t>
      </w:r>
      <w:r>
        <w:t>GlaxoSmithKline Australia Pty Ltd (</w:t>
      </w:r>
      <w:r w:rsidRPr="00940A89">
        <w:t>the sponsor</w:t>
      </w:r>
      <w:r>
        <w:t>)</w:t>
      </w:r>
      <w:r w:rsidRPr="00940A89">
        <w:t xml:space="preserve"> to register </w:t>
      </w:r>
      <w:proofErr w:type="spellStart"/>
      <w:r>
        <w:t>Anoro</w:t>
      </w:r>
      <w:proofErr w:type="spellEnd"/>
      <w:r>
        <w:t xml:space="preserve"> </w:t>
      </w:r>
      <w:proofErr w:type="spellStart"/>
      <w:r>
        <w:t>Ellipta</w:t>
      </w:r>
      <w:proofErr w:type="spellEnd"/>
      <w:r>
        <w:t xml:space="preserve"> dry powder for inhalation containing u</w:t>
      </w:r>
      <w:r w:rsidRPr="000739D7">
        <w:t>meclidinium bromide</w:t>
      </w:r>
      <w:r w:rsidR="00A54884">
        <w:t xml:space="preserve"> (UMEC)</w:t>
      </w:r>
      <w:r w:rsidR="00A54884">
        <w:rPr>
          <w:rStyle w:val="FootnoteReference"/>
        </w:rPr>
        <w:footnoteReference w:id="1"/>
      </w:r>
      <w:r w:rsidRPr="000739D7">
        <w:t xml:space="preserve"> </w:t>
      </w:r>
      <w:r>
        <w:t>and v</w:t>
      </w:r>
      <w:r w:rsidRPr="002E426D">
        <w:t>ilanterol trifenatate</w:t>
      </w:r>
      <w:r w:rsidR="00A54884">
        <w:t xml:space="preserve"> (VI)</w:t>
      </w:r>
      <w:r w:rsidR="00A54884">
        <w:rPr>
          <w:rStyle w:val="FootnoteReference"/>
        </w:rPr>
        <w:footnoteReference w:id="2"/>
      </w:r>
      <w:r w:rsidRPr="002E426D">
        <w:t xml:space="preserve"> </w:t>
      </w:r>
      <w:r>
        <w:t>for the following indication:</w:t>
      </w:r>
    </w:p>
    <w:p w:rsidR="00A427FC" w:rsidRDefault="006C586A" w:rsidP="004F4C09">
      <w:pPr>
        <w:ind w:left="720"/>
        <w:rPr>
          <w:i/>
        </w:rPr>
      </w:pPr>
      <w:proofErr w:type="spellStart"/>
      <w:r w:rsidRPr="006C586A">
        <w:rPr>
          <w:i/>
        </w:rPr>
        <w:lastRenderedPageBreak/>
        <w:t>Anoro</w:t>
      </w:r>
      <w:proofErr w:type="spellEnd"/>
      <w:r w:rsidRPr="006C586A">
        <w:rPr>
          <w:i/>
        </w:rPr>
        <w:t xml:space="preserve"> </w:t>
      </w:r>
      <w:proofErr w:type="spellStart"/>
      <w:r w:rsidRPr="006C586A">
        <w:rPr>
          <w:i/>
        </w:rPr>
        <w:t>Ellipta</w:t>
      </w:r>
      <w:proofErr w:type="spellEnd"/>
      <w:r w:rsidRPr="006C586A">
        <w:rPr>
          <w:i/>
        </w:rPr>
        <w:t xml:space="preserve"> </w:t>
      </w:r>
      <w:r>
        <w:rPr>
          <w:i/>
        </w:rPr>
        <w:t xml:space="preserve">is indicated </w:t>
      </w:r>
      <w:r w:rsidR="000345E3" w:rsidRPr="000345E3">
        <w:rPr>
          <w:i/>
        </w:rPr>
        <w:t>as a long-term once daily maintenance bronchodilator treatment to relieve symptoms in adult patients with chronic obstructive pulmonary disease (COPD).</w:t>
      </w:r>
    </w:p>
    <w:p w:rsidR="001F1DC8" w:rsidRDefault="001F1DC8" w:rsidP="00C5786A">
      <w:r w:rsidRPr="00067CFD">
        <w:t xml:space="preserve">Vilanterol </w:t>
      </w:r>
      <w:r>
        <w:t xml:space="preserve">trifenatate </w:t>
      </w:r>
      <w:r w:rsidR="009F6F66">
        <w:t xml:space="preserve">(VI) </w:t>
      </w:r>
      <w:r>
        <w:t xml:space="preserve">is a selective </w:t>
      </w:r>
      <w:r w:rsidRPr="00713F5E">
        <w:t>long acting beta</w:t>
      </w:r>
      <w:r w:rsidRPr="00713F5E">
        <w:rPr>
          <w:vertAlign w:val="subscript"/>
        </w:rPr>
        <w:t>2</w:t>
      </w:r>
      <w:r w:rsidRPr="00713F5E">
        <w:t xml:space="preserve">-agonist </w:t>
      </w:r>
      <w:r>
        <w:t>(LABA)</w:t>
      </w:r>
      <w:r w:rsidRPr="00067CFD">
        <w:t xml:space="preserve">. It has been considered recently (as a new chemical entity) by the TGA as part of an application by </w:t>
      </w:r>
      <w:r>
        <w:t>the sponsor</w:t>
      </w:r>
      <w:r w:rsidRPr="00067CFD">
        <w:t xml:space="preserve"> to register a dry powder inhaler that also contains fluticasone </w:t>
      </w:r>
      <w:proofErr w:type="spellStart"/>
      <w:r w:rsidRPr="00067CFD">
        <w:t>furoate</w:t>
      </w:r>
      <w:proofErr w:type="spellEnd"/>
      <w:r>
        <w:t xml:space="preserve"> (</w:t>
      </w:r>
      <w:proofErr w:type="spellStart"/>
      <w:r>
        <w:t>Breo</w:t>
      </w:r>
      <w:proofErr w:type="spellEnd"/>
      <w:r>
        <w:t xml:space="preserve"> </w:t>
      </w:r>
      <w:proofErr w:type="spellStart"/>
      <w:r>
        <w:t>Ellipta</w:t>
      </w:r>
      <w:proofErr w:type="spellEnd"/>
      <w:r>
        <w:t xml:space="preserve">). </w:t>
      </w:r>
      <w:r w:rsidRPr="00F60B8E">
        <w:t>Vilanterol is not marketed as a mono product.</w:t>
      </w:r>
    </w:p>
    <w:p w:rsidR="001F1DC8" w:rsidRDefault="001F1DC8" w:rsidP="00C5786A">
      <w:r w:rsidRPr="00067CFD">
        <w:t xml:space="preserve">Umeclidinium </w:t>
      </w:r>
      <w:proofErr w:type="gramStart"/>
      <w:r w:rsidRPr="00067CFD">
        <w:t>b</w:t>
      </w:r>
      <w:r>
        <w:t>romide</w:t>
      </w:r>
      <w:r w:rsidR="00A54884">
        <w:t>(</w:t>
      </w:r>
      <w:proofErr w:type="gramEnd"/>
      <w:r w:rsidR="00A54884">
        <w:t>UMEC)</w:t>
      </w:r>
      <w:r>
        <w:t xml:space="preserve"> is a new chemical entity,</w:t>
      </w:r>
      <w:r w:rsidRPr="00067CFD">
        <w:t xml:space="preserve"> a </w:t>
      </w:r>
      <w:r w:rsidRPr="00713F5E">
        <w:t xml:space="preserve">long acting muscarinic antagonist </w:t>
      </w:r>
      <w:r>
        <w:t>(LAMA)</w:t>
      </w:r>
      <w:r w:rsidRPr="00067CFD">
        <w:t xml:space="preserve"> that exerts its </w:t>
      </w:r>
      <w:proofErr w:type="spellStart"/>
      <w:r w:rsidRPr="00067CFD">
        <w:t>bronchodilatory</w:t>
      </w:r>
      <w:proofErr w:type="spellEnd"/>
      <w:r w:rsidRPr="00067CFD">
        <w:t xml:space="preserve"> activity by competitively inhibiting the binding of acetylcholine with muscarinic acetylcholine receptors on airway smooth muscle.</w:t>
      </w:r>
      <w:r>
        <w:t xml:space="preserve"> The registration of </w:t>
      </w:r>
      <w:r w:rsidR="00A54884" w:rsidRPr="00A54884">
        <w:t>UMEC</w:t>
      </w:r>
      <w:r w:rsidR="00A54884">
        <w:t xml:space="preserve"> </w:t>
      </w:r>
      <w:r>
        <w:t xml:space="preserve">as a new chemical entity was considered at the same time the TGA considered the registration of the fixed dose combination product </w:t>
      </w:r>
      <w:proofErr w:type="spellStart"/>
      <w:r>
        <w:t>Anoro</w:t>
      </w:r>
      <w:proofErr w:type="spellEnd"/>
      <w:r>
        <w:t xml:space="preserve"> </w:t>
      </w:r>
      <w:proofErr w:type="spellStart"/>
      <w:r>
        <w:t>Ellipta</w:t>
      </w:r>
      <w:proofErr w:type="spellEnd"/>
      <w:r>
        <w:t>.</w:t>
      </w:r>
    </w:p>
    <w:p w:rsidR="001F1DC8" w:rsidRDefault="001F1DC8" w:rsidP="00C5786A">
      <w:r>
        <w:t xml:space="preserve">Two strengths of </w:t>
      </w:r>
      <w:proofErr w:type="spellStart"/>
      <w:r>
        <w:t>Anoro</w:t>
      </w:r>
      <w:proofErr w:type="spellEnd"/>
      <w:r>
        <w:t xml:space="preserve"> </w:t>
      </w:r>
      <w:proofErr w:type="spellStart"/>
      <w:r>
        <w:t>Ellipta</w:t>
      </w:r>
      <w:proofErr w:type="spellEnd"/>
      <w:r>
        <w:t xml:space="preserve"> were initially proposed for registration: </w:t>
      </w:r>
      <w:r w:rsidRPr="000739D7">
        <w:t xml:space="preserve">125 µg </w:t>
      </w:r>
      <w:r w:rsidR="00A54884" w:rsidRPr="00A54884">
        <w:t>UMEC</w:t>
      </w:r>
      <w:r w:rsidR="00B73028">
        <w:t>/25 </w:t>
      </w:r>
      <w:r w:rsidRPr="000739D7">
        <w:t xml:space="preserve">µg </w:t>
      </w:r>
      <w:r w:rsidR="00A54884">
        <w:t>VI</w:t>
      </w:r>
      <w:r>
        <w:t>, and 6</w:t>
      </w:r>
      <w:r w:rsidRPr="000739D7">
        <w:t>2</w:t>
      </w:r>
      <w:r>
        <w:t>.</w:t>
      </w:r>
      <w:r w:rsidRPr="000739D7">
        <w:t xml:space="preserve">5 µg </w:t>
      </w:r>
      <w:r w:rsidR="00A54884" w:rsidRPr="00A54884">
        <w:t>UMEC</w:t>
      </w:r>
      <w:r w:rsidRPr="000739D7">
        <w:t xml:space="preserve">/25 µg </w:t>
      </w:r>
      <w:r w:rsidR="00A54884" w:rsidRPr="00A54884">
        <w:t>VI</w:t>
      </w:r>
      <w:r>
        <w:t>.</w:t>
      </w:r>
      <w:r w:rsidRPr="000739D7">
        <w:t xml:space="preserve"> </w:t>
      </w:r>
      <w:r w:rsidRPr="002E426D">
        <w:t xml:space="preserve">The sponsor withdrew the application for the 125 µg </w:t>
      </w:r>
      <w:r w:rsidR="00A54884" w:rsidRPr="00A54884">
        <w:t>UMEC</w:t>
      </w:r>
      <w:r w:rsidRPr="002E426D">
        <w:t xml:space="preserve">/25 µg </w:t>
      </w:r>
      <w:r w:rsidR="00A54884" w:rsidRPr="00A54884">
        <w:t xml:space="preserve">VI </w:t>
      </w:r>
      <w:r w:rsidRPr="002E426D">
        <w:t xml:space="preserve">strength on 7 January 2014 </w:t>
      </w:r>
      <w:r>
        <w:t>following discussions with the United States (US), European Union (EU) and Canadian regulatory authorities, as “[the sponsor]</w:t>
      </w:r>
      <w:r w:rsidRPr="000739D7">
        <w:t xml:space="preserve"> believes additional data are needed to further characterise the subpopulation which could derive most benefit from the higher strength (125/25 </w:t>
      </w:r>
      <w:r>
        <w:t>µ</w:t>
      </w:r>
      <w:r w:rsidRPr="000739D7">
        <w:t>g)</w:t>
      </w:r>
      <w:r w:rsidRPr="002E426D">
        <w:t>.</w:t>
      </w:r>
      <w:r>
        <w:t>”</w:t>
      </w:r>
    </w:p>
    <w:p w:rsidR="006C586A" w:rsidRDefault="00F33153" w:rsidP="00C5786A">
      <w:pPr>
        <w:rPr>
          <w:rFonts w:eastAsiaTheme="minorHAnsi" w:cs="Cambria"/>
        </w:rPr>
      </w:pPr>
      <w:r>
        <w:t>Chronic obstructive pulmonary disease (</w:t>
      </w:r>
      <w:r w:rsidR="004F4C09">
        <w:t>COPD</w:t>
      </w:r>
      <w:r>
        <w:t xml:space="preserve">) is a serious, progressive and disabling condition that limits airflow in the lungs. People with COPD are prone to severe episodes of shortness of breath, with fits of coughing. </w:t>
      </w:r>
      <w:r w:rsidR="004F4C09" w:rsidRPr="004F4C09">
        <w:t>Current pharmacological treatment of COPD includes 2 classes of</w:t>
      </w:r>
      <w:r w:rsidR="004F4C09">
        <w:t xml:space="preserve"> </w:t>
      </w:r>
      <w:r w:rsidR="004F4C09" w:rsidRPr="004F4C09">
        <w:t xml:space="preserve">inhaled bronchodilators: </w:t>
      </w:r>
      <w:r w:rsidR="002E1DAB">
        <w:t>beta</w:t>
      </w:r>
      <w:r w:rsidR="002E1DAB" w:rsidRPr="002E1DAB">
        <w:rPr>
          <w:vertAlign w:val="subscript"/>
        </w:rPr>
        <w:t>2</w:t>
      </w:r>
      <w:r w:rsidR="002E1DAB">
        <w:t>-adrenergic receptor agonists (</w:t>
      </w:r>
      <w:r w:rsidR="004F4C09" w:rsidRPr="004F4C09">
        <w:t>beta</w:t>
      </w:r>
      <w:r w:rsidR="004F4C09" w:rsidRPr="002D141B">
        <w:rPr>
          <w:vertAlign w:val="subscript"/>
        </w:rPr>
        <w:t>2</w:t>
      </w:r>
      <w:r w:rsidR="004F4C09" w:rsidRPr="004F4C09">
        <w:t>-agonists</w:t>
      </w:r>
      <w:r w:rsidR="002E1DAB">
        <w:t>)</w:t>
      </w:r>
      <w:r w:rsidR="004F4C09" w:rsidRPr="004F4C09">
        <w:t xml:space="preserve"> and muscarinic antagonist</w:t>
      </w:r>
      <w:r w:rsidR="002E1DAB">
        <w:t>s</w:t>
      </w:r>
      <w:r w:rsidR="004F4C09" w:rsidRPr="004F4C09">
        <w:t xml:space="preserve"> </w:t>
      </w:r>
      <w:r w:rsidR="002E1DAB">
        <w:t xml:space="preserve">(also referred to as </w:t>
      </w:r>
      <w:r w:rsidR="004F4C09" w:rsidRPr="004F4C09">
        <w:t>anticholinergics). Inhaled</w:t>
      </w:r>
      <w:r w:rsidR="004F4C09">
        <w:t xml:space="preserve"> </w:t>
      </w:r>
      <w:r w:rsidR="004A20BC">
        <w:t>LABAs</w:t>
      </w:r>
      <w:r w:rsidR="004F4C09" w:rsidRPr="004F4C09">
        <w:t xml:space="preserve"> </w:t>
      </w:r>
      <w:r w:rsidR="007E0827">
        <w:t xml:space="preserve">and </w:t>
      </w:r>
      <w:proofErr w:type="gramStart"/>
      <w:r w:rsidR="004A20BC">
        <w:t>LAMAs</w:t>
      </w:r>
      <w:r w:rsidR="004F4C09" w:rsidRPr="004F4C09">
        <w:t>,</w:t>
      </w:r>
      <w:proofErr w:type="gramEnd"/>
      <w:r w:rsidR="004F4C09" w:rsidRPr="004F4C09">
        <w:t xml:space="preserve"> are currently recommended for the treatment</w:t>
      </w:r>
      <w:r w:rsidR="00BE33C4">
        <w:t xml:space="preserve"> </w:t>
      </w:r>
      <w:r w:rsidR="004F4C09" w:rsidRPr="004F4C09">
        <w:t>of symptomatic patients with moderate to very severe COPD and are considered to be more</w:t>
      </w:r>
      <w:r w:rsidR="00BE33C4">
        <w:t xml:space="preserve"> </w:t>
      </w:r>
      <w:r w:rsidR="006C586A">
        <w:t xml:space="preserve">efficacious than short </w:t>
      </w:r>
      <w:r w:rsidR="004F4C09" w:rsidRPr="004F4C09">
        <w:t>acting bronchodilators.</w:t>
      </w:r>
    </w:p>
    <w:p w:rsidR="008B640A" w:rsidRDefault="006C586A" w:rsidP="00C5786A">
      <w:r>
        <w:t>C</w:t>
      </w:r>
      <w:r w:rsidR="004F4C09" w:rsidRPr="004F4C09">
        <w:t>o-administration of LAMAs and LABAs is considered to be more effective than</w:t>
      </w:r>
      <w:r w:rsidR="004F4C09">
        <w:t xml:space="preserve"> </w:t>
      </w:r>
      <w:r w:rsidR="004F4C09" w:rsidRPr="004F4C09">
        <w:t xml:space="preserve">either drug class alone in managing stable COPD. </w:t>
      </w:r>
      <w:r w:rsidR="009F6F66">
        <w:t>At the time of the submission n</w:t>
      </w:r>
      <w:r w:rsidR="004F4C09" w:rsidRPr="004F4C09">
        <w:t xml:space="preserve">o LAMA/LABA combination products </w:t>
      </w:r>
      <w:r w:rsidR="009F6F66">
        <w:t>we</w:t>
      </w:r>
      <w:r w:rsidR="009F6F66" w:rsidRPr="004F4C09">
        <w:t>re</w:t>
      </w:r>
      <w:r w:rsidR="009F6F66">
        <w:t xml:space="preserve"> </w:t>
      </w:r>
      <w:r w:rsidR="004F4C09" w:rsidRPr="004F4C09">
        <w:t>currently licensed for COPD treatment.</w:t>
      </w:r>
      <w:r w:rsidR="009F6F66">
        <w:rPr>
          <w:rStyle w:val="FootnoteReference"/>
        </w:rPr>
        <w:footnoteReference w:id="3"/>
      </w:r>
      <w:r w:rsidR="004F4C09" w:rsidRPr="004F4C09">
        <w:t xml:space="preserve"> </w:t>
      </w:r>
      <w:r>
        <w:t>A</w:t>
      </w:r>
      <w:r w:rsidR="004F4C09" w:rsidRPr="004F4C09">
        <w:t xml:space="preserve"> LAMA/LABA combination product could potentially optimise</w:t>
      </w:r>
      <w:r w:rsidR="004F4C09">
        <w:t xml:space="preserve"> </w:t>
      </w:r>
      <w:r w:rsidR="004F4C09" w:rsidRPr="004F4C09">
        <w:t>bronchodilator therapy of COPD while avoiding the risk of side effects associated with increasing</w:t>
      </w:r>
      <w:r w:rsidR="004F4C09">
        <w:t xml:space="preserve"> </w:t>
      </w:r>
      <w:r w:rsidR="004F4C09" w:rsidRPr="004F4C09">
        <w:t>the dose of</w:t>
      </w:r>
      <w:r w:rsidR="001F1DC8">
        <w:t xml:space="preserve"> a single bronchodilator class.</w:t>
      </w:r>
    </w:p>
    <w:p w:rsidR="008E7846" w:rsidRPr="003F31A2" w:rsidRDefault="00386150" w:rsidP="001D6125">
      <w:pPr>
        <w:pStyle w:val="Heading3"/>
      </w:pPr>
      <w:bookmarkStart w:id="16" w:name="_Toc314842485"/>
      <w:bookmarkStart w:id="17" w:name="_Toc247691504"/>
      <w:bookmarkStart w:id="18" w:name="_Toc420577588"/>
      <w:r>
        <w:t xml:space="preserve">Regulatory </w:t>
      </w:r>
      <w:r w:rsidRPr="001D6125">
        <w:t>s</w:t>
      </w:r>
      <w:r w:rsidR="008E7846" w:rsidRPr="001D6125">
        <w:t>tatus</w:t>
      </w:r>
      <w:bookmarkEnd w:id="16"/>
      <w:bookmarkEnd w:id="17"/>
      <w:bookmarkEnd w:id="18"/>
    </w:p>
    <w:p w:rsidR="00940A89" w:rsidRPr="00940A89" w:rsidRDefault="00940A89" w:rsidP="00C5786A">
      <w:bookmarkStart w:id="19" w:name="_Toc247691505"/>
      <w:bookmarkStart w:id="20" w:name="_Toc314842486"/>
      <w:r w:rsidRPr="00940A89">
        <w:t>The product received initial registration on the Australian Register</w:t>
      </w:r>
      <w:r w:rsidR="00BE09FE">
        <w:t xml:space="preserve"> of Therapeutic Goods (ARTG) on 4 July 2014.</w:t>
      </w:r>
    </w:p>
    <w:p w:rsidR="003D584F" w:rsidRDefault="003D584F" w:rsidP="00C5786A">
      <w:r w:rsidRPr="00940A89">
        <w:t xml:space="preserve">At the time the TGA considered this application, a similar application had been approved in </w:t>
      </w:r>
      <w:r>
        <w:t xml:space="preserve">the USA (18 December 2013), Canada (23 December 2013), EU (8 May 2014), New Zealand (20 March 2014) and Chile (11 March 2014), and </w:t>
      </w:r>
      <w:r w:rsidRPr="00940A89">
        <w:t>was under co</w:t>
      </w:r>
      <w:r>
        <w:t>nsideration in 13 other counties including Switzerland.</w:t>
      </w:r>
    </w:p>
    <w:p w:rsidR="008E7846" w:rsidRDefault="008E7846" w:rsidP="001D6125">
      <w:pPr>
        <w:pStyle w:val="Heading3"/>
      </w:pPr>
      <w:bookmarkStart w:id="21" w:name="_Toc420577589"/>
      <w:r>
        <w:t>Product Information</w:t>
      </w:r>
      <w:bookmarkEnd w:id="19"/>
      <w:bookmarkEnd w:id="20"/>
      <w:bookmarkEnd w:id="21"/>
    </w:p>
    <w:p w:rsidR="00940A89" w:rsidRPr="005903EE" w:rsidRDefault="00940A89" w:rsidP="00C5786A">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4" w:history="1">
        <w:r w:rsidR="005903EE" w:rsidRPr="005903EE">
          <w:rPr>
            <w:rStyle w:val="Hyperlink"/>
          </w:rPr>
          <w:t>https://www.tga.gov.au/product-information-pi</w:t>
        </w:r>
      </w:hyperlink>
      <w:r w:rsidRPr="00940A89">
        <w:t>&gt;.</w:t>
      </w:r>
    </w:p>
    <w:p w:rsidR="008E7846" w:rsidRPr="003602A9" w:rsidRDefault="008E7846" w:rsidP="00C5786A">
      <w:pPr>
        <w:pStyle w:val="Heading2"/>
      </w:pPr>
      <w:bookmarkStart w:id="24" w:name="_Toc420577590"/>
      <w:r>
        <w:lastRenderedPageBreak/>
        <w:t>II. Quality</w:t>
      </w:r>
      <w:bookmarkEnd w:id="1"/>
      <w:r>
        <w:t xml:space="preserve"> findings</w:t>
      </w:r>
      <w:bookmarkEnd w:id="22"/>
      <w:bookmarkEnd w:id="23"/>
      <w:bookmarkEnd w:id="24"/>
    </w:p>
    <w:p w:rsidR="008E7846" w:rsidRDefault="008E7846" w:rsidP="00C5786A">
      <w:pPr>
        <w:pStyle w:val="Heading3"/>
      </w:pPr>
      <w:bookmarkStart w:id="25" w:name="_Toc247691507"/>
      <w:bookmarkStart w:id="26" w:name="_Toc314842488"/>
      <w:bookmarkStart w:id="27" w:name="_Toc420577591"/>
      <w:r w:rsidRPr="008751DC">
        <w:t xml:space="preserve">Drug </w:t>
      </w:r>
      <w:r>
        <w:t>s</w:t>
      </w:r>
      <w:r w:rsidRPr="008751DC">
        <w:t>ubstance</w:t>
      </w:r>
      <w:r w:rsidR="00703DBC">
        <w:t>s</w:t>
      </w:r>
      <w:r>
        <w:t xml:space="preserve"> (active ingredient)</w:t>
      </w:r>
      <w:bookmarkEnd w:id="25"/>
      <w:bookmarkEnd w:id="26"/>
      <w:bookmarkEnd w:id="27"/>
    </w:p>
    <w:p w:rsidR="00703DBC" w:rsidRPr="00AA30B0" w:rsidRDefault="00703DBC" w:rsidP="001D6125">
      <w:pPr>
        <w:pStyle w:val="Heading4"/>
      </w:pPr>
      <w:proofErr w:type="spellStart"/>
      <w:r w:rsidRPr="00AA30B0">
        <w:t>Vilanterol</w:t>
      </w:r>
      <w:proofErr w:type="spellEnd"/>
      <w:r w:rsidRPr="00AA30B0">
        <w:t xml:space="preserve"> </w:t>
      </w:r>
      <w:proofErr w:type="spellStart"/>
      <w:r w:rsidRPr="001D6125">
        <w:t>trifenatate</w:t>
      </w:r>
      <w:proofErr w:type="spellEnd"/>
    </w:p>
    <w:p w:rsidR="008E7846" w:rsidRDefault="00703DBC" w:rsidP="00C5786A">
      <w:r w:rsidRPr="00AA30B0">
        <w:t>Vilanterol trifenatate</w:t>
      </w:r>
      <w:r w:rsidR="009C1775">
        <w:t xml:space="preserve"> </w:t>
      </w:r>
      <w:r w:rsidR="009C1775" w:rsidRPr="002A434E">
        <w:t>(VI)</w:t>
      </w:r>
      <w:r w:rsidRPr="002A434E">
        <w:t xml:space="preserve"> (structure </w:t>
      </w:r>
      <w:r w:rsidRPr="00AA30B0">
        <w:t xml:space="preserve">shown </w:t>
      </w:r>
      <w:r w:rsidR="004F4C09">
        <w:t>in Fig</w:t>
      </w:r>
      <w:r w:rsidR="00A30D8C">
        <w:t>ure</w:t>
      </w:r>
      <w:r w:rsidR="004F4C09">
        <w:t xml:space="preserve"> 1) is a white non </w:t>
      </w:r>
      <w:r w:rsidRPr="00AA30B0">
        <w:t>solvated anhydrous crystalline solid. It is structurally related to other b</w:t>
      </w:r>
      <w:r w:rsidR="002D141B">
        <w:t>eta</w:t>
      </w:r>
      <w:r w:rsidRPr="002D141B">
        <w:rPr>
          <w:vertAlign w:val="subscript"/>
        </w:rPr>
        <w:t>2</w:t>
      </w:r>
      <w:r w:rsidR="002D141B">
        <w:t>-</w:t>
      </w:r>
      <w:r w:rsidRPr="00AA30B0">
        <w:t xml:space="preserve">agonists such as </w:t>
      </w:r>
      <w:proofErr w:type="spellStart"/>
      <w:r w:rsidRPr="00AA30B0">
        <w:t>indacaterol</w:t>
      </w:r>
      <w:proofErr w:type="spellEnd"/>
      <w:r w:rsidRPr="00AA30B0">
        <w:t xml:space="preserve"> and </w:t>
      </w:r>
      <w:proofErr w:type="spellStart"/>
      <w:r w:rsidRPr="00AA30B0">
        <w:t>olodaterol</w:t>
      </w:r>
      <w:proofErr w:type="spellEnd"/>
      <w:r w:rsidRPr="00AA30B0">
        <w:t>.</w:t>
      </w:r>
      <w:r w:rsidR="00AA30B0" w:rsidRPr="00AA30B0">
        <w:t xml:space="preserve"> Although </w:t>
      </w:r>
      <w:r w:rsidR="00A54884" w:rsidRPr="00A54884">
        <w:t xml:space="preserve">VI </w:t>
      </w:r>
      <w:r w:rsidR="00AA30B0" w:rsidRPr="00AA30B0">
        <w:t>is practically insolu</w:t>
      </w:r>
      <w:r w:rsidR="00A30D8C">
        <w:t xml:space="preserve">ble in water, fine particles </w:t>
      </w:r>
      <w:r w:rsidR="00AA30B0">
        <w:t>of the substance</w:t>
      </w:r>
      <w:r w:rsidR="00AA30B0" w:rsidRPr="00AA30B0">
        <w:t xml:space="preserve"> have been shown to dissolve rapidly in simulated lung fluid.</w:t>
      </w:r>
    </w:p>
    <w:p w:rsidR="006C586A" w:rsidRDefault="006C586A" w:rsidP="003B5481">
      <w:pPr>
        <w:pStyle w:val="FigureTitle"/>
      </w:pPr>
      <w:proofErr w:type="gramStart"/>
      <w:r>
        <w:t>Figure 1.</w:t>
      </w:r>
      <w:proofErr w:type="gramEnd"/>
      <w:r>
        <w:t xml:space="preserve"> </w:t>
      </w:r>
      <w:proofErr w:type="gramStart"/>
      <w:r>
        <w:t>Structure of v</w:t>
      </w:r>
      <w:r w:rsidRPr="006C586A">
        <w:t>ilanterol trifenatate</w:t>
      </w:r>
      <w:r>
        <w:t>.</w:t>
      </w:r>
      <w:proofErr w:type="gramEnd"/>
    </w:p>
    <w:p w:rsidR="00AA30B0" w:rsidRDefault="00AA30B0" w:rsidP="003B5481">
      <w:r>
        <w:rPr>
          <w:noProof/>
          <w:lang w:eastAsia="en-AU"/>
        </w:rPr>
        <w:drawing>
          <wp:inline distT="0" distB="0" distL="0" distR="0" wp14:anchorId="1A8936E8" wp14:editId="1D0C19CE">
            <wp:extent cx="2790190" cy="1035685"/>
            <wp:effectExtent l="0" t="0" r="0" b="0"/>
            <wp:docPr id="2" name="Picture 2" descr="Figure 1. Structure of vilanterol trifena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190" cy="1035685"/>
                    </a:xfrm>
                    <a:prstGeom prst="rect">
                      <a:avLst/>
                    </a:prstGeom>
                    <a:noFill/>
                    <a:ln>
                      <a:noFill/>
                    </a:ln>
                  </pic:spPr>
                </pic:pic>
              </a:graphicData>
            </a:graphic>
          </wp:inline>
        </w:drawing>
      </w:r>
    </w:p>
    <w:p w:rsidR="00AA30B0" w:rsidRDefault="00AA30B0" w:rsidP="00C5786A">
      <w:r w:rsidRPr="00AA30B0">
        <w:t xml:space="preserve">Its manufacture, quality control and stability were described in a recent submission by </w:t>
      </w:r>
      <w:r w:rsidR="00574A05">
        <w:t>the sponsor</w:t>
      </w:r>
      <w:r w:rsidRPr="00AA30B0">
        <w:t xml:space="preserve"> to register </w:t>
      </w:r>
      <w:proofErr w:type="spellStart"/>
      <w:r w:rsidR="00574A05">
        <w:t>Breo</w:t>
      </w:r>
      <w:proofErr w:type="spellEnd"/>
      <w:r w:rsidR="00574A05">
        <w:t xml:space="preserve"> </w:t>
      </w:r>
      <w:proofErr w:type="spellStart"/>
      <w:r w:rsidR="00574A05">
        <w:t>Ellipta</w:t>
      </w:r>
      <w:proofErr w:type="spellEnd"/>
      <w:r w:rsidR="00574A05">
        <w:t xml:space="preserve"> </w:t>
      </w:r>
      <w:r w:rsidRPr="00AA30B0">
        <w:t xml:space="preserve">a powder for inhalation product containing fluticasone </w:t>
      </w:r>
      <w:proofErr w:type="spellStart"/>
      <w:r w:rsidRPr="00AA30B0">
        <w:t>furoate</w:t>
      </w:r>
      <w:proofErr w:type="spellEnd"/>
      <w:r w:rsidRPr="00AA30B0">
        <w:t xml:space="preserve"> and </w:t>
      </w:r>
      <w:r w:rsidR="00A54884" w:rsidRPr="00A54884">
        <w:t>VI</w:t>
      </w:r>
      <w:r>
        <w:t>.</w:t>
      </w:r>
    </w:p>
    <w:p w:rsidR="00AA30B0" w:rsidRPr="00ED3BF5" w:rsidRDefault="00AA30B0" w:rsidP="00C5786A">
      <w:r w:rsidRPr="00ED3BF5">
        <w:t xml:space="preserve">The drug substance specification includes limits and tests </w:t>
      </w:r>
      <w:r w:rsidR="003D584F">
        <w:t>for identification, assay</w:t>
      </w:r>
      <w:r w:rsidR="00574A05" w:rsidRPr="00ED3BF5">
        <w:t xml:space="preserve"> and residual solvents. </w:t>
      </w:r>
      <w:r w:rsidRPr="00ED3BF5">
        <w:t>The limits for most of the specified impurities lie outside the qualification limits specified in CPMP/ICH/2737/99</w:t>
      </w:r>
      <w:r w:rsidR="00E0123A" w:rsidRPr="00A30D8C">
        <w:rPr>
          <w:vertAlign w:val="superscript"/>
        </w:rPr>
        <w:footnoteReference w:id="4"/>
      </w:r>
      <w:r w:rsidRPr="00ED3BF5">
        <w:t xml:space="preserve"> but they are acceptable on the basis that at the maximum recommended </w:t>
      </w:r>
      <w:r w:rsidR="00A54884">
        <w:t>VI</w:t>
      </w:r>
      <w:r w:rsidRPr="00ED3BF5">
        <w:t xml:space="preserve"> dose (25 </w:t>
      </w:r>
      <w:r w:rsidR="00574A05" w:rsidRPr="00ED3BF5">
        <w:t>µ</w:t>
      </w:r>
      <w:r w:rsidRPr="00ED3BF5">
        <w:t xml:space="preserve">g) the impurity levels are well below the standard threshold of toxicological concern (1.5 </w:t>
      </w:r>
      <w:r w:rsidR="00574A05" w:rsidRPr="00ED3BF5">
        <w:t xml:space="preserve">µg/day). </w:t>
      </w:r>
      <w:r w:rsidRPr="00ED3BF5">
        <w:t xml:space="preserve">The particle size limits are the same as those </w:t>
      </w:r>
      <w:r w:rsidR="00574A05" w:rsidRPr="00ED3BF5">
        <w:t>described in the recent submission</w:t>
      </w:r>
      <w:r w:rsidRPr="00ED3BF5">
        <w:t xml:space="preserve"> and are based upon a physical characterisation of the drug substance used in clinical and stability batches.</w:t>
      </w:r>
    </w:p>
    <w:p w:rsidR="00AA30B0" w:rsidRPr="00AA30B0" w:rsidRDefault="00AA30B0" w:rsidP="00C5786A">
      <w:pPr>
        <w:pStyle w:val="Heading4"/>
      </w:pPr>
      <w:r w:rsidRPr="00AA30B0">
        <w:t>Umeclidinium bromide</w:t>
      </w:r>
    </w:p>
    <w:p w:rsidR="00AA30B0" w:rsidRDefault="00AA30B0" w:rsidP="00C5786A">
      <w:r w:rsidRPr="00AA30B0">
        <w:t xml:space="preserve">Umeclidinium bromide </w:t>
      </w:r>
      <w:r w:rsidR="002A434E">
        <w:t xml:space="preserve">(UMEC) </w:t>
      </w:r>
      <w:r w:rsidRPr="00AA30B0">
        <w:t>(</w:t>
      </w:r>
      <w:r w:rsidR="00574A05" w:rsidRPr="00574A05">
        <w:t xml:space="preserve">structure shown </w:t>
      </w:r>
      <w:r w:rsidR="00574A05">
        <w:t>in Fig</w:t>
      </w:r>
      <w:r w:rsidR="00A30D8C">
        <w:t xml:space="preserve">ure </w:t>
      </w:r>
      <w:r w:rsidR="00574A05">
        <w:t>2</w:t>
      </w:r>
      <w:r w:rsidRPr="00AA30B0">
        <w:t>) is a white anhydrous solid</w:t>
      </w:r>
      <w:r>
        <w:t xml:space="preserve">. </w:t>
      </w:r>
      <w:r w:rsidRPr="00AA30B0">
        <w:t xml:space="preserve">It is manufactured and </w:t>
      </w:r>
      <w:proofErr w:type="spellStart"/>
      <w:r w:rsidRPr="00AA30B0">
        <w:t>microni</w:t>
      </w:r>
      <w:r w:rsidR="003D584F">
        <w:t>s</w:t>
      </w:r>
      <w:r w:rsidRPr="00AA30B0">
        <w:t>ed</w:t>
      </w:r>
      <w:proofErr w:type="spellEnd"/>
      <w:r w:rsidRPr="00AA30B0">
        <w:t xml:space="preserve"> at the same sites used in the manufact</w:t>
      </w:r>
      <w:r>
        <w:t xml:space="preserve">ure of </w:t>
      </w:r>
      <w:r w:rsidR="00A54884" w:rsidRPr="00A54884">
        <w:t>VI</w:t>
      </w:r>
      <w:r>
        <w:t xml:space="preserve">. </w:t>
      </w:r>
      <w:r w:rsidRPr="00AA30B0">
        <w:t xml:space="preserve">Like </w:t>
      </w:r>
      <w:r w:rsidR="00A54884">
        <w:t>VI</w:t>
      </w:r>
      <w:r w:rsidRPr="00AA30B0">
        <w:t xml:space="preserve">, </w:t>
      </w:r>
      <w:r w:rsidR="00A54884" w:rsidRPr="00A54884">
        <w:t>UMEC</w:t>
      </w:r>
      <w:r w:rsidRPr="00AA30B0">
        <w:t xml:space="preserve"> is not very soluble in water but fine particles of the drug substance dissolve ra</w:t>
      </w:r>
      <w:r w:rsidR="00574A05">
        <w:t>pidly in simulated lung fluid.</w:t>
      </w:r>
    </w:p>
    <w:p w:rsidR="00574A05" w:rsidRDefault="00574A05" w:rsidP="003B5481">
      <w:pPr>
        <w:pStyle w:val="FigureTitle"/>
      </w:pPr>
      <w:proofErr w:type="gramStart"/>
      <w:r>
        <w:t>Figure 2.</w:t>
      </w:r>
      <w:proofErr w:type="gramEnd"/>
      <w:r>
        <w:t xml:space="preserve"> </w:t>
      </w:r>
      <w:proofErr w:type="gramStart"/>
      <w:r>
        <w:t>Structure of u</w:t>
      </w:r>
      <w:r w:rsidRPr="00574A05">
        <w:t>meclidinium bromide</w:t>
      </w:r>
      <w:r>
        <w:t>.</w:t>
      </w:r>
      <w:proofErr w:type="gramEnd"/>
    </w:p>
    <w:p w:rsidR="00AA30B0" w:rsidRDefault="00AA30B0" w:rsidP="003B5481">
      <w:r>
        <w:rPr>
          <w:noProof/>
          <w:lang w:eastAsia="en-AU"/>
        </w:rPr>
        <w:drawing>
          <wp:inline distT="0" distB="0" distL="0" distR="0" wp14:anchorId="45942589" wp14:editId="5F70DF6B">
            <wp:extent cx="2105025" cy="904875"/>
            <wp:effectExtent l="0" t="0" r="9525" b="9525"/>
            <wp:docPr id="3" name="Picture 3" descr="Figure 2. Structure of umeclidin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904875"/>
                    </a:xfrm>
                    <a:prstGeom prst="rect">
                      <a:avLst/>
                    </a:prstGeom>
                    <a:noFill/>
                    <a:ln>
                      <a:noFill/>
                    </a:ln>
                  </pic:spPr>
                </pic:pic>
              </a:graphicData>
            </a:graphic>
          </wp:inline>
        </w:drawing>
      </w:r>
    </w:p>
    <w:p w:rsidR="004D3220" w:rsidRPr="00AD746D" w:rsidRDefault="003D584F" w:rsidP="00C5786A">
      <w:bookmarkStart w:id="28" w:name="_Toc247691508"/>
      <w:bookmarkStart w:id="29" w:name="_Toc314842490"/>
      <w:r w:rsidRPr="003D584F">
        <w:t>The drug substance quality is controlled by a specification that includes appropriate limits for assay and residual solvents.</w:t>
      </w:r>
      <w:r>
        <w:t xml:space="preserve"> </w:t>
      </w:r>
      <w:r w:rsidR="00245149" w:rsidRPr="00AD746D">
        <w:t xml:space="preserve">The specified impurity limits, which all lie outside that specified in CPMP/ICH/2737/99, are considered justified on the basis that at the maximum recommended </w:t>
      </w:r>
      <w:r w:rsidR="00A54884">
        <w:t>UMEC</w:t>
      </w:r>
      <w:r w:rsidRPr="003D584F">
        <w:t xml:space="preserve"> </w:t>
      </w:r>
      <w:r w:rsidR="00245149" w:rsidRPr="00AD746D">
        <w:t xml:space="preserve">dose (62.5 </w:t>
      </w:r>
      <w:r w:rsidR="00574A05" w:rsidRPr="00AD746D">
        <w:t>µ</w:t>
      </w:r>
      <w:r w:rsidR="00245149" w:rsidRPr="00AD746D">
        <w:t>g) the impurity levels are well below the standard threshold of toxico</w:t>
      </w:r>
      <w:r w:rsidR="00574A05" w:rsidRPr="00AD746D">
        <w:t>logical concern (1.5 µg/day). T</w:t>
      </w:r>
      <w:r w:rsidR="00245149" w:rsidRPr="00AD746D">
        <w:t>he particle size limits are based on the drug substance batches used in the key clinical and stability trials.</w:t>
      </w:r>
    </w:p>
    <w:p w:rsidR="008E7846" w:rsidRDefault="008E7846" w:rsidP="00C5786A">
      <w:pPr>
        <w:pStyle w:val="Heading3"/>
      </w:pPr>
      <w:bookmarkStart w:id="30" w:name="_Toc420577592"/>
      <w:r w:rsidRPr="008751DC">
        <w:lastRenderedPageBreak/>
        <w:t xml:space="preserve">Drug </w:t>
      </w:r>
      <w:r>
        <w:t>p</w:t>
      </w:r>
      <w:r w:rsidRPr="008751DC">
        <w:t>roduct</w:t>
      </w:r>
      <w:bookmarkEnd w:id="28"/>
      <w:bookmarkEnd w:id="29"/>
      <w:bookmarkEnd w:id="30"/>
    </w:p>
    <w:p w:rsidR="004D3220" w:rsidRPr="004D3220" w:rsidRDefault="00574A05" w:rsidP="00C5786A">
      <w:bookmarkStart w:id="31" w:name="_Toc314842491"/>
      <w:r>
        <w:t>T</w:t>
      </w:r>
      <w:r w:rsidR="004D3220" w:rsidRPr="004D3220">
        <w:t xml:space="preserve">he same inhaler device as approved for the </w:t>
      </w:r>
      <w:proofErr w:type="spellStart"/>
      <w:r w:rsidR="00D23B41">
        <w:t>Breo</w:t>
      </w:r>
      <w:proofErr w:type="spellEnd"/>
      <w:r w:rsidR="00D23B41">
        <w:t xml:space="preserve"> </w:t>
      </w:r>
      <w:proofErr w:type="spellStart"/>
      <w:r w:rsidR="00D23B41">
        <w:t>Ellipta</w:t>
      </w:r>
      <w:proofErr w:type="spellEnd"/>
      <w:r w:rsidR="00D23B41">
        <w:t xml:space="preserve"> powder is to be used for </w:t>
      </w:r>
      <w:proofErr w:type="spellStart"/>
      <w:r w:rsidR="00D23B41">
        <w:t>Anoro</w:t>
      </w:r>
      <w:proofErr w:type="spellEnd"/>
      <w:r w:rsidR="00D23B41">
        <w:t xml:space="preserve"> </w:t>
      </w:r>
      <w:proofErr w:type="spellStart"/>
      <w:r w:rsidR="00D23B41">
        <w:t>Ellipta</w:t>
      </w:r>
      <w:proofErr w:type="spellEnd"/>
      <w:r w:rsidR="00D23B41">
        <w:t xml:space="preserve">. </w:t>
      </w:r>
      <w:r w:rsidR="004D3220" w:rsidRPr="004D3220">
        <w:t xml:space="preserve">It simultaneously delivers the powdered </w:t>
      </w:r>
      <w:r w:rsidR="00D23B41">
        <w:t>contents of two blister strips.</w:t>
      </w:r>
      <w:r w:rsidR="004D3220" w:rsidRPr="004D3220">
        <w:t xml:space="preserve"> One of the blister strips contains a powdered blend of </w:t>
      </w:r>
      <w:r w:rsidR="00A54884">
        <w:t>UMEC</w:t>
      </w:r>
      <w:r w:rsidR="004D3220" w:rsidRPr="004D3220">
        <w:t>, magnesium ste</w:t>
      </w:r>
      <w:r w:rsidR="00D23B41">
        <w:t xml:space="preserve">arate and lactose monohydrate. </w:t>
      </w:r>
      <w:r w:rsidR="004D3220" w:rsidRPr="004D3220">
        <w:t xml:space="preserve">The other contains a blend of </w:t>
      </w:r>
      <w:r w:rsidR="00A54884" w:rsidRPr="00A54884">
        <w:t>VI</w:t>
      </w:r>
      <w:r w:rsidR="004D3220" w:rsidRPr="004D3220">
        <w:t>, lactose monoh</w:t>
      </w:r>
      <w:r w:rsidR="00D23B41">
        <w:t xml:space="preserve">ydrate and magnesium stearate. </w:t>
      </w:r>
      <w:r w:rsidR="004D3220" w:rsidRPr="004D3220">
        <w:t>Each inhaler is contained within a secondary pack comprising a sealed foil laminate tray which also contains a silica gel desiccant packet.</w:t>
      </w:r>
    </w:p>
    <w:p w:rsidR="004D3220" w:rsidRDefault="004D3220" w:rsidP="00C5786A">
      <w:r w:rsidRPr="004D3220">
        <w:t xml:space="preserve">The blisters contain 62.5 </w:t>
      </w:r>
      <w:r w:rsidR="00D23B41">
        <w:t xml:space="preserve">µg of </w:t>
      </w:r>
      <w:r w:rsidR="00A54884" w:rsidRPr="00A54884">
        <w:t>UMEC</w:t>
      </w:r>
      <w:r w:rsidRPr="004D3220">
        <w:t xml:space="preserve"> and 25 </w:t>
      </w:r>
      <w:r w:rsidR="00D23B41">
        <w:t>µ</w:t>
      </w:r>
      <w:r w:rsidRPr="004D3220">
        <w:t>g o</w:t>
      </w:r>
      <w:r w:rsidR="00D23B41">
        <w:t xml:space="preserve">f </w:t>
      </w:r>
      <w:r w:rsidR="00A54884" w:rsidRPr="00A54884">
        <w:t>VI</w:t>
      </w:r>
      <w:r w:rsidR="009F6F66">
        <w:t xml:space="preserve"> respectively for the two blisters</w:t>
      </w:r>
      <w:r w:rsidR="00D23B41">
        <w:t xml:space="preserve">. </w:t>
      </w:r>
      <w:r w:rsidRPr="004D3220">
        <w:t xml:space="preserve">This corresponds to a delivered dose of 55/22 </w:t>
      </w:r>
      <w:r w:rsidR="00D23B41">
        <w:t xml:space="preserve">µg </w:t>
      </w:r>
      <w:r w:rsidR="00A54884">
        <w:t>UMEC</w:t>
      </w:r>
      <w:r w:rsidR="00D23B41">
        <w:t>/</w:t>
      </w:r>
      <w:r w:rsidR="00A54884">
        <w:t>VI</w:t>
      </w:r>
      <w:r w:rsidR="00D23B41">
        <w:t xml:space="preserve">. </w:t>
      </w:r>
      <w:r w:rsidRPr="004D3220">
        <w:t>As a blister inhaler product, the label quantity is expressed in terms of the amounts of active substances in the blister.</w:t>
      </w:r>
    </w:p>
    <w:p w:rsidR="002041BF" w:rsidRDefault="002041BF" w:rsidP="00C5786A">
      <w:r w:rsidRPr="002041BF">
        <w:t>The formulation and manufacturing process were developed usin</w:t>
      </w:r>
      <w:r w:rsidR="00D23B41">
        <w:t>g a quality by design approach.</w:t>
      </w:r>
      <w:r w:rsidRPr="002041BF">
        <w:t xml:space="preserve"> For both powders the addition of magnesium stearate was found to improve the </w:t>
      </w:r>
      <w:r w:rsidR="009F6F66">
        <w:t>stability of the aerodynamic</w:t>
      </w:r>
      <w:r w:rsidR="009F6F66" w:rsidRPr="002041BF">
        <w:t xml:space="preserve"> </w:t>
      </w:r>
      <w:r w:rsidRPr="002041BF">
        <w:t>p</w:t>
      </w:r>
      <w:r w:rsidR="00BC6FC4">
        <w:t>article size distribution</w:t>
      </w:r>
      <w:r w:rsidRPr="002041BF">
        <w:t xml:space="preserve"> </w:t>
      </w:r>
      <w:r w:rsidR="00D23B41">
        <w:t xml:space="preserve">of the emitted dose. </w:t>
      </w:r>
      <w:r w:rsidRPr="002041BF">
        <w:t xml:space="preserve">It also improved the chemical stability of the </w:t>
      </w:r>
      <w:r w:rsidR="00A54884">
        <w:t>VI</w:t>
      </w:r>
      <w:r w:rsidRPr="002041BF">
        <w:t xml:space="preserve"> powder.</w:t>
      </w:r>
    </w:p>
    <w:p w:rsidR="002041BF" w:rsidRDefault="00AF26B5" w:rsidP="00C5786A">
      <w:r w:rsidRPr="00AF26B5">
        <w:t>The manufacturing process comprises four unit operations: blending and filling (f</w:t>
      </w:r>
      <w:r w:rsidR="00B73028">
        <w:t>or each drug substance mixture),</w:t>
      </w:r>
      <w:r w:rsidRPr="00AF26B5">
        <w:t xml:space="preserve"> assembly and packing.</w:t>
      </w:r>
    </w:p>
    <w:p w:rsidR="003D584F" w:rsidRDefault="00AF26B5" w:rsidP="00C5786A">
      <w:r w:rsidRPr="00AF26B5">
        <w:t>The drug product specification includes l</w:t>
      </w:r>
      <w:r w:rsidR="00227EF6">
        <w:t xml:space="preserve">imits for mean </w:t>
      </w:r>
      <w:r w:rsidR="00A54884">
        <w:t>UMEC</w:t>
      </w:r>
      <w:r w:rsidR="00227EF6">
        <w:t xml:space="preserve"> </w:t>
      </w:r>
      <w:r w:rsidRPr="00AF26B5">
        <w:t xml:space="preserve">and </w:t>
      </w:r>
      <w:r w:rsidR="009F6F66">
        <w:t xml:space="preserve">VI </w:t>
      </w:r>
      <w:r w:rsidR="00B96ECC">
        <w:t xml:space="preserve">content per blister. </w:t>
      </w:r>
      <w:r w:rsidRPr="00AF26B5">
        <w:t>Blister content uniformity is incl</w:t>
      </w:r>
      <w:r w:rsidR="00B96ECC">
        <w:t xml:space="preserve">uded as an in-process control. </w:t>
      </w:r>
      <w:r w:rsidRPr="00AF26B5">
        <w:t>Appropriate tests and limits are also included to control the uniformity of the delivered dose a</w:t>
      </w:r>
      <w:r w:rsidR="00B96ECC">
        <w:t xml:space="preserve">nd the mean delivered dose. </w:t>
      </w:r>
      <w:r w:rsidRPr="00AF26B5">
        <w:t>Th</w:t>
      </w:r>
      <w:r w:rsidR="003D584F">
        <w:t>e fine particle mass limits</w:t>
      </w:r>
      <w:r w:rsidRPr="00AF26B5">
        <w:t xml:space="preserve"> are based on tolerance intervals calculated from clinical and s</w:t>
      </w:r>
      <w:r w:rsidR="00B96ECC">
        <w:t xml:space="preserve">tability drug product batches. </w:t>
      </w:r>
      <w:r w:rsidRPr="00AF26B5">
        <w:t>Impurities and microbial content a</w:t>
      </w:r>
      <w:r w:rsidR="003D584F">
        <w:t>re appropriately controlled.</w:t>
      </w:r>
    </w:p>
    <w:p w:rsidR="00AF26B5" w:rsidRPr="00AF26B5" w:rsidRDefault="00AF26B5" w:rsidP="00C5786A">
      <w:r w:rsidRPr="00AF26B5">
        <w:t>The analytical methods used to test the drug prod</w:t>
      </w:r>
      <w:r w:rsidR="00B96ECC">
        <w:t xml:space="preserve">uct were </w:t>
      </w:r>
      <w:r w:rsidR="00B35898">
        <w:t>adequately validated.</w:t>
      </w:r>
    </w:p>
    <w:p w:rsidR="00AF26B5" w:rsidRDefault="00AF26B5" w:rsidP="00C5786A">
      <w:r w:rsidRPr="00AF26B5">
        <w:t>Stability data were provided to support a shelf life for the unopened product of 24 months when it is store</w:t>
      </w:r>
      <w:r w:rsidR="00B96ECC">
        <w:t>d</w:t>
      </w:r>
      <w:r w:rsidRPr="00AF26B5">
        <w:t xml:space="preserve"> below 30</w:t>
      </w:r>
      <w:r w:rsidR="00B96ECC">
        <w:t xml:space="preserve">°C. </w:t>
      </w:r>
      <w:r w:rsidRPr="00AF26B5">
        <w:t>Following removal of the secondary packaging and desiccant packet from the inhaler, the product may be stored for a maximum period of 6 weeks (below 30</w:t>
      </w:r>
      <w:r w:rsidR="00B35898">
        <w:t>°C).</w:t>
      </w:r>
    </w:p>
    <w:p w:rsidR="003D584F" w:rsidRPr="003D584F" w:rsidRDefault="003D584F" w:rsidP="00C5786A">
      <w:pPr>
        <w:pStyle w:val="Heading3"/>
      </w:pPr>
      <w:bookmarkStart w:id="32" w:name="_Toc420577593"/>
      <w:r w:rsidRPr="003D584F">
        <w:t>Biopharmaceutics</w:t>
      </w:r>
      <w:bookmarkEnd w:id="32"/>
    </w:p>
    <w:p w:rsidR="003D584F" w:rsidRPr="003D584F" w:rsidRDefault="003D584F" w:rsidP="00C5786A">
      <w:bookmarkStart w:id="33" w:name="_Toc314842492"/>
      <w:r w:rsidRPr="003D584F">
        <w:t xml:space="preserve">Studies were submitted in which the absolute </w:t>
      </w:r>
      <w:proofErr w:type="spellStart"/>
      <w:r w:rsidRPr="003D584F">
        <w:t>bioavailabilities</w:t>
      </w:r>
      <w:proofErr w:type="spellEnd"/>
      <w:r w:rsidRPr="003D584F">
        <w:t xml:space="preserve"> and pharmacokinetic (PK) profiles of </w:t>
      </w:r>
      <w:r w:rsidR="00A54884">
        <w:t>UMEC</w:t>
      </w:r>
      <w:r w:rsidRPr="003D584F">
        <w:t xml:space="preserve"> and </w:t>
      </w:r>
      <w:r w:rsidR="00A54884">
        <w:t>VI</w:t>
      </w:r>
      <w:r w:rsidRPr="003D584F">
        <w:t xml:space="preserve"> were determined. These studies were summarised as part of the chemistry and quality assessment but have not been assessed in detail due to the locally acting nature of the product.</w:t>
      </w:r>
    </w:p>
    <w:p w:rsidR="003D584F" w:rsidRPr="003D584F" w:rsidRDefault="003D584F" w:rsidP="00C5786A">
      <w:r>
        <w:t>Following inhalation the</w:t>
      </w:r>
      <w:r w:rsidRPr="003D584F">
        <w:t xml:space="preserve"> maximum concentration (</w:t>
      </w:r>
      <w:proofErr w:type="spellStart"/>
      <w:r w:rsidRPr="003D584F">
        <w:t>C</w:t>
      </w:r>
      <w:r w:rsidRPr="003D584F">
        <w:rPr>
          <w:vertAlign w:val="subscript"/>
        </w:rPr>
        <w:t>max</w:t>
      </w:r>
      <w:proofErr w:type="spellEnd"/>
      <w:r w:rsidRPr="003D584F">
        <w:t>) of both drug substances occurs at 5 to 15 minutes. The absolute bio availabilities are 13% (</w:t>
      </w:r>
      <w:r w:rsidR="00A54884">
        <w:t>UMEC</w:t>
      </w:r>
      <w:r w:rsidRPr="003D584F">
        <w:t>) and 27% (</w:t>
      </w:r>
      <w:r w:rsidR="00A54884">
        <w:t>VI</w:t>
      </w:r>
      <w:r w:rsidRPr="003D584F">
        <w:t xml:space="preserve">). The mean volume of distribution for </w:t>
      </w:r>
      <w:r w:rsidR="00A54884">
        <w:t>UMEC</w:t>
      </w:r>
      <w:r w:rsidRPr="003D584F">
        <w:t xml:space="preserve"> is 86 L and 165 L for </w:t>
      </w:r>
      <w:r w:rsidR="00A54884">
        <w:t>VI</w:t>
      </w:r>
      <w:r w:rsidRPr="003D584F">
        <w:t xml:space="preserve">. Both </w:t>
      </w:r>
      <w:r w:rsidR="00A54884">
        <w:t>VI</w:t>
      </w:r>
      <w:r w:rsidRPr="003D584F">
        <w:t xml:space="preserve"> and </w:t>
      </w:r>
      <w:r w:rsidR="00A54884">
        <w:t>UMEC</w:t>
      </w:r>
      <w:r w:rsidRPr="003D584F">
        <w:t xml:space="preserve"> are metabolised </w:t>
      </w:r>
      <w:proofErr w:type="spellStart"/>
      <w:r w:rsidRPr="003D584F">
        <w:t>oxidatively</w:t>
      </w:r>
      <w:proofErr w:type="spellEnd"/>
      <w:r w:rsidRPr="003D584F">
        <w:t xml:space="preserve"> to produce compounds with reduced pharmacological activity. The half-lives of each drug substance following repeated inhalation dosing were in the range 11 to 19 hours.</w:t>
      </w:r>
    </w:p>
    <w:p w:rsidR="003D584F" w:rsidRDefault="003D584F" w:rsidP="00C5786A">
      <w:r w:rsidRPr="003D584F">
        <w:t xml:space="preserve">A food interaction study was not conducted on the basis that the oral bioavailability of </w:t>
      </w:r>
      <w:r w:rsidR="00A54884">
        <w:t>UMEC</w:t>
      </w:r>
      <w:r w:rsidRPr="003D584F">
        <w:t xml:space="preserve"> is negligible (&lt; 1%) and </w:t>
      </w:r>
      <w:r w:rsidR="00A54884">
        <w:t>VI</w:t>
      </w:r>
      <w:r w:rsidRPr="003D584F">
        <w:t xml:space="preserve"> from the swallowed portion undergoes extensive first pass metabolism.</w:t>
      </w:r>
      <w:bookmarkEnd w:id="33"/>
    </w:p>
    <w:p w:rsidR="003D584F" w:rsidRDefault="003D584F" w:rsidP="00C5786A">
      <w:pPr>
        <w:pStyle w:val="Heading3"/>
      </w:pPr>
      <w:bookmarkStart w:id="34" w:name="_Toc404692337"/>
      <w:bookmarkStart w:id="35" w:name="_Toc420577594"/>
      <w:r>
        <w:t>Advisory committee considerations</w:t>
      </w:r>
      <w:bookmarkEnd w:id="34"/>
      <w:bookmarkEnd w:id="35"/>
    </w:p>
    <w:p w:rsidR="003D584F" w:rsidRPr="00AF26B5" w:rsidRDefault="003D584F" w:rsidP="00C5786A">
      <w:r w:rsidRPr="009640BD">
        <w:t xml:space="preserve">No significant issues were raised during the chemistry and quality assessment and consequently the product was not referred for consideration by the Pharmaceutical Sub-Committee </w:t>
      </w:r>
      <w:r>
        <w:t xml:space="preserve">(PSC) </w:t>
      </w:r>
      <w:r w:rsidRPr="009640BD">
        <w:t xml:space="preserve">of the </w:t>
      </w:r>
      <w:r>
        <w:t>Advisory Committee on Prescription Medicines (</w:t>
      </w:r>
      <w:r w:rsidRPr="009640BD">
        <w:t>ACPM</w:t>
      </w:r>
      <w:r>
        <w:t>)</w:t>
      </w:r>
      <w:r w:rsidRPr="009640BD">
        <w:t>.</w:t>
      </w:r>
    </w:p>
    <w:p w:rsidR="008E7846" w:rsidRPr="008751DC" w:rsidRDefault="008E7846" w:rsidP="00C5786A">
      <w:pPr>
        <w:pStyle w:val="Heading3"/>
      </w:pPr>
      <w:bookmarkStart w:id="36" w:name="_Toc247691509"/>
      <w:bookmarkStart w:id="37" w:name="_Toc314842493"/>
      <w:bookmarkStart w:id="38" w:name="_Toc420577595"/>
      <w:bookmarkEnd w:id="31"/>
      <w:r w:rsidRPr="00AF26B5">
        <w:lastRenderedPageBreak/>
        <w:t>Quality</w:t>
      </w:r>
      <w:r>
        <w:t xml:space="preserve"> s</w:t>
      </w:r>
      <w:r w:rsidRPr="008751DC">
        <w:t>ummary</w:t>
      </w:r>
      <w:r>
        <w:t xml:space="preserve"> and conclusions</w:t>
      </w:r>
      <w:bookmarkEnd w:id="36"/>
      <w:bookmarkEnd w:id="37"/>
      <w:bookmarkEnd w:id="38"/>
    </w:p>
    <w:p w:rsidR="008E7846" w:rsidRDefault="00AF26B5" w:rsidP="00C5786A">
      <w:r>
        <w:t>The chemistry, manufacturing and quality aspects of the submission are acceptable and approval is recommended.</w:t>
      </w:r>
    </w:p>
    <w:p w:rsidR="008E7846" w:rsidRDefault="008E7846" w:rsidP="00C5786A">
      <w:pPr>
        <w:pStyle w:val="Heading2"/>
      </w:pPr>
      <w:bookmarkStart w:id="39" w:name="_Toc196046439"/>
      <w:bookmarkStart w:id="40" w:name="_Toc247691510"/>
      <w:bookmarkStart w:id="41" w:name="_Toc314842494"/>
      <w:bookmarkStart w:id="42" w:name="_Toc420577596"/>
      <w:r>
        <w:t>III. Nonclinical</w:t>
      </w:r>
      <w:bookmarkEnd w:id="39"/>
      <w:r>
        <w:t xml:space="preserve"> findings</w:t>
      </w:r>
      <w:bookmarkEnd w:id="40"/>
      <w:bookmarkEnd w:id="41"/>
      <w:bookmarkEnd w:id="42"/>
    </w:p>
    <w:p w:rsidR="00D12D2B" w:rsidRDefault="008E7846" w:rsidP="00C5786A">
      <w:pPr>
        <w:pStyle w:val="Heading3"/>
      </w:pPr>
      <w:bookmarkStart w:id="43" w:name="_Toc247691511"/>
      <w:bookmarkStart w:id="44" w:name="_Toc314842495"/>
      <w:bookmarkStart w:id="45" w:name="_Toc420577597"/>
      <w:r>
        <w:t>Introduction</w:t>
      </w:r>
      <w:bookmarkEnd w:id="43"/>
      <w:bookmarkEnd w:id="44"/>
      <w:bookmarkEnd w:id="45"/>
    </w:p>
    <w:p w:rsidR="002745C1" w:rsidRDefault="00461B87" w:rsidP="00C5786A">
      <w:r w:rsidRPr="00461B87">
        <w:t xml:space="preserve">The nonclinical dossier was comprised of data previously submitted and evaluated in the original application to register vilanterol trifenatate as a new chemical entity (in combination with fluticasone </w:t>
      </w:r>
      <w:proofErr w:type="spellStart"/>
      <w:r w:rsidRPr="00461B87">
        <w:t>furoate</w:t>
      </w:r>
      <w:proofErr w:type="spellEnd"/>
      <w:r w:rsidR="00B96ECC">
        <w:t xml:space="preserve"> as </w:t>
      </w:r>
      <w:proofErr w:type="spellStart"/>
      <w:r w:rsidR="00B96ECC">
        <w:t>Breo</w:t>
      </w:r>
      <w:proofErr w:type="spellEnd"/>
      <w:r w:rsidR="00B96ECC">
        <w:t xml:space="preserve"> </w:t>
      </w:r>
      <w:proofErr w:type="spellStart"/>
      <w:r w:rsidR="00B96ECC">
        <w:t>Ellipta</w:t>
      </w:r>
      <w:proofErr w:type="spellEnd"/>
      <w:r w:rsidRPr="00461B87">
        <w:t xml:space="preserve">) plus new data for </w:t>
      </w:r>
      <w:r w:rsidR="00D12D2B">
        <w:t>umeclidinium</w:t>
      </w:r>
      <w:r w:rsidRPr="00461B87">
        <w:t xml:space="preserve"> (alone</w:t>
      </w:r>
      <w:r w:rsidR="00BC6FC4">
        <w:t>,</w:t>
      </w:r>
      <w:r w:rsidRPr="00461B87">
        <w:t xml:space="preserve"> or in com</w:t>
      </w:r>
      <w:r w:rsidR="00B96ECC">
        <w:t xml:space="preserve">bination with </w:t>
      </w:r>
      <w:r w:rsidR="00D12D2B">
        <w:t>vilanterol</w:t>
      </w:r>
      <w:r w:rsidR="00B96ECC">
        <w:t>)</w:t>
      </w:r>
      <w:r w:rsidR="00BC6FC4">
        <w:t xml:space="preserve">. </w:t>
      </w:r>
      <w:r w:rsidR="002745C1">
        <w:t>The nonclinical</w:t>
      </w:r>
      <w:r w:rsidR="002745C1" w:rsidRPr="009640BD">
        <w:t> report focuse</w:t>
      </w:r>
      <w:r w:rsidR="002745C1">
        <w:t>d</w:t>
      </w:r>
      <w:r w:rsidR="002745C1" w:rsidRPr="009640BD">
        <w:t xml:space="preserve"> on the data relating to </w:t>
      </w:r>
      <w:r w:rsidR="00D12D2B" w:rsidRPr="00D12D2B">
        <w:t>umeclidinium</w:t>
      </w:r>
      <w:r w:rsidR="002745C1" w:rsidRPr="009640BD">
        <w:t xml:space="preserve"> as a new chemical entity and for the novel combination; detailed assessment of previous studies relating to </w:t>
      </w:r>
      <w:r w:rsidR="00D12D2B" w:rsidRPr="00D12D2B">
        <w:t>vilanterol</w:t>
      </w:r>
      <w:r w:rsidR="002745C1" w:rsidRPr="009640BD">
        <w:t xml:space="preserve"> as a new chemical entity</w:t>
      </w:r>
      <w:r w:rsidR="002745C1">
        <w:t xml:space="preserve"> were considered in </w:t>
      </w:r>
      <w:r w:rsidR="002745C1" w:rsidRPr="009640BD">
        <w:t xml:space="preserve">the </w:t>
      </w:r>
      <w:r w:rsidR="002745C1">
        <w:t>n</w:t>
      </w:r>
      <w:r w:rsidR="002745C1" w:rsidRPr="009640BD">
        <w:t xml:space="preserve">onclinical </w:t>
      </w:r>
      <w:r w:rsidR="002745C1">
        <w:t>e</w:t>
      </w:r>
      <w:r w:rsidR="002745C1" w:rsidRPr="009640BD">
        <w:t xml:space="preserve">valuation </w:t>
      </w:r>
      <w:r w:rsidR="002745C1">
        <w:t>r</w:t>
      </w:r>
      <w:r w:rsidR="002745C1" w:rsidRPr="009640BD">
        <w:t xml:space="preserve">eport for </w:t>
      </w:r>
      <w:r w:rsidR="002745C1">
        <w:t xml:space="preserve">the application to register </w:t>
      </w:r>
      <w:r w:rsidR="00D12D2B" w:rsidRPr="00D12D2B">
        <w:t>vilanterol</w:t>
      </w:r>
      <w:r w:rsidR="002745C1" w:rsidRPr="00E76F67">
        <w:t xml:space="preserve"> </w:t>
      </w:r>
      <w:r w:rsidR="002745C1">
        <w:t xml:space="preserve">in combination with fluticasone </w:t>
      </w:r>
      <w:proofErr w:type="spellStart"/>
      <w:r w:rsidR="002745C1">
        <w:t>furoate</w:t>
      </w:r>
      <w:proofErr w:type="spellEnd"/>
      <w:r w:rsidR="002745C1">
        <w:t xml:space="preserve"> (</w:t>
      </w:r>
      <w:proofErr w:type="spellStart"/>
      <w:r w:rsidR="002745C1" w:rsidRPr="009640BD">
        <w:t>Breo</w:t>
      </w:r>
      <w:proofErr w:type="spellEnd"/>
      <w:r w:rsidR="002745C1">
        <w:t xml:space="preserve"> </w:t>
      </w:r>
      <w:proofErr w:type="spellStart"/>
      <w:r w:rsidR="002745C1" w:rsidRPr="009640BD">
        <w:t>Ellipta</w:t>
      </w:r>
      <w:proofErr w:type="spellEnd"/>
      <w:r w:rsidR="002745C1">
        <w:t>)</w:t>
      </w:r>
      <w:r w:rsidR="00D12D2B">
        <w:t xml:space="preserve"> (for details regarding studies relating to </w:t>
      </w:r>
      <w:r w:rsidR="00D12D2B" w:rsidRPr="00D12D2B">
        <w:t>vilanterol</w:t>
      </w:r>
      <w:r w:rsidR="00D12D2B">
        <w:t xml:space="preserve"> please see the </w:t>
      </w:r>
      <w:proofErr w:type="spellStart"/>
      <w:r w:rsidR="00D12D2B">
        <w:t>Breo</w:t>
      </w:r>
      <w:proofErr w:type="spellEnd"/>
      <w:r w:rsidR="00D12D2B">
        <w:t xml:space="preserve"> </w:t>
      </w:r>
      <w:proofErr w:type="spellStart"/>
      <w:r w:rsidR="00D12D2B">
        <w:t>Ellipta</w:t>
      </w:r>
      <w:proofErr w:type="spellEnd"/>
      <w:r w:rsidR="00D12D2B">
        <w:t xml:space="preserve"> </w:t>
      </w:r>
      <w:proofErr w:type="spellStart"/>
      <w:r w:rsidR="00D12D2B">
        <w:t>AusPAR</w:t>
      </w:r>
      <w:proofErr w:type="spellEnd"/>
      <w:r w:rsidR="00D12D2B">
        <w:t>)</w:t>
      </w:r>
      <w:r w:rsidR="002745C1" w:rsidRPr="009640BD">
        <w:t>.</w:t>
      </w:r>
    </w:p>
    <w:p w:rsidR="004334C7" w:rsidRDefault="00AB0FB9" w:rsidP="00C5786A">
      <w:r w:rsidRPr="00AB0FB9">
        <w:t>The nonclinical dataset was of h</w:t>
      </w:r>
      <w:r w:rsidR="00B96ECC">
        <w:t xml:space="preserve">igh quality. All pivotal safety </w:t>
      </w:r>
      <w:r w:rsidRPr="00AB0FB9">
        <w:t xml:space="preserve">related studies were conducted under </w:t>
      </w:r>
      <w:r w:rsidR="002745C1" w:rsidRPr="002745C1">
        <w:t xml:space="preserve">Good Laboratory Practice (GLP) </w:t>
      </w:r>
      <w:r w:rsidRPr="00AB0FB9">
        <w:t>conditions.</w:t>
      </w:r>
    </w:p>
    <w:p w:rsidR="008E7846" w:rsidRDefault="008E7846" w:rsidP="00C5786A">
      <w:pPr>
        <w:pStyle w:val="Heading3"/>
      </w:pPr>
      <w:bookmarkStart w:id="46" w:name="_Toc247691512"/>
      <w:bookmarkStart w:id="47" w:name="_Toc314842496"/>
      <w:bookmarkStart w:id="48" w:name="_Toc420577598"/>
      <w:r w:rsidRPr="00020030">
        <w:t>Pharmacology</w:t>
      </w:r>
      <w:bookmarkEnd w:id="46"/>
      <w:bookmarkEnd w:id="47"/>
      <w:bookmarkEnd w:id="48"/>
    </w:p>
    <w:p w:rsidR="00AB0FB9" w:rsidRPr="00AB0FB9" w:rsidRDefault="00AB0FB9" w:rsidP="001D6125">
      <w:pPr>
        <w:pStyle w:val="Heading4"/>
      </w:pPr>
      <w:r w:rsidRPr="00AB0FB9">
        <w:t xml:space="preserve">Primary </w:t>
      </w:r>
      <w:r w:rsidRPr="001D6125">
        <w:t>pharmacology</w:t>
      </w:r>
    </w:p>
    <w:p w:rsidR="00AB0FB9" w:rsidRPr="00AB0FB9" w:rsidRDefault="006F0C0F" w:rsidP="00C5786A">
      <w:r>
        <w:t>Umeclidinium is a LAMA</w:t>
      </w:r>
      <w:r w:rsidR="00AB0FB9" w:rsidRPr="00AB0FB9">
        <w:t xml:space="preserve">, anticipated to inhibit </w:t>
      </w:r>
      <w:r w:rsidR="00AD746D" w:rsidRPr="00AD746D">
        <w:t xml:space="preserve">acetylcholine </w:t>
      </w:r>
      <w:r w:rsidR="00AB0FB9" w:rsidRPr="00AD746D">
        <w:t>i</w:t>
      </w:r>
      <w:r w:rsidR="00AB0FB9" w:rsidRPr="00AB0FB9">
        <w:t>nduced bronchoconstriction (principally mediated by M</w:t>
      </w:r>
      <w:r w:rsidR="00AB0FB9" w:rsidRPr="002745C1">
        <w:rPr>
          <w:vertAlign w:val="subscript"/>
        </w:rPr>
        <w:t>3</w:t>
      </w:r>
      <w:r w:rsidR="00AB0FB9" w:rsidRPr="00AB0FB9">
        <w:t xml:space="preserve"> receptors on bronchial</w:t>
      </w:r>
      <w:r w:rsidR="003E6EDF">
        <w:t xml:space="preserve"> smooth muscle cells; </w:t>
      </w:r>
      <w:proofErr w:type="spellStart"/>
      <w:r w:rsidR="003E6EDF">
        <w:t>Gosens</w:t>
      </w:r>
      <w:proofErr w:type="spellEnd"/>
      <w:r w:rsidR="003E6EDF">
        <w:t xml:space="preserve"> et </w:t>
      </w:r>
      <w:r w:rsidR="00AB0FB9" w:rsidRPr="00AB0FB9">
        <w:t>al., 2006</w:t>
      </w:r>
      <w:r w:rsidR="003E6EDF">
        <w:rPr>
          <w:rStyle w:val="FootnoteReference"/>
        </w:rPr>
        <w:footnoteReference w:id="5"/>
      </w:r>
      <w:r>
        <w:t>). Vilanterol is a LABA</w:t>
      </w:r>
      <w:r w:rsidR="00AB0FB9" w:rsidRPr="00AB0FB9">
        <w:t>, anticipated to produce direct relaxation of airway smooth muscle.</w:t>
      </w:r>
    </w:p>
    <w:p w:rsidR="00AB0FB9" w:rsidRPr="00AB0FB9" w:rsidRDefault="00AB0FB9" w:rsidP="00C5786A">
      <w:r w:rsidRPr="00AB0FB9">
        <w:t>Umeclidinium was shown to possess high affinity for all five human mu</w:t>
      </w:r>
      <w:r w:rsidR="003E6EDF">
        <w:t>scarinic receptor subtypes (</w:t>
      </w:r>
      <w:r w:rsidR="004A20BC">
        <w:t>a</w:t>
      </w:r>
      <w:r w:rsidR="004A20BC" w:rsidRPr="004A20BC">
        <w:t>ffinity (binding) constant</w:t>
      </w:r>
      <w:r w:rsidR="002745C1" w:rsidRPr="002745C1">
        <w:t xml:space="preserve">, </w:t>
      </w:r>
      <w:r w:rsidR="003E6EDF">
        <w:t xml:space="preserve">Ki, </w:t>
      </w:r>
      <w:r w:rsidR="00227EF6">
        <w:t xml:space="preserve">0.05 to </w:t>
      </w:r>
      <w:r w:rsidRPr="00AB0FB9">
        <w:t xml:space="preserve">0.16 </w:t>
      </w:r>
      <w:proofErr w:type="spellStart"/>
      <w:r w:rsidRPr="00AB0FB9">
        <w:t>nM</w:t>
      </w:r>
      <w:proofErr w:type="spellEnd"/>
      <w:r w:rsidRPr="00AB0FB9">
        <w:t xml:space="preserve">; 0.062 </w:t>
      </w:r>
      <w:proofErr w:type="spellStart"/>
      <w:r w:rsidRPr="00AB0FB9">
        <w:t>nM</w:t>
      </w:r>
      <w:proofErr w:type="spellEnd"/>
      <w:r w:rsidRPr="00AB0FB9">
        <w:t xml:space="preserve"> at the M</w:t>
      </w:r>
      <w:r w:rsidRPr="002745C1">
        <w:rPr>
          <w:vertAlign w:val="subscript"/>
        </w:rPr>
        <w:t>3</w:t>
      </w:r>
      <w:r w:rsidRPr="00AB0FB9">
        <w:t xml:space="preserve"> subtype) where it acted as a competitive inhibitor. The rate of dissociation of the drug from</w:t>
      </w:r>
      <w:r w:rsidR="003E6EDF">
        <w:t xml:space="preserve"> the M</w:t>
      </w:r>
      <w:r w:rsidR="003E6EDF" w:rsidRPr="002745C1">
        <w:rPr>
          <w:vertAlign w:val="subscript"/>
        </w:rPr>
        <w:t>3</w:t>
      </w:r>
      <w:r w:rsidR="00D12D2B">
        <w:t xml:space="preserve"> receptor was slow (half-</w:t>
      </w:r>
      <w:r w:rsidRPr="00AB0FB9">
        <w:t>life, 82 min</w:t>
      </w:r>
      <w:r w:rsidR="003E6EDF">
        <w:t>utes</w:t>
      </w:r>
      <w:r w:rsidRPr="00AB0FB9">
        <w:t xml:space="preserve">). Umeclidinium inhibited contractions induced by </w:t>
      </w:r>
      <w:proofErr w:type="spellStart"/>
      <w:r w:rsidRPr="00AB0FB9">
        <w:t>carbachol</w:t>
      </w:r>
      <w:proofErr w:type="spellEnd"/>
      <w:r w:rsidRPr="00AB0FB9">
        <w:t xml:space="preserve"> (cholinergic agonist) in isol</w:t>
      </w:r>
      <w:r w:rsidR="003E6EDF">
        <w:t xml:space="preserve">ated human bronchial and guinea </w:t>
      </w:r>
      <w:r w:rsidRPr="00AB0FB9">
        <w:t>pig tracheal strips, acting with a long duration of action (offset ha</w:t>
      </w:r>
      <w:r w:rsidR="00BC6FC4">
        <w:t xml:space="preserve">lf </w:t>
      </w:r>
      <w:r w:rsidR="003E6EDF">
        <w:t xml:space="preserve">times following washout, </w:t>
      </w:r>
      <w:r w:rsidR="00227EF6">
        <w:t xml:space="preserve">&gt; </w:t>
      </w:r>
      <w:r w:rsidR="003E6EDF">
        <w:t xml:space="preserve">10 </w:t>
      </w:r>
      <w:r w:rsidR="00B35898">
        <w:t>h</w:t>
      </w:r>
      <w:r w:rsidR="002745C1">
        <w:t>ours</w:t>
      </w:r>
      <w:r w:rsidR="00B35898">
        <w:t>).</w:t>
      </w:r>
    </w:p>
    <w:p w:rsidR="00AB0FB9" w:rsidRPr="00AB0FB9" w:rsidRDefault="003E6EDF" w:rsidP="00C5786A">
      <w:r>
        <w:t xml:space="preserve">In </w:t>
      </w:r>
      <w:r w:rsidR="00AB0FB9" w:rsidRPr="00AB0FB9">
        <w:t xml:space="preserve">vivo, intranasal administration of </w:t>
      </w:r>
      <w:r w:rsidR="00A54884">
        <w:t>UMEC</w:t>
      </w:r>
      <w:r w:rsidR="00AB0FB9" w:rsidRPr="00AB0FB9">
        <w:t xml:space="preserve"> in mice and </w:t>
      </w:r>
      <w:proofErr w:type="spellStart"/>
      <w:r w:rsidR="00AB0FB9" w:rsidRPr="00AB0FB9">
        <w:t>intratracheal</w:t>
      </w:r>
      <w:proofErr w:type="spellEnd"/>
      <w:r w:rsidR="00AB0FB9" w:rsidRPr="00AB0FB9">
        <w:t xml:space="preserve"> instillati</w:t>
      </w:r>
      <w:r>
        <w:t xml:space="preserve">on in guinea pigs produced dose </w:t>
      </w:r>
      <w:r w:rsidR="00AB0FB9" w:rsidRPr="00AB0FB9">
        <w:t xml:space="preserve">dependent inhibition of bronchoconstriction induced by cholinergic agonists. Inhibition of </w:t>
      </w:r>
      <w:r w:rsidR="0036175C">
        <w:t xml:space="preserve">≥ </w:t>
      </w:r>
      <w:r>
        <w:t>50% was maintained for up to 72</w:t>
      </w:r>
      <w:r w:rsidR="002745C1">
        <w:t xml:space="preserve"> hours</w:t>
      </w:r>
      <w:r w:rsidR="00D12D2B">
        <w:t xml:space="preserve"> </w:t>
      </w:r>
      <w:r>
        <w:t xml:space="preserve">post </w:t>
      </w:r>
      <w:r w:rsidR="00AB0FB9" w:rsidRPr="00AB0FB9">
        <w:t xml:space="preserve">dose in mice (0.05 </w:t>
      </w:r>
      <w:r>
        <w:t>µ</w:t>
      </w:r>
      <w:r w:rsidR="00AB0FB9" w:rsidRPr="00AB0FB9">
        <w:t>g intr</w:t>
      </w:r>
      <w:r>
        <w:t>anasal) and for more than 48</w:t>
      </w:r>
      <w:r w:rsidR="002745C1">
        <w:t xml:space="preserve"> hours</w:t>
      </w:r>
      <w:r w:rsidR="002A434E">
        <w:t xml:space="preserve"> </w:t>
      </w:r>
      <w:r w:rsidR="00AB0FB9" w:rsidRPr="00AB0FB9">
        <w:t xml:space="preserve">(2.5 </w:t>
      </w:r>
      <w:r>
        <w:t>µ</w:t>
      </w:r>
      <w:r w:rsidR="00AB0FB9" w:rsidRPr="00AB0FB9">
        <w:t xml:space="preserve">g </w:t>
      </w:r>
      <w:proofErr w:type="spellStart"/>
      <w:r w:rsidR="00AB0FB9" w:rsidRPr="00AB0FB9">
        <w:t>intratracheal</w:t>
      </w:r>
      <w:proofErr w:type="spellEnd"/>
      <w:r w:rsidR="00AB0FB9" w:rsidRPr="00AB0FB9">
        <w:t xml:space="preserve">) or 5 days (25 </w:t>
      </w:r>
      <w:r>
        <w:t>µ</w:t>
      </w:r>
      <w:r w:rsidR="00AB0FB9" w:rsidRPr="00AB0FB9">
        <w:t>g intra</w:t>
      </w:r>
      <w:r w:rsidR="00693EED">
        <w:t xml:space="preserve"> </w:t>
      </w:r>
      <w:r w:rsidR="00AB0FB9" w:rsidRPr="00AB0FB9">
        <w:t>tracheal) in guinea pigs.</w:t>
      </w:r>
    </w:p>
    <w:p w:rsidR="00AB0FB9" w:rsidRPr="00AB0FB9" w:rsidRDefault="00AB0FB9" w:rsidP="00C5786A">
      <w:r w:rsidRPr="00AB0FB9">
        <w:t xml:space="preserve">The two principal human metabolites of </w:t>
      </w:r>
      <w:r w:rsidR="00A54884">
        <w:t>UMEC</w:t>
      </w:r>
      <w:r w:rsidRPr="00AB0FB9">
        <w:t xml:space="preserve"> showed either negligible activi</w:t>
      </w:r>
      <w:r w:rsidR="003E6EDF">
        <w:t xml:space="preserve">ty (M14; GSK339067) or almost 6 </w:t>
      </w:r>
      <w:r w:rsidRPr="00AB0FB9">
        <w:t xml:space="preserve">times lower activity </w:t>
      </w:r>
      <w:r w:rsidR="003E6EDF">
        <w:t>compared to</w:t>
      </w:r>
      <w:r w:rsidRPr="00AB0FB9">
        <w:t xml:space="preserve"> the parent (M3</w:t>
      </w:r>
      <w:r w:rsidR="003E6EDF">
        <w:t xml:space="preserve">3; GSK1761002) in cell </w:t>
      </w:r>
      <w:r w:rsidRPr="00AB0FB9">
        <w:t>based functional assays examining antagonism of the recombinant human M</w:t>
      </w:r>
      <w:r w:rsidRPr="002745C1">
        <w:rPr>
          <w:vertAlign w:val="subscript"/>
        </w:rPr>
        <w:t>3</w:t>
      </w:r>
      <w:r w:rsidRPr="00AB0FB9">
        <w:t xml:space="preserve"> receptor.</w:t>
      </w:r>
    </w:p>
    <w:p w:rsidR="00AB0FB9" w:rsidRPr="00AB0FB9" w:rsidRDefault="00AB0FB9" w:rsidP="00C5786A">
      <w:r w:rsidRPr="00AB0FB9">
        <w:t xml:space="preserve">No primary pharmacology studies were conducted with </w:t>
      </w:r>
      <w:r w:rsidR="00A54884">
        <w:t>UMEC</w:t>
      </w:r>
      <w:r w:rsidRPr="00AB0FB9">
        <w:t xml:space="preserve"> and </w:t>
      </w:r>
      <w:r w:rsidR="00A54884">
        <w:t>VI</w:t>
      </w:r>
      <w:r w:rsidRPr="00AB0FB9">
        <w:t xml:space="preserve"> in combination. The use of the two pharmacological classes in combination is well established clinically.</w:t>
      </w:r>
    </w:p>
    <w:p w:rsidR="00AB0FB9" w:rsidRPr="00AB0FB9" w:rsidRDefault="00AB0FB9" w:rsidP="009A1CFE">
      <w:pPr>
        <w:pStyle w:val="Heading4"/>
      </w:pPr>
      <w:r w:rsidRPr="009A1CFE">
        <w:lastRenderedPageBreak/>
        <w:t>Secondary</w:t>
      </w:r>
      <w:r w:rsidRPr="00AB0FB9">
        <w:t xml:space="preserve"> pharmacodynamics and safety pharmacology</w:t>
      </w:r>
    </w:p>
    <w:p w:rsidR="00AB0FB9" w:rsidRPr="00AB0FB9" w:rsidRDefault="00AB0FB9" w:rsidP="00C5786A">
      <w:r w:rsidRPr="00AB0FB9">
        <w:t xml:space="preserve">Umeclidinium was screened for secondary activity against a panel of 50 other receptors, ion channels and transporters. The kappa opioid receptor was identified as the highest affinity secondary target, with </w:t>
      </w:r>
      <w:r w:rsidR="00A54884">
        <w:t>UMEC</w:t>
      </w:r>
      <w:r w:rsidRPr="00AB0FB9">
        <w:t xml:space="preserve"> inhibiting radio</w:t>
      </w:r>
      <w:r w:rsidR="0036175C">
        <w:t xml:space="preserve"> </w:t>
      </w:r>
      <w:r w:rsidRPr="00AB0FB9">
        <w:t xml:space="preserve">ligand binding with a Ki of 69 </w:t>
      </w:r>
      <w:proofErr w:type="spellStart"/>
      <w:r w:rsidRPr="00AB0FB9">
        <w:t>nM</w:t>
      </w:r>
      <w:proofErr w:type="spellEnd"/>
      <w:r w:rsidRPr="00AB0FB9">
        <w:t xml:space="preserve"> (</w:t>
      </w:r>
      <w:r w:rsidR="006C586A">
        <w:t>that is,</w:t>
      </w:r>
      <w:r w:rsidR="003E6EDF">
        <w:t xml:space="preserve"> </w:t>
      </w:r>
      <w:r w:rsidR="0036175C">
        <w:t xml:space="preserve">&gt; </w:t>
      </w:r>
      <w:r w:rsidR="003E6EDF">
        <w:t xml:space="preserve">1000 </w:t>
      </w:r>
      <w:r w:rsidRPr="00AB0FB9">
        <w:t xml:space="preserve">times less potent </w:t>
      </w:r>
      <w:r w:rsidR="003E6EDF">
        <w:t>compared to</w:t>
      </w:r>
      <w:r w:rsidRPr="00AB0FB9">
        <w:t xml:space="preserve"> the primary pharmacological target). Given that the observed Ki value is </w:t>
      </w:r>
      <w:r w:rsidR="0036175C">
        <w:t xml:space="preserve">&gt; 425 </w:t>
      </w:r>
      <w:r w:rsidRPr="00AB0FB9">
        <w:t xml:space="preserve">times higher than the plasma </w:t>
      </w:r>
      <w:proofErr w:type="spellStart"/>
      <w:r w:rsidRPr="00AB0FB9">
        <w:t>C</w:t>
      </w:r>
      <w:r w:rsidRPr="006C586A">
        <w:rPr>
          <w:vertAlign w:val="subscript"/>
        </w:rPr>
        <w:t>max</w:t>
      </w:r>
      <w:proofErr w:type="spellEnd"/>
      <w:r w:rsidRPr="00AB0FB9">
        <w:t xml:space="preserve"> for </w:t>
      </w:r>
      <w:r w:rsidR="00A54884">
        <w:t>UMEC</w:t>
      </w:r>
      <w:r w:rsidRPr="00AB0FB9">
        <w:t xml:space="preserve"> in patients at the m</w:t>
      </w:r>
      <w:r w:rsidR="0036175C">
        <w:t>aximum recommended dose of 62.5 µ</w:t>
      </w:r>
      <w:r w:rsidRPr="00AB0FB9">
        <w:t>g/day (</w:t>
      </w:r>
      <w:r w:rsidR="006C586A">
        <w:t>that is,</w:t>
      </w:r>
      <w:r w:rsidR="0036175C">
        <w:t xml:space="preserve"> 0.0693 ng/</w:t>
      </w:r>
      <w:r w:rsidR="00F705C7">
        <w:t>mL</w:t>
      </w:r>
      <w:r w:rsidR="0036175C">
        <w:t xml:space="preserve"> (= 0.162 </w:t>
      </w:r>
      <w:proofErr w:type="spellStart"/>
      <w:r w:rsidR="0036175C">
        <w:t>nM</w:t>
      </w:r>
      <w:proofErr w:type="spellEnd"/>
      <w:r w:rsidR="0036175C">
        <w:t>)</w:t>
      </w:r>
      <w:r w:rsidRPr="00AB0FB9">
        <w:t>), the finding is not considered to be of clinical relevance.</w:t>
      </w:r>
    </w:p>
    <w:p w:rsidR="00AB0FB9" w:rsidRPr="00AB0FB9" w:rsidRDefault="00AB0FB9" w:rsidP="00C5786A">
      <w:r w:rsidRPr="00AB0FB9">
        <w:t xml:space="preserve">Specialised safety pharmacology studies with </w:t>
      </w:r>
      <w:r w:rsidR="00A54884">
        <w:t>UMEC</w:t>
      </w:r>
      <w:r w:rsidRPr="00AB0FB9">
        <w:t xml:space="preserve"> covered the core battery of systems (</w:t>
      </w:r>
      <w:r w:rsidR="00CF6510">
        <w:t>central nervous system (</w:t>
      </w:r>
      <w:r w:rsidRPr="00AB0FB9">
        <w:t>CNS</w:t>
      </w:r>
      <w:r w:rsidR="00CF6510">
        <w:t>)</w:t>
      </w:r>
      <w:r w:rsidRPr="00AB0FB9">
        <w:t xml:space="preserve">, cardiovascular and respiratory). No adverse effects on CNS function were observed in rats at inhalational doses </w:t>
      </w:r>
      <w:r w:rsidR="0036175C">
        <w:t xml:space="preserve">≤ </w:t>
      </w:r>
      <w:r w:rsidRPr="00AB0FB9">
        <w:t xml:space="preserve">1994 </w:t>
      </w:r>
      <w:r w:rsidR="0036175C">
        <w:t>µ</w:t>
      </w:r>
      <w:r w:rsidRPr="00AB0FB9">
        <w:t xml:space="preserve">g/kg; effects observed in the study were limited to </w:t>
      </w:r>
      <w:r w:rsidR="0036175C">
        <w:t>moderately dilated pupils (≥ 322 µg</w:t>
      </w:r>
      <w:r w:rsidRPr="00AB0FB9">
        <w:t xml:space="preserve">/kg; consistent with </w:t>
      </w:r>
      <w:proofErr w:type="spellStart"/>
      <w:r w:rsidRPr="00AB0FB9">
        <w:t>antimuscarinic</w:t>
      </w:r>
      <w:proofErr w:type="spellEnd"/>
      <w:r w:rsidRPr="00AB0FB9">
        <w:t xml:space="preserve"> activity). Umeclidinium was shown to be able to inhibit </w:t>
      </w:r>
      <w:r w:rsidR="002745C1" w:rsidRPr="002745C1">
        <w:t>the human ether-à-go-go-related gene (</w:t>
      </w:r>
      <w:proofErr w:type="spellStart"/>
      <w:r w:rsidR="002745C1" w:rsidRPr="002745C1">
        <w:t>hERG</w:t>
      </w:r>
      <w:proofErr w:type="spellEnd"/>
      <w:r w:rsidR="002745C1" w:rsidRPr="002745C1">
        <w:t xml:space="preserve">) </w:t>
      </w:r>
      <w:r w:rsidR="006F6218" w:rsidRPr="002745C1">
        <w:t>potassium</w:t>
      </w:r>
      <w:r w:rsidR="002745C1" w:rsidRPr="002745C1">
        <w:t xml:space="preserve"> (K</w:t>
      </w:r>
      <w:r w:rsidR="002745C1" w:rsidRPr="002745C1">
        <w:rPr>
          <w:vertAlign w:val="superscript"/>
        </w:rPr>
        <w:t>+</w:t>
      </w:r>
      <w:r w:rsidR="002745C1" w:rsidRPr="002745C1">
        <w:t xml:space="preserve">) </w:t>
      </w:r>
      <w:r w:rsidR="002E2591">
        <w:t>channel</w:t>
      </w:r>
      <w:r w:rsidRPr="00AB0FB9">
        <w:t xml:space="preserve"> current in transfected mammalian cells, but only very weakly; the </w:t>
      </w:r>
      <w:r w:rsidR="004A20BC" w:rsidRPr="004A20BC">
        <w:t xml:space="preserve">half maximal inhibitory concentration </w:t>
      </w:r>
      <w:r w:rsidR="002E2591" w:rsidRPr="002E2591">
        <w:t>(IC</w:t>
      </w:r>
      <w:r w:rsidR="002E2591" w:rsidRPr="002E2591">
        <w:rPr>
          <w:vertAlign w:val="subscript"/>
        </w:rPr>
        <w:t>50</w:t>
      </w:r>
      <w:r w:rsidR="002E2591">
        <w:t>)</w:t>
      </w:r>
      <w:r w:rsidR="00B73028">
        <w:t xml:space="preserve"> value (9.41 </w:t>
      </w:r>
      <w:r w:rsidR="0036175C">
        <w:t>µ</w:t>
      </w:r>
      <w:r w:rsidRPr="00AB0FB9">
        <w:t xml:space="preserve">M) is </w:t>
      </w:r>
      <w:r w:rsidR="0036175C">
        <w:t xml:space="preserve">&gt; 58000 </w:t>
      </w:r>
      <w:r w:rsidRPr="00AB0FB9">
        <w:t xml:space="preserve">times greater than the plasma </w:t>
      </w:r>
      <w:proofErr w:type="spellStart"/>
      <w:r w:rsidRPr="00AB0FB9">
        <w:t>C</w:t>
      </w:r>
      <w:r w:rsidRPr="006C586A">
        <w:rPr>
          <w:vertAlign w:val="subscript"/>
        </w:rPr>
        <w:t>max</w:t>
      </w:r>
      <w:proofErr w:type="spellEnd"/>
      <w:r w:rsidRPr="00AB0FB9">
        <w:t xml:space="preserve"> in patients at the m</w:t>
      </w:r>
      <w:r w:rsidR="0036175C">
        <w:t>aximum recommended dose of 62.5 µg</w:t>
      </w:r>
      <w:r w:rsidRPr="00AB0FB9">
        <w:t xml:space="preserve">/day (and an even larger margin exists when considering the free plasma concentration), indicating no clinical significance. In dogs, a 10 </w:t>
      </w:r>
      <w:r w:rsidR="0036175C">
        <w:t>µg</w:t>
      </w:r>
      <w:r w:rsidRPr="00AB0FB9">
        <w:t xml:space="preserve">/kg </w:t>
      </w:r>
      <w:r w:rsidR="002E2591" w:rsidRPr="002E2591">
        <w:t xml:space="preserve">intravenous (IV) </w:t>
      </w:r>
      <w:r w:rsidRPr="00AB0FB9">
        <w:t>dose caused a small decrease in pulse pressure, an increase in</w:t>
      </w:r>
      <w:r w:rsidR="002E2591">
        <w:t xml:space="preserve"> heart rate, an increase in </w:t>
      </w:r>
      <w:r w:rsidR="002E2591" w:rsidRPr="002E2591">
        <w:t xml:space="preserve">the electrocardiogram (ECG) </w:t>
      </w:r>
      <w:r w:rsidRPr="00AB0FB9">
        <w:t>PR interval, a decrease in the RR interval, and second degree atr</w:t>
      </w:r>
      <w:r w:rsidR="009442C3">
        <w:t xml:space="preserve">ioventricular block (isolated P </w:t>
      </w:r>
      <w:r w:rsidRPr="00AB0FB9">
        <w:t>waves in</w:t>
      </w:r>
      <w:r w:rsidR="0036175C">
        <w:t xml:space="preserve"> the absence of QRS complexes)</w:t>
      </w:r>
      <w:r w:rsidRPr="00AB0FB9">
        <w:t xml:space="preserve"> effects consistent with </w:t>
      </w:r>
      <w:proofErr w:type="spellStart"/>
      <w:r w:rsidRPr="00AB0FB9">
        <w:t>antimuscarinic</w:t>
      </w:r>
      <w:proofErr w:type="spellEnd"/>
      <w:r w:rsidRPr="00AB0FB9">
        <w:t xml:space="preserve"> activity. There were no card</w:t>
      </w:r>
      <w:r w:rsidR="00BC6FC4">
        <w:t xml:space="preserve">iovascular effects in dogs at 3 </w:t>
      </w:r>
      <w:r w:rsidR="0036175C">
        <w:t>µg</w:t>
      </w:r>
      <w:r w:rsidRPr="00AB0FB9">
        <w:t>/kg IV, a dose yielding almos</w:t>
      </w:r>
      <w:r w:rsidR="0036175C">
        <w:t xml:space="preserve">t 330 </w:t>
      </w:r>
      <w:r w:rsidRPr="00AB0FB9">
        <w:t xml:space="preserve">times the plasma </w:t>
      </w:r>
      <w:proofErr w:type="spellStart"/>
      <w:r w:rsidRPr="00AB0FB9">
        <w:t>C</w:t>
      </w:r>
      <w:r w:rsidRPr="006C586A">
        <w:rPr>
          <w:vertAlign w:val="subscript"/>
        </w:rPr>
        <w:t>max</w:t>
      </w:r>
      <w:proofErr w:type="spellEnd"/>
      <w:r w:rsidR="002A434E">
        <w:rPr>
          <w:vertAlign w:val="subscript"/>
        </w:rPr>
        <w:t>,</w:t>
      </w:r>
      <w:r w:rsidRPr="00AB0FB9">
        <w:t xml:space="preserve"> in patients tr</w:t>
      </w:r>
      <w:r w:rsidR="0036175C">
        <w:t xml:space="preserve">eated with </w:t>
      </w:r>
      <w:r w:rsidR="00A54884">
        <w:t>UMEC</w:t>
      </w:r>
      <w:r w:rsidR="0036175C">
        <w:t xml:space="preserve"> </w:t>
      </w:r>
      <w:proofErr w:type="gramStart"/>
      <w:r w:rsidR="0036175C">
        <w:t>at 62.5 µg</w:t>
      </w:r>
      <w:r w:rsidRPr="00AB0FB9">
        <w:t>/day</w:t>
      </w:r>
      <w:proofErr w:type="gramEnd"/>
      <w:r w:rsidRPr="00AB0FB9">
        <w:t>.</w:t>
      </w:r>
    </w:p>
    <w:p w:rsidR="00AB0FB9" w:rsidRPr="00AB0FB9" w:rsidRDefault="00AB0FB9" w:rsidP="00C5786A">
      <w:r w:rsidRPr="00AB0FB9">
        <w:t xml:space="preserve">In a cardiovascular safety study conducted with </w:t>
      </w:r>
      <w:r w:rsidR="00A54884">
        <w:t>UMEC</w:t>
      </w:r>
      <w:r w:rsidRPr="00AB0FB9">
        <w:t xml:space="preserve"> and </w:t>
      </w:r>
      <w:r w:rsidR="00A54884">
        <w:t>VI</w:t>
      </w:r>
      <w:r w:rsidRPr="00AB0FB9">
        <w:t xml:space="preserve"> in combination in dogs, single IV administration of the two drugs (0.3/0.3 </w:t>
      </w:r>
      <w:r w:rsidR="0036175C">
        <w:t>µg</w:t>
      </w:r>
      <w:r w:rsidRPr="00AB0FB9">
        <w:t xml:space="preserve">/kg) caused a small increase in mean, systolic and diastolic blood pressure that was not seen with the individual agents; </w:t>
      </w:r>
      <w:r w:rsidR="00A54884">
        <w:t>UMEC</w:t>
      </w:r>
      <w:r w:rsidRPr="00AB0FB9">
        <w:t xml:space="preserve"> did not exacerbate the increase in heart rate induced by </w:t>
      </w:r>
      <w:r w:rsidR="00A54884">
        <w:t>VI</w:t>
      </w:r>
      <w:r w:rsidRPr="00AB0FB9">
        <w:t>. Increased pulse rates/heart rates were</w:t>
      </w:r>
      <w:r w:rsidR="0036175C">
        <w:t xml:space="preserve"> observed in the general repeat </w:t>
      </w:r>
      <w:r w:rsidRPr="00AB0FB9">
        <w:t xml:space="preserve">dose inhalational toxicity studies conducted with </w:t>
      </w:r>
      <w:r w:rsidR="00A54884">
        <w:t>UMEC</w:t>
      </w:r>
      <w:r w:rsidRPr="00AB0FB9">
        <w:t xml:space="preserve"> (alone and in combination with </w:t>
      </w:r>
      <w:r w:rsidR="00A54884">
        <w:t>VI</w:t>
      </w:r>
      <w:r w:rsidRPr="00AB0FB9">
        <w:t xml:space="preserve">) in dogs, generally accompanied by the loss of respiratory sinus arrhythmia (the physiological modulation of heart rate in time with breathing). No further ECG changes related to </w:t>
      </w:r>
      <w:r w:rsidR="00A54884">
        <w:t>UMEC</w:t>
      </w:r>
      <w:r w:rsidRPr="00AB0FB9">
        <w:t xml:space="preserve"> were evident in these studies.</w:t>
      </w:r>
    </w:p>
    <w:p w:rsidR="004334C7" w:rsidRPr="004334C7" w:rsidRDefault="00AB0FB9" w:rsidP="00C5786A">
      <w:r w:rsidRPr="00AB0FB9">
        <w:t xml:space="preserve">Respiratory parameters were examined in rats during and after inhalational exposure to </w:t>
      </w:r>
      <w:r w:rsidR="00A54884">
        <w:t>UMEC</w:t>
      </w:r>
      <w:r w:rsidRPr="00AB0FB9">
        <w:t xml:space="preserve">, with an increase in respiratory rate and a decrease in tidal volume observed at </w:t>
      </w:r>
      <w:r w:rsidR="00B73028">
        <w:t>≥ </w:t>
      </w:r>
      <w:r w:rsidR="009442C3">
        <w:t xml:space="preserve">215 </w:t>
      </w:r>
      <w:r w:rsidR="0036175C">
        <w:t>µg</w:t>
      </w:r>
      <w:r w:rsidRPr="00AB0FB9">
        <w:t xml:space="preserve">/kg; there was no effect </w:t>
      </w:r>
      <w:proofErr w:type="gramStart"/>
      <w:r w:rsidRPr="00AB0FB9">
        <w:t xml:space="preserve">at 36 </w:t>
      </w:r>
      <w:r w:rsidR="0036175C">
        <w:t>µg</w:t>
      </w:r>
      <w:r w:rsidRPr="00AB0FB9">
        <w:t>/kg</w:t>
      </w:r>
      <w:proofErr w:type="gramEnd"/>
      <w:r w:rsidRPr="00AB0FB9">
        <w:t>. These changes may relate to the pharmacologically mediated bronchodilation.</w:t>
      </w:r>
    </w:p>
    <w:p w:rsidR="008E7846" w:rsidRDefault="008E7846" w:rsidP="009A1CFE">
      <w:pPr>
        <w:pStyle w:val="Heading3"/>
      </w:pPr>
      <w:bookmarkStart w:id="49" w:name="_Toc247691513"/>
      <w:bookmarkStart w:id="50" w:name="_Toc314842497"/>
      <w:bookmarkStart w:id="51" w:name="_Toc420577599"/>
      <w:r w:rsidRPr="009A1CFE">
        <w:t>Pharmacokinetics</w:t>
      </w:r>
      <w:bookmarkEnd w:id="49"/>
      <w:bookmarkEnd w:id="50"/>
      <w:bookmarkEnd w:id="51"/>
    </w:p>
    <w:p w:rsidR="00AB0FB9" w:rsidRPr="00AB0FB9" w:rsidRDefault="00AB0FB9" w:rsidP="000021B8">
      <w:bookmarkStart w:id="52" w:name="_Toc247691514"/>
      <w:bookmarkStart w:id="53" w:name="_Toc314842498"/>
      <w:r w:rsidRPr="00AB0FB9">
        <w:t xml:space="preserve">Absorption of </w:t>
      </w:r>
      <w:r w:rsidR="00A54884">
        <w:t>UMEC</w:t>
      </w:r>
      <w:r w:rsidRPr="00AB0FB9">
        <w:t xml:space="preserve"> after inhalation was shown to be rapid in mice, rats, rabbits and dogs, with peak plasma concentrations generally observed at the </w:t>
      </w:r>
      <w:r w:rsidR="0036175C">
        <w:t>first</w:t>
      </w:r>
      <w:r w:rsidR="006F51C2">
        <w:t xml:space="preserve"> sampling time point (0.17 to 1</w:t>
      </w:r>
      <w:r w:rsidR="002745C1">
        <w:t xml:space="preserve"> hours</w:t>
      </w:r>
      <w:r w:rsidR="002A434E">
        <w:t xml:space="preserve"> </w:t>
      </w:r>
      <w:r w:rsidR="0036175C">
        <w:t xml:space="preserve">post </w:t>
      </w:r>
      <w:r w:rsidRPr="00AB0FB9">
        <w:t xml:space="preserve">dose). Similarly, the plasma </w:t>
      </w:r>
      <w:proofErr w:type="spellStart"/>
      <w:r w:rsidRPr="00AB0FB9">
        <w:t>C</w:t>
      </w:r>
      <w:r w:rsidRPr="006C586A">
        <w:rPr>
          <w:vertAlign w:val="subscript"/>
        </w:rPr>
        <w:t>max</w:t>
      </w:r>
      <w:proofErr w:type="spellEnd"/>
      <w:r w:rsidR="0036175C">
        <w:t xml:space="preserve"> was achieved within 5 to </w:t>
      </w:r>
      <w:r w:rsidRPr="00AB0FB9">
        <w:t>15 min</w:t>
      </w:r>
      <w:r w:rsidR="0036175C">
        <w:t>utes</w:t>
      </w:r>
      <w:r w:rsidRPr="00AB0FB9">
        <w:t xml:space="preserve"> of inhalational administration in COPD patients. Plasma </w:t>
      </w:r>
      <w:proofErr w:type="spellStart"/>
      <w:r w:rsidRPr="00AB0FB9">
        <w:t>C</w:t>
      </w:r>
      <w:r w:rsidRPr="006C586A">
        <w:rPr>
          <w:vertAlign w:val="subscript"/>
        </w:rPr>
        <w:t>max</w:t>
      </w:r>
      <w:proofErr w:type="spellEnd"/>
      <w:r w:rsidRPr="00AB0FB9">
        <w:t xml:space="preserve"> and </w:t>
      </w:r>
      <w:r w:rsidR="002E2591" w:rsidRPr="002E2591">
        <w:t>area under the concentration-time curve (AUC)</w:t>
      </w:r>
      <w:r w:rsidR="002E2591">
        <w:t xml:space="preserve"> </w:t>
      </w:r>
      <w:r w:rsidRPr="00AB0FB9">
        <w:t>were generally dose proportional with inhalational administration in the laboratory animal species and in humans. Accumulation with repeated dosing was generally not seen or was only limited. No consistent sex differences were observed. Oral bioavailability was found to be negligible in rats, dogs and humans.</w:t>
      </w:r>
    </w:p>
    <w:p w:rsidR="00AB0FB9" w:rsidRPr="00AB0FB9" w:rsidRDefault="00AB0FB9" w:rsidP="000021B8">
      <w:r w:rsidRPr="00AB0FB9">
        <w:t xml:space="preserve">Co-administration of inhaled </w:t>
      </w:r>
      <w:r w:rsidR="00A54884">
        <w:t>VI</w:t>
      </w:r>
      <w:r w:rsidRPr="00AB0FB9">
        <w:t xml:space="preserve"> did not affect the </w:t>
      </w:r>
      <w:r w:rsidR="006D08A2">
        <w:t>PK</w:t>
      </w:r>
      <w:r w:rsidRPr="00AB0FB9">
        <w:t xml:space="preserve">s of </w:t>
      </w:r>
      <w:r w:rsidR="00A54884">
        <w:t>UMEC</w:t>
      </w:r>
      <w:r w:rsidRPr="00AB0FB9">
        <w:t xml:space="preserve"> in rats, dogs or humans. Evidence of an effect of </w:t>
      </w:r>
      <w:r w:rsidR="00A54884">
        <w:t>UMEC</w:t>
      </w:r>
      <w:r w:rsidRPr="00AB0FB9">
        <w:t xml:space="preserve"> on the </w:t>
      </w:r>
      <w:r w:rsidR="006D08A2">
        <w:t>PK</w:t>
      </w:r>
      <w:r w:rsidRPr="00AB0FB9">
        <w:t xml:space="preserve">s of </w:t>
      </w:r>
      <w:r w:rsidR="00A54884">
        <w:t>VI</w:t>
      </w:r>
      <w:r w:rsidRPr="00AB0FB9">
        <w:t xml:space="preserve"> in the three species was limited to rats, where co-administration of inhaled </w:t>
      </w:r>
      <w:r w:rsidR="00A54884">
        <w:t>UMEC</w:t>
      </w:r>
      <w:r w:rsidRPr="00AB0FB9">
        <w:t xml:space="preserve"> was seen to reduce exposure to </w:t>
      </w:r>
      <w:r w:rsidR="00A54884">
        <w:t>VI</w:t>
      </w:r>
      <w:r w:rsidRPr="00AB0FB9">
        <w:t>.</w:t>
      </w:r>
    </w:p>
    <w:p w:rsidR="00AB0FB9" w:rsidRPr="00AB0FB9" w:rsidRDefault="00AB0FB9" w:rsidP="000021B8">
      <w:r w:rsidRPr="00AB0FB9">
        <w:lastRenderedPageBreak/>
        <w:t xml:space="preserve">Tissue distribution of radioactivity after IV administration </w:t>
      </w:r>
      <w:r w:rsidRPr="002E2591">
        <w:t xml:space="preserve">of </w:t>
      </w:r>
      <w:r w:rsidR="002E2591" w:rsidRPr="002E2591">
        <w:t>radiolabelled (</w:t>
      </w:r>
      <w:r w:rsidR="002E2591" w:rsidRPr="002E2591">
        <w:rPr>
          <w:vertAlign w:val="superscript"/>
        </w:rPr>
        <w:t>14</w:t>
      </w:r>
      <w:r w:rsidR="002E2591" w:rsidRPr="002E2591">
        <w:t>C)</w:t>
      </w:r>
      <w:r w:rsidR="002E2591">
        <w:t>-</w:t>
      </w:r>
      <w:r w:rsidR="00A54884">
        <w:t>UMEC</w:t>
      </w:r>
      <w:r w:rsidRPr="00AB0FB9">
        <w:t xml:space="preserve"> in rats was rapid and wide, with highest concentrations of radioactivity detected in the kidney and </w:t>
      </w:r>
      <w:r w:rsidR="00227EF6">
        <w:t xml:space="preserve">liver. Penetration of the blood </w:t>
      </w:r>
      <w:r w:rsidRPr="00AB0FB9">
        <w:t xml:space="preserve">brain barrier was poor, with peak concentrations of </w:t>
      </w:r>
      <w:r w:rsidRPr="00227EF6">
        <w:rPr>
          <w:vertAlign w:val="superscript"/>
        </w:rPr>
        <w:t>14</w:t>
      </w:r>
      <w:r w:rsidR="00227EF6">
        <w:t>C-</w:t>
      </w:r>
      <w:r w:rsidR="00A54884">
        <w:t>UMEC</w:t>
      </w:r>
      <w:r w:rsidR="00227EF6">
        <w:t xml:space="preserve"> </w:t>
      </w:r>
      <w:r w:rsidRPr="00AB0FB9">
        <w:t xml:space="preserve">derived radioactivity </w:t>
      </w:r>
      <w:r w:rsidR="00227EF6">
        <w:t xml:space="preserve">approximately 44 </w:t>
      </w:r>
      <w:r w:rsidRPr="00AB0FB9">
        <w:t xml:space="preserve">times lower than in </w:t>
      </w:r>
      <w:r w:rsidR="00227EF6">
        <w:t xml:space="preserve">blood. Some association of drug </w:t>
      </w:r>
      <w:r w:rsidRPr="00AB0FB9">
        <w:t xml:space="preserve">related material with melanin was seen. Plasma protein binding by </w:t>
      </w:r>
      <w:r w:rsidR="00A54884">
        <w:t>UMEC</w:t>
      </w:r>
      <w:r w:rsidRPr="00AB0FB9">
        <w:t xml:space="preserve"> </w:t>
      </w:r>
      <w:r w:rsidR="00227EF6">
        <w:t xml:space="preserve">was moderate in all species (75 to </w:t>
      </w:r>
      <w:r w:rsidRPr="00AB0FB9">
        <w:t xml:space="preserve">89% in mouse, rat, rabbit and dog; 89% in human) and independent of concentration. Severe renal impairment and hepatic impairment did not alter the extent of plasma protein binding </w:t>
      </w:r>
      <w:r w:rsidR="003E6EDF">
        <w:t>compared to</w:t>
      </w:r>
      <w:r w:rsidRPr="00AB0FB9">
        <w:t xml:space="preserve"> that in healthy human volunte</w:t>
      </w:r>
      <w:r w:rsidR="009442C3">
        <w:t xml:space="preserve">ers. Human serum albumin, gamma </w:t>
      </w:r>
      <w:r w:rsidRPr="00AB0FB9">
        <w:t>globulin and α1-acid glycoprotein contributed to binding (67%, 65% and 85% binding, respectively). Blood cell association was low in all species.</w:t>
      </w:r>
    </w:p>
    <w:p w:rsidR="00AB0FB9" w:rsidRPr="00AB0FB9" w:rsidRDefault="00AB0FB9" w:rsidP="000021B8">
      <w:r w:rsidRPr="00AB0FB9">
        <w:t xml:space="preserve">Metabolism of </w:t>
      </w:r>
      <w:r w:rsidR="00A54884">
        <w:t>UMEC</w:t>
      </w:r>
      <w:r w:rsidRPr="00AB0FB9">
        <w:t xml:space="preserve"> chiefly involved O-</w:t>
      </w:r>
      <w:proofErr w:type="spellStart"/>
      <w:r w:rsidRPr="00AB0FB9">
        <w:t>dealkylation</w:t>
      </w:r>
      <w:proofErr w:type="spellEnd"/>
      <w:r w:rsidRPr="00AB0FB9">
        <w:t xml:space="preserve"> (generating metabolite M14), hydroxylation (M33 and other metabolites) and </w:t>
      </w:r>
      <w:proofErr w:type="spellStart"/>
      <w:r w:rsidRPr="00AB0FB9">
        <w:t>glucuronidation</w:t>
      </w:r>
      <w:proofErr w:type="spellEnd"/>
      <w:r w:rsidRPr="00AB0FB9">
        <w:t xml:space="preserve">. Unchanged </w:t>
      </w:r>
      <w:r w:rsidR="00A54884">
        <w:t>UMEC</w:t>
      </w:r>
      <w:r w:rsidRPr="00AB0FB9">
        <w:t xml:space="preserve"> was by far the dominant circulating species in laboratory animals (mouse, rat and dog) and humans (following IV administration in all species, and additionally inhalati</w:t>
      </w:r>
      <w:r w:rsidR="009A1CFE">
        <w:t>onal administration in humans)</w:t>
      </w:r>
      <w:r w:rsidR="000673C3">
        <w:t>. Cytochrome P450 (CYP</w:t>
      </w:r>
      <w:r w:rsidR="002E2591" w:rsidRPr="002E2591">
        <w:t>) 2D6</w:t>
      </w:r>
      <w:r w:rsidRPr="00AB0FB9">
        <w:t xml:space="preserve"> was identified as the P450 isoform chiefly responsible for t</w:t>
      </w:r>
      <w:r w:rsidR="00227EF6">
        <w:t xml:space="preserve">he metabolism of the drug in in </w:t>
      </w:r>
      <w:r w:rsidRPr="00AB0FB9">
        <w:t>vitro experiments, with additional minor contributions from CYP1A1 and CYP3A4. All major human metabolites were also formed in one or both of the species (rats and d</w:t>
      </w:r>
      <w:r w:rsidR="002E2591">
        <w:t xml:space="preserve">ogs) used in the pivotal repeat </w:t>
      </w:r>
      <w:r w:rsidRPr="00AB0FB9">
        <w:t xml:space="preserve">dose toxicity studies with the exception of a </w:t>
      </w:r>
      <w:proofErr w:type="spellStart"/>
      <w:r w:rsidRPr="00AB0FB9">
        <w:t>dihydroxylated</w:t>
      </w:r>
      <w:proofErr w:type="spellEnd"/>
      <w:r w:rsidRPr="00AB0FB9">
        <w:t xml:space="preserve"> metabolite (M61), which accounted for </w:t>
      </w:r>
      <w:r w:rsidR="00227EF6">
        <w:t xml:space="preserve">approximately 20% of drug </w:t>
      </w:r>
      <w:r w:rsidRPr="00AB0FB9">
        <w:t>related material in plasma in humans after IV administration.</w:t>
      </w:r>
    </w:p>
    <w:p w:rsidR="00AB0FB9" w:rsidRPr="00AB0FB9" w:rsidRDefault="00AB0FB9" w:rsidP="000021B8">
      <w:r w:rsidRPr="00AB0FB9">
        <w:t xml:space="preserve">Excretion of radioactivity following dosing with </w:t>
      </w:r>
      <w:r w:rsidRPr="009442C3">
        <w:rPr>
          <w:vertAlign w:val="superscript"/>
        </w:rPr>
        <w:t>14</w:t>
      </w:r>
      <w:r w:rsidR="009442C3">
        <w:t>C-</w:t>
      </w:r>
      <w:r w:rsidR="00A54884">
        <w:t>UMEC</w:t>
      </w:r>
      <w:r w:rsidRPr="00AB0FB9">
        <w:t xml:space="preserve"> was primarily via the faeces after IV (mouse, rat, dog and human) and </w:t>
      </w:r>
      <w:r w:rsidR="00870FE3">
        <w:t>oral</w:t>
      </w:r>
      <w:r w:rsidRPr="00AB0FB9">
        <w:t xml:space="preserve"> administration (rat, dog and human). Biliary excretion was demonstrated in rats and dogs.</w:t>
      </w:r>
    </w:p>
    <w:p w:rsidR="00AB0FB9" w:rsidRPr="00AB0FB9" w:rsidRDefault="00AB0FB9" w:rsidP="000021B8">
      <w:r w:rsidRPr="00AB0FB9">
        <w:t xml:space="preserve">Comparisons of the </w:t>
      </w:r>
      <w:r w:rsidR="006D08A2">
        <w:t>PK</w:t>
      </w:r>
      <w:r w:rsidRPr="00AB0FB9">
        <w:t xml:space="preserve"> profiles of </w:t>
      </w:r>
      <w:r w:rsidR="00A54884">
        <w:t>UMEC</w:t>
      </w:r>
      <w:r w:rsidRPr="00AB0FB9">
        <w:t xml:space="preserve"> in the laboratory animal spe</w:t>
      </w:r>
      <w:r w:rsidR="002E2591">
        <w:t xml:space="preserve">cies used in the pivotal repeat </w:t>
      </w:r>
      <w:r w:rsidRPr="00AB0FB9">
        <w:t xml:space="preserve">dose toxicity studies (rats and dogs) indicate sufficient similarities exist to allow them to serve as appropriate models for the assessment of </w:t>
      </w:r>
      <w:r w:rsidR="00A54884">
        <w:t>UMEC</w:t>
      </w:r>
      <w:r w:rsidRPr="00AB0FB9">
        <w:t xml:space="preserve"> toxicity in humans. Notably though, these animal species are unable to model potential toxicity related to the unique human metabolite M61. This is not considered a major deficiency, however, in light of the relatively low systemic exposure to this metabolite in patients.</w:t>
      </w:r>
      <w:bookmarkStart w:id="54" w:name="_Toc294861725"/>
    </w:p>
    <w:p w:rsidR="00AB0FB9" w:rsidRPr="00AB0FB9" w:rsidRDefault="00AB0FB9" w:rsidP="003B78B2">
      <w:pPr>
        <w:pStyle w:val="Heading4"/>
      </w:pPr>
      <w:r w:rsidRPr="00AB0FB9">
        <w:t xml:space="preserve">Pharmacokinetic drug </w:t>
      </w:r>
      <w:r w:rsidRPr="003B78B2">
        <w:t>interactions</w:t>
      </w:r>
      <w:bookmarkEnd w:id="54"/>
    </w:p>
    <w:p w:rsidR="00AB0FB9" w:rsidRPr="00AB0FB9" w:rsidRDefault="00AB0FB9" w:rsidP="000021B8">
      <w:r w:rsidRPr="00AB0FB9">
        <w:t xml:space="preserve">Umeclidinium was shown to be able to inhibit CYP2D6 </w:t>
      </w:r>
      <w:r w:rsidR="00B33F56" w:rsidRPr="00AB0FB9">
        <w:t>(</w:t>
      </w:r>
      <w:r w:rsidRPr="00AB0FB9">
        <w:t>IC</w:t>
      </w:r>
      <w:r w:rsidRPr="002E2591">
        <w:rPr>
          <w:vertAlign w:val="subscript"/>
        </w:rPr>
        <w:t>50</w:t>
      </w:r>
      <w:r w:rsidR="00B33F56">
        <w:t>)</w:t>
      </w:r>
      <w:r w:rsidRPr="00AB0FB9">
        <w:t>, 0.1</w:t>
      </w:r>
      <w:r w:rsidR="009442C3">
        <w:t xml:space="preserve"> µM), CYP3A4 (IC</w:t>
      </w:r>
      <w:r w:rsidR="009442C3" w:rsidRPr="002E2591">
        <w:rPr>
          <w:vertAlign w:val="subscript"/>
        </w:rPr>
        <w:t>50</w:t>
      </w:r>
      <w:r w:rsidR="009442C3">
        <w:t>, 1.0 or 8.0 µ</w:t>
      </w:r>
      <w:r w:rsidRPr="00AB0FB9">
        <w:t>M depending on the substrate) and CYP2C19 (IC</w:t>
      </w:r>
      <w:r w:rsidRPr="002E2591">
        <w:rPr>
          <w:vertAlign w:val="subscript"/>
        </w:rPr>
        <w:t>50</w:t>
      </w:r>
      <w:r w:rsidRPr="00AB0FB9">
        <w:t xml:space="preserve">, 14 </w:t>
      </w:r>
      <w:r w:rsidR="009442C3">
        <w:t>µM</w:t>
      </w:r>
      <w:r w:rsidRPr="00AB0FB9">
        <w:t>), but not CYPs 1A2 or 2C9 (IC</w:t>
      </w:r>
      <w:r w:rsidRPr="002E2591">
        <w:rPr>
          <w:vertAlign w:val="subscript"/>
        </w:rPr>
        <w:t>50</w:t>
      </w:r>
      <w:r w:rsidRPr="00AB0FB9">
        <w:t xml:space="preserve"> </w:t>
      </w:r>
      <w:r w:rsidR="009442C3">
        <w:t>&gt;</w:t>
      </w:r>
      <w:r w:rsidRPr="00AB0FB9">
        <w:t xml:space="preserve"> 33 </w:t>
      </w:r>
      <w:r w:rsidR="009442C3">
        <w:t xml:space="preserve">µM), in </w:t>
      </w:r>
      <w:r w:rsidRPr="00AB0FB9">
        <w:t xml:space="preserve">experiments with human liver </w:t>
      </w:r>
      <w:proofErr w:type="spellStart"/>
      <w:r w:rsidRPr="00AB0FB9">
        <w:t>microsomes</w:t>
      </w:r>
      <w:proofErr w:type="spellEnd"/>
      <w:r w:rsidRPr="00AB0FB9">
        <w:t>. Given these IC</w:t>
      </w:r>
      <w:r w:rsidRPr="002E2591">
        <w:rPr>
          <w:vertAlign w:val="subscript"/>
        </w:rPr>
        <w:t>50</w:t>
      </w:r>
      <w:r w:rsidRPr="00AB0FB9">
        <w:t xml:space="preserve"> values are </w:t>
      </w:r>
      <w:r w:rsidR="00B73028">
        <w:t>&gt; </w:t>
      </w:r>
      <w:r w:rsidR="009442C3">
        <w:t xml:space="preserve">600 </w:t>
      </w:r>
      <w:r w:rsidRPr="00AB0FB9">
        <w:t>times higher than the drug’s peak plasma concentration in humans at the maxi</w:t>
      </w:r>
      <w:r w:rsidR="006F51C2">
        <w:t xml:space="preserve">mum recommended dose </w:t>
      </w:r>
      <w:proofErr w:type="gramStart"/>
      <w:r w:rsidR="006F51C2">
        <w:t xml:space="preserve">of 62.5 </w:t>
      </w:r>
      <w:r w:rsidR="0036175C">
        <w:t>µg</w:t>
      </w:r>
      <w:r w:rsidR="009442C3">
        <w:t>/day,</w:t>
      </w:r>
      <w:proofErr w:type="gramEnd"/>
      <w:r w:rsidR="009442C3">
        <w:t xml:space="preserve"> no </w:t>
      </w:r>
      <w:r w:rsidRPr="00AB0FB9">
        <w:t>relevant CYP inhibition is expected in patients.</w:t>
      </w:r>
    </w:p>
    <w:p w:rsidR="00AB0FB9" w:rsidRPr="00AB0FB9" w:rsidRDefault="006F51C2" w:rsidP="000021B8">
      <w:r>
        <w:t xml:space="preserve">In an in </w:t>
      </w:r>
      <w:r w:rsidR="00AB0FB9" w:rsidRPr="00AB0FB9">
        <w:t>vivo enzyme induc</w:t>
      </w:r>
      <w:r w:rsidR="00693EED">
        <w:t xml:space="preserve">tion study in rats (involving 4 </w:t>
      </w:r>
      <w:r w:rsidR="00AB0FB9" w:rsidRPr="00AB0FB9">
        <w:t>weeks</w:t>
      </w:r>
      <w:r w:rsidR="00693EED">
        <w:t xml:space="preserve"> treatment by inhalation), mean </w:t>
      </w:r>
      <w:r w:rsidR="00AB0FB9" w:rsidRPr="00AB0FB9">
        <w:t xml:space="preserve">CYP1A1 </w:t>
      </w:r>
      <w:r w:rsidR="002E2591" w:rsidRPr="002E2591">
        <w:t>messenger ribonucleic acid (mRNA)</w:t>
      </w:r>
      <w:r w:rsidR="00AB0FB9" w:rsidRPr="00AB0FB9">
        <w:t xml:space="preserve"> was increased to </w:t>
      </w:r>
      <w:r w:rsidR="009442C3">
        <w:t xml:space="preserve">approximately 8 </w:t>
      </w:r>
      <w:r w:rsidR="00AB0FB9" w:rsidRPr="00AB0FB9">
        <w:t>times the control level in</w:t>
      </w:r>
      <w:r w:rsidR="00693EED">
        <w:t xml:space="preserve"> females with treatment at 1829 </w:t>
      </w:r>
      <w:r w:rsidR="0036175C">
        <w:t>µg</w:t>
      </w:r>
      <w:r w:rsidR="009442C3">
        <w:t>/kg/day (due to one animal) (</w:t>
      </w:r>
      <w:r w:rsidR="00AB0FB9" w:rsidRPr="00AB0FB9">
        <w:t xml:space="preserve">no effect in males or at </w:t>
      </w:r>
      <w:r w:rsidR="007B0BDE">
        <w:t>≤</w:t>
      </w:r>
      <w:r w:rsidR="00693EED">
        <w:t> </w:t>
      </w:r>
      <w:r w:rsidR="00AB0FB9" w:rsidRPr="00AB0FB9">
        <w:t>243 </w:t>
      </w:r>
      <w:r w:rsidR="0036175C">
        <w:t>µg</w:t>
      </w:r>
      <w:r w:rsidR="009442C3">
        <w:t>/kg/day)</w:t>
      </w:r>
      <w:r w:rsidR="00AB0FB9" w:rsidRPr="00AB0FB9">
        <w:t xml:space="preserve"> and CYP4A1 mRNA was increased to </w:t>
      </w:r>
      <w:r w:rsidR="009442C3">
        <w:t>approximately</w:t>
      </w:r>
      <w:r w:rsidR="00693EED">
        <w:t xml:space="preserve"> </w:t>
      </w:r>
      <w:r w:rsidR="009442C3">
        <w:t xml:space="preserve">2 </w:t>
      </w:r>
      <w:r w:rsidR="00AB0FB9" w:rsidRPr="00AB0FB9">
        <w:t xml:space="preserve">and </w:t>
      </w:r>
      <w:r w:rsidR="009442C3">
        <w:t>approximately</w:t>
      </w:r>
      <w:r w:rsidR="00693EED">
        <w:t xml:space="preserve"> </w:t>
      </w:r>
      <w:r w:rsidR="009442C3">
        <w:t xml:space="preserve">4 </w:t>
      </w:r>
      <w:r w:rsidR="00AB0FB9" w:rsidRPr="00AB0FB9">
        <w:t xml:space="preserve">times the level of controls in males at 26.1 and 243 </w:t>
      </w:r>
      <w:r w:rsidR="0036175C">
        <w:t>µg</w:t>
      </w:r>
      <w:r w:rsidR="00AB0FB9" w:rsidRPr="00AB0FB9">
        <w:t>/kg/day; levels of CYP1A2, 2B1, 2B2, 2E1, 3A2 and 3A23 mRNA were unaffected. Given the magnitude of the changes and the large associated relative exposure levels (animal:</w:t>
      </w:r>
      <w:r w:rsidR="007B0BDE">
        <w:t xml:space="preserve"> </w:t>
      </w:r>
      <w:r w:rsidR="00AB0FB9" w:rsidRPr="00AB0FB9">
        <w:t>human plasma AUC ratios a</w:t>
      </w:r>
      <w:r w:rsidR="009442C3">
        <w:t xml:space="preserve">t doses producing changes, 10.5 to </w:t>
      </w:r>
      <w:r w:rsidR="00AB0FB9" w:rsidRPr="00AB0FB9">
        <w:t xml:space="preserve">621), no clinically significant enzyme induction is expected to be produced by </w:t>
      </w:r>
      <w:r w:rsidR="00A54884">
        <w:t>UMEC</w:t>
      </w:r>
      <w:r w:rsidR="00AB0FB9" w:rsidRPr="00AB0FB9">
        <w:t xml:space="preserve"> in patients.</w:t>
      </w:r>
    </w:p>
    <w:p w:rsidR="004334C7" w:rsidRDefault="00AB0FB9" w:rsidP="000021B8">
      <w:r w:rsidRPr="00AB0FB9">
        <w:t>Umeclidinium wa</w:t>
      </w:r>
      <w:r w:rsidR="009442C3">
        <w:t>s shown to be a substrate for P-</w:t>
      </w:r>
      <w:r w:rsidRPr="00AB0FB9">
        <w:t>glycoprotein</w:t>
      </w:r>
      <w:r w:rsidR="006D08A2">
        <w:t xml:space="preserve"> (</w:t>
      </w:r>
      <w:r w:rsidR="006D08A2" w:rsidRPr="006D08A2">
        <w:t>P-</w:t>
      </w:r>
      <w:proofErr w:type="spellStart"/>
      <w:r w:rsidR="006D08A2" w:rsidRPr="006D08A2">
        <w:t>gp</w:t>
      </w:r>
      <w:proofErr w:type="spellEnd"/>
      <w:r w:rsidR="006D08A2">
        <w:t>)</w:t>
      </w:r>
      <w:r w:rsidRPr="00AB0FB9">
        <w:t xml:space="preserve"> in experiments with transfected mammalian cells. Demon</w:t>
      </w:r>
      <w:r w:rsidR="009442C3">
        <w:t xml:space="preserve">strating the significant role </w:t>
      </w:r>
      <w:r w:rsidR="0080042C">
        <w:t>P-</w:t>
      </w:r>
      <w:proofErr w:type="spellStart"/>
      <w:r w:rsidR="0080042C">
        <w:t>gp</w:t>
      </w:r>
      <w:proofErr w:type="spellEnd"/>
      <w:r w:rsidRPr="00AB0FB9">
        <w:t xml:space="preserve"> plays in limiting absorption, the ora</w:t>
      </w:r>
      <w:r w:rsidR="00693EED">
        <w:t xml:space="preserve">l </w:t>
      </w:r>
      <w:r w:rsidRPr="00AB0FB9">
        <w:t xml:space="preserve">bioavailability of </w:t>
      </w:r>
      <w:r w:rsidRPr="009442C3">
        <w:rPr>
          <w:vertAlign w:val="superscript"/>
        </w:rPr>
        <w:t>14</w:t>
      </w:r>
      <w:r w:rsidR="009442C3">
        <w:t>C-</w:t>
      </w:r>
      <w:r w:rsidR="00A54884">
        <w:t>UMEC</w:t>
      </w:r>
      <w:r w:rsidR="009442C3">
        <w:t xml:space="preserve"> </w:t>
      </w:r>
      <w:r w:rsidRPr="00AB0FB9">
        <w:t>derived radioactivity was markedl</w:t>
      </w:r>
      <w:r w:rsidR="009442C3">
        <w:t xml:space="preserve">y higher in </w:t>
      </w:r>
      <w:r w:rsidR="0080042C">
        <w:t>P-</w:t>
      </w:r>
      <w:proofErr w:type="spellStart"/>
      <w:r w:rsidR="0080042C">
        <w:t>gp</w:t>
      </w:r>
      <w:proofErr w:type="spellEnd"/>
      <w:r w:rsidR="009442C3">
        <w:t xml:space="preserve"> </w:t>
      </w:r>
      <w:r w:rsidRPr="00AB0FB9">
        <w:t xml:space="preserve">knockout mice </w:t>
      </w:r>
      <w:r w:rsidR="003E6EDF">
        <w:t>compared to</w:t>
      </w:r>
      <w:r w:rsidRPr="00AB0FB9">
        <w:t xml:space="preserve"> </w:t>
      </w:r>
      <w:r w:rsidR="00693EED">
        <w:t>w</w:t>
      </w:r>
      <w:r w:rsidRPr="00AB0FB9">
        <w:t>ild</w:t>
      </w:r>
      <w:r w:rsidR="00693EED">
        <w:t xml:space="preserve"> </w:t>
      </w:r>
      <w:r w:rsidRPr="00AB0FB9">
        <w:t xml:space="preserve">type ones (14% </w:t>
      </w:r>
      <w:r w:rsidR="003E6EDF">
        <w:t>compared to</w:t>
      </w:r>
      <w:r w:rsidRPr="00AB0FB9">
        <w:t xml:space="preserve"> 1.1%). </w:t>
      </w:r>
      <w:r w:rsidRPr="00AB0FB9">
        <w:lastRenderedPageBreak/>
        <w:t>Umeclidinium (</w:t>
      </w:r>
      <w:r w:rsidR="00693EED">
        <w:t>≤</w:t>
      </w:r>
      <w:r w:rsidR="0036175C">
        <w:t xml:space="preserve"> </w:t>
      </w:r>
      <w:r w:rsidRPr="00AB0FB9">
        <w:t xml:space="preserve">100 </w:t>
      </w:r>
      <w:r w:rsidR="009442C3">
        <w:t>µM</w:t>
      </w:r>
      <w:r w:rsidRPr="00AB0FB9">
        <w:t>) d</w:t>
      </w:r>
      <w:r w:rsidR="009442C3">
        <w:t xml:space="preserve">id not act as an inhibitor of </w:t>
      </w:r>
      <w:r w:rsidR="0080042C">
        <w:t>P-</w:t>
      </w:r>
      <w:proofErr w:type="spellStart"/>
      <w:r w:rsidR="0080042C">
        <w:t>gp</w:t>
      </w:r>
      <w:proofErr w:type="spellEnd"/>
      <w:r w:rsidRPr="00AB0FB9">
        <w:t xml:space="preserve">. Experiments with recombinant human cation transporters showed that the drug is a substrate for </w:t>
      </w:r>
      <w:r w:rsidR="00C2755D" w:rsidRPr="00C2755D">
        <w:t>organic cation transporter (OCT</w:t>
      </w:r>
      <w:r w:rsidR="00C2755D">
        <w:t xml:space="preserve">) </w:t>
      </w:r>
      <w:r w:rsidRPr="00AB0FB9">
        <w:t xml:space="preserve">OCT1 (Km, 4.42 </w:t>
      </w:r>
      <w:r w:rsidR="009442C3">
        <w:t>µM</w:t>
      </w:r>
      <w:r w:rsidRPr="00AB0FB9">
        <w:t xml:space="preserve">) and OCT2 (Km, 0.157 </w:t>
      </w:r>
      <w:r w:rsidR="009442C3">
        <w:t>µM</w:t>
      </w:r>
      <w:r w:rsidRPr="00AB0FB9">
        <w:t>), but not for OCT3, OCTN1 or OCTN2.</w:t>
      </w:r>
    </w:p>
    <w:p w:rsidR="001B5C90" w:rsidRDefault="008E7846" w:rsidP="000021B8">
      <w:pPr>
        <w:pStyle w:val="Heading3"/>
      </w:pPr>
      <w:bookmarkStart w:id="55" w:name="_Toc420577600"/>
      <w:r>
        <w:t>Toxicology</w:t>
      </w:r>
      <w:bookmarkEnd w:id="52"/>
      <w:bookmarkEnd w:id="53"/>
      <w:bookmarkEnd w:id="55"/>
    </w:p>
    <w:p w:rsidR="00AB0FB9" w:rsidRPr="00AB0FB9" w:rsidRDefault="00AB0FB9" w:rsidP="000021B8">
      <w:pPr>
        <w:pStyle w:val="Heading4"/>
      </w:pPr>
      <w:bookmarkStart w:id="56" w:name="_Toc294861726"/>
      <w:bookmarkStart w:id="57" w:name="_Toc295290867"/>
      <w:bookmarkStart w:id="58" w:name="_Toc378680711"/>
      <w:r w:rsidRPr="00AB0FB9">
        <w:t>Toxicity</w:t>
      </w:r>
      <w:bookmarkEnd w:id="56"/>
      <w:bookmarkEnd w:id="57"/>
      <w:bookmarkEnd w:id="58"/>
    </w:p>
    <w:p w:rsidR="00AB0FB9" w:rsidRPr="00AB0FB9" w:rsidRDefault="00AB0FB9" w:rsidP="000021B8">
      <w:pPr>
        <w:pStyle w:val="Heading5"/>
      </w:pPr>
      <w:bookmarkStart w:id="59" w:name="_Toc294861727"/>
      <w:r w:rsidRPr="00AB0FB9">
        <w:t>Single-dose toxicity</w:t>
      </w:r>
      <w:bookmarkEnd w:id="59"/>
    </w:p>
    <w:p w:rsidR="00AB0FB9" w:rsidRPr="00AB0FB9" w:rsidRDefault="00077A4E" w:rsidP="000021B8">
      <w:r>
        <w:t xml:space="preserve">No conventional single </w:t>
      </w:r>
      <w:r w:rsidR="00AB0FB9" w:rsidRPr="00AB0FB9">
        <w:t xml:space="preserve">dose toxicity study was conducted for </w:t>
      </w:r>
      <w:r w:rsidR="00A54884">
        <w:t>UMEC</w:t>
      </w:r>
      <w:r w:rsidR="00AB0FB9" w:rsidRPr="00AB0FB9">
        <w:t>; information on the drug’s acute toxicity was inste</w:t>
      </w:r>
      <w:r>
        <w:t xml:space="preserve">ad obtained from other studies (in accordance with </w:t>
      </w:r>
      <w:r w:rsidR="00C2755D" w:rsidRPr="00C2755D">
        <w:t xml:space="preserve">International Conference on Harmonisation </w:t>
      </w:r>
      <w:r w:rsidR="00C2755D" w:rsidRPr="00C2755D">
        <w:rPr>
          <w:lang w:val="en"/>
        </w:rPr>
        <w:t>of Technical Requirements for Registration of Pharmaceuticals for Human Use</w:t>
      </w:r>
      <w:r w:rsidR="00C2755D" w:rsidRPr="00C2755D">
        <w:t xml:space="preserve"> (ICH) guideline</w:t>
      </w:r>
      <w:r>
        <w:t xml:space="preserve"> </w:t>
      </w:r>
      <w:proofErr w:type="gramStart"/>
      <w:r>
        <w:t>M3(</w:t>
      </w:r>
      <w:proofErr w:type="gramEnd"/>
      <w:r>
        <w:t>R2)</w:t>
      </w:r>
      <w:r w:rsidR="008B640A">
        <w:rPr>
          <w:rStyle w:val="FootnoteReference"/>
        </w:rPr>
        <w:footnoteReference w:id="6"/>
      </w:r>
      <w:r>
        <w:t>)</w:t>
      </w:r>
      <w:r w:rsidR="001A20A5">
        <w:t xml:space="preserve">. No </w:t>
      </w:r>
      <w:r w:rsidR="00AB0FB9" w:rsidRPr="00AB0FB9">
        <w:t xml:space="preserve">mortality or overt signs of toxicity were observed with </w:t>
      </w:r>
      <w:r w:rsidR="00A54884">
        <w:t>UMEC</w:t>
      </w:r>
      <w:r w:rsidR="00AB0FB9" w:rsidRPr="00AB0FB9">
        <w:t xml:space="preserve"> in rats after a single </w:t>
      </w:r>
      <w:r w:rsidR="00B73028">
        <w:t>inhalational dose of up to 2260 </w:t>
      </w:r>
      <w:r w:rsidR="0036175C">
        <w:t>µg</w:t>
      </w:r>
      <w:r w:rsidR="00AB0FB9" w:rsidRPr="00AB0FB9">
        <w:t xml:space="preserve">/kg (in safety pharmacology studies) or with </w:t>
      </w:r>
      <w:r>
        <w:t>subcutaneous (</w:t>
      </w:r>
      <w:r w:rsidR="00AB0FB9" w:rsidRPr="00AB0FB9">
        <w:t>SC</w:t>
      </w:r>
      <w:r>
        <w:t>)</w:t>
      </w:r>
      <w:r w:rsidR="00B73028">
        <w:t xml:space="preserve"> administration at </w:t>
      </w:r>
      <w:r w:rsidR="00AB0FB9" w:rsidRPr="00AB0FB9">
        <w:t xml:space="preserve">60 </w:t>
      </w:r>
      <w:r w:rsidR="0036175C">
        <w:t>µg</w:t>
      </w:r>
      <w:r w:rsidR="00AB0FB9" w:rsidRPr="00AB0FB9">
        <w:t>/kg (local tolerance/</w:t>
      </w:r>
      <w:proofErr w:type="spellStart"/>
      <w:r w:rsidR="00AB0FB9" w:rsidRPr="00AB0FB9">
        <w:t>toxicokinetic</w:t>
      </w:r>
      <w:proofErr w:type="spellEnd"/>
      <w:r w:rsidR="00AB0FB9" w:rsidRPr="00AB0FB9">
        <w:t xml:space="preserve"> study), nor fol</w:t>
      </w:r>
      <w:r w:rsidR="007B0BDE">
        <w:t>lowing two 20 mg/kg IV doses 24</w:t>
      </w:r>
      <w:r w:rsidR="002745C1">
        <w:t xml:space="preserve"> hours </w:t>
      </w:r>
      <w:r w:rsidR="00AB0FB9" w:rsidRPr="00AB0FB9">
        <w:t>apart (in a genotoxicity study); anim</w:t>
      </w:r>
      <w:r w:rsidR="007B0BDE">
        <w:t>als were monitored for up to 24</w:t>
      </w:r>
      <w:r w:rsidR="002745C1">
        <w:t xml:space="preserve"> hours </w:t>
      </w:r>
      <w:r w:rsidR="00AB0FB9" w:rsidRPr="00AB0FB9">
        <w:t>(inhalation,</w:t>
      </w:r>
      <w:r w:rsidR="007B0BDE">
        <w:t xml:space="preserve"> SC) or 48</w:t>
      </w:r>
      <w:r w:rsidR="002745C1">
        <w:t xml:space="preserve"> hours </w:t>
      </w:r>
      <w:r>
        <w:t>(IV) after dosing/</w:t>
      </w:r>
      <w:r w:rsidR="00AB0FB9" w:rsidRPr="00AB0FB9">
        <w:t>the commencement of treatment.</w:t>
      </w:r>
      <w:r>
        <w:t xml:space="preserve"> In general repeat </w:t>
      </w:r>
      <w:r w:rsidR="00AB0FB9" w:rsidRPr="00AB0FB9">
        <w:t>dose toxicity studies where animals wer</w:t>
      </w:r>
      <w:r>
        <w:t>e treated for at least 14 days;</w:t>
      </w:r>
      <w:r w:rsidR="007B0BDE">
        <w:t xml:space="preserve"> </w:t>
      </w:r>
      <w:r w:rsidR="006C586A">
        <w:t>that is,</w:t>
      </w:r>
      <w:r>
        <w:t xml:space="preserve"> </w:t>
      </w:r>
      <w:r w:rsidR="00AB0FB9" w:rsidRPr="00AB0FB9">
        <w:t xml:space="preserve">where the period of monitoring met the recommended minimum observation period after a single dose recommended in the EU Guideline on Single Dose Toxicity </w:t>
      </w:r>
      <w:r>
        <w:t>(3BS1a),</w:t>
      </w:r>
      <w:r w:rsidR="007B0BDE">
        <w:t xml:space="preserve"> </w:t>
      </w:r>
      <w:r w:rsidR="00AB0FB9" w:rsidRPr="00AB0FB9">
        <w:t xml:space="preserve">no </w:t>
      </w:r>
      <w:r w:rsidR="0001309C">
        <w:t xml:space="preserve">treatment related </w:t>
      </w:r>
      <w:r w:rsidR="00AB0FB9" w:rsidRPr="00AB0FB9">
        <w:t>mortality was observed at dose le</w:t>
      </w:r>
      <w:r w:rsidR="00214066">
        <w:t>vels of up to 2850 </w:t>
      </w:r>
      <w:r w:rsidR="0036175C">
        <w:t>µg</w:t>
      </w:r>
      <w:r w:rsidR="00AB0FB9" w:rsidRPr="00AB0FB9">
        <w:t xml:space="preserve">/kg/day by inhalation in mice, 1828.5 </w:t>
      </w:r>
      <w:r w:rsidR="0036175C">
        <w:t>µg</w:t>
      </w:r>
      <w:r w:rsidR="00AB0FB9" w:rsidRPr="00AB0FB9">
        <w:t>/kg/day by inhalation and 1600 </w:t>
      </w:r>
      <w:r w:rsidR="0036175C">
        <w:t>µg</w:t>
      </w:r>
      <w:r w:rsidR="00AB0FB9" w:rsidRPr="00AB0FB9">
        <w:t xml:space="preserve">/kg/day by the SC route in rats, and 2758 </w:t>
      </w:r>
      <w:r w:rsidR="0036175C">
        <w:t>µg</w:t>
      </w:r>
      <w:r w:rsidR="00AB0FB9" w:rsidRPr="00AB0FB9">
        <w:t xml:space="preserve">/kg/day by inhalation in dogs. These data support that </w:t>
      </w:r>
      <w:r w:rsidR="00A54884">
        <w:t>UMEC</w:t>
      </w:r>
      <w:r w:rsidR="00AB0FB9" w:rsidRPr="00AB0FB9">
        <w:t xml:space="preserve"> has a low order of acute toxicity. Similarly, previously evaluated studies indicated a low order of acute toxicity by the inhalational route for </w:t>
      </w:r>
      <w:r w:rsidR="00A54884">
        <w:t>VI</w:t>
      </w:r>
      <w:r w:rsidR="00AB0FB9" w:rsidRPr="00AB0FB9">
        <w:t>.</w:t>
      </w:r>
      <w:bookmarkStart w:id="60" w:name="_Toc294861728"/>
    </w:p>
    <w:p w:rsidR="00AB0FB9" w:rsidRPr="00AB0FB9" w:rsidRDefault="00077A4E" w:rsidP="000021B8">
      <w:pPr>
        <w:pStyle w:val="Heading5"/>
      </w:pPr>
      <w:r>
        <w:t xml:space="preserve">Repeat </w:t>
      </w:r>
      <w:r w:rsidR="00AB0FB9" w:rsidRPr="00AB0FB9">
        <w:t>dose toxicity</w:t>
      </w:r>
      <w:bookmarkEnd w:id="60"/>
    </w:p>
    <w:p w:rsidR="00AB0FB9" w:rsidRPr="00AB0FB9" w:rsidRDefault="00AB0FB9" w:rsidP="000021B8">
      <w:r w:rsidRPr="00AB0FB9">
        <w:t xml:space="preserve">Studies with </w:t>
      </w:r>
      <w:r w:rsidR="00A54884">
        <w:t>UMEC</w:t>
      </w:r>
      <w:r w:rsidRPr="00AB0FB9">
        <w:t xml:space="preserve"> by th</w:t>
      </w:r>
      <w:r w:rsidR="00077A4E">
        <w:t xml:space="preserve">e inhalational route of up to 3 </w:t>
      </w:r>
      <w:r w:rsidRPr="00AB0FB9">
        <w:t>months duration w</w:t>
      </w:r>
      <w:r w:rsidR="00077A4E">
        <w:t xml:space="preserve">ere conducted in mice, 6 months in rats and 9 </w:t>
      </w:r>
      <w:r w:rsidRPr="00AB0FB9">
        <w:t>months in dogs. Other routes were used i</w:t>
      </w:r>
      <w:r w:rsidR="00077A4E">
        <w:t xml:space="preserve">n studies in mice (oral up to 3 </w:t>
      </w:r>
      <w:r w:rsidRPr="00AB0FB9">
        <w:t>months) and rats (SC up to 2 weeks). The duration of the pivotal studies, the species used (rats and dogs)</w:t>
      </w:r>
      <w:proofErr w:type="gramStart"/>
      <w:r w:rsidRPr="00AB0FB9">
        <w:t>,</w:t>
      </w:r>
      <w:proofErr w:type="gramEnd"/>
      <w:r w:rsidRPr="00AB0FB9">
        <w:t xml:space="preserve"> group sizes and the use of both sexes were consistent with EU guidelines. Umeclidinium was formulated in lactose and magnesium stearate in the pivotal and most of the other inhalational studies, resembling the proposed commercial product.</w:t>
      </w:r>
    </w:p>
    <w:p w:rsidR="00AB0FB9" w:rsidRPr="00AB0FB9" w:rsidRDefault="00077A4E" w:rsidP="000021B8">
      <w:r>
        <w:t xml:space="preserve">The repeat </w:t>
      </w:r>
      <w:r w:rsidR="00AB0FB9" w:rsidRPr="00AB0FB9">
        <w:t xml:space="preserve">dose toxicity of </w:t>
      </w:r>
      <w:r w:rsidR="00A54884">
        <w:t>UMEC</w:t>
      </w:r>
      <w:r w:rsidR="00AB0FB9" w:rsidRPr="00AB0FB9">
        <w:t xml:space="preserve"> and </w:t>
      </w:r>
      <w:r w:rsidR="00A54884">
        <w:t>VI</w:t>
      </w:r>
      <w:r w:rsidR="00AB0FB9" w:rsidRPr="00AB0FB9">
        <w:t xml:space="preserve"> in combination was examined in inhalational studies in rats (4 we</w:t>
      </w:r>
      <w:r>
        <w:t xml:space="preserve">eks duration) and dogs (up to 3 months). The conduct of a 3 </w:t>
      </w:r>
      <w:r w:rsidR="00AB0FB9" w:rsidRPr="00AB0FB9">
        <w:t>month study in a single species meets recommendations in the EU Guideline on the Non-Clinical Development of Fixed Combinations of Medicinal Products (EMEA/CHMP/SWP/258498/2005).</w:t>
      </w:r>
    </w:p>
    <w:p w:rsidR="00AB0FB9" w:rsidRPr="00AB0FB9" w:rsidRDefault="00AB0FB9" w:rsidP="000021B8">
      <w:pPr>
        <w:pStyle w:val="Heading5"/>
      </w:pPr>
      <w:r w:rsidRPr="00AB0FB9">
        <w:t>Relative exposure</w:t>
      </w:r>
    </w:p>
    <w:p w:rsidR="00AB0FB9" w:rsidRPr="00AB0FB9" w:rsidRDefault="00AB0FB9" w:rsidP="000021B8">
      <w:r w:rsidRPr="00AB0FB9">
        <w:t xml:space="preserve">Exposure ratios have been calculated based on </w:t>
      </w:r>
      <w:r w:rsidR="00077A4E" w:rsidRPr="00AB0FB9">
        <w:t>animal: human</w:t>
      </w:r>
      <w:r w:rsidRPr="00AB0FB9">
        <w:t xml:space="preserve"> plasma AUC</w:t>
      </w:r>
      <w:r w:rsidRPr="00214066">
        <w:rPr>
          <w:vertAlign w:val="subscript"/>
        </w:rPr>
        <w:t>0–24 h</w:t>
      </w:r>
      <w:r w:rsidRPr="00AB0FB9">
        <w:t xml:space="preserve"> values (for consideration of systemic effects) and </w:t>
      </w:r>
      <w:r w:rsidR="00077A4E" w:rsidRPr="00AB0FB9">
        <w:t>animal: human</w:t>
      </w:r>
      <w:r w:rsidRPr="00AB0FB9">
        <w:t xml:space="preserve"> lung deposited dose adjusted for lung weight (for consideration of local toxicity). Lung deposited doses were calculated assuming 10%, 25% and 100% deposition in rodents, dogs and humans, respectively; lung weights of 0.2, 1.5, 110 and 1000 g in mice, rats, dogs and humans, respectively; and body weights of 0.03, 0.25 and 10 kg for mice, rats and dogs, respectively. High local and </w:t>
      </w:r>
      <w:r w:rsidRPr="00AB0FB9">
        <w:lastRenderedPageBreak/>
        <w:t>systemic exposure ratios were obtained in the animal stud</w:t>
      </w:r>
      <w:r w:rsidR="004A7E15">
        <w:t xml:space="preserve">ies. Human AUC values are from </w:t>
      </w:r>
      <w:r w:rsidR="00C2755D" w:rsidRPr="00C2755D">
        <w:t xml:space="preserve">the sponsor’s summary of the </w:t>
      </w:r>
      <w:r w:rsidR="004A7E15">
        <w:t>p</w:t>
      </w:r>
      <w:r w:rsidRPr="00AB0FB9">
        <w:t>opulation PK analyses.</w:t>
      </w:r>
    </w:p>
    <w:p w:rsidR="003830DF" w:rsidRDefault="00077A4E" w:rsidP="003B5481">
      <w:pPr>
        <w:pStyle w:val="Tabletitle0"/>
      </w:pPr>
      <w:proofErr w:type="gramStart"/>
      <w:r w:rsidRPr="00077A4E">
        <w:t>Table 1.</w:t>
      </w:r>
      <w:proofErr w:type="gramEnd"/>
      <w:r w:rsidRPr="00077A4E">
        <w:t xml:space="preserve"> </w:t>
      </w:r>
      <w:r w:rsidR="003830DF" w:rsidRPr="00077A4E">
        <w:t>Relative local and systemic exposure achieved in selected inhalational toxicity studies with umeclidinium</w:t>
      </w:r>
      <w:r w:rsidR="00B35898">
        <w:t>.</w:t>
      </w:r>
    </w:p>
    <w:p w:rsidR="00E15620" w:rsidRDefault="008D58A2" w:rsidP="003B5481">
      <w:r>
        <w:rPr>
          <w:noProof/>
          <w:lang w:eastAsia="en-AU"/>
        </w:rPr>
        <w:drawing>
          <wp:inline distT="0" distB="0" distL="0" distR="0" wp14:anchorId="3DB92927" wp14:editId="036C845B">
            <wp:extent cx="5400040" cy="5459464"/>
            <wp:effectExtent l="0" t="0" r="0" b="8255"/>
            <wp:docPr id="16" name="Picture 16" descr="Table 1. Relative local and systemic exposure achieved in selected inhalational toxicity studies with umeclid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5459464"/>
                    </a:xfrm>
                    <a:prstGeom prst="rect">
                      <a:avLst/>
                    </a:prstGeom>
                  </pic:spPr>
                </pic:pic>
              </a:graphicData>
            </a:graphic>
          </wp:inline>
        </w:drawing>
      </w:r>
    </w:p>
    <w:p w:rsidR="003830DF" w:rsidRPr="008D58A2" w:rsidRDefault="004A7E15" w:rsidP="003B5481">
      <w:pPr>
        <w:pStyle w:val="TableTitle"/>
      </w:pPr>
      <w:proofErr w:type="gramStart"/>
      <w:r w:rsidRPr="008D58A2">
        <w:lastRenderedPageBreak/>
        <w:t>Table 2.</w:t>
      </w:r>
      <w:proofErr w:type="gramEnd"/>
      <w:r w:rsidRPr="008D58A2">
        <w:t xml:space="preserve"> </w:t>
      </w:r>
      <w:r w:rsidR="003830DF" w:rsidRPr="008D58A2">
        <w:t>Relative local and systemic exposure achieved in combination toxicity studies</w:t>
      </w:r>
      <w:r w:rsidR="00B35898" w:rsidRPr="008D58A2">
        <w:t>.</w:t>
      </w:r>
    </w:p>
    <w:p w:rsidR="00C2755D" w:rsidRPr="00C2755D" w:rsidRDefault="008D58A2" w:rsidP="003B5481">
      <w:r>
        <w:rPr>
          <w:noProof/>
          <w:lang w:eastAsia="en-AU"/>
        </w:rPr>
        <w:drawing>
          <wp:inline distT="0" distB="0" distL="0" distR="0" wp14:anchorId="40160007" wp14:editId="270BD6A6">
            <wp:extent cx="5400040" cy="3819836"/>
            <wp:effectExtent l="0" t="0" r="0" b="9525"/>
            <wp:docPr id="15" name="Picture 15" descr="Table 2. Relative local and systemic exposure achieved in combination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819836"/>
                    </a:xfrm>
                    <a:prstGeom prst="rect">
                      <a:avLst/>
                    </a:prstGeom>
                  </pic:spPr>
                </pic:pic>
              </a:graphicData>
            </a:graphic>
          </wp:inline>
        </w:drawing>
      </w:r>
    </w:p>
    <w:p w:rsidR="003830DF" w:rsidRPr="003830DF" w:rsidRDefault="003830DF" w:rsidP="003B78B2">
      <w:pPr>
        <w:pStyle w:val="TableDescription"/>
      </w:pPr>
      <w:proofErr w:type="spellStart"/>
      <w:proofErr w:type="gramStart"/>
      <w:r w:rsidRPr="003830DF">
        <w:t>umec</w:t>
      </w:r>
      <w:proofErr w:type="spellEnd"/>
      <w:proofErr w:type="gramEnd"/>
      <w:r w:rsidRPr="003830DF">
        <w:t xml:space="preserve"> = </w:t>
      </w:r>
      <w:proofErr w:type="spellStart"/>
      <w:r w:rsidRPr="003830DF">
        <w:t>umeclidinium</w:t>
      </w:r>
      <w:proofErr w:type="spellEnd"/>
      <w:r w:rsidRPr="003830DF">
        <w:t xml:space="preserve">; </w:t>
      </w:r>
      <w:proofErr w:type="spellStart"/>
      <w:r w:rsidRPr="003B78B2">
        <w:t>vilant</w:t>
      </w:r>
      <w:proofErr w:type="spellEnd"/>
      <w:r w:rsidRPr="003830DF">
        <w:t xml:space="preserve"> = </w:t>
      </w:r>
      <w:proofErr w:type="spellStart"/>
      <w:r w:rsidRPr="003830DF">
        <w:t>vilanterol</w:t>
      </w:r>
      <w:proofErr w:type="spellEnd"/>
    </w:p>
    <w:p w:rsidR="003830DF" w:rsidRPr="00FC19E6" w:rsidRDefault="003830DF" w:rsidP="003830DF">
      <w:pPr>
        <w:pStyle w:val="Heading5"/>
      </w:pPr>
      <w:r w:rsidRPr="00FC19E6">
        <w:t>Major toxicities</w:t>
      </w:r>
    </w:p>
    <w:p w:rsidR="003830DF" w:rsidRPr="00E24F93" w:rsidRDefault="003830DF" w:rsidP="000021B8">
      <w:r w:rsidRPr="00E24F93">
        <w:t xml:space="preserve">The major target organs for toxicity in inhalational studies with </w:t>
      </w:r>
      <w:r w:rsidR="00A54884">
        <w:t>UMEC</w:t>
      </w:r>
      <w:r w:rsidRPr="00E24F93">
        <w:t xml:space="preserve"> were respiratory tract tissues and the cardiovascular system. The </w:t>
      </w:r>
      <w:r w:rsidR="006C274F">
        <w:t>gastrointestinal (</w:t>
      </w:r>
      <w:r w:rsidRPr="00E24F93">
        <w:t>GI</w:t>
      </w:r>
      <w:r w:rsidR="006C274F">
        <w:t>)</w:t>
      </w:r>
      <w:r w:rsidRPr="00E24F93">
        <w:t xml:space="preserve"> tract was identified as an additional target in oral studies.</w:t>
      </w:r>
    </w:p>
    <w:p w:rsidR="003830DF" w:rsidRPr="00E24F93" w:rsidRDefault="003830DF" w:rsidP="000021B8">
      <w:r w:rsidRPr="00E24F93">
        <w:t>Umeclidinium was seen to act as an irritant of the upper respiratory tract in all three laboratory animal species (mouse, rat and dog). Corresponding histopathological findings in affected tissues (nasal turbinates, nasopharynx, larynx and tracheal bifurcation) in</w:t>
      </w:r>
      <w:r w:rsidR="004A7E15">
        <w:t>cluded epithelial degeneration/</w:t>
      </w:r>
      <w:r w:rsidRPr="00E24F93">
        <w:t>regeneration, hyperplasia, squamous metaplasia, inflammatory cel</w:t>
      </w:r>
      <w:r w:rsidR="004A7E15">
        <w:t>l infiltration and erosion/</w:t>
      </w:r>
      <w:r w:rsidRPr="00E24F93">
        <w:t xml:space="preserve">ulceration. These effects may have been exacerbated by drying of the mucosa due to the drug’s </w:t>
      </w:r>
      <w:proofErr w:type="spellStart"/>
      <w:r w:rsidRPr="00E24F93">
        <w:t>antimuscarinic</w:t>
      </w:r>
      <w:proofErr w:type="spellEnd"/>
      <w:r w:rsidRPr="00E24F93">
        <w:t xml:space="preserve"> activity. In the pivotal studies, such respiratory tract findings were obser</w:t>
      </w:r>
      <w:r w:rsidR="004A7E15">
        <w:t>ved at all dose levels in rats (≥ </w:t>
      </w:r>
      <w:r w:rsidR="007B0BDE">
        <w:t xml:space="preserve">87.1 </w:t>
      </w:r>
      <w:r w:rsidR="0036175C">
        <w:t>µg</w:t>
      </w:r>
      <w:r w:rsidRPr="00E24F93">
        <w:t xml:space="preserve">/kg/day by inhalation; relative local exposure, 23) and at </w:t>
      </w:r>
      <w:r w:rsidR="0036175C">
        <w:t xml:space="preserve">≥ </w:t>
      </w:r>
      <w:r w:rsidR="007B0BDE">
        <w:t xml:space="preserve">421 </w:t>
      </w:r>
      <w:r w:rsidR="0036175C">
        <w:t>µg</w:t>
      </w:r>
      <w:r w:rsidRPr="00E24F93">
        <w:t>/kg/day in dogs (re</w:t>
      </w:r>
      <w:r w:rsidR="007B0BDE">
        <w:t xml:space="preserve">lative local exposure, 153). No </w:t>
      </w:r>
      <w:r w:rsidRPr="00E24F93">
        <w:t>histopathological changes were observed in the respirat</w:t>
      </w:r>
      <w:r w:rsidR="007B0BDE">
        <w:t xml:space="preserve">ory tract of dogs treated for 9 months </w:t>
      </w:r>
      <w:proofErr w:type="gramStart"/>
      <w:r w:rsidR="007B0BDE">
        <w:t xml:space="preserve">at 109 </w:t>
      </w:r>
      <w:r w:rsidR="0036175C">
        <w:t>µg</w:t>
      </w:r>
      <w:r w:rsidRPr="00E24F93">
        <w:t>/kg/day, yielding a high multiple of the local clinical dose</w:t>
      </w:r>
      <w:r w:rsidR="006F6218">
        <w:t>,</w:t>
      </w:r>
      <w:r w:rsidRPr="00E24F93">
        <w:t xml:space="preserve"> (relative local exposure, 40)</w:t>
      </w:r>
      <w:proofErr w:type="gramEnd"/>
      <w:r w:rsidRPr="00E24F93">
        <w:t>.</w:t>
      </w:r>
    </w:p>
    <w:p w:rsidR="003830DF" w:rsidRPr="00E24F93" w:rsidRDefault="003830DF" w:rsidP="000021B8">
      <w:r w:rsidRPr="00E24F93">
        <w:t xml:space="preserve">Oral administration of </w:t>
      </w:r>
      <w:r w:rsidR="00A54884">
        <w:t>UMEC</w:t>
      </w:r>
      <w:r w:rsidRPr="00E24F93">
        <w:t xml:space="preserve"> at high doses in mice (</w:t>
      </w:r>
      <w:r w:rsidR="0036175C">
        <w:t xml:space="preserve">≥ </w:t>
      </w:r>
      <w:r w:rsidRPr="00E24F93">
        <w:t>30 mg/kg/day) was also associated with nasal cavity changes consistent with local irritation (epithelial atrophy/degeneration and fluid/ inflammatory exudates in nasal airw</w:t>
      </w:r>
      <w:r w:rsidR="004A7E15">
        <w:t xml:space="preserve">ays), most likely due to gastro </w:t>
      </w:r>
      <w:r w:rsidRPr="00E24F93">
        <w:t xml:space="preserve">oesophageal reflux. Breathing difficulties, abdominal distension, </w:t>
      </w:r>
      <w:proofErr w:type="spellStart"/>
      <w:r w:rsidRPr="00E24F93">
        <w:t>fundic</w:t>
      </w:r>
      <w:proofErr w:type="spellEnd"/>
      <w:r w:rsidRPr="00E24F93">
        <w:t xml:space="preserve"> degeneration of the stomach (</w:t>
      </w:r>
      <w:r w:rsidR="00B73028">
        <w:t>≥ </w:t>
      </w:r>
      <w:r w:rsidR="007B0BDE">
        <w:t xml:space="preserve">30 </w:t>
      </w:r>
      <w:r w:rsidRPr="00E24F93">
        <w:t>mg/kg/day) and elongation of the caecum and epithelial hyperplasia in the colon (at 1</w:t>
      </w:r>
      <w:r w:rsidR="007B0BDE">
        <w:t xml:space="preserve">00 </w:t>
      </w:r>
      <w:r w:rsidRPr="00E24F93">
        <w:t xml:space="preserve">mg/kg/day) were additionally seen; these are considered related to a mix of local irritant and </w:t>
      </w:r>
      <w:proofErr w:type="spellStart"/>
      <w:r w:rsidRPr="00E24F93">
        <w:t>antimuscarinic</w:t>
      </w:r>
      <w:proofErr w:type="spellEnd"/>
      <w:r w:rsidRPr="00E24F93">
        <w:t xml:space="preserve"> activity (to cause smooth muscle relaxation). The GI tract was not a target for toxicity with administration by the inhalational route at doses yielding very large multiples of the clinical exposure.</w:t>
      </w:r>
    </w:p>
    <w:p w:rsidR="003830DF" w:rsidRPr="00E24F93" w:rsidRDefault="003830DF" w:rsidP="000021B8">
      <w:r w:rsidRPr="00E24F93">
        <w:lastRenderedPageBreak/>
        <w:t>Lung macrophage accumulation was increased in incidence and severity (up to slight) in male rats t</w:t>
      </w:r>
      <w:r w:rsidR="007B0BDE">
        <w:t xml:space="preserve">reated with </w:t>
      </w:r>
      <w:r w:rsidR="00A54884">
        <w:t>UMEC</w:t>
      </w:r>
      <w:r w:rsidR="007B0BDE">
        <w:t xml:space="preserve"> </w:t>
      </w:r>
      <w:proofErr w:type="gramStart"/>
      <w:r w:rsidR="007B0BDE">
        <w:t xml:space="preserve">at 987 </w:t>
      </w:r>
      <w:r w:rsidR="0036175C">
        <w:t>µg</w:t>
      </w:r>
      <w:r w:rsidRPr="00E24F93">
        <w:t>/kg/day</w:t>
      </w:r>
      <w:proofErr w:type="gramEnd"/>
      <w:r w:rsidRPr="00E24F93">
        <w:t xml:space="preserve"> by inhalation for 6 months (relative local exposure, 263). This was not apparent at </w:t>
      </w:r>
      <w:r w:rsidR="0036175C">
        <w:t xml:space="preserve">≤ </w:t>
      </w:r>
      <w:r w:rsidR="007B0BDE">
        <w:t xml:space="preserve">289 </w:t>
      </w:r>
      <w:r w:rsidR="0036175C">
        <w:t>µg</w:t>
      </w:r>
      <w:r w:rsidRPr="00E24F93">
        <w:t>/kg/day (relative local exposure, 77).</w:t>
      </w:r>
    </w:p>
    <w:p w:rsidR="003830DF" w:rsidRPr="00E24F93" w:rsidRDefault="003830DF" w:rsidP="000021B8">
      <w:r w:rsidRPr="00E24F93">
        <w:t xml:space="preserve">Dogs treated with </w:t>
      </w:r>
      <w:r w:rsidR="00A54884">
        <w:t>UMEC</w:t>
      </w:r>
      <w:r w:rsidRPr="00E24F93">
        <w:t xml:space="preserve"> showed tachycardia and other clinical signs (dry eyes, nose and mouth) consistent with the drug’s </w:t>
      </w:r>
      <w:proofErr w:type="spellStart"/>
      <w:r w:rsidRPr="00E24F93">
        <w:t>antimuscarinic</w:t>
      </w:r>
      <w:proofErr w:type="spellEnd"/>
      <w:r w:rsidRPr="00E24F93">
        <w:t xml:space="preserve"> activity. Moderate subacute inflammation in the extramural coronary arteries was seen in the heart of single animals at 421 and 1002</w:t>
      </w:r>
      <w:r w:rsidR="007B0BDE">
        <w:t xml:space="preserve"> </w:t>
      </w:r>
      <w:r w:rsidR="0036175C">
        <w:t>µg</w:t>
      </w:r>
      <w:r w:rsidRPr="00E24F93">
        <w:t>/kg/day (</w:t>
      </w:r>
      <w:r w:rsidR="004A7E15">
        <w:t xml:space="preserve">relative systemic exposure, 116 to </w:t>
      </w:r>
      <w:r w:rsidRPr="00E24F93">
        <w:t xml:space="preserve">244), and subacute inflammation was seen in a pulmonary arteriole in another animal at 1002 </w:t>
      </w:r>
      <w:r w:rsidR="0036175C">
        <w:t>µg</w:t>
      </w:r>
      <w:r w:rsidRPr="00E24F93">
        <w:t>/kg/day (relative systemic e</w:t>
      </w:r>
      <w:r w:rsidR="0035367F">
        <w:t xml:space="preserve">xposure, 244), in the pivotal 9 </w:t>
      </w:r>
      <w:r w:rsidRPr="00E24F93">
        <w:t xml:space="preserve">month dog study. Treatment with </w:t>
      </w:r>
      <w:r w:rsidR="00A54884">
        <w:t>UMEC</w:t>
      </w:r>
      <w:r w:rsidRPr="00E24F93">
        <w:t xml:space="preserve"> did not produce cardiovascular lesions in rats. </w:t>
      </w:r>
      <w:r w:rsidR="001A50F1">
        <w:t>No observable</w:t>
      </w:r>
      <w:r w:rsidR="006C274F" w:rsidRPr="006C274F">
        <w:t xml:space="preserve"> effect levels (NOELs)</w:t>
      </w:r>
      <w:r w:rsidRPr="00E24F93">
        <w:t xml:space="preserve"> for cardiovascular lesions by </w:t>
      </w:r>
      <w:r w:rsidR="00A54884">
        <w:t>UMEC</w:t>
      </w:r>
      <w:r w:rsidRPr="00E24F93">
        <w:t xml:space="preserve"> are 109 </w:t>
      </w:r>
      <w:r w:rsidR="0036175C">
        <w:t>µg</w:t>
      </w:r>
      <w:r w:rsidRPr="00E24F93">
        <w:t>/kg/day in dogs (relative systemic exposure 36) and 987 </w:t>
      </w:r>
      <w:r w:rsidR="0036175C">
        <w:t>µg</w:t>
      </w:r>
      <w:r w:rsidRPr="00E24F93">
        <w:t>/kg/day in rats (relative systemic exposure, 209</w:t>
      </w:r>
      <w:r w:rsidR="00B35898">
        <w:t>).</w:t>
      </w:r>
    </w:p>
    <w:p w:rsidR="003830DF" w:rsidRPr="00624592" w:rsidRDefault="003830DF" w:rsidP="000021B8">
      <w:pPr>
        <w:pStyle w:val="Heading5"/>
        <w:rPr>
          <w:rFonts w:eastAsia="ArialNarrow"/>
        </w:rPr>
      </w:pPr>
      <w:r w:rsidRPr="00E24F93">
        <w:rPr>
          <w:rFonts w:eastAsia="ArialNarrow"/>
        </w:rPr>
        <w:t>Toxicity</w:t>
      </w:r>
      <w:r w:rsidRPr="00624592">
        <w:rPr>
          <w:rFonts w:eastAsia="ArialNarrow"/>
        </w:rPr>
        <w:t xml:space="preserve"> of umeclidinium and vilanterol in combination</w:t>
      </w:r>
    </w:p>
    <w:p w:rsidR="006C274F" w:rsidRPr="00E24F93" w:rsidRDefault="003830DF" w:rsidP="000021B8">
      <w:r w:rsidRPr="00E24F93">
        <w:t xml:space="preserve">Previously evaluated studies with </w:t>
      </w:r>
      <w:r w:rsidR="00A54884">
        <w:t>VI</w:t>
      </w:r>
      <w:r w:rsidRPr="00E24F93">
        <w:t xml:space="preserve"> identified the respiratory tract, cardiovascular system, liver, female reproductive tract and mammary gland as the chi</w:t>
      </w:r>
      <w:r w:rsidR="006C274F">
        <w:t>ef target organs for toxicity; t</w:t>
      </w:r>
      <w:r w:rsidR="006C274F" w:rsidRPr="00E24F93">
        <w:t>he drug having a toxicity p</w:t>
      </w:r>
      <w:r w:rsidR="006C274F">
        <w:t>rofile typical of an inhaled beta</w:t>
      </w:r>
      <w:r w:rsidR="006C274F" w:rsidRPr="002D141B">
        <w:rPr>
          <w:vertAlign w:val="subscript"/>
        </w:rPr>
        <w:t>2</w:t>
      </w:r>
      <w:r w:rsidR="006C274F">
        <w:t>-</w:t>
      </w:r>
      <w:r w:rsidR="006C274F" w:rsidRPr="00E24F93">
        <w:t>agonist.</w:t>
      </w:r>
    </w:p>
    <w:p w:rsidR="003830DF" w:rsidRPr="00E24F93" w:rsidRDefault="0035367F" w:rsidP="000021B8">
      <w:r>
        <w:t xml:space="preserve">Repeat </w:t>
      </w:r>
      <w:r w:rsidR="003830DF" w:rsidRPr="00E24F93">
        <w:t xml:space="preserve">dose toxicity studies with </w:t>
      </w:r>
      <w:r w:rsidR="00A54884">
        <w:t>UMEC</w:t>
      </w:r>
      <w:r w:rsidR="003830DF" w:rsidRPr="00E24F93">
        <w:t xml:space="preserve"> and </w:t>
      </w:r>
      <w:r w:rsidR="00A54884">
        <w:t>VI</w:t>
      </w:r>
      <w:r w:rsidR="003830DF" w:rsidRPr="00E24F93">
        <w:t xml:space="preserve"> in combination revealed no novel toxicities </w:t>
      </w:r>
      <w:r w:rsidR="003E6EDF">
        <w:t>compared to</w:t>
      </w:r>
      <w:r w:rsidR="003830DF" w:rsidRPr="00E24F93">
        <w:t xml:space="preserve"> the single agents. Evidence </w:t>
      </w:r>
      <w:r w:rsidR="006C274F">
        <w:t>of exacerbated toxicity with co-</w:t>
      </w:r>
      <w:r w:rsidR="003830DF" w:rsidRPr="00E24F93">
        <w:t>administration was limited to a modest increase in the local irritant effects of both drugs in the upper</w:t>
      </w:r>
      <w:r>
        <w:t xml:space="preserve"> respiratory tract, seen in a 4 </w:t>
      </w:r>
      <w:r w:rsidR="003830DF" w:rsidRPr="00E24F93">
        <w:t>week study in rats.</w:t>
      </w:r>
      <w:bookmarkStart w:id="61" w:name="_Toc294861729"/>
    </w:p>
    <w:p w:rsidR="003830DF" w:rsidRPr="00844441" w:rsidRDefault="003830DF" w:rsidP="000021B8">
      <w:pPr>
        <w:pStyle w:val="Heading5"/>
      </w:pPr>
      <w:r w:rsidRPr="00844441">
        <w:t>Genotoxicity</w:t>
      </w:r>
      <w:bookmarkEnd w:id="61"/>
    </w:p>
    <w:p w:rsidR="003830DF" w:rsidRPr="00E24F93" w:rsidRDefault="003830DF" w:rsidP="008C62CF">
      <w:r w:rsidRPr="00E24F93">
        <w:t xml:space="preserve">The potential genotoxicity of </w:t>
      </w:r>
      <w:r w:rsidR="00A54884">
        <w:t>UMEC</w:t>
      </w:r>
      <w:r w:rsidRPr="00E24F93">
        <w:t xml:space="preserve"> was investigated in the standard battery of tests (bacterial mutagenicity, mouse lymphoma </w:t>
      </w:r>
      <w:r w:rsidR="006C274F" w:rsidRPr="006C274F">
        <w:t>thymidine kinase (</w:t>
      </w:r>
      <w:proofErr w:type="spellStart"/>
      <w:r w:rsidR="006C274F" w:rsidRPr="006C274F">
        <w:t>tk</w:t>
      </w:r>
      <w:proofErr w:type="spellEnd"/>
      <w:r w:rsidR="006C274F" w:rsidRPr="006C274F">
        <w:t>)</w:t>
      </w:r>
      <w:r w:rsidRPr="00E24F93">
        <w:t xml:space="preserve"> assay and bone marrow micronucleus test). The conduct of the studies was in accordance with ICH guidelines. </w:t>
      </w:r>
      <w:r w:rsidR="006C274F" w:rsidRPr="006C274F">
        <w:t>Concentrations and</w:t>
      </w:r>
      <w:r w:rsidR="006C274F">
        <w:t xml:space="preserve"> </w:t>
      </w:r>
      <w:r w:rsidR="006C274F" w:rsidRPr="006C274F">
        <w:t>doses were appropriate</w:t>
      </w:r>
      <w:r w:rsidRPr="00E24F93">
        <w:t xml:space="preserve">. A suitable set </w:t>
      </w:r>
      <w:r w:rsidRPr="007B0BDE">
        <w:t xml:space="preserve">of </w:t>
      </w:r>
      <w:r w:rsidR="007B0BDE" w:rsidRPr="007B0BDE">
        <w:rPr>
          <w:i/>
        </w:rPr>
        <w:t xml:space="preserve">Salmonella </w:t>
      </w:r>
      <w:proofErr w:type="spellStart"/>
      <w:r w:rsidRPr="007B0BDE">
        <w:rPr>
          <w:i/>
        </w:rPr>
        <w:t>typhimur</w:t>
      </w:r>
      <w:r w:rsidR="007B0BDE" w:rsidRPr="007B0BDE">
        <w:rPr>
          <w:i/>
        </w:rPr>
        <w:t>ium</w:t>
      </w:r>
      <w:proofErr w:type="spellEnd"/>
      <w:r w:rsidR="007B0BDE" w:rsidRPr="007B0BDE">
        <w:t xml:space="preserve"> and </w:t>
      </w:r>
      <w:r w:rsidR="007B0BDE" w:rsidRPr="007B0BDE">
        <w:rPr>
          <w:i/>
        </w:rPr>
        <w:t xml:space="preserve">Escherichia </w:t>
      </w:r>
      <w:r w:rsidRPr="007B0BDE">
        <w:rPr>
          <w:i/>
        </w:rPr>
        <w:t>coli</w:t>
      </w:r>
      <w:r w:rsidRPr="007B0BDE">
        <w:t xml:space="preserve"> strains </w:t>
      </w:r>
      <w:r w:rsidRPr="00E24F93">
        <w:t>were used in the ba</w:t>
      </w:r>
      <w:r w:rsidR="007B0BDE">
        <w:t xml:space="preserve">cterial mutation assays. The in </w:t>
      </w:r>
      <w:r w:rsidRPr="00E24F93">
        <w:t xml:space="preserve">vivo assay for </w:t>
      </w:r>
      <w:proofErr w:type="spellStart"/>
      <w:r w:rsidRPr="00E24F93">
        <w:t>clastogenicity</w:t>
      </w:r>
      <w:proofErr w:type="spellEnd"/>
      <w:r w:rsidRPr="00E24F93">
        <w:t xml:space="preserve"> was conducted in rats and</w:t>
      </w:r>
      <w:r w:rsidR="007B0BDE">
        <w:t xml:space="preserve"> involved IV administration (20 </w:t>
      </w:r>
      <w:r w:rsidRPr="00E24F93">
        <w:t xml:space="preserve">mg/kg/day </w:t>
      </w:r>
      <w:r w:rsidR="009615C3">
        <w:sym w:font="Symbol" w:char="F0B4"/>
      </w:r>
      <w:r w:rsidRPr="00E24F93">
        <w:t xml:space="preserve"> 2 days), yielding a very high multiple (</w:t>
      </w:r>
      <w:r w:rsidR="009442C3">
        <w:t>approximately</w:t>
      </w:r>
      <w:r w:rsidR="006C274F">
        <w:t xml:space="preserve"> </w:t>
      </w:r>
      <w:r w:rsidR="0035367F">
        <w:t xml:space="preserve">8000 </w:t>
      </w:r>
      <w:r w:rsidRPr="00E24F93">
        <w:t xml:space="preserve">fold) of the plasma </w:t>
      </w:r>
      <w:proofErr w:type="spellStart"/>
      <w:r w:rsidRPr="00E24F93">
        <w:t>C</w:t>
      </w:r>
      <w:r w:rsidRPr="006C586A">
        <w:rPr>
          <w:vertAlign w:val="subscript"/>
        </w:rPr>
        <w:t>max</w:t>
      </w:r>
      <w:proofErr w:type="spellEnd"/>
      <w:r w:rsidRPr="006C586A">
        <w:rPr>
          <w:vertAlign w:val="subscript"/>
        </w:rPr>
        <w:t xml:space="preserve"> </w:t>
      </w:r>
      <w:r w:rsidRPr="00E24F93">
        <w:t xml:space="preserve">in patients at the maximum recommended human dose of 62.5 </w:t>
      </w:r>
      <w:r w:rsidR="0036175C">
        <w:t>µg</w:t>
      </w:r>
      <w:r w:rsidRPr="00E24F93">
        <w:t xml:space="preserve">/day. All studies returned negative results for </w:t>
      </w:r>
      <w:r w:rsidR="00A54884">
        <w:t>UMEC</w:t>
      </w:r>
      <w:r w:rsidRPr="00E24F93">
        <w:t xml:space="preserve">. Previously evaluated studies established that </w:t>
      </w:r>
      <w:r w:rsidR="00A54884">
        <w:t>VI</w:t>
      </w:r>
      <w:r w:rsidRPr="00E24F93">
        <w:t xml:space="preserve"> is also not genotoxic.</w:t>
      </w:r>
      <w:bookmarkStart w:id="62" w:name="_Toc294861730"/>
    </w:p>
    <w:p w:rsidR="003830DF" w:rsidRPr="00FC19E6" w:rsidRDefault="003830DF" w:rsidP="000021B8">
      <w:pPr>
        <w:pStyle w:val="Heading5"/>
      </w:pPr>
      <w:r w:rsidRPr="00FC19E6">
        <w:t>Carcinogenicity</w:t>
      </w:r>
      <w:bookmarkEnd w:id="62"/>
    </w:p>
    <w:p w:rsidR="003830DF" w:rsidRPr="00E24F93" w:rsidRDefault="003830DF" w:rsidP="000021B8">
      <w:r w:rsidRPr="00E24F93">
        <w:t xml:space="preserve">The carcinogenic potential of </w:t>
      </w:r>
      <w:r w:rsidR="00A54884">
        <w:t>UMEC</w:t>
      </w:r>
      <w:r w:rsidRPr="00E24F93">
        <w:t xml:space="preserve"> by the inhalatio</w:t>
      </w:r>
      <w:r w:rsidR="0035367F">
        <w:t>nal route was investigated in 2 </w:t>
      </w:r>
      <w:r w:rsidRPr="00E24F93">
        <w:t>year studies in mice and rats. Group sizes were adequate. Appropriate doses were tested, albeit requiring reduction in male mice and rats of both sexes during the course of the studies due to excessive suppression of body weight gain. There was no adverse effect on survival. No carcinogenic effect was seen with the drug in either species. NO</w:t>
      </w:r>
      <w:r w:rsidR="009615C3">
        <w:t xml:space="preserve">ELs for carcinogenicity are 295 </w:t>
      </w:r>
      <w:r w:rsidR="0036175C">
        <w:t>µg</w:t>
      </w:r>
      <w:r w:rsidRPr="00E24F93">
        <w:t>/kg/day in male mice (relative systemic exposure, 26; relative local exposure, 71</w:t>
      </w:r>
      <w:r w:rsidR="009615C3">
        <w:t xml:space="preserve">), 200 </w:t>
      </w:r>
      <w:r w:rsidR="0036175C">
        <w:t>µg</w:t>
      </w:r>
      <w:r w:rsidRPr="00E24F93">
        <w:t>/kg/day in female mice (relative systemic exposure, 26; relat</w:t>
      </w:r>
      <w:r w:rsidR="009615C3">
        <w:t xml:space="preserve">ive local exposure, 48) and 137 </w:t>
      </w:r>
      <w:r w:rsidR="0036175C">
        <w:t>µg</w:t>
      </w:r>
      <w:r w:rsidRPr="00E24F93">
        <w:t>/kg/day in rats (relative systemic exposure, 22; relative local exposure, 37).</w:t>
      </w:r>
    </w:p>
    <w:p w:rsidR="003830DF" w:rsidRPr="00E24F93" w:rsidRDefault="0035367F" w:rsidP="000021B8">
      <w:r>
        <w:t xml:space="preserve">In previously evaluated 2 </w:t>
      </w:r>
      <w:r w:rsidR="003830DF" w:rsidRPr="00E24F93">
        <w:t xml:space="preserve">year inhalational carcinogenicity studies conducted with </w:t>
      </w:r>
      <w:r w:rsidR="00A54884">
        <w:t>VI</w:t>
      </w:r>
      <w:r w:rsidR="003830DF" w:rsidRPr="00E24F93">
        <w:t xml:space="preserve">, treatment was associated with increased incidences of ovarian </w:t>
      </w:r>
      <w:proofErr w:type="spellStart"/>
      <w:r w:rsidR="009615C3">
        <w:t>tubulostromal</w:t>
      </w:r>
      <w:proofErr w:type="spellEnd"/>
      <w:r w:rsidR="009615C3">
        <w:t xml:space="preserve"> adenoma (at 29500 </w:t>
      </w:r>
      <w:r w:rsidR="0036175C">
        <w:t>µg</w:t>
      </w:r>
      <w:r w:rsidR="003830DF" w:rsidRPr="00E24F93">
        <w:t>/kg/day), sex cord stromal adenoma (</w:t>
      </w:r>
      <w:r w:rsidR="0036175C">
        <w:t xml:space="preserve">≥ </w:t>
      </w:r>
      <w:r w:rsidR="009615C3">
        <w:t xml:space="preserve">62 </w:t>
      </w:r>
      <w:r w:rsidR="0036175C">
        <w:t>µg</w:t>
      </w:r>
      <w:r w:rsidR="003830DF" w:rsidRPr="00E24F93">
        <w:t xml:space="preserve">/kg/day), and uterine leiomyoma and </w:t>
      </w:r>
      <w:proofErr w:type="spellStart"/>
      <w:r w:rsidR="003830DF" w:rsidRPr="00E24F93">
        <w:t>leiomyosarcoma</w:t>
      </w:r>
      <w:proofErr w:type="spellEnd"/>
      <w:r w:rsidR="003830DF" w:rsidRPr="00E24F93">
        <w:t xml:space="preserve"> (</w:t>
      </w:r>
      <w:r w:rsidR="0036175C">
        <w:t xml:space="preserve">≥ </w:t>
      </w:r>
      <w:r w:rsidR="009615C3">
        <w:t xml:space="preserve">62 </w:t>
      </w:r>
      <w:r w:rsidR="0036175C">
        <w:t>µg</w:t>
      </w:r>
      <w:r w:rsidR="003830DF" w:rsidRPr="00E24F93">
        <w:t xml:space="preserve">/kg/day) in mice, and </w:t>
      </w:r>
      <w:proofErr w:type="spellStart"/>
      <w:r w:rsidR="003830DF" w:rsidRPr="00E24F93">
        <w:t>mesovarian</w:t>
      </w:r>
      <w:proofErr w:type="spellEnd"/>
      <w:r w:rsidR="003830DF" w:rsidRPr="00E24F93">
        <w:t xml:space="preserve"> leiomyoma and pituitary adenoma (</w:t>
      </w:r>
      <w:r w:rsidR="0036175C">
        <w:t xml:space="preserve">≥ </w:t>
      </w:r>
      <w:r w:rsidR="009615C3">
        <w:t xml:space="preserve">84.4 </w:t>
      </w:r>
      <w:r w:rsidR="0036175C">
        <w:t>µg</w:t>
      </w:r>
      <w:r w:rsidR="003830DF" w:rsidRPr="00E24F93">
        <w:t xml:space="preserve">/kg/day) in rats. These findings are consistent with </w:t>
      </w:r>
      <w:r w:rsidR="002D141B">
        <w:t>those for other beta</w:t>
      </w:r>
      <w:r w:rsidRPr="002D141B">
        <w:rPr>
          <w:vertAlign w:val="subscript"/>
        </w:rPr>
        <w:t>2</w:t>
      </w:r>
      <w:r>
        <w:t>-</w:t>
      </w:r>
      <w:r w:rsidR="003830DF" w:rsidRPr="00E24F93">
        <w:t xml:space="preserve">agonists in rodents and are considered to be pharmacologically </w:t>
      </w:r>
      <w:r w:rsidR="006C274F" w:rsidRPr="006C274F">
        <w:t xml:space="preserve">mediated and not clinically relevant. NOELs for carcinogenicity with </w:t>
      </w:r>
      <w:r w:rsidR="00A54884">
        <w:t>VI</w:t>
      </w:r>
      <w:r w:rsidR="006C274F" w:rsidRPr="006C274F">
        <w:t xml:space="preserve"> were </w:t>
      </w:r>
      <w:proofErr w:type="gramStart"/>
      <w:r w:rsidR="006C274F" w:rsidRPr="006C274F">
        <w:t>6.4 µg/kg/day in mice</w:t>
      </w:r>
      <w:proofErr w:type="gramEnd"/>
      <w:r w:rsidR="006C274F" w:rsidRPr="006C274F">
        <w:t xml:space="preserve"> and 10.5 µg/kg/day in rats. The plasma </w:t>
      </w:r>
      <w:r w:rsidR="007803AE">
        <w:t>a</w:t>
      </w:r>
      <w:r w:rsidR="007803AE" w:rsidRPr="007803AE">
        <w:t xml:space="preserve">rea under the concentration time curve for 0 to 24 hours </w:t>
      </w:r>
      <w:r w:rsidR="007803AE">
        <w:t>(</w:t>
      </w:r>
      <w:r w:rsidR="006C274F" w:rsidRPr="006C274F">
        <w:t>AUC</w:t>
      </w:r>
      <w:r w:rsidR="006C274F" w:rsidRPr="006C274F">
        <w:rPr>
          <w:vertAlign w:val="subscript"/>
        </w:rPr>
        <w:t>0-24 h</w:t>
      </w:r>
      <w:r w:rsidR="007803AE">
        <w:t>)</w:t>
      </w:r>
      <w:r w:rsidR="006C274F" w:rsidRPr="006C274F">
        <w:t xml:space="preserve"> values at these doses </w:t>
      </w:r>
      <w:r w:rsidR="003830DF" w:rsidRPr="00E24F93">
        <w:t xml:space="preserve">(7.94 and 0.317 </w:t>
      </w:r>
      <w:proofErr w:type="spellStart"/>
      <w:r w:rsidR="003830DF" w:rsidRPr="00E24F93">
        <w:t>ng·h</w:t>
      </w:r>
      <w:proofErr w:type="spellEnd"/>
      <w:r w:rsidR="003830DF" w:rsidRPr="00E24F93">
        <w:t>/</w:t>
      </w:r>
      <w:r w:rsidR="00F705C7">
        <w:t>mL</w:t>
      </w:r>
      <w:r w:rsidR="003830DF" w:rsidRPr="00E24F93">
        <w:t xml:space="preserve"> in the respective spe</w:t>
      </w:r>
      <w:r>
        <w:t xml:space="preserve">cies) are 13 </w:t>
      </w:r>
      <w:r>
        <w:lastRenderedPageBreak/>
        <w:t xml:space="preserve">and 0.5 </w:t>
      </w:r>
      <w:r w:rsidR="003830DF" w:rsidRPr="00E24F93">
        <w:t>times that in patients at the maxim</w:t>
      </w:r>
      <w:r w:rsidR="009615C3">
        <w:t xml:space="preserve">um recommended human dose of 25 </w:t>
      </w:r>
      <w:r w:rsidR="0036175C">
        <w:t>µg</w:t>
      </w:r>
      <w:r w:rsidR="003830DF" w:rsidRPr="00E24F93">
        <w:t xml:space="preserve">/day </w:t>
      </w:r>
      <w:r w:rsidR="006C274F" w:rsidRPr="006C274F">
        <w:t>(based on a human reference AUC</w:t>
      </w:r>
      <w:r w:rsidR="006C274F" w:rsidRPr="006C274F">
        <w:rPr>
          <w:vertAlign w:val="subscript"/>
        </w:rPr>
        <w:t>0-24 h</w:t>
      </w:r>
      <w:r w:rsidR="006C274F" w:rsidRPr="006C274F">
        <w:t xml:space="preserve"> value of 0.6147 </w:t>
      </w:r>
      <w:proofErr w:type="spellStart"/>
      <w:r w:rsidR="006C274F" w:rsidRPr="006C274F">
        <w:t>ng·h</w:t>
      </w:r>
      <w:proofErr w:type="spellEnd"/>
      <w:r w:rsidR="006C274F" w:rsidRPr="006C274F">
        <w:t>/</w:t>
      </w:r>
      <w:r w:rsidR="00F705C7">
        <w:t>mL</w:t>
      </w:r>
      <w:r w:rsidR="006C274F" w:rsidRPr="006C274F">
        <w:t>)</w:t>
      </w:r>
      <w:r w:rsidR="003830DF" w:rsidRPr="00E24F93">
        <w:t>.</w:t>
      </w:r>
    </w:p>
    <w:p w:rsidR="003830DF" w:rsidRPr="00E24F93" w:rsidRDefault="003830DF" w:rsidP="000021B8">
      <w:r w:rsidRPr="00E24F93">
        <w:t xml:space="preserve">No carcinogenicity study has been conducted with </w:t>
      </w:r>
      <w:r w:rsidR="00A54884">
        <w:t>UMEC</w:t>
      </w:r>
      <w:r w:rsidRPr="00E24F93">
        <w:t xml:space="preserve"> and </w:t>
      </w:r>
      <w:r w:rsidR="00A54884">
        <w:t>VI</w:t>
      </w:r>
      <w:r w:rsidRPr="00E24F93">
        <w:t xml:space="preserve"> in combination.</w:t>
      </w:r>
    </w:p>
    <w:p w:rsidR="00E24F93" w:rsidRPr="00E24F93" w:rsidRDefault="00E24F93" w:rsidP="000021B8">
      <w:pPr>
        <w:pStyle w:val="Heading5"/>
      </w:pPr>
      <w:r w:rsidRPr="00E24F93">
        <w:t>Reproductive toxicity</w:t>
      </w:r>
    </w:p>
    <w:p w:rsidR="00E24F93" w:rsidRPr="00E24F93" w:rsidRDefault="00E24F93" w:rsidP="000021B8">
      <w:r w:rsidRPr="00E24F93">
        <w:t xml:space="preserve">Submitted studies with </w:t>
      </w:r>
      <w:r w:rsidR="00A54884">
        <w:t>UMEC</w:t>
      </w:r>
      <w:r w:rsidRPr="00E24F93">
        <w:t xml:space="preserve"> covered all stages (fertility and early embryonic </w:t>
      </w:r>
      <w:r w:rsidR="006C274F" w:rsidRPr="006C274F">
        <w:t>development, embryofetal development, and pre/postnatal development)</w:t>
      </w:r>
      <w:r w:rsidRPr="00E24F93">
        <w:t>. The studies were appropriately designed with regard to the numbers of animals, the timing/duration of treatment, the range of species and the route of administration (inhalation and/or SC).</w:t>
      </w:r>
    </w:p>
    <w:p w:rsidR="00E24F93" w:rsidRPr="00E24F93" w:rsidRDefault="00E24F93" w:rsidP="000021B8">
      <w:pPr>
        <w:pStyle w:val="Heading6"/>
      </w:pPr>
      <w:r w:rsidRPr="00E24F93">
        <w:t>Relative exposure</w:t>
      </w:r>
    </w:p>
    <w:p w:rsidR="00E24F93" w:rsidRPr="00E24F93" w:rsidRDefault="00E24F93" w:rsidP="000021B8">
      <w:r w:rsidRPr="00E24F93">
        <w:t xml:space="preserve">Very high multiples of the clinical plasma AUC </w:t>
      </w:r>
      <w:proofErr w:type="gramStart"/>
      <w:r w:rsidRPr="00E24F93">
        <w:t>were</w:t>
      </w:r>
      <w:proofErr w:type="gramEnd"/>
      <w:r w:rsidRPr="00E24F93">
        <w:t xml:space="preserve"> obtained in animals at the upper dose levels in the studies.</w:t>
      </w:r>
    </w:p>
    <w:p w:rsidR="00E24F93" w:rsidRDefault="0035367F" w:rsidP="003B5481">
      <w:pPr>
        <w:pStyle w:val="TableTitle"/>
      </w:pPr>
      <w:r>
        <w:t xml:space="preserve">Table 3 </w:t>
      </w:r>
      <w:r w:rsidR="00E24F93" w:rsidRPr="00260FDD">
        <w:t>Relative exposure in reproductive toxicity studies with umeclidinium</w:t>
      </w:r>
    </w:p>
    <w:p w:rsidR="00B33F56" w:rsidRDefault="008D58A2" w:rsidP="003B5481">
      <w:r>
        <w:rPr>
          <w:noProof/>
          <w:lang w:eastAsia="en-AU"/>
        </w:rPr>
        <w:drawing>
          <wp:inline distT="0" distB="0" distL="0" distR="0" wp14:anchorId="0A267799" wp14:editId="00C6D684">
            <wp:extent cx="5400040" cy="2130016"/>
            <wp:effectExtent l="0" t="0" r="0" b="3810"/>
            <wp:docPr id="14" name="Picture 14" descr="Table 3 Relative exposure in reproductive toxicity studies with umeclid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130016"/>
                    </a:xfrm>
                    <a:prstGeom prst="rect">
                      <a:avLst/>
                    </a:prstGeom>
                  </pic:spPr>
                </pic:pic>
              </a:graphicData>
            </a:graphic>
          </wp:inline>
        </w:drawing>
      </w:r>
    </w:p>
    <w:p w:rsidR="003B5481" w:rsidRDefault="0001309C" w:rsidP="003B5481">
      <w:pPr>
        <w:pStyle w:val="TableDescription"/>
      </w:pPr>
      <w:r w:rsidRPr="0001309C">
        <w:t>Only data for the highest dose levels and NOELs are shown;</w:t>
      </w:r>
    </w:p>
    <w:p w:rsidR="003B5481" w:rsidRDefault="0001309C" w:rsidP="003B5481">
      <w:pPr>
        <w:pStyle w:val="TableDescription"/>
      </w:pPr>
      <w:r w:rsidRPr="003E77F3">
        <w:t>a</w:t>
      </w:r>
      <w:r w:rsidRPr="0001309C">
        <w:t xml:space="preserve"> = based on data obtained in Study 2011N118595 (rat pre</w:t>
      </w:r>
      <w:r w:rsidRPr="0001309C">
        <w:noBreakHyphen/>
        <w:t>/postnatal development study);</w:t>
      </w:r>
    </w:p>
    <w:p w:rsidR="0001309C" w:rsidRDefault="0001309C" w:rsidP="003B5481">
      <w:pPr>
        <w:pStyle w:val="TableDescription"/>
      </w:pPr>
      <w:r w:rsidRPr="003E77F3">
        <w:t>b</w:t>
      </w:r>
      <w:r w:rsidRPr="0001309C">
        <w:t xml:space="preserve"> = estimated based on extrapolation of data from Study WD2007/02012 (rat 13-week general repeat-dose toxicity)</w:t>
      </w:r>
    </w:p>
    <w:p w:rsidR="00E24F93" w:rsidRPr="00E24F93" w:rsidRDefault="00E24F93" w:rsidP="000021B8">
      <w:r w:rsidRPr="00E24F93">
        <w:t xml:space="preserve">Fertility and early embryonic development were unaffected by </w:t>
      </w:r>
      <w:r w:rsidR="00A54884">
        <w:t>UMEC</w:t>
      </w:r>
      <w:r w:rsidRPr="00E24F93">
        <w:t xml:space="preserve"> in male (</w:t>
      </w:r>
      <w:r w:rsidR="00ED1C56">
        <w:t>≤ </w:t>
      </w:r>
      <w:r w:rsidRPr="00E24F93">
        <w:t>180 </w:t>
      </w:r>
      <w:r w:rsidR="0036175C">
        <w:t>µg</w:t>
      </w:r>
      <w:r w:rsidRPr="00E24F93">
        <w:t>/kg/day SC; estimated relative exposure, 80) and female rats (</w:t>
      </w:r>
      <w:r w:rsidR="0036175C">
        <w:t xml:space="preserve">≤ </w:t>
      </w:r>
      <w:r w:rsidRPr="00E24F93">
        <w:t>294 </w:t>
      </w:r>
      <w:r w:rsidR="0036175C">
        <w:t>µg</w:t>
      </w:r>
      <w:r w:rsidRPr="00E24F93">
        <w:t>/kg/day by inhalation; estimated relative exposure, 53). No adverse effects on embryofetal development were observed with the drug in either rats (</w:t>
      </w:r>
      <w:r w:rsidR="0036175C">
        <w:t xml:space="preserve">≤ </w:t>
      </w:r>
      <w:r w:rsidRPr="00E24F93">
        <w:t xml:space="preserve">278 </w:t>
      </w:r>
      <w:r w:rsidR="0036175C">
        <w:t>µg</w:t>
      </w:r>
      <w:r w:rsidRPr="00E24F93">
        <w:t>/kg/day by inhalation; estimated relative exposure, 50) or rabbits (</w:t>
      </w:r>
      <w:r w:rsidR="0036175C">
        <w:t xml:space="preserve">≤ </w:t>
      </w:r>
      <w:proofErr w:type="gramStart"/>
      <w:r w:rsidRPr="00E24F93">
        <w:t>306 </w:t>
      </w:r>
      <w:r w:rsidR="0036175C">
        <w:t>µg</w:t>
      </w:r>
      <w:r w:rsidR="00743CFE">
        <w:t>/kg/day</w:t>
      </w:r>
      <w:proofErr w:type="gramEnd"/>
      <w:r w:rsidR="00743CFE">
        <w:t xml:space="preserve"> by inhalation (relative exposure, 35)</w:t>
      </w:r>
      <w:r w:rsidRPr="00E24F93">
        <w:t xml:space="preserve"> or </w:t>
      </w:r>
      <w:r w:rsidR="0036175C">
        <w:t xml:space="preserve">≤ </w:t>
      </w:r>
      <w:r w:rsidRPr="00E24F93">
        <w:t>180 </w:t>
      </w:r>
      <w:r w:rsidR="0036175C">
        <w:t>µg</w:t>
      </w:r>
      <w:r w:rsidR="00743CFE">
        <w:t>/kg/day SC (relative exposure, 197)</w:t>
      </w:r>
      <w:r w:rsidRPr="00E24F93">
        <w:t xml:space="preserve">). Placental transfer of </w:t>
      </w:r>
      <w:r w:rsidR="00A54884">
        <w:t>UMEC</w:t>
      </w:r>
      <w:r w:rsidRPr="00E24F93">
        <w:t xml:space="preserve"> was not investigated.</w:t>
      </w:r>
    </w:p>
    <w:p w:rsidR="00E24F93" w:rsidRPr="00E24F93" w:rsidRDefault="00743CFE" w:rsidP="000021B8">
      <w:r>
        <w:t>A pilot</w:t>
      </w:r>
      <w:r w:rsidR="002A434E">
        <w:t xml:space="preserve">, non </w:t>
      </w:r>
      <w:r w:rsidR="00E15620" w:rsidRPr="00E15620">
        <w:t xml:space="preserve">GLP </w:t>
      </w:r>
      <w:r w:rsidR="00E24F93" w:rsidRPr="00E24F93">
        <w:t xml:space="preserve">compliant embryofetal development study was conducted with </w:t>
      </w:r>
      <w:r w:rsidR="00A54884">
        <w:t>UMEC</w:t>
      </w:r>
      <w:r w:rsidR="00E24F93" w:rsidRPr="00E24F93">
        <w:t xml:space="preserve"> and </w:t>
      </w:r>
      <w:r w:rsidR="00A54884">
        <w:t>VI</w:t>
      </w:r>
      <w:r w:rsidR="00E24F93" w:rsidRPr="00E24F93">
        <w:t xml:space="preserve"> in combination in rabbits (100/100 </w:t>
      </w:r>
      <w:r w:rsidR="0036175C">
        <w:t>µg</w:t>
      </w:r>
      <w:r w:rsidR="00E24F93" w:rsidRPr="00E24F93">
        <w:t xml:space="preserve">/kg/day SC). While no adverse effects on embryofetal development were observed, the study is of very limited predictive value given the very small number of animals used and the limited extent of the </w:t>
      </w:r>
      <w:proofErr w:type="spellStart"/>
      <w:r w:rsidR="00E24F93" w:rsidRPr="00E24F93">
        <w:t>fetal</w:t>
      </w:r>
      <w:proofErr w:type="spellEnd"/>
      <w:r w:rsidR="00E24F93" w:rsidRPr="00E24F93">
        <w:t xml:space="preserve"> examination (external only; no visceral or skeletal examination), and no definitive NOEL is considered to have been established.</w:t>
      </w:r>
    </w:p>
    <w:p w:rsidR="00E24F93" w:rsidRPr="00E24F93" w:rsidRDefault="00C67506" w:rsidP="000021B8">
      <w:r>
        <w:t xml:space="preserve">In a pre/postnatal study, pre </w:t>
      </w:r>
      <w:r w:rsidR="00E24F93" w:rsidRPr="00E24F93">
        <w:t xml:space="preserve">weaning body weight was reduced in pups of rats treated with </w:t>
      </w:r>
      <w:r w:rsidR="00A54884">
        <w:t>UMEC</w:t>
      </w:r>
      <w:r w:rsidR="00E24F93" w:rsidRPr="00E24F93">
        <w:t xml:space="preserve"> </w:t>
      </w:r>
      <w:proofErr w:type="gramStart"/>
      <w:r w:rsidR="00E24F93" w:rsidRPr="00E24F93">
        <w:t>at 180 </w:t>
      </w:r>
      <w:r w:rsidR="0036175C">
        <w:t>µg</w:t>
      </w:r>
      <w:r w:rsidR="00E24F93" w:rsidRPr="00E24F93">
        <w:t>/kg/day SC</w:t>
      </w:r>
      <w:proofErr w:type="gramEnd"/>
      <w:r w:rsidR="00E24F93" w:rsidRPr="00E24F93">
        <w:t xml:space="preserve"> during gestation and lactation (relative exposure, 80); no other effects on development were not</w:t>
      </w:r>
      <w:r w:rsidR="001A5CCD">
        <w:t>ed. The NOEL for effects on pre</w:t>
      </w:r>
      <w:r w:rsidR="00E24F93" w:rsidRPr="00E24F93">
        <w:t xml:space="preserve">/postnatal development in the rat was </w:t>
      </w:r>
      <w:proofErr w:type="gramStart"/>
      <w:r w:rsidR="00E24F93" w:rsidRPr="00E24F93">
        <w:t>60 </w:t>
      </w:r>
      <w:r w:rsidR="0036175C">
        <w:t>µg</w:t>
      </w:r>
      <w:r w:rsidR="00E24F93" w:rsidRPr="00E24F93">
        <w:t>/kg/day SC (relative exposure, 26)</w:t>
      </w:r>
      <w:proofErr w:type="gramEnd"/>
      <w:r w:rsidR="00E24F93" w:rsidRPr="00E24F93">
        <w:t xml:space="preserve">. While there were no specific studies investigating excretion of </w:t>
      </w:r>
      <w:r w:rsidR="00A54884">
        <w:t>UMEC</w:t>
      </w:r>
      <w:r w:rsidR="00E24F93" w:rsidRPr="00E24F93">
        <w:t xml:space="preserve"> in milk in animals, the drug was detected in the plasma o</w:t>
      </w:r>
      <w:r w:rsidR="00EB631E">
        <w:t>f 2/54 suckling pups in the pre</w:t>
      </w:r>
      <w:r w:rsidR="00E24F93" w:rsidRPr="00E24F93">
        <w:t>/postnatal development study, suggesting some possible transfer.</w:t>
      </w:r>
    </w:p>
    <w:p w:rsidR="00E24F93" w:rsidRPr="00E24F93" w:rsidRDefault="00E24F93" w:rsidP="000021B8">
      <w:r w:rsidRPr="00E24F93">
        <w:lastRenderedPageBreak/>
        <w:t xml:space="preserve">In previously evaluated studies, </w:t>
      </w:r>
      <w:r w:rsidR="00A54884">
        <w:t>VI</w:t>
      </w:r>
      <w:r w:rsidRPr="00E24F93">
        <w:t xml:space="preserve"> was found to not affect male or female fertility in rats (</w:t>
      </w:r>
      <w:r w:rsidR="0036175C">
        <w:t xml:space="preserve">≤ </w:t>
      </w:r>
      <w:r w:rsidRPr="00E24F93">
        <w:t xml:space="preserve">31500 and </w:t>
      </w:r>
      <w:r w:rsidR="0036175C">
        <w:t xml:space="preserve">≤ </w:t>
      </w:r>
      <w:r w:rsidRPr="00E24F93">
        <w:t xml:space="preserve">37100 </w:t>
      </w:r>
      <w:r w:rsidR="0036175C">
        <w:t>µg</w:t>
      </w:r>
      <w:r w:rsidRPr="00E24F93">
        <w:t>/kg/day by inhalation in the respective sexes; estimated re</w:t>
      </w:r>
      <w:r w:rsidR="009628C6">
        <w:t>lative exposure, 1950 and 2310 (</w:t>
      </w:r>
      <w:r w:rsidRPr="00E24F93">
        <w:t xml:space="preserve">based on plasma </w:t>
      </w:r>
      <w:r w:rsidR="009628C6" w:rsidRPr="009628C6">
        <w:t>AUC</w:t>
      </w:r>
      <w:r w:rsidR="009628C6" w:rsidRPr="009628C6">
        <w:rPr>
          <w:vertAlign w:val="subscript"/>
        </w:rPr>
        <w:t>0-24</w:t>
      </w:r>
      <w:r w:rsidR="00E15620">
        <w:rPr>
          <w:vertAlign w:val="subscript"/>
        </w:rPr>
        <w:t xml:space="preserve"> </w:t>
      </w:r>
      <w:r w:rsidR="009628C6" w:rsidRPr="009628C6">
        <w:rPr>
          <w:vertAlign w:val="subscript"/>
        </w:rPr>
        <w:t>h</w:t>
      </w:r>
      <w:r w:rsidR="00EB631E">
        <w:t xml:space="preserve"> values of 1200 and 1420 </w:t>
      </w:r>
      <w:proofErr w:type="spellStart"/>
      <w:r w:rsidRPr="00E24F93">
        <w:t>ng·h</w:t>
      </w:r>
      <w:proofErr w:type="spellEnd"/>
      <w:r w:rsidRPr="00E24F93">
        <w:t>/</w:t>
      </w:r>
      <w:r w:rsidR="00F705C7">
        <w:t>mL</w:t>
      </w:r>
      <w:r w:rsidRPr="00E24F93">
        <w:t xml:space="preserve"> in animals, extrapolated from data obtaine</w:t>
      </w:r>
      <w:r w:rsidR="00EB631E">
        <w:t xml:space="preserve">d in </w:t>
      </w:r>
      <w:r w:rsidR="00A96E8F">
        <w:t>Study</w:t>
      </w:r>
      <w:r w:rsidR="00EB631E">
        <w:t xml:space="preserve"> WD2006/01716 (rat 13 </w:t>
      </w:r>
      <w:r w:rsidRPr="00E24F93">
        <w:t>week gene</w:t>
      </w:r>
      <w:r w:rsidR="00EB631E">
        <w:t xml:space="preserve">ral repeat </w:t>
      </w:r>
      <w:r w:rsidR="009628C6">
        <w:t>dose toxicity study))</w:t>
      </w:r>
      <w:r w:rsidRPr="00E24F93">
        <w:t xml:space="preserve">). Slight delays in ossification were observed in </w:t>
      </w:r>
      <w:proofErr w:type="spellStart"/>
      <w:r w:rsidRPr="00E24F93">
        <w:t>fetuses</w:t>
      </w:r>
      <w:proofErr w:type="spellEnd"/>
      <w:r w:rsidRPr="00E24F93">
        <w:t xml:space="preserve"> of rats treated with the drug at </w:t>
      </w:r>
      <w:r w:rsidR="0036175C">
        <w:t xml:space="preserve">≥ </w:t>
      </w:r>
      <w:r w:rsidRPr="00E24F93">
        <w:t>613 </w:t>
      </w:r>
      <w:r w:rsidR="0036175C">
        <w:t>µg</w:t>
      </w:r>
      <w:r w:rsidRPr="00E24F93">
        <w:t>/kg/day by inhalation (e</w:t>
      </w:r>
      <w:r w:rsidR="00EB631E">
        <w:t>stimated relative exposure, 59 (</w:t>
      </w:r>
      <w:r w:rsidRPr="00E24F93">
        <w:t xml:space="preserve">based on a </w:t>
      </w:r>
      <w:r w:rsidR="00E15620" w:rsidRPr="00E15620">
        <w:t>plasma AUC</w:t>
      </w:r>
      <w:r w:rsidR="00E15620" w:rsidRPr="00E15620">
        <w:rPr>
          <w:vertAlign w:val="subscript"/>
        </w:rPr>
        <w:t>0-24 h</w:t>
      </w:r>
      <w:r w:rsidR="00EB631E" w:rsidRPr="00EB631E">
        <w:t xml:space="preserve"> </w:t>
      </w:r>
      <w:r w:rsidRPr="00E24F93">
        <w:t>of 36.5 </w:t>
      </w:r>
      <w:proofErr w:type="spellStart"/>
      <w:r w:rsidRPr="00E24F93">
        <w:t>ng·h</w:t>
      </w:r>
      <w:proofErr w:type="spellEnd"/>
      <w:r w:rsidRPr="00E24F93">
        <w:t>/</w:t>
      </w:r>
      <w:r w:rsidR="00F705C7">
        <w:t>mL</w:t>
      </w:r>
      <w:r w:rsidRPr="00E24F93">
        <w:t xml:space="preserve">, extrapolated from data obtained in Study WD2006/01716), occurring in conjunction with maternal toxicity; relative exposure at the NOEL (45.4 </w:t>
      </w:r>
      <w:r w:rsidR="0036175C">
        <w:t>µg</w:t>
      </w:r>
      <w:r w:rsidRPr="00E24F93">
        <w:t xml:space="preserve">/kg/day) is estimated to be </w:t>
      </w:r>
      <w:r w:rsidR="009442C3">
        <w:t>approximately</w:t>
      </w:r>
      <w:r w:rsidR="00276B4A">
        <w:t xml:space="preserve"> </w:t>
      </w:r>
      <w:r w:rsidR="00EB631E">
        <w:t xml:space="preserve">4. Various abnormalities, </w:t>
      </w:r>
      <w:r w:rsidRPr="00E24F93">
        <w:t>including cleft palate, open</w:t>
      </w:r>
      <w:r w:rsidR="00EB631E">
        <w:t xml:space="preserve"> eyelids and limb </w:t>
      </w:r>
      <w:proofErr w:type="spellStart"/>
      <w:r w:rsidR="00EB631E">
        <w:t>malrotation</w:t>
      </w:r>
      <w:proofErr w:type="spellEnd"/>
      <w:r w:rsidR="00EB631E">
        <w:t xml:space="preserve">, </w:t>
      </w:r>
      <w:r w:rsidRPr="00E24F93">
        <w:t xml:space="preserve">were observed in </w:t>
      </w:r>
      <w:proofErr w:type="spellStart"/>
      <w:r w:rsidRPr="00E24F93">
        <w:t>fetuses</w:t>
      </w:r>
      <w:proofErr w:type="spellEnd"/>
      <w:r w:rsidRPr="00E24F93">
        <w:t xml:space="preserve"> of rabbits treated with </w:t>
      </w:r>
      <w:r w:rsidR="00A54884">
        <w:t>VI</w:t>
      </w:r>
      <w:r w:rsidRPr="00E24F93">
        <w:t xml:space="preserve"> by inhalation (</w:t>
      </w:r>
      <w:r w:rsidR="0036175C">
        <w:t xml:space="preserve">≥ </w:t>
      </w:r>
      <w:r w:rsidRPr="00E24F93">
        <w:t>62.7 </w:t>
      </w:r>
      <w:r w:rsidR="0036175C">
        <w:t>µg</w:t>
      </w:r>
      <w:r w:rsidR="00EB631E">
        <w:t>/kg/day; relative exposure, 6 (</w:t>
      </w:r>
      <w:r w:rsidRPr="00E24F93">
        <w:t>based on an animal p</w:t>
      </w:r>
      <w:r w:rsidR="00EB631E">
        <w:t xml:space="preserve">lasma </w:t>
      </w:r>
      <w:r w:rsidR="00EB631E" w:rsidRPr="00EB631E">
        <w:t>AUC</w:t>
      </w:r>
      <w:r w:rsidR="00EB631E" w:rsidRPr="00EB631E">
        <w:rPr>
          <w:vertAlign w:val="subscript"/>
        </w:rPr>
        <w:t>0-24</w:t>
      </w:r>
      <w:r w:rsidR="00E15620">
        <w:rPr>
          <w:vertAlign w:val="subscript"/>
        </w:rPr>
        <w:t xml:space="preserve"> </w:t>
      </w:r>
      <w:r w:rsidR="00EB631E" w:rsidRPr="00EB631E">
        <w:rPr>
          <w:vertAlign w:val="subscript"/>
        </w:rPr>
        <w:t>h</w:t>
      </w:r>
      <w:r w:rsidR="00EB631E" w:rsidRPr="00EB631E">
        <w:t xml:space="preserve"> </w:t>
      </w:r>
      <w:r w:rsidR="00EB631E">
        <w:t xml:space="preserve">of 3.76 </w:t>
      </w:r>
      <w:proofErr w:type="spellStart"/>
      <w:r w:rsidR="00EB631E">
        <w:t>ng·h</w:t>
      </w:r>
      <w:proofErr w:type="spellEnd"/>
      <w:r w:rsidR="00EB631E">
        <w:t>/</w:t>
      </w:r>
      <w:r w:rsidR="00F705C7">
        <w:t>mL</w:t>
      </w:r>
      <w:r w:rsidR="00EB631E">
        <w:t>)</w:t>
      </w:r>
      <w:r w:rsidRPr="00E24F93">
        <w:t xml:space="preserve">). </w:t>
      </w:r>
      <w:proofErr w:type="spellStart"/>
      <w:r w:rsidRPr="00E24F93">
        <w:t>Fetal</w:t>
      </w:r>
      <w:proofErr w:type="spellEnd"/>
      <w:r w:rsidRPr="00E24F93">
        <w:t xml:space="preserve"> malformations were also seen in the rabbit with SC administration of </w:t>
      </w:r>
      <w:r w:rsidR="00A54884">
        <w:t>VI</w:t>
      </w:r>
      <w:r w:rsidRPr="00E24F93">
        <w:t xml:space="preserve"> at 300 µg/</w:t>
      </w:r>
      <w:r w:rsidR="00EB631E">
        <w:t>kg/day (relative exposure, 498 (</w:t>
      </w:r>
      <w:r w:rsidRPr="00E24F93">
        <w:t xml:space="preserve">based on an animal plasma </w:t>
      </w:r>
      <w:r w:rsidR="00EB631E" w:rsidRPr="00EB631E">
        <w:t>AUC</w:t>
      </w:r>
      <w:r w:rsidR="00EB631E" w:rsidRPr="00EB631E">
        <w:rPr>
          <w:vertAlign w:val="subscript"/>
        </w:rPr>
        <w:t>0-24</w:t>
      </w:r>
      <w:r w:rsidR="00E15620">
        <w:rPr>
          <w:vertAlign w:val="subscript"/>
        </w:rPr>
        <w:t xml:space="preserve"> </w:t>
      </w:r>
      <w:r w:rsidR="00EB631E" w:rsidRPr="00EB631E">
        <w:rPr>
          <w:vertAlign w:val="subscript"/>
        </w:rPr>
        <w:t>h</w:t>
      </w:r>
      <w:r w:rsidR="00EB631E" w:rsidRPr="00EB631E">
        <w:t xml:space="preserve"> </w:t>
      </w:r>
      <w:r w:rsidR="00EB631E">
        <w:t xml:space="preserve">of 306 </w:t>
      </w:r>
      <w:proofErr w:type="spellStart"/>
      <w:r w:rsidR="00EB631E">
        <w:t>ng·h</w:t>
      </w:r>
      <w:proofErr w:type="spellEnd"/>
      <w:r w:rsidR="00EB631E">
        <w:t>/</w:t>
      </w:r>
      <w:r w:rsidR="00F705C7">
        <w:t>mL</w:t>
      </w:r>
      <w:r w:rsidR="00EB631E">
        <w:t>)</w:t>
      </w:r>
      <w:r w:rsidRPr="00E24F93">
        <w:t>), but no adverse effects on embryofetal development were evident in the rabbit at 30 µg/kg</w:t>
      </w:r>
      <w:r w:rsidR="00EB631E">
        <w:t>/day SC (relative exposure, 36 (</w:t>
      </w:r>
      <w:r w:rsidRPr="00E24F93">
        <w:t xml:space="preserve">based on an animal plasma </w:t>
      </w:r>
      <w:r w:rsidR="00EB631E" w:rsidRPr="00EB631E">
        <w:t>AUC</w:t>
      </w:r>
      <w:r w:rsidR="00EB631E" w:rsidRPr="00EB631E">
        <w:rPr>
          <w:vertAlign w:val="subscript"/>
        </w:rPr>
        <w:t>0-24</w:t>
      </w:r>
      <w:r w:rsidR="00E15620">
        <w:rPr>
          <w:vertAlign w:val="subscript"/>
        </w:rPr>
        <w:t xml:space="preserve"> </w:t>
      </w:r>
      <w:r w:rsidR="00EB631E" w:rsidRPr="00EB631E">
        <w:rPr>
          <w:vertAlign w:val="subscript"/>
        </w:rPr>
        <w:t>h</w:t>
      </w:r>
      <w:r w:rsidR="00EB631E" w:rsidRPr="00EB631E">
        <w:t xml:space="preserve"> </w:t>
      </w:r>
      <w:r w:rsidR="00EB631E">
        <w:t xml:space="preserve">of 22.4 </w:t>
      </w:r>
      <w:proofErr w:type="spellStart"/>
      <w:r w:rsidR="00EB631E">
        <w:t>ng·h</w:t>
      </w:r>
      <w:proofErr w:type="spellEnd"/>
      <w:r w:rsidR="00EB631E">
        <w:t>/</w:t>
      </w:r>
      <w:r w:rsidR="00F705C7">
        <w:t>mL</w:t>
      </w:r>
      <w:r w:rsidR="00EB631E">
        <w:t>)). Effects on pre</w:t>
      </w:r>
      <w:r w:rsidRPr="00E24F93">
        <w:t xml:space="preserve">/postnatal development in rats treated with </w:t>
      </w:r>
      <w:r w:rsidR="00A54884">
        <w:t>VI</w:t>
      </w:r>
      <w:r w:rsidRPr="00E24F93">
        <w:t xml:space="preserve"> were limited to a slight decrease in pup</w:t>
      </w:r>
      <w:r w:rsidR="006F6218">
        <w:t xml:space="preserve"> body weight (at 3 to </w:t>
      </w:r>
      <w:r w:rsidR="00870FE3">
        <w:t>10 mg/kg/day oral</w:t>
      </w:r>
      <w:r w:rsidRPr="00E24F93">
        <w:t>).</w:t>
      </w:r>
    </w:p>
    <w:p w:rsidR="00E24F93" w:rsidRPr="00E24F93" w:rsidRDefault="00E24F93" w:rsidP="000021B8">
      <w:pPr>
        <w:pStyle w:val="Heading6"/>
      </w:pPr>
      <w:r w:rsidRPr="00E24F93">
        <w:t>Pregnancy classification</w:t>
      </w:r>
    </w:p>
    <w:p w:rsidR="00E24F93" w:rsidRPr="00E24F93" w:rsidRDefault="00E24F93" w:rsidP="000021B8">
      <w:r w:rsidRPr="00E24F93">
        <w:t>The sponsor has proposed Pregnancy Category B3</w:t>
      </w:r>
      <w:r w:rsidR="00EB631E">
        <w:rPr>
          <w:rStyle w:val="FootnoteReference"/>
        </w:rPr>
        <w:footnoteReference w:id="7"/>
      </w:r>
      <w:r w:rsidR="00E15620">
        <w:t xml:space="preserve"> </w:t>
      </w:r>
      <w:r w:rsidR="00E15620" w:rsidRPr="00E15620">
        <w:t xml:space="preserve">for the use of </w:t>
      </w:r>
      <w:proofErr w:type="spellStart"/>
      <w:r w:rsidR="00E15620" w:rsidRPr="00E15620">
        <w:t>Anoro</w:t>
      </w:r>
      <w:proofErr w:type="spellEnd"/>
      <w:r w:rsidR="00E15620" w:rsidRPr="00E15620">
        <w:t xml:space="preserve"> </w:t>
      </w:r>
      <w:proofErr w:type="spellStart"/>
      <w:r w:rsidR="00E15620" w:rsidRPr="00E15620">
        <w:t>Ellipta</w:t>
      </w:r>
      <w:proofErr w:type="spellEnd"/>
      <w:r w:rsidR="00E15620" w:rsidRPr="00E15620">
        <w:t xml:space="preserve"> in pregnancy.</w:t>
      </w:r>
      <w:r w:rsidRPr="00E24F93">
        <w:t xml:space="preserve"> This category is considered appropriate given the available data from animal studies which showed </w:t>
      </w:r>
      <w:proofErr w:type="spellStart"/>
      <w:r w:rsidRPr="00E24F93">
        <w:t>fetal</w:t>
      </w:r>
      <w:proofErr w:type="spellEnd"/>
      <w:r w:rsidRPr="00E24F93">
        <w:t xml:space="preserve"> damage (including malformations) with </w:t>
      </w:r>
      <w:r w:rsidR="00A54884">
        <w:t>VI</w:t>
      </w:r>
      <w:r w:rsidRPr="00E24F93">
        <w:t>, albeit mostly at high relative exposure margins.</w:t>
      </w:r>
    </w:p>
    <w:p w:rsidR="00E24F93" w:rsidRPr="00E24F93" w:rsidRDefault="00E24F93" w:rsidP="000021B8">
      <w:pPr>
        <w:pStyle w:val="Heading5"/>
      </w:pPr>
      <w:r w:rsidRPr="00E24F93">
        <w:t>Immunotoxicity</w:t>
      </w:r>
    </w:p>
    <w:p w:rsidR="00E24F93" w:rsidRPr="00E24F93" w:rsidRDefault="00E24F93" w:rsidP="000021B8">
      <w:r w:rsidRPr="00E24F93">
        <w:t>No specialised immunotoxicity study was conducted. This is acceptable given the absence of findings to suggest immunotoxicity in the g</w:t>
      </w:r>
      <w:r w:rsidR="00EB631E">
        <w:t xml:space="preserve">eneral repeat </w:t>
      </w:r>
      <w:r w:rsidRPr="00E24F93">
        <w:t>dose toxicity studies.</w:t>
      </w:r>
    </w:p>
    <w:p w:rsidR="00E24F93" w:rsidRPr="00E24F93" w:rsidRDefault="00E24F93" w:rsidP="000021B8">
      <w:pPr>
        <w:pStyle w:val="Heading5"/>
        <w:rPr>
          <w:rFonts w:eastAsia="Cambria"/>
        </w:rPr>
      </w:pPr>
      <w:r w:rsidRPr="00E24F93">
        <w:rPr>
          <w:rFonts w:eastAsia="Cambria"/>
        </w:rPr>
        <w:t>Local tolerance and antigenicity</w:t>
      </w:r>
    </w:p>
    <w:p w:rsidR="00E24F93" w:rsidRPr="00E24F93" w:rsidRDefault="00E24F93" w:rsidP="000021B8">
      <w:r w:rsidRPr="00E24F93">
        <w:t>Consistent with findings showing local irritant activity with inhalational and oral admin</w:t>
      </w:r>
      <w:r w:rsidR="00EB631E">
        <w:t xml:space="preserve">istration in the general repeat </w:t>
      </w:r>
      <w:r w:rsidRPr="00E24F93">
        <w:t xml:space="preserve">dose toxicity studies, </w:t>
      </w:r>
      <w:r w:rsidR="00A54884">
        <w:t>UMEC</w:t>
      </w:r>
      <w:r w:rsidRPr="00E24F93">
        <w:t xml:space="preserve"> was found to be a mild to moderate skin irritant (rabbit in vivo; human in vitro) and a mild to moderate ocular irritant (human in vitro). Umeclidinium was shown to not be a skin sensitiser (mouse local lymph node assay).</w:t>
      </w:r>
    </w:p>
    <w:p w:rsidR="00E24F93" w:rsidRPr="00E24F93" w:rsidRDefault="00E24F93" w:rsidP="000021B8">
      <w:pPr>
        <w:pStyle w:val="Heading5"/>
      </w:pPr>
      <w:r w:rsidRPr="00E24F93">
        <w:t>Paediatric use</w:t>
      </w:r>
    </w:p>
    <w:p w:rsidR="00E24F93" w:rsidRPr="00E24F93" w:rsidRDefault="00EB631E" w:rsidP="000021B8">
      <w:proofErr w:type="spellStart"/>
      <w:r>
        <w:t>Anoro</w:t>
      </w:r>
      <w:proofErr w:type="spellEnd"/>
      <w:r>
        <w:t xml:space="preserve"> </w:t>
      </w:r>
      <w:proofErr w:type="spellStart"/>
      <w:r>
        <w:t>Ellipta</w:t>
      </w:r>
      <w:proofErr w:type="spellEnd"/>
      <w:r w:rsidR="00E24F93" w:rsidRPr="00E24F93">
        <w:t xml:space="preserve"> is not proposed for paediatric use and no specific studies in juvenile animals with </w:t>
      </w:r>
      <w:r w:rsidR="00A54884">
        <w:t>UMEC</w:t>
      </w:r>
      <w:r w:rsidR="00E24F93" w:rsidRPr="00E24F93">
        <w:t xml:space="preserve"> alone or in combination with </w:t>
      </w:r>
      <w:r w:rsidR="00A54884">
        <w:t>VI</w:t>
      </w:r>
      <w:r w:rsidR="00E24F93" w:rsidRPr="00E24F93">
        <w:t xml:space="preserve"> were submitted.</w:t>
      </w:r>
    </w:p>
    <w:p w:rsidR="00657F6A" w:rsidRPr="00657F6A" w:rsidRDefault="00657F6A" w:rsidP="000021B8">
      <w:pPr>
        <w:pStyle w:val="Heading3"/>
      </w:pPr>
      <w:bookmarkStart w:id="63" w:name="_Toc420577601"/>
      <w:r w:rsidRPr="00657F6A">
        <w:t>Impurities</w:t>
      </w:r>
      <w:bookmarkEnd w:id="63"/>
    </w:p>
    <w:p w:rsidR="00657F6A" w:rsidRDefault="00657F6A" w:rsidP="000021B8">
      <w:r>
        <w:t>Proposed impurity limits are considered to be acceptable from a toxicological perspective, based on application of the TTC (threshold of toxicological concern) principle.</w:t>
      </w:r>
    </w:p>
    <w:p w:rsidR="00657F6A" w:rsidRPr="00657F6A" w:rsidRDefault="00EB631E" w:rsidP="000021B8">
      <w:pPr>
        <w:pStyle w:val="Heading4"/>
      </w:pPr>
      <w:r>
        <w:t>Excipient:</w:t>
      </w:r>
      <w:r w:rsidR="00657F6A" w:rsidRPr="00657F6A">
        <w:t xml:space="preserve"> magnesium stearate</w:t>
      </w:r>
    </w:p>
    <w:p w:rsidR="00657F6A" w:rsidRPr="00657F6A" w:rsidRDefault="00657F6A" w:rsidP="000021B8">
      <w:r w:rsidRPr="00657F6A">
        <w:t>Magnesium stearate is included as an excipient in the product. The dose of magne</w:t>
      </w:r>
      <w:r w:rsidR="00EB631E">
        <w:t>sium stearate pr</w:t>
      </w:r>
      <w:r w:rsidR="002A434E">
        <w:t xml:space="preserve">ovided by </w:t>
      </w:r>
      <w:proofErr w:type="spellStart"/>
      <w:r w:rsidR="002A434E">
        <w:t>Anoro</w:t>
      </w:r>
      <w:proofErr w:type="spellEnd"/>
      <w:r w:rsidR="002A434E">
        <w:t xml:space="preserve"> </w:t>
      </w:r>
      <w:proofErr w:type="spellStart"/>
      <w:r w:rsidR="002A434E">
        <w:t>Ellipta</w:t>
      </w:r>
      <w:proofErr w:type="spellEnd"/>
      <w:r w:rsidR="002A434E">
        <w:t xml:space="preserve"> therapy of</w:t>
      </w:r>
      <w:r w:rsidR="00EB631E">
        <w:t xml:space="preserve"> </w:t>
      </w:r>
      <w:r w:rsidRPr="00657F6A">
        <w:t xml:space="preserve">200 </w:t>
      </w:r>
      <w:r w:rsidR="0036175C">
        <w:t>µg</w:t>
      </w:r>
      <w:r w:rsidR="00EB631E">
        <w:t>/</w:t>
      </w:r>
      <w:proofErr w:type="gramStart"/>
      <w:r w:rsidR="00EB631E">
        <w:t>day,</w:t>
      </w:r>
      <w:proofErr w:type="gramEnd"/>
      <w:r w:rsidR="00EB631E">
        <w:t xml:space="preserve"> </w:t>
      </w:r>
      <w:r w:rsidRPr="00657F6A">
        <w:t xml:space="preserve">is higher than for existing </w:t>
      </w:r>
      <w:r w:rsidRPr="00657F6A">
        <w:lastRenderedPageBreak/>
        <w:t>inhalational products (37 </w:t>
      </w:r>
      <w:r w:rsidR="0036175C">
        <w:t>µg</w:t>
      </w:r>
      <w:r w:rsidR="00EB631E">
        <w:t xml:space="preserve">/day with </w:t>
      </w:r>
      <w:proofErr w:type="spellStart"/>
      <w:r w:rsidR="00EB631E">
        <w:t>Seebri</w:t>
      </w:r>
      <w:proofErr w:type="spellEnd"/>
      <w:r w:rsidR="00EB631E">
        <w:t>/</w:t>
      </w:r>
      <w:proofErr w:type="spellStart"/>
      <w:r w:rsidR="00EB631E">
        <w:t>Tovanor</w:t>
      </w:r>
      <w:proofErr w:type="spellEnd"/>
      <w:r w:rsidR="00EB631E">
        <w:t xml:space="preserve"> </w:t>
      </w:r>
      <w:proofErr w:type="spellStart"/>
      <w:r w:rsidR="00EB631E">
        <w:t>Breezhaler</w:t>
      </w:r>
      <w:proofErr w:type="spellEnd"/>
      <w:r w:rsidRPr="00657F6A">
        <w:t>; 125 </w:t>
      </w:r>
      <w:r w:rsidR="0036175C">
        <w:t>µg</w:t>
      </w:r>
      <w:r w:rsidR="00276B4A">
        <w:t xml:space="preserve">/day with </w:t>
      </w:r>
      <w:proofErr w:type="spellStart"/>
      <w:r w:rsidR="00276B4A">
        <w:t>Breo</w:t>
      </w:r>
      <w:proofErr w:type="spellEnd"/>
      <w:r w:rsidR="00EB631E">
        <w:t> </w:t>
      </w:r>
      <w:proofErr w:type="spellStart"/>
      <w:r w:rsidR="00EB631E">
        <w:t>Ellipta</w:t>
      </w:r>
      <w:proofErr w:type="spellEnd"/>
      <w:r w:rsidRPr="00657F6A">
        <w:t xml:space="preserve">). Previously evaluated studies have </w:t>
      </w:r>
      <w:r w:rsidR="00276B4A" w:rsidRPr="00276B4A">
        <w:t>established no observed adverse effect levels (NOAELs)</w:t>
      </w:r>
      <w:r w:rsidRPr="00657F6A">
        <w:t xml:space="preserve"> of 1.648 mg/kg/day for magnesium stearate by th</w:t>
      </w:r>
      <w:r w:rsidR="00EB631E">
        <w:t xml:space="preserve">e inhalational route in rats (6 </w:t>
      </w:r>
      <w:r w:rsidRPr="00657F6A">
        <w:t>month study; featuring microscopic examination of respiratory tract tissues</w:t>
      </w:r>
      <w:r w:rsidR="00EB631E">
        <w:t xml:space="preserve">) and 10 mg/kg/day for dogs (12 </w:t>
      </w:r>
      <w:r w:rsidRPr="00657F6A">
        <w:t xml:space="preserve">month study; microscopic examination of respiratory and other tissues). Using the same lung weight, body weight and deposition factors assumed for </w:t>
      </w:r>
      <w:r w:rsidR="00A54884">
        <w:t>UMEC</w:t>
      </w:r>
      <w:r w:rsidRPr="00657F6A">
        <w:t xml:space="preserve"> earlier, these doses yield local exposure to magnesium stearate a</w:t>
      </w:r>
      <w:r w:rsidR="00C67506">
        <w:t xml:space="preserve">lmost 140 times (rats) and 1140 </w:t>
      </w:r>
      <w:r w:rsidRPr="00657F6A">
        <w:t xml:space="preserve">times (dogs) higher than the clinical dose. Accordingly, no safety concern is considered to be posed by magnesium stearate at a dose </w:t>
      </w:r>
      <w:proofErr w:type="gramStart"/>
      <w:r w:rsidRPr="00657F6A">
        <w:t xml:space="preserve">of 200 </w:t>
      </w:r>
      <w:r w:rsidR="0036175C">
        <w:t>µg</w:t>
      </w:r>
      <w:r w:rsidRPr="00657F6A">
        <w:t>/day</w:t>
      </w:r>
      <w:proofErr w:type="gramEnd"/>
      <w:r w:rsidRPr="00657F6A">
        <w:t xml:space="preserve"> by inhalation in humans.</w:t>
      </w:r>
    </w:p>
    <w:p w:rsidR="00657F6A" w:rsidRPr="00657F6A" w:rsidRDefault="00657F6A" w:rsidP="008C62CF">
      <w:pPr>
        <w:pStyle w:val="Heading3"/>
      </w:pPr>
      <w:bookmarkStart w:id="64" w:name="_Toc295290868"/>
      <w:bookmarkStart w:id="65" w:name="_Toc378680712"/>
      <w:bookmarkStart w:id="66" w:name="_Toc420577602"/>
      <w:r w:rsidRPr="00657F6A">
        <w:t xml:space="preserve">Comments on the </w:t>
      </w:r>
      <w:r w:rsidR="003B5481" w:rsidRPr="008C62CF">
        <w:t>s</w:t>
      </w:r>
      <w:r w:rsidRPr="008C62CF">
        <w:t>afety</w:t>
      </w:r>
      <w:r w:rsidRPr="00657F6A">
        <w:t xml:space="preserve"> </w:t>
      </w:r>
      <w:r w:rsidR="003B5481">
        <w:t>s</w:t>
      </w:r>
      <w:r w:rsidRPr="00657F6A">
        <w:t xml:space="preserve">pecification of the </w:t>
      </w:r>
      <w:r w:rsidR="003B5481">
        <w:t>r</w:t>
      </w:r>
      <w:r w:rsidRPr="00657F6A">
        <w:t xml:space="preserve">isk </w:t>
      </w:r>
      <w:r w:rsidR="003B5481">
        <w:t>m</w:t>
      </w:r>
      <w:r w:rsidRPr="00657F6A">
        <w:t xml:space="preserve">anagement </w:t>
      </w:r>
      <w:r w:rsidR="003B5481">
        <w:t>p</w:t>
      </w:r>
      <w:r w:rsidRPr="00657F6A">
        <w:t>lan</w:t>
      </w:r>
      <w:bookmarkEnd w:id="64"/>
      <w:bookmarkEnd w:id="65"/>
      <w:bookmarkEnd w:id="66"/>
    </w:p>
    <w:p w:rsidR="00657F6A" w:rsidRDefault="00657F6A" w:rsidP="000021B8">
      <w:r w:rsidRPr="00657F6A">
        <w:t xml:space="preserve">Results and conclusions drawn from the nonclinical program for </w:t>
      </w:r>
      <w:r w:rsidR="00A54884">
        <w:t>UMEC</w:t>
      </w:r>
      <w:r w:rsidRPr="00657F6A">
        <w:t>/</w:t>
      </w:r>
      <w:r w:rsidR="00A54884">
        <w:t>VI</w:t>
      </w:r>
      <w:r w:rsidRPr="00657F6A">
        <w:t xml:space="preserve"> detailed in the sponsor’s draft Risk Manage</w:t>
      </w:r>
      <w:r w:rsidR="00EB631E">
        <w:t>ment Plan (Part II, Module SII (version 2.0)</w:t>
      </w:r>
      <w:r w:rsidRPr="00657F6A">
        <w:t>) are in general concordan</w:t>
      </w:r>
      <w:r w:rsidR="00276B4A">
        <w:t>ce with those of the nonclinical e</w:t>
      </w:r>
      <w:r w:rsidRPr="00657F6A">
        <w:t>valuator.</w:t>
      </w:r>
    </w:p>
    <w:p w:rsidR="00244213" w:rsidRPr="00244213" w:rsidRDefault="00244213" w:rsidP="000021B8">
      <w:pPr>
        <w:pStyle w:val="Heading3"/>
      </w:pPr>
      <w:bookmarkStart w:id="67" w:name="_Toc420577603"/>
      <w:r w:rsidRPr="00244213">
        <w:t>Nonclinical summary and conclusions</w:t>
      </w:r>
      <w:bookmarkEnd w:id="67"/>
    </w:p>
    <w:p w:rsidR="00244213" w:rsidRDefault="00244213" w:rsidP="000021B8">
      <w:pPr>
        <w:pStyle w:val="Heading4"/>
      </w:pPr>
      <w:bookmarkStart w:id="68" w:name="_Toc294861478"/>
      <w:bookmarkStart w:id="69" w:name="_Toc295290861"/>
      <w:bookmarkStart w:id="70" w:name="_Toc378680705"/>
      <w:r w:rsidRPr="00244213">
        <w:t>Summary</w:t>
      </w:r>
      <w:bookmarkEnd w:id="68"/>
      <w:bookmarkEnd w:id="69"/>
      <w:bookmarkEnd w:id="70"/>
    </w:p>
    <w:p w:rsidR="00276B4A" w:rsidRPr="00276B4A" w:rsidRDefault="00276B4A" w:rsidP="000021B8">
      <w:pPr>
        <w:pStyle w:val="ListBullet"/>
      </w:pPr>
      <w:r w:rsidRPr="00641A62">
        <w:t xml:space="preserve">Umeclidinium bromide is a new chemical entity. Vilanterol trifenatate </w:t>
      </w:r>
      <w:r>
        <w:t>wa</w:t>
      </w:r>
      <w:r w:rsidRPr="00641A62">
        <w:t>s not yet registered</w:t>
      </w:r>
      <w:r>
        <w:t xml:space="preserve"> at the time this report was prepared</w:t>
      </w:r>
      <w:r w:rsidRPr="00641A62">
        <w:t xml:space="preserve">, but has been evaluated in an earlier application to register it in combination with fluticasone </w:t>
      </w:r>
      <w:proofErr w:type="spellStart"/>
      <w:r w:rsidRPr="00641A62">
        <w:t>furoate</w:t>
      </w:r>
      <w:proofErr w:type="spellEnd"/>
      <w:r w:rsidRPr="00641A62">
        <w:t xml:space="preserve"> (in COPD and asthma patients at the same dose as proposed here). While previously evaluated data for </w:t>
      </w:r>
      <w:r w:rsidR="00A54884">
        <w:t>VI</w:t>
      </w:r>
      <w:r w:rsidRPr="00641A62">
        <w:t xml:space="preserve"> were included in the </w:t>
      </w:r>
      <w:r w:rsidRPr="008C62CF">
        <w:t>c</w:t>
      </w:r>
      <w:r w:rsidRPr="00641A62">
        <w:t>urrent dossier</w:t>
      </w:r>
      <w:r>
        <w:t xml:space="preserve">, the </w:t>
      </w:r>
      <w:proofErr w:type="spellStart"/>
      <w:r>
        <w:t>non clinical</w:t>
      </w:r>
      <w:proofErr w:type="spellEnd"/>
      <w:r w:rsidRPr="00641A62">
        <w:t xml:space="preserve"> </w:t>
      </w:r>
      <w:r>
        <w:t xml:space="preserve">evaluation </w:t>
      </w:r>
      <w:r w:rsidRPr="00641A62">
        <w:t xml:space="preserve">report focuses on the data relating to </w:t>
      </w:r>
      <w:r w:rsidR="00A54884">
        <w:t>UMEC</w:t>
      </w:r>
      <w:r w:rsidRPr="00641A62">
        <w:t xml:space="preserve"> as a new chemical entity</w:t>
      </w:r>
      <w:r w:rsidR="003B5481">
        <w:t xml:space="preserve"> and for the novel combination.</w:t>
      </w:r>
    </w:p>
    <w:p w:rsidR="00244213" w:rsidRPr="00244213" w:rsidRDefault="00244213" w:rsidP="000021B8">
      <w:pPr>
        <w:pStyle w:val="ListBullet"/>
      </w:pPr>
      <w:r w:rsidRPr="00244213">
        <w:t>The nonclinical dossier was of h</w:t>
      </w:r>
      <w:r w:rsidR="006F6218">
        <w:t xml:space="preserve">igh quality. All pivotal safety </w:t>
      </w:r>
      <w:r w:rsidRPr="00244213">
        <w:t>related studies were conducted under GLP conditions.</w:t>
      </w:r>
    </w:p>
    <w:p w:rsidR="00244213" w:rsidRPr="00244213" w:rsidRDefault="00244213" w:rsidP="000021B8">
      <w:pPr>
        <w:pStyle w:val="ListBullet"/>
      </w:pPr>
      <w:r w:rsidRPr="00244213">
        <w:t xml:space="preserve">Umeclidinium is a competitive muscarinic receptor antagonist with sub </w:t>
      </w:r>
      <w:proofErr w:type="spellStart"/>
      <w:r w:rsidRPr="00244213">
        <w:t>nanomolar</w:t>
      </w:r>
      <w:proofErr w:type="spellEnd"/>
      <w:r w:rsidRPr="00244213">
        <w:t xml:space="preserve"> affinity across all five human muscarinic receptor subtypes. The rate of dissociation from the M</w:t>
      </w:r>
      <w:r w:rsidRPr="00276B4A">
        <w:rPr>
          <w:vertAlign w:val="subscript"/>
        </w:rPr>
        <w:t>3</w:t>
      </w:r>
      <w:r w:rsidRPr="00244213">
        <w:t xml:space="preserve"> receptor (the muscarinic subtype mainly mediating bronchoconstriction) was slow. Long lasting antagonism of cholinergic agonist induced contraction was shown for the drug in vitro in isolated human bronchial and guinea pig tracheal strips, and in vivo in mice (intranasal administration) and guinea pigs (</w:t>
      </w:r>
      <w:proofErr w:type="spellStart"/>
      <w:r w:rsidRPr="00244213">
        <w:t>intratracheal</w:t>
      </w:r>
      <w:proofErr w:type="spellEnd"/>
      <w:r w:rsidRPr="00244213">
        <w:t xml:space="preserve"> administration). Vilanterol is a long-acting beta</w:t>
      </w:r>
      <w:r w:rsidRPr="00244213">
        <w:rPr>
          <w:vertAlign w:val="subscript"/>
        </w:rPr>
        <w:t>2</w:t>
      </w:r>
      <w:r w:rsidRPr="00244213">
        <w:t>-agonist.</w:t>
      </w:r>
    </w:p>
    <w:p w:rsidR="00244213" w:rsidRPr="00244213" w:rsidRDefault="00244213" w:rsidP="000021B8">
      <w:pPr>
        <w:pStyle w:val="ListBullet"/>
      </w:pPr>
      <w:r w:rsidRPr="00244213">
        <w:t xml:space="preserve">No clinically significant off target activity was found for </w:t>
      </w:r>
      <w:r w:rsidR="00A54884">
        <w:t>UMEC</w:t>
      </w:r>
      <w:r w:rsidRPr="00244213">
        <w:t xml:space="preserve"> in secondary pharmacodynamic (PD) studies. Safety pharmacology studies with </w:t>
      </w:r>
      <w:r w:rsidR="00A54884">
        <w:t>UMEC</w:t>
      </w:r>
      <w:r w:rsidRPr="00244213">
        <w:t xml:space="preserve"> covered the CNS, cardiovascular and respiratory systems, with limited classic anticholinergic effects observed (most notably tachycardia). Inhibition of the </w:t>
      </w:r>
      <w:proofErr w:type="spellStart"/>
      <w:r w:rsidRPr="00244213">
        <w:t>hERG</w:t>
      </w:r>
      <w:proofErr w:type="spellEnd"/>
      <w:r w:rsidRPr="00244213">
        <w:t> K</w:t>
      </w:r>
      <w:r w:rsidRPr="00276B4A">
        <w:rPr>
          <w:vertAlign w:val="superscript"/>
        </w:rPr>
        <w:t>+</w:t>
      </w:r>
      <w:r w:rsidRPr="00244213">
        <w:t xml:space="preserve"> channel did not occur at clinically relevant concentrations.</w:t>
      </w:r>
    </w:p>
    <w:p w:rsidR="00244213" w:rsidRPr="00244213" w:rsidRDefault="00244213" w:rsidP="000021B8">
      <w:pPr>
        <w:pStyle w:val="ListBullet"/>
      </w:pPr>
      <w:r w:rsidRPr="00244213">
        <w:t xml:space="preserve">Rapid absorption of </w:t>
      </w:r>
      <w:r w:rsidR="00A54884">
        <w:t>UMEC</w:t>
      </w:r>
      <w:r w:rsidRPr="00244213">
        <w:t xml:space="preserve"> after inhalation was shown in laboratory animal species and humans, with oral bioavailability negligible. Tissue distribution of radioactivity following IV administration of </w:t>
      </w:r>
      <w:r w:rsidRPr="00244213">
        <w:rPr>
          <w:vertAlign w:val="superscript"/>
        </w:rPr>
        <w:t>14</w:t>
      </w:r>
      <w:r w:rsidRPr="00244213">
        <w:t>C-</w:t>
      </w:r>
      <w:r w:rsidR="00A54884">
        <w:t>UMEC</w:t>
      </w:r>
      <w:r w:rsidRPr="00244213">
        <w:t xml:space="preserve"> was rapid and wide in the rat; penetration of the blood brain barrier was poor. Plasma protein binding by </w:t>
      </w:r>
      <w:r w:rsidR="00A54884">
        <w:t>UMEC</w:t>
      </w:r>
      <w:r w:rsidRPr="00244213">
        <w:t xml:space="preserve"> was moderate in all species. Co administration of inhaled </w:t>
      </w:r>
      <w:r w:rsidR="00A54884">
        <w:t>VI</w:t>
      </w:r>
      <w:r w:rsidRPr="00244213">
        <w:t xml:space="preserve"> did not affect the PKs of </w:t>
      </w:r>
      <w:r w:rsidR="00A54884">
        <w:t>UMEC</w:t>
      </w:r>
      <w:r w:rsidRPr="00244213">
        <w:t xml:space="preserve"> in rats, dogs or humans, nor vice versa except in rats, where </w:t>
      </w:r>
      <w:r w:rsidR="00A54884">
        <w:t>UMEC</w:t>
      </w:r>
      <w:r w:rsidRPr="00244213">
        <w:t xml:space="preserve"> was seen to reduce exposure to </w:t>
      </w:r>
      <w:r w:rsidR="00A54884">
        <w:t>VI</w:t>
      </w:r>
      <w:r w:rsidRPr="00244213">
        <w:t>.</w:t>
      </w:r>
    </w:p>
    <w:p w:rsidR="00244213" w:rsidRPr="00244213" w:rsidRDefault="00244213" w:rsidP="000021B8">
      <w:pPr>
        <w:pStyle w:val="ListBullet"/>
      </w:pPr>
      <w:r w:rsidRPr="00244213">
        <w:t xml:space="preserve">Metabolism of </w:t>
      </w:r>
      <w:r w:rsidR="00A54884">
        <w:t>UMEC</w:t>
      </w:r>
      <w:r w:rsidRPr="00244213">
        <w:t xml:space="preserve"> chiefly involved O-</w:t>
      </w:r>
      <w:proofErr w:type="spellStart"/>
      <w:r w:rsidRPr="00244213">
        <w:t>dealkylation</w:t>
      </w:r>
      <w:proofErr w:type="spellEnd"/>
      <w:r w:rsidRPr="00244213">
        <w:t xml:space="preserve">, hydroxylation and </w:t>
      </w:r>
      <w:proofErr w:type="spellStart"/>
      <w:r w:rsidRPr="00244213">
        <w:t>glucuronidation</w:t>
      </w:r>
      <w:proofErr w:type="spellEnd"/>
      <w:r w:rsidRPr="00244213">
        <w:t>. A major role for CYP2D6 and additional minor roles for CYP1A1 and CYP3A4 were shown. Excretion was predominantly via the faeces in all species. The drug is a substrate for P-</w:t>
      </w:r>
      <w:proofErr w:type="spellStart"/>
      <w:r w:rsidRPr="00244213">
        <w:t>gp</w:t>
      </w:r>
      <w:proofErr w:type="spellEnd"/>
      <w:r w:rsidRPr="00244213">
        <w:t xml:space="preserve">, OCT1 and OCT2. CYP inhibition (2D6, 3A4, 2C19, 1A2 and </w:t>
      </w:r>
      <w:r w:rsidRPr="00244213">
        <w:lastRenderedPageBreak/>
        <w:t xml:space="preserve">2C9) and induction (1A1, 1A2, 2B1, 2B2, 2E1, 3A2, 3A23 and 4A1) by </w:t>
      </w:r>
      <w:r w:rsidR="00A54884">
        <w:t>UMEC</w:t>
      </w:r>
      <w:r w:rsidRPr="00244213">
        <w:t xml:space="preserve"> were not seen at clinically relevant concentrations/exposure levels.</w:t>
      </w:r>
    </w:p>
    <w:p w:rsidR="00244213" w:rsidRPr="00244213" w:rsidRDefault="00244213" w:rsidP="000021B8">
      <w:pPr>
        <w:pStyle w:val="ListBullet"/>
      </w:pPr>
      <w:r w:rsidRPr="00244213">
        <w:t>Umeclidinium displayed a low order of acute toxicity in laboratory animal species.</w:t>
      </w:r>
    </w:p>
    <w:p w:rsidR="00244213" w:rsidRPr="00244213" w:rsidRDefault="00244213" w:rsidP="000021B8">
      <w:pPr>
        <w:pStyle w:val="ListBullet"/>
      </w:pPr>
      <w:r w:rsidRPr="00244213">
        <w:t xml:space="preserve">The repeat dose toxicity of </w:t>
      </w:r>
      <w:r w:rsidR="00A54884">
        <w:t>UMEC</w:t>
      </w:r>
      <w:r w:rsidRPr="00244213">
        <w:t xml:space="preserve"> by the inhalational route was investigated in studies in mice, rats and dogs; the pivotal studies were conducted in rats (6 months) and dogs (9 months). The major target organs for toxicity identified in inhalational studies were the respiratory tract (irritation of nasal turbinates, nasopharynx, larynx and tracheal bifurcation; increased lung macrophage accumulation) and the cardiovascular system (inflammation in extramural coronary arteries and pulmonary arteriole, as well as tachycardia), with such effects seen at very large multiples of the clinical exposure level.</w:t>
      </w:r>
    </w:p>
    <w:p w:rsidR="00244213" w:rsidRPr="00244213" w:rsidRDefault="00244213" w:rsidP="000021B8">
      <w:pPr>
        <w:pStyle w:val="ListBullet"/>
      </w:pPr>
      <w:r w:rsidRPr="00244213">
        <w:t xml:space="preserve">Repeat dose toxicity studies with </w:t>
      </w:r>
      <w:r w:rsidR="00A54884">
        <w:t>UMEC</w:t>
      </w:r>
      <w:r w:rsidRPr="00244213">
        <w:t xml:space="preserve"> and </w:t>
      </w:r>
      <w:r w:rsidR="00A54884">
        <w:t>VI</w:t>
      </w:r>
      <w:r w:rsidRPr="00244213">
        <w:t xml:space="preserve"> in combination, conducted by the inhalational route in rats (4 weeks) and dogs (up to 3 months), </w:t>
      </w:r>
      <w:proofErr w:type="gramStart"/>
      <w:r w:rsidRPr="00244213">
        <w:t>revealed</w:t>
      </w:r>
      <w:proofErr w:type="gramEnd"/>
      <w:r w:rsidRPr="00244213">
        <w:t xml:space="preserve"> no novel toxicities but some exacerbation of the local irritant effects of both drugs in the upper respiratory tract.</w:t>
      </w:r>
    </w:p>
    <w:p w:rsidR="00244213" w:rsidRPr="00244213" w:rsidRDefault="00244213" w:rsidP="000021B8">
      <w:pPr>
        <w:pStyle w:val="ListBullet"/>
      </w:pPr>
      <w:r w:rsidRPr="00244213">
        <w:t xml:space="preserve">Umeclidinium was examined for potential genotoxicity in bacterial mutagenicity assays, the mouse lymphoma </w:t>
      </w:r>
      <w:proofErr w:type="spellStart"/>
      <w:r w:rsidRPr="00244213">
        <w:t>tk</w:t>
      </w:r>
      <w:proofErr w:type="spellEnd"/>
      <w:r w:rsidRPr="00244213">
        <w:t xml:space="preserve"> assay and the bone marrow micronucleus test, with universally negative results returned. Two year inhalational studies with </w:t>
      </w:r>
      <w:r w:rsidR="00A54884">
        <w:t>UMEC</w:t>
      </w:r>
      <w:r w:rsidRPr="00244213">
        <w:t xml:space="preserve"> in mice and rats revealed no carcinogenic effect.</w:t>
      </w:r>
    </w:p>
    <w:p w:rsidR="00244213" w:rsidRPr="00244213" w:rsidRDefault="00244213" w:rsidP="000021B8">
      <w:pPr>
        <w:pStyle w:val="ListBullet"/>
      </w:pPr>
      <w:r w:rsidRPr="00244213">
        <w:t xml:space="preserve">Umeclidinium did not affect male or female fertility in rats, and had no adverse effect on embryofetal development in rats or rabbits. Reduced pre weaning body weight was observed in pups of rats treated with </w:t>
      </w:r>
      <w:r w:rsidR="00A54884">
        <w:t>UMEC</w:t>
      </w:r>
      <w:r w:rsidRPr="00244213">
        <w:t xml:space="preserve"> during gestation and lactation, but only at a very large multiple of the clinical exposure level.</w:t>
      </w:r>
    </w:p>
    <w:p w:rsidR="00244213" w:rsidRPr="00244213" w:rsidRDefault="00244213" w:rsidP="000021B8">
      <w:pPr>
        <w:pStyle w:val="Heading4"/>
      </w:pPr>
      <w:bookmarkStart w:id="71" w:name="_Toc365013797"/>
      <w:bookmarkStart w:id="72" w:name="_Toc294861479"/>
      <w:bookmarkStart w:id="73" w:name="_Toc295290862"/>
      <w:bookmarkStart w:id="74" w:name="_Toc378680706"/>
      <w:r w:rsidRPr="00244213">
        <w:t>Conclusions</w:t>
      </w:r>
      <w:bookmarkEnd w:id="71"/>
      <w:r w:rsidRPr="00244213">
        <w:t xml:space="preserve"> </w:t>
      </w:r>
      <w:bookmarkEnd w:id="72"/>
      <w:bookmarkEnd w:id="73"/>
      <w:r w:rsidRPr="00244213">
        <w:t>and recommendation</w:t>
      </w:r>
      <w:bookmarkEnd w:id="74"/>
    </w:p>
    <w:p w:rsidR="00244213" w:rsidRPr="00244213" w:rsidRDefault="00244213" w:rsidP="000021B8">
      <w:pPr>
        <w:pStyle w:val="ListBullet"/>
      </w:pPr>
      <w:r w:rsidRPr="00244213">
        <w:t>The nonclinical dossier contained no major deficiencies.</w:t>
      </w:r>
    </w:p>
    <w:p w:rsidR="00244213" w:rsidRPr="00244213" w:rsidRDefault="00244213" w:rsidP="000021B8">
      <w:pPr>
        <w:pStyle w:val="ListBullet"/>
      </w:pPr>
      <w:r w:rsidRPr="00244213">
        <w:t xml:space="preserve">Primary pharmacology studies with </w:t>
      </w:r>
      <w:r w:rsidR="00A54884">
        <w:t>UMEC</w:t>
      </w:r>
      <w:r w:rsidRPr="00244213">
        <w:t xml:space="preserve">, showing potent and long lasting </w:t>
      </w:r>
      <w:proofErr w:type="spellStart"/>
      <w:r w:rsidRPr="00244213">
        <w:t>antimuscarinic</w:t>
      </w:r>
      <w:proofErr w:type="spellEnd"/>
      <w:r w:rsidRPr="00244213">
        <w:t xml:space="preserve"> activity/inhibition of bronchoconstriction, support the drug’s use for the proposed indication.</w:t>
      </w:r>
    </w:p>
    <w:p w:rsidR="00244213" w:rsidRPr="00244213" w:rsidRDefault="00244213" w:rsidP="000021B8">
      <w:pPr>
        <w:pStyle w:val="ListBullet"/>
      </w:pPr>
      <w:r w:rsidRPr="00244213">
        <w:t xml:space="preserve">Secondary </w:t>
      </w:r>
      <w:r w:rsidR="001A50F1" w:rsidRPr="001A50F1">
        <w:t>PD</w:t>
      </w:r>
      <w:r w:rsidRPr="00244213">
        <w:t xml:space="preserve"> studies revealed no clinical significant activities for </w:t>
      </w:r>
      <w:r w:rsidR="00A54884">
        <w:t>UMEC</w:t>
      </w:r>
      <w:r w:rsidRPr="00244213">
        <w:t xml:space="preserve">. Safety pharmacology studies identified a classic </w:t>
      </w:r>
      <w:proofErr w:type="spellStart"/>
      <w:r w:rsidRPr="00244213">
        <w:t>antimuscarinic</w:t>
      </w:r>
      <w:proofErr w:type="spellEnd"/>
      <w:r w:rsidRPr="00244213">
        <w:t xml:space="preserve"> profile for the drug, with limited clinical relevance predicted.</w:t>
      </w:r>
    </w:p>
    <w:p w:rsidR="00244213" w:rsidRPr="00244213" w:rsidRDefault="00244213" w:rsidP="000021B8">
      <w:pPr>
        <w:pStyle w:val="ListBullet"/>
      </w:pPr>
      <w:r w:rsidRPr="00244213">
        <w:t xml:space="preserve">The respiratory tract (principally upper and </w:t>
      </w:r>
      <w:r w:rsidR="00CB5031">
        <w:t xml:space="preserve">was </w:t>
      </w:r>
      <w:r w:rsidRPr="00244213">
        <w:t xml:space="preserve">related to local irritation) and the cardiovascular system were identified as the main targets for toxicity by </w:t>
      </w:r>
      <w:r w:rsidR="00A54884">
        <w:t>UMEC</w:t>
      </w:r>
      <w:r w:rsidRPr="00244213">
        <w:t>. Given the nature of the findings and with very large exposure margins evident at the NOELs established in the pivotal rat and/or dog studies, limited clinical significance is predicted.</w:t>
      </w:r>
    </w:p>
    <w:p w:rsidR="00244213" w:rsidRPr="00244213" w:rsidRDefault="00244213" w:rsidP="000021B8">
      <w:pPr>
        <w:pStyle w:val="ListBullet"/>
      </w:pPr>
      <w:r w:rsidRPr="00244213">
        <w:t xml:space="preserve">Repeat dose toxicity studies with </w:t>
      </w:r>
      <w:r w:rsidR="00A54884">
        <w:t>UMEC</w:t>
      </w:r>
      <w:r w:rsidRPr="00244213">
        <w:t xml:space="preserve"> and </w:t>
      </w:r>
      <w:r w:rsidR="00A54884">
        <w:t>VI</w:t>
      </w:r>
      <w:r w:rsidRPr="00244213">
        <w:t xml:space="preserve"> in combination showed no serious toxicological interaction. The dose of magnesium stearate (excipient) provided by </w:t>
      </w:r>
      <w:proofErr w:type="spellStart"/>
      <w:r w:rsidRPr="00244213">
        <w:t>Anoro</w:t>
      </w:r>
      <w:proofErr w:type="spellEnd"/>
      <w:r w:rsidRPr="00244213">
        <w:t xml:space="preserve"> </w:t>
      </w:r>
      <w:proofErr w:type="spellStart"/>
      <w:r w:rsidRPr="00244213">
        <w:t>Ellipta</w:t>
      </w:r>
      <w:proofErr w:type="spellEnd"/>
      <w:r w:rsidRPr="00244213">
        <w:t xml:space="preserve"> therapy (200 µg/day) is higher than for existing inhalational products, but its safety is supported by previously evaluated studies in rats and dogs.</w:t>
      </w:r>
    </w:p>
    <w:p w:rsidR="00244213" w:rsidRPr="00244213" w:rsidRDefault="00244213" w:rsidP="000021B8">
      <w:pPr>
        <w:pStyle w:val="ListBullet"/>
      </w:pPr>
      <w:r w:rsidRPr="00244213">
        <w:t xml:space="preserve">Umeclidinium and </w:t>
      </w:r>
      <w:r w:rsidR="00A54884" w:rsidRPr="00A54884">
        <w:t>VI</w:t>
      </w:r>
      <w:r w:rsidRPr="00244213">
        <w:t xml:space="preserve"> are not considered to pose a genotoxic or carcinogenic hazard to patients.</w:t>
      </w:r>
    </w:p>
    <w:p w:rsidR="00244213" w:rsidRPr="00244213" w:rsidRDefault="00244213" w:rsidP="000021B8">
      <w:pPr>
        <w:pStyle w:val="ListBullet"/>
      </w:pPr>
      <w:r w:rsidRPr="00244213">
        <w:t xml:space="preserve">While no adverse effects on embryofetal development were observed with </w:t>
      </w:r>
      <w:r w:rsidR="00A54884">
        <w:t>UMEC</w:t>
      </w:r>
      <w:r w:rsidRPr="00244213">
        <w:t xml:space="preserve"> alone, previously evaluated studies with </w:t>
      </w:r>
      <w:r w:rsidR="00A54884" w:rsidRPr="00A54884">
        <w:t>VI</w:t>
      </w:r>
      <w:r w:rsidRPr="00244213">
        <w:t xml:space="preserve"> showed </w:t>
      </w:r>
      <w:proofErr w:type="spellStart"/>
      <w:r w:rsidRPr="00244213">
        <w:t>fetal</w:t>
      </w:r>
      <w:proofErr w:type="spellEnd"/>
      <w:r w:rsidRPr="00244213">
        <w:t xml:space="preserve"> damage (including malformations). Placement in Pregnancy Category B3, as the sponsor proposes, is supported.</w:t>
      </w:r>
    </w:p>
    <w:p w:rsidR="00244213" w:rsidRPr="00244213" w:rsidRDefault="00244213" w:rsidP="000021B8">
      <w:pPr>
        <w:pStyle w:val="ListBullet"/>
      </w:pPr>
      <w:r w:rsidRPr="00244213">
        <w:lastRenderedPageBreak/>
        <w:t xml:space="preserve">There are no nonclinical objections to the registration of </w:t>
      </w:r>
      <w:proofErr w:type="spellStart"/>
      <w:r w:rsidRPr="00244213">
        <w:t>Anoro</w:t>
      </w:r>
      <w:proofErr w:type="spellEnd"/>
      <w:r w:rsidRPr="00244213">
        <w:t xml:space="preserve"> </w:t>
      </w:r>
      <w:proofErr w:type="spellStart"/>
      <w:r w:rsidRPr="00244213">
        <w:t>Ellip</w:t>
      </w:r>
      <w:r w:rsidR="003B5481">
        <w:t>ta</w:t>
      </w:r>
      <w:proofErr w:type="spellEnd"/>
      <w:r w:rsidR="003B5481">
        <w:t xml:space="preserve"> for the proposed indication.</w:t>
      </w:r>
    </w:p>
    <w:p w:rsidR="00244213" w:rsidRPr="00244213" w:rsidRDefault="00244213" w:rsidP="000021B8">
      <w:pPr>
        <w:pStyle w:val="ListBullet"/>
      </w:pPr>
      <w:r w:rsidRPr="00244213">
        <w:t xml:space="preserve">The nonclinical evaluator also recommended amendments to </w:t>
      </w:r>
      <w:r w:rsidR="00A03E73">
        <w:t xml:space="preserve">nonclinical statements in </w:t>
      </w:r>
      <w:r w:rsidRPr="00244213">
        <w:t>the draft PI document. Details of these are beyond the scope of this AusPAR.</w:t>
      </w:r>
    </w:p>
    <w:p w:rsidR="008E7846" w:rsidRPr="00254787" w:rsidRDefault="008E7846" w:rsidP="000021B8">
      <w:pPr>
        <w:pStyle w:val="Heading2"/>
      </w:pPr>
      <w:bookmarkStart w:id="75" w:name="_Toc196046462"/>
      <w:bookmarkStart w:id="76" w:name="_Toc247691516"/>
      <w:bookmarkStart w:id="77" w:name="_Toc314842500"/>
      <w:bookmarkStart w:id="78" w:name="_Toc420577604"/>
      <w:bookmarkStart w:id="79" w:name="_Toc163441353"/>
      <w:bookmarkStart w:id="80" w:name="_Toc163441348"/>
      <w:r>
        <w:t xml:space="preserve">IV. </w:t>
      </w:r>
      <w:r w:rsidRPr="00254787">
        <w:t>Clinical</w:t>
      </w:r>
      <w:bookmarkEnd w:id="75"/>
      <w:r>
        <w:t xml:space="preserve"> </w:t>
      </w:r>
      <w:r w:rsidR="003A7F6C">
        <w:t>f</w:t>
      </w:r>
      <w:r>
        <w:t>indings</w:t>
      </w:r>
      <w:bookmarkEnd w:id="76"/>
      <w:bookmarkEnd w:id="77"/>
      <w:bookmarkEnd w:id="78"/>
    </w:p>
    <w:p w:rsidR="00C80137" w:rsidRDefault="00C80137" w:rsidP="000021B8">
      <w:bookmarkStart w:id="8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B10EA2" w:rsidRPr="00B10EA2" w:rsidRDefault="00B10EA2" w:rsidP="008C62CF">
      <w:pPr>
        <w:pStyle w:val="Heading3"/>
      </w:pPr>
      <w:bookmarkStart w:id="82" w:name="_Toc247691517"/>
      <w:bookmarkStart w:id="83" w:name="_Toc314842501"/>
      <w:bookmarkStart w:id="84" w:name="_Toc420577605"/>
      <w:r w:rsidRPr="008C62CF">
        <w:t>Introduction</w:t>
      </w:r>
      <w:bookmarkEnd w:id="82"/>
      <w:bookmarkEnd w:id="83"/>
      <w:bookmarkEnd w:id="84"/>
    </w:p>
    <w:p w:rsidR="00B10EA2" w:rsidRPr="00B10EA2" w:rsidRDefault="00B10EA2" w:rsidP="000021B8">
      <w:pPr>
        <w:pStyle w:val="Heading4"/>
      </w:pPr>
      <w:r w:rsidRPr="00B10EA2">
        <w:t xml:space="preserve">Clinical </w:t>
      </w:r>
      <w:r w:rsidR="003B5481">
        <w:t>r</w:t>
      </w:r>
      <w:r w:rsidRPr="00B10EA2">
        <w:t>ationale</w:t>
      </w:r>
    </w:p>
    <w:p w:rsidR="00B10EA2" w:rsidRPr="00C7195F" w:rsidRDefault="00CF6510" w:rsidP="000021B8">
      <w:r>
        <w:t>COPD</w:t>
      </w:r>
      <w:r w:rsidR="00B10EA2" w:rsidRPr="00C7195F">
        <w:t xml:space="preserve"> is a major cause of poor health, resulting in millions of deaths annually worldwide and contributing significantly to health care costs and morbidity. Current pharmacological treatment of COPD includes 2 classes of inhaled bronchodilators: beta</w:t>
      </w:r>
      <w:r w:rsidR="00B10EA2" w:rsidRPr="00C7195F">
        <w:rPr>
          <w:vertAlign w:val="subscript"/>
        </w:rPr>
        <w:t>2</w:t>
      </w:r>
      <w:r w:rsidR="00B10EA2" w:rsidRPr="00C7195F">
        <w:t xml:space="preserve">-agonists and muscarinic antagonist (that is, anticholinergics). Inhaled LABAs (for example, </w:t>
      </w:r>
      <w:proofErr w:type="spellStart"/>
      <w:r w:rsidR="00B10EA2" w:rsidRPr="00C7195F">
        <w:t>salmeterol</w:t>
      </w:r>
      <w:proofErr w:type="spellEnd"/>
      <w:r w:rsidR="00B10EA2" w:rsidRPr="00C7195F">
        <w:t xml:space="preserve"> and </w:t>
      </w:r>
      <w:proofErr w:type="spellStart"/>
      <w:r w:rsidR="00B10EA2" w:rsidRPr="00C7195F">
        <w:t>indacaterol</w:t>
      </w:r>
      <w:proofErr w:type="spellEnd"/>
      <w:r w:rsidR="00B10EA2" w:rsidRPr="00C7195F">
        <w:t xml:space="preserve">) and LAMAs (for example, </w:t>
      </w:r>
      <w:proofErr w:type="spellStart"/>
      <w:r w:rsidR="00A03E73">
        <w:t>tiotropium</w:t>
      </w:r>
      <w:proofErr w:type="spellEnd"/>
      <w:r w:rsidR="00A03E73">
        <w:t xml:space="preserve"> (</w:t>
      </w:r>
      <w:r w:rsidR="00B10EA2" w:rsidRPr="00C7195F">
        <w:t>TIO</w:t>
      </w:r>
      <w:r w:rsidR="00A03E73">
        <w:t>)</w:t>
      </w:r>
      <w:r w:rsidR="00B10EA2" w:rsidRPr="00C7195F">
        <w:t xml:space="preserve"> and </w:t>
      </w:r>
      <w:proofErr w:type="spellStart"/>
      <w:r w:rsidR="00B10EA2" w:rsidRPr="00C7195F">
        <w:t>aclidinium</w:t>
      </w:r>
      <w:proofErr w:type="spellEnd"/>
      <w:r w:rsidR="00B10EA2" w:rsidRPr="00C7195F">
        <w:t xml:space="preserve">), are currently recommended for the treatment of symptomatic patients with moderate to very severe COPD and are considered to be more efficacious than short acting bronchodilators. There are no prescribing information restrictions on the concomitant use of a LABA and a LAMA in the COPD population, and co administration of LAMAs and LABAs is considered in clinical practice to be more effective than either drug class alone in managing stable COPD. </w:t>
      </w:r>
      <w:r w:rsidR="0001309C">
        <w:t>At the time of this submission n</w:t>
      </w:r>
      <w:r w:rsidR="00B10EA2" w:rsidRPr="00C7195F">
        <w:t xml:space="preserve">o LAMA/LABA combination products </w:t>
      </w:r>
      <w:r w:rsidR="0001309C">
        <w:t>we</w:t>
      </w:r>
      <w:r w:rsidR="0001309C" w:rsidRPr="00C7195F">
        <w:t xml:space="preserve">re </w:t>
      </w:r>
      <w:r w:rsidR="00B10EA2" w:rsidRPr="00C7195F">
        <w:t>currently licensed for COPD treatment. By targeting 2 different pharmacologic mechanisms, a LAMA/LABA combination product could potentially optimise bronchodilator therapy of COPD while avoiding the risk of side effects associated with increasing the dose of a single bronchodilator class. The development of a LAMA/LABA combination product could be a beneficial addition to the treatment options in COPD.</w:t>
      </w:r>
    </w:p>
    <w:p w:rsidR="00B10EA2" w:rsidRPr="00B10EA2" w:rsidRDefault="00A03E73" w:rsidP="008C62CF">
      <w:r>
        <w:rPr>
          <w:b/>
        </w:rPr>
        <w:t>Evaluator</w:t>
      </w:r>
      <w:r w:rsidR="00610270">
        <w:rPr>
          <w:b/>
        </w:rPr>
        <w:t>’s</w:t>
      </w:r>
      <w:r>
        <w:rPr>
          <w:b/>
        </w:rPr>
        <w:t xml:space="preserve"> c</w:t>
      </w:r>
      <w:r w:rsidR="00B10EA2" w:rsidRPr="00B10EA2">
        <w:rPr>
          <w:b/>
        </w:rPr>
        <w:t>omments:</w:t>
      </w:r>
      <w:r w:rsidR="00B10EA2" w:rsidRPr="00B10EA2">
        <w:t xml:space="preserve"> The clinical rationale is sound and logical.</w:t>
      </w:r>
    </w:p>
    <w:p w:rsidR="00B10EA2" w:rsidRDefault="00B10EA2" w:rsidP="000021B8">
      <w:pPr>
        <w:pStyle w:val="Heading4"/>
      </w:pPr>
      <w:r w:rsidRPr="00B10EA2">
        <w:t>Guidance</w:t>
      </w:r>
    </w:p>
    <w:p w:rsidR="00A03E73" w:rsidRPr="00825F3B" w:rsidRDefault="00A03E73" w:rsidP="000021B8">
      <w:r w:rsidRPr="00825F3B">
        <w:t xml:space="preserve">According to the sponsor, the development program of </w:t>
      </w:r>
      <w:proofErr w:type="spellStart"/>
      <w:r w:rsidRPr="00825F3B">
        <w:t>Anoro</w:t>
      </w:r>
      <w:proofErr w:type="spellEnd"/>
      <w:r w:rsidRPr="00825F3B">
        <w:t xml:space="preserve"> </w:t>
      </w:r>
      <w:proofErr w:type="spellStart"/>
      <w:r w:rsidRPr="00825F3B">
        <w:t>Ellipta</w:t>
      </w:r>
      <w:proofErr w:type="spellEnd"/>
      <w:r w:rsidRPr="00825F3B">
        <w:t xml:space="preserve"> complied with the following </w:t>
      </w:r>
      <w:proofErr w:type="spellStart"/>
      <w:r w:rsidRPr="00825F3B">
        <w:t>guidances</w:t>
      </w:r>
      <w:proofErr w:type="spellEnd"/>
      <w:r w:rsidRPr="00825F3B">
        <w:t xml:space="preserve"> and regulations:</w:t>
      </w:r>
    </w:p>
    <w:p w:rsidR="00A03E73" w:rsidRPr="004A4E5F" w:rsidRDefault="00A03E73" w:rsidP="000021B8">
      <w:pPr>
        <w:pStyle w:val="ListBullet"/>
      </w:pPr>
      <w:r w:rsidRPr="004A4E5F">
        <w:t>European Medicines Agency</w:t>
      </w:r>
      <w:r w:rsidR="000673C3">
        <w:t xml:space="preserve"> (EMA)</w:t>
      </w:r>
      <w:r w:rsidRPr="004A4E5F">
        <w:t>, Note for Guidance on Fixed Dose Combination Medicinal Products. 19 February 2009</w:t>
      </w:r>
      <w:r w:rsidR="00A43EC5">
        <w:t>.</w:t>
      </w:r>
    </w:p>
    <w:p w:rsidR="00A03E73" w:rsidRPr="00AC726F" w:rsidRDefault="000673C3" w:rsidP="000021B8">
      <w:pPr>
        <w:pStyle w:val="ListBullet"/>
      </w:pPr>
      <w:r>
        <w:t>EMA</w:t>
      </w:r>
      <w:r w:rsidR="00A03E73" w:rsidRPr="007E654A">
        <w:t xml:space="preserve">, </w:t>
      </w:r>
      <w:r w:rsidR="00A03E73" w:rsidRPr="00AC726F">
        <w:t>Points to consider on the clinical investigation of medicinal products in the treatment of chronic obstructive pulmonary disease (COPD). 19 May 1999</w:t>
      </w:r>
      <w:r w:rsidR="00A43EC5">
        <w:t>.</w:t>
      </w:r>
    </w:p>
    <w:p w:rsidR="00A03E73" w:rsidRPr="00AC726F" w:rsidRDefault="00A03E73" w:rsidP="000021B8">
      <w:pPr>
        <w:pStyle w:val="ListBullet"/>
      </w:pPr>
      <w:r w:rsidRPr="00AC726F">
        <w:t>Food and Drug Administration, Guidance for Industry- Chronic Obstructive Pulmonary Disease: Developing Drugs for Treatment. November 2007</w:t>
      </w:r>
      <w:r w:rsidR="00A43EC5">
        <w:t>.</w:t>
      </w:r>
    </w:p>
    <w:p w:rsidR="00A03E73" w:rsidRPr="00A03E73" w:rsidRDefault="00A03E73" w:rsidP="000021B8">
      <w:pPr>
        <w:pStyle w:val="ListBullet"/>
      </w:pPr>
      <w:r w:rsidRPr="00AC726F">
        <w:t xml:space="preserve">Food and Drug Administration, CFR300.50 regulations on Fixed Dose Combination Prescription Drugs for </w:t>
      </w:r>
      <w:r w:rsidRPr="00825F3B">
        <w:t>Human Use. 1999</w:t>
      </w:r>
      <w:r w:rsidR="00A43EC5">
        <w:t>.</w:t>
      </w:r>
    </w:p>
    <w:p w:rsidR="00B10EA2" w:rsidRPr="00B10EA2" w:rsidRDefault="00B10EA2" w:rsidP="000021B8">
      <w:pPr>
        <w:pStyle w:val="Heading5"/>
      </w:pPr>
      <w:r w:rsidRPr="00B10EA2">
        <w:t>Contents of the clinical dossier</w:t>
      </w:r>
    </w:p>
    <w:p w:rsidR="00B10EA2" w:rsidRPr="00B10EA2" w:rsidRDefault="00B10EA2" w:rsidP="000021B8">
      <w:r w:rsidRPr="00B10EA2">
        <w:t>The submission contained the following clinical information:</w:t>
      </w:r>
    </w:p>
    <w:p w:rsidR="00B10EA2" w:rsidRPr="00B10EA2" w:rsidRDefault="00B10EA2" w:rsidP="000021B8">
      <w:pPr>
        <w:pStyle w:val="ListBullet"/>
      </w:pPr>
      <w:r w:rsidRPr="00B10EA2">
        <w:t>39 clinical pharmacology studies, including 27 that provided PK d</w:t>
      </w:r>
      <w:r w:rsidR="003B5481">
        <w:t>ata and 5 that provided PD data</w:t>
      </w:r>
    </w:p>
    <w:p w:rsidR="00B10EA2" w:rsidRPr="00B10EA2" w:rsidRDefault="003B5481" w:rsidP="000021B8">
      <w:pPr>
        <w:pStyle w:val="ListBullet"/>
      </w:pPr>
      <w:r>
        <w:lastRenderedPageBreak/>
        <w:t>3 population PK analyses</w:t>
      </w:r>
    </w:p>
    <w:p w:rsidR="00B10EA2" w:rsidRPr="00B10EA2" w:rsidRDefault="00B10EA2" w:rsidP="000021B8">
      <w:pPr>
        <w:pStyle w:val="ListBullet"/>
      </w:pPr>
      <w:r w:rsidRPr="00B10EA2">
        <w:t xml:space="preserve">7 dose finding studies. These included 4 dose ranging studies on </w:t>
      </w:r>
      <w:r w:rsidR="00A43EC5">
        <w:t>umeclidinium</w:t>
      </w:r>
      <w:r w:rsidRPr="00B10EA2">
        <w:t xml:space="preserve"> in COPD patients (3 Phase II studies (AC4113589, AC4113073 and AC4115321) and 1 Phase </w:t>
      </w:r>
      <w:proofErr w:type="spellStart"/>
      <w:r w:rsidRPr="00B10EA2">
        <w:t>IIIa</w:t>
      </w:r>
      <w:proofErr w:type="spellEnd"/>
      <w:r w:rsidRPr="00B10EA2">
        <w:t xml:space="preserve"> study (AC4115408)), and 3 dose ranging studies on </w:t>
      </w:r>
      <w:r w:rsidR="00A43EC5">
        <w:t>vilanterol</w:t>
      </w:r>
      <w:r w:rsidRPr="00B10EA2">
        <w:t xml:space="preserve"> (1 in COPD patients (B2C111045) and 2 on asthma pati</w:t>
      </w:r>
      <w:r w:rsidR="003B5481">
        <w:t>ents (B2C109575 and HZA113310))</w:t>
      </w:r>
    </w:p>
    <w:p w:rsidR="00B10EA2" w:rsidRPr="00B10EA2" w:rsidRDefault="00B10EA2" w:rsidP="000021B8">
      <w:pPr>
        <w:pStyle w:val="ListBullet"/>
      </w:pPr>
      <w:r w:rsidRPr="00B10EA2">
        <w:t xml:space="preserve">4 pivotal efficacy/safety studies. These 4 pivotal Phase III studies consisted of 2 sets of randomised, double blind, parallel group studies, each with </w:t>
      </w:r>
      <w:proofErr w:type="gramStart"/>
      <w:r w:rsidRPr="00B10EA2">
        <w:t>a 24</w:t>
      </w:r>
      <w:proofErr w:type="gramEnd"/>
      <w:r w:rsidRPr="00B10EA2">
        <w:t xml:space="preserve"> week treatment duration. One set of studies (DB2113361 and DB2113373) was placebo controlled, while the other set (DB2113360 and DB2113374) was active controlled (active control: TIO). Studies DB2113361 and DB2113373 were identical except for the doses of UMEC/VI and UMEC investigated. Study DB2113361 evaluated UMEC/VI, UMEC and VI doses of 125/25 µg, 125 µg and 25 µg once daily respectively, while </w:t>
      </w:r>
      <w:r w:rsidR="001D06ED">
        <w:t>Study</w:t>
      </w:r>
      <w:r w:rsidRPr="00B10EA2">
        <w:t xml:space="preserve"> DB2113373 evaluated doses of 62.5/25 µg, 62.5 µg and 25 µg, </w:t>
      </w:r>
      <w:r w:rsidR="001A50F1" w:rsidRPr="001A50F1">
        <w:t>once daily</w:t>
      </w:r>
      <w:r w:rsidRPr="00B10EA2">
        <w:t xml:space="preserve">, respectively. Studies DB2113360 and DB2113374 were also identical except for the study drugs used. Study DB2113360 evaluated </w:t>
      </w:r>
      <w:r w:rsidR="001A50F1" w:rsidRPr="001A50F1">
        <w:t>once daily</w:t>
      </w:r>
      <w:r w:rsidRPr="00B10EA2">
        <w:t xml:space="preserve"> doses of UMEC/VI 125/25 µg, UMEC/VI 62.5/25 µg, and VI 25 µg, while </w:t>
      </w:r>
      <w:r w:rsidR="001D06ED">
        <w:t>Study</w:t>
      </w:r>
      <w:r w:rsidRPr="00B10EA2">
        <w:t xml:space="preserve"> DB2113374 evaluated </w:t>
      </w:r>
      <w:r w:rsidR="001A50F1" w:rsidRPr="001A50F1">
        <w:t>once daily</w:t>
      </w:r>
      <w:r w:rsidRPr="00B10EA2">
        <w:t xml:space="preserve"> doses of UMEC/VI 125/25 µg, UMEC</w:t>
      </w:r>
      <w:r w:rsidR="003B5481">
        <w:t>/VI 62.5/25 µg, and UMEC 125 µg</w:t>
      </w:r>
    </w:p>
    <w:p w:rsidR="00B10EA2" w:rsidRDefault="00B10EA2" w:rsidP="000021B8">
      <w:pPr>
        <w:pStyle w:val="ListBullet"/>
      </w:pPr>
      <w:r w:rsidRPr="00B10EA2">
        <w:t>3 other efficacy/safety studies. These included two 12-week exercise tolerance studies (DB2114417 and DB2114418) and one 12 month lon</w:t>
      </w:r>
      <w:r w:rsidR="003B5481">
        <w:t>g term safety study (DB2113359)</w:t>
      </w:r>
    </w:p>
    <w:p w:rsidR="009E1EAF" w:rsidRPr="00B10EA2" w:rsidRDefault="009E1EAF" w:rsidP="000021B8">
      <w:pPr>
        <w:pStyle w:val="ListBullet"/>
      </w:pPr>
      <w:r w:rsidRPr="00A5121B">
        <w:t xml:space="preserve">Other reports. These included 1 Phase </w:t>
      </w:r>
      <w:proofErr w:type="spellStart"/>
      <w:r w:rsidRPr="00A5121B">
        <w:t>IIa</w:t>
      </w:r>
      <w:proofErr w:type="spellEnd"/>
      <w:r w:rsidRPr="00A5121B">
        <w:t xml:space="preserve"> safety/tolerability study of UMEC/VI (500/25 µg) in COPD patients (DB2113120), and 2 combined/pooled analyses reports. These 2 reports consisted of the meta-analyses of 2 of the pivotal efficacy studies DB2113360 and DB2113374 (report DB2116844), and of 2 of the dose ranging studies AC4113073 and AC4115321 (report AC4116689). In addition, the sponsor had submitted six other studies in COPD patients evaluating a fluticasone </w:t>
      </w:r>
      <w:proofErr w:type="spellStart"/>
      <w:r w:rsidRPr="00A5121B">
        <w:t>furoate</w:t>
      </w:r>
      <w:proofErr w:type="spellEnd"/>
      <w:r w:rsidRPr="00A5121B">
        <w:t xml:space="preserve"> /VI combined product and VI, 10 studies in asthma patients evaluating </w:t>
      </w:r>
      <w:r w:rsidR="00494E35" w:rsidRPr="00494E35">
        <w:t xml:space="preserve">fluticasone </w:t>
      </w:r>
      <w:proofErr w:type="spellStart"/>
      <w:r w:rsidR="00494E35" w:rsidRPr="00494E35">
        <w:t>furoate</w:t>
      </w:r>
      <w:proofErr w:type="spellEnd"/>
      <w:r w:rsidR="00494E35" w:rsidRPr="00494E35">
        <w:t xml:space="preserve"> </w:t>
      </w:r>
      <w:r w:rsidRPr="00A5121B">
        <w:t>/VI and VI, 7 ongoing studies, and 2 reports on the development and validation of the Shortness of Breath with Daily A</w:t>
      </w:r>
      <w:r w:rsidR="003B5481">
        <w:t>ctivities (SOBDA) questionnaire</w:t>
      </w:r>
    </w:p>
    <w:p w:rsidR="009E1EAF" w:rsidRPr="0022119E" w:rsidRDefault="009E1EAF" w:rsidP="000021B8">
      <w:pPr>
        <w:pStyle w:val="ListBullet"/>
      </w:pPr>
      <w:r w:rsidRPr="0031009C">
        <w:t>Clinical Overview, Summary of Clinical Efficacy, Summary of Clinical Safety</w:t>
      </w:r>
      <w:r w:rsidRPr="0022119E">
        <w:t xml:space="preserve"> and literature references.</w:t>
      </w:r>
    </w:p>
    <w:p w:rsidR="00B10EA2" w:rsidRPr="00B10EA2" w:rsidRDefault="00B10EA2" w:rsidP="000021B8">
      <w:pPr>
        <w:pStyle w:val="Heading4"/>
      </w:pPr>
      <w:r w:rsidRPr="00B10EA2">
        <w:t>Paediatric data</w:t>
      </w:r>
    </w:p>
    <w:p w:rsidR="00B10EA2" w:rsidRPr="00B10EA2" w:rsidRDefault="00B10EA2" w:rsidP="000021B8">
      <w:r w:rsidRPr="00B10EA2">
        <w:t>The submission d</w:t>
      </w:r>
      <w:r w:rsidR="00A43EC5">
        <w:t>id not include paediatric data.</w:t>
      </w:r>
    </w:p>
    <w:p w:rsidR="00B10EA2" w:rsidRPr="00B10EA2" w:rsidRDefault="00B10EA2" w:rsidP="000021B8">
      <w:pPr>
        <w:pStyle w:val="Heading4"/>
      </w:pPr>
      <w:r w:rsidRPr="00B10EA2">
        <w:t>Good clinical practice</w:t>
      </w:r>
    </w:p>
    <w:p w:rsidR="00B10EA2" w:rsidRDefault="00B10EA2" w:rsidP="000021B8">
      <w:bookmarkStart w:id="85" w:name="_Toc241374282"/>
      <w:r w:rsidRPr="00B10EA2">
        <w:t>The clinical studies reviewed in this evaluation were in compliance with CPMP/ICH/135/95 Note for Guidance on Good Clinical Practice.</w:t>
      </w:r>
      <w:bookmarkEnd w:id="85"/>
    </w:p>
    <w:p w:rsidR="008E7846" w:rsidRPr="00254787" w:rsidRDefault="008E7846" w:rsidP="000021B8">
      <w:pPr>
        <w:pStyle w:val="Heading3"/>
      </w:pPr>
      <w:bookmarkStart w:id="86" w:name="_Toc196046464"/>
      <w:bookmarkStart w:id="87" w:name="_Toc247691518"/>
      <w:bookmarkStart w:id="88" w:name="_Toc314842502"/>
      <w:bookmarkStart w:id="89" w:name="_Toc420577606"/>
      <w:bookmarkEnd w:id="81"/>
      <w:r w:rsidRPr="00254787">
        <w:t>Pharmacokinetics</w:t>
      </w:r>
      <w:bookmarkEnd w:id="79"/>
      <w:bookmarkEnd w:id="86"/>
      <w:bookmarkEnd w:id="87"/>
      <w:bookmarkEnd w:id="88"/>
      <w:bookmarkEnd w:id="89"/>
    </w:p>
    <w:p w:rsidR="00605AD4" w:rsidRDefault="00605AD4" w:rsidP="000021B8">
      <w:pPr>
        <w:pStyle w:val="Heading4"/>
      </w:pPr>
      <w:r>
        <w:t>Studies</w:t>
      </w:r>
      <w:r w:rsidR="00B35898">
        <w:t xml:space="preserve"> providing </w:t>
      </w:r>
      <w:r w:rsidR="001A50F1">
        <w:t>pharmacokinetic</w:t>
      </w:r>
      <w:r w:rsidR="00B35898">
        <w:t xml:space="preserve"> data</w:t>
      </w:r>
    </w:p>
    <w:p w:rsidR="003331B8" w:rsidRPr="00105BA8" w:rsidRDefault="00C7195F" w:rsidP="000021B8">
      <w:r>
        <w:t>Table 4</w:t>
      </w:r>
      <w:r w:rsidR="003331B8" w:rsidRPr="00105BA8">
        <w:t xml:space="preserve"> shows the studies relating to each </w:t>
      </w:r>
      <w:r w:rsidR="001A50F1">
        <w:t>pharmacokinetic</w:t>
      </w:r>
      <w:r w:rsidR="008C62CF">
        <w:t xml:space="preserve"> </w:t>
      </w:r>
      <w:r w:rsidR="001A50F1">
        <w:t>(</w:t>
      </w:r>
      <w:r w:rsidR="006D08A2">
        <w:t>PK</w:t>
      </w:r>
      <w:r w:rsidR="001A50F1">
        <w:t>)</w:t>
      </w:r>
      <w:r w:rsidR="003331B8" w:rsidRPr="00105BA8">
        <w:t xml:space="preserve"> topic.</w:t>
      </w:r>
    </w:p>
    <w:p w:rsidR="003331B8" w:rsidRDefault="003331B8" w:rsidP="008C62CF">
      <w:pPr>
        <w:pStyle w:val="Tabletitle0"/>
      </w:pPr>
      <w:proofErr w:type="gramStart"/>
      <w:r>
        <w:lastRenderedPageBreak/>
        <w:t>Table 4.</w:t>
      </w:r>
      <w:proofErr w:type="gramEnd"/>
      <w:r>
        <w:t xml:space="preserve"> </w:t>
      </w:r>
      <w:proofErr w:type="gramStart"/>
      <w:r w:rsidRPr="00394913">
        <w:t>Submitted</w:t>
      </w:r>
      <w:r>
        <w:t xml:space="preserve"> </w:t>
      </w:r>
      <w:r w:rsidR="001A50F1" w:rsidRPr="008C62CF">
        <w:t>pharmacokinetic</w:t>
      </w:r>
      <w:r>
        <w:t xml:space="preserve"> studies.</w:t>
      </w:r>
      <w:proofErr w:type="gramEnd"/>
    </w:p>
    <w:tbl>
      <w:tblPr>
        <w:tblStyle w:val="TableTGAblue"/>
        <w:tblW w:w="0" w:type="auto"/>
        <w:tblLook w:val="04A0" w:firstRow="1" w:lastRow="0" w:firstColumn="1" w:lastColumn="0" w:noHBand="0" w:noVBand="1"/>
      </w:tblPr>
      <w:tblGrid>
        <w:gridCol w:w="2904"/>
        <w:gridCol w:w="1911"/>
        <w:gridCol w:w="1981"/>
        <w:gridCol w:w="1924"/>
      </w:tblGrid>
      <w:tr w:rsidR="009E1EAF" w:rsidTr="00D13EC4">
        <w:trPr>
          <w:cnfStyle w:val="100000000000" w:firstRow="1" w:lastRow="0" w:firstColumn="0" w:lastColumn="0" w:oddVBand="0" w:evenVBand="0" w:oddHBand="0" w:evenHBand="0" w:firstRowFirstColumn="0" w:firstRowLastColumn="0" w:lastRowFirstColumn="0" w:lastRowLastColumn="0"/>
        </w:trPr>
        <w:tc>
          <w:tcPr>
            <w:tcW w:w="2904" w:type="dxa"/>
          </w:tcPr>
          <w:p w:rsidR="009E1EAF" w:rsidRDefault="009E1EAF" w:rsidP="000021B8">
            <w:r w:rsidRPr="00412A12">
              <w:t>PK topic</w:t>
            </w:r>
          </w:p>
        </w:tc>
        <w:tc>
          <w:tcPr>
            <w:tcW w:w="3892" w:type="dxa"/>
            <w:gridSpan w:val="2"/>
          </w:tcPr>
          <w:p w:rsidR="009E1EAF" w:rsidRDefault="009E1EAF" w:rsidP="000021B8">
            <w:r w:rsidRPr="00412A12">
              <w:t>Subtopic</w:t>
            </w:r>
          </w:p>
        </w:tc>
        <w:tc>
          <w:tcPr>
            <w:tcW w:w="1924" w:type="dxa"/>
          </w:tcPr>
          <w:p w:rsidR="009E1EAF" w:rsidRDefault="009E1EAF" w:rsidP="000021B8">
            <w:r w:rsidRPr="00412A12">
              <w:t>Study ID</w:t>
            </w:r>
          </w:p>
        </w:tc>
      </w:tr>
      <w:tr w:rsidR="00D13EC4" w:rsidTr="00D13EC4">
        <w:trPr>
          <w:trHeight w:val="1016"/>
        </w:trPr>
        <w:tc>
          <w:tcPr>
            <w:tcW w:w="2904" w:type="dxa"/>
            <w:vMerge w:val="restart"/>
          </w:tcPr>
          <w:p w:rsidR="00D13EC4" w:rsidRDefault="00D13EC4" w:rsidP="000021B8">
            <w:r w:rsidRPr="00412A12">
              <w:t>PK in healthy adults</w:t>
            </w:r>
          </w:p>
        </w:tc>
        <w:tc>
          <w:tcPr>
            <w:tcW w:w="3892" w:type="dxa"/>
            <w:gridSpan w:val="2"/>
          </w:tcPr>
          <w:p w:rsidR="00D13EC4" w:rsidRDefault="00D13EC4" w:rsidP="000021B8">
            <w:r w:rsidRPr="00412A12">
              <w:t>General PK</w:t>
            </w:r>
          </w:p>
        </w:tc>
        <w:tc>
          <w:tcPr>
            <w:tcW w:w="1924" w:type="dxa"/>
          </w:tcPr>
          <w:p w:rsidR="00D13EC4" w:rsidRDefault="00D13EC4" w:rsidP="000021B8"/>
        </w:tc>
      </w:tr>
      <w:tr w:rsidR="00D13EC4" w:rsidTr="00D13EC4">
        <w:tc>
          <w:tcPr>
            <w:tcW w:w="2904" w:type="dxa"/>
            <w:vMerge/>
          </w:tcPr>
          <w:p w:rsidR="00D13EC4" w:rsidRDefault="00D13EC4" w:rsidP="000021B8"/>
        </w:tc>
        <w:tc>
          <w:tcPr>
            <w:tcW w:w="1911" w:type="dxa"/>
            <w:vMerge w:val="restart"/>
          </w:tcPr>
          <w:p w:rsidR="00D13EC4" w:rsidRDefault="00D13EC4" w:rsidP="000021B8">
            <w:r w:rsidRPr="00412A12">
              <w:t>Single dose</w:t>
            </w:r>
          </w:p>
        </w:tc>
        <w:tc>
          <w:tcPr>
            <w:tcW w:w="1981" w:type="dxa"/>
          </w:tcPr>
          <w:p w:rsidR="00D13EC4" w:rsidRDefault="00D13EC4" w:rsidP="000021B8">
            <w:r w:rsidRPr="00412A12">
              <w:t>UMEC</w:t>
            </w:r>
          </w:p>
        </w:tc>
        <w:tc>
          <w:tcPr>
            <w:tcW w:w="1924" w:type="dxa"/>
          </w:tcPr>
          <w:p w:rsidR="00D13EC4" w:rsidRDefault="00D13EC4" w:rsidP="000021B8">
            <w:r w:rsidRPr="00412A12">
              <w:t>AC4112008</w:t>
            </w:r>
          </w:p>
        </w:tc>
      </w:tr>
      <w:tr w:rsidR="00D13EC4" w:rsidTr="00D13EC4">
        <w:tc>
          <w:tcPr>
            <w:tcW w:w="2904" w:type="dxa"/>
            <w:vMerge/>
          </w:tcPr>
          <w:p w:rsidR="00D13EC4" w:rsidRDefault="00D13EC4" w:rsidP="000021B8"/>
        </w:tc>
        <w:tc>
          <w:tcPr>
            <w:tcW w:w="1911" w:type="dxa"/>
            <w:vMerge/>
          </w:tcPr>
          <w:p w:rsidR="00D13EC4" w:rsidRDefault="00D13EC4" w:rsidP="000021B8"/>
        </w:tc>
        <w:tc>
          <w:tcPr>
            <w:tcW w:w="1981" w:type="dxa"/>
          </w:tcPr>
          <w:p w:rsidR="00D13EC4" w:rsidRDefault="00D13EC4" w:rsidP="000021B8">
            <w:r w:rsidRPr="00412A12">
              <w:t>VI</w:t>
            </w:r>
          </w:p>
        </w:tc>
        <w:tc>
          <w:tcPr>
            <w:tcW w:w="1924" w:type="dxa"/>
          </w:tcPr>
          <w:p w:rsidR="00D13EC4" w:rsidRDefault="00D13EC4" w:rsidP="000021B8">
            <w:r w:rsidRPr="00412A12">
              <w:t>B2C106180</w:t>
            </w:r>
          </w:p>
        </w:tc>
      </w:tr>
      <w:tr w:rsidR="00D13EC4" w:rsidTr="00D13EC4">
        <w:tc>
          <w:tcPr>
            <w:tcW w:w="2904" w:type="dxa"/>
            <w:vMerge/>
          </w:tcPr>
          <w:p w:rsidR="00D13EC4" w:rsidRDefault="00D13EC4" w:rsidP="000021B8"/>
        </w:tc>
        <w:tc>
          <w:tcPr>
            <w:tcW w:w="1911" w:type="dxa"/>
            <w:vMerge/>
          </w:tcPr>
          <w:p w:rsidR="00D13EC4" w:rsidRDefault="00D13EC4" w:rsidP="000021B8"/>
        </w:tc>
        <w:tc>
          <w:tcPr>
            <w:tcW w:w="1981" w:type="dxa"/>
          </w:tcPr>
          <w:p w:rsidR="00D13EC4" w:rsidRDefault="00D13EC4" w:rsidP="000021B8">
            <w:r w:rsidRPr="00412A12">
              <w:t>UMEC</w:t>
            </w:r>
          </w:p>
        </w:tc>
        <w:tc>
          <w:tcPr>
            <w:tcW w:w="1924" w:type="dxa"/>
          </w:tcPr>
          <w:p w:rsidR="00D13EC4" w:rsidRDefault="00D13EC4" w:rsidP="000021B8">
            <w:r w:rsidRPr="00412A12">
              <w:t>AC4115487</w:t>
            </w:r>
          </w:p>
        </w:tc>
      </w:tr>
      <w:tr w:rsidR="00D13EC4" w:rsidTr="00D13EC4">
        <w:tc>
          <w:tcPr>
            <w:tcW w:w="2904" w:type="dxa"/>
            <w:vMerge/>
          </w:tcPr>
          <w:p w:rsidR="00D13EC4" w:rsidRDefault="00D13EC4" w:rsidP="000021B8"/>
        </w:tc>
        <w:tc>
          <w:tcPr>
            <w:tcW w:w="1911" w:type="dxa"/>
            <w:vMerge/>
          </w:tcPr>
          <w:p w:rsidR="00D13EC4" w:rsidRDefault="00D13EC4" w:rsidP="000021B8"/>
        </w:tc>
        <w:tc>
          <w:tcPr>
            <w:tcW w:w="1981" w:type="dxa"/>
          </w:tcPr>
          <w:p w:rsidR="00D13EC4" w:rsidRDefault="00D13EC4" w:rsidP="000021B8">
            <w:r w:rsidRPr="00412A12">
              <w:t>UMEC</w:t>
            </w:r>
          </w:p>
        </w:tc>
        <w:tc>
          <w:tcPr>
            <w:tcW w:w="1924" w:type="dxa"/>
          </w:tcPr>
          <w:p w:rsidR="00D13EC4" w:rsidRDefault="00D13EC4" w:rsidP="000021B8">
            <w:r w:rsidRPr="00412A12">
              <w:t>AC4106889</w:t>
            </w:r>
          </w:p>
        </w:tc>
      </w:tr>
      <w:tr w:rsidR="00D13EC4" w:rsidTr="00D13EC4">
        <w:tc>
          <w:tcPr>
            <w:tcW w:w="2904" w:type="dxa"/>
            <w:vMerge/>
          </w:tcPr>
          <w:p w:rsidR="00D13EC4" w:rsidRDefault="00D13EC4" w:rsidP="000021B8"/>
        </w:tc>
        <w:tc>
          <w:tcPr>
            <w:tcW w:w="1911" w:type="dxa"/>
            <w:vMerge/>
          </w:tcPr>
          <w:p w:rsidR="00D13EC4" w:rsidRDefault="00D13EC4" w:rsidP="000021B8"/>
        </w:tc>
        <w:tc>
          <w:tcPr>
            <w:tcW w:w="1981" w:type="dxa"/>
          </w:tcPr>
          <w:p w:rsidR="00D13EC4" w:rsidRDefault="00D13EC4" w:rsidP="000021B8">
            <w:r w:rsidRPr="00412A12">
              <w:t>UMEC</w:t>
            </w:r>
          </w:p>
        </w:tc>
        <w:tc>
          <w:tcPr>
            <w:tcW w:w="1924" w:type="dxa"/>
          </w:tcPr>
          <w:p w:rsidR="00D13EC4" w:rsidRDefault="00D13EC4" w:rsidP="000021B8">
            <w:r w:rsidRPr="00412A12">
              <w:t>AC4105209</w:t>
            </w:r>
          </w:p>
        </w:tc>
      </w:tr>
      <w:tr w:rsidR="00D13EC4" w:rsidTr="00D13EC4">
        <w:tc>
          <w:tcPr>
            <w:tcW w:w="2904" w:type="dxa"/>
            <w:vMerge/>
          </w:tcPr>
          <w:p w:rsidR="00D13EC4" w:rsidRDefault="00D13EC4" w:rsidP="000021B8"/>
        </w:tc>
        <w:tc>
          <w:tcPr>
            <w:tcW w:w="1911" w:type="dxa"/>
            <w:vMerge/>
          </w:tcPr>
          <w:p w:rsidR="00D13EC4" w:rsidRDefault="00D13EC4" w:rsidP="000021B8"/>
        </w:tc>
        <w:tc>
          <w:tcPr>
            <w:tcW w:w="1981" w:type="dxa"/>
          </w:tcPr>
          <w:p w:rsidR="00D13EC4" w:rsidRDefault="00D13EC4" w:rsidP="000021B8">
            <w:r w:rsidRPr="00412A12">
              <w:t>VI/GSK233705</w:t>
            </w:r>
          </w:p>
        </w:tc>
        <w:tc>
          <w:tcPr>
            <w:tcW w:w="1924" w:type="dxa"/>
          </w:tcPr>
          <w:p w:rsidR="00D13EC4" w:rsidRPr="00412A12" w:rsidRDefault="00D13EC4" w:rsidP="000021B8">
            <w:pPr>
              <w:rPr>
                <w:rFonts w:ascii="Calibri" w:hAnsi="Calibri"/>
                <w:sz w:val="20"/>
                <w:szCs w:val="20"/>
              </w:rPr>
            </w:pPr>
            <w:r>
              <w:rPr>
                <w:rFonts w:ascii="Calibri" w:hAnsi="Calibri"/>
                <w:sz w:val="20"/>
                <w:szCs w:val="20"/>
              </w:rPr>
              <w:t>DB1111509</w:t>
            </w:r>
          </w:p>
        </w:tc>
      </w:tr>
      <w:tr w:rsidR="00D13EC4" w:rsidTr="00D13EC4">
        <w:tc>
          <w:tcPr>
            <w:tcW w:w="2904" w:type="dxa"/>
            <w:vMerge/>
          </w:tcPr>
          <w:p w:rsidR="00D13EC4" w:rsidRDefault="00D13EC4" w:rsidP="000021B8"/>
        </w:tc>
        <w:tc>
          <w:tcPr>
            <w:tcW w:w="1911" w:type="dxa"/>
            <w:vMerge/>
          </w:tcPr>
          <w:p w:rsidR="00D13EC4" w:rsidRDefault="00D13EC4" w:rsidP="000021B8"/>
        </w:tc>
        <w:tc>
          <w:tcPr>
            <w:tcW w:w="1981" w:type="dxa"/>
          </w:tcPr>
          <w:p w:rsidR="00D13EC4" w:rsidRDefault="00D13EC4" w:rsidP="000021B8">
            <w:r w:rsidRPr="00412A12">
              <w:t>VI</w:t>
            </w:r>
          </w:p>
        </w:tc>
        <w:tc>
          <w:tcPr>
            <w:tcW w:w="1924" w:type="dxa"/>
          </w:tcPr>
          <w:p w:rsidR="00D13EC4" w:rsidRDefault="00D13EC4" w:rsidP="000021B8">
            <w:r w:rsidRPr="00412A12">
              <w:t>B2C10001</w:t>
            </w:r>
          </w:p>
        </w:tc>
      </w:tr>
      <w:tr w:rsidR="00D13EC4" w:rsidTr="00D13EC4">
        <w:trPr>
          <w:trHeight w:val="515"/>
        </w:trPr>
        <w:tc>
          <w:tcPr>
            <w:tcW w:w="2904" w:type="dxa"/>
            <w:vMerge/>
          </w:tcPr>
          <w:p w:rsidR="00D13EC4" w:rsidRDefault="00D13EC4" w:rsidP="000021B8"/>
        </w:tc>
        <w:tc>
          <w:tcPr>
            <w:tcW w:w="1911" w:type="dxa"/>
            <w:vMerge/>
          </w:tcPr>
          <w:p w:rsidR="00D13EC4" w:rsidRDefault="00D13EC4" w:rsidP="000021B8"/>
        </w:tc>
        <w:tc>
          <w:tcPr>
            <w:tcW w:w="1981" w:type="dxa"/>
          </w:tcPr>
          <w:p w:rsidR="00D13EC4" w:rsidRDefault="00D13EC4" w:rsidP="000021B8">
            <w:r w:rsidRPr="00412A12">
              <w:t>VI/GW85698X</w:t>
            </w:r>
          </w:p>
        </w:tc>
        <w:tc>
          <w:tcPr>
            <w:tcW w:w="1924" w:type="dxa"/>
          </w:tcPr>
          <w:p w:rsidR="00D13EC4" w:rsidRDefault="00D13EC4" w:rsidP="000021B8">
            <w:r w:rsidRPr="00412A12">
              <w:t>HZA105871</w:t>
            </w:r>
          </w:p>
        </w:tc>
      </w:tr>
      <w:tr w:rsidR="00D13EC4" w:rsidTr="00D13EC4">
        <w:tc>
          <w:tcPr>
            <w:tcW w:w="2904" w:type="dxa"/>
            <w:vMerge/>
          </w:tcPr>
          <w:p w:rsidR="00D13EC4" w:rsidRDefault="00D13EC4" w:rsidP="000021B8"/>
        </w:tc>
        <w:tc>
          <w:tcPr>
            <w:tcW w:w="1911" w:type="dxa"/>
          </w:tcPr>
          <w:p w:rsidR="00D13EC4" w:rsidRDefault="00D13EC4" w:rsidP="000021B8">
            <w:r w:rsidRPr="00412A12">
              <w:t>Multi-dose</w:t>
            </w:r>
          </w:p>
        </w:tc>
        <w:tc>
          <w:tcPr>
            <w:tcW w:w="1981" w:type="dxa"/>
          </w:tcPr>
          <w:p w:rsidR="00D13EC4" w:rsidRDefault="00D13EC4" w:rsidP="000021B8">
            <w:r w:rsidRPr="00412A12">
              <w:t>VI</w:t>
            </w:r>
          </w:p>
        </w:tc>
        <w:tc>
          <w:tcPr>
            <w:tcW w:w="1924" w:type="dxa"/>
          </w:tcPr>
          <w:p w:rsidR="00D13EC4" w:rsidRDefault="00D13EC4" w:rsidP="000021B8">
            <w:r w:rsidRPr="00412A12">
              <w:t>B2CC10878</w:t>
            </w:r>
          </w:p>
        </w:tc>
      </w:tr>
      <w:tr w:rsidR="00D13EC4" w:rsidTr="00D13EC4">
        <w:tc>
          <w:tcPr>
            <w:tcW w:w="2904" w:type="dxa"/>
            <w:vMerge/>
          </w:tcPr>
          <w:p w:rsidR="00D13EC4" w:rsidRDefault="00D13EC4" w:rsidP="000021B8"/>
        </w:tc>
        <w:tc>
          <w:tcPr>
            <w:tcW w:w="1911" w:type="dxa"/>
          </w:tcPr>
          <w:p w:rsidR="00D13EC4" w:rsidRDefault="00D13EC4" w:rsidP="000021B8">
            <w:r>
              <w:t>Absolute Bioavailability</w:t>
            </w:r>
          </w:p>
        </w:tc>
        <w:tc>
          <w:tcPr>
            <w:tcW w:w="1981" w:type="dxa"/>
          </w:tcPr>
          <w:p w:rsidR="00D13EC4" w:rsidRDefault="00D13EC4" w:rsidP="000021B8">
            <w:r>
              <w:t xml:space="preserve">Single dose </w:t>
            </w:r>
            <w:r w:rsidRPr="00412A12">
              <w:t>FF/VI</w:t>
            </w:r>
          </w:p>
        </w:tc>
        <w:tc>
          <w:tcPr>
            <w:tcW w:w="1924" w:type="dxa"/>
          </w:tcPr>
          <w:p w:rsidR="00D13EC4" w:rsidRDefault="00D13EC4" w:rsidP="000021B8">
            <w:r w:rsidRPr="00412A12">
              <w:t>HZA102934</w:t>
            </w:r>
          </w:p>
        </w:tc>
      </w:tr>
      <w:tr w:rsidR="00D13EC4" w:rsidTr="00D13EC4">
        <w:tc>
          <w:tcPr>
            <w:tcW w:w="2904" w:type="dxa"/>
            <w:vMerge/>
          </w:tcPr>
          <w:p w:rsidR="00D13EC4" w:rsidRDefault="00D13EC4" w:rsidP="000021B8"/>
        </w:tc>
        <w:tc>
          <w:tcPr>
            <w:tcW w:w="1911" w:type="dxa"/>
          </w:tcPr>
          <w:p w:rsidR="00D13EC4" w:rsidRDefault="00D13EC4" w:rsidP="000021B8">
            <w:r w:rsidRPr="00412A12">
              <w:t>Food effect</w:t>
            </w:r>
          </w:p>
        </w:tc>
        <w:tc>
          <w:tcPr>
            <w:tcW w:w="1981" w:type="dxa"/>
          </w:tcPr>
          <w:p w:rsidR="00D13EC4" w:rsidRDefault="00D13EC4" w:rsidP="000021B8"/>
        </w:tc>
        <w:tc>
          <w:tcPr>
            <w:tcW w:w="1924" w:type="dxa"/>
          </w:tcPr>
          <w:p w:rsidR="00D13EC4" w:rsidRDefault="00D13EC4" w:rsidP="000021B8">
            <w:r w:rsidRPr="00412A12">
              <w:t>No studies conducted</w:t>
            </w:r>
          </w:p>
        </w:tc>
      </w:tr>
      <w:tr w:rsidR="00D13EC4" w:rsidTr="00D13EC4">
        <w:tc>
          <w:tcPr>
            <w:tcW w:w="2904" w:type="dxa"/>
            <w:vMerge/>
          </w:tcPr>
          <w:p w:rsidR="00D13EC4" w:rsidRDefault="00D13EC4" w:rsidP="000021B8"/>
        </w:tc>
        <w:tc>
          <w:tcPr>
            <w:tcW w:w="1911" w:type="dxa"/>
            <w:vMerge w:val="restart"/>
          </w:tcPr>
          <w:p w:rsidR="00D13EC4" w:rsidRDefault="00D13EC4" w:rsidP="000021B8">
            <w:r w:rsidRPr="00412A12">
              <w:t>Mass Balance Study</w:t>
            </w:r>
          </w:p>
        </w:tc>
        <w:tc>
          <w:tcPr>
            <w:tcW w:w="1981" w:type="dxa"/>
          </w:tcPr>
          <w:p w:rsidR="00D13EC4" w:rsidRDefault="00D13EC4" w:rsidP="000021B8">
            <w:r w:rsidRPr="00412A12">
              <w:t>UMEC</w:t>
            </w:r>
          </w:p>
        </w:tc>
        <w:tc>
          <w:tcPr>
            <w:tcW w:w="1924" w:type="dxa"/>
          </w:tcPr>
          <w:p w:rsidR="00D13EC4" w:rsidRDefault="00D13EC4" w:rsidP="000021B8">
            <w:r w:rsidRPr="00412A12">
              <w:t>AC4112014</w:t>
            </w:r>
          </w:p>
        </w:tc>
      </w:tr>
      <w:tr w:rsidR="00D13EC4" w:rsidTr="00D13EC4">
        <w:tc>
          <w:tcPr>
            <w:tcW w:w="2904" w:type="dxa"/>
            <w:vMerge/>
          </w:tcPr>
          <w:p w:rsidR="00D13EC4" w:rsidRDefault="00D13EC4" w:rsidP="000021B8"/>
        </w:tc>
        <w:tc>
          <w:tcPr>
            <w:tcW w:w="1911" w:type="dxa"/>
            <w:vMerge/>
          </w:tcPr>
          <w:p w:rsidR="00D13EC4" w:rsidRPr="00412A12" w:rsidRDefault="00D13EC4" w:rsidP="000021B8"/>
        </w:tc>
        <w:tc>
          <w:tcPr>
            <w:tcW w:w="1981" w:type="dxa"/>
          </w:tcPr>
          <w:p w:rsidR="00D13EC4" w:rsidRPr="00412A12" w:rsidRDefault="00D13EC4" w:rsidP="000021B8">
            <w:r>
              <w:t>VI</w:t>
            </w:r>
          </w:p>
        </w:tc>
        <w:tc>
          <w:tcPr>
            <w:tcW w:w="1924" w:type="dxa"/>
          </w:tcPr>
          <w:p w:rsidR="00D13EC4" w:rsidRPr="00412A12" w:rsidRDefault="00D13EC4" w:rsidP="000021B8">
            <w:r w:rsidRPr="00184ABA">
              <w:t>B2C106181</w:t>
            </w:r>
          </w:p>
        </w:tc>
      </w:tr>
      <w:tr w:rsidR="009E1EAF" w:rsidTr="000021B8">
        <w:tc>
          <w:tcPr>
            <w:tcW w:w="8720" w:type="dxa"/>
            <w:gridSpan w:val="4"/>
          </w:tcPr>
          <w:p w:rsidR="009E1EAF" w:rsidRPr="00ED4A24" w:rsidRDefault="009E1EAF" w:rsidP="000021B8">
            <w:r w:rsidRPr="00ED4A24">
              <w:t>PK in special populations</w:t>
            </w:r>
          </w:p>
        </w:tc>
      </w:tr>
      <w:tr w:rsidR="009E1EAF" w:rsidRPr="00BF5B1B" w:rsidTr="00D13EC4">
        <w:tc>
          <w:tcPr>
            <w:tcW w:w="2904" w:type="dxa"/>
            <w:vMerge w:val="restart"/>
          </w:tcPr>
          <w:p w:rsidR="009E1EAF" w:rsidRPr="00BF5B1B" w:rsidRDefault="009E1EAF" w:rsidP="000021B8">
            <w:r w:rsidRPr="00B1117E">
              <w:t>Target population §</w:t>
            </w:r>
          </w:p>
        </w:tc>
        <w:tc>
          <w:tcPr>
            <w:tcW w:w="1911" w:type="dxa"/>
            <w:vMerge w:val="restart"/>
          </w:tcPr>
          <w:p w:rsidR="009E1EAF" w:rsidRPr="00BF5B1B" w:rsidRDefault="009E1EAF" w:rsidP="000021B8">
            <w:r w:rsidRPr="00BF5B1B">
              <w:t>Single dose</w:t>
            </w:r>
          </w:p>
        </w:tc>
        <w:tc>
          <w:tcPr>
            <w:tcW w:w="1981" w:type="dxa"/>
          </w:tcPr>
          <w:p w:rsidR="009E1EAF" w:rsidRPr="00BF5B1B" w:rsidRDefault="009E1EAF" w:rsidP="000021B8">
            <w:r w:rsidRPr="00BF5B1B">
              <w:t>UMEC</w:t>
            </w:r>
          </w:p>
        </w:tc>
        <w:tc>
          <w:tcPr>
            <w:tcW w:w="1924" w:type="dxa"/>
          </w:tcPr>
          <w:p w:rsidR="009E1EAF" w:rsidRPr="00BF5B1B" w:rsidRDefault="009E1EAF" w:rsidP="000021B8">
            <w:r w:rsidRPr="00BF5B1B">
              <w:t>AC4108123</w:t>
            </w:r>
          </w:p>
        </w:tc>
      </w:tr>
      <w:tr w:rsidR="009E1EAF" w:rsidRPr="00BF5B1B" w:rsidTr="00D13EC4">
        <w:tc>
          <w:tcPr>
            <w:tcW w:w="2904" w:type="dxa"/>
            <w:vMerge/>
          </w:tcPr>
          <w:p w:rsidR="009E1EAF" w:rsidRPr="00BF5B1B" w:rsidRDefault="009E1EAF" w:rsidP="000021B8"/>
        </w:tc>
        <w:tc>
          <w:tcPr>
            <w:tcW w:w="1911" w:type="dxa"/>
            <w:vMerge/>
          </w:tcPr>
          <w:p w:rsidR="009E1EAF" w:rsidRPr="00BF5B1B" w:rsidRDefault="009E1EAF" w:rsidP="000021B8"/>
        </w:tc>
        <w:tc>
          <w:tcPr>
            <w:tcW w:w="1981" w:type="dxa"/>
          </w:tcPr>
          <w:p w:rsidR="009E1EAF" w:rsidRPr="00BF5B1B" w:rsidRDefault="009E1EAF" w:rsidP="000021B8">
            <w:r w:rsidRPr="00BF5B1B">
              <w:t>VI</w:t>
            </w:r>
          </w:p>
        </w:tc>
        <w:tc>
          <w:tcPr>
            <w:tcW w:w="1924" w:type="dxa"/>
          </w:tcPr>
          <w:p w:rsidR="009E1EAF" w:rsidRPr="00BF5B1B" w:rsidRDefault="009E1EAF" w:rsidP="000021B8">
            <w:r w:rsidRPr="00BF5B1B">
              <w:t>B2C110165</w:t>
            </w:r>
          </w:p>
        </w:tc>
      </w:tr>
      <w:tr w:rsidR="009E1EAF" w:rsidRPr="00BF5B1B" w:rsidTr="00D13EC4">
        <w:tc>
          <w:tcPr>
            <w:tcW w:w="2904" w:type="dxa"/>
            <w:vMerge/>
          </w:tcPr>
          <w:p w:rsidR="009E1EAF" w:rsidRPr="00BF5B1B" w:rsidRDefault="009E1EAF" w:rsidP="000021B8"/>
        </w:tc>
        <w:tc>
          <w:tcPr>
            <w:tcW w:w="1911" w:type="dxa"/>
            <w:vMerge w:val="restart"/>
          </w:tcPr>
          <w:p w:rsidR="009E1EAF" w:rsidRPr="00ED4A24" w:rsidRDefault="009E1EAF" w:rsidP="000021B8">
            <w:r w:rsidRPr="00ED4A24">
              <w:t>Multi-dose</w:t>
            </w:r>
          </w:p>
        </w:tc>
        <w:tc>
          <w:tcPr>
            <w:tcW w:w="1981" w:type="dxa"/>
          </w:tcPr>
          <w:p w:rsidR="009E1EAF" w:rsidRPr="00BF5B1B" w:rsidRDefault="009E1EAF" w:rsidP="000021B8">
            <w:r w:rsidRPr="00BF5B1B">
              <w:t>UMEC</w:t>
            </w:r>
          </w:p>
        </w:tc>
        <w:tc>
          <w:tcPr>
            <w:tcW w:w="1924" w:type="dxa"/>
          </w:tcPr>
          <w:p w:rsidR="009E1EAF" w:rsidRPr="00BF5B1B" w:rsidRDefault="009E1EAF" w:rsidP="000021B8">
            <w:r w:rsidRPr="00BF5B1B">
              <w:t>AC4105211</w:t>
            </w:r>
          </w:p>
        </w:tc>
      </w:tr>
      <w:tr w:rsidR="009E1EAF" w:rsidRPr="00BF5B1B" w:rsidTr="00D13EC4">
        <w:tc>
          <w:tcPr>
            <w:tcW w:w="2904" w:type="dxa"/>
            <w:vMerge/>
          </w:tcPr>
          <w:p w:rsidR="009E1EAF" w:rsidRPr="00BF5B1B" w:rsidRDefault="009E1EAF" w:rsidP="000021B8"/>
        </w:tc>
        <w:tc>
          <w:tcPr>
            <w:tcW w:w="1911" w:type="dxa"/>
            <w:vMerge/>
          </w:tcPr>
          <w:p w:rsidR="009E1EAF" w:rsidRPr="00BF5B1B" w:rsidRDefault="009E1EAF" w:rsidP="000021B8"/>
        </w:tc>
        <w:tc>
          <w:tcPr>
            <w:tcW w:w="1981" w:type="dxa"/>
          </w:tcPr>
          <w:p w:rsidR="009E1EAF" w:rsidRPr="00BF5B1B" w:rsidRDefault="009E1EAF" w:rsidP="000021B8">
            <w:r w:rsidRPr="00BF5B1B">
              <w:t>UMEC</w:t>
            </w:r>
          </w:p>
        </w:tc>
        <w:tc>
          <w:tcPr>
            <w:tcW w:w="1924" w:type="dxa"/>
          </w:tcPr>
          <w:p w:rsidR="009E1EAF" w:rsidRPr="00BF5B1B" w:rsidRDefault="009E1EAF" w:rsidP="000021B8">
            <w:r w:rsidRPr="00BF5B1B">
              <w:t>AC4113589</w:t>
            </w:r>
          </w:p>
        </w:tc>
      </w:tr>
      <w:tr w:rsidR="009E1EAF" w:rsidRPr="00BF5B1B" w:rsidTr="00D13EC4">
        <w:tc>
          <w:tcPr>
            <w:tcW w:w="2904" w:type="dxa"/>
            <w:vMerge/>
          </w:tcPr>
          <w:p w:rsidR="009E1EAF" w:rsidRPr="00BF5B1B" w:rsidRDefault="009E1EAF" w:rsidP="000021B8"/>
        </w:tc>
        <w:tc>
          <w:tcPr>
            <w:tcW w:w="1911" w:type="dxa"/>
            <w:vMerge/>
          </w:tcPr>
          <w:p w:rsidR="009E1EAF" w:rsidRPr="00BF5B1B" w:rsidRDefault="009E1EAF" w:rsidP="000021B8"/>
        </w:tc>
        <w:tc>
          <w:tcPr>
            <w:tcW w:w="1981" w:type="dxa"/>
          </w:tcPr>
          <w:p w:rsidR="009E1EAF" w:rsidRPr="00BF5B1B" w:rsidRDefault="009E1EAF" w:rsidP="000021B8">
            <w:r w:rsidRPr="00BF5B1B">
              <w:t>UMEC</w:t>
            </w:r>
          </w:p>
        </w:tc>
        <w:tc>
          <w:tcPr>
            <w:tcW w:w="1924" w:type="dxa"/>
          </w:tcPr>
          <w:p w:rsidR="009E1EAF" w:rsidRPr="00BF5B1B" w:rsidRDefault="009E1EAF" w:rsidP="000021B8">
            <w:r w:rsidRPr="00BF5B1B">
              <w:t>AC4115321</w:t>
            </w:r>
          </w:p>
        </w:tc>
      </w:tr>
      <w:tr w:rsidR="009E1EAF" w:rsidRPr="00BF5B1B" w:rsidTr="00D13EC4">
        <w:tc>
          <w:tcPr>
            <w:tcW w:w="2904" w:type="dxa"/>
            <w:vMerge/>
          </w:tcPr>
          <w:p w:rsidR="009E1EAF" w:rsidRPr="00BF5B1B" w:rsidRDefault="009E1EAF" w:rsidP="000021B8"/>
        </w:tc>
        <w:tc>
          <w:tcPr>
            <w:tcW w:w="1911" w:type="dxa"/>
            <w:vMerge/>
          </w:tcPr>
          <w:p w:rsidR="009E1EAF" w:rsidRPr="00BF5B1B" w:rsidRDefault="009E1EAF" w:rsidP="000021B8"/>
        </w:tc>
        <w:tc>
          <w:tcPr>
            <w:tcW w:w="1981" w:type="dxa"/>
          </w:tcPr>
          <w:p w:rsidR="009E1EAF" w:rsidRPr="00BF5B1B" w:rsidRDefault="009E1EAF" w:rsidP="000021B8">
            <w:r w:rsidRPr="00BF5B1B">
              <w:t>UMEC</w:t>
            </w:r>
          </w:p>
        </w:tc>
        <w:tc>
          <w:tcPr>
            <w:tcW w:w="1924" w:type="dxa"/>
          </w:tcPr>
          <w:p w:rsidR="009E1EAF" w:rsidRPr="00BF5B1B" w:rsidRDefault="009E1EAF" w:rsidP="000021B8">
            <w:r w:rsidRPr="00BF5B1B">
              <w:t>AC4113073</w:t>
            </w:r>
          </w:p>
        </w:tc>
      </w:tr>
      <w:tr w:rsidR="009E1EAF" w:rsidRPr="00BF5B1B" w:rsidTr="00D13EC4">
        <w:tc>
          <w:tcPr>
            <w:tcW w:w="2904" w:type="dxa"/>
            <w:vMerge/>
          </w:tcPr>
          <w:p w:rsidR="009E1EAF" w:rsidRPr="00BF5B1B" w:rsidRDefault="009E1EAF" w:rsidP="000021B8"/>
        </w:tc>
        <w:tc>
          <w:tcPr>
            <w:tcW w:w="1911" w:type="dxa"/>
            <w:vMerge/>
          </w:tcPr>
          <w:p w:rsidR="009E1EAF" w:rsidRPr="00BF5B1B" w:rsidRDefault="009E1EAF" w:rsidP="000021B8"/>
        </w:tc>
        <w:tc>
          <w:tcPr>
            <w:tcW w:w="1981" w:type="dxa"/>
          </w:tcPr>
          <w:p w:rsidR="009E1EAF" w:rsidRPr="00BF5B1B" w:rsidRDefault="009E1EAF" w:rsidP="000021B8">
            <w:r w:rsidRPr="00BF5B1B">
              <w:t>UMEC</w:t>
            </w:r>
          </w:p>
        </w:tc>
        <w:tc>
          <w:tcPr>
            <w:tcW w:w="1924" w:type="dxa"/>
          </w:tcPr>
          <w:p w:rsidR="009E1EAF" w:rsidRPr="00BF5B1B" w:rsidRDefault="009E1EAF" w:rsidP="000021B8">
            <w:r w:rsidRPr="00BF5B1B">
              <w:t>AC4115408</w:t>
            </w:r>
          </w:p>
        </w:tc>
      </w:tr>
      <w:tr w:rsidR="009E1EAF" w:rsidRPr="00BF5B1B" w:rsidTr="00D13EC4">
        <w:tc>
          <w:tcPr>
            <w:tcW w:w="2904" w:type="dxa"/>
            <w:vMerge/>
          </w:tcPr>
          <w:p w:rsidR="009E1EAF" w:rsidRPr="00BF5B1B" w:rsidRDefault="009E1EAF" w:rsidP="000021B8"/>
        </w:tc>
        <w:tc>
          <w:tcPr>
            <w:tcW w:w="1911" w:type="dxa"/>
            <w:vMerge/>
          </w:tcPr>
          <w:p w:rsidR="009E1EAF" w:rsidRPr="00BF5B1B" w:rsidRDefault="009E1EAF" w:rsidP="000021B8"/>
        </w:tc>
        <w:tc>
          <w:tcPr>
            <w:tcW w:w="1981" w:type="dxa"/>
          </w:tcPr>
          <w:p w:rsidR="009E1EAF" w:rsidRPr="00BF5B1B" w:rsidRDefault="009E1EAF" w:rsidP="000021B8">
            <w:r w:rsidRPr="00BF5B1B">
              <w:t>UMEC/VI</w:t>
            </w:r>
          </w:p>
        </w:tc>
        <w:tc>
          <w:tcPr>
            <w:tcW w:w="1924" w:type="dxa"/>
          </w:tcPr>
          <w:p w:rsidR="009E1EAF" w:rsidRPr="00BF5B1B" w:rsidRDefault="009E1EAF" w:rsidP="000021B8">
            <w:r w:rsidRPr="00BF5B1B">
              <w:t>DB2113361</w:t>
            </w:r>
          </w:p>
        </w:tc>
      </w:tr>
      <w:tr w:rsidR="009E1EAF" w:rsidRPr="00BF5B1B" w:rsidTr="00D13EC4">
        <w:tc>
          <w:tcPr>
            <w:tcW w:w="2904" w:type="dxa"/>
            <w:vMerge/>
          </w:tcPr>
          <w:p w:rsidR="009E1EAF" w:rsidRPr="00BF5B1B" w:rsidRDefault="009E1EAF" w:rsidP="000021B8"/>
        </w:tc>
        <w:tc>
          <w:tcPr>
            <w:tcW w:w="1911" w:type="dxa"/>
            <w:vMerge/>
          </w:tcPr>
          <w:p w:rsidR="009E1EAF" w:rsidRPr="00BF5B1B" w:rsidRDefault="009E1EAF" w:rsidP="000021B8"/>
        </w:tc>
        <w:tc>
          <w:tcPr>
            <w:tcW w:w="1981" w:type="dxa"/>
          </w:tcPr>
          <w:p w:rsidR="009E1EAF" w:rsidRPr="00BF5B1B" w:rsidRDefault="009E1EAF" w:rsidP="000021B8">
            <w:r w:rsidRPr="00BF5B1B">
              <w:t>UMEC/VI</w:t>
            </w:r>
          </w:p>
        </w:tc>
        <w:tc>
          <w:tcPr>
            <w:tcW w:w="1924" w:type="dxa"/>
          </w:tcPr>
          <w:p w:rsidR="009E1EAF" w:rsidRPr="00BF5B1B" w:rsidRDefault="009E1EAF" w:rsidP="000021B8">
            <w:r w:rsidRPr="00BF5B1B">
              <w:t>DB2113373</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Default="009E1EAF" w:rsidP="000021B8">
            <w:r w:rsidRPr="00BF5B1B">
              <w:t>FF/VI</w:t>
            </w:r>
          </w:p>
        </w:tc>
        <w:tc>
          <w:tcPr>
            <w:tcW w:w="1924" w:type="dxa"/>
          </w:tcPr>
          <w:p w:rsidR="009E1EAF" w:rsidRPr="00BF5B1B" w:rsidRDefault="009E1EAF" w:rsidP="000021B8">
            <w:pPr>
              <w:rPr>
                <w:rFonts w:ascii="Calibri" w:hAnsi="Calibri"/>
                <w:sz w:val="20"/>
                <w:szCs w:val="20"/>
              </w:rPr>
            </w:pPr>
            <w:r>
              <w:rPr>
                <w:rFonts w:ascii="Calibri" w:hAnsi="Calibri"/>
                <w:sz w:val="20"/>
                <w:szCs w:val="20"/>
              </w:rPr>
              <w:t>HZC111348</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Default="009E1EAF" w:rsidP="000021B8">
            <w:r w:rsidRPr="00BF5B1B">
              <w:t>FF/VI</w:t>
            </w:r>
          </w:p>
        </w:tc>
        <w:tc>
          <w:tcPr>
            <w:tcW w:w="1924" w:type="dxa"/>
          </w:tcPr>
          <w:p w:rsidR="009E1EAF" w:rsidRPr="00BF5B1B" w:rsidRDefault="009E1EAF" w:rsidP="000021B8">
            <w:pPr>
              <w:rPr>
                <w:rFonts w:ascii="Calibri" w:hAnsi="Calibri"/>
                <w:sz w:val="20"/>
                <w:szCs w:val="20"/>
              </w:rPr>
            </w:pPr>
            <w:r>
              <w:rPr>
                <w:rFonts w:ascii="Calibri" w:hAnsi="Calibri"/>
                <w:sz w:val="20"/>
                <w:szCs w:val="20"/>
              </w:rPr>
              <w:t>HZC110946</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Default="009E1EAF" w:rsidP="000021B8">
            <w:r w:rsidRPr="00BF5B1B">
              <w:t>UMEC/VI</w:t>
            </w:r>
          </w:p>
        </w:tc>
        <w:tc>
          <w:tcPr>
            <w:tcW w:w="1924" w:type="dxa"/>
          </w:tcPr>
          <w:p w:rsidR="009E1EAF" w:rsidRDefault="009E1EAF" w:rsidP="000021B8">
            <w:r w:rsidRPr="00BF5B1B">
              <w:t>DB2113120</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Pr="00BF5B1B" w:rsidRDefault="009E1EAF" w:rsidP="000021B8">
            <w:r w:rsidRPr="00ED4A24">
              <w:t>VI</w:t>
            </w:r>
          </w:p>
        </w:tc>
        <w:tc>
          <w:tcPr>
            <w:tcW w:w="1924" w:type="dxa"/>
          </w:tcPr>
          <w:p w:rsidR="009E1EAF" w:rsidRPr="00ED4A24" w:rsidRDefault="009E1EAF" w:rsidP="000021B8">
            <w:pPr>
              <w:rPr>
                <w:rFonts w:ascii="Calibri" w:hAnsi="Calibri"/>
                <w:sz w:val="20"/>
                <w:szCs w:val="20"/>
              </w:rPr>
            </w:pPr>
            <w:r w:rsidRPr="005C7B2C">
              <w:rPr>
                <w:rFonts w:ascii="Calibri" w:hAnsi="Calibri"/>
                <w:sz w:val="20"/>
                <w:szCs w:val="20"/>
              </w:rPr>
              <w:t>B2C111045</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Pr="00BF5B1B" w:rsidRDefault="009E1EAF" w:rsidP="000021B8">
            <w:r w:rsidRPr="00ED4A24">
              <w:t>VI</w:t>
            </w:r>
          </w:p>
        </w:tc>
        <w:tc>
          <w:tcPr>
            <w:tcW w:w="1924" w:type="dxa"/>
          </w:tcPr>
          <w:p w:rsidR="009E1EAF" w:rsidRPr="00BF5B1B" w:rsidRDefault="009E1EAF" w:rsidP="000021B8">
            <w:r w:rsidRPr="00ED4A24">
              <w:t>B2C108562</w:t>
            </w:r>
          </w:p>
        </w:tc>
      </w:tr>
      <w:tr w:rsidR="009E1EAF" w:rsidTr="00D13EC4">
        <w:tc>
          <w:tcPr>
            <w:tcW w:w="2904" w:type="dxa"/>
            <w:vMerge w:val="restart"/>
          </w:tcPr>
          <w:p w:rsidR="009E1EAF" w:rsidRDefault="009E1EAF" w:rsidP="000021B8">
            <w:r w:rsidRPr="00B1117E">
              <w:t>Hepatic impairment</w:t>
            </w:r>
          </w:p>
        </w:tc>
        <w:tc>
          <w:tcPr>
            <w:tcW w:w="1911" w:type="dxa"/>
            <w:vMerge w:val="restart"/>
          </w:tcPr>
          <w:p w:rsidR="009E1EAF" w:rsidRDefault="009E1EAF" w:rsidP="000021B8"/>
        </w:tc>
        <w:tc>
          <w:tcPr>
            <w:tcW w:w="1981" w:type="dxa"/>
          </w:tcPr>
          <w:p w:rsidR="009E1EAF" w:rsidRPr="00BF5B1B" w:rsidRDefault="009E1EAF" w:rsidP="000021B8">
            <w:r w:rsidRPr="00480D66">
              <w:t>UMEC/VI; UMEC</w:t>
            </w:r>
          </w:p>
        </w:tc>
        <w:tc>
          <w:tcPr>
            <w:tcW w:w="1924" w:type="dxa"/>
          </w:tcPr>
          <w:p w:rsidR="009E1EAF" w:rsidRPr="00BF5B1B" w:rsidRDefault="009E1EAF" w:rsidP="000021B8">
            <w:r w:rsidRPr="00480D66">
              <w:t>DB2114637</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Pr="00BF5B1B" w:rsidRDefault="009E1EAF" w:rsidP="000021B8">
            <w:r w:rsidRPr="00480D66">
              <w:t>FF/VI</w:t>
            </w:r>
          </w:p>
        </w:tc>
        <w:tc>
          <w:tcPr>
            <w:tcW w:w="1924" w:type="dxa"/>
          </w:tcPr>
          <w:p w:rsidR="009E1EAF" w:rsidRPr="00BF5B1B" w:rsidRDefault="009E1EAF" w:rsidP="000021B8">
            <w:r w:rsidRPr="00480D66">
              <w:t>H2A111789</w:t>
            </w:r>
          </w:p>
        </w:tc>
      </w:tr>
      <w:tr w:rsidR="009E1EAF" w:rsidTr="00D13EC4">
        <w:tc>
          <w:tcPr>
            <w:tcW w:w="2904" w:type="dxa"/>
            <w:vMerge w:val="restart"/>
          </w:tcPr>
          <w:p w:rsidR="009E1EAF" w:rsidRPr="00B1117E" w:rsidRDefault="009E1EAF" w:rsidP="000021B8">
            <w:r w:rsidRPr="00B1117E">
              <w:t>Renal impairment</w:t>
            </w:r>
          </w:p>
        </w:tc>
        <w:tc>
          <w:tcPr>
            <w:tcW w:w="1911" w:type="dxa"/>
            <w:vMerge w:val="restart"/>
          </w:tcPr>
          <w:p w:rsidR="009E1EAF" w:rsidRDefault="009E1EAF" w:rsidP="000021B8"/>
        </w:tc>
        <w:tc>
          <w:tcPr>
            <w:tcW w:w="1981" w:type="dxa"/>
          </w:tcPr>
          <w:p w:rsidR="009E1EAF" w:rsidRDefault="009E1EAF" w:rsidP="000021B8">
            <w:r w:rsidRPr="00480D66">
              <w:t>UMEC/VI; UMEC</w:t>
            </w:r>
          </w:p>
        </w:tc>
        <w:tc>
          <w:tcPr>
            <w:tcW w:w="1924" w:type="dxa"/>
          </w:tcPr>
          <w:p w:rsidR="009E1EAF" w:rsidRDefault="009E1EAF" w:rsidP="000021B8">
            <w:r w:rsidRPr="00480D66">
              <w:t>DB2114636</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Default="009E1EAF" w:rsidP="000021B8">
            <w:r w:rsidRPr="00480D66">
              <w:t>FF/VI</w:t>
            </w:r>
          </w:p>
        </w:tc>
        <w:tc>
          <w:tcPr>
            <w:tcW w:w="1924" w:type="dxa"/>
          </w:tcPr>
          <w:p w:rsidR="009E1EAF" w:rsidRDefault="009E1EAF" w:rsidP="000021B8">
            <w:r w:rsidRPr="00480D66">
              <w:t>H2A111789</w:t>
            </w:r>
          </w:p>
        </w:tc>
      </w:tr>
      <w:tr w:rsidR="009E1EAF" w:rsidTr="00D13EC4">
        <w:tc>
          <w:tcPr>
            <w:tcW w:w="6796" w:type="dxa"/>
            <w:gridSpan w:val="3"/>
          </w:tcPr>
          <w:p w:rsidR="009E1EAF" w:rsidRDefault="009E1EAF" w:rsidP="000021B8">
            <w:r w:rsidRPr="00B1117E">
              <w:t>Neonates/infants/children/adolescents</w:t>
            </w:r>
          </w:p>
        </w:tc>
        <w:tc>
          <w:tcPr>
            <w:tcW w:w="1924" w:type="dxa"/>
          </w:tcPr>
          <w:p w:rsidR="009E1EAF" w:rsidRDefault="009E1EAF" w:rsidP="000021B8">
            <w:r w:rsidRPr="00480D66">
              <w:t>No studies</w:t>
            </w:r>
          </w:p>
        </w:tc>
      </w:tr>
      <w:tr w:rsidR="009E1EAF" w:rsidTr="00D13EC4">
        <w:tc>
          <w:tcPr>
            <w:tcW w:w="6796" w:type="dxa"/>
            <w:gridSpan w:val="3"/>
          </w:tcPr>
          <w:p w:rsidR="009E1EAF" w:rsidRDefault="009E1EAF" w:rsidP="000021B8">
            <w:r w:rsidRPr="00B1117E">
              <w:t>Elderly</w:t>
            </w:r>
          </w:p>
        </w:tc>
        <w:tc>
          <w:tcPr>
            <w:tcW w:w="1924" w:type="dxa"/>
          </w:tcPr>
          <w:p w:rsidR="009E1EAF" w:rsidRDefault="009E1EAF" w:rsidP="000021B8">
            <w:r w:rsidRPr="00480D66">
              <w:t>No studies</w:t>
            </w:r>
          </w:p>
        </w:tc>
      </w:tr>
      <w:tr w:rsidR="009E1EAF" w:rsidTr="00D13EC4">
        <w:tc>
          <w:tcPr>
            <w:tcW w:w="2904" w:type="dxa"/>
            <w:vMerge w:val="restart"/>
          </w:tcPr>
          <w:p w:rsidR="009E1EAF" w:rsidRDefault="009E1EAF" w:rsidP="000021B8">
            <w:r w:rsidRPr="00B1117E">
              <w:t>Japanese Subjects</w:t>
            </w:r>
          </w:p>
        </w:tc>
        <w:tc>
          <w:tcPr>
            <w:tcW w:w="1911" w:type="dxa"/>
            <w:vMerge w:val="restart"/>
          </w:tcPr>
          <w:p w:rsidR="009E1EAF" w:rsidRDefault="009E1EAF" w:rsidP="000021B8"/>
        </w:tc>
        <w:tc>
          <w:tcPr>
            <w:tcW w:w="1981" w:type="dxa"/>
          </w:tcPr>
          <w:p w:rsidR="009E1EAF" w:rsidRDefault="009E1EAF" w:rsidP="000021B8">
            <w:r w:rsidRPr="00B1117E">
              <w:t>UMEC, UMEC/VI</w:t>
            </w:r>
          </w:p>
        </w:tc>
        <w:tc>
          <w:tcPr>
            <w:tcW w:w="1924" w:type="dxa"/>
          </w:tcPr>
          <w:p w:rsidR="009E1EAF" w:rsidRDefault="009E1EAF" w:rsidP="000021B8">
            <w:r w:rsidRPr="00B1117E">
              <w:t>DB2113208</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Default="009E1EAF" w:rsidP="000021B8">
            <w:r w:rsidRPr="00B1117E">
              <w:t>UMEC</w:t>
            </w:r>
          </w:p>
        </w:tc>
        <w:tc>
          <w:tcPr>
            <w:tcW w:w="1924" w:type="dxa"/>
          </w:tcPr>
          <w:p w:rsidR="009E1EAF" w:rsidRDefault="009E1EAF" w:rsidP="000021B8">
            <w:r w:rsidRPr="00B1117E">
              <w:t>AC4113377</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Default="009E1EAF" w:rsidP="000021B8">
            <w:r w:rsidRPr="00B1117E">
              <w:t>VI</w:t>
            </w:r>
          </w:p>
        </w:tc>
        <w:tc>
          <w:tcPr>
            <w:tcW w:w="1924" w:type="dxa"/>
          </w:tcPr>
          <w:p w:rsidR="009E1EAF" w:rsidRDefault="009E1EAF" w:rsidP="000021B8">
            <w:r w:rsidRPr="00B1117E">
              <w:t>DB1112146</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Default="009E1EAF" w:rsidP="000021B8">
            <w:r w:rsidRPr="00B1117E">
              <w:t>VI</w:t>
            </w:r>
          </w:p>
        </w:tc>
        <w:tc>
          <w:tcPr>
            <w:tcW w:w="1924" w:type="dxa"/>
          </w:tcPr>
          <w:p w:rsidR="009E1EAF" w:rsidRDefault="009E1EAF" w:rsidP="000021B8">
            <w:r w:rsidRPr="00B1117E">
              <w:t>DB1112017</w:t>
            </w:r>
          </w:p>
        </w:tc>
      </w:tr>
      <w:tr w:rsidR="009E1EAF" w:rsidTr="00D13EC4">
        <w:tc>
          <w:tcPr>
            <w:tcW w:w="2904" w:type="dxa"/>
            <w:vMerge/>
          </w:tcPr>
          <w:p w:rsidR="009E1EAF" w:rsidRDefault="009E1EAF" w:rsidP="000021B8"/>
        </w:tc>
        <w:tc>
          <w:tcPr>
            <w:tcW w:w="1911" w:type="dxa"/>
            <w:vMerge/>
          </w:tcPr>
          <w:p w:rsidR="009E1EAF" w:rsidRDefault="009E1EAF" w:rsidP="000021B8"/>
        </w:tc>
        <w:tc>
          <w:tcPr>
            <w:tcW w:w="1981" w:type="dxa"/>
          </w:tcPr>
          <w:p w:rsidR="009E1EAF" w:rsidRDefault="009E1EAF" w:rsidP="000021B8">
            <w:r w:rsidRPr="00B1117E">
              <w:t>VI/GW85698X</w:t>
            </w:r>
          </w:p>
        </w:tc>
        <w:tc>
          <w:tcPr>
            <w:tcW w:w="1924" w:type="dxa"/>
          </w:tcPr>
          <w:p w:rsidR="009E1EAF" w:rsidRDefault="009E1EAF" w:rsidP="000021B8">
            <w:r w:rsidRPr="00B1117E">
              <w:t>HZA102940</w:t>
            </w:r>
          </w:p>
        </w:tc>
      </w:tr>
      <w:tr w:rsidR="009E1EAF" w:rsidTr="000021B8">
        <w:tc>
          <w:tcPr>
            <w:tcW w:w="8720" w:type="dxa"/>
            <w:gridSpan w:val="4"/>
          </w:tcPr>
          <w:p w:rsidR="009E1EAF" w:rsidRDefault="009E1EAF" w:rsidP="000021B8">
            <w:r w:rsidRPr="00B1117E">
              <w:t>Genetic/gender-related PK</w:t>
            </w:r>
          </w:p>
        </w:tc>
      </w:tr>
      <w:tr w:rsidR="009E1EAF" w:rsidTr="00D13EC4">
        <w:tc>
          <w:tcPr>
            <w:tcW w:w="2904" w:type="dxa"/>
          </w:tcPr>
          <w:p w:rsidR="009E1EAF" w:rsidRDefault="009E1EAF" w:rsidP="000021B8"/>
        </w:tc>
        <w:tc>
          <w:tcPr>
            <w:tcW w:w="1911" w:type="dxa"/>
          </w:tcPr>
          <w:p w:rsidR="009E1EAF" w:rsidRDefault="009E1EAF" w:rsidP="000021B8">
            <w:r w:rsidRPr="00B1117E">
              <w:t>Males vs. females</w:t>
            </w:r>
          </w:p>
        </w:tc>
        <w:tc>
          <w:tcPr>
            <w:tcW w:w="1981" w:type="dxa"/>
          </w:tcPr>
          <w:p w:rsidR="009E1EAF" w:rsidRDefault="009E1EAF" w:rsidP="000021B8"/>
        </w:tc>
        <w:tc>
          <w:tcPr>
            <w:tcW w:w="1924" w:type="dxa"/>
          </w:tcPr>
          <w:p w:rsidR="009E1EAF" w:rsidRDefault="009E1EAF" w:rsidP="000021B8">
            <w:r w:rsidRPr="00B1117E">
              <w:t>No studies</w:t>
            </w:r>
          </w:p>
        </w:tc>
      </w:tr>
      <w:tr w:rsidR="009E1EAF" w:rsidTr="00D13EC4">
        <w:tc>
          <w:tcPr>
            <w:tcW w:w="2904" w:type="dxa"/>
          </w:tcPr>
          <w:p w:rsidR="009E1EAF" w:rsidRDefault="009E1EAF" w:rsidP="000021B8"/>
        </w:tc>
        <w:tc>
          <w:tcPr>
            <w:tcW w:w="1911" w:type="dxa"/>
          </w:tcPr>
          <w:p w:rsidR="009E1EAF" w:rsidRDefault="009E1EAF" w:rsidP="000021B8">
            <w:r w:rsidRPr="00B1117E">
              <w:t>CYP2D6</w:t>
            </w:r>
          </w:p>
        </w:tc>
        <w:tc>
          <w:tcPr>
            <w:tcW w:w="1981" w:type="dxa"/>
          </w:tcPr>
          <w:p w:rsidR="009E1EAF" w:rsidRDefault="009E1EAF" w:rsidP="000021B8">
            <w:r w:rsidRPr="00B1117E">
              <w:t>UMEC</w:t>
            </w:r>
          </w:p>
        </w:tc>
        <w:tc>
          <w:tcPr>
            <w:tcW w:w="1924" w:type="dxa"/>
          </w:tcPr>
          <w:p w:rsidR="009E1EAF" w:rsidRDefault="009E1EAF" w:rsidP="000021B8">
            <w:r w:rsidRPr="00B1117E">
              <w:t>AC4110106</w:t>
            </w:r>
          </w:p>
        </w:tc>
      </w:tr>
      <w:tr w:rsidR="009E1EAF" w:rsidTr="000021B8">
        <w:tc>
          <w:tcPr>
            <w:tcW w:w="8720" w:type="dxa"/>
            <w:gridSpan w:val="4"/>
          </w:tcPr>
          <w:p w:rsidR="009E1EAF" w:rsidRDefault="009E1EAF" w:rsidP="000021B8">
            <w:r w:rsidRPr="00B1117E">
              <w:t>PK interactions</w:t>
            </w:r>
          </w:p>
        </w:tc>
      </w:tr>
      <w:tr w:rsidR="009E1EAF" w:rsidTr="00D13EC4">
        <w:tc>
          <w:tcPr>
            <w:tcW w:w="2904" w:type="dxa"/>
          </w:tcPr>
          <w:p w:rsidR="009E1EAF" w:rsidRDefault="009E1EAF" w:rsidP="000021B8"/>
        </w:tc>
        <w:tc>
          <w:tcPr>
            <w:tcW w:w="1911" w:type="dxa"/>
          </w:tcPr>
          <w:p w:rsidR="009E1EAF" w:rsidRDefault="009E1EAF" w:rsidP="000021B8">
            <w:r w:rsidRPr="00B1117E">
              <w:t>Verapamil</w:t>
            </w:r>
          </w:p>
        </w:tc>
        <w:tc>
          <w:tcPr>
            <w:tcW w:w="1981" w:type="dxa"/>
          </w:tcPr>
          <w:p w:rsidR="009E1EAF" w:rsidRDefault="009E1EAF" w:rsidP="000021B8"/>
        </w:tc>
        <w:tc>
          <w:tcPr>
            <w:tcW w:w="1924" w:type="dxa"/>
          </w:tcPr>
          <w:p w:rsidR="009E1EAF" w:rsidRDefault="009E1EAF" w:rsidP="000021B8">
            <w:r w:rsidRPr="00B1117E">
              <w:t>DB2113950</w:t>
            </w:r>
          </w:p>
        </w:tc>
      </w:tr>
      <w:tr w:rsidR="009E1EAF" w:rsidTr="00D13EC4">
        <w:tc>
          <w:tcPr>
            <w:tcW w:w="2904" w:type="dxa"/>
          </w:tcPr>
          <w:p w:rsidR="009E1EAF" w:rsidRDefault="009E1EAF" w:rsidP="000021B8"/>
        </w:tc>
        <w:tc>
          <w:tcPr>
            <w:tcW w:w="1911" w:type="dxa"/>
          </w:tcPr>
          <w:p w:rsidR="009E1EAF" w:rsidRDefault="009E1EAF" w:rsidP="000021B8">
            <w:r w:rsidRPr="00B1117E">
              <w:t>Ketoconazole</w:t>
            </w:r>
          </w:p>
        </w:tc>
        <w:tc>
          <w:tcPr>
            <w:tcW w:w="1981" w:type="dxa"/>
          </w:tcPr>
          <w:p w:rsidR="009E1EAF" w:rsidRDefault="009E1EAF" w:rsidP="000021B8"/>
        </w:tc>
        <w:tc>
          <w:tcPr>
            <w:tcW w:w="1924" w:type="dxa"/>
          </w:tcPr>
          <w:p w:rsidR="009E1EAF" w:rsidRDefault="009E1EAF" w:rsidP="000021B8">
            <w:r w:rsidRPr="00B1117E">
              <w:t>B2C112205</w:t>
            </w:r>
          </w:p>
        </w:tc>
      </w:tr>
      <w:tr w:rsidR="009E1EAF" w:rsidTr="00D13EC4">
        <w:tc>
          <w:tcPr>
            <w:tcW w:w="2904" w:type="dxa"/>
          </w:tcPr>
          <w:p w:rsidR="009E1EAF" w:rsidRDefault="009E1EAF" w:rsidP="000021B8"/>
        </w:tc>
        <w:tc>
          <w:tcPr>
            <w:tcW w:w="1911" w:type="dxa"/>
          </w:tcPr>
          <w:p w:rsidR="009E1EAF" w:rsidRDefault="009E1EAF" w:rsidP="000021B8">
            <w:r w:rsidRPr="00B1117E">
              <w:t>Ketoconazole</w:t>
            </w:r>
          </w:p>
        </w:tc>
        <w:tc>
          <w:tcPr>
            <w:tcW w:w="1981" w:type="dxa"/>
          </w:tcPr>
          <w:p w:rsidR="009E1EAF" w:rsidRDefault="009E1EAF" w:rsidP="000021B8"/>
        </w:tc>
        <w:tc>
          <w:tcPr>
            <w:tcW w:w="1924" w:type="dxa"/>
          </w:tcPr>
          <w:p w:rsidR="009E1EAF" w:rsidRDefault="009E1EAF" w:rsidP="000021B8">
            <w:r w:rsidRPr="00B1117E">
              <w:t>H2A105548</w:t>
            </w:r>
          </w:p>
        </w:tc>
      </w:tr>
      <w:tr w:rsidR="009E1EAF" w:rsidTr="000021B8">
        <w:tc>
          <w:tcPr>
            <w:tcW w:w="8720" w:type="dxa"/>
            <w:gridSpan w:val="4"/>
          </w:tcPr>
          <w:p w:rsidR="009E1EAF" w:rsidRDefault="009E1EAF" w:rsidP="000021B8">
            <w:r w:rsidRPr="00B1117E">
              <w:lastRenderedPageBreak/>
              <w:t>Population PK analyses</w:t>
            </w:r>
          </w:p>
        </w:tc>
      </w:tr>
      <w:tr w:rsidR="009E1EAF" w:rsidTr="00D13EC4">
        <w:tc>
          <w:tcPr>
            <w:tcW w:w="2904" w:type="dxa"/>
          </w:tcPr>
          <w:p w:rsidR="009E1EAF" w:rsidRDefault="009E1EAF" w:rsidP="000021B8"/>
        </w:tc>
        <w:tc>
          <w:tcPr>
            <w:tcW w:w="1911" w:type="dxa"/>
          </w:tcPr>
          <w:p w:rsidR="009E1EAF" w:rsidRDefault="009E1EAF" w:rsidP="000021B8"/>
        </w:tc>
        <w:tc>
          <w:tcPr>
            <w:tcW w:w="1981" w:type="dxa"/>
          </w:tcPr>
          <w:p w:rsidR="009E1EAF" w:rsidRDefault="009E1EAF" w:rsidP="000021B8"/>
        </w:tc>
        <w:tc>
          <w:tcPr>
            <w:tcW w:w="1924" w:type="dxa"/>
          </w:tcPr>
          <w:p w:rsidR="009E1EAF" w:rsidRDefault="009E1EAF" w:rsidP="000021B8">
            <w:r w:rsidRPr="00362FE8">
              <w:t>DB2116975</w:t>
            </w:r>
            <w:r w:rsidR="003B5481">
              <w:t xml:space="preserve"> </w:t>
            </w:r>
            <w:r w:rsidRPr="00362FE8">
              <w:t>2011N122282</w:t>
            </w:r>
            <w:r w:rsidR="003B5481">
              <w:t xml:space="preserve"> </w:t>
            </w:r>
            <w:r w:rsidRPr="00362FE8">
              <w:t>2011N130718</w:t>
            </w:r>
          </w:p>
        </w:tc>
      </w:tr>
    </w:tbl>
    <w:p w:rsidR="003331B8" w:rsidRPr="009E1EAF" w:rsidRDefault="009E1EAF" w:rsidP="003B5481">
      <w:pPr>
        <w:pStyle w:val="TableDescription"/>
      </w:pPr>
      <w:r w:rsidRPr="005C7B2C">
        <w:t>§ Subjects who would be eligible to receive the drug if approved for the proposed indication.</w:t>
      </w:r>
    </w:p>
    <w:p w:rsidR="003331B8" w:rsidRPr="003331B8" w:rsidRDefault="003331B8" w:rsidP="00D13EC4">
      <w:r w:rsidRPr="00105BA8">
        <w:t xml:space="preserve">None of the </w:t>
      </w:r>
      <w:r w:rsidR="006D08A2">
        <w:t>PK</w:t>
      </w:r>
      <w:r w:rsidRPr="00105BA8">
        <w:t xml:space="preserve"> studies had deficiencies that excluded their results from consideration.</w:t>
      </w:r>
    </w:p>
    <w:p w:rsidR="00605AD4" w:rsidRDefault="00605AD4" w:rsidP="008C62CF">
      <w:pPr>
        <w:pStyle w:val="Heading4"/>
      </w:pPr>
      <w:r>
        <w:t xml:space="preserve">Evaluator’s </w:t>
      </w:r>
      <w:r w:rsidR="00551265">
        <w:t xml:space="preserve">summary and </w:t>
      </w:r>
      <w:r>
        <w:t xml:space="preserve">conclusions on </w:t>
      </w:r>
      <w:r w:rsidRPr="008C62CF">
        <w:t>pharmacokinetics</w:t>
      </w:r>
    </w:p>
    <w:p w:rsidR="003331B8" w:rsidRPr="00B31134" w:rsidRDefault="003331B8" w:rsidP="00D13EC4">
      <w:r w:rsidRPr="00B31134">
        <w:t>P</w:t>
      </w:r>
      <w:r w:rsidR="009E1EAF">
        <w:t>harmacokinetic</w:t>
      </w:r>
      <w:r w:rsidRPr="00B31134">
        <w:t xml:space="preserve"> studies presented appear to have been carefully conducted with appropriate methodological considerations using validated analytical methods. There were no specific studies conducted with respect to the effect of age on PK parameters. The sponsor has relied on a population PK study to gauge any clinically relevant effects. Similarly it is not clear that the sponsor has fulfilled the guidelines with respect to evaluating the bioequivalence requirements of the guidelines with respect to comparing each component medication alone with the values obtained with</w:t>
      </w:r>
      <w:r w:rsidR="00B35898">
        <w:t xml:space="preserve"> administering the combination.</w:t>
      </w:r>
    </w:p>
    <w:p w:rsidR="003331B8" w:rsidRPr="00B31134" w:rsidRDefault="003331B8" w:rsidP="00D13EC4">
      <w:r w:rsidRPr="00B31134">
        <w:t>Three studies were conducted which allowed for the evaluation of a potential PK interaction</w:t>
      </w:r>
      <w:r>
        <w:t xml:space="preserve"> between UMEC and VI (DB2114635</w:t>
      </w:r>
      <w:r w:rsidR="00A96F2C">
        <w:t>; DB2113208</w:t>
      </w:r>
      <w:r>
        <w:t>; DB2113950</w:t>
      </w:r>
      <w:r w:rsidRPr="00B31134">
        <w:t xml:space="preserve">) although none were specifically designed for this purpose. When UMEC and VI were administered in combination by the </w:t>
      </w:r>
      <w:r w:rsidR="00B10EA2">
        <w:t xml:space="preserve">inhalation </w:t>
      </w:r>
      <w:r w:rsidRPr="00B31134">
        <w:t>route, the PK parameters for each component were similar to those observed when each active substance was administered separately. Simila</w:t>
      </w:r>
      <w:r w:rsidR="00C7195F">
        <w:t>r results were observed in p</w:t>
      </w:r>
      <w:r w:rsidRPr="00B31134">
        <w:t>opulation PK analyses (DB2116975) at the proposed therapeutic doses.</w:t>
      </w:r>
    </w:p>
    <w:p w:rsidR="003331B8" w:rsidRPr="00B31134" w:rsidRDefault="003331B8" w:rsidP="00D13EC4">
      <w:r w:rsidRPr="00B31134">
        <w:t xml:space="preserve">Inhaled UMEC is rapidly absorbed, with median </w:t>
      </w:r>
      <w:r w:rsidR="003476A7" w:rsidRPr="003476A7">
        <w:t xml:space="preserve">time of </w:t>
      </w:r>
      <w:r w:rsidR="003476A7" w:rsidRPr="00C7195F">
        <w:t xml:space="preserve">occurrence of </w:t>
      </w:r>
      <w:proofErr w:type="spellStart"/>
      <w:r w:rsidR="003476A7" w:rsidRPr="00C7195F">
        <w:t>C</w:t>
      </w:r>
      <w:r w:rsidR="003476A7" w:rsidRPr="00C7195F">
        <w:rPr>
          <w:vertAlign w:val="subscript"/>
        </w:rPr>
        <w:t>max</w:t>
      </w:r>
      <w:proofErr w:type="spellEnd"/>
      <w:r w:rsidR="003476A7" w:rsidRPr="00C7195F">
        <w:t xml:space="preserve"> (</w:t>
      </w:r>
      <w:proofErr w:type="spellStart"/>
      <w:r w:rsidRPr="00C7195F">
        <w:t>t</w:t>
      </w:r>
      <w:r w:rsidRPr="00C7195F">
        <w:rPr>
          <w:vertAlign w:val="subscript"/>
        </w:rPr>
        <w:t>max</w:t>
      </w:r>
      <w:proofErr w:type="spellEnd"/>
      <w:r w:rsidR="003476A7" w:rsidRPr="00C7195F">
        <w:t>)</w:t>
      </w:r>
      <w:r w:rsidRPr="00C7195F">
        <w:t xml:space="preserve"> of 5 to 15 </w:t>
      </w:r>
      <w:r w:rsidRPr="00B31134">
        <w:t>minutes, followed by rapid disposition from the systemic circulation. Both plasma and urine data demons</w:t>
      </w:r>
      <w:r>
        <w:t xml:space="preserve">trated approximately 2 </w:t>
      </w:r>
      <w:r w:rsidRPr="00B31134">
        <w:t>fold accumulation in UMEC systemic exposure following 7 days of dosing. At the proposed therapeutic doses of 62.5</w:t>
      </w:r>
      <w:r>
        <w:t xml:space="preserve"> </w:t>
      </w:r>
      <w:r w:rsidRPr="00B31134">
        <w:t>µg and 125</w:t>
      </w:r>
      <w:r>
        <w:t xml:space="preserve"> </w:t>
      </w:r>
      <w:r w:rsidRPr="00B31134">
        <w:t>µg, UMEC exposure was dose proportional. Following repeat dose UMEC/VI 125/25</w:t>
      </w:r>
      <w:r>
        <w:t xml:space="preserve"> </w:t>
      </w:r>
      <w:r w:rsidRPr="00B31134">
        <w:t>µg to healthy subjects, plasma elimination half-life of UMEC averaged 19 hours (9</w:t>
      </w:r>
      <w:r>
        <w:t xml:space="preserve">5% confidence interval (CI): 13 to </w:t>
      </w:r>
      <w:r w:rsidRPr="00B31134">
        <w:t>29</w:t>
      </w:r>
      <w:r w:rsidR="009E1EAF">
        <w:t xml:space="preserve"> </w:t>
      </w:r>
      <w:r w:rsidRPr="00B31134">
        <w:t>h</w:t>
      </w:r>
      <w:r w:rsidR="009E1EAF">
        <w:t>ours</w:t>
      </w:r>
      <w:r w:rsidRPr="00B31134">
        <w:t xml:space="preserve">), with 3% to 4% of drug excreted unchanged in urine at steady state. Inhaled VI is rapidly absorbed, with </w:t>
      </w:r>
      <w:proofErr w:type="spellStart"/>
      <w:r w:rsidRPr="00B31134">
        <w:t>t</w:t>
      </w:r>
      <w:r w:rsidRPr="00411DAA">
        <w:rPr>
          <w:vertAlign w:val="subscript"/>
        </w:rPr>
        <w:t>max</w:t>
      </w:r>
      <w:proofErr w:type="spellEnd"/>
      <w:r w:rsidRPr="00B31134">
        <w:t xml:space="preserve"> values of 7 to 10 minutes, followed by rapid </w:t>
      </w:r>
      <w:r w:rsidR="009E1EAF">
        <w:t>disappearance</w:t>
      </w:r>
      <w:r w:rsidRPr="00B31134">
        <w:t xml:space="preserve"> from the systemic circulation attributed to both moderate to high clearance and wide distribution in tissue compartments. P</w:t>
      </w:r>
      <w:r>
        <w:t xml:space="preserve">lasma data suggested an up to 2 </w:t>
      </w:r>
      <w:r w:rsidRPr="00B31134">
        <w:t>fold accumulation following 28 days of repeat dosing. Following repeat dose UMEC/VI 125/25</w:t>
      </w:r>
      <w:r w:rsidR="00A96F2C">
        <w:t> </w:t>
      </w:r>
      <w:r w:rsidRPr="00B31134">
        <w:t xml:space="preserve">µg to healthy subjects, plasma elimination half-life of </w:t>
      </w:r>
      <w:r>
        <w:t xml:space="preserve">VI averaged 11 hours (95% CI: 8 to </w:t>
      </w:r>
      <w:r w:rsidRPr="00B31134">
        <w:t>13</w:t>
      </w:r>
      <w:r w:rsidR="009E1EAF">
        <w:t xml:space="preserve"> </w:t>
      </w:r>
      <w:r w:rsidRPr="00B31134">
        <w:t>h</w:t>
      </w:r>
      <w:r w:rsidR="009E1EAF">
        <w:t>ours</w:t>
      </w:r>
      <w:r w:rsidRPr="00B31134">
        <w:t>) with no detectable VI excreted in urine.</w:t>
      </w:r>
    </w:p>
    <w:p w:rsidR="003331B8" w:rsidRPr="00B31134" w:rsidRDefault="003331B8" w:rsidP="00D13EC4">
      <w:r w:rsidRPr="00B31134">
        <w:t xml:space="preserve">Weight and age were statistically significant covariates on apparent </w:t>
      </w:r>
      <w:r w:rsidRPr="00A96F2C">
        <w:t xml:space="preserve">clearance of inhaled </w:t>
      </w:r>
      <w:r w:rsidRPr="00B31134">
        <w:t xml:space="preserve">UMEC and VI; and weight was a significant covariate on UMEC </w:t>
      </w:r>
      <w:r w:rsidR="00A96F2C">
        <w:t xml:space="preserve">apparent volume of distribution. </w:t>
      </w:r>
      <w:r w:rsidRPr="00B31134">
        <w:t xml:space="preserve">The magnitude of effect of these covariates on UMEC and VI exposure was small and does not warrant dose adjustment. Gender, post salbutamol reversibility, post salbutamol and ipratropium reversibility, use of </w:t>
      </w:r>
      <w:r w:rsidR="00551265" w:rsidRPr="00551265">
        <w:t xml:space="preserve">inhaled corticosteroid </w:t>
      </w:r>
      <w:r w:rsidR="00551265">
        <w:t>(</w:t>
      </w:r>
      <w:r w:rsidRPr="00B31134">
        <w:t>ICS</w:t>
      </w:r>
      <w:r w:rsidR="00551265">
        <w:t>)</w:t>
      </w:r>
      <w:r w:rsidRPr="00B31134">
        <w:t xml:space="preserve"> at screening, smoking status, race, and percent predicted baseline </w:t>
      </w:r>
      <w:r w:rsidR="009E1EAF" w:rsidRPr="009E1EAF">
        <w:t xml:space="preserve">forced expiratory volume in 1 second </w:t>
      </w:r>
      <w:r w:rsidR="009E1EAF">
        <w:t>(</w:t>
      </w:r>
      <w:r w:rsidRPr="00B31134">
        <w:t>FEV1</w:t>
      </w:r>
      <w:r w:rsidR="009E1EAF">
        <w:t>)</w:t>
      </w:r>
      <w:r w:rsidRPr="00B31134">
        <w:t xml:space="preserve"> did not significantly affect UMEC and VI PK.</w:t>
      </w:r>
    </w:p>
    <w:p w:rsidR="003331B8" w:rsidRPr="00B31134" w:rsidRDefault="003331B8" w:rsidP="00D13EC4">
      <w:r w:rsidRPr="00B31134">
        <w:t>Neither UMEC 125</w:t>
      </w:r>
      <w:r>
        <w:t xml:space="preserve"> </w:t>
      </w:r>
      <w:r w:rsidRPr="00B31134">
        <w:t>µg nor UMEC/VI 125/25</w:t>
      </w:r>
      <w:r>
        <w:t xml:space="preserve"> </w:t>
      </w:r>
      <w:r w:rsidRPr="00B31134">
        <w:t>µg administered to subjects with severe renal impairment resulted in clinically significant increases in either UMEC or VI systemic exposure. Therefore, no dose adjustment is recommended in patients with impaired renal function. Both UMEC 125</w:t>
      </w:r>
      <w:r>
        <w:t xml:space="preserve"> </w:t>
      </w:r>
      <w:r w:rsidRPr="00B31134">
        <w:t>µg and UMEC/VI 125/25</w:t>
      </w:r>
      <w:r>
        <w:t xml:space="preserve"> </w:t>
      </w:r>
      <w:r w:rsidRPr="00B31134">
        <w:t xml:space="preserve">µg administered to subjects with </w:t>
      </w:r>
      <w:r w:rsidRPr="00B31134">
        <w:lastRenderedPageBreak/>
        <w:t>moderate hepatic impairment led to UMEC and VI systemic exposures that were on average lower in the subjects with moderate hepatic impairment compared to healthy subjects. Therefore, no dose adjustment is recommended in patients with moderate hepatic impairment. UMEC/VI has not been studied in subjects with severe hepatic impairment.</w:t>
      </w:r>
    </w:p>
    <w:p w:rsidR="003331B8" w:rsidRPr="003331B8" w:rsidRDefault="003331B8" w:rsidP="00D13EC4">
      <w:r w:rsidRPr="00B31134">
        <w:t>UMEC is metaboli</w:t>
      </w:r>
      <w:r w:rsidR="009E1EAF">
        <w:t>s</w:t>
      </w:r>
      <w:r w:rsidR="000673C3">
        <w:t>ed principally by</w:t>
      </w:r>
      <w:r w:rsidRPr="00B31134">
        <w:t xml:space="preserve"> CYP2D6. There was no clinically significant difference in the systemic exposure to UMEC following 7 days of repeat inhaled dosing with UMEC doses up to 1000</w:t>
      </w:r>
      <w:r>
        <w:t xml:space="preserve"> </w:t>
      </w:r>
      <w:r w:rsidRPr="00B31134">
        <w:t>µg in a population of CYP2D6 poor metabolisers. No dose adjustment is recommended in patients using concomitant CYP2D6 inhibitors or subjects with genetic polymorphisms of CYP2D6 metabolism. The major routes of metabolism of VI in humans are mediated primarily by CYP3A4. Results from clinical drug interaction studies support the position that caution is advised when administering VI in the presence of strong CYP3A4 inhibitors. Both UMEC and VI are substrates of the P-</w:t>
      </w:r>
      <w:proofErr w:type="spellStart"/>
      <w:r w:rsidRPr="00B31134">
        <w:t>gp</w:t>
      </w:r>
      <w:proofErr w:type="spellEnd"/>
      <w:r w:rsidRPr="00B31134">
        <w:t xml:space="preserve"> transporter. Results from a clinical drug interaction study support the position that no dose adjustment is recommended in patients using concomita</w:t>
      </w:r>
      <w:r w:rsidR="00B35898">
        <w:t>nt P-</w:t>
      </w:r>
      <w:proofErr w:type="spellStart"/>
      <w:r w:rsidR="00B35898">
        <w:t>gp</w:t>
      </w:r>
      <w:proofErr w:type="spellEnd"/>
      <w:r w:rsidR="00B35898">
        <w:t xml:space="preserve"> transporter inhibitors.</w:t>
      </w:r>
    </w:p>
    <w:p w:rsidR="008E7846" w:rsidRDefault="008E7846" w:rsidP="00D13EC4">
      <w:pPr>
        <w:pStyle w:val="Heading3"/>
      </w:pPr>
      <w:bookmarkStart w:id="90" w:name="_Toc196046481"/>
      <w:bookmarkStart w:id="91" w:name="_Toc247691520"/>
      <w:bookmarkStart w:id="92" w:name="_Toc314842503"/>
      <w:bookmarkStart w:id="93" w:name="_Toc420577607"/>
      <w:r w:rsidRPr="00254787">
        <w:t>Pharmacodynamics</w:t>
      </w:r>
      <w:bookmarkEnd w:id="80"/>
      <w:bookmarkEnd w:id="90"/>
      <w:bookmarkEnd w:id="91"/>
      <w:bookmarkEnd w:id="92"/>
      <w:bookmarkEnd w:id="93"/>
    </w:p>
    <w:p w:rsidR="00605AD4" w:rsidRDefault="00605AD4" w:rsidP="00D13EC4">
      <w:pPr>
        <w:pStyle w:val="Heading4"/>
      </w:pPr>
      <w:r>
        <w:t>Studies providing pharmacodynamic</w:t>
      </w:r>
      <w:r w:rsidR="001A50F1">
        <w:t xml:space="preserve"> (</w:t>
      </w:r>
      <w:r w:rsidR="001A50F1" w:rsidRPr="001A50F1">
        <w:t>PD</w:t>
      </w:r>
      <w:r w:rsidR="001A50F1">
        <w:t>)</w:t>
      </w:r>
      <w:r>
        <w:t xml:space="preserve"> data</w:t>
      </w:r>
    </w:p>
    <w:p w:rsidR="003331B8" w:rsidRDefault="00C7195F" w:rsidP="00D13EC4">
      <w:r>
        <w:t>Table 5</w:t>
      </w:r>
      <w:r w:rsidR="003331B8" w:rsidRPr="00CB34FE">
        <w:t xml:space="preserve"> shows the studies relating to each </w:t>
      </w:r>
      <w:r w:rsidR="0080042C">
        <w:t>PD</w:t>
      </w:r>
      <w:r w:rsidR="003331B8" w:rsidRPr="00CB34FE">
        <w:t xml:space="preserve"> topic.</w:t>
      </w:r>
    </w:p>
    <w:p w:rsidR="00025E8E" w:rsidRPr="00394913" w:rsidRDefault="00C7195F" w:rsidP="00D13EC4">
      <w:pPr>
        <w:pStyle w:val="TableTitle"/>
      </w:pPr>
      <w:r w:rsidRPr="00394913">
        <w:t>Table 5</w:t>
      </w:r>
      <w:r w:rsidR="00025E8E" w:rsidRPr="00394913">
        <w:t xml:space="preserve"> Studies relating to each pharmacodynamic topic.</w:t>
      </w:r>
    </w:p>
    <w:tbl>
      <w:tblPr>
        <w:tblStyle w:val="TableTGAblue"/>
        <w:tblW w:w="0" w:type="auto"/>
        <w:tblLook w:val="04A0" w:firstRow="1" w:lastRow="0" w:firstColumn="1" w:lastColumn="0" w:noHBand="0" w:noVBand="1"/>
      </w:tblPr>
      <w:tblGrid>
        <w:gridCol w:w="3227"/>
        <w:gridCol w:w="2586"/>
        <w:gridCol w:w="1808"/>
      </w:tblGrid>
      <w:tr w:rsidR="00551265" w:rsidTr="00D13EC4">
        <w:trPr>
          <w:cnfStyle w:val="100000000000" w:firstRow="1" w:lastRow="0" w:firstColumn="0" w:lastColumn="0" w:oddVBand="0" w:evenVBand="0" w:oddHBand="0" w:evenHBand="0" w:firstRowFirstColumn="0" w:firstRowLastColumn="0" w:lastRowFirstColumn="0" w:lastRowLastColumn="0"/>
        </w:trPr>
        <w:tc>
          <w:tcPr>
            <w:tcW w:w="3227" w:type="dxa"/>
          </w:tcPr>
          <w:p w:rsidR="00551265" w:rsidRDefault="00551265" w:rsidP="00D13EC4">
            <w:r>
              <w:t>PD Topic</w:t>
            </w:r>
          </w:p>
        </w:tc>
        <w:tc>
          <w:tcPr>
            <w:tcW w:w="2586" w:type="dxa"/>
          </w:tcPr>
          <w:p w:rsidR="00551265" w:rsidRDefault="00551265" w:rsidP="00D13EC4">
            <w:r>
              <w:t>Subtopic</w:t>
            </w:r>
          </w:p>
        </w:tc>
        <w:tc>
          <w:tcPr>
            <w:tcW w:w="1808" w:type="dxa"/>
          </w:tcPr>
          <w:p w:rsidR="00551265" w:rsidRDefault="00551265" w:rsidP="00D13EC4">
            <w:r>
              <w:t>Study ID</w:t>
            </w:r>
          </w:p>
        </w:tc>
      </w:tr>
      <w:tr w:rsidR="00025E8E" w:rsidTr="00D13EC4">
        <w:tc>
          <w:tcPr>
            <w:tcW w:w="3227" w:type="dxa"/>
            <w:vMerge w:val="restart"/>
          </w:tcPr>
          <w:p w:rsidR="00025E8E" w:rsidRPr="008C62CF" w:rsidRDefault="00025E8E" w:rsidP="00D13EC4">
            <w:pPr>
              <w:rPr>
                <w:szCs w:val="22"/>
              </w:rPr>
            </w:pPr>
            <w:r w:rsidRPr="008C62CF">
              <w:rPr>
                <w:szCs w:val="22"/>
              </w:rPr>
              <w:t>Primary Pharmacology</w:t>
            </w:r>
          </w:p>
        </w:tc>
        <w:tc>
          <w:tcPr>
            <w:tcW w:w="2586" w:type="dxa"/>
          </w:tcPr>
          <w:p w:rsidR="00025E8E" w:rsidRPr="008C62CF" w:rsidRDefault="00025E8E" w:rsidP="00D13EC4">
            <w:pPr>
              <w:rPr>
                <w:szCs w:val="22"/>
              </w:rPr>
            </w:pPr>
            <w:r w:rsidRPr="008C62CF">
              <w:rPr>
                <w:szCs w:val="22"/>
              </w:rPr>
              <w:t xml:space="preserve">Effect on </w:t>
            </w:r>
            <w:proofErr w:type="spellStart"/>
            <w:r w:rsidRPr="008C62CF">
              <w:rPr>
                <w:szCs w:val="22"/>
              </w:rPr>
              <w:t>sGaw</w:t>
            </w:r>
            <w:proofErr w:type="spellEnd"/>
          </w:p>
        </w:tc>
        <w:tc>
          <w:tcPr>
            <w:tcW w:w="1808" w:type="dxa"/>
          </w:tcPr>
          <w:p w:rsidR="00025E8E" w:rsidRPr="008C62CF" w:rsidRDefault="00025E8E" w:rsidP="00D13EC4">
            <w:pPr>
              <w:rPr>
                <w:szCs w:val="22"/>
              </w:rPr>
            </w:pPr>
            <w:r w:rsidRPr="008C62CF">
              <w:rPr>
                <w:szCs w:val="22"/>
              </w:rPr>
              <w:t>AC4105209</w:t>
            </w:r>
            <w:r w:rsidR="00D13EC4" w:rsidRPr="008C62CF">
              <w:rPr>
                <w:szCs w:val="22"/>
              </w:rPr>
              <w:t xml:space="preserve"> </w:t>
            </w:r>
            <w:r w:rsidRPr="008C62CF">
              <w:rPr>
                <w:szCs w:val="22"/>
              </w:rPr>
              <w:t>AC4108123</w:t>
            </w:r>
            <w:r w:rsidR="00D13EC4" w:rsidRPr="008C62CF">
              <w:rPr>
                <w:szCs w:val="22"/>
              </w:rPr>
              <w:t xml:space="preserve"> </w:t>
            </w:r>
            <w:r w:rsidRPr="008C62CF">
              <w:rPr>
                <w:szCs w:val="22"/>
              </w:rPr>
              <w:t>B2C10001</w:t>
            </w:r>
          </w:p>
        </w:tc>
      </w:tr>
      <w:tr w:rsidR="00025E8E" w:rsidTr="00D13EC4">
        <w:tc>
          <w:tcPr>
            <w:tcW w:w="3227" w:type="dxa"/>
            <w:vMerge/>
          </w:tcPr>
          <w:p w:rsidR="00025E8E" w:rsidRPr="008C62CF" w:rsidRDefault="00025E8E" w:rsidP="00D13EC4">
            <w:pPr>
              <w:rPr>
                <w:szCs w:val="22"/>
              </w:rPr>
            </w:pPr>
          </w:p>
        </w:tc>
        <w:tc>
          <w:tcPr>
            <w:tcW w:w="2586" w:type="dxa"/>
          </w:tcPr>
          <w:p w:rsidR="00025E8E" w:rsidRPr="008C62CF" w:rsidRDefault="00025E8E" w:rsidP="00D13EC4">
            <w:pPr>
              <w:rPr>
                <w:szCs w:val="22"/>
              </w:rPr>
            </w:pPr>
            <w:r w:rsidRPr="008C62CF">
              <w:rPr>
                <w:szCs w:val="22"/>
              </w:rPr>
              <w:t>Effect on FEV1</w:t>
            </w:r>
          </w:p>
        </w:tc>
        <w:tc>
          <w:tcPr>
            <w:tcW w:w="1808" w:type="dxa"/>
          </w:tcPr>
          <w:p w:rsidR="00025E8E" w:rsidRPr="008C62CF" w:rsidRDefault="00025E8E" w:rsidP="00D13EC4">
            <w:pPr>
              <w:rPr>
                <w:szCs w:val="22"/>
              </w:rPr>
            </w:pPr>
            <w:r w:rsidRPr="008C62CF">
              <w:rPr>
                <w:szCs w:val="22"/>
              </w:rPr>
              <w:t>B2C110165</w:t>
            </w:r>
            <w:r w:rsidR="00D13EC4" w:rsidRPr="008C62CF">
              <w:rPr>
                <w:szCs w:val="22"/>
              </w:rPr>
              <w:t xml:space="preserve"> </w:t>
            </w:r>
            <w:r w:rsidRPr="008C62CF">
              <w:rPr>
                <w:szCs w:val="22"/>
              </w:rPr>
              <w:t>DB2113361</w:t>
            </w:r>
            <w:r w:rsidR="00D13EC4" w:rsidRPr="008C62CF">
              <w:rPr>
                <w:szCs w:val="22"/>
              </w:rPr>
              <w:t xml:space="preserve"> </w:t>
            </w:r>
            <w:r w:rsidRPr="008C62CF">
              <w:rPr>
                <w:szCs w:val="22"/>
              </w:rPr>
              <w:t>DB2113373</w:t>
            </w:r>
          </w:p>
        </w:tc>
      </w:tr>
      <w:tr w:rsidR="00025E8E" w:rsidTr="00D13EC4">
        <w:tc>
          <w:tcPr>
            <w:tcW w:w="3227" w:type="dxa"/>
            <w:vMerge w:val="restart"/>
          </w:tcPr>
          <w:p w:rsidR="00025E8E" w:rsidRPr="008C62CF" w:rsidRDefault="00025E8E" w:rsidP="00D13EC4">
            <w:pPr>
              <w:rPr>
                <w:szCs w:val="22"/>
              </w:rPr>
            </w:pPr>
            <w:r w:rsidRPr="008C62CF">
              <w:rPr>
                <w:szCs w:val="22"/>
              </w:rPr>
              <w:t>Secondary Pharmacology</w:t>
            </w:r>
          </w:p>
        </w:tc>
        <w:tc>
          <w:tcPr>
            <w:tcW w:w="2586" w:type="dxa"/>
            <w:vMerge w:val="restart"/>
          </w:tcPr>
          <w:p w:rsidR="00025E8E" w:rsidRPr="008C62CF" w:rsidRDefault="00025E8E" w:rsidP="00D13EC4">
            <w:pPr>
              <w:rPr>
                <w:szCs w:val="22"/>
              </w:rPr>
            </w:pPr>
            <w:r w:rsidRPr="008C62CF">
              <w:rPr>
                <w:szCs w:val="22"/>
              </w:rPr>
              <w:t xml:space="preserve">Effect on </w:t>
            </w:r>
            <w:proofErr w:type="spellStart"/>
            <w:r w:rsidRPr="008C62CF">
              <w:rPr>
                <w:szCs w:val="22"/>
              </w:rPr>
              <w:t>QTc</w:t>
            </w:r>
            <w:proofErr w:type="spellEnd"/>
            <w:r w:rsidR="005346B8" w:rsidRPr="008C62CF">
              <w:rPr>
                <w:rStyle w:val="FootnoteReference"/>
                <w:szCs w:val="22"/>
              </w:rPr>
              <w:footnoteReference w:id="8"/>
            </w:r>
            <w:r w:rsidRPr="008C62CF">
              <w:rPr>
                <w:szCs w:val="22"/>
              </w:rPr>
              <w:t xml:space="preserve"> Interval</w:t>
            </w:r>
          </w:p>
        </w:tc>
        <w:tc>
          <w:tcPr>
            <w:tcW w:w="1808" w:type="dxa"/>
          </w:tcPr>
          <w:p w:rsidR="00025E8E" w:rsidRPr="008C62CF" w:rsidRDefault="00025E8E" w:rsidP="00D13EC4">
            <w:pPr>
              <w:rPr>
                <w:szCs w:val="22"/>
              </w:rPr>
            </w:pPr>
            <w:r w:rsidRPr="008C62CF">
              <w:rPr>
                <w:szCs w:val="22"/>
              </w:rPr>
              <w:t>DB2114635</w:t>
            </w:r>
          </w:p>
        </w:tc>
      </w:tr>
      <w:tr w:rsidR="00025E8E" w:rsidTr="00D13EC4">
        <w:tc>
          <w:tcPr>
            <w:tcW w:w="3227" w:type="dxa"/>
            <w:vMerge/>
          </w:tcPr>
          <w:p w:rsidR="00025E8E" w:rsidRPr="008C62CF" w:rsidRDefault="00025E8E" w:rsidP="00D13EC4">
            <w:pPr>
              <w:rPr>
                <w:szCs w:val="22"/>
              </w:rPr>
            </w:pPr>
          </w:p>
        </w:tc>
        <w:tc>
          <w:tcPr>
            <w:tcW w:w="2586" w:type="dxa"/>
            <w:vMerge/>
          </w:tcPr>
          <w:p w:rsidR="00025E8E" w:rsidRPr="008C62CF" w:rsidRDefault="00025E8E" w:rsidP="00D13EC4">
            <w:pPr>
              <w:rPr>
                <w:szCs w:val="22"/>
              </w:rPr>
            </w:pPr>
          </w:p>
        </w:tc>
        <w:tc>
          <w:tcPr>
            <w:tcW w:w="1808" w:type="dxa"/>
          </w:tcPr>
          <w:p w:rsidR="00025E8E" w:rsidRPr="008C62CF" w:rsidRDefault="00025E8E" w:rsidP="00D13EC4">
            <w:pPr>
              <w:rPr>
                <w:szCs w:val="22"/>
              </w:rPr>
            </w:pPr>
            <w:r w:rsidRPr="008C62CF">
              <w:rPr>
                <w:szCs w:val="22"/>
              </w:rPr>
              <w:t>H2A102963</w:t>
            </w:r>
          </w:p>
        </w:tc>
      </w:tr>
      <w:tr w:rsidR="00025E8E" w:rsidTr="00D13EC4">
        <w:tc>
          <w:tcPr>
            <w:tcW w:w="3227" w:type="dxa"/>
            <w:vMerge/>
          </w:tcPr>
          <w:p w:rsidR="00025E8E" w:rsidRPr="008C62CF" w:rsidRDefault="00025E8E" w:rsidP="00D13EC4">
            <w:pPr>
              <w:rPr>
                <w:szCs w:val="22"/>
              </w:rPr>
            </w:pPr>
          </w:p>
        </w:tc>
        <w:tc>
          <w:tcPr>
            <w:tcW w:w="2586" w:type="dxa"/>
            <w:vMerge w:val="restart"/>
          </w:tcPr>
          <w:p w:rsidR="00025E8E" w:rsidRPr="008C62CF" w:rsidRDefault="00025E8E" w:rsidP="00D13EC4">
            <w:pPr>
              <w:rPr>
                <w:szCs w:val="22"/>
              </w:rPr>
            </w:pPr>
            <w:r w:rsidRPr="008C62CF">
              <w:rPr>
                <w:szCs w:val="22"/>
              </w:rPr>
              <w:t>Blood Glucose</w:t>
            </w:r>
          </w:p>
        </w:tc>
        <w:tc>
          <w:tcPr>
            <w:tcW w:w="1808" w:type="dxa"/>
          </w:tcPr>
          <w:p w:rsidR="00025E8E" w:rsidRPr="008C62CF" w:rsidRDefault="00025E8E" w:rsidP="00D13EC4">
            <w:pPr>
              <w:rPr>
                <w:szCs w:val="22"/>
              </w:rPr>
            </w:pPr>
            <w:r w:rsidRPr="008C62CF">
              <w:rPr>
                <w:szCs w:val="22"/>
              </w:rPr>
              <w:t>B2C108784</w:t>
            </w:r>
          </w:p>
        </w:tc>
      </w:tr>
      <w:tr w:rsidR="00025E8E" w:rsidTr="00D13EC4">
        <w:tc>
          <w:tcPr>
            <w:tcW w:w="3227" w:type="dxa"/>
            <w:vMerge/>
          </w:tcPr>
          <w:p w:rsidR="00025E8E" w:rsidRPr="008C62CF" w:rsidRDefault="00025E8E" w:rsidP="00D13EC4">
            <w:pPr>
              <w:rPr>
                <w:szCs w:val="22"/>
              </w:rPr>
            </w:pPr>
          </w:p>
        </w:tc>
        <w:tc>
          <w:tcPr>
            <w:tcW w:w="2586" w:type="dxa"/>
            <w:vMerge/>
          </w:tcPr>
          <w:p w:rsidR="00025E8E" w:rsidRPr="008C62CF" w:rsidRDefault="00025E8E" w:rsidP="00D13EC4">
            <w:pPr>
              <w:rPr>
                <w:szCs w:val="22"/>
              </w:rPr>
            </w:pPr>
          </w:p>
        </w:tc>
        <w:tc>
          <w:tcPr>
            <w:tcW w:w="1808" w:type="dxa"/>
          </w:tcPr>
          <w:p w:rsidR="00025E8E" w:rsidRPr="008C62CF" w:rsidRDefault="00025E8E" w:rsidP="00D13EC4">
            <w:pPr>
              <w:rPr>
                <w:szCs w:val="22"/>
              </w:rPr>
            </w:pPr>
            <w:r w:rsidRPr="008C62CF">
              <w:rPr>
                <w:szCs w:val="22"/>
              </w:rPr>
              <w:t>B2C110165</w:t>
            </w:r>
          </w:p>
        </w:tc>
      </w:tr>
      <w:tr w:rsidR="00025E8E" w:rsidTr="00D13EC4">
        <w:tc>
          <w:tcPr>
            <w:tcW w:w="3227" w:type="dxa"/>
            <w:vMerge/>
          </w:tcPr>
          <w:p w:rsidR="00025E8E" w:rsidRPr="008C62CF" w:rsidRDefault="00025E8E" w:rsidP="00D13EC4">
            <w:pPr>
              <w:rPr>
                <w:szCs w:val="22"/>
              </w:rPr>
            </w:pPr>
          </w:p>
        </w:tc>
        <w:tc>
          <w:tcPr>
            <w:tcW w:w="2586" w:type="dxa"/>
            <w:vMerge w:val="restart"/>
          </w:tcPr>
          <w:p w:rsidR="00025E8E" w:rsidRPr="008C62CF" w:rsidRDefault="00025E8E" w:rsidP="00D13EC4">
            <w:pPr>
              <w:rPr>
                <w:szCs w:val="22"/>
              </w:rPr>
            </w:pPr>
            <w:r w:rsidRPr="008C62CF">
              <w:rPr>
                <w:szCs w:val="22"/>
              </w:rPr>
              <w:t>Blood Potassium</w:t>
            </w:r>
          </w:p>
        </w:tc>
        <w:tc>
          <w:tcPr>
            <w:tcW w:w="1808" w:type="dxa"/>
          </w:tcPr>
          <w:p w:rsidR="00025E8E" w:rsidRPr="008C62CF" w:rsidRDefault="00025E8E" w:rsidP="00D13EC4">
            <w:pPr>
              <w:rPr>
                <w:szCs w:val="22"/>
              </w:rPr>
            </w:pPr>
            <w:r w:rsidRPr="008C62CF">
              <w:rPr>
                <w:szCs w:val="22"/>
              </w:rPr>
              <w:t>DB2113208</w:t>
            </w:r>
          </w:p>
        </w:tc>
      </w:tr>
      <w:tr w:rsidR="00025E8E" w:rsidTr="00D13EC4">
        <w:tc>
          <w:tcPr>
            <w:tcW w:w="3227" w:type="dxa"/>
            <w:vMerge/>
          </w:tcPr>
          <w:p w:rsidR="00025E8E" w:rsidRPr="008C62CF" w:rsidRDefault="00025E8E" w:rsidP="00D13EC4">
            <w:pPr>
              <w:rPr>
                <w:szCs w:val="22"/>
              </w:rPr>
            </w:pPr>
          </w:p>
        </w:tc>
        <w:tc>
          <w:tcPr>
            <w:tcW w:w="2586" w:type="dxa"/>
            <w:vMerge/>
          </w:tcPr>
          <w:p w:rsidR="00025E8E" w:rsidRPr="008C62CF" w:rsidRDefault="00025E8E" w:rsidP="00D13EC4">
            <w:pPr>
              <w:rPr>
                <w:szCs w:val="22"/>
              </w:rPr>
            </w:pPr>
          </w:p>
        </w:tc>
        <w:tc>
          <w:tcPr>
            <w:tcW w:w="1808" w:type="dxa"/>
          </w:tcPr>
          <w:p w:rsidR="00025E8E" w:rsidRPr="008C62CF" w:rsidRDefault="00025E8E" w:rsidP="00D13EC4">
            <w:pPr>
              <w:rPr>
                <w:szCs w:val="22"/>
              </w:rPr>
            </w:pPr>
            <w:r w:rsidRPr="008C62CF">
              <w:rPr>
                <w:szCs w:val="22"/>
              </w:rPr>
              <w:t>DB2113950</w:t>
            </w:r>
          </w:p>
        </w:tc>
      </w:tr>
      <w:tr w:rsidR="00551265" w:rsidTr="00D13EC4">
        <w:tc>
          <w:tcPr>
            <w:tcW w:w="3227" w:type="dxa"/>
          </w:tcPr>
          <w:p w:rsidR="00551265" w:rsidRPr="008C62CF" w:rsidRDefault="00025E8E" w:rsidP="00D13EC4">
            <w:pPr>
              <w:rPr>
                <w:szCs w:val="22"/>
              </w:rPr>
            </w:pPr>
            <w:r w:rsidRPr="008C62CF">
              <w:rPr>
                <w:szCs w:val="22"/>
              </w:rPr>
              <w:t xml:space="preserve">Gender, other genetic and </w:t>
            </w:r>
            <w:r w:rsidRPr="008C62CF">
              <w:rPr>
                <w:szCs w:val="22"/>
              </w:rPr>
              <w:lastRenderedPageBreak/>
              <w:t>Age related differences in PD Response</w:t>
            </w:r>
          </w:p>
        </w:tc>
        <w:tc>
          <w:tcPr>
            <w:tcW w:w="2586" w:type="dxa"/>
          </w:tcPr>
          <w:p w:rsidR="00551265" w:rsidRPr="008C62CF" w:rsidRDefault="00025E8E" w:rsidP="00D13EC4">
            <w:pPr>
              <w:rPr>
                <w:szCs w:val="22"/>
              </w:rPr>
            </w:pPr>
            <w:r w:rsidRPr="008C62CF">
              <w:rPr>
                <w:szCs w:val="22"/>
              </w:rPr>
              <w:lastRenderedPageBreak/>
              <w:t>Effect of Gender</w:t>
            </w:r>
          </w:p>
        </w:tc>
        <w:tc>
          <w:tcPr>
            <w:tcW w:w="1808" w:type="dxa"/>
          </w:tcPr>
          <w:p w:rsidR="00551265" w:rsidRPr="008C62CF" w:rsidRDefault="00025E8E" w:rsidP="00D13EC4">
            <w:pPr>
              <w:rPr>
                <w:szCs w:val="22"/>
              </w:rPr>
            </w:pPr>
            <w:r w:rsidRPr="008C62CF">
              <w:rPr>
                <w:szCs w:val="22"/>
              </w:rPr>
              <w:t>N/A</w:t>
            </w:r>
          </w:p>
        </w:tc>
      </w:tr>
      <w:tr w:rsidR="00551265" w:rsidTr="00D13EC4">
        <w:tc>
          <w:tcPr>
            <w:tcW w:w="3227" w:type="dxa"/>
          </w:tcPr>
          <w:p w:rsidR="00551265" w:rsidRPr="008C62CF" w:rsidRDefault="00025E8E" w:rsidP="00D13EC4">
            <w:pPr>
              <w:rPr>
                <w:szCs w:val="22"/>
              </w:rPr>
            </w:pPr>
            <w:r w:rsidRPr="008C62CF">
              <w:rPr>
                <w:szCs w:val="22"/>
              </w:rPr>
              <w:lastRenderedPageBreak/>
              <w:t>PD Interactions</w:t>
            </w:r>
          </w:p>
        </w:tc>
        <w:tc>
          <w:tcPr>
            <w:tcW w:w="2586" w:type="dxa"/>
          </w:tcPr>
          <w:p w:rsidR="00551265" w:rsidRPr="008C62CF" w:rsidRDefault="00025E8E" w:rsidP="00D13EC4">
            <w:pPr>
              <w:rPr>
                <w:szCs w:val="22"/>
              </w:rPr>
            </w:pPr>
            <w:r w:rsidRPr="008C62CF">
              <w:rPr>
                <w:szCs w:val="22"/>
              </w:rPr>
              <w:t xml:space="preserve">VI and </w:t>
            </w:r>
            <w:proofErr w:type="spellStart"/>
            <w:r w:rsidRPr="008C62CF">
              <w:rPr>
                <w:szCs w:val="22"/>
              </w:rPr>
              <w:t>ketaconazole</w:t>
            </w:r>
            <w:proofErr w:type="spellEnd"/>
          </w:p>
        </w:tc>
        <w:tc>
          <w:tcPr>
            <w:tcW w:w="1808" w:type="dxa"/>
          </w:tcPr>
          <w:p w:rsidR="00551265" w:rsidRPr="008C62CF" w:rsidRDefault="00025E8E" w:rsidP="00D13EC4">
            <w:pPr>
              <w:rPr>
                <w:szCs w:val="22"/>
              </w:rPr>
            </w:pPr>
            <w:r w:rsidRPr="008C62CF">
              <w:rPr>
                <w:szCs w:val="22"/>
              </w:rPr>
              <w:t>B2C112205</w:t>
            </w:r>
          </w:p>
        </w:tc>
      </w:tr>
      <w:tr w:rsidR="005346B8" w:rsidTr="00D13EC4">
        <w:tc>
          <w:tcPr>
            <w:tcW w:w="3227" w:type="dxa"/>
          </w:tcPr>
          <w:p w:rsidR="005346B8" w:rsidRPr="008C62CF" w:rsidRDefault="005346B8" w:rsidP="00D13EC4">
            <w:pPr>
              <w:rPr>
                <w:szCs w:val="22"/>
              </w:rPr>
            </w:pPr>
            <w:r w:rsidRPr="008C62CF">
              <w:rPr>
                <w:szCs w:val="22"/>
              </w:rPr>
              <w:t>Population PD and PK-PD analysis</w:t>
            </w:r>
          </w:p>
        </w:tc>
        <w:tc>
          <w:tcPr>
            <w:tcW w:w="2586" w:type="dxa"/>
          </w:tcPr>
          <w:p w:rsidR="005346B8" w:rsidRPr="008C62CF" w:rsidRDefault="005346B8" w:rsidP="00D13EC4">
            <w:pPr>
              <w:rPr>
                <w:szCs w:val="22"/>
              </w:rPr>
            </w:pPr>
          </w:p>
        </w:tc>
        <w:tc>
          <w:tcPr>
            <w:tcW w:w="1808" w:type="dxa"/>
          </w:tcPr>
          <w:p w:rsidR="005346B8" w:rsidRPr="008C62CF" w:rsidRDefault="005346B8" w:rsidP="00D13EC4">
            <w:pPr>
              <w:rPr>
                <w:szCs w:val="22"/>
              </w:rPr>
            </w:pPr>
            <w:r w:rsidRPr="008C62CF">
              <w:rPr>
                <w:szCs w:val="22"/>
              </w:rPr>
              <w:t>None</w:t>
            </w:r>
          </w:p>
        </w:tc>
      </w:tr>
    </w:tbl>
    <w:p w:rsidR="00605AD4" w:rsidRDefault="00605AD4" w:rsidP="00D13EC4">
      <w:pPr>
        <w:pStyle w:val="Heading4"/>
      </w:pPr>
      <w:r>
        <w:t>Evaluator’s conclusions on pharmacodynamics</w:t>
      </w:r>
    </w:p>
    <w:p w:rsidR="003331B8" w:rsidRPr="003331B8" w:rsidRDefault="003331B8" w:rsidP="00D13EC4">
      <w:r w:rsidRPr="003331B8">
        <w:t xml:space="preserve">Early phase healthy subject studies and studies in subjects with COPD demonstrated a clear </w:t>
      </w:r>
      <w:proofErr w:type="spellStart"/>
      <w:r w:rsidRPr="003331B8">
        <w:t>bronchodilatory</w:t>
      </w:r>
      <w:proofErr w:type="spellEnd"/>
      <w:r w:rsidRPr="003331B8">
        <w:t xml:space="preserve"> effect of both UMEC and VI. Bronchodilation was assessed by changes in specific airway conductance and forced expiratory volume. Evidence from these studies confirms bronchodilation as the therapeutic mechanism of action for UMEC/VI. In healthy subjects, UMEC 100 to 350 µg significantly increased bronchodilation compared with placebo up to 12</w:t>
      </w:r>
      <w:r w:rsidR="002745C1">
        <w:t xml:space="preserve"> hours </w:t>
      </w:r>
      <w:r w:rsidRPr="003331B8">
        <w:t>post dose, and to 24</w:t>
      </w:r>
      <w:r w:rsidR="002745C1">
        <w:t xml:space="preserve"> hours </w:t>
      </w:r>
      <w:r w:rsidRPr="003331B8">
        <w:t>post dose with 350 µg. In COPD patients 250 to 1000 µg provided superior bronchodilation compared to placebo up to 24</w:t>
      </w:r>
      <w:r w:rsidR="002745C1">
        <w:t xml:space="preserve"> hours </w:t>
      </w:r>
      <w:r w:rsidRPr="003331B8">
        <w:t>post dose. For VI doses from 25 to 100 µg significantly increased bronchodilation compared with placebo to 24</w:t>
      </w:r>
      <w:r w:rsidR="002745C1">
        <w:t xml:space="preserve"> hours </w:t>
      </w:r>
      <w:r w:rsidRPr="003331B8">
        <w:t>post dose in both healthy s</w:t>
      </w:r>
      <w:r w:rsidR="00B35898">
        <w:t>ubjects and patients with COPD.</w:t>
      </w:r>
    </w:p>
    <w:p w:rsidR="003331B8" w:rsidRPr="003331B8" w:rsidRDefault="003331B8" w:rsidP="00D13EC4">
      <w:r w:rsidRPr="003331B8">
        <w:t xml:space="preserve">There was no evidence of an effect on </w:t>
      </w:r>
      <w:r w:rsidR="00B73028" w:rsidRPr="00B73028">
        <w:t xml:space="preserve">QT interval corrected for heart rate using </w:t>
      </w:r>
      <w:proofErr w:type="spellStart"/>
      <w:r w:rsidR="00B73028" w:rsidRPr="00B73028">
        <w:t>Fridericia’s</w:t>
      </w:r>
      <w:proofErr w:type="spellEnd"/>
      <w:r w:rsidR="00B73028" w:rsidRPr="00B73028">
        <w:t xml:space="preserve"> formula </w:t>
      </w:r>
      <w:r w:rsidR="00B73028">
        <w:t>(</w:t>
      </w:r>
      <w:proofErr w:type="spellStart"/>
      <w:r w:rsidRPr="003331B8">
        <w:t>QT</w:t>
      </w:r>
      <w:r w:rsidR="00C7195F">
        <w:t>cF</w:t>
      </w:r>
      <w:proofErr w:type="spellEnd"/>
      <w:r w:rsidR="00B73028">
        <w:t>)</w:t>
      </w:r>
      <w:r w:rsidR="00C7195F">
        <w:t xml:space="preserve"> </w:t>
      </w:r>
      <w:r w:rsidRPr="003331B8">
        <w:t xml:space="preserve">following 10 days of </w:t>
      </w:r>
      <w:r w:rsidR="004A20BC" w:rsidRPr="004A20BC">
        <w:t>inhalation</w:t>
      </w:r>
      <w:r w:rsidR="008C62CF">
        <w:t xml:space="preserve"> dosing with UMEC/VI 125/25</w:t>
      </w:r>
      <w:r w:rsidR="00B73028">
        <w:t> </w:t>
      </w:r>
      <w:r w:rsidRPr="003331B8">
        <w:t>µg or UMEC 500 µg compared with</w:t>
      </w:r>
      <w:r w:rsidR="00BB4047">
        <w:t xml:space="preserve"> </w:t>
      </w:r>
      <w:r w:rsidR="00BB4047" w:rsidRPr="00394913">
        <w:t xml:space="preserve">placebo. A dose representing 4 </w:t>
      </w:r>
      <w:r w:rsidRPr="00394913">
        <w:t xml:space="preserve">times the proposed upper therapeutic UMEC/VI dose (UMEC/VI 500/100 µg) increased </w:t>
      </w:r>
      <w:proofErr w:type="spellStart"/>
      <w:r w:rsidRPr="00394913">
        <w:t>QT</w:t>
      </w:r>
      <w:r w:rsidR="00394913" w:rsidRPr="00394913">
        <w:t>cF</w:t>
      </w:r>
      <w:proofErr w:type="spellEnd"/>
      <w:r w:rsidRPr="00394913">
        <w:t xml:space="preserve"> 8.2 </w:t>
      </w:r>
      <w:r w:rsidR="006E24B0" w:rsidRPr="00394913">
        <w:t>millisecond</w:t>
      </w:r>
      <w:r w:rsidRPr="00394913">
        <w:t xml:space="preserve"> at 30 minutes only, which was the largest increase observed. Data </w:t>
      </w:r>
      <w:r w:rsidRPr="003331B8">
        <w:t xml:space="preserve">from clinical pharmacology studies in healthy subjects and subjects with COPD suggest that small, transient changes in </w:t>
      </w:r>
      <w:r w:rsidR="00287EB0" w:rsidRPr="00287EB0">
        <w:t>systolic blood pressure</w:t>
      </w:r>
      <w:r w:rsidRPr="00287EB0">
        <w:t xml:space="preserve"> </w:t>
      </w:r>
      <w:r w:rsidRPr="003331B8">
        <w:t xml:space="preserve">and </w:t>
      </w:r>
      <w:r w:rsidR="00287EB0">
        <w:t xml:space="preserve">diastolic blood pressure </w:t>
      </w:r>
      <w:r w:rsidRPr="003331B8">
        <w:t>following both UMEC and VI. Studies in healthy subjects and subjects with COPD suggest no clinically relevant changes in blood potassium or gluc</w:t>
      </w:r>
      <w:r w:rsidR="00B35898">
        <w:t>ose following both UMEC and VI.</w:t>
      </w:r>
    </w:p>
    <w:p w:rsidR="003331B8" w:rsidRPr="003331B8" w:rsidRDefault="003331B8" w:rsidP="00D13EC4">
      <w:r w:rsidRPr="003331B8">
        <w:t xml:space="preserve">A physiological </w:t>
      </w:r>
      <w:r w:rsidR="00BC4448" w:rsidRPr="00BC4448">
        <w:t xml:space="preserve">maximum effect </w:t>
      </w:r>
      <w:r w:rsidR="00BC4448">
        <w:t>(</w:t>
      </w:r>
      <w:proofErr w:type="spellStart"/>
      <w:r w:rsidRPr="003331B8">
        <w:t>E</w:t>
      </w:r>
      <w:r w:rsidRPr="003331B8">
        <w:rPr>
          <w:vertAlign w:val="subscript"/>
        </w:rPr>
        <w:t>max</w:t>
      </w:r>
      <w:proofErr w:type="spellEnd"/>
      <w:r w:rsidR="00BC4448" w:rsidRPr="00BC4448">
        <w:t>)</w:t>
      </w:r>
      <w:r w:rsidRPr="003331B8">
        <w:rPr>
          <w:vertAlign w:val="subscript"/>
        </w:rPr>
        <w:t xml:space="preserve"> </w:t>
      </w:r>
      <w:r w:rsidR="005346B8">
        <w:t>model adequately characteris</w:t>
      </w:r>
      <w:r w:rsidRPr="003331B8">
        <w:t>ed the dose</w:t>
      </w:r>
      <w:r w:rsidR="00025E8E">
        <w:t xml:space="preserve"> </w:t>
      </w:r>
      <w:r w:rsidRPr="003331B8">
        <w:t xml:space="preserve">trough FEV1 response for UMEC over the </w:t>
      </w:r>
      <w:r w:rsidR="001A50F1" w:rsidRPr="001A50F1">
        <w:t>once daily</w:t>
      </w:r>
      <w:r w:rsidRPr="003331B8">
        <w:t xml:space="preserve"> dose range of 15.6 to 1000 µg in subjects with COPD, with an esti</w:t>
      </w:r>
      <w:r w:rsidR="00B35898">
        <w:t xml:space="preserve">mated </w:t>
      </w:r>
      <w:r w:rsidR="00BC4448" w:rsidRPr="00BC4448">
        <w:t xml:space="preserve">50% effective dose </w:t>
      </w:r>
      <w:r w:rsidR="00F82F3C">
        <w:t>(</w:t>
      </w:r>
      <w:r w:rsidR="00B35898">
        <w:t>ED</w:t>
      </w:r>
      <w:r w:rsidR="00B35898" w:rsidRPr="00BC4448">
        <w:rPr>
          <w:vertAlign w:val="subscript"/>
        </w:rPr>
        <w:t>50</w:t>
      </w:r>
      <w:r w:rsidR="00F82F3C">
        <w:t>)</w:t>
      </w:r>
      <w:r w:rsidR="00B35898">
        <w:t xml:space="preserve"> of 33 µg.</w:t>
      </w:r>
    </w:p>
    <w:p w:rsidR="003331B8" w:rsidRPr="003331B8" w:rsidRDefault="003331B8" w:rsidP="00D13EC4">
      <w:r w:rsidRPr="003331B8">
        <w:t xml:space="preserve">The </w:t>
      </w:r>
      <w:r w:rsidR="001A50F1" w:rsidRPr="001A50F1">
        <w:t>once daily</w:t>
      </w:r>
      <w:r w:rsidRPr="003331B8">
        <w:t xml:space="preserve"> proposed UMEC doses of 62.5 µg and 125 µg have shown dose related increases in trough FEV1. There was no marked difference between the </w:t>
      </w:r>
      <w:r w:rsidR="001A50F1" w:rsidRPr="001A50F1">
        <w:t>once daily</w:t>
      </w:r>
      <w:r w:rsidRPr="003331B8">
        <w:t xml:space="preserve"> versus twice daily regimen for UMEC. The VI dose of 25 µg has also shown consistent clinically relevant changes in trough FEV1. The trough FEV1 responses obtained for each dose of the combination (UMEC/VI 62.5/25 µg and 125/25 µg) appeared to be sub additive when compared to the addition of FEV1 responses from the individual components. There was no apparent dose or concentration dependent change in cardiovascular (heart rate) effects for UMEC over </w:t>
      </w:r>
      <w:r w:rsidR="00B35898">
        <w:t>the dose range 15.6 to 1000 µg.</w:t>
      </w:r>
    </w:p>
    <w:p w:rsidR="008E7846" w:rsidRDefault="00605AD4" w:rsidP="008C62CF">
      <w:pPr>
        <w:pStyle w:val="Heading3"/>
      </w:pPr>
      <w:bookmarkStart w:id="94" w:name="_Toc420577608"/>
      <w:r>
        <w:t xml:space="preserve">Dosage selection for </w:t>
      </w:r>
      <w:r w:rsidRPr="008C62CF">
        <w:t>the</w:t>
      </w:r>
      <w:r>
        <w:t xml:space="preserve"> pivotal studies</w:t>
      </w:r>
      <w:bookmarkEnd w:id="94"/>
    </w:p>
    <w:p w:rsidR="003331B8" w:rsidRDefault="003331B8" w:rsidP="00D13EC4">
      <w:r w:rsidRPr="008D2427">
        <w:t>Dose selection of UMEC for the pivotal studi</w:t>
      </w:r>
      <w:r w:rsidR="00BB4047">
        <w:t>es was based on the results of two</w:t>
      </w:r>
      <w:r w:rsidRPr="008D2427">
        <w:t xml:space="preserve"> P</w:t>
      </w:r>
      <w:r>
        <w:t xml:space="preserve">hase </w:t>
      </w:r>
      <w:proofErr w:type="spellStart"/>
      <w:r>
        <w:t>IIb</w:t>
      </w:r>
      <w:proofErr w:type="spellEnd"/>
      <w:r>
        <w:t xml:space="preserve"> dose </w:t>
      </w:r>
      <w:r w:rsidRPr="008D2427">
        <w:t xml:space="preserve">ranging studies in COPD subjects (AC4113073 and AC4113589). Two other studies, AC4115321 and AC4115408, were conducted after the commencement of the Phase III studies, and their results were used to further support the dose selection of UMEC for the pivotal studies. Dose selection of VI for the pivotal studies was based on the results of a Phase </w:t>
      </w:r>
      <w:proofErr w:type="spellStart"/>
      <w:r w:rsidRPr="008D2427">
        <w:t>IIb</w:t>
      </w:r>
      <w:proofErr w:type="spellEnd"/>
      <w:r w:rsidRPr="008D2427">
        <w:t xml:space="preserve"> </w:t>
      </w:r>
      <w:r>
        <w:t>dose</w:t>
      </w:r>
      <w:r w:rsidR="00BB4047">
        <w:t xml:space="preserve"> </w:t>
      </w:r>
      <w:r w:rsidRPr="008D2427">
        <w:t>ranging study in COPD subjects (B2C111045). A summary of the study design and dose tested in these stu</w:t>
      </w:r>
      <w:r w:rsidR="00394913">
        <w:t>dies is presented in Table 6</w:t>
      </w:r>
      <w:r w:rsidR="00484293">
        <w:t>.</w:t>
      </w:r>
    </w:p>
    <w:p w:rsidR="00056420" w:rsidRPr="00056420" w:rsidRDefault="00394913" w:rsidP="00D13EC4">
      <w:pPr>
        <w:pStyle w:val="TableTitle"/>
      </w:pPr>
      <w:proofErr w:type="gramStart"/>
      <w:r>
        <w:lastRenderedPageBreak/>
        <w:t>Table 6</w:t>
      </w:r>
      <w:r w:rsidR="00056420" w:rsidRPr="00056420">
        <w:t>.</w:t>
      </w:r>
      <w:proofErr w:type="gramEnd"/>
      <w:r w:rsidR="00056420" w:rsidRPr="00056420">
        <w:t xml:space="preserve"> Studies to support doses and dosing interval of UMEC and VI used in the UMEC/VI Phase III COPD studies.</w:t>
      </w:r>
    </w:p>
    <w:tbl>
      <w:tblPr>
        <w:tblStyle w:val="TableTGAblue"/>
        <w:tblW w:w="8897" w:type="dxa"/>
        <w:tblLayout w:type="fixed"/>
        <w:tblLook w:val="04A0" w:firstRow="1" w:lastRow="0" w:firstColumn="1" w:lastColumn="0" w:noHBand="0" w:noVBand="1"/>
      </w:tblPr>
      <w:tblGrid>
        <w:gridCol w:w="1526"/>
        <w:gridCol w:w="160"/>
        <w:gridCol w:w="1541"/>
        <w:gridCol w:w="1984"/>
        <w:gridCol w:w="284"/>
        <w:gridCol w:w="1984"/>
        <w:gridCol w:w="1418"/>
      </w:tblGrid>
      <w:tr w:rsidR="00484293" w:rsidTr="00D13EC4">
        <w:trPr>
          <w:cnfStyle w:val="100000000000" w:firstRow="1" w:lastRow="0" w:firstColumn="0" w:lastColumn="0" w:oddVBand="0" w:evenVBand="0" w:oddHBand="0" w:evenHBand="0" w:firstRowFirstColumn="0" w:firstRowLastColumn="0" w:lastRowFirstColumn="0" w:lastRowLastColumn="0"/>
        </w:trPr>
        <w:tc>
          <w:tcPr>
            <w:tcW w:w="1686" w:type="dxa"/>
            <w:gridSpan w:val="2"/>
          </w:tcPr>
          <w:p w:rsidR="00484293" w:rsidRDefault="00484293" w:rsidP="00D13EC4">
            <w:pPr>
              <w:ind w:left="0"/>
            </w:pPr>
            <w:r>
              <w:t>Study Number</w:t>
            </w:r>
          </w:p>
        </w:tc>
        <w:tc>
          <w:tcPr>
            <w:tcW w:w="1541" w:type="dxa"/>
          </w:tcPr>
          <w:p w:rsidR="00484293" w:rsidRDefault="00484293" w:rsidP="00D13EC4">
            <w:pPr>
              <w:ind w:left="15"/>
            </w:pPr>
            <w:r>
              <w:t>Study Objective</w:t>
            </w:r>
          </w:p>
        </w:tc>
        <w:tc>
          <w:tcPr>
            <w:tcW w:w="1984" w:type="dxa"/>
          </w:tcPr>
          <w:p w:rsidR="00484293" w:rsidRDefault="00484293" w:rsidP="00D13EC4">
            <w:pPr>
              <w:ind w:left="34"/>
            </w:pPr>
            <w:r>
              <w:t xml:space="preserve">Study Design </w:t>
            </w:r>
            <w:r w:rsidR="00D13EC4">
              <w:t>and</w:t>
            </w:r>
            <w:r>
              <w:t xml:space="preserve"> Duration</w:t>
            </w:r>
          </w:p>
        </w:tc>
        <w:tc>
          <w:tcPr>
            <w:tcW w:w="2268" w:type="dxa"/>
            <w:gridSpan w:val="2"/>
          </w:tcPr>
          <w:p w:rsidR="00484293" w:rsidRDefault="00D13EC4" w:rsidP="00D13EC4">
            <w:pPr>
              <w:ind w:left="34"/>
            </w:pPr>
            <w:r>
              <w:t>Relevant Treatment Arms (µg)</w:t>
            </w:r>
          </w:p>
        </w:tc>
        <w:tc>
          <w:tcPr>
            <w:tcW w:w="1418" w:type="dxa"/>
          </w:tcPr>
          <w:p w:rsidR="00484293" w:rsidRDefault="00484293" w:rsidP="00D13EC4">
            <w:pPr>
              <w:ind w:left="34"/>
            </w:pPr>
            <w:r>
              <w:t>Population</w:t>
            </w:r>
          </w:p>
        </w:tc>
      </w:tr>
      <w:tr w:rsidR="00484293" w:rsidTr="00D13EC4">
        <w:tc>
          <w:tcPr>
            <w:tcW w:w="8897" w:type="dxa"/>
            <w:gridSpan w:val="7"/>
          </w:tcPr>
          <w:p w:rsidR="00484293" w:rsidRPr="00F40DB4" w:rsidRDefault="00484293" w:rsidP="00D13EC4">
            <w:pPr>
              <w:ind w:left="34"/>
            </w:pPr>
            <w:r w:rsidRPr="00F40DB4">
              <w:t>UMEC Dose selection</w:t>
            </w:r>
          </w:p>
        </w:tc>
      </w:tr>
      <w:tr w:rsidR="00484293" w:rsidTr="00D13EC4">
        <w:tc>
          <w:tcPr>
            <w:tcW w:w="1526" w:type="dxa"/>
          </w:tcPr>
          <w:p w:rsidR="00484293" w:rsidRDefault="00484293" w:rsidP="00D13EC4">
            <w:pPr>
              <w:ind w:left="0"/>
            </w:pPr>
            <w:r>
              <w:t>AC4113589</w:t>
            </w:r>
          </w:p>
        </w:tc>
        <w:tc>
          <w:tcPr>
            <w:tcW w:w="1701" w:type="dxa"/>
            <w:gridSpan w:val="2"/>
          </w:tcPr>
          <w:p w:rsidR="00484293" w:rsidRDefault="00484293" w:rsidP="00D13EC4">
            <w:pPr>
              <w:ind w:left="15"/>
            </w:pPr>
            <w:r>
              <w:t>Dose ranging</w:t>
            </w:r>
          </w:p>
        </w:tc>
        <w:tc>
          <w:tcPr>
            <w:tcW w:w="1984" w:type="dxa"/>
          </w:tcPr>
          <w:p w:rsidR="00484293" w:rsidRDefault="00484293" w:rsidP="00D13EC4">
            <w:pPr>
              <w:ind w:left="34"/>
            </w:pPr>
            <w:r>
              <w:t>R, DB, PG, PC</w:t>
            </w:r>
            <w:r w:rsidR="00B41D3A">
              <w:t xml:space="preserve"> </w:t>
            </w:r>
            <w:r>
              <w:t>28 Days</w:t>
            </w:r>
          </w:p>
        </w:tc>
        <w:tc>
          <w:tcPr>
            <w:tcW w:w="2268" w:type="dxa"/>
            <w:gridSpan w:val="2"/>
          </w:tcPr>
          <w:p w:rsidR="00484293" w:rsidRDefault="00484293" w:rsidP="00D13EC4">
            <w:pPr>
              <w:ind w:left="34"/>
            </w:pPr>
            <w:r>
              <w:t>UMEC 125</w:t>
            </w:r>
            <w:r w:rsidR="00974EA2">
              <w:t xml:space="preserve"> QD</w:t>
            </w:r>
            <w:r w:rsidR="00B41D3A">
              <w:t xml:space="preserve"> </w:t>
            </w:r>
            <w:r>
              <w:t>UMEC 250</w:t>
            </w:r>
            <w:r w:rsidR="00974EA2">
              <w:t xml:space="preserve"> QD</w:t>
            </w:r>
            <w:r w:rsidR="00B41D3A">
              <w:t xml:space="preserve"> </w:t>
            </w:r>
            <w:r>
              <w:t xml:space="preserve">UMEC 500 </w:t>
            </w:r>
            <w:r w:rsidR="00974EA2">
              <w:t>QD</w:t>
            </w:r>
            <w:r w:rsidR="00B41D3A">
              <w:t xml:space="preserve"> </w:t>
            </w:r>
            <w:r>
              <w:t>PLA</w:t>
            </w:r>
            <w:r w:rsidR="00974EA2">
              <w:t xml:space="preserve"> QD</w:t>
            </w:r>
          </w:p>
        </w:tc>
        <w:tc>
          <w:tcPr>
            <w:tcW w:w="1418" w:type="dxa"/>
          </w:tcPr>
          <w:p w:rsidR="00484293" w:rsidRDefault="00484293" w:rsidP="00D13EC4">
            <w:pPr>
              <w:ind w:left="34"/>
            </w:pPr>
            <w:r>
              <w:t>COPD</w:t>
            </w:r>
          </w:p>
        </w:tc>
      </w:tr>
      <w:tr w:rsidR="00484293" w:rsidTr="00D13EC4">
        <w:tc>
          <w:tcPr>
            <w:tcW w:w="1526" w:type="dxa"/>
          </w:tcPr>
          <w:p w:rsidR="00484293" w:rsidRDefault="00484293" w:rsidP="00D13EC4">
            <w:pPr>
              <w:ind w:left="0"/>
            </w:pPr>
            <w:r>
              <w:t>AC4113073</w:t>
            </w:r>
          </w:p>
        </w:tc>
        <w:tc>
          <w:tcPr>
            <w:tcW w:w="1701" w:type="dxa"/>
            <w:gridSpan w:val="2"/>
          </w:tcPr>
          <w:p w:rsidR="00484293" w:rsidRDefault="00974EA2" w:rsidP="00D13EC4">
            <w:pPr>
              <w:ind w:left="15"/>
            </w:pPr>
            <w:r>
              <w:t>Dose r</w:t>
            </w:r>
            <w:r w:rsidR="00484293">
              <w:t>anging</w:t>
            </w:r>
            <w:r>
              <w:t xml:space="preserve">, dosing interval </w:t>
            </w:r>
            <w:r w:rsidR="00D13EC4">
              <w:t>and</w:t>
            </w:r>
            <w:r>
              <w:t xml:space="preserve"> PK</w:t>
            </w:r>
          </w:p>
        </w:tc>
        <w:tc>
          <w:tcPr>
            <w:tcW w:w="1984" w:type="dxa"/>
          </w:tcPr>
          <w:p w:rsidR="00974EA2" w:rsidRDefault="00974EA2" w:rsidP="00D13EC4">
            <w:pPr>
              <w:ind w:left="34"/>
            </w:pPr>
            <w:r>
              <w:t>R, DB, XO, PC Incomplete block</w:t>
            </w:r>
            <w:r w:rsidR="00B41D3A">
              <w:t xml:space="preserve"> </w:t>
            </w:r>
            <w:r w:rsidR="00B41D3A">
              <w:br/>
            </w:r>
            <w:r>
              <w:t>3 periods per subject, 14 days per period</w:t>
            </w:r>
          </w:p>
        </w:tc>
        <w:tc>
          <w:tcPr>
            <w:tcW w:w="2268" w:type="dxa"/>
            <w:gridSpan w:val="2"/>
          </w:tcPr>
          <w:p w:rsidR="00974EA2" w:rsidRDefault="00974EA2" w:rsidP="00D13EC4">
            <w:pPr>
              <w:ind w:left="34"/>
            </w:pPr>
            <w:r>
              <w:t>UMEC 62.5 QD</w:t>
            </w:r>
            <w:r w:rsidR="00B41D3A">
              <w:t xml:space="preserve"> </w:t>
            </w:r>
            <w:r w:rsidRPr="00974EA2">
              <w:t>UMEC 125 QD</w:t>
            </w:r>
            <w:r w:rsidR="00B41D3A">
              <w:t xml:space="preserve"> </w:t>
            </w:r>
            <w:r w:rsidRPr="00974EA2">
              <w:t>UMEC 250 QD</w:t>
            </w:r>
            <w:r w:rsidR="00B41D3A">
              <w:t xml:space="preserve"> </w:t>
            </w:r>
            <w:r w:rsidRPr="00974EA2">
              <w:t>UMEC 500 QD</w:t>
            </w:r>
            <w:r w:rsidR="00B41D3A">
              <w:t xml:space="preserve"> </w:t>
            </w:r>
            <w:r>
              <w:t>UMEC 1000 QD</w:t>
            </w:r>
            <w:r w:rsidR="00B41D3A">
              <w:t xml:space="preserve"> </w:t>
            </w:r>
            <w:r>
              <w:t>TIO 18 OL QD</w:t>
            </w:r>
            <w:r w:rsidR="00B41D3A">
              <w:t xml:space="preserve"> </w:t>
            </w:r>
            <w:r>
              <w:t>PLA QD</w:t>
            </w:r>
            <w:r w:rsidR="00B41D3A">
              <w:t xml:space="preserve"> </w:t>
            </w:r>
            <w:r w:rsidRPr="00974EA2">
              <w:t xml:space="preserve">UMEC 62.5 </w:t>
            </w:r>
            <w:r>
              <w:t>BD</w:t>
            </w:r>
            <w:r w:rsidR="00B41D3A">
              <w:t xml:space="preserve"> </w:t>
            </w:r>
            <w:r w:rsidRPr="00974EA2">
              <w:t>UMEC 125</w:t>
            </w:r>
            <w:r>
              <w:t xml:space="preserve"> B</w:t>
            </w:r>
            <w:r w:rsidRPr="00974EA2">
              <w:t>D</w:t>
            </w:r>
            <w:r w:rsidR="00B41D3A">
              <w:t xml:space="preserve"> </w:t>
            </w:r>
            <w:r w:rsidRPr="00974EA2">
              <w:t xml:space="preserve">UMEC 250 </w:t>
            </w:r>
            <w:r>
              <w:t>B</w:t>
            </w:r>
            <w:r w:rsidRPr="00974EA2">
              <w:t>D</w:t>
            </w:r>
            <w:r w:rsidR="00B41D3A">
              <w:t xml:space="preserve"> </w:t>
            </w:r>
            <w:r>
              <w:t>PLA BD</w:t>
            </w:r>
          </w:p>
        </w:tc>
        <w:tc>
          <w:tcPr>
            <w:tcW w:w="1418" w:type="dxa"/>
          </w:tcPr>
          <w:p w:rsidR="00484293" w:rsidRDefault="00974EA2" w:rsidP="00D13EC4">
            <w:pPr>
              <w:ind w:left="34"/>
            </w:pPr>
            <w:r>
              <w:t>COPD</w:t>
            </w:r>
          </w:p>
        </w:tc>
      </w:tr>
      <w:tr w:rsidR="00484293" w:rsidTr="00D13EC4">
        <w:tc>
          <w:tcPr>
            <w:tcW w:w="1526" w:type="dxa"/>
          </w:tcPr>
          <w:p w:rsidR="00484293" w:rsidRDefault="00974EA2" w:rsidP="00D13EC4">
            <w:pPr>
              <w:ind w:left="0"/>
            </w:pPr>
            <w:r>
              <w:t>AC4115321</w:t>
            </w:r>
          </w:p>
        </w:tc>
        <w:tc>
          <w:tcPr>
            <w:tcW w:w="1701" w:type="dxa"/>
            <w:gridSpan w:val="2"/>
          </w:tcPr>
          <w:p w:rsidR="00484293" w:rsidRDefault="00974EA2" w:rsidP="00D13EC4">
            <w:pPr>
              <w:ind w:left="15"/>
            </w:pPr>
            <w:r w:rsidRPr="00974EA2">
              <w:t>Dose ranging</w:t>
            </w:r>
            <w:r>
              <w:t xml:space="preserve"> and </w:t>
            </w:r>
            <w:r w:rsidRPr="00974EA2">
              <w:t>dosing interval</w:t>
            </w:r>
          </w:p>
        </w:tc>
        <w:tc>
          <w:tcPr>
            <w:tcW w:w="1984" w:type="dxa"/>
          </w:tcPr>
          <w:p w:rsidR="00484293" w:rsidRDefault="00974EA2" w:rsidP="00D13EC4">
            <w:pPr>
              <w:ind w:left="34"/>
            </w:pPr>
            <w:r w:rsidRPr="00974EA2">
              <w:t>R, DB, XO, PC Incomplete block</w:t>
            </w:r>
            <w:r w:rsidR="00B41D3A">
              <w:t xml:space="preserve"> </w:t>
            </w:r>
            <w:r w:rsidR="00B41D3A">
              <w:br/>
            </w:r>
            <w:r>
              <w:t>3 periods per subject, 7 days per period</w:t>
            </w:r>
          </w:p>
        </w:tc>
        <w:tc>
          <w:tcPr>
            <w:tcW w:w="2268" w:type="dxa"/>
            <w:gridSpan w:val="2"/>
          </w:tcPr>
          <w:p w:rsidR="00484293" w:rsidRDefault="00974EA2" w:rsidP="00D13EC4">
            <w:pPr>
              <w:ind w:left="34"/>
            </w:pPr>
            <w:r>
              <w:t>UMEC 15.6</w:t>
            </w:r>
            <w:r w:rsidRPr="00974EA2">
              <w:t xml:space="preserve"> QD</w:t>
            </w:r>
            <w:r w:rsidR="00B41D3A">
              <w:t xml:space="preserve"> </w:t>
            </w:r>
            <w:r>
              <w:t>UMEC 31.25</w:t>
            </w:r>
            <w:r w:rsidRPr="00974EA2">
              <w:t xml:space="preserve"> QD</w:t>
            </w:r>
            <w:r w:rsidR="00B41D3A">
              <w:t xml:space="preserve"> </w:t>
            </w:r>
            <w:r w:rsidRPr="00974EA2">
              <w:t>UMEC 62.5 QD</w:t>
            </w:r>
            <w:r w:rsidR="00B41D3A">
              <w:t xml:space="preserve"> </w:t>
            </w:r>
            <w:r>
              <w:t>UMEC 125</w:t>
            </w:r>
            <w:r w:rsidRPr="00974EA2">
              <w:t xml:space="preserve"> QD</w:t>
            </w:r>
            <w:r w:rsidR="00B41D3A">
              <w:t xml:space="preserve"> </w:t>
            </w:r>
            <w:r>
              <w:t>TIO 18 OL</w:t>
            </w:r>
            <w:r w:rsidR="00C556C6">
              <w:t xml:space="preserve"> QD</w:t>
            </w:r>
            <w:r w:rsidR="00B41D3A">
              <w:t xml:space="preserve"> </w:t>
            </w:r>
            <w:r>
              <w:t>PLA</w:t>
            </w:r>
            <w:r w:rsidR="00C556C6">
              <w:t xml:space="preserve"> QD</w:t>
            </w:r>
            <w:r w:rsidR="00B41D3A">
              <w:t xml:space="preserve"> </w:t>
            </w:r>
            <w:r w:rsidR="00C556C6">
              <w:t>UMEC 15.6 BD</w:t>
            </w:r>
            <w:r w:rsidR="00B41D3A">
              <w:t xml:space="preserve"> </w:t>
            </w:r>
            <w:r w:rsidR="00C556C6">
              <w:t>UMEC 31.25 BD</w:t>
            </w:r>
            <w:r w:rsidR="00B41D3A">
              <w:t xml:space="preserve"> </w:t>
            </w:r>
            <w:r w:rsidR="00C556C6">
              <w:t>PLA BD</w:t>
            </w:r>
          </w:p>
        </w:tc>
        <w:tc>
          <w:tcPr>
            <w:tcW w:w="1418" w:type="dxa"/>
          </w:tcPr>
          <w:p w:rsidR="00484293" w:rsidRDefault="00C556C6" w:rsidP="00D13EC4">
            <w:pPr>
              <w:ind w:left="34"/>
            </w:pPr>
            <w:r>
              <w:t>COPD</w:t>
            </w:r>
          </w:p>
        </w:tc>
      </w:tr>
      <w:tr w:rsidR="00484293" w:rsidTr="00D13EC4">
        <w:tc>
          <w:tcPr>
            <w:tcW w:w="1526" w:type="dxa"/>
          </w:tcPr>
          <w:p w:rsidR="00484293" w:rsidRDefault="00C556C6" w:rsidP="00D13EC4">
            <w:pPr>
              <w:ind w:left="0"/>
            </w:pPr>
            <w:r>
              <w:t>AC4115408</w:t>
            </w:r>
          </w:p>
        </w:tc>
        <w:tc>
          <w:tcPr>
            <w:tcW w:w="1701" w:type="dxa"/>
            <w:gridSpan w:val="2"/>
          </w:tcPr>
          <w:p w:rsidR="00484293" w:rsidRDefault="00C556C6" w:rsidP="00D13EC4">
            <w:pPr>
              <w:ind w:left="15"/>
            </w:pPr>
            <w:r>
              <w:t xml:space="preserve">Efficacy </w:t>
            </w:r>
            <w:r w:rsidR="00D13EC4">
              <w:t>and</w:t>
            </w:r>
            <w:r>
              <w:t xml:space="preserve"> Safety</w:t>
            </w:r>
          </w:p>
        </w:tc>
        <w:tc>
          <w:tcPr>
            <w:tcW w:w="1984" w:type="dxa"/>
          </w:tcPr>
          <w:p w:rsidR="00484293" w:rsidRDefault="00C556C6" w:rsidP="00D13EC4">
            <w:pPr>
              <w:ind w:left="34"/>
            </w:pPr>
            <w:r w:rsidRPr="00C556C6">
              <w:t>R, DB, PG, PC</w:t>
            </w:r>
            <w:r w:rsidR="00B41D3A">
              <w:t xml:space="preserve"> </w:t>
            </w:r>
            <w:r>
              <w:t>12 weeks</w:t>
            </w:r>
          </w:p>
        </w:tc>
        <w:tc>
          <w:tcPr>
            <w:tcW w:w="2268" w:type="dxa"/>
            <w:gridSpan w:val="2"/>
          </w:tcPr>
          <w:p w:rsidR="00C556C6" w:rsidRDefault="00C556C6" w:rsidP="00D13EC4">
            <w:pPr>
              <w:ind w:left="34"/>
            </w:pPr>
            <w:r>
              <w:t>UMEC 125 QD</w:t>
            </w:r>
            <w:r w:rsidR="00B41D3A">
              <w:t xml:space="preserve"> </w:t>
            </w:r>
            <w:r>
              <w:t>UMEC 62.5 QD</w:t>
            </w:r>
            <w:r w:rsidR="00B41D3A">
              <w:t xml:space="preserve"> </w:t>
            </w:r>
            <w:r>
              <w:t>PLA QD</w:t>
            </w:r>
          </w:p>
        </w:tc>
        <w:tc>
          <w:tcPr>
            <w:tcW w:w="1418" w:type="dxa"/>
          </w:tcPr>
          <w:p w:rsidR="00484293" w:rsidRDefault="00C556C6" w:rsidP="00D13EC4">
            <w:pPr>
              <w:ind w:left="34"/>
            </w:pPr>
            <w:r>
              <w:t>COPD</w:t>
            </w:r>
          </w:p>
        </w:tc>
      </w:tr>
      <w:tr w:rsidR="00056420" w:rsidTr="00D13EC4">
        <w:tc>
          <w:tcPr>
            <w:tcW w:w="8897" w:type="dxa"/>
            <w:gridSpan w:val="7"/>
          </w:tcPr>
          <w:p w:rsidR="00056420" w:rsidRPr="00F40DB4" w:rsidRDefault="00056420" w:rsidP="00D13EC4">
            <w:pPr>
              <w:ind w:left="34"/>
            </w:pPr>
            <w:r w:rsidRPr="00F40DB4">
              <w:t>VI dose selection</w:t>
            </w:r>
          </w:p>
        </w:tc>
      </w:tr>
      <w:tr w:rsidR="00484293" w:rsidTr="00D13EC4">
        <w:tc>
          <w:tcPr>
            <w:tcW w:w="1686" w:type="dxa"/>
            <w:gridSpan w:val="2"/>
          </w:tcPr>
          <w:p w:rsidR="00484293" w:rsidRDefault="00056420" w:rsidP="00D13EC4">
            <w:pPr>
              <w:ind w:left="0"/>
            </w:pPr>
            <w:r>
              <w:t>B2C111045</w:t>
            </w:r>
          </w:p>
        </w:tc>
        <w:tc>
          <w:tcPr>
            <w:tcW w:w="1541" w:type="dxa"/>
          </w:tcPr>
          <w:p w:rsidR="00484293" w:rsidRDefault="00056420" w:rsidP="00D13EC4">
            <w:pPr>
              <w:ind w:left="15"/>
            </w:pPr>
            <w:r>
              <w:t>Dose ranging</w:t>
            </w:r>
          </w:p>
        </w:tc>
        <w:tc>
          <w:tcPr>
            <w:tcW w:w="2268" w:type="dxa"/>
            <w:gridSpan w:val="2"/>
          </w:tcPr>
          <w:p w:rsidR="00484293" w:rsidRDefault="00056420" w:rsidP="00D13EC4">
            <w:pPr>
              <w:ind w:left="34"/>
            </w:pPr>
            <w:r w:rsidRPr="00056420">
              <w:t>R, DB, PG, PC</w:t>
            </w:r>
            <w:r>
              <w:t xml:space="preserve"> Stratified</w:t>
            </w:r>
            <w:r w:rsidRPr="00056420">
              <w:rPr>
                <w:vertAlign w:val="superscript"/>
              </w:rPr>
              <w:t xml:space="preserve"> a</w:t>
            </w:r>
            <w:r w:rsidR="00B41D3A">
              <w:rPr>
                <w:vertAlign w:val="superscript"/>
              </w:rPr>
              <w:t xml:space="preserve"> </w:t>
            </w:r>
            <w:r w:rsidR="00B41D3A">
              <w:rPr>
                <w:vertAlign w:val="superscript"/>
              </w:rPr>
              <w:br/>
            </w:r>
            <w:r>
              <w:t xml:space="preserve">28 </w:t>
            </w:r>
            <w:proofErr w:type="spellStart"/>
            <w:r>
              <w:t>dyas</w:t>
            </w:r>
            <w:proofErr w:type="spellEnd"/>
          </w:p>
        </w:tc>
        <w:tc>
          <w:tcPr>
            <w:tcW w:w="1984" w:type="dxa"/>
          </w:tcPr>
          <w:p w:rsidR="00056420" w:rsidRDefault="00056420" w:rsidP="00D13EC4">
            <w:pPr>
              <w:ind w:left="34"/>
            </w:pPr>
            <w:r>
              <w:t>VI 3 QD</w:t>
            </w:r>
            <w:r w:rsidR="00B41D3A">
              <w:t xml:space="preserve"> </w:t>
            </w:r>
            <w:r w:rsidR="00B41D3A">
              <w:br/>
            </w:r>
            <w:r>
              <w:t>VI 6.25 QD</w:t>
            </w:r>
            <w:r w:rsidR="00B41D3A">
              <w:t xml:space="preserve"> </w:t>
            </w:r>
            <w:r w:rsidR="00B41D3A">
              <w:br/>
            </w:r>
            <w:r>
              <w:t>VI 12.5 QD</w:t>
            </w:r>
            <w:r w:rsidR="00B41D3A">
              <w:br/>
            </w:r>
            <w:r>
              <w:t>VI 25 QD</w:t>
            </w:r>
            <w:r w:rsidR="00B41D3A">
              <w:br/>
            </w:r>
            <w:r>
              <w:t>VI 50 QD</w:t>
            </w:r>
            <w:r w:rsidR="00B41D3A">
              <w:br/>
            </w:r>
            <w:r>
              <w:t>PLA QD</w:t>
            </w:r>
          </w:p>
        </w:tc>
        <w:tc>
          <w:tcPr>
            <w:tcW w:w="1418" w:type="dxa"/>
          </w:tcPr>
          <w:p w:rsidR="00484293" w:rsidRDefault="00056420" w:rsidP="00D13EC4">
            <w:pPr>
              <w:ind w:left="34"/>
            </w:pPr>
            <w:r>
              <w:t>COPD</w:t>
            </w:r>
          </w:p>
        </w:tc>
      </w:tr>
    </w:tbl>
    <w:p w:rsidR="003331B8" w:rsidRDefault="00056420" w:rsidP="00B41D3A">
      <w:pPr>
        <w:pStyle w:val="TableDescription"/>
      </w:pPr>
      <w:r>
        <w:t>Abbreviations DB double blind, OL open label, PC placebo controlled, PG parallel group, PLA placeb</w:t>
      </w:r>
      <w:r w:rsidR="00610270">
        <w:t>o, r randomized, XO cross over. (</w:t>
      </w:r>
      <w:proofErr w:type="gramStart"/>
      <w:r w:rsidR="00610270">
        <w:t>a</w:t>
      </w:r>
      <w:proofErr w:type="gramEnd"/>
      <w:r w:rsidR="00610270">
        <w:t xml:space="preserve">). </w:t>
      </w:r>
      <w:r>
        <w:t>Subjects reversibility to salbutamol was used</w:t>
      </w:r>
      <w:r w:rsidR="00F40DB4">
        <w:t xml:space="preserve"> to stratify the randomisation.</w:t>
      </w:r>
    </w:p>
    <w:p w:rsidR="00F40DB4" w:rsidRDefault="00F40DB4" w:rsidP="00D13EC4">
      <w:r w:rsidRPr="00CE5EB5">
        <w:t>According to the sponsor the ef</w:t>
      </w:r>
      <w:r w:rsidR="00F82F3C">
        <w:t>ficacy and safety results from S</w:t>
      </w:r>
      <w:r w:rsidRPr="00CE5EB5">
        <w:t>tudies AC4113073 and AC4113589</w:t>
      </w:r>
      <w:r w:rsidR="00CE5EB5">
        <w:t xml:space="preserve"> </w:t>
      </w:r>
      <w:r w:rsidRPr="00CE5EB5">
        <w:t xml:space="preserve">indicated that the 62.5 and 125 </w:t>
      </w:r>
      <w:r w:rsidR="00CE5EB5">
        <w:t>µ</w:t>
      </w:r>
      <w:r w:rsidR="00F82F3C">
        <w:t xml:space="preserve">g once </w:t>
      </w:r>
      <w:r w:rsidRPr="00CE5EB5">
        <w:t xml:space="preserve">daily doses of UMEC were the most appropriate </w:t>
      </w:r>
      <w:r w:rsidR="00CE5EB5">
        <w:t xml:space="preserve">doses for </w:t>
      </w:r>
      <w:r w:rsidRPr="00CE5EB5">
        <w:t>further clinical development. The selection of one single dose</w:t>
      </w:r>
      <w:r w:rsidR="00CE5EB5">
        <w:t xml:space="preserve"> of UMEC for Phase III clinical </w:t>
      </w:r>
      <w:r w:rsidRPr="00CE5EB5">
        <w:t>development was not apparent due to a lack of clear separation i</w:t>
      </w:r>
      <w:r w:rsidR="00CE5EB5">
        <w:t xml:space="preserve">n FEV1 response between the two </w:t>
      </w:r>
      <w:r w:rsidRPr="00CE5EB5">
        <w:t xml:space="preserve">doses, and hence, both 62.5 </w:t>
      </w:r>
      <w:r w:rsidR="00CE5EB5">
        <w:t>µ</w:t>
      </w:r>
      <w:r w:rsidRPr="00CE5EB5">
        <w:t xml:space="preserve">g and 125 </w:t>
      </w:r>
      <w:r w:rsidR="00CE5EB5">
        <w:t>µ</w:t>
      </w:r>
      <w:r w:rsidR="00F82F3C">
        <w:t xml:space="preserve">g once </w:t>
      </w:r>
      <w:r w:rsidRPr="00CE5EB5">
        <w:t xml:space="preserve">daily </w:t>
      </w:r>
      <w:r w:rsidRPr="00CE5EB5">
        <w:lastRenderedPageBreak/>
        <w:t>dos</w:t>
      </w:r>
      <w:r w:rsidR="00CE5EB5">
        <w:t xml:space="preserve">es of UMEC were evaluated (as </w:t>
      </w:r>
      <w:r w:rsidRPr="00CE5EB5">
        <w:t>monotherapy and as a component of UMEC/VI) in the Phase III studies.</w:t>
      </w:r>
    </w:p>
    <w:p w:rsidR="00CE5EB5" w:rsidRDefault="00CE5EB5" w:rsidP="00D13EC4">
      <w:proofErr w:type="gramStart"/>
      <w:r w:rsidRPr="00CE5EB5">
        <w:t xml:space="preserve">Based upon the efficacy and safety data 25 </w:t>
      </w:r>
      <w:r>
        <w:t>µ</w:t>
      </w:r>
      <w:r w:rsidR="00F82F3C">
        <w:t xml:space="preserve">g once </w:t>
      </w:r>
      <w:r w:rsidRPr="00CE5EB5">
        <w:t>daily of VI was selected as the optimal dose to be assessed in the pivotal Phase III studies.</w:t>
      </w:r>
      <w:proofErr w:type="gramEnd"/>
    </w:p>
    <w:p w:rsidR="00CE5EB5" w:rsidRPr="00CE5EB5" w:rsidRDefault="00F82F3C" w:rsidP="008C62CF">
      <w:r>
        <w:rPr>
          <w:b/>
        </w:rPr>
        <w:t>Evaluator’s c</w:t>
      </w:r>
      <w:r w:rsidR="00610270">
        <w:rPr>
          <w:b/>
        </w:rPr>
        <w:t>omments</w:t>
      </w:r>
      <w:r w:rsidR="00CE5EB5" w:rsidRPr="00CE5EB5">
        <w:t>: The rationale for the dose selection in the Phase III studies is appropriate.</w:t>
      </w:r>
    </w:p>
    <w:p w:rsidR="008E7846" w:rsidRPr="00254787" w:rsidRDefault="008E7846" w:rsidP="00D13EC4">
      <w:pPr>
        <w:pStyle w:val="Heading3"/>
      </w:pPr>
      <w:bookmarkStart w:id="95" w:name="_Toc163441372"/>
      <w:bookmarkStart w:id="96" w:name="_Toc196046485"/>
      <w:bookmarkStart w:id="97" w:name="_Toc247691521"/>
      <w:bookmarkStart w:id="98" w:name="_Toc314842504"/>
      <w:bookmarkStart w:id="99" w:name="_Toc420577609"/>
      <w:r w:rsidRPr="00254787">
        <w:t>Efficacy</w:t>
      </w:r>
      <w:bookmarkEnd w:id="95"/>
      <w:bookmarkEnd w:id="96"/>
      <w:bookmarkEnd w:id="97"/>
      <w:bookmarkEnd w:id="98"/>
      <w:bookmarkEnd w:id="99"/>
    </w:p>
    <w:p w:rsidR="00605AD4" w:rsidRDefault="00605AD4" w:rsidP="008C62CF">
      <w:pPr>
        <w:pStyle w:val="Heading4"/>
      </w:pPr>
      <w:bookmarkStart w:id="100" w:name="_Toc184439992"/>
      <w:bookmarkStart w:id="101" w:name="_Toc184440279"/>
      <w:bookmarkStart w:id="102" w:name="_Toc184444657"/>
      <w:bookmarkStart w:id="103" w:name="_Toc196046487"/>
      <w:r>
        <w:t xml:space="preserve">Studies providing efficacy </w:t>
      </w:r>
      <w:r w:rsidRPr="008C62CF">
        <w:t>data</w:t>
      </w:r>
    </w:p>
    <w:p w:rsidR="003331B8" w:rsidRPr="00BC259E" w:rsidRDefault="003331B8" w:rsidP="00D13EC4">
      <w:r w:rsidRPr="00BC259E">
        <w:t xml:space="preserve">Four pivotal Phase III studies were submitted to support clinical efficacy for the proposed indication. These consisted of 2 sets of randomised, </w:t>
      </w:r>
      <w:r>
        <w:t>double blind</w:t>
      </w:r>
      <w:r w:rsidR="00F82F3C">
        <w:t>, parallel group studies (S</w:t>
      </w:r>
      <w:r w:rsidRPr="00BC259E">
        <w:t xml:space="preserve">tudies DB2113361/DB2113373, and </w:t>
      </w:r>
      <w:r w:rsidR="00F82F3C">
        <w:t>Studies</w:t>
      </w:r>
      <w:r w:rsidRPr="00BC259E">
        <w:t xml:space="preserve"> DB211</w:t>
      </w:r>
      <w:r>
        <w:t xml:space="preserve">3360/DB2113374), each with a 24 </w:t>
      </w:r>
      <w:r w:rsidRPr="00BC259E">
        <w:t xml:space="preserve">week treatment duration. Within each set, the studies were identical except for the study drugs or doses tested. In addition, the sponsor had performed a meta-analysis of </w:t>
      </w:r>
      <w:r w:rsidR="00F82F3C">
        <w:t>Studies</w:t>
      </w:r>
      <w:r w:rsidRPr="00BC259E">
        <w:t xml:space="preserve"> DB2113360 and DB2113374, comparing UMEC/VI and </w:t>
      </w:r>
      <w:r w:rsidR="003476A7">
        <w:t>TIO</w:t>
      </w:r>
      <w:r w:rsidRPr="00BC259E">
        <w:t xml:space="preserve"> for the endpoint of the Transition Dyspnoea Index</w:t>
      </w:r>
      <w:r w:rsidR="00BB4047">
        <w:t xml:space="preserve"> (TDI)</w:t>
      </w:r>
      <w:r w:rsidRPr="00BC259E">
        <w:t xml:space="preserve"> score</w:t>
      </w:r>
      <w:r w:rsidR="002C6F43">
        <w:rPr>
          <w:rStyle w:val="FootnoteReference"/>
        </w:rPr>
        <w:footnoteReference w:id="9"/>
      </w:r>
      <w:r w:rsidRPr="00BC259E">
        <w:t>.</w:t>
      </w:r>
    </w:p>
    <w:p w:rsidR="002C6F43" w:rsidRPr="002C6F43" w:rsidRDefault="002C6F43" w:rsidP="00D13EC4">
      <w:r w:rsidRPr="002C6F43">
        <w:t>Details of these studies are presented in the CER Extract (see Attachment 2</w:t>
      </w:r>
      <w:r>
        <w:t>).</w:t>
      </w:r>
    </w:p>
    <w:p w:rsidR="008E7846" w:rsidRDefault="00605AD4" w:rsidP="00D13EC4">
      <w:pPr>
        <w:pStyle w:val="Heading4"/>
      </w:pPr>
      <w:r>
        <w:t>Evaluator’s conclusions on efficacy</w:t>
      </w:r>
    </w:p>
    <w:p w:rsidR="003331B8" w:rsidRPr="00DA7D87" w:rsidRDefault="003331B8" w:rsidP="00D13EC4">
      <w:r w:rsidRPr="00DA7D87">
        <w:t xml:space="preserve">The efficacy of </w:t>
      </w:r>
      <w:proofErr w:type="spellStart"/>
      <w:r w:rsidRPr="00DA7D87">
        <w:t>Anoro</w:t>
      </w:r>
      <w:proofErr w:type="spellEnd"/>
      <w:r w:rsidRPr="00DA7D87">
        <w:t xml:space="preserve"> </w:t>
      </w:r>
      <w:proofErr w:type="spellStart"/>
      <w:r w:rsidRPr="00DA7D87">
        <w:t>Ellipta</w:t>
      </w:r>
      <w:proofErr w:type="spellEnd"/>
      <w:r w:rsidRPr="00DA7D87">
        <w:t xml:space="preserve"> (UMEC/VI) was evaluated in 2 sets of randomised, </w:t>
      </w:r>
      <w:r>
        <w:t>double blind</w:t>
      </w:r>
      <w:r w:rsidRPr="00DA7D87">
        <w:t xml:space="preserve">, parallel group studies, where 1 set of studies was </w:t>
      </w:r>
      <w:r>
        <w:t>placebo controlled</w:t>
      </w:r>
      <w:r w:rsidRPr="00DA7D87">
        <w:t>,</w:t>
      </w:r>
      <w:r>
        <w:t xml:space="preserve"> while the other set was active </w:t>
      </w:r>
      <w:r w:rsidRPr="00DA7D87">
        <w:t xml:space="preserve">controlled (active control: </w:t>
      </w:r>
      <w:r w:rsidR="003476A7">
        <w:t>TIO</w:t>
      </w:r>
      <w:r w:rsidRPr="00DA7D87">
        <w:t>). The study designs, study inclusion and exclusion criteria and the primary and secondary endpoints are consistent with the recommendations in the</w:t>
      </w:r>
      <w:r w:rsidR="000673C3" w:rsidRPr="000673C3">
        <w:t xml:space="preserve"> </w:t>
      </w:r>
      <w:r w:rsidRPr="00DA7D87">
        <w:t xml:space="preserve">EMA guidelines on clinical investigation of medicinal products in the treatment of </w:t>
      </w:r>
      <w:proofErr w:type="gramStart"/>
      <w:r w:rsidR="007803AE" w:rsidRPr="007803AE">
        <w:t>COPD</w:t>
      </w:r>
      <w:r w:rsidR="007803AE" w:rsidRPr="007803AE">
        <w:rPr>
          <w:vertAlign w:val="superscript"/>
        </w:rPr>
        <w:t xml:space="preserve"> </w:t>
      </w:r>
      <w:proofErr w:type="gramEnd"/>
      <w:r w:rsidR="002C6F43">
        <w:rPr>
          <w:rStyle w:val="FootnoteReference"/>
        </w:rPr>
        <w:footnoteReference w:id="10"/>
      </w:r>
      <w:r w:rsidRPr="00DA7D87">
        <w:t xml:space="preserve">, as well as the </w:t>
      </w:r>
      <w:r w:rsidR="000673C3" w:rsidRPr="000673C3">
        <w:t xml:space="preserve">Food and Drug Administration </w:t>
      </w:r>
      <w:r w:rsidR="000673C3">
        <w:t>(</w:t>
      </w:r>
      <w:r w:rsidRPr="00DA7D87">
        <w:t>FDA</w:t>
      </w:r>
      <w:r w:rsidR="000673C3">
        <w:t>)</w:t>
      </w:r>
      <w:r w:rsidRPr="00DA7D87">
        <w:t xml:space="preserve"> Guidance</w:t>
      </w:r>
      <w:r w:rsidR="000250D1">
        <w:t xml:space="preserve"> for Industry -</w:t>
      </w:r>
      <w:r w:rsidRPr="00DA7D87">
        <w:t xml:space="preserve"> Chronic Obstructive Pulmonary Disease: Developing Drugs for Treatment. Overall, 1493 and 1536 subjects with COPD were randomised in the 2 </w:t>
      </w:r>
      <w:r>
        <w:t>placebo controlled</w:t>
      </w:r>
      <w:r w:rsidRPr="00DA7D87">
        <w:t xml:space="preserve"> studies (DB2113361 and DB2113373, respectively), </w:t>
      </w:r>
      <w:r w:rsidRPr="00B37CEF">
        <w:t xml:space="preserve">while </w:t>
      </w:r>
      <w:r w:rsidR="00B37CEF" w:rsidRPr="003435F6">
        <w:t>82</w:t>
      </w:r>
      <w:r w:rsidRPr="003435F6">
        <w:t>6</w:t>
      </w:r>
      <w:r w:rsidRPr="00DA7D87">
        <w:t xml:space="preserve"> and 872 subjects with COPD </w:t>
      </w:r>
      <w:r>
        <w:t xml:space="preserve">were randomised in the 2 active </w:t>
      </w:r>
      <w:r w:rsidRPr="00DA7D87">
        <w:t>controlled studies (DB2113360 and DB2113374, respectively). Baseline demographic and disease characteristics of the study populations in these studies showed that they were reflective of</w:t>
      </w:r>
      <w:r w:rsidR="00B35898">
        <w:t xml:space="preserve"> the target patient population.</w:t>
      </w:r>
    </w:p>
    <w:p w:rsidR="003331B8" w:rsidRPr="00DA7D87" w:rsidRDefault="003331B8" w:rsidP="00D13EC4">
      <w:r w:rsidRPr="00DA7D87">
        <w:t xml:space="preserve">In these 4 pivotal studies, the efficacy of UMEC/VI was evaluated through effects on FEV1 as well as effects on symptom relief and health outcomes. Overall, analyses on the effects of UMEC/VI on FEV1 compared to placebo yielded results which were supportive of the efficacy claim of both doses of UMEC/VI (125/25 </w:t>
      </w:r>
      <w:r>
        <w:t>µg</w:t>
      </w:r>
      <w:r w:rsidRPr="00DA7D87">
        <w:t xml:space="preserve"> and 62.5/25 </w:t>
      </w:r>
      <w:r>
        <w:t>µg</w:t>
      </w:r>
      <w:r w:rsidRPr="00DA7D87">
        <w:t xml:space="preserve">) as well as of its components (UMEC 125 </w:t>
      </w:r>
      <w:r>
        <w:t>µg</w:t>
      </w:r>
      <w:r w:rsidRPr="00DA7D87">
        <w:t xml:space="preserve">, UMEC 62.5 </w:t>
      </w:r>
      <w:r>
        <w:t>µg</w:t>
      </w:r>
      <w:r w:rsidRPr="00DA7D87">
        <w:t xml:space="preserve"> and VI 25 </w:t>
      </w:r>
      <w:r>
        <w:t>µg</w:t>
      </w:r>
      <w:r w:rsidRPr="00DA7D87">
        <w:t>) over placebo. Analyses on the effects of UMEC/VI on FEV1 compared to an</w:t>
      </w:r>
      <w:r w:rsidR="003476A7">
        <w:t xml:space="preserve"> active comparator, TIO</w:t>
      </w:r>
      <w:r w:rsidRPr="00DA7D87">
        <w:t>, also yielded results which were generally supportive of the efficacy claim o</w:t>
      </w:r>
      <w:r w:rsidR="00B73028">
        <w:t>f both doses of UMEC/VI (125/25 </w:t>
      </w:r>
      <w:r>
        <w:t>µg</w:t>
      </w:r>
      <w:r w:rsidRPr="00DA7D87">
        <w:t xml:space="preserve"> and 62.5/25 </w:t>
      </w:r>
      <w:r>
        <w:t>µg</w:t>
      </w:r>
      <w:r w:rsidRPr="00DA7D87">
        <w:t xml:space="preserve">) over TIO. Analyses on the effects of UMEC/VI on symptom relief and health outcomes compared to placebo yielded results which were generally supportive of the efficacy claim of both doses of UMEC/VI over placebo. However, comparisons between UMEC/VI and TIO with regards to effects on symptom relief and </w:t>
      </w:r>
      <w:r w:rsidRPr="00DA7D87">
        <w:lastRenderedPageBreak/>
        <w:t>health outcomes yielded results that largely showed no statistically significant treatment differences between either dose of UMEC/VI and TIO.</w:t>
      </w:r>
    </w:p>
    <w:p w:rsidR="003331B8" w:rsidRDefault="003331B8" w:rsidP="00D13EC4">
      <w:r w:rsidRPr="00DA7D87">
        <w:t xml:space="preserve">With regards to </w:t>
      </w:r>
      <w:proofErr w:type="spellStart"/>
      <w:r w:rsidRPr="00DA7D87">
        <w:t>bronchodilatory</w:t>
      </w:r>
      <w:proofErr w:type="spellEnd"/>
      <w:r w:rsidRPr="00DA7D87">
        <w:t xml:space="preserve"> effects at the end of a 2</w:t>
      </w:r>
      <w:r>
        <w:t>4 hour</w:t>
      </w:r>
      <w:r w:rsidRPr="00DA7D87">
        <w:t xml:space="preserve"> dosing interval (as measured by tro</w:t>
      </w:r>
      <w:r>
        <w:t xml:space="preserve">ugh FEV1) in the two pivotal 24 </w:t>
      </w:r>
      <w:r w:rsidRPr="00DA7D87">
        <w:t xml:space="preserve">week </w:t>
      </w:r>
      <w:r>
        <w:t>placebo controlled</w:t>
      </w:r>
      <w:r w:rsidRPr="00DA7D87">
        <w:t xml:space="preserve"> studies (DB2113361 and DB213373), both doses of UMEC/VI showed statistically significant improvements over placebo in trough FEV1 at Day 169 (difference over placebo of 167 </w:t>
      </w:r>
      <w:r w:rsidR="00F705C7">
        <w:t>mL</w:t>
      </w:r>
      <w:r w:rsidRPr="00DA7D87">
        <w:t xml:space="preserve"> and 238 </w:t>
      </w:r>
      <w:r w:rsidR="00F705C7">
        <w:t>mL</w:t>
      </w:r>
      <w:r w:rsidRPr="00DA7D87">
        <w:t xml:space="preserve"> with UMEC/VI 62.5/25 </w:t>
      </w:r>
      <w:r>
        <w:t>µg</w:t>
      </w:r>
      <w:r w:rsidRPr="00DA7D87">
        <w:t xml:space="preserve"> and 125/25 </w:t>
      </w:r>
      <w:r>
        <w:t>µg</w:t>
      </w:r>
      <w:r w:rsidRPr="00DA7D87">
        <w:t xml:space="preserve">, respectively; </w:t>
      </w:r>
      <w:r>
        <w:t>p &lt; 0.001</w:t>
      </w:r>
      <w:r w:rsidRPr="00DA7D87">
        <w:t>). Improvements over place</w:t>
      </w:r>
      <w:r>
        <w:t xml:space="preserve">bo were also observed in the 12 </w:t>
      </w:r>
      <w:r w:rsidRPr="00DA7D87">
        <w:t>week exercise studies (DB2114417 and DB2114418</w:t>
      </w:r>
      <w:r w:rsidR="000250D1">
        <w:t>)</w:t>
      </w:r>
      <w:r w:rsidRPr="00DA7D87">
        <w:t xml:space="preserve">; difference over placebo of 211 to 243 </w:t>
      </w:r>
      <w:r w:rsidR="00F705C7">
        <w:t>mL</w:t>
      </w:r>
      <w:r w:rsidR="00B73028">
        <w:t xml:space="preserve"> and 169 to 261 </w:t>
      </w:r>
      <w:r w:rsidR="00F705C7">
        <w:t>mL</w:t>
      </w:r>
      <w:r w:rsidRPr="00DA7D87">
        <w:t xml:space="preserve"> with UMEC/VI 62.5/25 </w:t>
      </w:r>
      <w:r>
        <w:t>µg</w:t>
      </w:r>
      <w:r w:rsidRPr="00DA7D87">
        <w:t xml:space="preserve"> and 125/25 </w:t>
      </w:r>
      <w:r>
        <w:t>µg</w:t>
      </w:r>
      <w:r w:rsidRPr="00DA7D87">
        <w:t xml:space="preserve">, respectively; </w:t>
      </w:r>
      <w:r>
        <w:t>p &lt; 0.001</w:t>
      </w:r>
      <w:r w:rsidRPr="00DA7D87">
        <w:t xml:space="preserve">, although statistical significance could not be claimed </w:t>
      </w:r>
      <w:r w:rsidR="00A96E8F">
        <w:t>for the comparisons in S</w:t>
      </w:r>
      <w:r w:rsidRPr="00DA7D87">
        <w:t xml:space="preserve">tudy DB2114417 under the terms of the testing hierarchy in the study. In the two pivotal </w:t>
      </w:r>
      <w:r>
        <w:t>24 week</w:t>
      </w:r>
      <w:r w:rsidR="00DD744C">
        <w:t xml:space="preserve"> active </w:t>
      </w:r>
      <w:r w:rsidRPr="00DA7D87">
        <w:t xml:space="preserve">controlled studies (DB2113360 and DB213374), both doses of UMEC/VI showed statistically significant improvements over TIO in trough FEV1 at Day 169 (difference over TIO of 60 to 90 </w:t>
      </w:r>
      <w:r w:rsidR="00F705C7">
        <w:t>mL</w:t>
      </w:r>
      <w:r w:rsidRPr="00DA7D87">
        <w:t xml:space="preserve"> and 74 to 88 </w:t>
      </w:r>
      <w:r w:rsidR="00F705C7">
        <w:t>mL</w:t>
      </w:r>
      <w:r w:rsidRPr="00DA7D87">
        <w:t xml:space="preserve"> with UMEC/VI 62.5/25 </w:t>
      </w:r>
      <w:r>
        <w:t>µg</w:t>
      </w:r>
      <w:r w:rsidRPr="00DA7D87">
        <w:t xml:space="preserve"> and 125/25 </w:t>
      </w:r>
      <w:r>
        <w:t>µg</w:t>
      </w:r>
      <w:r w:rsidRPr="00DA7D87">
        <w:t xml:space="preserve">, respectively; </w:t>
      </w:r>
      <w:r>
        <w:t xml:space="preserve">p </w:t>
      </w:r>
      <w:r w:rsidR="00DD744C">
        <w:t>≤</w:t>
      </w:r>
      <w:r>
        <w:t xml:space="preserve"> </w:t>
      </w:r>
      <w:r w:rsidRPr="00DA7D87">
        <w:t xml:space="preserve">0.018), although statistical significance could not be claimed for the comparison between UMEC/VI 62.5/25 </w:t>
      </w:r>
      <w:r>
        <w:t>µg</w:t>
      </w:r>
      <w:r w:rsidR="00A96E8F">
        <w:t xml:space="preserve"> and TIO in S</w:t>
      </w:r>
      <w:r w:rsidRPr="00DA7D87">
        <w:t>tudy DB213374 as a result of a prior test in the predefined testing hierarchy not achieving statistical significance in thi</w:t>
      </w:r>
      <w:r>
        <w:t>s study</w:t>
      </w:r>
      <w:r w:rsidRPr="00296A82">
        <w:t xml:space="preserve">. </w:t>
      </w:r>
      <w:r w:rsidRPr="00DA7D87">
        <w:t xml:space="preserve">Comparisons between UMEC/VI 62.5/25 </w:t>
      </w:r>
      <w:r>
        <w:t>µg</w:t>
      </w:r>
      <w:r w:rsidRPr="00DA7D87">
        <w:t xml:space="preserve"> with its individual components in the pivotal studies showed statistically significant improvements of the combination product over the individual components in trough FEV1 at Day </w:t>
      </w:r>
      <w:r w:rsidR="00B73028">
        <w:t>169 (improvement over UMEC 62.5 </w:t>
      </w:r>
      <w:r>
        <w:t>µg</w:t>
      </w:r>
      <w:r w:rsidRPr="00DA7D87">
        <w:t xml:space="preserve"> of 52 </w:t>
      </w:r>
      <w:r w:rsidR="00F705C7">
        <w:t>mL</w:t>
      </w:r>
      <w:r w:rsidRPr="00DA7D87">
        <w:t xml:space="preserve"> </w:t>
      </w:r>
      <w:r>
        <w:t>(</w:t>
      </w:r>
      <w:r w:rsidRPr="00DA7D87">
        <w:t>p</w:t>
      </w:r>
      <w:r>
        <w:t xml:space="preserve"> = </w:t>
      </w:r>
      <w:r w:rsidRPr="00DA7D87">
        <w:t xml:space="preserve">0.004; </w:t>
      </w:r>
      <w:r w:rsidR="00A96E8F">
        <w:t>Study</w:t>
      </w:r>
      <w:r w:rsidRPr="00DA7D87">
        <w:t xml:space="preserve"> DB213373</w:t>
      </w:r>
      <w:r>
        <w:t>)</w:t>
      </w:r>
      <w:r w:rsidRPr="00DA7D87">
        <w:t xml:space="preserve">; improvement over VI 25 </w:t>
      </w:r>
      <w:r>
        <w:t>µg</w:t>
      </w:r>
      <w:r w:rsidRPr="00DA7D87">
        <w:t xml:space="preserve"> of 95 </w:t>
      </w:r>
      <w:r w:rsidR="00F705C7">
        <w:t>mL</w:t>
      </w:r>
      <w:r w:rsidRPr="00DA7D87">
        <w:t xml:space="preserve"> </w:t>
      </w:r>
      <w:r>
        <w:t>(p &lt; 0.001</w:t>
      </w:r>
      <w:r w:rsidRPr="00DA7D87">
        <w:t xml:space="preserve">; </w:t>
      </w:r>
      <w:r w:rsidR="00A96E8F">
        <w:t>Study</w:t>
      </w:r>
      <w:r w:rsidRPr="00DA7D87">
        <w:t xml:space="preserve"> DB213373</w:t>
      </w:r>
      <w:r>
        <w:t>)</w:t>
      </w:r>
      <w:r w:rsidR="007016D9">
        <w:t xml:space="preserve"> and of 90 </w:t>
      </w:r>
      <w:r w:rsidR="00F705C7">
        <w:t>mL</w:t>
      </w:r>
      <w:r w:rsidRPr="00DA7D87">
        <w:t xml:space="preserve"> </w:t>
      </w:r>
      <w:r>
        <w:t>(p &lt; 0.001</w:t>
      </w:r>
      <w:r w:rsidRPr="00DA7D87">
        <w:t xml:space="preserve">; </w:t>
      </w:r>
      <w:r w:rsidR="00A96E8F">
        <w:t>Study</w:t>
      </w:r>
      <w:r w:rsidRPr="00DA7D87">
        <w:t xml:space="preserve"> DB213360</w:t>
      </w:r>
      <w:r w:rsidR="00610270">
        <w:t>))</w:t>
      </w:r>
      <w:r w:rsidRPr="00296A82">
        <w:t xml:space="preserve">. Comparisons </w:t>
      </w:r>
      <w:r w:rsidRPr="00DA7D87">
        <w:t xml:space="preserve">between UMEC/VI 125/25 </w:t>
      </w:r>
      <w:r>
        <w:t>µg</w:t>
      </w:r>
      <w:r w:rsidRPr="00DA7D87">
        <w:t xml:space="preserve"> with its individual components in the pivotal studies also showed statistically significant improvements of the combination product over the individual components in trough FEV1 at Day 169, except for that between UMEC/VI 125/25 </w:t>
      </w:r>
      <w:r>
        <w:t>µg</w:t>
      </w:r>
      <w:r w:rsidRPr="00DA7D87">
        <w:t xml:space="preserve"> and UMEC 125 </w:t>
      </w:r>
      <w:r>
        <w:t>µg</w:t>
      </w:r>
      <w:r w:rsidRPr="00DA7D87">
        <w:t xml:space="preserve"> in </w:t>
      </w:r>
      <w:r w:rsidR="00A96E8F">
        <w:t>Study</w:t>
      </w:r>
      <w:r w:rsidRPr="00DA7D87">
        <w:t xml:space="preserve"> DB213374 (improvement over UMEC 125 </w:t>
      </w:r>
      <w:r>
        <w:t>µg</w:t>
      </w:r>
      <w:r w:rsidR="00B73028">
        <w:t xml:space="preserve"> of 79 </w:t>
      </w:r>
      <w:r w:rsidR="00F705C7">
        <w:t>mL</w:t>
      </w:r>
      <w:r w:rsidRPr="00DA7D87">
        <w:t xml:space="preserve"> </w:t>
      </w:r>
      <w:r>
        <w:t>(p &lt; 0.001</w:t>
      </w:r>
      <w:r w:rsidRPr="00DA7D87">
        <w:t xml:space="preserve">; </w:t>
      </w:r>
      <w:r w:rsidR="00A96E8F">
        <w:t>Study</w:t>
      </w:r>
      <w:r w:rsidRPr="00DA7D87">
        <w:t xml:space="preserve"> DB213361</w:t>
      </w:r>
      <w:r>
        <w:t>)</w:t>
      </w:r>
      <w:r w:rsidRPr="00DA7D87">
        <w:t xml:space="preserve"> and of 37 </w:t>
      </w:r>
      <w:r w:rsidR="00F705C7">
        <w:t>mL</w:t>
      </w:r>
      <w:r w:rsidRPr="00DA7D87">
        <w:t xml:space="preserve"> </w:t>
      </w:r>
      <w:r>
        <w:t>(</w:t>
      </w:r>
      <w:r w:rsidRPr="00DA7D87">
        <w:t>p</w:t>
      </w:r>
      <w:r>
        <w:t xml:space="preserve"> = </w:t>
      </w:r>
      <w:r w:rsidRPr="00DA7D87">
        <w:t xml:space="preserve">0.142; </w:t>
      </w:r>
      <w:r w:rsidR="00A96E8F">
        <w:t>Study</w:t>
      </w:r>
      <w:r w:rsidRPr="00DA7D87">
        <w:t xml:space="preserve"> DB213374</w:t>
      </w:r>
      <w:r>
        <w:t>)</w:t>
      </w:r>
      <w:r w:rsidRPr="00DA7D87">
        <w:t xml:space="preserve">; improvement over VI 25 </w:t>
      </w:r>
      <w:r>
        <w:t>µg</w:t>
      </w:r>
      <w:r w:rsidRPr="00DA7D87">
        <w:t xml:space="preserve"> of 114 </w:t>
      </w:r>
      <w:r w:rsidR="00F705C7">
        <w:t>mL</w:t>
      </w:r>
      <w:r w:rsidRPr="00DA7D87">
        <w:t xml:space="preserve"> </w:t>
      </w:r>
      <w:r>
        <w:t>(p &lt; 0.001</w:t>
      </w:r>
      <w:r w:rsidRPr="00DA7D87">
        <w:t xml:space="preserve">; </w:t>
      </w:r>
      <w:r w:rsidR="00A96E8F">
        <w:t>Study</w:t>
      </w:r>
      <w:r w:rsidRPr="00DA7D87">
        <w:t xml:space="preserve"> DB213361</w:t>
      </w:r>
      <w:r>
        <w:t>)</w:t>
      </w:r>
      <w:r w:rsidRPr="00DA7D87">
        <w:t xml:space="preserve"> and of 88 </w:t>
      </w:r>
      <w:r w:rsidR="00F705C7">
        <w:t>mL</w:t>
      </w:r>
      <w:r w:rsidRPr="00DA7D87">
        <w:t xml:space="preserve"> </w:t>
      </w:r>
      <w:r>
        <w:t>(p &lt; 0.001</w:t>
      </w:r>
      <w:r w:rsidRPr="00DA7D87">
        <w:t xml:space="preserve">; </w:t>
      </w:r>
      <w:r w:rsidR="00A96E8F">
        <w:t>Study</w:t>
      </w:r>
      <w:r w:rsidRPr="00DA7D87">
        <w:t xml:space="preserve"> DB213360</w:t>
      </w:r>
      <w:r>
        <w:t>)</w:t>
      </w:r>
      <w:r w:rsidRPr="00DA7D87">
        <w:t>)</w:t>
      </w:r>
      <w:r w:rsidRPr="00296A82">
        <w:t>.</w:t>
      </w:r>
    </w:p>
    <w:p w:rsidR="003331B8" w:rsidRPr="00296A82" w:rsidRDefault="003331B8" w:rsidP="00D13EC4">
      <w:r w:rsidRPr="00296A82">
        <w:t xml:space="preserve">Analyses of the </w:t>
      </w:r>
      <w:proofErr w:type="spellStart"/>
      <w:r w:rsidRPr="00296A82">
        <w:t>bronchodilatory</w:t>
      </w:r>
      <w:proofErr w:type="spellEnd"/>
      <w:r w:rsidRPr="00296A82">
        <w:t xml:space="preserve"> effects in the first 6 hours after dosing, after 24 weeks of treat</w:t>
      </w:r>
      <w:r w:rsidR="007016D9" w:rsidRPr="00296A82">
        <w:t xml:space="preserve">ment (weighted mean FEV1 over 0 to </w:t>
      </w:r>
      <w:r w:rsidRPr="00296A82">
        <w:t xml:space="preserve">6 hours post dose at Day 168) showed that in the two 24 week placebo controlled studies (DB2113361 and DB213373), both doses of UMEC/VI showed improvements over placebo in weighted mean FEV1 over 0 to 6 hours post dose at Day 168 (difference over placebo of 242 </w:t>
      </w:r>
      <w:r w:rsidR="00F705C7">
        <w:t>mL</w:t>
      </w:r>
      <w:r w:rsidRPr="00296A82">
        <w:t xml:space="preserve"> and 287 </w:t>
      </w:r>
      <w:r w:rsidR="00F705C7">
        <w:t>mL</w:t>
      </w:r>
      <w:r w:rsidRPr="00296A82">
        <w:t xml:space="preserve"> with UMEC/VI 62.5/25 µg and 125/25 µg, respectively; p &lt; 0.001)</w:t>
      </w:r>
      <w:r w:rsidRPr="00E50F10">
        <w:rPr>
          <w:vertAlign w:val="superscript"/>
        </w:rPr>
        <w:footnoteReference w:id="11"/>
      </w:r>
      <w:r w:rsidRPr="00E50F10">
        <w:rPr>
          <w:vertAlign w:val="superscript"/>
        </w:rPr>
        <w:t>.</w:t>
      </w:r>
      <w:r w:rsidRPr="00296A82">
        <w:t xml:space="preserve"> In one of the 24 week active controlled studies (DB2113360), both doses of UMEC/VI showed statistically significant improvements over TIO in weighted mean FEV1 over 0 to 6 hours post dose at Day 168 (difference over TIO of 74 </w:t>
      </w:r>
      <w:r w:rsidR="00F705C7">
        <w:t>mL</w:t>
      </w:r>
      <w:r w:rsidRPr="00296A82">
        <w:t xml:space="preserve"> and 83 </w:t>
      </w:r>
      <w:r w:rsidR="00F705C7">
        <w:t>mL</w:t>
      </w:r>
      <w:r w:rsidRPr="00296A82">
        <w:t xml:space="preserve"> with UMEC/VI 62.5/25 µg and 125/25 µg, respectively; p </w:t>
      </w:r>
      <w:r w:rsidR="00E50F10">
        <w:t>≤</w:t>
      </w:r>
      <w:r w:rsidR="0036175C" w:rsidRPr="00296A82">
        <w:t xml:space="preserve"> </w:t>
      </w:r>
      <w:r w:rsidR="00E50F10">
        <w:t xml:space="preserve">0.005). In the other 24 week active </w:t>
      </w:r>
      <w:r w:rsidRPr="00296A82">
        <w:t xml:space="preserve">controlled studies (DB2113374), both doses of UMEC/VI also showed improvements over TIO in weighted mean FEV1 over 0 to 6 hours post dose at Day 168 (difference over TIO of 96 </w:t>
      </w:r>
      <w:r w:rsidR="00F705C7">
        <w:t>mL</w:t>
      </w:r>
      <w:r w:rsidRPr="00296A82">
        <w:t xml:space="preserve"> and 101 </w:t>
      </w:r>
      <w:r w:rsidR="00F705C7">
        <w:t>mL</w:t>
      </w:r>
      <w:r w:rsidRPr="00296A82">
        <w:t xml:space="preserve"> with UMEC/VI 62.5/25 µg and 125/25 µg, respectively; p </w:t>
      </w:r>
      <w:r w:rsidR="00E50F10">
        <w:t>≤</w:t>
      </w:r>
      <w:r w:rsidR="00EE75B7">
        <w:t xml:space="preserve"> 0.003</w:t>
      </w:r>
      <w:r w:rsidRPr="00296A82">
        <w:t xml:space="preserve">), although statistical significance could not be claimed for these comparisons as a result of a prior test in the predefined testing hierarchy not achieving statistical significance in </w:t>
      </w:r>
      <w:r w:rsidR="00A96E8F">
        <w:t>Study</w:t>
      </w:r>
      <w:r w:rsidRPr="00296A82">
        <w:t xml:space="preserve"> DB2113374.</w:t>
      </w:r>
    </w:p>
    <w:p w:rsidR="003331B8" w:rsidRPr="00296A82" w:rsidRDefault="003331B8" w:rsidP="00D13EC4">
      <w:r w:rsidRPr="00296A82">
        <w:t xml:space="preserve">With regards to </w:t>
      </w:r>
      <w:proofErr w:type="spellStart"/>
      <w:r w:rsidRPr="00296A82">
        <w:t>bronchodilatory</w:t>
      </w:r>
      <w:proofErr w:type="spellEnd"/>
      <w:r w:rsidRPr="00296A82">
        <w:t xml:space="preserve"> effects over 24 week treatment period (as measured by serial trough FEV1 and weighted mean FEV1 over 0 to6 hours across the 24 week </w:t>
      </w:r>
      <w:r w:rsidRPr="00296A82">
        <w:lastRenderedPageBreak/>
        <w:t>treatment period), results in the 4 pivotal studies showed that improvements with both doses of UMEC/VI in trough FEV1 compared to placebo and TIO were observed early (at Day 2) and then maintained across the 24 week treatment period. Improvements with both doses of UMEC/VI in weighted mean FEV1 over 0 to 6 hours compared to placebo and TIO were also observed early and then maintained across the 24 week treatment.</w:t>
      </w:r>
    </w:p>
    <w:p w:rsidR="003331B8" w:rsidRPr="00DA7D87" w:rsidRDefault="003331B8" w:rsidP="00D13EC4">
      <w:r w:rsidRPr="00DA7D87">
        <w:t xml:space="preserve">Characterisation of </w:t>
      </w:r>
      <w:proofErr w:type="spellStart"/>
      <w:r w:rsidRPr="00DA7D87">
        <w:t>bronchodilatory</w:t>
      </w:r>
      <w:proofErr w:type="spellEnd"/>
      <w:r w:rsidRPr="00DA7D87">
        <w:t xml:space="preserve"> effects over </w:t>
      </w:r>
      <w:r w:rsidR="00C6027A">
        <w:t xml:space="preserve">the </w:t>
      </w:r>
      <w:r w:rsidRPr="00DA7D87">
        <w:t>2</w:t>
      </w:r>
      <w:r>
        <w:t>4 hour</w:t>
      </w:r>
      <w:r w:rsidRPr="00DA7D87">
        <w:t xml:space="preserve"> dosing period was done by</w:t>
      </w:r>
      <w:r w:rsidR="00961328">
        <w:t xml:space="preserve"> analyses of data in the t</w:t>
      </w:r>
      <w:r>
        <w:t xml:space="preserve">wenty </w:t>
      </w:r>
      <w:r w:rsidR="00961328">
        <w:t>four h</w:t>
      </w:r>
      <w:r w:rsidRPr="00DA7D87">
        <w:t xml:space="preserve">our (TFH) Population in </w:t>
      </w:r>
      <w:r w:rsidR="00F82F3C">
        <w:t>Studies</w:t>
      </w:r>
      <w:r w:rsidRPr="00DA7D87">
        <w:t xml:space="preserve"> DB2113361 and DB2113373. Results showed that there were statistically significantly greater</w:t>
      </w:r>
      <w:r w:rsidR="00240523">
        <w:t xml:space="preserve"> least squares mean</w:t>
      </w:r>
      <w:r w:rsidRPr="00DA7D87">
        <w:t xml:space="preserve"> </w:t>
      </w:r>
      <w:r w:rsidR="00240523">
        <w:t>(</w:t>
      </w:r>
      <w:r w:rsidRPr="00240523">
        <w:t>LSM</w:t>
      </w:r>
      <w:r w:rsidR="00240523" w:rsidRPr="00240523">
        <w:t>)</w:t>
      </w:r>
      <w:r w:rsidRPr="00240523">
        <w:t xml:space="preserve"> changes </w:t>
      </w:r>
      <w:r w:rsidRPr="00DA7D87">
        <w:t xml:space="preserve">from baseline in 0 to 24 hour weighted mean FEV1 compared to placebo for both UMEC/VI 62.5/25 </w:t>
      </w:r>
      <w:r>
        <w:t>µg</w:t>
      </w:r>
      <w:r w:rsidRPr="00DA7D87">
        <w:t xml:space="preserve"> (</w:t>
      </w:r>
      <w:r w:rsidR="00A96E8F">
        <w:t>Study</w:t>
      </w:r>
      <w:r w:rsidRPr="00DA7D87">
        <w:t xml:space="preserve"> DB2113373) and UMEC/VI 125/25 </w:t>
      </w:r>
      <w:r>
        <w:t>µg</w:t>
      </w:r>
      <w:r w:rsidRPr="00DA7D87">
        <w:t xml:space="preserve"> (DB2113361) at Days 1, 84 and 168 (UMEC/VI 62.5/25 </w:t>
      </w:r>
      <w:r>
        <w:t>µg</w:t>
      </w:r>
      <w:r w:rsidRPr="00DA7D87">
        <w:t xml:space="preserve">: differences over placebo of 212 </w:t>
      </w:r>
      <w:r w:rsidR="00F705C7">
        <w:t>mL</w:t>
      </w:r>
      <w:r w:rsidRPr="00DA7D87">
        <w:t xml:space="preserve">, 254 </w:t>
      </w:r>
      <w:r w:rsidR="00F705C7">
        <w:t>mL</w:t>
      </w:r>
      <w:r w:rsidRPr="00DA7D87">
        <w:t xml:space="preserve"> and 219 </w:t>
      </w:r>
      <w:r w:rsidR="00F705C7">
        <w:t>mL</w:t>
      </w:r>
      <w:r w:rsidRPr="00DA7D87">
        <w:t xml:space="preserve"> at Days 1, 84 and 168, respectively </w:t>
      </w:r>
      <w:r>
        <w:t>(p &lt; 0.001)</w:t>
      </w:r>
      <w:r w:rsidRPr="00DA7D87">
        <w:t xml:space="preserve">; UMEC/VI 125/25 </w:t>
      </w:r>
      <w:r>
        <w:t>µg</w:t>
      </w:r>
      <w:r w:rsidRPr="00DA7D87">
        <w:t xml:space="preserve">: differences over placebo of 253 </w:t>
      </w:r>
      <w:r w:rsidR="00F705C7">
        <w:t>mL</w:t>
      </w:r>
      <w:r w:rsidRPr="00DA7D87">
        <w:t xml:space="preserve">, 309 </w:t>
      </w:r>
      <w:r w:rsidR="00F705C7">
        <w:t>mL</w:t>
      </w:r>
      <w:r w:rsidRPr="00DA7D87">
        <w:t xml:space="preserve"> and 312 </w:t>
      </w:r>
      <w:r w:rsidR="00F705C7">
        <w:t>mL</w:t>
      </w:r>
      <w:r w:rsidRPr="00DA7D87">
        <w:t xml:space="preserve">, respectively </w:t>
      </w:r>
      <w:r>
        <w:t>(p &lt; 0.001)</w:t>
      </w:r>
      <w:r w:rsidRPr="00DA7D87">
        <w:t xml:space="preserve">). Analyses of serial FEV1 at Days 1, 84, and 168 in the TFH population in </w:t>
      </w:r>
      <w:r w:rsidR="00F82F3C">
        <w:t>Studies</w:t>
      </w:r>
      <w:r w:rsidRPr="00DA7D87">
        <w:t xml:space="preserve"> DB2113361 and DB2113373 showed that there were statistically significantly greater </w:t>
      </w:r>
      <w:r>
        <w:t>post dose</w:t>
      </w:r>
      <w:r w:rsidRPr="00DA7D87">
        <w:t xml:space="preserve"> improvements in FEV1 from baseline compared to placebo for both doses of UMEC/VI.</w:t>
      </w:r>
    </w:p>
    <w:p w:rsidR="003331B8" w:rsidRPr="00DA7D87" w:rsidRDefault="003331B8" w:rsidP="00D13EC4">
      <w:r w:rsidRPr="00296A82">
        <w:t xml:space="preserve">With regards to effects on symptom relief and health outcomes, results were generally supportive of improvements over placebo for both doses of UMEC/VI, but not over TIO for either dose of UMEC/VI. In the pivotal 24 week placebo controlled studies (DB2113361 and DB213373), both doses of UMEC/VI showed statistically significant improvements over placebo in TDI focal scores at Days 28, 84 and 168 (difference over placebo at Day 168 of 1.2 and 1.0 with UMEC/VI 62.5/25 µg and 125/25 µg, respectively; p &lt; 0.001). The proportion of TDI responders (as defined by a </w:t>
      </w:r>
      <w:r w:rsidR="00E50F10">
        <w:t>≥</w:t>
      </w:r>
      <w:r w:rsidR="0036175C" w:rsidRPr="00296A82">
        <w:t xml:space="preserve"> </w:t>
      </w:r>
      <w:r w:rsidRPr="00296A82">
        <w:t>1 unit value) at Day 168 was greater for UMEC/VI 62.5/25 µg compared with placebo (</w:t>
      </w:r>
      <w:r w:rsidR="00A96E8F">
        <w:t>Study</w:t>
      </w:r>
      <w:r w:rsidRPr="00296A82">
        <w:t xml:space="preserve"> DB2113373; 58% versus 41%) and for UMEC/VI 125/25 µg compared with placebo (</w:t>
      </w:r>
      <w:r w:rsidR="00A96E8F">
        <w:t>Study</w:t>
      </w:r>
      <w:r w:rsidRPr="00296A82">
        <w:t xml:space="preserve"> DB2113361; 49% versus 30%). The ratio of the odds of being a TDI responder versus a non responder was greater for</w:t>
      </w:r>
      <w:r w:rsidRPr="00DA7D87">
        <w:t xml:space="preserve"> </w:t>
      </w:r>
      <w:r w:rsidRPr="00296A82">
        <w:t>both doses of UMEC/VI compared with placebo at all assessed time points (odds ratio of 2.0 to 3.1 (p &lt; 0.001) and2.5 to 3.7 (p &lt; 0.001) with UMEC/VI 62.5/25 µg and 125/25 µg, respectively. However, in the pivotal 24 week active controlled studies (DB2113360 and DB213374), the treatment differences between either dose of UMEC/VI and TIO for TDI focal score at Day 168 were not statistically significant in both the individual studies as we</w:t>
      </w:r>
      <w:r w:rsidR="00E50F10">
        <w:t>ll as the meta-analysis of the two</w:t>
      </w:r>
      <w:r w:rsidRPr="00296A82">
        <w:t xml:space="preserve"> studies. Statistically significant improvements over TIO with both doses of UMEC/VI were seen at Days 28 and 84 only </w:t>
      </w:r>
      <w:r w:rsidR="00A54191" w:rsidRPr="00296A82">
        <w:t xml:space="preserve">in </w:t>
      </w:r>
      <w:r w:rsidR="00A96E8F">
        <w:t>Study</w:t>
      </w:r>
      <w:r w:rsidR="00A54191" w:rsidRPr="00296A82">
        <w:t xml:space="preserve"> DB2113360 and the meta-</w:t>
      </w:r>
      <w:r w:rsidR="00F82F3C">
        <w:t xml:space="preserve">analysis, but not in </w:t>
      </w:r>
      <w:r w:rsidR="00A96E8F">
        <w:t>Study</w:t>
      </w:r>
      <w:r w:rsidRPr="00296A82">
        <w:t xml:space="preserve"> DB2113374. The odds of being a responder versus a non responder based on TDI score was also not statistically significant for either dose of UMEC/VI compared with TIO at Day 168 in both the individual studies as wel</w:t>
      </w:r>
      <w:r w:rsidR="00E50F10">
        <w:t xml:space="preserve">l as the meta-analysis of the two </w:t>
      </w:r>
      <w:r w:rsidRPr="00296A82">
        <w:t>studies.</w:t>
      </w:r>
    </w:p>
    <w:p w:rsidR="003331B8" w:rsidRPr="00296A82" w:rsidRDefault="003331B8" w:rsidP="00D13EC4">
      <w:r w:rsidRPr="00296A82">
        <w:t xml:space="preserve">Analyses of other endpoints of symptomatic benefit and health outcomes (rescue salbutamol use, </w:t>
      </w:r>
      <w:r w:rsidRPr="00961328">
        <w:t>SOBDA</w:t>
      </w:r>
      <w:r w:rsidRPr="00296A82">
        <w:t xml:space="preserve"> score and proportion of SOBDA responders, COPD exacerbation, </w:t>
      </w:r>
      <w:r w:rsidR="0069791D" w:rsidRPr="00296A82">
        <w:t>St. George’s Respiratory Questionnaire (</w:t>
      </w:r>
      <w:r w:rsidRPr="00296A82">
        <w:t>SGRQ</w:t>
      </w:r>
      <w:r w:rsidR="0069791D" w:rsidRPr="00296A82">
        <w:t>)</w:t>
      </w:r>
      <w:r w:rsidR="00E2140F">
        <w:t xml:space="preserve"> </w:t>
      </w:r>
      <w:r w:rsidR="00240523" w:rsidRPr="00E50F10">
        <w:rPr>
          <w:vertAlign w:val="superscript"/>
        </w:rPr>
        <w:footnoteReference w:id="12"/>
      </w:r>
      <w:r w:rsidR="004D3555">
        <w:rPr>
          <w:rStyle w:val="FootnoteReference"/>
        </w:rPr>
        <w:footnoteReference w:id="13"/>
      </w:r>
      <w:r w:rsidRPr="00296A82">
        <w:t>score and proportion of SGRQ responders, and evaluation of healthcare resource utilisation) gave similar results, showing improvements with both doses of UMEC/VI over placebo, but not over TIO. In the pivotal 24 week placebo controlled studies (DB2113361 and DB213373), both doses of UMEC/VI showed statistically significantly greater reductions from baseline in LSM rescue salbutamol use over Weeks 1 to 24 compared to placebo</w:t>
      </w:r>
      <w:r w:rsidR="00C6027A">
        <w:t xml:space="preserve"> (r</w:t>
      </w:r>
      <w:r w:rsidR="00C6027A" w:rsidRPr="00C6027A">
        <w:t>educed by 0.8 and 1.5 puffs per day compared to placebo with UMEC/VI 62.5/25 µg (p &lt; 0.001) and UMEC/VI 125/25 µg (p=0.001), respectively</w:t>
      </w:r>
      <w:r w:rsidR="00C6027A">
        <w:t>)</w:t>
      </w:r>
      <w:r w:rsidRPr="00296A82">
        <w:t xml:space="preserve">, and larger changes from baseline in percentage of rescue free </w:t>
      </w:r>
      <w:r w:rsidRPr="00296A82">
        <w:lastRenderedPageBreak/>
        <w:t>days over Weeks 1 to 24 compared with placebo for both doses of UMEC/VI</w:t>
      </w:r>
      <w:r w:rsidR="00C6027A">
        <w:t xml:space="preserve"> (</w:t>
      </w:r>
      <w:r w:rsidR="00C6027A" w:rsidRPr="00C6027A">
        <w:t>11.1% for UMEC/VI 62.5/25 µg versus -0.9% for placebo and 17.2% for UMEC/VI 125/25 µg versus 0.4% for placebo</w:t>
      </w:r>
      <w:r w:rsidR="00C6027A">
        <w:t>)</w:t>
      </w:r>
      <w:r w:rsidRPr="00296A82">
        <w:t>. There was statistically significantly greater LSM SOBDA score improvement from baseline with both doses of UMEC/VI compared with placebo at Week 24</w:t>
      </w:r>
      <w:r w:rsidR="00C6027A">
        <w:t xml:space="preserve"> (d</w:t>
      </w:r>
      <w:r w:rsidR="00C6027A" w:rsidRPr="00C6027A">
        <w:t>ifference over placebo of -0.17 and-0.15 with UMEC/VI 62.5/25 µg (p &lt; 0.001) and UMEC/VI 125/25 µg (p = 0.002), respectively</w:t>
      </w:r>
      <w:r w:rsidR="00C6027A">
        <w:t>)</w:t>
      </w:r>
      <w:r w:rsidR="005106AC">
        <w:t>.</w:t>
      </w:r>
      <w:r w:rsidR="005106AC">
        <w:rPr>
          <w:vertAlign w:val="superscript"/>
        </w:rPr>
        <w:t xml:space="preserve"> </w:t>
      </w:r>
      <w:r w:rsidRPr="00296A82">
        <w:t>The proportion of SOBDA responders at Week 24 was greater for UMEC/VI 62.5/25 µg compared with placebo</w:t>
      </w:r>
      <w:r w:rsidR="005106AC">
        <w:t xml:space="preserve"> (u</w:t>
      </w:r>
      <w:r w:rsidR="005106AC" w:rsidRPr="005106AC">
        <w:t>sing responder threshold of -0.1: 32% versus 21% (p = 0.002); using responder threshold of -0.2: 28% versus 16% (p &lt; 0.001)</w:t>
      </w:r>
      <w:r w:rsidR="005106AC">
        <w:t>)</w:t>
      </w:r>
      <w:r w:rsidRPr="00296A82">
        <w:t xml:space="preserve"> and for UMEC/VI 125/25 µg compared with placebo</w:t>
      </w:r>
      <w:r w:rsidR="005106AC">
        <w:t xml:space="preserve"> (u</w:t>
      </w:r>
      <w:r w:rsidR="005106AC" w:rsidRPr="005106AC">
        <w:t>sing responder threshold of -0.1: 34% versus 22% (p = 0.002)</w:t>
      </w:r>
      <w:r w:rsidR="00B73028">
        <w:t xml:space="preserve">; using responder threshold of </w:t>
      </w:r>
      <w:r w:rsidR="00B73028">
        <w:noBreakHyphen/>
        <w:t xml:space="preserve"> </w:t>
      </w:r>
      <w:r w:rsidR="005106AC" w:rsidRPr="005106AC">
        <w:t>0</w:t>
      </w:r>
      <w:r w:rsidR="00EE75B7">
        <w:t>.2: 28</w:t>
      </w:r>
      <w:r w:rsidR="005106AC" w:rsidRPr="005106AC">
        <w:t>% versus 16% (p &lt; 0.001)</w:t>
      </w:r>
      <w:r w:rsidR="005106AC">
        <w:t>)</w:t>
      </w:r>
      <w:r w:rsidRPr="00296A82">
        <w:t>. Both doses of UMEC/VI also showed a lower risk of COPD exacerbation compared with placebo</w:t>
      </w:r>
      <w:r w:rsidR="005106AC">
        <w:t xml:space="preserve"> (h</w:t>
      </w:r>
      <w:r w:rsidR="005106AC" w:rsidRPr="005106AC">
        <w:t xml:space="preserve">azard ratios </w:t>
      </w:r>
      <w:r w:rsidR="00B73028">
        <w:t>of 0.5 (p = 0.004) and 0.4 (p &lt; </w:t>
      </w:r>
      <w:r w:rsidR="005106AC" w:rsidRPr="005106AC">
        <w:t>0.001) with UMEC/VI 62.5/25 µg and UMEC/VI 125/25 µg, respectively</w:t>
      </w:r>
      <w:r w:rsidR="005106AC">
        <w:t>)</w:t>
      </w:r>
      <w:r w:rsidRPr="00296A82">
        <w:t>. In terms of health outcomes, there were statistically significant greater LSM decreases from baseline in SGRQ total score at Day 168 compared to placebo for both doses of UMEC/VI</w:t>
      </w:r>
      <w:r w:rsidR="005106AC">
        <w:t xml:space="preserve"> (d</w:t>
      </w:r>
      <w:r w:rsidR="005106AC" w:rsidRPr="005106AC">
        <w:t>ifference over placebo of -5.51 (p &lt; 0.001) and -3.60 (p = 0.001) with UMEC/VI 62.5/25 µg and UMEC/VI 125/25 µg, respectively</w:t>
      </w:r>
      <w:r w:rsidR="005106AC">
        <w:t>)</w:t>
      </w:r>
      <w:r w:rsidRPr="00296A82">
        <w:t>. The proportion of SGRQ responders (defined as having a SGRQ total score of 4 units below baseline or lower) at Day 168 was greater for UMEC/VI 62.5/25 µg compared with placebo</w:t>
      </w:r>
      <w:r w:rsidR="005106AC">
        <w:t xml:space="preserve"> (</w:t>
      </w:r>
      <w:r w:rsidR="005106AC" w:rsidRPr="005106AC">
        <w:t>Study DB2113373: 49% versus 34%, p &lt; 0.001</w:t>
      </w:r>
      <w:r w:rsidR="005106AC">
        <w:t>)</w:t>
      </w:r>
      <w:r w:rsidRPr="00296A82">
        <w:t xml:space="preserve"> and for UMEC/VI 125/25 µg compared with placebo</w:t>
      </w:r>
      <w:r w:rsidR="005106AC">
        <w:t xml:space="preserve"> (</w:t>
      </w:r>
      <w:r w:rsidR="005106AC" w:rsidRPr="005106AC">
        <w:t xml:space="preserve">Study </w:t>
      </w:r>
      <w:r w:rsidR="00B73028">
        <w:t>DB2113361; 49% versus. 37%, p = </w:t>
      </w:r>
      <w:r w:rsidR="005106AC" w:rsidRPr="005106AC">
        <w:t>0.002</w:t>
      </w:r>
      <w:r w:rsidR="005106AC">
        <w:t>)</w:t>
      </w:r>
      <w:r w:rsidRPr="00296A82">
        <w:t xml:space="preserve">. However, analysis of healthcare resource utilisation in </w:t>
      </w:r>
      <w:r w:rsidR="00F82F3C">
        <w:t>Studies</w:t>
      </w:r>
      <w:r w:rsidRPr="00296A82">
        <w:t xml:space="preserve"> DB2113361 and DB2113373 yielded results that were comparable between the placebo and UMEC/VI treatment groups.</w:t>
      </w:r>
    </w:p>
    <w:p w:rsidR="003331B8" w:rsidRPr="00296A82" w:rsidRDefault="003331B8" w:rsidP="00D13EC4">
      <w:r w:rsidRPr="00296A82">
        <w:t>In the pivotal 24 week active-controlled studies (DB2113360 and DB213374), UMEC/VI 125/25 µg showed statistically significantly greater reductions from baseline in LSM rescue salbutamol use over Weeks 1 to 24 compared to TIO</w:t>
      </w:r>
      <w:r w:rsidR="005106AC">
        <w:t xml:space="preserve"> (r</w:t>
      </w:r>
      <w:r w:rsidR="005106AC" w:rsidRPr="005106AC">
        <w:t>educed by 0.6 and1.1 puffs per day compared to TIO in studies DB2113360 and DB213374, respectively; p ≤ 0.031</w:t>
      </w:r>
      <w:r w:rsidR="005106AC">
        <w:t>)</w:t>
      </w:r>
      <w:r w:rsidRPr="00296A82">
        <w:t xml:space="preserve">. However, statistically significantly greater reductions from baseline in LSM rescue salbutamol use over Weeks 1 to 24 compared to TIO for UMEC/VI 62.5/25 µg was only observed in </w:t>
      </w:r>
      <w:r w:rsidR="00A96E8F">
        <w:t>Study</w:t>
      </w:r>
      <w:r w:rsidRPr="00296A82">
        <w:t xml:space="preserve"> DB2113360</w:t>
      </w:r>
      <w:r w:rsidR="005106AC">
        <w:t xml:space="preserve"> (r</w:t>
      </w:r>
      <w:r w:rsidR="005106AC" w:rsidRPr="005106AC">
        <w:t>educed by 0.7 puffs per day compared to TIO; p = 0.022</w:t>
      </w:r>
      <w:r w:rsidR="005106AC">
        <w:t xml:space="preserve">). </w:t>
      </w:r>
      <w:r w:rsidRPr="00296A82">
        <w:t>There were larger changes from baseline in percentage of rescue free days over Weeks 1 to 24 compared with TIO with both doses of UMEC/VI</w:t>
      </w:r>
      <w:r w:rsidR="005106AC">
        <w:t xml:space="preserve"> (</w:t>
      </w:r>
      <w:r w:rsidR="005106AC" w:rsidRPr="005106AC">
        <w:t xml:space="preserve">Study DB2113360: 18.6% and 18.8% with UMEC/VI 62.5/25 µg and UMEC/VI 125/25 µg, respectively versus 11.7% with </w:t>
      </w:r>
      <w:r w:rsidR="00CA20A1">
        <w:t>TIO</w:t>
      </w:r>
      <w:r w:rsidR="005106AC" w:rsidRPr="005106AC">
        <w:t>; Study DB213374: 17.6% and 26.9%, respectively versus 13.4%</w:t>
      </w:r>
      <w:r w:rsidR="005106AC">
        <w:t>).</w:t>
      </w:r>
      <w:r w:rsidRPr="00296A82">
        <w:t xml:space="preserve"> However, analyses of the SOBDA score, proportion of SOBDA responders at Week 24, COPD exacerbations, SGRQ total score at Day 168 and proportion of SGRQ responders at Day 168 yielded results that were not statistically significant for the comparison between either dose of UMEC/VI and TIO.</w:t>
      </w:r>
    </w:p>
    <w:p w:rsidR="003331B8" w:rsidRPr="00296A82" w:rsidRDefault="003331B8" w:rsidP="00D13EC4">
      <w:r w:rsidRPr="00296A82">
        <w:t xml:space="preserve">With regards to effects on exercise tolerance, analyses in one of the 2 exercise studies (DB2114417) showed that there were no statistically significant difference in 3 hour post dose </w:t>
      </w:r>
      <w:r w:rsidR="00367B3B" w:rsidRPr="00296A82">
        <w:t>exercise endurance time (</w:t>
      </w:r>
      <w:r w:rsidRPr="00296A82">
        <w:t>EET</w:t>
      </w:r>
      <w:r w:rsidR="00367B3B" w:rsidRPr="00296A82">
        <w:t>)</w:t>
      </w:r>
      <w:r w:rsidRPr="00296A82">
        <w:t xml:space="preserve"> at Week 12 between either doses of UMEC/VI and placebo (EET change from baseline of 58.6, 69.1 and 36</w:t>
      </w:r>
      <w:r w:rsidR="000053DF">
        <w:t>.7 seconds with UMEC/VI 62.5/25 </w:t>
      </w:r>
      <w:r w:rsidRPr="00296A82">
        <w:t xml:space="preserve">µg, UMEC/VI 125/25 µg and placebo, respectively; UMEC/VI 62.5/25 µg versus placebo: p = 0.234; UMEC/VI 125/25 µg versus placebo: p = 0.08). However, in the other exercise </w:t>
      </w:r>
      <w:r w:rsidR="00A96E8F">
        <w:t>Study</w:t>
      </w:r>
      <w:r w:rsidRPr="00296A82">
        <w:t xml:space="preserve"> (DB2114418), there were statistically significantly greater LSM changes from baseline in the 3 hour post dose EET at Week 12 compared with placebo for both doses of UMEC/VI (UMEC/VI 62.5/25 µg: difference of 69.4 seconds over placebo (69.5 versus 0.1 seconds), p = 0.003; UMEC/VI 125/25 µg: difference of 65.8 seconds over placebo (65.9 versus 0.1 seconds), p = 0.005). Detailed analysis shows that the changes in EET from baseline were similar with both doses of UMEC/VI between both studies, but there was a greater placebo response in </w:t>
      </w:r>
      <w:r w:rsidR="00A96E8F">
        <w:t>Study</w:t>
      </w:r>
      <w:r w:rsidRPr="00296A82">
        <w:t xml:space="preserve"> DB2114417 (EET change from baseline of 36.7 seconds) than was observed in the DB2114418 study (EET change from baseline of </w:t>
      </w:r>
      <w:r w:rsidRPr="00296A82">
        <w:lastRenderedPageBreak/>
        <w:t>0.1 seconds). The sponsor had stated that no obvious reason for this difference between the studies was found.</w:t>
      </w:r>
    </w:p>
    <w:p w:rsidR="003331B8" w:rsidRPr="00296A82" w:rsidRDefault="003331B8" w:rsidP="00D13EC4">
      <w:r w:rsidRPr="00296A82">
        <w:t xml:space="preserve">The individual components of UMEC/VI (UMEC 62.5 µg, UMEC 125 µg and VI 25 µg) were </w:t>
      </w:r>
      <w:r w:rsidR="00B84830" w:rsidRPr="00B84830">
        <w:t>all new chemical entities at the time the CER was prepared and had not been approved as monotherapies</w:t>
      </w:r>
      <w:r w:rsidRPr="00296A82">
        <w:t xml:space="preserve">. The </w:t>
      </w:r>
      <w:proofErr w:type="spellStart"/>
      <w:r w:rsidRPr="00296A82">
        <w:t>bronchodilatory</w:t>
      </w:r>
      <w:proofErr w:type="spellEnd"/>
      <w:r w:rsidRPr="00296A82">
        <w:t xml:space="preserve"> efficacy of the individual components was investigated against placebo in the two pivotal 24 week placebo controlled studies (DB2113361 and DB213373). Results in these 2 studies showed that there were statistically significant improvements over placebo in trough FEV1 at Day 169 with both doses of UMEC and with VI 25 µg (difference over placebo of 115 </w:t>
      </w:r>
      <w:r w:rsidR="00F705C7">
        <w:t>mL</w:t>
      </w:r>
      <w:r w:rsidRPr="00296A82">
        <w:t xml:space="preserve">, 160 </w:t>
      </w:r>
      <w:r w:rsidR="00F705C7">
        <w:t>mL</w:t>
      </w:r>
      <w:r w:rsidRPr="00296A82">
        <w:t xml:space="preserve"> and 72 to 124 </w:t>
      </w:r>
      <w:r w:rsidR="00F705C7">
        <w:t>mL</w:t>
      </w:r>
      <w:r w:rsidRPr="00296A82">
        <w:t xml:space="preserve"> with UMEC 62.5 µg, UMEC 125 µg and VI 25 µg, respectively (p &lt; 0.001)</w:t>
      </w:r>
      <w:r w:rsidR="00B73028">
        <w:t>)</w:t>
      </w:r>
      <w:r w:rsidRPr="00296A82">
        <w:t xml:space="preserve">. There were also improvements over placebo in weighted mean FEV1 over 0 to 6 hours post dose at Day 168 with both doses of UMEC and with VI 25 µg (difference over placebo of 150 </w:t>
      </w:r>
      <w:r w:rsidR="00F705C7">
        <w:t>mL</w:t>
      </w:r>
      <w:r w:rsidRPr="00296A82">
        <w:t xml:space="preserve">, 178 </w:t>
      </w:r>
      <w:r w:rsidR="00F705C7">
        <w:t>mL</w:t>
      </w:r>
      <w:r w:rsidRPr="00296A82">
        <w:t xml:space="preserve"> and 122 to 145 </w:t>
      </w:r>
      <w:r w:rsidR="00F705C7">
        <w:t>mL</w:t>
      </w:r>
      <w:r w:rsidRPr="00296A82">
        <w:t xml:space="preserve"> with UMEC 62.5 µg, UMEC 125 µ</w:t>
      </w:r>
      <w:r w:rsidR="00B73028">
        <w:t>g and VI 25 µg, respectively (p </w:t>
      </w:r>
      <w:r w:rsidRPr="00296A82">
        <w:t>&lt; 0.001))</w:t>
      </w:r>
      <w:r w:rsidRPr="000053DF">
        <w:rPr>
          <w:vertAlign w:val="superscript"/>
        </w:rPr>
        <w:footnoteReference w:id="14"/>
      </w:r>
      <w:r w:rsidRPr="00296A82">
        <w:t xml:space="preserve">. These results were generally supported by results in the two exercise studies (DB2114417 and DB2114418). In </w:t>
      </w:r>
      <w:r w:rsidR="00A96E8F">
        <w:t>Study</w:t>
      </w:r>
      <w:r w:rsidRPr="00296A82">
        <w:t xml:space="preserve"> DB2114418, there were statistically significant improvements over placebo in trough FEV1 at Week 12 with both doses of UMEC and with VI 25 µg (difference over placebo of 144 </w:t>
      </w:r>
      <w:r w:rsidR="00F705C7">
        <w:t>mL</w:t>
      </w:r>
      <w:r w:rsidRPr="00296A82">
        <w:t xml:space="preserve">, 255 </w:t>
      </w:r>
      <w:r w:rsidR="00F705C7">
        <w:t>mL</w:t>
      </w:r>
      <w:r w:rsidRPr="00296A82">
        <w:t xml:space="preserve"> and 112 </w:t>
      </w:r>
      <w:r w:rsidR="00F705C7">
        <w:t>mL</w:t>
      </w:r>
      <w:r w:rsidRPr="00296A82">
        <w:t xml:space="preserve"> with UMEC 62.5 µg, UMEC 125 µg and VI 25 µg, respectively (p &lt; 0.001)). In </w:t>
      </w:r>
      <w:r w:rsidR="00A96E8F">
        <w:t>Study</w:t>
      </w:r>
      <w:r w:rsidRPr="00296A82">
        <w:t xml:space="preserve"> DB2114417, there were also improvements over placebo in trough FEV1 at Week 12 with both doses of UMEC and with VI 25 µg (difference over placebo of 87 </w:t>
      </w:r>
      <w:r w:rsidR="00F705C7">
        <w:t>mL</w:t>
      </w:r>
      <w:r w:rsidRPr="00296A82">
        <w:t xml:space="preserve">, 140 </w:t>
      </w:r>
      <w:r w:rsidR="00F705C7">
        <w:t>mL</w:t>
      </w:r>
      <w:r w:rsidRPr="00296A82">
        <w:t xml:space="preserve"> and 99 </w:t>
      </w:r>
      <w:r w:rsidR="00F705C7">
        <w:t>mL</w:t>
      </w:r>
      <w:r w:rsidRPr="00296A82">
        <w:t xml:space="preserve"> with UMEC 62.5 µg, UMEC 125 µg and VI 25 µg, respectively (p </w:t>
      </w:r>
      <w:r w:rsidR="00793DBF">
        <w:t>≤</w:t>
      </w:r>
      <w:r w:rsidR="0036175C" w:rsidRPr="00296A82">
        <w:t xml:space="preserve"> </w:t>
      </w:r>
      <w:r w:rsidRPr="00296A82">
        <w:t xml:space="preserve">0.003)), although statistical significance could not be claimed for these comparisons as a result of a prior test in the predefined testing hierarchy not achieving statistical significance in </w:t>
      </w:r>
      <w:r w:rsidR="00A96E8F">
        <w:t>Study</w:t>
      </w:r>
      <w:r w:rsidRPr="00296A82">
        <w:t xml:space="preserve"> DB2114417. In the two pivotal 24 week active controlled studies (DB2113360 and DB213374), direct statistical comparisons of UMEC or VI with TIO was not performed, but FEV1 results of UMEC and VI were numerically similar to or greater than those of TIO (change from baseline in trough FEV1 at Day 169: 186 </w:t>
      </w:r>
      <w:r w:rsidR="00F705C7">
        <w:t>mL</w:t>
      </w:r>
      <w:r w:rsidRPr="00296A82">
        <w:t xml:space="preserve"> (</w:t>
      </w:r>
      <w:r w:rsidR="0069791D" w:rsidRPr="00296A82">
        <w:t>standard error (</w:t>
      </w:r>
      <w:r w:rsidRPr="00296A82">
        <w:t>SE</w:t>
      </w:r>
      <w:r w:rsidR="0069791D" w:rsidRPr="00296A82">
        <w:t>)</w:t>
      </w:r>
      <w:r w:rsidRPr="00296A82">
        <w:t xml:space="preserve">:17.8 </w:t>
      </w:r>
      <w:r w:rsidR="00F705C7">
        <w:t>mL</w:t>
      </w:r>
      <w:r w:rsidR="00B73028">
        <w:t>) for UMEC 125 </w:t>
      </w:r>
      <w:r w:rsidRPr="00296A82">
        <w:t xml:space="preserve">µg versus 149 </w:t>
      </w:r>
      <w:r w:rsidR="00F705C7">
        <w:t>mL</w:t>
      </w:r>
      <w:r w:rsidRPr="00296A82">
        <w:t xml:space="preserve"> (SE: 17.6 </w:t>
      </w:r>
      <w:r w:rsidR="00F705C7">
        <w:t>mL</w:t>
      </w:r>
      <w:r w:rsidRPr="00296A82">
        <w:t xml:space="preserve">) for TIO; 121 </w:t>
      </w:r>
      <w:r w:rsidR="00F705C7">
        <w:t>mL</w:t>
      </w:r>
      <w:r w:rsidRPr="00296A82">
        <w:t xml:space="preserve"> (SE:18.9 </w:t>
      </w:r>
      <w:r w:rsidR="00F705C7">
        <w:t>mL</w:t>
      </w:r>
      <w:r w:rsidR="00B73028">
        <w:t>) for VI 25 µg versus 121 </w:t>
      </w:r>
      <w:r w:rsidR="00F705C7">
        <w:t>mL</w:t>
      </w:r>
      <w:r w:rsidRPr="00296A82">
        <w:t xml:space="preserve"> (SE: 18.6 </w:t>
      </w:r>
      <w:r w:rsidR="00F705C7">
        <w:t>mL</w:t>
      </w:r>
      <w:r w:rsidRPr="00296A82">
        <w:t xml:space="preserve">) for TIO; change from baseline in weighted mean FEV1 over 0 to 6 hours </w:t>
      </w:r>
      <w:r w:rsidR="003D3C63" w:rsidRPr="00296A82">
        <w:t>on</w:t>
      </w:r>
      <w:r w:rsidRPr="00296A82">
        <w:t xml:space="preserve"> Day 168: 206 </w:t>
      </w:r>
      <w:r w:rsidR="00F705C7">
        <w:t>mL</w:t>
      </w:r>
      <w:r w:rsidRPr="00296A82">
        <w:t xml:space="preserve"> (SE:16.7 </w:t>
      </w:r>
      <w:r w:rsidR="00F705C7">
        <w:t>mL</w:t>
      </w:r>
      <w:r w:rsidRPr="00296A82">
        <w:t>)</w:t>
      </w:r>
      <w:r w:rsidR="003D3C63" w:rsidRPr="00296A82">
        <w:t xml:space="preserve"> for UMEC 125 </w:t>
      </w:r>
      <w:r w:rsidRPr="00296A82">
        <w:t xml:space="preserve">µg versus 180 </w:t>
      </w:r>
      <w:r w:rsidR="00F705C7">
        <w:t>mL</w:t>
      </w:r>
      <w:r w:rsidRPr="00296A82">
        <w:t xml:space="preserve"> (SE: 16.5 </w:t>
      </w:r>
      <w:r w:rsidR="00F705C7">
        <w:t>mL</w:t>
      </w:r>
      <w:r w:rsidRPr="00296A82">
        <w:t xml:space="preserve">) for TIO; 178 </w:t>
      </w:r>
      <w:r w:rsidR="00F705C7">
        <w:t>mL</w:t>
      </w:r>
      <w:r w:rsidRPr="00296A82">
        <w:t xml:space="preserve"> (SE:18.9 </w:t>
      </w:r>
      <w:r w:rsidR="00F705C7">
        <w:t>mL</w:t>
      </w:r>
      <w:r w:rsidRPr="00296A82">
        <w:t xml:space="preserve">) for VI 25 µg versus 181 </w:t>
      </w:r>
      <w:r w:rsidR="00F705C7">
        <w:t>mL</w:t>
      </w:r>
      <w:r w:rsidRPr="00296A82">
        <w:t xml:space="preserve"> (SE: 18.7 </w:t>
      </w:r>
      <w:r w:rsidR="00F705C7">
        <w:t>mL</w:t>
      </w:r>
      <w:r w:rsidRPr="00296A82">
        <w:t>) for TIO).</w:t>
      </w:r>
    </w:p>
    <w:p w:rsidR="003331B8" w:rsidRPr="00296A82" w:rsidRDefault="003331B8" w:rsidP="00D13EC4">
      <w:r w:rsidRPr="00B84830">
        <w:t xml:space="preserve">Although 2 doses of UMEC/VI were tested in the Phase III studies and both were proposed for registration, the recommended dose in the proposed </w:t>
      </w:r>
      <w:r w:rsidR="003D3C63" w:rsidRPr="00B84830">
        <w:t>PI</w:t>
      </w:r>
      <w:r w:rsidRPr="00B84830">
        <w:t xml:space="preserve"> was one oral inhalation of UMEC/VI 62.5/25 µg </w:t>
      </w:r>
      <w:r w:rsidR="00B84830" w:rsidRPr="00B84830">
        <w:t>once daily</w:t>
      </w:r>
      <w:r w:rsidRPr="00B84830">
        <w:t xml:space="preserve">, with additional note that “the use of </w:t>
      </w:r>
      <w:proofErr w:type="spellStart"/>
      <w:r w:rsidRPr="00B84830">
        <w:t>Anoro</w:t>
      </w:r>
      <w:proofErr w:type="spellEnd"/>
      <w:r w:rsidRPr="00B84830">
        <w:t xml:space="preserve"> </w:t>
      </w:r>
      <w:proofErr w:type="spellStart"/>
      <w:r w:rsidRPr="00B84830">
        <w:t>Ellipta</w:t>
      </w:r>
      <w:proofErr w:type="spellEnd"/>
      <w:r w:rsidRPr="00B84830">
        <w:t xml:space="preserve"> 125/25 micrograms </w:t>
      </w:r>
      <w:r w:rsidR="001A50F1" w:rsidRPr="001A50F1">
        <w:t>once daily</w:t>
      </w:r>
      <w:r w:rsidRPr="00B84830">
        <w:t xml:space="preserve"> in some patients has been shown to provide additional clinical benefit with regard to lung function and rescue medication use</w:t>
      </w:r>
      <w:r w:rsidR="00B73028">
        <w:t>”.</w:t>
      </w:r>
      <w:r w:rsidR="00B84830" w:rsidRPr="00B84830">
        <w:rPr>
          <w:rStyle w:val="FootnoteReference"/>
        </w:rPr>
        <w:footnoteReference w:id="15"/>
      </w:r>
      <w:r w:rsidR="00B84830" w:rsidRPr="00B84830">
        <w:t xml:space="preserve"> </w:t>
      </w:r>
      <w:r w:rsidRPr="00B84830">
        <w:t>T</w:t>
      </w:r>
      <w:r w:rsidRPr="00296A82">
        <w:t xml:space="preserve">he sponsor provided the rationale that efficacy results in the pivotal studies showed no clear differentiation between the 2 doses. Studies DB2113360 and DB2113374 allowed within study comparisons of the 2 doses and showed that in </w:t>
      </w:r>
      <w:r w:rsidR="00A96E8F">
        <w:t>Study</w:t>
      </w:r>
      <w:r w:rsidRPr="00296A82">
        <w:t xml:space="preserve"> DB2113360, there was a treatment difference over TIO in trough FEV1 at Day 169 of 90 </w:t>
      </w:r>
      <w:r w:rsidR="00F705C7">
        <w:t>mL</w:t>
      </w:r>
      <w:r w:rsidR="00793DBF">
        <w:t xml:space="preserve"> and 88 </w:t>
      </w:r>
      <w:r w:rsidR="00F705C7">
        <w:t>mL</w:t>
      </w:r>
      <w:r w:rsidR="00793DBF">
        <w:t xml:space="preserve"> with UMEC/VI 62.5/25 </w:t>
      </w:r>
      <w:r w:rsidRPr="00296A82">
        <w:t xml:space="preserve">µg and UMEC/VI 125/25 µg, respectively, and in </w:t>
      </w:r>
      <w:r w:rsidR="00A96E8F">
        <w:t>Study</w:t>
      </w:r>
      <w:r w:rsidRPr="00296A82">
        <w:t xml:space="preserve"> DB2113374, there was a treatment difference over TIO in trough FEV1 at Day 169 of 60 </w:t>
      </w:r>
      <w:r w:rsidR="00F705C7">
        <w:t>mL</w:t>
      </w:r>
      <w:r w:rsidR="003D3C63" w:rsidRPr="00296A82">
        <w:t xml:space="preserve"> and 74 </w:t>
      </w:r>
      <w:r w:rsidR="00F705C7">
        <w:t>mL</w:t>
      </w:r>
      <w:r w:rsidR="003D3C63" w:rsidRPr="00296A82">
        <w:t xml:space="preserve"> with UMEC/VI 62.5/25 </w:t>
      </w:r>
      <w:r w:rsidRPr="00296A82">
        <w:t xml:space="preserve">µg and UMEC/VI 125/25 µg, respectively. In </w:t>
      </w:r>
      <w:r w:rsidR="00A96E8F">
        <w:t>Study</w:t>
      </w:r>
      <w:r w:rsidRPr="00296A82">
        <w:t xml:space="preserve"> DB2113360, the treatment difference over TIO in weighted mean FEV1 over 0 to 6 hours post dose at Day 168 </w:t>
      </w:r>
      <w:r w:rsidR="003D3C63" w:rsidRPr="00296A82">
        <w:t>was 74 </w:t>
      </w:r>
      <w:r w:rsidR="00F705C7">
        <w:t>mL</w:t>
      </w:r>
      <w:r w:rsidRPr="00296A82">
        <w:t xml:space="preserve"> and 83 </w:t>
      </w:r>
      <w:r w:rsidR="00F705C7">
        <w:t>mL</w:t>
      </w:r>
      <w:r w:rsidRPr="00296A82">
        <w:t xml:space="preserve"> with UMEC/VI 62.5/25 µg and 125/25 µg, respectively, while in </w:t>
      </w:r>
      <w:r w:rsidR="00A96E8F">
        <w:t>Study</w:t>
      </w:r>
      <w:r w:rsidRPr="00296A82">
        <w:t xml:space="preserve"> DB2113374, the treatment difference over TIO for this endpoint was 96 </w:t>
      </w:r>
      <w:r w:rsidR="00F705C7">
        <w:t>mL</w:t>
      </w:r>
      <w:r w:rsidR="00B73028">
        <w:t xml:space="preserve"> and 101 </w:t>
      </w:r>
      <w:r w:rsidR="00F705C7">
        <w:t>mL</w:t>
      </w:r>
      <w:r w:rsidRPr="00296A82">
        <w:t xml:space="preserve">, respectively. Results in the 2 pivotal placebo controlled studies (DB2113361 and </w:t>
      </w:r>
      <w:r w:rsidRPr="00296A82">
        <w:lastRenderedPageBreak/>
        <w:t>DB213373) and the 2 exercise studies (DB2114417 and DB2114418) were also generally supportive of this. Hence, the sponsor had concluded that the UMEC/VI dose of 62.5/25 µg would be appropriate for the majority of COPD patients.</w:t>
      </w:r>
    </w:p>
    <w:p w:rsidR="003331B8" w:rsidRPr="00296A82" w:rsidRDefault="003331B8" w:rsidP="00D13EC4">
      <w:r w:rsidRPr="00296A82">
        <w:t>Subgroup analyses on integrated data of the 4 pivotal efficacy studies showed that in the subgroup of subjects reversible to salbutamol</w:t>
      </w:r>
      <w:r w:rsidRPr="00793DBF">
        <w:rPr>
          <w:vertAlign w:val="superscript"/>
        </w:rPr>
        <w:footnoteReference w:id="16"/>
      </w:r>
      <w:r w:rsidRPr="00296A82">
        <w:t xml:space="preserve"> at screening, there were greater improvements in </w:t>
      </w:r>
      <w:proofErr w:type="spellStart"/>
      <w:r w:rsidRPr="00296A82">
        <w:t>bronchodilatation</w:t>
      </w:r>
      <w:proofErr w:type="spellEnd"/>
      <w:r w:rsidRPr="00296A82">
        <w:t xml:space="preserve"> as measured by trough FEV1 at Day 169 with UMEC/VI 125/25 µg (282 </w:t>
      </w:r>
      <w:r w:rsidR="00F705C7">
        <w:t>mL</w:t>
      </w:r>
      <w:r w:rsidRPr="00296A82">
        <w:t xml:space="preserve"> improvement over placebo; p</w:t>
      </w:r>
      <w:r w:rsidR="00793DBF">
        <w:t xml:space="preserve"> </w:t>
      </w:r>
      <w:r w:rsidRPr="00296A82">
        <w:t xml:space="preserve">&lt; 0.001) compared with UMEC/VI 62.5/25 µg (225 </w:t>
      </w:r>
      <w:r w:rsidR="00F705C7">
        <w:t>mL</w:t>
      </w:r>
      <w:r w:rsidRPr="00296A82">
        <w:t xml:space="preserve"> over placebo; p &lt; 0.001), a pattern that was not observed in the non reversible subjects (UMEC/VI 125/25 µg: 181 </w:t>
      </w:r>
      <w:r w:rsidR="00F705C7">
        <w:t>mL</w:t>
      </w:r>
      <w:r w:rsidRPr="00296A82">
        <w:t xml:space="preserve"> improvement over placebo, p</w:t>
      </w:r>
      <w:r w:rsidR="00793DBF">
        <w:t> &lt; </w:t>
      </w:r>
      <w:r w:rsidRPr="00296A82">
        <w:t xml:space="preserve">0.001; UMEC/VI 62.5/25 µg: 188 </w:t>
      </w:r>
      <w:r w:rsidR="00F705C7">
        <w:t>mL</w:t>
      </w:r>
      <w:r w:rsidRPr="00296A82">
        <w:t xml:space="preserve"> improvement over placebo, p</w:t>
      </w:r>
      <w:r w:rsidR="00793DBF">
        <w:t xml:space="preserve"> </w:t>
      </w:r>
      <w:r w:rsidRPr="00296A82">
        <w:t>&lt; 0.001). Greater treatment response with the 125/25 µg than with 62.5/25 µg in the reversible subgroup was also observed for the TDI focal scores, SGRQ scores, and rescue salbutamol use. Hence, the sponsor had concluded that in some COPD patients who had salbutamol reversibility, UMEC/VI 125/25 µg could potentially offer additional benefit.</w:t>
      </w:r>
    </w:p>
    <w:p w:rsidR="008E7846" w:rsidRPr="002E238E" w:rsidRDefault="008E7846" w:rsidP="00D13EC4">
      <w:pPr>
        <w:pStyle w:val="Heading3"/>
      </w:pPr>
      <w:bookmarkStart w:id="104" w:name="_Toc163441378"/>
      <w:bookmarkStart w:id="105" w:name="_Toc196046495"/>
      <w:bookmarkStart w:id="106" w:name="_Toc247691522"/>
      <w:bookmarkStart w:id="107" w:name="_Toc314842505"/>
      <w:bookmarkStart w:id="108" w:name="_Toc420577610"/>
      <w:bookmarkEnd w:id="100"/>
      <w:bookmarkEnd w:id="101"/>
      <w:bookmarkEnd w:id="102"/>
      <w:bookmarkEnd w:id="103"/>
      <w:r w:rsidRPr="002E238E">
        <w:t>Safety</w:t>
      </w:r>
      <w:bookmarkEnd w:id="104"/>
      <w:bookmarkEnd w:id="105"/>
      <w:bookmarkEnd w:id="106"/>
      <w:bookmarkEnd w:id="107"/>
      <w:bookmarkEnd w:id="108"/>
    </w:p>
    <w:p w:rsidR="00605AD4" w:rsidRDefault="00605AD4" w:rsidP="00D13EC4">
      <w:pPr>
        <w:pStyle w:val="Heading4"/>
      </w:pPr>
      <w:bookmarkStart w:id="109" w:name="_Toc247691524"/>
      <w:bookmarkStart w:id="110" w:name="_Toc314842508"/>
      <w:bookmarkStart w:id="111" w:name="_Toc196046504"/>
      <w:bookmarkStart w:id="112" w:name="_Toc163441390"/>
      <w:r w:rsidRPr="00605AD4">
        <w:t xml:space="preserve">Studies providing </w:t>
      </w:r>
      <w:r w:rsidR="00B84830">
        <w:t xml:space="preserve">evaluable </w:t>
      </w:r>
      <w:r w:rsidRPr="00605AD4">
        <w:t>safety data</w:t>
      </w:r>
    </w:p>
    <w:p w:rsidR="003331B8" w:rsidRPr="00DA7D87" w:rsidRDefault="003331B8" w:rsidP="00D13EC4">
      <w:r w:rsidRPr="00DA7D87">
        <w:t>The following studies provided evaluable safety data:</w:t>
      </w:r>
    </w:p>
    <w:p w:rsidR="003331B8" w:rsidRPr="00DA7D87" w:rsidRDefault="003331B8" w:rsidP="00D13EC4">
      <w:r w:rsidRPr="00DA7D87">
        <w:t>In the pivotal efficacy studies (</w:t>
      </w:r>
      <w:r w:rsidR="00F82F3C">
        <w:t>Studies</w:t>
      </w:r>
      <w:r w:rsidRPr="00DA7D87">
        <w:t xml:space="preserve"> DB2113361, DB2113373, DB2113360 and DB2113374), the following safety data were collected:</w:t>
      </w:r>
    </w:p>
    <w:p w:rsidR="003331B8" w:rsidRPr="00683165" w:rsidRDefault="003331B8" w:rsidP="00D13EC4">
      <w:pPr>
        <w:pStyle w:val="ListBullet"/>
      </w:pPr>
      <w:r w:rsidRPr="00683165">
        <w:t xml:space="preserve">General adverse events (AEs) were assessed by the investigator obtaining and recording all AEs at each scheduled </w:t>
      </w:r>
      <w:proofErr w:type="spellStart"/>
      <w:r w:rsidRPr="00683165">
        <w:t>visit.AEs</w:t>
      </w:r>
      <w:proofErr w:type="spellEnd"/>
      <w:r w:rsidRPr="00683165">
        <w:t xml:space="preserve"> of special interest included cardiovascular effects, effects on glucose, </w:t>
      </w:r>
      <w:r w:rsidR="003D3C63" w:rsidRPr="00683165">
        <w:t>and effects</w:t>
      </w:r>
      <w:r w:rsidRPr="00683165">
        <w:t xml:space="preserve"> on potassium, tremor, urinary retention, ocular effects, gallbladder disorders, pneumonia, intestinal obstruction, and anticholinergic syndrome</w:t>
      </w:r>
      <w:r w:rsidR="007E23AB">
        <w:t>.</w:t>
      </w:r>
    </w:p>
    <w:p w:rsidR="003331B8" w:rsidRPr="00683165" w:rsidRDefault="003331B8" w:rsidP="00D13EC4">
      <w:pPr>
        <w:pStyle w:val="ListBullet"/>
      </w:pPr>
      <w:r w:rsidRPr="00683165">
        <w:t>Laboratory tests performed includ</w:t>
      </w:r>
      <w:r>
        <w:t xml:space="preserve">ed haematology, and routine non </w:t>
      </w:r>
      <w:r w:rsidRPr="00683165">
        <w:t>fasting blood chemi</w:t>
      </w:r>
      <w:r w:rsidR="003D3C63">
        <w:t>stry (alkaline phosphatase</w:t>
      </w:r>
      <w:r w:rsidRPr="00683165">
        <w:t>, gam</w:t>
      </w:r>
      <w:r w:rsidR="003D3C63">
        <w:t>ma-</w:t>
      </w:r>
      <w:proofErr w:type="spellStart"/>
      <w:r w:rsidR="003D3C63">
        <w:t>glutamyl</w:t>
      </w:r>
      <w:proofErr w:type="spellEnd"/>
      <w:r w:rsidR="003D3C63">
        <w:t xml:space="preserve"> </w:t>
      </w:r>
      <w:proofErr w:type="spellStart"/>
      <w:r w:rsidR="003D3C63">
        <w:t>transpeptidase</w:t>
      </w:r>
      <w:proofErr w:type="spellEnd"/>
      <w:r w:rsidRPr="00683165">
        <w:t xml:space="preserve">, </w:t>
      </w:r>
      <w:r w:rsidR="003D3C63">
        <w:t>aspartate aminotransferase, alanine aminotransferase</w:t>
      </w:r>
      <w:r w:rsidRPr="00683165">
        <w:t>, total, direct and indirect bilirubin, total protein, albumin, serum potassium, sodium, chloride, bicarbonate, creat</w:t>
      </w:r>
      <w:r w:rsidR="003D3C63">
        <w:t>inine, blood urea nitrogen</w:t>
      </w:r>
      <w:r w:rsidRPr="00683165">
        <w:t>, glucose, calcium, phosphorus, uric ac</w:t>
      </w:r>
      <w:r w:rsidR="003D3C63">
        <w:t xml:space="preserve">id, </w:t>
      </w:r>
      <w:proofErr w:type="spellStart"/>
      <w:r w:rsidR="003D3C63">
        <w:t>creatine</w:t>
      </w:r>
      <w:proofErr w:type="spellEnd"/>
      <w:r w:rsidR="003D3C63">
        <w:t xml:space="preserve"> phosphokinase</w:t>
      </w:r>
      <w:r w:rsidRPr="00683165">
        <w:t>). Laboratory tests were performed according to the schedule</w:t>
      </w:r>
      <w:r>
        <w:t xml:space="preserve"> provided</w:t>
      </w:r>
      <w:r w:rsidR="007E23AB">
        <w:t>.</w:t>
      </w:r>
    </w:p>
    <w:p w:rsidR="003331B8" w:rsidRPr="00B33AC9" w:rsidRDefault="003331B8" w:rsidP="00D13EC4">
      <w:pPr>
        <w:pStyle w:val="ListBullet"/>
      </w:pPr>
      <w:r w:rsidRPr="00B33AC9">
        <w:t>Other safety endpoints included vital signs (pulse rate and systolic and diastolic blood pressure)</w:t>
      </w:r>
      <w:r w:rsidR="000673C3">
        <w:t xml:space="preserve"> and 12 lead ECG</w:t>
      </w:r>
      <w:r w:rsidRPr="00B33AC9">
        <w:t xml:space="preserve"> performed according to the schedule </w:t>
      </w:r>
      <w:r>
        <w:t>provided</w:t>
      </w:r>
      <w:r w:rsidRPr="00B33AC9">
        <w:t xml:space="preserve">. In addition, in </w:t>
      </w:r>
      <w:r w:rsidR="00F82F3C">
        <w:t>Studies</w:t>
      </w:r>
      <w:r w:rsidRPr="00B33AC9">
        <w:t xml:space="preserve"> DB2113361 and DB2113373, 24 hour </w:t>
      </w:r>
      <w:r>
        <w:t>Holter</w:t>
      </w:r>
      <w:r w:rsidRPr="00B33AC9">
        <w:t xml:space="preserve"> monitoring was performed in a subset of subjects </w:t>
      </w:r>
      <w:r w:rsidRPr="0066300F">
        <w:t>(</w:t>
      </w:r>
      <w:r w:rsidR="00B84830">
        <w:t>TFH</w:t>
      </w:r>
      <w:r w:rsidRPr="0066300F">
        <w:t xml:space="preserve"> population</w:t>
      </w:r>
      <w:r w:rsidR="0066300F" w:rsidRPr="0066300F">
        <w:t xml:space="preserve"> subset</w:t>
      </w:r>
      <w:r w:rsidR="0066300F" w:rsidRPr="0066300F">
        <w:rPr>
          <w:rStyle w:val="FootnoteReference"/>
        </w:rPr>
        <w:footnoteReference w:id="17"/>
      </w:r>
      <w:r w:rsidRPr="0066300F">
        <w:t xml:space="preserve">) </w:t>
      </w:r>
      <w:r w:rsidRPr="00B33AC9">
        <w:t xml:space="preserve">over a 24 hour period at screening, and </w:t>
      </w:r>
      <w:r w:rsidR="003435F6" w:rsidRPr="003435F6">
        <w:t xml:space="preserve">Days 1, 84 </w:t>
      </w:r>
      <w:r w:rsidRPr="003435F6">
        <w:t>and 168.</w:t>
      </w:r>
      <w:r w:rsidRPr="00B33AC9">
        <w:t xml:space="preserve"> Across these 2 studies, </w:t>
      </w:r>
      <w:r>
        <w:t>Holter</w:t>
      </w:r>
      <w:r w:rsidRPr="00B33AC9">
        <w:t xml:space="preserve"> monitoring was done in 396 subjects: 73, 53, 55, 54, 53 and 108 subjects in the pooled placebo, UMEC/VI 62.5/25 µg, UMEC/VI 125/25 µg, UMEC 62.5 µg, UMEC 125 µg and VI 25 µg groups, respectively.</w:t>
      </w:r>
    </w:p>
    <w:p w:rsidR="003331B8" w:rsidRPr="00DA7D87" w:rsidRDefault="003331B8" w:rsidP="00D13EC4">
      <w:pPr>
        <w:pStyle w:val="Heading4"/>
      </w:pPr>
      <w:r w:rsidRPr="00DA7D87">
        <w:t>Pivotal studies that assessed safety as a primary outcome</w:t>
      </w:r>
    </w:p>
    <w:p w:rsidR="003331B8" w:rsidRPr="00DA7D87" w:rsidRDefault="003331B8" w:rsidP="00D13EC4">
      <w:r w:rsidRPr="00DA7D87">
        <w:t>Not applicable</w:t>
      </w:r>
      <w:r w:rsidR="007E23AB">
        <w:t>.</w:t>
      </w:r>
    </w:p>
    <w:p w:rsidR="003331B8" w:rsidRPr="00DA7D87" w:rsidRDefault="003331B8" w:rsidP="00D13EC4">
      <w:pPr>
        <w:pStyle w:val="Heading4"/>
      </w:pPr>
      <w:r>
        <w:lastRenderedPageBreak/>
        <w:t>Dose</w:t>
      </w:r>
      <w:r w:rsidR="003D3C63">
        <w:t xml:space="preserve"> </w:t>
      </w:r>
      <w:r>
        <w:t xml:space="preserve">response and non </w:t>
      </w:r>
      <w:r w:rsidRPr="00DA7D87">
        <w:t>pivotal efficacy studies</w:t>
      </w:r>
    </w:p>
    <w:p w:rsidR="003331B8" w:rsidRPr="00B33AC9" w:rsidRDefault="003331B8" w:rsidP="00D13EC4">
      <w:r w:rsidRPr="00B33AC9">
        <w:t xml:space="preserve">The </w:t>
      </w:r>
      <w:r>
        <w:t>dose</w:t>
      </w:r>
      <w:r w:rsidR="003D3C63">
        <w:t xml:space="preserve"> </w:t>
      </w:r>
      <w:r w:rsidRPr="00B33AC9">
        <w:t>response and non-pivotal efficacy studies provided safety data, as follows:</w:t>
      </w:r>
    </w:p>
    <w:p w:rsidR="003331B8" w:rsidRPr="00B33AC9" w:rsidRDefault="003331B8" w:rsidP="00D13EC4">
      <w:pPr>
        <w:pStyle w:val="ListBullet"/>
      </w:pPr>
      <w:r>
        <w:t xml:space="preserve">The two 12 </w:t>
      </w:r>
      <w:r w:rsidRPr="00B33AC9">
        <w:t xml:space="preserve">week exercise tolerance studies (DB2114417 and DB2114418) provided data on </w:t>
      </w:r>
      <w:r w:rsidR="00CF6510">
        <w:t>AEs</w:t>
      </w:r>
      <w:r w:rsidRPr="00B33AC9">
        <w:t>, vital signs, routine laboratory evaluations and 12 lead ECG.</w:t>
      </w:r>
    </w:p>
    <w:p w:rsidR="003331B8" w:rsidRPr="00AA6872" w:rsidRDefault="003331B8" w:rsidP="00AA6872">
      <w:pPr>
        <w:pStyle w:val="ListBullet"/>
      </w:pPr>
      <w:r>
        <w:t xml:space="preserve">The 12 </w:t>
      </w:r>
      <w:r w:rsidRPr="00B33AC9">
        <w:t xml:space="preserve">month long term safety study (DB2113359) provided data on </w:t>
      </w:r>
      <w:r w:rsidR="00CF6510">
        <w:t>AEs</w:t>
      </w:r>
      <w:r w:rsidRPr="00B33AC9">
        <w:t xml:space="preserve">, AEs of special interest (cardiovascular, effects on glucose, effects on potassium, tremor, urinary retention, ocular effects, </w:t>
      </w:r>
      <w:r w:rsidRPr="00AA6872">
        <w:t xml:space="preserve">gallbladder disorders, pneumonia, intestinal obstruction, and anticholinergic syndrome), vital signs, routine laboratory evaluations,12 lead ECG, and 24 hour </w:t>
      </w:r>
      <w:proofErr w:type="spellStart"/>
      <w:r w:rsidRPr="00AA6872">
        <w:t>Holter</w:t>
      </w:r>
      <w:proofErr w:type="spellEnd"/>
      <w:r w:rsidRPr="00AA6872">
        <w:t xml:space="preserve"> ECGs.</w:t>
      </w:r>
    </w:p>
    <w:p w:rsidR="003331B8" w:rsidRPr="00AA6872" w:rsidRDefault="003331B8" w:rsidP="00AA6872">
      <w:pPr>
        <w:pStyle w:val="ListBullet"/>
      </w:pPr>
      <w:r w:rsidRPr="00AA6872">
        <w:t>The five dose finding studies in COPD patients (</w:t>
      </w:r>
      <w:r w:rsidR="00F82F3C" w:rsidRPr="00AA6872">
        <w:t>Studies</w:t>
      </w:r>
      <w:r w:rsidRPr="00AA6872">
        <w:t xml:space="preserve"> AC4113589, AC4113073, AC4115321, AC4115408 and B2C111045) provided data on </w:t>
      </w:r>
      <w:r w:rsidR="00CF6510" w:rsidRPr="00AA6872">
        <w:t>AEs</w:t>
      </w:r>
      <w:r w:rsidRPr="00AA6872">
        <w:t>, COPD exacerbations, vital signs, routine laboratory evaluations and 12 lead ECG.</w:t>
      </w:r>
    </w:p>
    <w:p w:rsidR="003331B8" w:rsidRDefault="003331B8" w:rsidP="00AA6872">
      <w:pPr>
        <w:pStyle w:val="ListBullet"/>
      </w:pPr>
      <w:r w:rsidRPr="00AA6872">
        <w:t xml:space="preserve">The Phase </w:t>
      </w:r>
      <w:proofErr w:type="spellStart"/>
      <w:r w:rsidRPr="00AA6872">
        <w:t>IIa</w:t>
      </w:r>
      <w:proofErr w:type="spellEnd"/>
      <w:r w:rsidRPr="00AA6872">
        <w:t xml:space="preserve"> safety/tolerability study of</w:t>
      </w:r>
      <w:r w:rsidRPr="00B33AC9">
        <w:t xml:space="preserve"> UMEC/VI 500/25 µg in COPD patients (DB2113120) assessed safety through its primary endpoint of change from baseline in weighted mean pulse rate over 0 to 6 hours post dose at Day 28, and the secondary endpoints of weighted mean pulse rate over 0 to 6 hours post dose on Days 1 and 14, and maximum and minimum pulse rate over 0 to 6 hours post dose on Days 1, 14, and 28. In addition the study provided data on </w:t>
      </w:r>
      <w:r w:rsidR="00CF6510">
        <w:t>AEs</w:t>
      </w:r>
      <w:r w:rsidRPr="00B33AC9">
        <w:t>, COPD exacerbations, vital signs, routine laboratory evaluations and 12 lead ECG.</w:t>
      </w:r>
    </w:p>
    <w:p w:rsidR="003331B8" w:rsidRPr="00F84403" w:rsidRDefault="00F84403" w:rsidP="00D13EC4">
      <w:pPr>
        <w:pStyle w:val="Heading4"/>
      </w:pPr>
      <w:r w:rsidRPr="00F84403">
        <w:t xml:space="preserve">Evaluator’s </w:t>
      </w:r>
      <w:r>
        <w:t>c</w:t>
      </w:r>
      <w:r w:rsidR="00AA6872">
        <w:t>omments</w:t>
      </w:r>
    </w:p>
    <w:p w:rsidR="003331B8" w:rsidRPr="008D4058" w:rsidRDefault="003331B8" w:rsidP="00D13EC4">
      <w:pPr>
        <w:pStyle w:val="ListBullet"/>
      </w:pPr>
      <w:r w:rsidRPr="008D4058">
        <w:t>The safety evaluation parameters were appropriate. UMEC is a LAMA and VI is a LABA, and hence the main safety concerns with UMEC/VI will relate to known LAMA and LABA effects. The AEs of special interest addressed the known pharmacologic class effects of LAMA (</w:t>
      </w:r>
      <w:r w:rsidR="006C586A">
        <w:t>for example,</w:t>
      </w:r>
      <w:r w:rsidRPr="008D4058">
        <w:t xml:space="preserve"> cardiovascular effects, ocular disorders (</w:t>
      </w:r>
      <w:r w:rsidR="006C586A">
        <w:t>for example,</w:t>
      </w:r>
      <w:r w:rsidRPr="008D4058">
        <w:t xml:space="preserve"> blurred vision), urinary retention, gastrointestinal and gallbladder disorders, and anticholinergic effects) and of LABA (</w:t>
      </w:r>
      <w:r w:rsidR="006C586A">
        <w:t>for example,</w:t>
      </w:r>
      <w:r w:rsidRPr="008D4058">
        <w:t xml:space="preserve"> cardiovascular effects, metabolic effects (low potassium and elevated glucose) and tremors).</w:t>
      </w:r>
    </w:p>
    <w:p w:rsidR="003331B8" w:rsidRPr="008D4058" w:rsidRDefault="003331B8" w:rsidP="00D13EC4">
      <w:pPr>
        <w:pStyle w:val="ListBullet"/>
      </w:pPr>
      <w:r w:rsidRPr="008D4058">
        <w:t xml:space="preserve">In </w:t>
      </w:r>
      <w:r w:rsidR="00F84403">
        <w:t>the CER</w:t>
      </w:r>
      <w:r w:rsidRPr="008D4058">
        <w:t>, the safety data of the 4 pivotal Phase III studies were evaluated individually, and were found to be consistent among all 4 studies. In addition, the study inclusion/exclusion criteria of the 4 pivotal Phase III studies were similar and the baseline demographic and disease characteristics were also com</w:t>
      </w:r>
      <w:r w:rsidR="00F84403">
        <w:t>parable across these 4 studies.</w:t>
      </w:r>
    </w:p>
    <w:p w:rsidR="003331B8" w:rsidRPr="008D4058" w:rsidRDefault="003331B8" w:rsidP="00D13EC4">
      <w:pPr>
        <w:pStyle w:val="ListBullet"/>
      </w:pPr>
      <w:r w:rsidRPr="008D4058">
        <w:t>The safety data o</w:t>
      </w:r>
      <w:r>
        <w:t xml:space="preserve">f the 2 non </w:t>
      </w:r>
      <w:r w:rsidRPr="008D4058">
        <w:t xml:space="preserve">pivotal exercise tolerance studies were also evaluated individually, and were found to be consistent between both studies. The study </w:t>
      </w:r>
      <w:r>
        <w:t xml:space="preserve">design of these 2 non </w:t>
      </w:r>
      <w:r w:rsidRPr="008D4058">
        <w:t>pivotal Phase III studies was similar and the baseline demographic characteristics were also com</w:t>
      </w:r>
      <w:r w:rsidR="00F84403">
        <w:t>parable across these 2 studies.</w:t>
      </w:r>
    </w:p>
    <w:p w:rsidR="003331B8" w:rsidRPr="003331B8" w:rsidRDefault="00F84403" w:rsidP="00D13EC4">
      <w:pPr>
        <w:pStyle w:val="ListBullet"/>
      </w:pPr>
      <w:r>
        <w:t>T</w:t>
      </w:r>
      <w:r w:rsidR="003331B8">
        <w:t xml:space="preserve">he five dose </w:t>
      </w:r>
      <w:r w:rsidR="003331B8" w:rsidRPr="008D4058">
        <w:t xml:space="preserve">finding studies in COPD patients and the Phase </w:t>
      </w:r>
      <w:proofErr w:type="spellStart"/>
      <w:r w:rsidR="003331B8" w:rsidRPr="008D4058">
        <w:t>IIa</w:t>
      </w:r>
      <w:proofErr w:type="spellEnd"/>
      <w:r w:rsidR="003331B8" w:rsidRPr="008D4058">
        <w:t xml:space="preserve"> safety/tolerability study of UMEC/VI in COPD patients (DB2113120) </w:t>
      </w:r>
      <w:r>
        <w:t>were</w:t>
      </w:r>
      <w:r w:rsidR="003331B8" w:rsidRPr="008D4058">
        <w:t xml:space="preserve"> evaluated with regards to dose selection for the pivotal Phase III studies and whether the safety results were consistent with those of the pivotal studies. The safety data of these 6 Phase II studies were found to be generally consistent with the safety results of the pivotal studies and no major safety co</w:t>
      </w:r>
      <w:r>
        <w:t>ncerns were raised</w:t>
      </w:r>
      <w:r w:rsidR="007E23AB">
        <w:t>.</w:t>
      </w:r>
    </w:p>
    <w:p w:rsidR="00605AD4" w:rsidRDefault="00605AD4" w:rsidP="00D13EC4">
      <w:pPr>
        <w:pStyle w:val="Heading4"/>
      </w:pPr>
      <w:r w:rsidRPr="00605AD4">
        <w:t>Patient exposure</w:t>
      </w:r>
    </w:p>
    <w:p w:rsidR="003331B8" w:rsidRDefault="003331B8" w:rsidP="00D13EC4">
      <w:r w:rsidRPr="00DA7D87">
        <w:t>For the 4 combined pivotal Phase III studies, the mean (</w:t>
      </w:r>
      <w:r w:rsidR="001A50F1" w:rsidRPr="001A50F1">
        <w:t xml:space="preserve">standard deviation </w:t>
      </w:r>
      <w:r w:rsidR="001A50F1">
        <w:t>(</w:t>
      </w:r>
      <w:r w:rsidRPr="00DA7D87">
        <w:t>SD</w:t>
      </w:r>
      <w:r w:rsidR="001A50F1">
        <w:t>)</w:t>
      </w:r>
      <w:r w:rsidRPr="00DA7D87">
        <w:t xml:space="preserve">) exposure was 136.6 (55.39), 150.1 (44.11), 147.6 (46.97), 146.7 (47.03), 144.5 (48.53), 145.3 (47.85) and 149.5 (45.74) days in the pooled placebo, UMEC/VI 62.5/25 </w:t>
      </w:r>
      <w:r>
        <w:t>µg</w:t>
      </w:r>
      <w:r w:rsidRPr="00DA7D87">
        <w:t xml:space="preserve">, UMEC/VI </w:t>
      </w:r>
      <w:r w:rsidRPr="00DA7D87">
        <w:lastRenderedPageBreak/>
        <w:t xml:space="preserve">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w:t>
      </w:r>
      <w:r>
        <w:t xml:space="preserve">ps, respectively (Table </w:t>
      </w:r>
      <w:r w:rsidR="00963B3B">
        <w:t>7</w:t>
      </w:r>
      <w:r w:rsidRPr="00DA7D87">
        <w:t>). Overall, 73%, 84%, 82%, 82%, 79%, 79% and 85% of subjects in these respective groups had an exposure to study drug of &gt; 20 weeks.</w:t>
      </w:r>
    </w:p>
    <w:p w:rsidR="003331B8" w:rsidRDefault="003331B8" w:rsidP="00AA6872">
      <w:pPr>
        <w:pStyle w:val="Tabletitle0"/>
      </w:pPr>
      <w:proofErr w:type="gramStart"/>
      <w:r w:rsidRPr="008C01B2">
        <w:t xml:space="preserve">Table </w:t>
      </w:r>
      <w:r w:rsidR="00963B3B">
        <w:t>7</w:t>
      </w:r>
      <w:r w:rsidRPr="008C01B2">
        <w:t>.</w:t>
      </w:r>
      <w:proofErr w:type="gramEnd"/>
      <w:r w:rsidRPr="008C01B2">
        <w:t xml:space="preserve"> </w:t>
      </w:r>
      <w:proofErr w:type="gramStart"/>
      <w:r w:rsidRPr="008C01B2">
        <w:t xml:space="preserve">Summary of Exposure (DB2113361, DB2113373, DB2113360, and DB2113374 </w:t>
      </w:r>
      <w:r w:rsidRPr="00AA6872">
        <w:t>ITT</w:t>
      </w:r>
      <w:r w:rsidRPr="008C01B2">
        <w:t xml:space="preserve"> Population).</w:t>
      </w:r>
      <w:proofErr w:type="gramEnd"/>
    </w:p>
    <w:p w:rsidR="003331B8" w:rsidRPr="008C01B2" w:rsidRDefault="003331B8" w:rsidP="00B41D3A">
      <w:r>
        <w:rPr>
          <w:noProof/>
          <w:lang w:eastAsia="en-AU"/>
        </w:rPr>
        <w:drawing>
          <wp:inline distT="0" distB="0" distL="0" distR="0" wp14:anchorId="36CE164B" wp14:editId="1B3A080D">
            <wp:extent cx="4457700" cy="2667000"/>
            <wp:effectExtent l="0" t="0" r="0" b="0"/>
            <wp:docPr id="60" name="Picture 60" descr="Table 7. Summary of Exposure (DB2113361, DB2113373, DB2113360, and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57700" cy="2667000"/>
                    </a:xfrm>
                    <a:prstGeom prst="rect">
                      <a:avLst/>
                    </a:prstGeom>
                  </pic:spPr>
                </pic:pic>
              </a:graphicData>
            </a:graphic>
          </wp:inline>
        </w:drawing>
      </w:r>
    </w:p>
    <w:p w:rsidR="003331B8" w:rsidRPr="00DA7D87" w:rsidRDefault="003331B8" w:rsidP="00D13EC4">
      <w:r w:rsidRPr="00DA7D87">
        <w:t xml:space="preserve">For the 2 combined exercise tolerance studies, the mean (SD) exposure was 77.8 (20.17), 80.5 (16.23), 80.4 (16.50), 81.4 (12.73), 77.7 (21.07) and 78.5 (19.39) days in the pooled placebo,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 Overall, 62%, 65%, 69%, 67%, 63% and 66% of subjects in these respective groups had an exposure to study drug of &gt; 12 weeks.</w:t>
      </w:r>
    </w:p>
    <w:p w:rsidR="003331B8" w:rsidRPr="00DA7D87" w:rsidRDefault="003331B8" w:rsidP="00D13EC4">
      <w:r w:rsidRPr="00DA7D87">
        <w:t xml:space="preserve">In the </w:t>
      </w:r>
      <w:r>
        <w:t>12 month</w:t>
      </w:r>
      <w:r w:rsidRPr="00DA7D87">
        <w:t xml:space="preserve"> </w:t>
      </w:r>
      <w:r>
        <w:t>long term</w:t>
      </w:r>
      <w:r w:rsidRPr="00DA7D87">
        <w:t xml:space="preserve"> safety study (DB2113359), the mean (SD) exposure was 269.4 (127.54), 269.0 (125.52) and 285.3 (114.18) days in the placebo, UMEC 125 </w:t>
      </w:r>
      <w:r>
        <w:t>µg</w:t>
      </w:r>
      <w:r w:rsidRPr="00DA7D87">
        <w:t xml:space="preserve"> and UMEC/VI 125/25 </w:t>
      </w:r>
      <w:r>
        <w:t>µg</w:t>
      </w:r>
      <w:r w:rsidRPr="00DA7D87">
        <w:t xml:space="preserve"> groups, respectively. Overall, 65%, 64% and 66% of subjects in these respective groups had an exposure to study drug of </w:t>
      </w:r>
      <w:r w:rsidR="00D37B07">
        <w:t>≥</w:t>
      </w:r>
      <w:r w:rsidRPr="00DA7D87">
        <w:t xml:space="preserve"> 274 days.</w:t>
      </w:r>
    </w:p>
    <w:p w:rsidR="003331B8" w:rsidRPr="003331B8" w:rsidRDefault="00F84403" w:rsidP="00AA6872">
      <w:r>
        <w:rPr>
          <w:b/>
        </w:rPr>
        <w:t>Evaluator’s c</w:t>
      </w:r>
      <w:r w:rsidR="003331B8" w:rsidRPr="008C01B2">
        <w:rPr>
          <w:b/>
        </w:rPr>
        <w:t>omments:</w:t>
      </w:r>
      <w:r w:rsidR="00963B3B">
        <w:rPr>
          <w:b/>
        </w:rPr>
        <w:t xml:space="preserve"> </w:t>
      </w:r>
      <w:r w:rsidR="003331B8" w:rsidRPr="00DA7D87">
        <w:t>Overall, the study drug exposure is adequate to assess the safety pro</w:t>
      </w:r>
      <w:r w:rsidR="003331B8">
        <w:t>file of UMEC/VI.</w:t>
      </w:r>
    </w:p>
    <w:p w:rsidR="00605AD4" w:rsidRDefault="00605AD4" w:rsidP="00D13EC4">
      <w:pPr>
        <w:pStyle w:val="Heading4"/>
      </w:pPr>
      <w:r w:rsidRPr="00605AD4">
        <w:t>Safety issues with the potential for major regulatory impact</w:t>
      </w:r>
    </w:p>
    <w:p w:rsidR="003331B8" w:rsidRPr="00DA7D87" w:rsidRDefault="003331B8" w:rsidP="00D13EC4">
      <w:pPr>
        <w:pStyle w:val="Heading5"/>
      </w:pPr>
      <w:bookmarkStart w:id="113" w:name="_Toc376461197"/>
      <w:r w:rsidRPr="00DA7D87">
        <w:t>Muscarinic antagonist class effects</w:t>
      </w:r>
      <w:bookmarkEnd w:id="113"/>
    </w:p>
    <w:p w:rsidR="003331B8" w:rsidRPr="00DA7D87" w:rsidRDefault="003331B8" w:rsidP="00D13EC4">
      <w:r w:rsidRPr="00DA7D87">
        <w:t xml:space="preserve">Muscarinic antagonist pharmacological class effects include cardiovascular effects, ocular disorders, urinary retention, intestinal obstruction, gallbladder disorders, and anticholinergic effects. </w:t>
      </w:r>
      <w:r w:rsidR="0029763C">
        <w:t>T</w:t>
      </w:r>
      <w:r w:rsidRPr="00DA7D87">
        <w:t>he results did not raise any particular safety concerns.</w:t>
      </w:r>
    </w:p>
    <w:p w:rsidR="003331B8" w:rsidRPr="00DA7D87" w:rsidRDefault="003331B8" w:rsidP="00D13EC4">
      <w:pPr>
        <w:pStyle w:val="Heading5"/>
      </w:pPr>
      <w:bookmarkStart w:id="114" w:name="_Toc376461198"/>
      <w:r w:rsidRPr="00DA7D87">
        <w:t>Beta</w:t>
      </w:r>
      <w:r w:rsidRPr="002D141B">
        <w:rPr>
          <w:vertAlign w:val="subscript"/>
        </w:rPr>
        <w:t>2</w:t>
      </w:r>
      <w:r w:rsidR="002D141B">
        <w:t>-</w:t>
      </w:r>
      <w:r w:rsidRPr="00DA7D87">
        <w:t>agonist class effects</w:t>
      </w:r>
      <w:bookmarkEnd w:id="114"/>
    </w:p>
    <w:p w:rsidR="003331B8" w:rsidRPr="00DA7D87" w:rsidRDefault="003331B8" w:rsidP="00D13EC4">
      <w:r w:rsidRPr="00DA7D87">
        <w:t>Beta</w:t>
      </w:r>
      <w:r w:rsidRPr="002D141B">
        <w:rPr>
          <w:vertAlign w:val="subscript"/>
        </w:rPr>
        <w:t>2</w:t>
      </w:r>
      <w:r w:rsidR="002D141B">
        <w:t>-</w:t>
      </w:r>
      <w:r w:rsidRPr="00DA7D87">
        <w:t xml:space="preserve">agonist pharmacological class effects include cardiovascular effects, hypokalaemia, elevated glucose and tremors. </w:t>
      </w:r>
      <w:r w:rsidR="0029763C">
        <w:t>T</w:t>
      </w:r>
      <w:r w:rsidRPr="00DA7D87">
        <w:t>he results did not raise any particular safety concerns.</w:t>
      </w:r>
    </w:p>
    <w:p w:rsidR="00605AD4" w:rsidRDefault="00605AD4" w:rsidP="00D13EC4">
      <w:pPr>
        <w:pStyle w:val="Heading4"/>
      </w:pPr>
      <w:r w:rsidRPr="00605AD4">
        <w:t>Post</w:t>
      </w:r>
      <w:r w:rsidR="000E558C">
        <w:t xml:space="preserve"> </w:t>
      </w:r>
      <w:r w:rsidRPr="00605AD4">
        <w:t>marketing data</w:t>
      </w:r>
    </w:p>
    <w:p w:rsidR="003331B8" w:rsidRPr="003331B8" w:rsidRDefault="003331B8" w:rsidP="00D13EC4">
      <w:r w:rsidRPr="00DA7D87">
        <w:t>Not applicable.</w:t>
      </w:r>
    </w:p>
    <w:p w:rsidR="00605AD4" w:rsidRPr="00605AD4" w:rsidRDefault="00605AD4" w:rsidP="00AA6872">
      <w:pPr>
        <w:pStyle w:val="Heading3"/>
      </w:pPr>
      <w:bookmarkStart w:id="115" w:name="_Toc420577611"/>
      <w:r w:rsidRPr="00605AD4">
        <w:lastRenderedPageBreak/>
        <w:t xml:space="preserve">Evaluator’s </w:t>
      </w:r>
      <w:r w:rsidRPr="00AA6872">
        <w:t>conclusions</w:t>
      </w:r>
      <w:r w:rsidRPr="00605AD4">
        <w:t xml:space="preserve"> on safety</w:t>
      </w:r>
      <w:bookmarkEnd w:id="115"/>
    </w:p>
    <w:p w:rsidR="003331B8" w:rsidRPr="00DA7D87" w:rsidRDefault="003331B8" w:rsidP="00D13EC4">
      <w:r w:rsidRPr="00DA7D87">
        <w:t>Overall, the safety results did not raise any major safety concerns for either dose of UMEC/VI or its individual components</w:t>
      </w:r>
      <w:r>
        <w:t xml:space="preserve">. The overall incidences of all </w:t>
      </w:r>
      <w:r w:rsidRPr="00DA7D87">
        <w:t xml:space="preserve">causality AEs, </w:t>
      </w:r>
      <w:r>
        <w:t>treatment related</w:t>
      </w:r>
      <w:r w:rsidRPr="00DA7D87">
        <w:t xml:space="preserve"> AEs, </w:t>
      </w:r>
      <w:r w:rsidR="001A50F1" w:rsidRPr="001A50F1">
        <w:t>serious adverse even</w:t>
      </w:r>
      <w:r w:rsidR="001A50F1">
        <w:t>t</w:t>
      </w:r>
      <w:r w:rsidR="001A50F1" w:rsidRPr="001A50F1">
        <w:t xml:space="preserve">s </w:t>
      </w:r>
      <w:r w:rsidR="001A50F1">
        <w:t>(</w:t>
      </w:r>
      <w:r w:rsidRPr="00DA7D87">
        <w:t>SAEs</w:t>
      </w:r>
      <w:r w:rsidR="001A50F1">
        <w:t>)</w:t>
      </w:r>
      <w:r w:rsidRPr="00DA7D87">
        <w:t xml:space="preserve"> and AEs leading to discontinuation were comparable between both doses of UMEC/VI and placebo or TIO in the pivotal Phase III studies. These results were generally supported by those of the non-pivotal exercise tolerance studies and the </w:t>
      </w:r>
      <w:r>
        <w:t>long term</w:t>
      </w:r>
      <w:r w:rsidRPr="00DA7D87">
        <w:t xml:space="preserve"> safety study. The commonly reported </w:t>
      </w:r>
      <w:r>
        <w:t>treatment related</w:t>
      </w:r>
      <w:r w:rsidRPr="00DA7D87">
        <w:t xml:space="preserve"> AEs were those expected for a LABA and LAMA. Analyses of cardiovascular safety and of AEs related to muscarinic antagonist and beta</w:t>
      </w:r>
      <w:r w:rsidRPr="002D141B">
        <w:rPr>
          <w:vertAlign w:val="subscript"/>
        </w:rPr>
        <w:t>2</w:t>
      </w:r>
      <w:r w:rsidR="002D141B">
        <w:t>-</w:t>
      </w:r>
      <w:r w:rsidRPr="00DA7D87">
        <w:t xml:space="preserve">agonist pharmacological class effects did not raise major safety concerns. The incidences of these AEs were generally low and comparable between placebo and active treatment groups, with no obvious </w:t>
      </w:r>
      <w:r>
        <w:t>dose</w:t>
      </w:r>
      <w:r w:rsidRPr="00DA7D87">
        <w:t xml:space="preserve"> or </w:t>
      </w:r>
      <w:r>
        <w:t>treatment related</w:t>
      </w:r>
      <w:r w:rsidRPr="00DA7D87">
        <w:t xml:space="preserve"> trends detected.</w:t>
      </w:r>
    </w:p>
    <w:p w:rsidR="003331B8" w:rsidRPr="00DA7D87" w:rsidRDefault="003331B8" w:rsidP="00D13EC4">
      <w:r>
        <w:t>With regards to potential drug/</w:t>
      </w:r>
      <w:r w:rsidRPr="00DA7D87">
        <w:t xml:space="preserve">drug interactions with known pharmacological smoking cessation agents, such as </w:t>
      </w:r>
      <w:proofErr w:type="spellStart"/>
      <w:r w:rsidRPr="00DA7D87">
        <w:t>varenicline</w:t>
      </w:r>
      <w:proofErr w:type="spellEnd"/>
      <w:r w:rsidRPr="00DA7D87">
        <w:t>, the sponsor had not provided any an</w:t>
      </w:r>
      <w:r>
        <w:t>alyses regarding potential drug/</w:t>
      </w:r>
      <w:r w:rsidRPr="00DA7D87">
        <w:t xml:space="preserve">drug interactions between UMEC/VI and </w:t>
      </w:r>
      <w:proofErr w:type="spellStart"/>
      <w:r w:rsidRPr="00DA7D87">
        <w:t>varenicline</w:t>
      </w:r>
      <w:proofErr w:type="spellEnd"/>
      <w:r w:rsidRPr="00DA7D87">
        <w:t xml:space="preserve">, or incidence of AEs with and without concomitant use of </w:t>
      </w:r>
      <w:proofErr w:type="spellStart"/>
      <w:r w:rsidRPr="00DA7D87">
        <w:t>varenicline</w:t>
      </w:r>
      <w:proofErr w:type="spellEnd"/>
      <w:r w:rsidRPr="00DA7D87">
        <w:t>.</w:t>
      </w:r>
      <w:r>
        <w:t xml:space="preserve"> </w:t>
      </w:r>
      <w:r w:rsidRPr="00DA7D87">
        <w:t xml:space="preserve">As smoking cessation plays an important role in the overall clinical management of patients with COPD, it is expected that in clinical settings, COPD patients being prescribed UMEC/VI would also be engaged in smoking cessation programs, which may include the use of </w:t>
      </w:r>
      <w:proofErr w:type="spellStart"/>
      <w:r w:rsidRPr="00DA7D87">
        <w:t>varenicline</w:t>
      </w:r>
      <w:proofErr w:type="spellEnd"/>
      <w:r w:rsidRPr="00DA7D87">
        <w:t xml:space="preserve">. It would therefore be clinically relevant to explore any potential safety issues with concomitant use of these 2 medications in the 4 pivotal studies. However, a look through the data of the 4 pivotal studies showed that the incidence of concomitant use of </w:t>
      </w:r>
      <w:proofErr w:type="spellStart"/>
      <w:r w:rsidRPr="00DA7D87">
        <w:t>varenicline</w:t>
      </w:r>
      <w:proofErr w:type="spellEnd"/>
      <w:r w:rsidRPr="00DA7D87">
        <w:t xml:space="preserve"> during the studies was very low (1% in each study). In view of this, additional safety analyses comparing results with and without concomitant use of </w:t>
      </w:r>
      <w:proofErr w:type="spellStart"/>
      <w:r w:rsidRPr="00DA7D87">
        <w:t>varenicline</w:t>
      </w:r>
      <w:proofErr w:type="spellEnd"/>
      <w:r w:rsidRPr="00DA7D87">
        <w:t xml:space="preserve"> in the 4 pivotal studies are not considered to be able to allow meaningful interpretation.</w:t>
      </w:r>
    </w:p>
    <w:p w:rsidR="00605AD4" w:rsidRPr="00605AD4" w:rsidRDefault="00605AD4" w:rsidP="00AA6872">
      <w:pPr>
        <w:pStyle w:val="Heading3"/>
        <w:rPr>
          <w:rFonts w:eastAsia="Cambria"/>
        </w:rPr>
      </w:pPr>
      <w:bookmarkStart w:id="116" w:name="_Toc420577612"/>
      <w:r w:rsidRPr="00605AD4">
        <w:rPr>
          <w:rFonts w:eastAsia="Cambria"/>
        </w:rPr>
        <w:t xml:space="preserve">First </w:t>
      </w:r>
      <w:r w:rsidR="00B41D3A">
        <w:rPr>
          <w:rFonts w:eastAsia="Cambria"/>
        </w:rPr>
        <w:t>r</w:t>
      </w:r>
      <w:r w:rsidRPr="00605AD4">
        <w:rPr>
          <w:rFonts w:eastAsia="Cambria"/>
        </w:rPr>
        <w:t xml:space="preserve">ound </w:t>
      </w:r>
      <w:r w:rsidR="00B41D3A">
        <w:rPr>
          <w:rFonts w:eastAsia="Cambria"/>
        </w:rPr>
        <w:t>b</w:t>
      </w:r>
      <w:r w:rsidRPr="00605AD4">
        <w:rPr>
          <w:rFonts w:eastAsia="Cambria"/>
        </w:rPr>
        <w:t>enefit-</w:t>
      </w:r>
      <w:r w:rsidR="00B41D3A">
        <w:rPr>
          <w:rFonts w:eastAsia="Cambria"/>
        </w:rPr>
        <w:t>r</w:t>
      </w:r>
      <w:r w:rsidRPr="00605AD4">
        <w:rPr>
          <w:rFonts w:eastAsia="Cambria"/>
        </w:rPr>
        <w:t xml:space="preserve">isk </w:t>
      </w:r>
      <w:r w:rsidR="00B41D3A">
        <w:rPr>
          <w:rFonts w:eastAsia="Cambria"/>
        </w:rPr>
        <w:t>a</w:t>
      </w:r>
      <w:r w:rsidRPr="00605AD4">
        <w:rPr>
          <w:rFonts w:eastAsia="Cambria"/>
        </w:rPr>
        <w:t>ssessment</w:t>
      </w:r>
      <w:bookmarkEnd w:id="116"/>
    </w:p>
    <w:p w:rsidR="00605AD4" w:rsidRDefault="00605AD4" w:rsidP="00AA6872">
      <w:pPr>
        <w:pStyle w:val="Heading4"/>
      </w:pPr>
      <w:r w:rsidRPr="00605AD4">
        <w:t xml:space="preserve">First round </w:t>
      </w:r>
      <w:r w:rsidRPr="00AA6872">
        <w:t>assessment</w:t>
      </w:r>
      <w:r w:rsidRPr="00605AD4">
        <w:t xml:space="preserve"> of benefits</w:t>
      </w:r>
    </w:p>
    <w:p w:rsidR="003331B8" w:rsidRPr="00DA7D87" w:rsidRDefault="003331B8" w:rsidP="00D13EC4">
      <w:r w:rsidRPr="00DA7D87">
        <w:t xml:space="preserve">The potential benefit of UMEC/VI in the proposed usage is as a </w:t>
      </w:r>
      <w:r w:rsidR="001A50F1" w:rsidRPr="001A50F1">
        <w:t>once daily</w:t>
      </w:r>
      <w:r w:rsidRPr="00DA7D87">
        <w:t xml:space="preserve"> maintenance bronchodilator treatment to relieve symptoms in adult patients with COPD. Overall, efficacy results were supportive of the efficacy claim of both doses of UMEC/VI (125/25 </w:t>
      </w:r>
      <w:r>
        <w:t>µg</w:t>
      </w:r>
      <w:r w:rsidRPr="00DA7D87">
        <w:t xml:space="preserve"> and 62.5/25 </w:t>
      </w:r>
      <w:r>
        <w:t>µg</w:t>
      </w:r>
      <w:r w:rsidRPr="00DA7D87">
        <w:t>) over placebo in terms of lung function as well as symptom relief.</w:t>
      </w:r>
    </w:p>
    <w:p w:rsidR="003331B8" w:rsidRPr="00DA7D87" w:rsidRDefault="003331B8" w:rsidP="00D13EC4">
      <w:r w:rsidRPr="00DA7D87">
        <w:t>The efficacy of UMEC/VI was evaluated th</w:t>
      </w:r>
      <w:r w:rsidR="000673C3">
        <w:t>rough effects on lung function, FEV1,</w:t>
      </w:r>
      <w:r w:rsidRPr="00DA7D87">
        <w:t xml:space="preserve"> as well as effects on symptom relief and health outcomes, compared to placebo and to </w:t>
      </w:r>
      <w:r w:rsidR="003476A7">
        <w:t>TIO</w:t>
      </w:r>
      <w:r w:rsidRPr="00DA7D87">
        <w:t xml:space="preserve">. Analyses on the effects of UMEC/VI on FEV1 compared to placebo in the two pivotal </w:t>
      </w:r>
      <w:r>
        <w:t>24 week</w:t>
      </w:r>
      <w:r w:rsidRPr="00DA7D87">
        <w:t xml:space="preserve"> </w:t>
      </w:r>
      <w:r>
        <w:t>placebo controlled</w:t>
      </w:r>
      <w:r w:rsidRPr="00DA7D87">
        <w:t xml:space="preserve"> studies showed that after 24 weeks of treatment, both doses of UMEC/VI had statistically significant improvements over placebo in trough FEV1 (difference over placebo of 167 </w:t>
      </w:r>
      <w:r w:rsidR="00F705C7">
        <w:t>mL</w:t>
      </w:r>
      <w:r w:rsidRPr="00DA7D87">
        <w:t xml:space="preserve"> and 238 </w:t>
      </w:r>
      <w:r w:rsidR="00F705C7">
        <w:t>mL</w:t>
      </w:r>
      <w:r w:rsidRPr="00DA7D87">
        <w:t xml:space="preserve"> with UMEC/VI 62.5/25 </w:t>
      </w:r>
      <w:r>
        <w:t>µg</w:t>
      </w:r>
      <w:r w:rsidRPr="00DA7D87">
        <w:t xml:space="preserve"> and 125/25 </w:t>
      </w:r>
      <w:r>
        <w:t>µg</w:t>
      </w:r>
      <w:r w:rsidRPr="00DA7D87">
        <w:t xml:space="preserve">, respectively) and in weighted mean FEV1 over </w:t>
      </w:r>
      <w:r>
        <w:t xml:space="preserve">0 to </w:t>
      </w:r>
      <w:r w:rsidRPr="00DA7D87">
        <w:t xml:space="preserve">6 hours </w:t>
      </w:r>
      <w:r>
        <w:t>post dose</w:t>
      </w:r>
      <w:r w:rsidRPr="00DA7D87">
        <w:t xml:space="preserve"> (difference over placebo of 242 </w:t>
      </w:r>
      <w:r w:rsidR="00F705C7">
        <w:t>mL</w:t>
      </w:r>
      <w:r w:rsidRPr="00DA7D87">
        <w:t xml:space="preserve"> and 287 </w:t>
      </w:r>
      <w:r w:rsidR="00F705C7">
        <w:t>mL</w:t>
      </w:r>
      <w:r w:rsidRPr="00DA7D87">
        <w:t xml:space="preserve"> with UMEC/VI 62.5/25 </w:t>
      </w:r>
      <w:r>
        <w:t>µg</w:t>
      </w:r>
      <w:r w:rsidRPr="00DA7D87">
        <w:t xml:space="preserve"> and 125/25 </w:t>
      </w:r>
      <w:r>
        <w:t>µg</w:t>
      </w:r>
      <w:r w:rsidRPr="00DA7D87">
        <w:t xml:space="preserve">, respectively). Over the </w:t>
      </w:r>
      <w:r>
        <w:t>24 week</w:t>
      </w:r>
      <w:r w:rsidRPr="00DA7D87">
        <w:t xml:space="preserve"> treatment period, improvements with both doses of UMEC/VI in trough FEV</w:t>
      </w:r>
      <w:r>
        <w:t xml:space="preserve">1 and weighted mean FEV1 over 0 to </w:t>
      </w:r>
      <w:r w:rsidRPr="00DA7D87">
        <w:t xml:space="preserve">6 hours </w:t>
      </w:r>
      <w:r>
        <w:t>post dose</w:t>
      </w:r>
      <w:r w:rsidRPr="00DA7D87">
        <w:t xml:space="preserve"> compared to placebo were observed early and then maintained across the </w:t>
      </w:r>
      <w:r>
        <w:t>24 week</w:t>
      </w:r>
      <w:r w:rsidRPr="00DA7D87">
        <w:t xml:space="preserve"> treatment period.</w:t>
      </w:r>
    </w:p>
    <w:p w:rsidR="003331B8" w:rsidRPr="00DA7D87" w:rsidRDefault="003331B8" w:rsidP="00D13EC4">
      <w:r w:rsidRPr="00DA7D87">
        <w:t xml:space="preserve">Analyses on the effects of UMEC/VI on FEV1 compared to </w:t>
      </w:r>
      <w:r w:rsidR="003476A7">
        <w:t>TIO</w:t>
      </w:r>
      <w:r w:rsidRPr="00DA7D87">
        <w:t xml:space="preserve"> in the two pivotal </w:t>
      </w:r>
      <w:r>
        <w:t xml:space="preserve">24 week active </w:t>
      </w:r>
      <w:r w:rsidRPr="00DA7D87">
        <w:t xml:space="preserve">controlled studies showed that after 24 weeks of treatment, both doses of UMEC/VI had improvements over placebo in trough FEV1 (difference over </w:t>
      </w:r>
      <w:r w:rsidR="003476A7">
        <w:t>TIO</w:t>
      </w:r>
      <w:r w:rsidRPr="00DA7D87">
        <w:t xml:space="preserve"> of 60 to 90 </w:t>
      </w:r>
      <w:r w:rsidR="00F705C7">
        <w:t>mL</w:t>
      </w:r>
      <w:r w:rsidRPr="00DA7D87">
        <w:t xml:space="preserve"> and 74 to 88 </w:t>
      </w:r>
      <w:r w:rsidR="00F705C7">
        <w:t>mL</w:t>
      </w:r>
      <w:r w:rsidRPr="00DA7D87">
        <w:t xml:space="preserve"> with UMEC/VI 62.5/25 </w:t>
      </w:r>
      <w:r>
        <w:t>µg</w:t>
      </w:r>
      <w:r w:rsidRPr="00DA7D87">
        <w:t xml:space="preserve"> and 125/25 </w:t>
      </w:r>
      <w:r>
        <w:t>µg</w:t>
      </w:r>
      <w:r w:rsidRPr="00DA7D87">
        <w:t>, respectively) a</w:t>
      </w:r>
      <w:r>
        <w:t xml:space="preserve">nd in weighted mean FEV1 over 0 to </w:t>
      </w:r>
      <w:r w:rsidRPr="00DA7D87">
        <w:t xml:space="preserve">6 hours </w:t>
      </w:r>
      <w:r>
        <w:t>post dose</w:t>
      </w:r>
      <w:r w:rsidRPr="00DA7D87">
        <w:t xml:space="preserve"> (difference over </w:t>
      </w:r>
      <w:r w:rsidR="003476A7">
        <w:t>TIO</w:t>
      </w:r>
      <w:r w:rsidRPr="00DA7D87">
        <w:t xml:space="preserve"> of 74 to 96 </w:t>
      </w:r>
      <w:r w:rsidR="00F705C7">
        <w:t>mL</w:t>
      </w:r>
      <w:r w:rsidRPr="00DA7D87">
        <w:t xml:space="preserve"> and 83 to 101 </w:t>
      </w:r>
      <w:r w:rsidR="00F705C7">
        <w:lastRenderedPageBreak/>
        <w:t>mL</w:t>
      </w:r>
      <w:r w:rsidRPr="00DA7D87">
        <w:t xml:space="preserve"> with UMEC/VI 62.5/25 </w:t>
      </w:r>
      <w:r>
        <w:t>µg</w:t>
      </w:r>
      <w:r w:rsidRPr="00DA7D87">
        <w:t xml:space="preserve"> and 125/25 </w:t>
      </w:r>
      <w:r>
        <w:t>µg</w:t>
      </w:r>
      <w:r w:rsidRPr="00DA7D87">
        <w:t>, respectively)</w:t>
      </w:r>
      <w:r w:rsidRPr="0011702E">
        <w:rPr>
          <w:vertAlign w:val="superscript"/>
        </w:rPr>
        <w:footnoteReference w:id="18"/>
      </w:r>
      <w:r w:rsidRPr="00DA7D87">
        <w:t xml:space="preserve">. Over the </w:t>
      </w:r>
      <w:r>
        <w:t>24 week</w:t>
      </w:r>
      <w:r w:rsidRPr="00DA7D87">
        <w:t xml:space="preserve"> treatment period, improvements with both doses of UMEC/VI in trough FEV</w:t>
      </w:r>
      <w:r>
        <w:t xml:space="preserve">1 and weighted mean FEV1 over 0 to </w:t>
      </w:r>
      <w:r w:rsidRPr="00DA7D87">
        <w:t xml:space="preserve">6 hours </w:t>
      </w:r>
      <w:r>
        <w:t>post dose</w:t>
      </w:r>
      <w:r w:rsidRPr="00DA7D87">
        <w:t xml:space="preserve"> compared to </w:t>
      </w:r>
      <w:r w:rsidR="003476A7">
        <w:t>TIO</w:t>
      </w:r>
      <w:r w:rsidRPr="00DA7D87">
        <w:t xml:space="preserve"> were observed early and then maintained across the </w:t>
      </w:r>
      <w:r>
        <w:t>24 week</w:t>
      </w:r>
      <w:r w:rsidRPr="00DA7D87">
        <w:t xml:space="preserve"> treatment period.</w:t>
      </w:r>
    </w:p>
    <w:p w:rsidR="003331B8" w:rsidRPr="00DA7D87" w:rsidRDefault="003331B8" w:rsidP="00D13EC4">
      <w:r w:rsidRPr="00DA7D87">
        <w:t xml:space="preserve">Analyses on the effects of UMEC/VI on symptom relief and health outcomes compared to placebo in the two pivotal </w:t>
      </w:r>
      <w:r>
        <w:t>24 week</w:t>
      </w:r>
      <w:r w:rsidRPr="00DA7D87">
        <w:t xml:space="preserve"> </w:t>
      </w:r>
      <w:r>
        <w:t>placebo controlled</w:t>
      </w:r>
      <w:r w:rsidRPr="00DA7D87">
        <w:t xml:space="preserve"> studies showed that after 24 weeks of treatment, both doses of UMEC/VI had statistically significant improvements over placebo in TDI focal scores (difference over placebo of 1</w:t>
      </w:r>
      <w:r w:rsidR="002A3A6A">
        <w:t>.2 and 1.0 with UMEC/VI 62.5/25 </w:t>
      </w:r>
      <w:r>
        <w:t>µg</w:t>
      </w:r>
      <w:r w:rsidRPr="00DA7D87">
        <w:t xml:space="preserve"> and 125/25 </w:t>
      </w:r>
      <w:r>
        <w:t>µg</w:t>
      </w:r>
      <w:r w:rsidRPr="00DA7D87">
        <w:t>, respectively), and there were greater proportions of</w:t>
      </w:r>
      <w:r>
        <w:t xml:space="preserve"> </w:t>
      </w:r>
      <w:r w:rsidRPr="00DA7D87">
        <w:t xml:space="preserve">TDI responders (as defined by a </w:t>
      </w:r>
      <w:r w:rsidR="0036175C">
        <w:t xml:space="preserve">≥ </w:t>
      </w:r>
      <w:r w:rsidRPr="00DA7D87">
        <w:t>1 unit value) compared w</w:t>
      </w:r>
      <w:r w:rsidR="002A3A6A">
        <w:t>ith placebo for UMEC/VI 62.5/25 </w:t>
      </w:r>
      <w:r>
        <w:t>µg</w:t>
      </w:r>
      <w:r w:rsidRPr="00DA7D87">
        <w:t xml:space="preserve"> (58% </w:t>
      </w:r>
      <w:r>
        <w:t>versus</w:t>
      </w:r>
      <w:r w:rsidRPr="00DA7D87">
        <w:t xml:space="preserve"> 41% with placebo) and for UMEC/VI 125/25 </w:t>
      </w:r>
      <w:r>
        <w:t>µg</w:t>
      </w:r>
      <w:r w:rsidRPr="00DA7D87">
        <w:t xml:space="preserve"> (49% </w:t>
      </w:r>
      <w:r>
        <w:t>versus</w:t>
      </w:r>
      <w:r w:rsidRPr="00DA7D87">
        <w:t xml:space="preserve"> 30% with placebo). There were also statistically significantly greater reductions from baseline in rescue salbutamol use over Weeks 1 to 24 compared to placebo as well as greater changes from baseline in percentage of </w:t>
      </w:r>
      <w:r>
        <w:t>rescue free</w:t>
      </w:r>
      <w:r w:rsidRPr="00DA7D87">
        <w:t xml:space="preserve"> days over Weeks 1 to 24 compared with placebo. Both doses of UMEC/VI also showed statistically significantly lower risk of COPD exac</w:t>
      </w:r>
      <w:r w:rsidR="00671DD7">
        <w:t>erbation compared with placebo.</w:t>
      </w:r>
    </w:p>
    <w:p w:rsidR="003331B8" w:rsidRPr="00DA7D87" w:rsidRDefault="003331B8" w:rsidP="00D13EC4">
      <w:r w:rsidRPr="00DA7D87">
        <w:t>With regards to effects on exercise tolerance, analyses in one of the 2 exercise studies (DB2114418) showed statistically significantly greater</w:t>
      </w:r>
      <w:r w:rsidR="002A3A6A">
        <w:t xml:space="preserve"> changes from baseline in the 3 </w:t>
      </w:r>
      <w:r w:rsidRPr="00DA7D87">
        <w:t xml:space="preserve">hour </w:t>
      </w:r>
      <w:r>
        <w:t>post dose</w:t>
      </w:r>
      <w:r w:rsidRPr="00DA7D87">
        <w:t xml:space="preserve"> EET at Week 12 compared with placebo for both doses of UMEC/VI (difference over placebo of 69.4 seconds and 65.8 seconds for UMEC/VI 62.5/25 </w:t>
      </w:r>
      <w:r>
        <w:t>µg</w:t>
      </w:r>
      <w:r w:rsidRPr="00DA7D87">
        <w:t xml:space="preserve"> and UMEC/VI 125/25 </w:t>
      </w:r>
      <w:r>
        <w:t>µg</w:t>
      </w:r>
      <w:r w:rsidRPr="00DA7D87">
        <w:t>, respectively), while results in the other exercise study (DB2114417) showed no statistica</w:t>
      </w:r>
      <w:r>
        <w:t xml:space="preserve">lly significant difference in 3 </w:t>
      </w:r>
      <w:r w:rsidRPr="00DA7D87">
        <w:t xml:space="preserve">hour </w:t>
      </w:r>
      <w:r>
        <w:t>post dose</w:t>
      </w:r>
      <w:r w:rsidRPr="00DA7D87">
        <w:t xml:space="preserve"> EET at Week 12 between either doses of UMEC/VI and placebo. However, further analysis shows that this was due to a greater placebo response in </w:t>
      </w:r>
      <w:r w:rsidR="00A96E8F">
        <w:t>Study</w:t>
      </w:r>
      <w:r w:rsidRPr="00DA7D87">
        <w:t xml:space="preserve"> DB2114417 than was observed in the DB2114418 study, and the changes in EET from baseline were similar with both doses of UMEC/VI between both studies.</w:t>
      </w:r>
    </w:p>
    <w:p w:rsidR="003331B8" w:rsidRPr="00DA7D87" w:rsidRDefault="003331B8" w:rsidP="00D13EC4">
      <w:r w:rsidRPr="00DA7D87">
        <w:t xml:space="preserve">Efficacy results in the pivotal studies showed no clear differentiation between the 2 doses of UMEC/VI. The two pivotal </w:t>
      </w:r>
      <w:r>
        <w:t>24 week</w:t>
      </w:r>
      <w:r w:rsidR="002A3A6A">
        <w:t xml:space="preserve"> active </w:t>
      </w:r>
      <w:r w:rsidRPr="00DA7D87">
        <w:t>controlled studies (DB211336</w:t>
      </w:r>
      <w:r>
        <w:t xml:space="preserve">0 and DB2113374) allowed within </w:t>
      </w:r>
      <w:r w:rsidRPr="00DA7D87">
        <w:t xml:space="preserve">study comparisons of the 2 doses and showed that in </w:t>
      </w:r>
      <w:r w:rsidR="00A96E8F">
        <w:t>Study</w:t>
      </w:r>
      <w:r w:rsidRPr="00DA7D87">
        <w:t xml:space="preserve"> DB2113360, change from baseline in trough FEV1 at Day 169 was 211 </w:t>
      </w:r>
      <w:r w:rsidR="00F705C7">
        <w:t>mL</w:t>
      </w:r>
      <w:r w:rsidRPr="00DA7D87">
        <w:t xml:space="preserve"> and 209 </w:t>
      </w:r>
      <w:r w:rsidR="00F705C7">
        <w:t>mL</w:t>
      </w:r>
      <w:r w:rsidRPr="00DA7D87">
        <w:t xml:space="preserve"> with UMEC/VI 62.5/25 </w:t>
      </w:r>
      <w:r>
        <w:t>µg</w:t>
      </w:r>
      <w:r w:rsidRPr="00DA7D87">
        <w:t xml:space="preserve"> and UMEC/VI 125/25 </w:t>
      </w:r>
      <w:r>
        <w:t>µg</w:t>
      </w:r>
      <w:r w:rsidRPr="00DA7D87">
        <w:t xml:space="preserve">, respectively (treatment difference over TIO of 90 </w:t>
      </w:r>
      <w:r w:rsidR="00F705C7">
        <w:t>mL</w:t>
      </w:r>
      <w:r w:rsidRPr="00DA7D87">
        <w:t xml:space="preserve"> and 88 </w:t>
      </w:r>
      <w:r w:rsidR="00F705C7">
        <w:t>mL</w:t>
      </w:r>
      <w:r w:rsidRPr="00DA7D87">
        <w:t xml:space="preserve">, respectively), while in </w:t>
      </w:r>
      <w:r w:rsidR="00A96E8F">
        <w:t>Study</w:t>
      </w:r>
      <w:r w:rsidRPr="00DA7D87">
        <w:t xml:space="preserve"> DB2113374, change from baseline in trough FEV1 at Day 169 was 208 </w:t>
      </w:r>
      <w:r w:rsidR="00F705C7">
        <w:t>mL</w:t>
      </w:r>
      <w:r w:rsidRPr="00DA7D87">
        <w:t xml:space="preserve"> and 223 </w:t>
      </w:r>
      <w:r w:rsidR="00F705C7">
        <w:t>mL</w:t>
      </w:r>
      <w:r w:rsidRPr="00DA7D87">
        <w:t xml:space="preserve"> with UMEC/VI 62.5/25 </w:t>
      </w:r>
      <w:r>
        <w:t>µg</w:t>
      </w:r>
      <w:r w:rsidRPr="00DA7D87">
        <w:t xml:space="preserve"> and UMEC/VI 125/25 </w:t>
      </w:r>
      <w:r>
        <w:t>µg</w:t>
      </w:r>
      <w:r w:rsidRPr="00DA7D87">
        <w:t xml:space="preserve">, respectively (treatment difference over TIO of </w:t>
      </w:r>
      <w:r w:rsidR="00671DD7">
        <w:t xml:space="preserve">60 </w:t>
      </w:r>
      <w:r w:rsidR="00F705C7">
        <w:t>mL</w:t>
      </w:r>
      <w:r w:rsidR="00671DD7">
        <w:t xml:space="preserve"> and 74 </w:t>
      </w:r>
      <w:r w:rsidR="00F705C7">
        <w:t>mL</w:t>
      </w:r>
      <w:r w:rsidR="00671DD7">
        <w:t>, respectively).</w:t>
      </w:r>
    </w:p>
    <w:p w:rsidR="003331B8" w:rsidRPr="003331B8" w:rsidRDefault="003331B8" w:rsidP="00D13EC4">
      <w:r w:rsidRPr="00DA7D87">
        <w:t xml:space="preserve">Additional subgroup analyses on integrated data of the 4 pivotal efficacy studies showed that in the subgroup of subjects reversible to salbutamol at screening, there were greater improvements in </w:t>
      </w:r>
      <w:proofErr w:type="spellStart"/>
      <w:r w:rsidRPr="00DA7D87">
        <w:t>bronchodilatation</w:t>
      </w:r>
      <w:proofErr w:type="spellEnd"/>
      <w:r w:rsidRPr="00DA7D87">
        <w:t xml:space="preserve"> with UMEC/VI 125/25 </w:t>
      </w:r>
      <w:r>
        <w:t>µg</w:t>
      </w:r>
      <w:r w:rsidRPr="00DA7D87">
        <w:t xml:space="preserve"> (improvement over placebo in trough FEV1 at Day 169 of 282 </w:t>
      </w:r>
      <w:r w:rsidR="00F705C7">
        <w:t>mL</w:t>
      </w:r>
      <w:r w:rsidRPr="00DA7D87">
        <w:t xml:space="preserve">) compared with UMEC/VI 62.5/25 </w:t>
      </w:r>
      <w:r>
        <w:t>µg</w:t>
      </w:r>
      <w:r w:rsidRPr="00DA7D87">
        <w:t xml:space="preserve"> (improvement over placebo of 225 </w:t>
      </w:r>
      <w:r w:rsidR="00F705C7">
        <w:t>mL</w:t>
      </w:r>
      <w:r w:rsidRPr="00DA7D87">
        <w:t>), a pattern t</w:t>
      </w:r>
      <w:r>
        <w:t xml:space="preserve">hat was not observed in the non </w:t>
      </w:r>
      <w:r w:rsidRPr="00DA7D87">
        <w:t xml:space="preserve">reversible subjects (improvement over placebo of 181 </w:t>
      </w:r>
      <w:r w:rsidR="00F705C7">
        <w:t>mL</w:t>
      </w:r>
      <w:r w:rsidRPr="00DA7D87">
        <w:t xml:space="preserve"> and 188 </w:t>
      </w:r>
      <w:r w:rsidR="00F705C7">
        <w:t>mL</w:t>
      </w:r>
      <w:r w:rsidRPr="00DA7D87">
        <w:t xml:space="preserve"> with UMEC/VI 125/25 </w:t>
      </w:r>
      <w:r>
        <w:t>µg</w:t>
      </w:r>
      <w:r w:rsidRPr="00DA7D87">
        <w:t xml:space="preserve"> and UMEC/VI 62.5/25 </w:t>
      </w:r>
      <w:r>
        <w:t>µg</w:t>
      </w:r>
      <w:r w:rsidRPr="00DA7D87">
        <w:t xml:space="preserve">, respectively). This greater treatment response with UMEC/VI 125/25 </w:t>
      </w:r>
      <w:r>
        <w:t>µg</w:t>
      </w:r>
      <w:r w:rsidRPr="00DA7D87">
        <w:t xml:space="preserve"> than with UMEC/VI 62.5/25 </w:t>
      </w:r>
      <w:r>
        <w:t>µg</w:t>
      </w:r>
      <w:r w:rsidRPr="00DA7D87">
        <w:t xml:space="preserve"> in the reversible subgroup was also observed for the TDI focal scores, SGRQ scores, and rescue salbutamol use. The sponsor’s conclusions that the UMEC/VI dose of 62.5/25 </w:t>
      </w:r>
      <w:r>
        <w:t>µg</w:t>
      </w:r>
      <w:r w:rsidRPr="00DA7D87">
        <w:t xml:space="preserve"> would be appropriate for the majority of COPD patients, and that UMEC/VI 125/25 </w:t>
      </w:r>
      <w:r>
        <w:t>µg</w:t>
      </w:r>
      <w:r w:rsidRPr="00DA7D87">
        <w:t xml:space="preserve"> could potentially offer additional benefit in some COPD patients who had salbut</w:t>
      </w:r>
      <w:r w:rsidR="002A3A6A">
        <w:t>amol reversibility, were sound.</w:t>
      </w:r>
    </w:p>
    <w:p w:rsidR="00605AD4" w:rsidRDefault="00605AD4" w:rsidP="00D13EC4">
      <w:pPr>
        <w:pStyle w:val="Heading4"/>
      </w:pPr>
      <w:r w:rsidRPr="00605AD4">
        <w:lastRenderedPageBreak/>
        <w:t>First round assessment of risks</w:t>
      </w:r>
    </w:p>
    <w:p w:rsidR="003331B8" w:rsidRPr="00DA7D87" w:rsidRDefault="003331B8" w:rsidP="00D13EC4">
      <w:r w:rsidRPr="00DA7D87">
        <w:t>The risks of UMEC/VI in the proposed usage are:</w:t>
      </w:r>
    </w:p>
    <w:p w:rsidR="003331B8" w:rsidRPr="00DA7D87" w:rsidRDefault="003331B8" w:rsidP="00D13EC4">
      <w:pPr>
        <w:pStyle w:val="ListBullet"/>
      </w:pPr>
      <w:r w:rsidRPr="00DA7D87">
        <w:t>Muscarinic antagonist pharmacological class effects</w:t>
      </w:r>
      <w:r w:rsidR="00671DD7">
        <w:t>.</w:t>
      </w:r>
    </w:p>
    <w:p w:rsidR="003331B8" w:rsidRPr="00DA7D87" w:rsidRDefault="003331B8" w:rsidP="00D13EC4">
      <w:pPr>
        <w:pStyle w:val="ListBullet"/>
      </w:pPr>
      <w:r w:rsidRPr="00DA7D87">
        <w:t>Beta</w:t>
      </w:r>
      <w:r w:rsidRPr="002D141B">
        <w:rPr>
          <w:vertAlign w:val="subscript"/>
        </w:rPr>
        <w:t>2</w:t>
      </w:r>
      <w:r w:rsidR="002D141B">
        <w:t>-</w:t>
      </w:r>
      <w:r w:rsidRPr="00DA7D87">
        <w:t>agonist pharmacological class effects</w:t>
      </w:r>
      <w:r w:rsidR="00671DD7">
        <w:t>.</w:t>
      </w:r>
    </w:p>
    <w:p w:rsidR="003331B8" w:rsidRPr="00DA7D87" w:rsidRDefault="003331B8" w:rsidP="00D13EC4">
      <w:r w:rsidRPr="00DA7D87">
        <w:t>In particular, as both LAMA and LABA have potential cardiovascular effects, and UMEC/VI consists of a combination of a LAMA and a LABA, adverse effects on the cardiovascular system needs to be assessed.</w:t>
      </w:r>
    </w:p>
    <w:p w:rsidR="003331B8" w:rsidRPr="003331B8" w:rsidRDefault="003331B8" w:rsidP="00D13EC4">
      <w:r w:rsidRPr="00DA7D87">
        <w:t>Overall, analyses of cardiovascular safety and of AEs related to muscarinic antagonist and beta</w:t>
      </w:r>
      <w:r w:rsidRPr="002D141B">
        <w:rPr>
          <w:vertAlign w:val="subscript"/>
        </w:rPr>
        <w:t>2</w:t>
      </w:r>
      <w:r w:rsidR="002D141B">
        <w:t>-</w:t>
      </w:r>
      <w:r w:rsidRPr="00DA7D87">
        <w:t xml:space="preserve">agonist pharmacological class effects did not raise major safety concerns. In the pivotal studies, the incidence of </w:t>
      </w:r>
      <w:r>
        <w:t>on treatment</w:t>
      </w:r>
      <w:r w:rsidRPr="00DA7D87">
        <w:t xml:space="preserve"> events in the cardiovascular special interest group was generally comparable across the pooled treatment groups (6% to 10%). The overall most commonly reported subgroup of </w:t>
      </w:r>
      <w:r>
        <w:t>on treatment</w:t>
      </w:r>
      <w:r w:rsidRPr="00DA7D87">
        <w:t xml:space="preserve"> cardiovascular </w:t>
      </w:r>
      <w:r w:rsidR="00256325" w:rsidRPr="00256325">
        <w:t xml:space="preserve">adverse event of special interest </w:t>
      </w:r>
      <w:r w:rsidR="00256325">
        <w:t>(</w:t>
      </w:r>
      <w:r w:rsidRPr="00DA7D87">
        <w:t>AESI</w:t>
      </w:r>
      <w:r w:rsidR="00256325">
        <w:t>)</w:t>
      </w:r>
      <w:r w:rsidRPr="00DA7D87">
        <w:t xml:space="preserve"> was cardiac arrhythmias, but the incidence was low and comparable across treatment groups (2% to 5% across treatment groups; 3% and 2% with UMEC/VI 62.5/25 </w:t>
      </w:r>
      <w:r>
        <w:t>µg</w:t>
      </w:r>
      <w:r w:rsidRPr="00DA7D87">
        <w:t xml:space="preserve"> and UMEC/VI 125/25 </w:t>
      </w:r>
      <w:r>
        <w:t>µg</w:t>
      </w:r>
      <w:r w:rsidRPr="00DA7D87">
        <w:t xml:space="preserve">, respectively compared with 3% with placebo and 2% with </w:t>
      </w:r>
      <w:r w:rsidR="003476A7">
        <w:t>TIO</w:t>
      </w:r>
      <w:r w:rsidRPr="00DA7D87">
        <w:t xml:space="preserve">). There were no obvious </w:t>
      </w:r>
      <w:r>
        <w:t>dose</w:t>
      </w:r>
      <w:r w:rsidRPr="00DA7D87">
        <w:t xml:space="preserve"> or </w:t>
      </w:r>
      <w:r>
        <w:t>treatment related</w:t>
      </w:r>
      <w:r w:rsidRPr="00DA7D87">
        <w:t xml:space="preserve"> trends. Results in the 2 exercise studies and the </w:t>
      </w:r>
      <w:r>
        <w:t>long term</w:t>
      </w:r>
      <w:r w:rsidRPr="00DA7D87">
        <w:t xml:space="preserve"> safety studies were consistent with those in the pivotal studies. Cardiovascular effects were assessed via </w:t>
      </w:r>
      <w:r>
        <w:t>Holter</w:t>
      </w:r>
      <w:r w:rsidRPr="00DA7D87">
        <w:t xml:space="preserve"> monitoring in a subset of subjects in the 2 </w:t>
      </w:r>
      <w:r>
        <w:t>placebo controlled</w:t>
      </w:r>
      <w:r w:rsidRPr="00DA7D87">
        <w:t xml:space="preserve"> pivotal studies and in the </w:t>
      </w:r>
      <w:r>
        <w:t>long term</w:t>
      </w:r>
      <w:r w:rsidRPr="00DA7D87">
        <w:t xml:space="preserve"> safety study. Results did not raise major cardiovascular safety concerns for either dose of UMEC/VI. The proportion of subjects with one or more abnormal, clinically significant </w:t>
      </w:r>
      <w:r>
        <w:t>Holter</w:t>
      </w:r>
      <w:r w:rsidRPr="00DA7D87">
        <w:t xml:space="preserve"> ECG interpretation at any time </w:t>
      </w:r>
      <w:r>
        <w:t>post baseline</w:t>
      </w:r>
      <w:r w:rsidRPr="00DA7D87">
        <w:t xml:space="preserve"> was 53% and 45% in the UMEC/VI 62.5/25 </w:t>
      </w:r>
      <w:r>
        <w:t>µg</w:t>
      </w:r>
      <w:r w:rsidRPr="00DA7D87">
        <w:t xml:space="preserve"> and UMEC/VI 125/25 </w:t>
      </w:r>
      <w:r>
        <w:t>µg</w:t>
      </w:r>
      <w:r w:rsidRPr="00DA7D87">
        <w:t xml:space="preserve"> groups, respectively, </w:t>
      </w:r>
      <w:r>
        <w:t>versus</w:t>
      </w:r>
      <w:r w:rsidRPr="00DA7D87">
        <w:t xml:space="preserve"> 60% in the placebo group, in the 2 pivotal studies, while that in the </w:t>
      </w:r>
      <w:r>
        <w:t>long term</w:t>
      </w:r>
      <w:r w:rsidRPr="00DA7D87">
        <w:t xml:space="preserve"> safety study was 55% in the UMEC/VI 125/25 </w:t>
      </w:r>
      <w:r>
        <w:t>µg</w:t>
      </w:r>
      <w:r w:rsidRPr="00DA7D87">
        <w:t xml:space="preserve"> group </w:t>
      </w:r>
      <w:r>
        <w:t>versus</w:t>
      </w:r>
      <w:r w:rsidRPr="00DA7D87">
        <w:t xml:space="preserve"> 52% in the placebo group. The incidences of other AEs of special interest relating to muscarinic antagonist and beta</w:t>
      </w:r>
      <w:r w:rsidRPr="002D141B">
        <w:rPr>
          <w:vertAlign w:val="subscript"/>
        </w:rPr>
        <w:t>2</w:t>
      </w:r>
      <w:r w:rsidR="002D141B" w:rsidRPr="002D141B">
        <w:t>-</w:t>
      </w:r>
      <w:r w:rsidRPr="00DA7D87">
        <w:t xml:space="preserve">agonist pharmacological class effects were generally low and comparable between placebo and active treatment groups, with no obvious </w:t>
      </w:r>
      <w:r>
        <w:t>dose</w:t>
      </w:r>
      <w:r w:rsidRPr="00DA7D87">
        <w:t xml:space="preserve"> or </w:t>
      </w:r>
      <w:r>
        <w:t>treatment related</w:t>
      </w:r>
      <w:r w:rsidR="00671DD7">
        <w:t xml:space="preserve"> trends detected.</w:t>
      </w:r>
    </w:p>
    <w:p w:rsidR="00605AD4" w:rsidRPr="00605AD4" w:rsidRDefault="00605AD4" w:rsidP="00D13EC4">
      <w:pPr>
        <w:pStyle w:val="Heading4"/>
      </w:pPr>
      <w:r w:rsidRPr="00605AD4">
        <w:t>First round assessment of benefit-risk balance</w:t>
      </w:r>
    </w:p>
    <w:p w:rsidR="003331B8" w:rsidRPr="00DA7D87" w:rsidRDefault="003331B8" w:rsidP="00D13EC4">
      <w:r w:rsidRPr="00DA7D87">
        <w:t>The benefit-risk balance of UMEC/VI, given the proposed usage, is favourable.</w:t>
      </w:r>
    </w:p>
    <w:p w:rsidR="00605AD4" w:rsidRPr="00605AD4" w:rsidRDefault="003331B8" w:rsidP="00D13EC4">
      <w:r w:rsidRPr="00DA7D87">
        <w:t xml:space="preserve">Overall, analyses on effects of UMEC/VI on FEV1 compared to placebo yielded results which were generally supportive of the efficacy claim of both doses of UMEC/VI (62.5/25 </w:t>
      </w:r>
      <w:r>
        <w:t>µg</w:t>
      </w:r>
      <w:r w:rsidRPr="00DA7D87">
        <w:t xml:space="preserve"> and 125/25 </w:t>
      </w:r>
      <w:r>
        <w:t>µg</w:t>
      </w:r>
      <w:r w:rsidRPr="00DA7D87">
        <w:t>) over placebo. Analyses on effects of UMEC/VI on symptom relief compared to placebo also yielded results which were generally supportive of the efficacy claim of both doses of UMEC/VI over placebo. Safety results did not r</w:t>
      </w:r>
      <w:r w:rsidR="00671DD7">
        <w:t>aise any major safety concerns.</w:t>
      </w:r>
    </w:p>
    <w:p w:rsidR="00605AD4" w:rsidRPr="00605AD4" w:rsidRDefault="00605AD4" w:rsidP="00D13EC4">
      <w:pPr>
        <w:pStyle w:val="Heading3"/>
        <w:rPr>
          <w:rFonts w:eastAsia="Cambria"/>
        </w:rPr>
      </w:pPr>
      <w:bookmarkStart w:id="117" w:name="_Toc420577613"/>
      <w:r w:rsidRPr="00605AD4">
        <w:rPr>
          <w:rFonts w:eastAsia="Cambria"/>
        </w:rPr>
        <w:t xml:space="preserve">First </w:t>
      </w:r>
      <w:r w:rsidR="00B41D3A">
        <w:rPr>
          <w:rFonts w:eastAsia="Cambria"/>
        </w:rPr>
        <w:t>r</w:t>
      </w:r>
      <w:r w:rsidRPr="00605AD4">
        <w:rPr>
          <w:rFonts w:eastAsia="Cambria"/>
        </w:rPr>
        <w:t xml:space="preserve">ound </w:t>
      </w:r>
      <w:r w:rsidR="00B41D3A">
        <w:rPr>
          <w:rFonts w:eastAsia="Cambria"/>
        </w:rPr>
        <w:t>r</w:t>
      </w:r>
      <w:r w:rsidRPr="00605AD4">
        <w:rPr>
          <w:rFonts w:eastAsia="Cambria"/>
        </w:rPr>
        <w:t xml:space="preserve">ecommendation </w:t>
      </w:r>
      <w:r w:rsidR="00B41D3A">
        <w:rPr>
          <w:rFonts w:eastAsia="Cambria"/>
        </w:rPr>
        <w:t>r</w:t>
      </w:r>
      <w:r w:rsidRPr="00605AD4">
        <w:rPr>
          <w:rFonts w:eastAsia="Cambria"/>
        </w:rPr>
        <w:t xml:space="preserve">egarding </w:t>
      </w:r>
      <w:r w:rsidR="00B41D3A">
        <w:rPr>
          <w:rFonts w:eastAsia="Cambria"/>
        </w:rPr>
        <w:t>a</w:t>
      </w:r>
      <w:r w:rsidRPr="00605AD4">
        <w:rPr>
          <w:rFonts w:eastAsia="Cambria"/>
        </w:rPr>
        <w:t>uthorisation</w:t>
      </w:r>
      <w:bookmarkEnd w:id="117"/>
    </w:p>
    <w:p w:rsidR="003331B8" w:rsidRPr="003D07C6" w:rsidRDefault="003331B8" w:rsidP="00D13EC4">
      <w:r w:rsidRPr="003D07C6">
        <w:t xml:space="preserve">It is recommended that the application for the registration of UMEC/VI 62.5/25 </w:t>
      </w:r>
      <w:r>
        <w:t>µg</w:t>
      </w:r>
      <w:r w:rsidRPr="003D07C6">
        <w:t xml:space="preserve"> and 125/25 </w:t>
      </w:r>
      <w:r>
        <w:t>µg</w:t>
      </w:r>
      <w:r w:rsidRPr="003D07C6">
        <w:t xml:space="preserve"> as a </w:t>
      </w:r>
      <w:r>
        <w:t>long term</w:t>
      </w:r>
      <w:r w:rsidRPr="003D07C6">
        <w:t xml:space="preserve"> </w:t>
      </w:r>
      <w:r w:rsidR="001A50F1" w:rsidRPr="001A50F1">
        <w:t>once daily</w:t>
      </w:r>
      <w:r w:rsidRPr="003D07C6">
        <w:t xml:space="preserve"> maintenance bronchodilator treatment to relieve symptoms in adult patients with COPD be approved.</w:t>
      </w:r>
    </w:p>
    <w:p w:rsidR="00605AD4" w:rsidRPr="00605AD4" w:rsidRDefault="003331B8" w:rsidP="00D13EC4">
      <w:r w:rsidRPr="003D07C6">
        <w:t xml:space="preserve">This is subject to a satisfactory response to the clinical </w:t>
      </w:r>
      <w:r w:rsidR="00671DD7">
        <w:t xml:space="preserve">questions raised </w:t>
      </w:r>
      <w:r w:rsidR="001F3A28">
        <w:t>below</w:t>
      </w:r>
      <w:r w:rsidR="00671DD7">
        <w:t>.</w:t>
      </w:r>
    </w:p>
    <w:p w:rsidR="00605AD4" w:rsidRPr="00605AD4" w:rsidRDefault="00605AD4" w:rsidP="00AA6872">
      <w:pPr>
        <w:pStyle w:val="Heading3"/>
        <w:rPr>
          <w:rFonts w:eastAsia="Cambria"/>
        </w:rPr>
      </w:pPr>
      <w:bookmarkStart w:id="118" w:name="_Toc420577614"/>
      <w:r w:rsidRPr="00605AD4">
        <w:rPr>
          <w:rFonts w:eastAsia="Cambria"/>
        </w:rPr>
        <w:lastRenderedPageBreak/>
        <w:t xml:space="preserve">Clinical </w:t>
      </w:r>
      <w:r w:rsidR="00B41D3A" w:rsidRPr="00AA6872">
        <w:rPr>
          <w:rFonts w:eastAsia="Cambria"/>
        </w:rPr>
        <w:t>q</w:t>
      </w:r>
      <w:r w:rsidRPr="00AA6872">
        <w:rPr>
          <w:rFonts w:eastAsia="Cambria"/>
        </w:rPr>
        <w:t>uestions</w:t>
      </w:r>
      <w:bookmarkEnd w:id="118"/>
    </w:p>
    <w:p w:rsidR="003331B8" w:rsidRPr="003D07C6" w:rsidRDefault="003331B8" w:rsidP="00AA6872">
      <w:pPr>
        <w:pStyle w:val="Heading4"/>
      </w:pPr>
      <w:bookmarkStart w:id="119" w:name="_Toc272414704"/>
      <w:bookmarkStart w:id="120" w:name="_Toc290846344"/>
      <w:bookmarkStart w:id="121" w:name="_Toc376461214"/>
      <w:r w:rsidRPr="00AA6872">
        <w:t>Efficacy</w:t>
      </w:r>
      <w:bookmarkEnd w:id="119"/>
      <w:bookmarkEnd w:id="120"/>
      <w:bookmarkEnd w:id="121"/>
    </w:p>
    <w:p w:rsidR="003331B8" w:rsidRPr="003D07C6" w:rsidRDefault="003331B8" w:rsidP="00D13EC4">
      <w:pPr>
        <w:pStyle w:val="Numberbullet0"/>
      </w:pPr>
      <w:r w:rsidRPr="003D07C6">
        <w:t xml:space="preserve">Please provide </w:t>
      </w:r>
      <w:r>
        <w:t xml:space="preserve">clarification on how the twenty </w:t>
      </w:r>
      <w:r w:rsidRPr="003D07C6">
        <w:t xml:space="preserve">four hour </w:t>
      </w:r>
      <w:r w:rsidR="00A54884">
        <w:t>(</w:t>
      </w:r>
      <w:r w:rsidR="00A54884" w:rsidRPr="00A54884">
        <w:t>TFH</w:t>
      </w:r>
      <w:r w:rsidR="00A54884">
        <w:t xml:space="preserve">) </w:t>
      </w:r>
      <w:r w:rsidR="00563F7A">
        <w:t>population subsets in S</w:t>
      </w:r>
      <w:r w:rsidRPr="003D07C6">
        <w:t>tudies DB2113361 and DB211337</w:t>
      </w:r>
      <w:r w:rsidR="00671DD7">
        <w:t>3 were selected.</w:t>
      </w:r>
    </w:p>
    <w:p w:rsidR="003331B8" w:rsidRPr="001F3A28" w:rsidRDefault="003331B8" w:rsidP="00D13EC4">
      <w:pPr>
        <w:pStyle w:val="Numberbullet0"/>
      </w:pPr>
      <w:r w:rsidRPr="001F3A28">
        <w:t xml:space="preserve">Please provide the baseline demographic and disease characteristics of the </w:t>
      </w:r>
      <w:r w:rsidR="00A54884" w:rsidRPr="00A54884">
        <w:t>TFH</w:t>
      </w:r>
      <w:r w:rsidR="00563F7A">
        <w:t xml:space="preserve"> population in S</w:t>
      </w:r>
      <w:r w:rsidRPr="001F3A28">
        <w:t>tudies DB2113361, DB2113373</w:t>
      </w:r>
      <w:r w:rsidR="00671DD7" w:rsidRPr="001F3A28">
        <w:t>.</w:t>
      </w:r>
    </w:p>
    <w:p w:rsidR="003331B8" w:rsidRPr="003D07C6" w:rsidRDefault="003331B8" w:rsidP="00D13EC4">
      <w:pPr>
        <w:pStyle w:val="Numberbullet0"/>
      </w:pPr>
      <w:r w:rsidRPr="003D07C6">
        <w:t>Please elaborate on th</w:t>
      </w:r>
      <w:r w:rsidR="00563F7A">
        <w:t>e sample size calculations for S</w:t>
      </w:r>
      <w:r w:rsidRPr="003D07C6">
        <w:t>tudies DB2113360 and DB2113374, with regards to the increased in the planned number of evaluable subjects in each arm from the calculated 111 to 146 subjects.</w:t>
      </w:r>
    </w:p>
    <w:p w:rsidR="00605AD4" w:rsidRPr="00605AD4" w:rsidRDefault="00605AD4" w:rsidP="00AA6872">
      <w:pPr>
        <w:pStyle w:val="Heading3"/>
        <w:rPr>
          <w:rFonts w:eastAsia="Cambria"/>
        </w:rPr>
      </w:pPr>
      <w:bookmarkStart w:id="122" w:name="_Toc420577615"/>
      <w:r w:rsidRPr="00605AD4">
        <w:rPr>
          <w:rFonts w:eastAsia="Cambria"/>
        </w:rPr>
        <w:t xml:space="preserve">Second </w:t>
      </w:r>
      <w:r w:rsidR="00AA6872">
        <w:rPr>
          <w:rFonts w:eastAsia="Cambria"/>
        </w:rPr>
        <w:t>r</w:t>
      </w:r>
      <w:r w:rsidRPr="00605AD4">
        <w:rPr>
          <w:rFonts w:eastAsia="Cambria"/>
        </w:rPr>
        <w:t xml:space="preserve">ound </w:t>
      </w:r>
      <w:r w:rsidR="00AA6872">
        <w:rPr>
          <w:rFonts w:eastAsia="Cambria"/>
        </w:rPr>
        <w:t>e</w:t>
      </w:r>
      <w:r w:rsidRPr="00605AD4">
        <w:rPr>
          <w:rFonts w:eastAsia="Cambria"/>
        </w:rPr>
        <w:t xml:space="preserve">valuation of clinical data </w:t>
      </w:r>
      <w:r w:rsidRPr="00AA6872">
        <w:rPr>
          <w:rFonts w:eastAsia="Cambria"/>
        </w:rPr>
        <w:t>submitted</w:t>
      </w:r>
      <w:r w:rsidRPr="00605AD4">
        <w:rPr>
          <w:rFonts w:eastAsia="Cambria"/>
        </w:rPr>
        <w:t xml:space="preserve"> in response to questions</w:t>
      </w:r>
      <w:bookmarkEnd w:id="122"/>
    </w:p>
    <w:p w:rsidR="003331B8" w:rsidRPr="003D07C6" w:rsidRDefault="003331B8" w:rsidP="00D13EC4">
      <w:r w:rsidRPr="003D07C6">
        <w:t>Overall, the sponsor has adequately addressed all the questions posed in the first round of evaluation. In this section on the evaluation of the sponsor’s responses to the questions posed in the first round of evaluation, each question will be re-stated for ease of reference, followed by the evaluation.</w:t>
      </w:r>
    </w:p>
    <w:p w:rsidR="003331B8" w:rsidRPr="002B01FD" w:rsidRDefault="003331B8" w:rsidP="00AA6872">
      <w:pPr>
        <w:pStyle w:val="Heading4"/>
      </w:pPr>
      <w:r w:rsidRPr="002B01FD">
        <w:t xml:space="preserve">Question </w:t>
      </w:r>
      <w:r w:rsidR="00E065AE" w:rsidRPr="002B01FD">
        <w:t>1</w:t>
      </w:r>
    </w:p>
    <w:p w:rsidR="003331B8" w:rsidRPr="003D07C6" w:rsidRDefault="003331B8" w:rsidP="002B01FD">
      <w:r w:rsidRPr="003D07C6">
        <w:t xml:space="preserve">Please provide </w:t>
      </w:r>
      <w:r>
        <w:t xml:space="preserve">clarification on how the twenty </w:t>
      </w:r>
      <w:r w:rsidRPr="003D07C6">
        <w:t>f</w:t>
      </w:r>
      <w:r w:rsidR="00563F7A">
        <w:t>our hour population subsets in S</w:t>
      </w:r>
      <w:r w:rsidRPr="003D07C6">
        <w:t>tudies</w:t>
      </w:r>
      <w:r w:rsidR="00671DD7">
        <w:t xml:space="preserve"> </w:t>
      </w:r>
      <w:r w:rsidRPr="003D07C6">
        <w:t>DB2113361 and DB2113373 were selected.</w:t>
      </w:r>
    </w:p>
    <w:p w:rsidR="003331B8" w:rsidRPr="003D07C6" w:rsidRDefault="003331B8" w:rsidP="002B01FD">
      <w:r w:rsidRPr="003D07C6">
        <w:t>The sponsor p</w:t>
      </w:r>
      <w:r>
        <w:t xml:space="preserve">rovided explanation that subset </w:t>
      </w:r>
      <w:r w:rsidRPr="003D07C6">
        <w:t>specific inve</w:t>
      </w:r>
      <w:r w:rsidR="00563F7A">
        <w:t>stigational sites were used in S</w:t>
      </w:r>
      <w:r w:rsidRPr="003D07C6">
        <w:t xml:space="preserve">tudies DB2113373 and DB2113361 in order to limit selection bias. A feasibility analysis was conducted to identify sites with the ability to conduct 24 hour serial spirometry assessments. The majority of these subset sites were restricted to enrolling all patients into the </w:t>
      </w:r>
      <w:r w:rsidR="00563F7A">
        <w:t>TFH</w:t>
      </w:r>
      <w:r w:rsidRPr="003D07C6">
        <w:t xml:space="preserve"> subset, and this reduced selection bias as there was no option for them t</w:t>
      </w:r>
      <w:r>
        <w:t xml:space="preserve">o enrol a patient into the non </w:t>
      </w:r>
      <w:r w:rsidRPr="003D07C6">
        <w:t xml:space="preserve">subset group. In </w:t>
      </w:r>
      <w:r w:rsidR="00A96E8F">
        <w:t>Study</w:t>
      </w:r>
      <w:r w:rsidRPr="003D07C6">
        <w:t xml:space="preserve"> DB2113361, nine of the 14 sites (65%) that enrol</w:t>
      </w:r>
      <w:r>
        <w:t xml:space="preserve">led subset patients were subset </w:t>
      </w:r>
      <w:r w:rsidRPr="003D07C6">
        <w:t xml:space="preserve">specific and in </w:t>
      </w:r>
      <w:r w:rsidR="00A96E8F">
        <w:t>Study</w:t>
      </w:r>
      <w:r w:rsidRPr="003D07C6">
        <w:t xml:space="preserve"> DB2113373, nine of the 13 sites (69%) were subset</w:t>
      </w:r>
      <w:r>
        <w:t xml:space="preserve"> </w:t>
      </w:r>
      <w:r w:rsidRPr="003D07C6">
        <w:t>specific. Overall, the majority of patients in the 2</w:t>
      </w:r>
      <w:r>
        <w:t>4 hour</w:t>
      </w:r>
      <w:r w:rsidRPr="003D07C6">
        <w:t xml:space="preserve"> sub</w:t>
      </w:r>
      <w:r>
        <w:t xml:space="preserve">set were enrolled at the subset specific sites (subset </w:t>
      </w:r>
      <w:r w:rsidRPr="003D07C6">
        <w:t xml:space="preserve">specific sites enrolled 165 of 199 (83%) of subset subjects in </w:t>
      </w:r>
      <w:r w:rsidR="00A96E8F">
        <w:t>Study</w:t>
      </w:r>
      <w:r w:rsidRPr="003D07C6">
        <w:t xml:space="preserve"> DB2113361 and 155 of 197 (79%) of subset subjects in </w:t>
      </w:r>
      <w:r w:rsidR="00A96E8F">
        <w:t>Study</w:t>
      </w:r>
      <w:r w:rsidRPr="003D07C6">
        <w:t xml:space="preserve"> DB21133373), thus minimising the risk of selection bias.</w:t>
      </w:r>
    </w:p>
    <w:p w:rsidR="003331B8" w:rsidRPr="003D07C6" w:rsidRDefault="003331B8" w:rsidP="002B01FD">
      <w:r w:rsidRPr="003D07C6">
        <w:t>The sponsor’s response to this question has not resulted in any changes to the conclusions of the first round of evaluation.</w:t>
      </w:r>
    </w:p>
    <w:p w:rsidR="003331B8" w:rsidRPr="002B01FD" w:rsidRDefault="00E065AE" w:rsidP="00AA6872">
      <w:pPr>
        <w:pStyle w:val="Heading4"/>
      </w:pPr>
      <w:r w:rsidRPr="002B01FD">
        <w:t>Question 2</w:t>
      </w:r>
    </w:p>
    <w:p w:rsidR="003331B8" w:rsidRPr="003D07C6" w:rsidRDefault="003331B8" w:rsidP="002B01FD">
      <w:r w:rsidRPr="003D07C6">
        <w:t>Please provide the baseline demographic and disease cha</w:t>
      </w:r>
      <w:r w:rsidR="00B73028">
        <w:t>racteristics of the twenty four</w:t>
      </w:r>
      <w:r w:rsidRPr="003D07C6">
        <w:t xml:space="preserve"> hour population in studies DB2113361, DB2113373.</w:t>
      </w:r>
    </w:p>
    <w:p w:rsidR="000E558C" w:rsidRDefault="003331B8" w:rsidP="002B01FD">
      <w:r w:rsidRPr="003D07C6">
        <w:t>The sponsor provided the baseline demographics, COPD history, smoking history, and screening lung function</w:t>
      </w:r>
      <w:r w:rsidR="00E065AE">
        <w:t xml:space="preserve"> and ICS use of the </w:t>
      </w:r>
      <w:r w:rsidR="00A54884" w:rsidRPr="00A54884">
        <w:t>TFH</w:t>
      </w:r>
      <w:r w:rsidRPr="003D07C6">
        <w:t xml:space="preserve"> populations in studies DB2113361 and DB2113373. The baseline demographic and disease char</w:t>
      </w:r>
      <w:r w:rsidR="00E065AE">
        <w:t xml:space="preserve">acteristics for the </w:t>
      </w:r>
      <w:r w:rsidR="00A54884" w:rsidRPr="00A54884">
        <w:t>TFH</w:t>
      </w:r>
      <w:r w:rsidRPr="003D07C6">
        <w:t xml:space="preserve"> populations in these studies were generally comp</w:t>
      </w:r>
      <w:r w:rsidR="00B41D3A">
        <w:t>arable across treatment groups.</w:t>
      </w:r>
    </w:p>
    <w:p w:rsidR="003331B8" w:rsidRDefault="003331B8" w:rsidP="002B01FD">
      <w:r w:rsidRPr="003D07C6">
        <w:t>The sponsor’s response to this question has not resulted in any changes to the conclusions of the first round of evaluation.</w:t>
      </w:r>
    </w:p>
    <w:p w:rsidR="003331B8" w:rsidRPr="003D07C6" w:rsidRDefault="00E065AE" w:rsidP="00AA6872">
      <w:pPr>
        <w:pStyle w:val="Heading4"/>
      </w:pPr>
      <w:r>
        <w:lastRenderedPageBreak/>
        <w:t>Question 3</w:t>
      </w:r>
    </w:p>
    <w:p w:rsidR="003331B8" w:rsidRPr="003D07C6" w:rsidRDefault="003331B8" w:rsidP="002B01FD">
      <w:r w:rsidRPr="003D07C6">
        <w:t>Please elaborate on the sample size calculations for studies DB2113360 and DB2113374, with regards to the increase in the planned number of evaluable subjects in each arm from the calculated 111 to 146 subjects.</w:t>
      </w:r>
    </w:p>
    <w:p w:rsidR="003331B8" w:rsidRPr="003D07C6" w:rsidRDefault="003331B8" w:rsidP="002B01FD">
      <w:r w:rsidRPr="003D07C6">
        <w:t>The sponsor clarified that the increase in sample size was due to the need to maintain the conditional power for the comparisons in the meta-analysis at approximately 90%. For the comparison of eac</w:t>
      </w:r>
      <w:r w:rsidR="003476A7">
        <w:t>h UMEC/VI dose with TIO</w:t>
      </w:r>
      <w:r w:rsidRPr="003D07C6">
        <w:t xml:space="preserve"> for the endpoint of TDI in the meta-analysis, statistical inference was conditional on having achieved statistical significance on the comparison of that dose with TIO on the individual study primary endpoint of trough FEV1 on Day 169 in each individual study, as determined by the specific testing hierarchy within each study. The power for the meta-analysis comparisons was thus affected by the fact that prior comparisons were required to be performed in the individual studies. In order to maintain the conditional power for the comparisons in the meta-analysis at approximately 90%, it was necessary to increase the power for the comparisons in the individual studies and hence increase the sample size in each treatment arm.</w:t>
      </w:r>
    </w:p>
    <w:p w:rsidR="003331B8" w:rsidRPr="003D07C6" w:rsidRDefault="001F3A28" w:rsidP="002B01FD">
      <w:r w:rsidRPr="001F3A28">
        <w:t>Increasing the sample size to 146 subjects per arm pr</w:t>
      </w:r>
      <w:r>
        <w:t>ovided 98% power to detect a</w:t>
      </w:r>
      <w:r w:rsidRPr="001F3A28">
        <w:t xml:space="preserve"> </w:t>
      </w:r>
      <w:r w:rsidR="003331B8" w:rsidRPr="003D07C6">
        <w:t>100</w:t>
      </w:r>
      <w:r>
        <w:t> </w:t>
      </w:r>
      <w:r w:rsidR="00F705C7">
        <w:t>mL</w:t>
      </w:r>
      <w:r w:rsidR="003331B8" w:rsidRPr="003D07C6">
        <w:t xml:space="preserve"> difference in trough FEV1 between treatment groups in each study and 96% power to detect a difference of 1 unit in TDI in the combined analysis. This gave conditional power for the comparison of UMEC/VI 125/25 </w:t>
      </w:r>
      <w:r w:rsidR="00B73028" w:rsidRPr="00B73028">
        <w:t xml:space="preserve">µg </w:t>
      </w:r>
      <w:r w:rsidR="003331B8" w:rsidRPr="003D07C6">
        <w:t xml:space="preserve">with TIO for TDI of 92% and conditional power for the comparison of UMEC/VI 62.5/25 </w:t>
      </w:r>
      <w:r w:rsidR="00B73028" w:rsidRPr="00B73028">
        <w:t xml:space="preserve">µg </w:t>
      </w:r>
      <w:r w:rsidR="003331B8" w:rsidRPr="003D07C6">
        <w:t>with TIO for TDI of 89%.</w:t>
      </w:r>
    </w:p>
    <w:p w:rsidR="00605AD4" w:rsidRPr="00605AD4" w:rsidRDefault="00605AD4" w:rsidP="002B01FD">
      <w:pPr>
        <w:pStyle w:val="Heading3"/>
        <w:rPr>
          <w:rFonts w:eastAsia="Cambria"/>
        </w:rPr>
      </w:pPr>
      <w:bookmarkStart w:id="123" w:name="_Toc420577616"/>
      <w:r w:rsidRPr="00605AD4">
        <w:rPr>
          <w:rFonts w:eastAsia="Cambria"/>
        </w:rPr>
        <w:t xml:space="preserve">Second </w:t>
      </w:r>
      <w:r w:rsidR="00B41D3A">
        <w:rPr>
          <w:rFonts w:eastAsia="Cambria"/>
        </w:rPr>
        <w:t>r</w:t>
      </w:r>
      <w:r w:rsidRPr="00605AD4">
        <w:rPr>
          <w:rFonts w:eastAsia="Cambria"/>
        </w:rPr>
        <w:t xml:space="preserve">ound </w:t>
      </w:r>
      <w:r w:rsidR="00B41D3A">
        <w:rPr>
          <w:rFonts w:eastAsia="Cambria"/>
        </w:rPr>
        <w:t>b</w:t>
      </w:r>
      <w:r w:rsidRPr="00605AD4">
        <w:rPr>
          <w:rFonts w:eastAsia="Cambria"/>
        </w:rPr>
        <w:t>enefit-</w:t>
      </w:r>
      <w:r w:rsidR="00B41D3A">
        <w:rPr>
          <w:rFonts w:eastAsia="Cambria"/>
        </w:rPr>
        <w:t>r</w:t>
      </w:r>
      <w:r w:rsidRPr="00605AD4">
        <w:rPr>
          <w:rFonts w:eastAsia="Cambria"/>
        </w:rPr>
        <w:t xml:space="preserve">isk </w:t>
      </w:r>
      <w:r w:rsidR="00B41D3A">
        <w:rPr>
          <w:rFonts w:eastAsia="Cambria"/>
        </w:rPr>
        <w:t>a</w:t>
      </w:r>
      <w:r w:rsidRPr="00605AD4">
        <w:rPr>
          <w:rFonts w:eastAsia="Cambria"/>
        </w:rPr>
        <w:t>ssessment</w:t>
      </w:r>
      <w:bookmarkEnd w:id="123"/>
    </w:p>
    <w:p w:rsidR="003331B8" w:rsidRPr="003D07C6" w:rsidRDefault="003331B8" w:rsidP="002B01FD">
      <w:pPr>
        <w:pStyle w:val="Heading4"/>
      </w:pPr>
      <w:bookmarkStart w:id="124" w:name="_Toc272414709"/>
      <w:bookmarkStart w:id="125" w:name="_Toc290846349"/>
      <w:bookmarkStart w:id="126" w:name="_Toc376461217"/>
      <w:r w:rsidRPr="003D07C6">
        <w:t>Second round assessment of benefits</w:t>
      </w:r>
      <w:bookmarkEnd w:id="124"/>
      <w:bookmarkEnd w:id="125"/>
      <w:bookmarkEnd w:id="126"/>
    </w:p>
    <w:p w:rsidR="003331B8" w:rsidRPr="0066300F" w:rsidRDefault="003331B8" w:rsidP="002B01FD">
      <w:r w:rsidRPr="003D07C6">
        <w:t xml:space="preserve">After consideration of the responses to clinical questions, the benefits of UMEC/VI in the proposed usage are unchanged from those </w:t>
      </w:r>
      <w:r w:rsidRPr="0066300F">
        <w:t xml:space="preserve">identified </w:t>
      </w:r>
      <w:r w:rsidR="0066300F" w:rsidRPr="0066300F">
        <w:t>the first round assessment.</w:t>
      </w:r>
    </w:p>
    <w:p w:rsidR="003331B8" w:rsidRPr="003D07C6" w:rsidRDefault="003331B8" w:rsidP="002B01FD">
      <w:pPr>
        <w:pStyle w:val="Heading4"/>
      </w:pPr>
      <w:bookmarkStart w:id="127" w:name="_Toc376461218"/>
      <w:r w:rsidRPr="003D07C6">
        <w:t>Second round assessment of risks</w:t>
      </w:r>
      <w:bookmarkEnd w:id="127"/>
    </w:p>
    <w:p w:rsidR="003331B8" w:rsidRPr="0066300F" w:rsidRDefault="003331B8" w:rsidP="002B01FD">
      <w:r w:rsidRPr="003D07C6">
        <w:t xml:space="preserve">After consideration of the responses to clinical questions, the risks of UMEC/VI in the proposed usage are unchanged from those </w:t>
      </w:r>
      <w:r w:rsidRPr="0066300F">
        <w:t xml:space="preserve">identified </w:t>
      </w:r>
      <w:r w:rsidR="0066300F" w:rsidRPr="0066300F">
        <w:t>the first round assessment</w:t>
      </w:r>
      <w:r w:rsidRPr="0066300F">
        <w:t>.</w:t>
      </w:r>
    </w:p>
    <w:p w:rsidR="003331B8" w:rsidRPr="003D07C6" w:rsidRDefault="003331B8" w:rsidP="002B01FD">
      <w:pPr>
        <w:pStyle w:val="Heading4"/>
      </w:pPr>
      <w:bookmarkStart w:id="128" w:name="_Toc376461219"/>
      <w:r w:rsidRPr="003D07C6">
        <w:t>Second round assessment of benefit-risk balance</w:t>
      </w:r>
      <w:bookmarkEnd w:id="128"/>
    </w:p>
    <w:p w:rsidR="003331B8" w:rsidRPr="00586F98" w:rsidRDefault="003331B8" w:rsidP="002B01FD">
      <w:r w:rsidRPr="003D07C6">
        <w:t>The benefit-risk balance of UMEC/VI, given the</w:t>
      </w:r>
      <w:r>
        <w:t xml:space="preserve"> proposed usage, is favourable.</w:t>
      </w:r>
    </w:p>
    <w:p w:rsidR="003331B8" w:rsidRDefault="003331B8" w:rsidP="002B01FD">
      <w:pPr>
        <w:pStyle w:val="Heading3"/>
      </w:pPr>
      <w:bookmarkStart w:id="129" w:name="_Toc356306164"/>
      <w:bookmarkStart w:id="130" w:name="_Toc420577617"/>
      <w:r>
        <w:t>Second round recommendation regarding authorisation</w:t>
      </w:r>
      <w:bookmarkEnd w:id="129"/>
      <w:bookmarkEnd w:id="130"/>
    </w:p>
    <w:p w:rsidR="00605AD4" w:rsidRPr="000E558C" w:rsidRDefault="003331B8" w:rsidP="002B01FD">
      <w:pPr>
        <w:rPr>
          <w:rFonts w:eastAsia="SimSun"/>
          <w:lang w:val="en-US" w:eastAsia="zh-CN"/>
        </w:rPr>
      </w:pPr>
      <w:r w:rsidRPr="004B6D57">
        <w:t xml:space="preserve">It is recommended that the application for the registration of UMEC/VI 62.5/25 </w:t>
      </w:r>
      <w:r>
        <w:t>µg</w:t>
      </w:r>
      <w:r w:rsidRPr="004B6D57">
        <w:t xml:space="preserve"> and 125/25 </w:t>
      </w:r>
      <w:r>
        <w:t>µg</w:t>
      </w:r>
      <w:r w:rsidR="001F3A28">
        <w:rPr>
          <w:rStyle w:val="FootnoteReference"/>
        </w:rPr>
        <w:footnoteReference w:id="19"/>
      </w:r>
      <w:r w:rsidRPr="004B6D57">
        <w:t xml:space="preserve"> as a </w:t>
      </w:r>
      <w:r>
        <w:t>long term</w:t>
      </w:r>
      <w:r w:rsidRPr="004B6D57">
        <w:t xml:space="preserve"> </w:t>
      </w:r>
      <w:r w:rsidR="001A50F1" w:rsidRPr="001A50F1">
        <w:t>once daily</w:t>
      </w:r>
      <w:r w:rsidRPr="004B6D57">
        <w:t xml:space="preserve"> maintenance bronchodilator treatment to relieve symptoms in adult patients with COPD be approved.</w:t>
      </w:r>
    </w:p>
    <w:p w:rsidR="008E7846" w:rsidRPr="00E41208" w:rsidRDefault="008E7846" w:rsidP="002B01FD">
      <w:pPr>
        <w:pStyle w:val="Heading2"/>
      </w:pPr>
      <w:bookmarkStart w:id="131" w:name="_Toc420577618"/>
      <w:r w:rsidRPr="00E41208">
        <w:lastRenderedPageBreak/>
        <w:t xml:space="preserve">V. Pharmacovigilance </w:t>
      </w:r>
      <w:r>
        <w:t>f</w:t>
      </w:r>
      <w:r w:rsidRPr="00E41208">
        <w:t>indings</w:t>
      </w:r>
      <w:bookmarkEnd w:id="109"/>
      <w:bookmarkEnd w:id="110"/>
      <w:bookmarkEnd w:id="131"/>
    </w:p>
    <w:p w:rsidR="008E7846" w:rsidRDefault="00386150" w:rsidP="002B01FD">
      <w:pPr>
        <w:pStyle w:val="Heading3"/>
        <w:rPr>
          <w:lang w:eastAsia="en-AU"/>
        </w:rPr>
      </w:pPr>
      <w:bookmarkStart w:id="132" w:name="_Toc247691526"/>
      <w:bookmarkStart w:id="133" w:name="_Toc314842509"/>
      <w:bookmarkStart w:id="134" w:name="_Toc420577619"/>
      <w:r>
        <w:rPr>
          <w:lang w:eastAsia="en-AU"/>
        </w:rPr>
        <w:t>Risk m</w:t>
      </w:r>
      <w:r w:rsidR="008E7846">
        <w:rPr>
          <w:lang w:eastAsia="en-AU"/>
        </w:rPr>
        <w:t xml:space="preserve">anagement </w:t>
      </w:r>
      <w:r>
        <w:rPr>
          <w:lang w:eastAsia="en-AU"/>
        </w:rPr>
        <w:t>p</w:t>
      </w:r>
      <w:r w:rsidR="008E7846">
        <w:rPr>
          <w:lang w:eastAsia="en-AU"/>
        </w:rPr>
        <w:t>lan</w:t>
      </w:r>
      <w:bookmarkEnd w:id="132"/>
      <w:bookmarkEnd w:id="133"/>
      <w:bookmarkEnd w:id="134"/>
    </w:p>
    <w:p w:rsidR="00E140E4" w:rsidRDefault="008E7846" w:rsidP="002B01FD">
      <w:pPr>
        <w:rPr>
          <w:lang w:eastAsia="en-AU"/>
        </w:rPr>
      </w:pPr>
      <w:r>
        <w:rPr>
          <w:lang w:eastAsia="en-AU"/>
        </w:rPr>
        <w:t>The sponsor submitted a Risk Management Plan</w:t>
      </w:r>
      <w:r w:rsidR="001F3A28">
        <w:rPr>
          <w:lang w:eastAsia="en-AU"/>
        </w:rPr>
        <w:t>,</w:t>
      </w:r>
      <w:r w:rsidR="006F25B8">
        <w:rPr>
          <w:lang w:eastAsia="en-AU"/>
        </w:rPr>
        <w:t xml:space="preserve"> </w:t>
      </w:r>
      <w:r w:rsidR="00092BA4" w:rsidRPr="00092BA4">
        <w:rPr>
          <w:lang w:eastAsia="en-AU"/>
        </w:rPr>
        <w:t xml:space="preserve">EU-RMP </w:t>
      </w:r>
      <w:r w:rsidR="00092BA4" w:rsidRPr="00092BA4">
        <w:rPr>
          <w:iCs/>
          <w:lang w:eastAsia="en-AU"/>
        </w:rPr>
        <w:t xml:space="preserve">Version 1.0, dated </w:t>
      </w:r>
      <w:r w:rsidR="00092BA4" w:rsidRPr="00092BA4">
        <w:rPr>
          <w:lang w:eastAsia="en-AU"/>
        </w:rPr>
        <w:t>5 December 2012,</w:t>
      </w:r>
      <w:r w:rsidR="00092BA4" w:rsidRPr="00092BA4">
        <w:rPr>
          <w:iCs/>
          <w:lang w:eastAsia="en-AU"/>
        </w:rPr>
        <w:t xml:space="preserve"> with an Australian Specific Annex (ASA) Version: 1.0 (undated)</w:t>
      </w:r>
      <w:r w:rsidR="001F3A28">
        <w:rPr>
          <w:iCs/>
          <w:lang w:eastAsia="en-AU"/>
        </w:rPr>
        <w:t>,</w:t>
      </w:r>
      <w:r w:rsidR="00092BA4">
        <w:rPr>
          <w:lang w:eastAsia="en-AU"/>
        </w:rPr>
        <w:t xml:space="preserve"> </w:t>
      </w:r>
      <w:r>
        <w:rPr>
          <w:lang w:eastAsia="en-AU"/>
        </w:rPr>
        <w:t xml:space="preserve">which was reviewed by the TGA’s </w:t>
      </w:r>
      <w:r w:rsidR="00C30B75">
        <w:rPr>
          <w:lang w:eastAsia="en-AU"/>
        </w:rPr>
        <w:t>Post-Market Surveillance Branch (PMSB).</w:t>
      </w:r>
    </w:p>
    <w:p w:rsidR="008E7846" w:rsidRDefault="003A7F6C" w:rsidP="002B01FD">
      <w:pPr>
        <w:pStyle w:val="Heading4"/>
        <w:rPr>
          <w:lang w:eastAsia="en-AU"/>
        </w:rPr>
      </w:pPr>
      <w:r>
        <w:rPr>
          <w:lang w:eastAsia="en-AU"/>
        </w:rPr>
        <w:t>Safety s</w:t>
      </w:r>
      <w:r w:rsidR="008E7846">
        <w:rPr>
          <w:lang w:eastAsia="en-AU"/>
        </w:rPr>
        <w:t>pecification</w:t>
      </w:r>
    </w:p>
    <w:p w:rsidR="00E140E4" w:rsidRDefault="008E7846" w:rsidP="002B01FD">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onc</w:t>
      </w:r>
      <w:r w:rsidR="00042F57">
        <w:rPr>
          <w:lang w:eastAsia="en-AU"/>
        </w:rPr>
        <w:t>erns which are shown in Table 8.</w:t>
      </w:r>
    </w:p>
    <w:p w:rsidR="00042F57" w:rsidRDefault="00042F57" w:rsidP="002B01FD">
      <w:pPr>
        <w:pStyle w:val="Tabletitle0"/>
        <w:rPr>
          <w:lang w:eastAsia="en-AU"/>
        </w:rPr>
      </w:pPr>
      <w:proofErr w:type="gramStart"/>
      <w:r>
        <w:rPr>
          <w:lang w:eastAsia="en-AU"/>
        </w:rPr>
        <w:t>Table 8.</w:t>
      </w:r>
      <w:proofErr w:type="gramEnd"/>
      <w:r>
        <w:rPr>
          <w:lang w:eastAsia="en-AU"/>
        </w:rPr>
        <w:t xml:space="preserve"> Summary of ongoing safety concerns.</w:t>
      </w:r>
    </w:p>
    <w:tbl>
      <w:tblPr>
        <w:tblStyle w:val="TableTGAblue"/>
        <w:tblW w:w="0" w:type="auto"/>
        <w:tblLook w:val="04A0" w:firstRow="1" w:lastRow="0" w:firstColumn="1" w:lastColumn="0" w:noHBand="0" w:noVBand="1"/>
      </w:tblPr>
      <w:tblGrid>
        <w:gridCol w:w="3510"/>
        <w:gridCol w:w="5210"/>
      </w:tblGrid>
      <w:tr w:rsidR="00E065AE" w:rsidTr="002B01FD">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E065AE" w:rsidRDefault="00E065AE" w:rsidP="002B01FD">
            <w:r>
              <w:t>Summary of safety concerns</w:t>
            </w:r>
          </w:p>
        </w:tc>
      </w:tr>
      <w:tr w:rsidR="00E065AE" w:rsidTr="002B01FD">
        <w:tc>
          <w:tcPr>
            <w:tcW w:w="3510" w:type="dxa"/>
          </w:tcPr>
          <w:p w:rsidR="00E065AE" w:rsidRDefault="00E065AE" w:rsidP="002B01FD">
            <w:r>
              <w:t>Important identified risks</w:t>
            </w:r>
          </w:p>
        </w:tc>
        <w:tc>
          <w:tcPr>
            <w:tcW w:w="5210" w:type="dxa"/>
          </w:tcPr>
          <w:p w:rsidR="00E065AE" w:rsidRDefault="00E065AE" w:rsidP="002B01FD">
            <w:r>
              <w:t>None identified</w:t>
            </w:r>
          </w:p>
        </w:tc>
      </w:tr>
      <w:tr w:rsidR="00E065AE" w:rsidTr="002B01FD">
        <w:tc>
          <w:tcPr>
            <w:tcW w:w="3510" w:type="dxa"/>
            <w:vMerge w:val="restart"/>
          </w:tcPr>
          <w:p w:rsidR="00E065AE" w:rsidRDefault="00E065AE" w:rsidP="002B01FD">
            <w:r>
              <w:t>Important potential risks</w:t>
            </w:r>
          </w:p>
        </w:tc>
        <w:tc>
          <w:tcPr>
            <w:tcW w:w="5210" w:type="dxa"/>
          </w:tcPr>
          <w:p w:rsidR="00E065AE" w:rsidRDefault="00E065AE" w:rsidP="002B01FD">
            <w:r>
              <w:t>Cardiac Disorders</w:t>
            </w:r>
          </w:p>
        </w:tc>
      </w:tr>
      <w:tr w:rsidR="00E065AE" w:rsidTr="002B01FD">
        <w:tc>
          <w:tcPr>
            <w:tcW w:w="3510" w:type="dxa"/>
            <w:vMerge/>
          </w:tcPr>
          <w:p w:rsidR="00E065AE" w:rsidRDefault="00E065AE" w:rsidP="002B01FD"/>
        </w:tc>
        <w:tc>
          <w:tcPr>
            <w:tcW w:w="5210" w:type="dxa"/>
          </w:tcPr>
          <w:p w:rsidR="00E065AE" w:rsidRDefault="00B73028" w:rsidP="002B01FD">
            <w:r>
              <w:t xml:space="preserve">Asthma </w:t>
            </w:r>
            <w:r w:rsidR="00E065AE">
              <w:t>related intubations and deaths</w:t>
            </w:r>
          </w:p>
        </w:tc>
      </w:tr>
      <w:tr w:rsidR="00945508" w:rsidTr="002B01FD">
        <w:tc>
          <w:tcPr>
            <w:tcW w:w="3510" w:type="dxa"/>
            <w:vMerge w:val="restart"/>
          </w:tcPr>
          <w:p w:rsidR="00945508" w:rsidRDefault="00945508" w:rsidP="002B01FD">
            <w:r>
              <w:t>Important missing information</w:t>
            </w:r>
          </w:p>
        </w:tc>
        <w:tc>
          <w:tcPr>
            <w:tcW w:w="5210" w:type="dxa"/>
          </w:tcPr>
          <w:p w:rsidR="00945508" w:rsidRDefault="00945508" w:rsidP="002B01FD">
            <w:r>
              <w:t>Safety in pregnancy and lactation</w:t>
            </w:r>
          </w:p>
        </w:tc>
      </w:tr>
      <w:tr w:rsidR="00945508" w:rsidTr="002B01FD">
        <w:tc>
          <w:tcPr>
            <w:tcW w:w="3510" w:type="dxa"/>
            <w:vMerge/>
          </w:tcPr>
          <w:p w:rsidR="00945508" w:rsidRDefault="00945508" w:rsidP="002B01FD"/>
        </w:tc>
        <w:tc>
          <w:tcPr>
            <w:tcW w:w="5210" w:type="dxa"/>
          </w:tcPr>
          <w:p w:rsidR="00945508" w:rsidRDefault="00B73028" w:rsidP="002B01FD">
            <w:r>
              <w:t xml:space="preserve">Off </w:t>
            </w:r>
            <w:r w:rsidR="00945508">
              <w:t>label use in Asthma (including paediatric use)</w:t>
            </w:r>
          </w:p>
        </w:tc>
      </w:tr>
    </w:tbl>
    <w:p w:rsidR="008E7846" w:rsidRDefault="008E7846" w:rsidP="002B01FD">
      <w:pPr>
        <w:pStyle w:val="Heading4"/>
        <w:rPr>
          <w:lang w:eastAsia="en-AU"/>
        </w:rPr>
      </w:pPr>
      <w:r>
        <w:rPr>
          <w:lang w:eastAsia="en-AU"/>
        </w:rPr>
        <w:t xml:space="preserve">Pharmacovigilance </w:t>
      </w:r>
      <w:r w:rsidR="003A7F6C">
        <w:rPr>
          <w:lang w:eastAsia="en-AU"/>
        </w:rPr>
        <w:t>p</w:t>
      </w:r>
      <w:r>
        <w:rPr>
          <w:lang w:eastAsia="en-AU"/>
        </w:rPr>
        <w:t>lan</w:t>
      </w:r>
    </w:p>
    <w:p w:rsidR="00D90179" w:rsidRPr="00C30B75" w:rsidRDefault="00D90179" w:rsidP="002B01FD">
      <w:r w:rsidRPr="00C30B75">
        <w:t>The sponsor proposes routine pharmacovigilance activities to monitor all the spe</w:t>
      </w:r>
      <w:r w:rsidR="00671DD7" w:rsidRPr="00C30B75">
        <w:t>cified ongoing safety concerns.</w:t>
      </w:r>
    </w:p>
    <w:p w:rsidR="00D90179" w:rsidRDefault="00D90179" w:rsidP="002B01FD">
      <w:pPr>
        <w:rPr>
          <w:rFonts w:eastAsia="ArialNarrow"/>
        </w:rPr>
      </w:pPr>
      <w:r>
        <w:t>Furthermore the sponsor proposes to further monitor and characterise the important potential risk: ‘Cardiac Disorders’ and the important missing informa</w:t>
      </w:r>
      <w:r w:rsidRPr="005A79B3">
        <w:t>tion: ‘</w:t>
      </w:r>
      <w:r w:rsidR="00B73028">
        <w:rPr>
          <w:rFonts w:eastAsia="ArialNarrow"/>
        </w:rPr>
        <w:t xml:space="preserve">Off </w:t>
      </w:r>
      <w:r w:rsidRPr="005A79B3">
        <w:rPr>
          <w:rFonts w:eastAsia="ArialNarrow"/>
        </w:rPr>
        <w:t>label use in Asthma (including paediatric use)</w:t>
      </w:r>
      <w:r>
        <w:rPr>
          <w:rFonts w:eastAsia="ArialNarrow"/>
        </w:rPr>
        <w:t>’ in the following manner:</w:t>
      </w:r>
    </w:p>
    <w:p w:rsidR="00D90179" w:rsidRDefault="00D90179" w:rsidP="002B01FD">
      <w:pPr>
        <w:pStyle w:val="ListBullet"/>
      </w:pPr>
      <w:r>
        <w:t>Assessment of co-</w:t>
      </w:r>
      <w:r w:rsidR="002F321A">
        <w:t>morbidities</w:t>
      </w:r>
      <w:r>
        <w:t xml:space="preserve"> in COPD in European symptomatic subjects from primary care (ACCESS) which will provide information on the background risks for cardiovascular events in the COPD population and will address the safe</w:t>
      </w:r>
      <w:r w:rsidR="00945508">
        <w:t xml:space="preserve">ty concerns related to cardiac </w:t>
      </w:r>
      <w:r>
        <w:t>disorders.</w:t>
      </w:r>
    </w:p>
    <w:p w:rsidR="00D90179" w:rsidRDefault="00945508" w:rsidP="002B01FD">
      <w:pPr>
        <w:pStyle w:val="ListBullet"/>
      </w:pPr>
      <w:r>
        <w:t xml:space="preserve">An interventional post </w:t>
      </w:r>
      <w:r w:rsidR="00D90179">
        <w:t>authorisation safety observational cohort study to quantify the incidence of selected cardiovascular endpoints in COPD patients using inhaled UMEC/VI. This study will quantify the incidence of cardiovascular events of interest after the start of exposure to UMEC/VI in the licensed indication, in the post marketing setting to address safety concerns related to cardiac disorders.</w:t>
      </w:r>
    </w:p>
    <w:p w:rsidR="00D90179" w:rsidRPr="00510094" w:rsidRDefault="004F2D2F" w:rsidP="002B01FD">
      <w:pPr>
        <w:pStyle w:val="ListBullet"/>
      </w:pPr>
      <w:r>
        <w:t>WEUSKOP6679: Drug utilisation study of new users of inhaled UMEC</w:t>
      </w:r>
      <w:r w:rsidR="00945508">
        <w:t>/VI in the primary care setting</w:t>
      </w:r>
      <w:r>
        <w:t xml:space="preserve">: </w:t>
      </w:r>
      <w:r w:rsidR="00A54884" w:rsidRPr="00A54884">
        <w:t xml:space="preserve">United Kingdom </w:t>
      </w:r>
      <w:r w:rsidR="00A54884">
        <w:t>(</w:t>
      </w:r>
      <w:r>
        <w:t>UK</w:t>
      </w:r>
      <w:r w:rsidR="00A54884">
        <w:t>)</w:t>
      </w:r>
      <w:r>
        <w:t xml:space="preserve"> Clinical Practice Research Datalink (CPRD) study. The study has the primary aim to describe the characteristics of new users of UMEC/VI compared to the total population of COPD patients in the CPRD. The secondary aim of the study is to </w:t>
      </w:r>
      <w:r w:rsidR="002F321A">
        <w:t>quantify</w:t>
      </w:r>
      <w:r>
        <w:t xml:space="preserve"> the disease burden of COPD and to estimate the incidence of outcomes of interest among new users of </w:t>
      </w:r>
      <w:r w:rsidR="00510094">
        <w:t xml:space="preserve">UMEC/VI and new users of </w:t>
      </w:r>
      <w:r w:rsidR="003476A7">
        <w:t>TIO</w:t>
      </w:r>
      <w:r w:rsidR="00945508">
        <w:t> </w:t>
      </w:r>
      <w:proofErr w:type="spellStart"/>
      <w:r w:rsidR="00510094">
        <w:t>Handihaler</w:t>
      </w:r>
      <w:proofErr w:type="spellEnd"/>
      <w:r w:rsidR="00510094">
        <w:t>). This is to a</w:t>
      </w:r>
      <w:r w:rsidR="00945508">
        <w:t xml:space="preserve">ddress the safety issues of off </w:t>
      </w:r>
      <w:r w:rsidR="00510094">
        <w:t>label use and cardiac disorders.</w:t>
      </w:r>
    </w:p>
    <w:p w:rsidR="008E7846" w:rsidRDefault="008E7846" w:rsidP="002B01FD">
      <w:pPr>
        <w:pStyle w:val="Heading4"/>
        <w:rPr>
          <w:lang w:eastAsia="en-AU"/>
        </w:rPr>
      </w:pPr>
      <w:r>
        <w:rPr>
          <w:lang w:eastAsia="en-AU"/>
        </w:rPr>
        <w:lastRenderedPageBreak/>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90179" w:rsidRPr="00BF1B2D" w:rsidRDefault="00D90179" w:rsidP="002B01FD">
      <w:bookmarkStart w:id="135" w:name="_Toc247691527"/>
      <w:r w:rsidRPr="00BF1B2D">
        <w:t xml:space="preserve">The sponsor has concluded that routine risk minimisation activities for all the specified ongoing </w:t>
      </w:r>
      <w:r>
        <w:t>safety concerns are sufficient</w:t>
      </w:r>
      <w:r w:rsidR="00671DD7">
        <w:t>.</w:t>
      </w:r>
    </w:p>
    <w:p w:rsidR="00D90179" w:rsidRDefault="00C30B75" w:rsidP="002B01FD">
      <w:pPr>
        <w:ind w:left="284"/>
      </w:pPr>
      <w:r w:rsidRPr="00C30B75">
        <w:rPr>
          <w:b/>
          <w:i/>
        </w:rPr>
        <w:t>PMSB</w:t>
      </w:r>
      <w:r w:rsidR="00945508">
        <w:rPr>
          <w:b/>
          <w:i/>
        </w:rPr>
        <w:t xml:space="preserve"> reviewer comment:</w:t>
      </w:r>
      <w:r w:rsidR="002B01FD">
        <w:rPr>
          <w:b/>
          <w:i/>
        </w:rPr>
        <w:t xml:space="preserve"> </w:t>
      </w:r>
      <w:r w:rsidR="00D90179">
        <w:t>It is agreed t</w:t>
      </w:r>
      <w:r w:rsidR="00D90179" w:rsidRPr="00BF1B2D">
        <w:t>he specified ongoing safety concerns would not appear to warrant additional risk minimisation activities</w:t>
      </w:r>
      <w:r w:rsidR="00D90179">
        <w:t>.</w:t>
      </w:r>
    </w:p>
    <w:p w:rsidR="006F25B8" w:rsidRDefault="00D90179" w:rsidP="002B01FD">
      <w:pPr>
        <w:rPr>
          <w:lang w:eastAsia="en-AU"/>
        </w:rPr>
      </w:pPr>
      <w:r w:rsidRPr="00D90179">
        <w:rPr>
          <w:lang w:eastAsia="en-AU"/>
        </w:rPr>
        <w:t>Routine risk minimisation activities will include precautionary statements and notification of undesirable effects in the Australian PI for all the specified ongoing safety concerns.</w:t>
      </w:r>
    </w:p>
    <w:p w:rsidR="00510094" w:rsidRDefault="006F25B8" w:rsidP="002B01FD">
      <w:pPr>
        <w:pStyle w:val="Heading4"/>
        <w:rPr>
          <w:lang w:eastAsia="en-AU"/>
        </w:rPr>
      </w:pPr>
      <w:r w:rsidRPr="006F25B8">
        <w:rPr>
          <w:lang w:eastAsia="en-AU"/>
        </w:rPr>
        <w:t>Reconciliation of is</w:t>
      </w:r>
      <w:r w:rsidR="00945508">
        <w:rPr>
          <w:lang w:eastAsia="en-AU"/>
        </w:rPr>
        <w:t>sues outlined in the RMP report</w:t>
      </w:r>
    </w:p>
    <w:p w:rsidR="006F25B8" w:rsidRDefault="006F25B8" w:rsidP="002B01FD">
      <w:pPr>
        <w:rPr>
          <w:lang w:eastAsia="en-AU"/>
        </w:rPr>
      </w:pPr>
      <w:r>
        <w:rPr>
          <w:lang w:eastAsia="en-AU"/>
        </w:rPr>
        <w:t>Tabl</w:t>
      </w:r>
      <w:r w:rsidR="00042F57">
        <w:rPr>
          <w:lang w:eastAsia="en-AU"/>
        </w:rPr>
        <w:t>e 9</w:t>
      </w:r>
      <w:r>
        <w:rPr>
          <w:lang w:eastAsia="en-AU"/>
        </w:rPr>
        <w:t xml:space="preserve"> summarises the </w:t>
      </w:r>
      <w:r w:rsidR="00E90B5C" w:rsidRPr="00E90B5C">
        <w:rPr>
          <w:lang w:eastAsia="en-AU"/>
        </w:rPr>
        <w:t>PMSB</w:t>
      </w:r>
      <w:r>
        <w:rPr>
          <w:lang w:eastAsia="en-AU"/>
        </w:rPr>
        <w:t xml:space="preserve">’s first round evaluation of the RMP, the sponsor’s responses to issues raised by the </w:t>
      </w:r>
      <w:r w:rsidR="00E90B5C" w:rsidRPr="00E90B5C">
        <w:rPr>
          <w:lang w:eastAsia="en-AU"/>
        </w:rPr>
        <w:t>PMSB</w:t>
      </w:r>
      <w:r>
        <w:rPr>
          <w:lang w:eastAsia="en-AU"/>
        </w:rPr>
        <w:t xml:space="preserve"> and the </w:t>
      </w:r>
      <w:r w:rsidR="00E90B5C" w:rsidRPr="00E90B5C">
        <w:rPr>
          <w:lang w:eastAsia="en-AU"/>
        </w:rPr>
        <w:t>PMSB</w:t>
      </w:r>
      <w:r>
        <w:rPr>
          <w:lang w:eastAsia="en-AU"/>
        </w:rPr>
        <w:t>’s evaluat</w:t>
      </w:r>
      <w:r w:rsidR="00042F57">
        <w:rPr>
          <w:lang w:eastAsia="en-AU"/>
        </w:rPr>
        <w:t>ion of the sponsor’s responses.</w:t>
      </w:r>
    </w:p>
    <w:p w:rsidR="00510094" w:rsidRDefault="00042F57" w:rsidP="002B01FD">
      <w:pPr>
        <w:pStyle w:val="Tabletitle0"/>
        <w:rPr>
          <w:lang w:eastAsia="en-AU"/>
        </w:rPr>
      </w:pPr>
      <w:proofErr w:type="gramStart"/>
      <w:r>
        <w:rPr>
          <w:lang w:eastAsia="en-AU"/>
        </w:rPr>
        <w:t>Table 9</w:t>
      </w:r>
      <w:r w:rsidR="00510094">
        <w:rPr>
          <w:lang w:eastAsia="en-AU"/>
        </w:rPr>
        <w:t>.</w:t>
      </w:r>
      <w:proofErr w:type="gramEnd"/>
      <w:r w:rsidR="00510094">
        <w:rPr>
          <w:lang w:eastAsia="en-AU"/>
        </w:rPr>
        <w:t xml:space="preserve"> </w:t>
      </w:r>
      <w:r w:rsidR="002F321A">
        <w:rPr>
          <w:lang w:eastAsia="en-AU"/>
        </w:rPr>
        <w:t>Reconciliation</w:t>
      </w:r>
      <w:r w:rsidR="00510094">
        <w:rPr>
          <w:lang w:eastAsia="en-AU"/>
        </w:rPr>
        <w:t xml:space="preserve"> of issues outlined in the RMP report.</w:t>
      </w:r>
    </w:p>
    <w:tbl>
      <w:tblPr>
        <w:tblStyle w:val="TableTGAblue"/>
        <w:tblW w:w="4758" w:type="pct"/>
        <w:tblLayout w:type="fixed"/>
        <w:tblLook w:val="04A0" w:firstRow="1" w:lastRow="0" w:firstColumn="1" w:lastColumn="0" w:noHBand="0" w:noVBand="1"/>
      </w:tblPr>
      <w:tblGrid>
        <w:gridCol w:w="3188"/>
        <w:gridCol w:w="2735"/>
        <w:gridCol w:w="2375"/>
      </w:tblGrid>
      <w:tr w:rsidR="00510094" w:rsidRPr="00107999" w:rsidTr="002B01FD">
        <w:trPr>
          <w:cnfStyle w:val="100000000000" w:firstRow="1" w:lastRow="0" w:firstColumn="0" w:lastColumn="0" w:oddVBand="0" w:evenVBand="0" w:oddHBand="0" w:evenHBand="0" w:firstRowFirstColumn="0" w:firstRowLastColumn="0" w:lastRowFirstColumn="0" w:lastRowLastColumn="0"/>
        </w:trPr>
        <w:tc>
          <w:tcPr>
            <w:tcW w:w="1921" w:type="pct"/>
            <w:noWrap/>
          </w:tcPr>
          <w:p w:rsidR="00510094" w:rsidRPr="00107999" w:rsidRDefault="00510094" w:rsidP="002B01FD">
            <w:r w:rsidRPr="00107999">
              <w:t>Recommendation in RMP evaluation report</w:t>
            </w:r>
          </w:p>
        </w:tc>
        <w:tc>
          <w:tcPr>
            <w:tcW w:w="1648" w:type="pct"/>
            <w:noWrap/>
          </w:tcPr>
          <w:p w:rsidR="00510094" w:rsidRPr="00945508" w:rsidRDefault="00510094" w:rsidP="002B01FD">
            <w:pPr>
              <w:rPr>
                <w:b w:val="0"/>
              </w:rPr>
            </w:pPr>
            <w:r w:rsidRPr="00107999">
              <w:t>Sponsor’s response</w:t>
            </w:r>
          </w:p>
        </w:tc>
        <w:tc>
          <w:tcPr>
            <w:tcW w:w="1431" w:type="pct"/>
            <w:noWrap/>
          </w:tcPr>
          <w:p w:rsidR="00510094" w:rsidRPr="00107999" w:rsidRDefault="00B73028" w:rsidP="002B01FD">
            <w:r>
              <w:t>PSMB</w:t>
            </w:r>
            <w:r w:rsidR="00510094" w:rsidRPr="00107999">
              <w:t xml:space="preserve"> evaluator’s comment</w:t>
            </w:r>
          </w:p>
        </w:tc>
      </w:tr>
      <w:tr w:rsidR="00510094" w:rsidRPr="00107999" w:rsidTr="002B01FD">
        <w:trPr>
          <w:trHeight w:val="442"/>
        </w:trPr>
        <w:tc>
          <w:tcPr>
            <w:tcW w:w="1921" w:type="pct"/>
            <w:noWrap/>
          </w:tcPr>
          <w:p w:rsidR="00510094" w:rsidRPr="00C37669" w:rsidRDefault="00510094" w:rsidP="002B01FD">
            <w:r w:rsidRPr="00293CB9">
              <w:t xml:space="preserve">The </w:t>
            </w:r>
            <w:r w:rsidRPr="008F2C24">
              <w:t xml:space="preserve">important potential risk: ‘Cardiac Disorders’ is a broad term, although the EU-RMP states that only the </w:t>
            </w:r>
            <w:proofErr w:type="spellStart"/>
            <w:r w:rsidRPr="008F2C24">
              <w:t>MedDRA</w:t>
            </w:r>
            <w:proofErr w:type="spellEnd"/>
            <w:r w:rsidR="006E24B0">
              <w:rPr>
                <w:rStyle w:val="FootnoteReference"/>
              </w:rPr>
              <w:footnoteReference w:id="20"/>
            </w:r>
            <w:r w:rsidRPr="008F2C24">
              <w:t xml:space="preserve"> term Cardiac arrhythmia SMQ</w:t>
            </w:r>
            <w:r w:rsidR="00E90B5C">
              <w:rPr>
                <w:rStyle w:val="FootnoteReference"/>
              </w:rPr>
              <w:footnoteReference w:id="21"/>
            </w:r>
            <w:r w:rsidRPr="008F2C24">
              <w:t xml:space="preserve"> is used to monitor this ongoing safety concern. Consequently it is suggested that it be replaced by the important potential risks: ‘Cardiac arrhythmias’ (</w:t>
            </w:r>
            <w:proofErr w:type="spellStart"/>
            <w:r w:rsidRPr="008F2C24">
              <w:t>MedDRA</w:t>
            </w:r>
            <w:proofErr w:type="spellEnd"/>
            <w:r w:rsidRPr="008F2C24">
              <w:t xml:space="preserve"> term Cardiac arrhythmias SMQ); ‘Myocardial infarction’ (</w:t>
            </w:r>
            <w:proofErr w:type="spellStart"/>
            <w:r w:rsidRPr="008F2C24">
              <w:t>MedDRA</w:t>
            </w:r>
            <w:proofErr w:type="spellEnd"/>
            <w:r w:rsidRPr="008F2C24">
              <w:t xml:space="preserve"> term Myocardial infarction SMQ – narrow); and ‘Cardiac failure’ (</w:t>
            </w:r>
            <w:proofErr w:type="spellStart"/>
            <w:r w:rsidRPr="008F2C24">
              <w:t>MedDRA</w:t>
            </w:r>
            <w:proofErr w:type="spellEnd"/>
            <w:r w:rsidRPr="008F2C24">
              <w:t xml:space="preserve"> term Cardiac failure SMQ – nar</w:t>
            </w:r>
            <w:r w:rsidR="002B01FD">
              <w:t>row).</w:t>
            </w:r>
          </w:p>
        </w:tc>
        <w:tc>
          <w:tcPr>
            <w:tcW w:w="1648" w:type="pct"/>
            <w:noWrap/>
          </w:tcPr>
          <w:p w:rsidR="00510094" w:rsidRPr="008F2C24" w:rsidRDefault="00510094" w:rsidP="002B01FD">
            <w:pPr>
              <w:rPr>
                <w:rFonts w:eastAsia="MS Mincho"/>
              </w:rPr>
            </w:pPr>
            <w:r>
              <w:t xml:space="preserve">The </w:t>
            </w:r>
            <w:r w:rsidRPr="008F2C24">
              <w:t xml:space="preserve">following </w:t>
            </w:r>
            <w:proofErr w:type="spellStart"/>
            <w:r w:rsidRPr="008F2C24">
              <w:t>MedDRA</w:t>
            </w:r>
            <w:proofErr w:type="spellEnd"/>
            <w:r w:rsidRPr="008F2C24">
              <w:t xml:space="preserve"> terms have been included to assess the potential risk of cardio- and cerebrovascular disorders in the UMEC/VI EU RMP: ‘Cardiac arrhythmias’ (</w:t>
            </w:r>
            <w:proofErr w:type="spellStart"/>
            <w:r w:rsidRPr="008F2C24">
              <w:t>MedDRA</w:t>
            </w:r>
            <w:proofErr w:type="spellEnd"/>
            <w:r w:rsidRPr="008F2C24">
              <w:t xml:space="preserve"> term Cardiac arrhythmias SMQ), ‘Cardiac failure’ (</w:t>
            </w:r>
            <w:proofErr w:type="spellStart"/>
            <w:r w:rsidRPr="008F2C24">
              <w:t>MedDRA</w:t>
            </w:r>
            <w:proofErr w:type="spellEnd"/>
            <w:r w:rsidRPr="008F2C24">
              <w:t xml:space="preserve"> term Cardiac Failure SMQ), Cardiac </w:t>
            </w:r>
            <w:proofErr w:type="spellStart"/>
            <w:r w:rsidRPr="008F2C24">
              <w:t>Ischaemia</w:t>
            </w:r>
            <w:proofErr w:type="spellEnd"/>
            <w:r w:rsidRPr="008F2C24">
              <w:t xml:space="preserve"> (</w:t>
            </w:r>
            <w:proofErr w:type="spellStart"/>
            <w:r w:rsidRPr="008F2C24">
              <w:t>MedDRA</w:t>
            </w:r>
            <w:proofErr w:type="spellEnd"/>
            <w:r w:rsidRPr="008F2C24">
              <w:t xml:space="preserve"> terms Myocardial Infarction SMQ, Other Ischaemic Heart Disease SMQ), ‘Stroke’ (</w:t>
            </w:r>
            <w:proofErr w:type="spellStart"/>
            <w:r w:rsidRPr="008F2C24">
              <w:t>MedDRA</w:t>
            </w:r>
            <w:proofErr w:type="spellEnd"/>
            <w:r w:rsidRPr="008F2C24">
              <w:t xml:space="preserve"> terms </w:t>
            </w:r>
            <w:r w:rsidR="00CF6510">
              <w:t>CNS</w:t>
            </w:r>
            <w:r w:rsidRPr="008F2C24">
              <w:t xml:space="preserve"> haemorrhages and cerebrovascular conditions SMQ).</w:t>
            </w:r>
          </w:p>
        </w:tc>
        <w:tc>
          <w:tcPr>
            <w:tcW w:w="1431" w:type="pct"/>
            <w:noWrap/>
          </w:tcPr>
          <w:p w:rsidR="00510094" w:rsidRPr="00107999" w:rsidRDefault="00510094" w:rsidP="002B01FD">
            <w:r>
              <w:t>This is acceptable.</w:t>
            </w:r>
          </w:p>
        </w:tc>
      </w:tr>
      <w:tr w:rsidR="00510094" w:rsidRPr="00107999" w:rsidTr="002B01FD">
        <w:trPr>
          <w:trHeight w:val="913"/>
        </w:trPr>
        <w:tc>
          <w:tcPr>
            <w:tcW w:w="1921" w:type="pct"/>
            <w:noWrap/>
          </w:tcPr>
          <w:p w:rsidR="00510094" w:rsidRPr="00BB70EA" w:rsidRDefault="00510094" w:rsidP="002B01FD">
            <w:r w:rsidRPr="008F2C24">
              <w:t xml:space="preserve">The </w:t>
            </w:r>
            <w:r w:rsidRPr="00BB70EA">
              <w:t xml:space="preserve">draft </w:t>
            </w:r>
            <w:r w:rsidR="00042F57">
              <w:t>PI</w:t>
            </w:r>
            <w:r w:rsidRPr="00BB70EA">
              <w:t xml:space="preserve"> states: </w:t>
            </w:r>
            <w:r w:rsidRPr="00BB70EA">
              <w:rPr>
                <w:i/>
              </w:rPr>
              <w:t xml:space="preserve">“Consistent with its </w:t>
            </w:r>
            <w:proofErr w:type="spellStart"/>
            <w:r w:rsidRPr="00BB70EA">
              <w:rPr>
                <w:i/>
              </w:rPr>
              <w:t>antimuscarinic</w:t>
            </w:r>
            <w:proofErr w:type="spellEnd"/>
            <w:r w:rsidRPr="00BB70EA">
              <w:rPr>
                <w:i/>
              </w:rPr>
              <w:t xml:space="preserve"> activity, </w:t>
            </w:r>
            <w:proofErr w:type="spellStart"/>
            <w:r w:rsidRPr="00BB70EA">
              <w:rPr>
                <w:i/>
              </w:rPr>
              <w:t>Anoro</w:t>
            </w:r>
            <w:proofErr w:type="spellEnd"/>
            <w:r w:rsidRPr="00BB70EA">
              <w:rPr>
                <w:i/>
              </w:rPr>
              <w:t xml:space="preserve"> </w:t>
            </w:r>
            <w:proofErr w:type="spellStart"/>
            <w:r w:rsidRPr="00BB70EA">
              <w:rPr>
                <w:i/>
              </w:rPr>
              <w:t>Ellipta</w:t>
            </w:r>
            <w:proofErr w:type="spellEnd"/>
            <w:r w:rsidRPr="00BB70EA">
              <w:rPr>
                <w:i/>
              </w:rPr>
              <w:t xml:space="preserve"> should be used with caution in patients with narrow-angle glaucoma or urinary </w:t>
            </w:r>
            <w:r w:rsidRPr="00BB70EA">
              <w:rPr>
                <w:i/>
              </w:rPr>
              <w:lastRenderedPageBreak/>
              <w:t>retention.”</w:t>
            </w:r>
            <w:r w:rsidR="00042F57">
              <w:t xml:space="preserve"> </w:t>
            </w:r>
            <w:r w:rsidRPr="00BB70EA">
              <w:t xml:space="preserve">In addition the </w:t>
            </w:r>
            <w:r w:rsidR="00E15359" w:rsidRPr="00E15359">
              <w:rPr>
                <w:color w:val="auto"/>
              </w:rPr>
              <w:t xml:space="preserve">safety </w:t>
            </w:r>
            <w:proofErr w:type="gramStart"/>
            <w:r w:rsidR="00090C84">
              <w:rPr>
                <w:color w:val="auto"/>
              </w:rPr>
              <w:t>specifications (SS)</w:t>
            </w:r>
            <w:r w:rsidRPr="00E15359">
              <w:rPr>
                <w:color w:val="auto"/>
              </w:rPr>
              <w:t xml:space="preserve"> </w:t>
            </w:r>
            <w:r w:rsidRPr="00BB70EA">
              <w:t>of the EU-RMP refers</w:t>
            </w:r>
            <w:proofErr w:type="gramEnd"/>
            <w:r w:rsidRPr="00BB70EA">
              <w:t xml:space="preserve"> to ‘Anti-cholinergic effects’ as an important pharmaco</w:t>
            </w:r>
            <w:r w:rsidR="00042F57">
              <w:t xml:space="preserve">logical class effect for LAMA. </w:t>
            </w:r>
            <w:r w:rsidRPr="00BB70EA">
              <w:t>Consequently it is suggested that ‘Narrow-angle glaucoma’ and ‘Urinary retention/bladder obstruction’ should be included as important potential risks.</w:t>
            </w:r>
          </w:p>
        </w:tc>
        <w:tc>
          <w:tcPr>
            <w:tcW w:w="1648" w:type="pct"/>
            <w:noWrap/>
          </w:tcPr>
          <w:p w:rsidR="00510094" w:rsidRPr="005C5F32" w:rsidRDefault="00510094" w:rsidP="002B01FD">
            <w:pPr>
              <w:rPr>
                <w:rFonts w:eastAsia="MS Mincho"/>
              </w:rPr>
            </w:pPr>
            <w:r w:rsidRPr="00BB70EA">
              <w:lastRenderedPageBreak/>
              <w:t>‘Narrow-angle glaucoma’ and ‘Urinary retention/bladder outflow obstruction’ have been included as important po</w:t>
            </w:r>
            <w:r>
              <w:t xml:space="preserve">tential risks in the UMEC/VI </w:t>
            </w:r>
            <w:r>
              <w:lastRenderedPageBreak/>
              <w:t>EU-</w:t>
            </w:r>
            <w:r w:rsidRPr="00BB70EA">
              <w:t>RMP.</w:t>
            </w:r>
          </w:p>
        </w:tc>
        <w:tc>
          <w:tcPr>
            <w:tcW w:w="1431" w:type="pct"/>
            <w:noWrap/>
          </w:tcPr>
          <w:p w:rsidR="00510094" w:rsidRPr="00107999" w:rsidRDefault="00510094" w:rsidP="002B01FD">
            <w:r>
              <w:lastRenderedPageBreak/>
              <w:t>This is acceptable.</w:t>
            </w:r>
          </w:p>
        </w:tc>
      </w:tr>
      <w:tr w:rsidR="00510094" w:rsidRPr="00A77873" w:rsidTr="002B01FD">
        <w:trPr>
          <w:trHeight w:val="2240"/>
        </w:trPr>
        <w:tc>
          <w:tcPr>
            <w:tcW w:w="1921" w:type="pct"/>
            <w:noWrap/>
          </w:tcPr>
          <w:p w:rsidR="00510094" w:rsidRPr="00A77873" w:rsidRDefault="00510094" w:rsidP="002B01FD">
            <w:pPr>
              <w:rPr>
                <w:rFonts w:eastAsia="MS Mincho"/>
              </w:rPr>
            </w:pPr>
            <w:r w:rsidRPr="00BB70EA">
              <w:lastRenderedPageBreak/>
              <w:t xml:space="preserve">The draft PI states: </w:t>
            </w:r>
            <w:r w:rsidRPr="00BB70EA">
              <w:rPr>
                <w:i/>
              </w:rPr>
              <w:t xml:space="preserve">“As with other inhalation therapies, administration of </w:t>
            </w:r>
            <w:proofErr w:type="spellStart"/>
            <w:r w:rsidRPr="00BB70EA">
              <w:rPr>
                <w:i/>
              </w:rPr>
              <w:t>Anoro</w:t>
            </w:r>
            <w:proofErr w:type="spellEnd"/>
            <w:r w:rsidRPr="00BB70EA">
              <w:rPr>
                <w:i/>
              </w:rPr>
              <w:t xml:space="preserve"> </w:t>
            </w:r>
            <w:proofErr w:type="spellStart"/>
            <w:r w:rsidRPr="00BB70EA">
              <w:rPr>
                <w:i/>
              </w:rPr>
              <w:t>Ellipta</w:t>
            </w:r>
            <w:proofErr w:type="spellEnd"/>
            <w:r w:rsidRPr="00BB70EA">
              <w:rPr>
                <w:i/>
              </w:rPr>
              <w:t xml:space="preserve"> may produce paradoxical bronchospasm that may </w:t>
            </w:r>
            <w:proofErr w:type="gramStart"/>
            <w:r w:rsidRPr="00BB70EA">
              <w:rPr>
                <w:i/>
              </w:rPr>
              <w:t>be</w:t>
            </w:r>
            <w:proofErr w:type="gramEnd"/>
            <w:r w:rsidRPr="00BB70EA">
              <w:rPr>
                <w:i/>
              </w:rPr>
              <w:t xml:space="preserve"> life threatening. Treatment with </w:t>
            </w:r>
            <w:proofErr w:type="spellStart"/>
            <w:r w:rsidRPr="00BB70EA">
              <w:rPr>
                <w:i/>
              </w:rPr>
              <w:t>Anoro</w:t>
            </w:r>
            <w:proofErr w:type="spellEnd"/>
            <w:r w:rsidRPr="00BB70EA">
              <w:rPr>
                <w:i/>
              </w:rPr>
              <w:t xml:space="preserve"> </w:t>
            </w:r>
            <w:proofErr w:type="spellStart"/>
            <w:r w:rsidRPr="00BB70EA">
              <w:rPr>
                <w:i/>
              </w:rPr>
              <w:t>Ellipta</w:t>
            </w:r>
            <w:proofErr w:type="spellEnd"/>
            <w:r w:rsidRPr="00BB70EA">
              <w:rPr>
                <w:i/>
              </w:rPr>
              <w:t xml:space="preserve"> should be discontinued if paradoxical bronchospasm occurs and alternative therapy instituted if necessary.”</w:t>
            </w:r>
            <w:r w:rsidRPr="00BB70EA">
              <w:t xml:space="preserve">  Consequently it is suggested that ‘Paradoxical bronchospasm’ should be included as an important potential risk.</w:t>
            </w:r>
          </w:p>
        </w:tc>
        <w:tc>
          <w:tcPr>
            <w:tcW w:w="1648" w:type="pct"/>
            <w:noWrap/>
          </w:tcPr>
          <w:p w:rsidR="00510094" w:rsidRPr="00BB70EA" w:rsidRDefault="00510094" w:rsidP="002B01FD">
            <w:r w:rsidRPr="00BB70EA">
              <w:t>‘Paradoxical bronchospasm (which may be life threatening)’ has been included as an important p</w:t>
            </w:r>
            <w:r>
              <w:t>otential risk in the UMEC/VI EU-</w:t>
            </w:r>
            <w:r w:rsidRPr="00BB70EA">
              <w:t>RMP.</w:t>
            </w:r>
          </w:p>
        </w:tc>
        <w:tc>
          <w:tcPr>
            <w:tcW w:w="1431" w:type="pct"/>
            <w:noWrap/>
          </w:tcPr>
          <w:p w:rsidR="00510094" w:rsidRPr="00A77873" w:rsidRDefault="00510094" w:rsidP="002B01FD">
            <w:r>
              <w:t>This is acceptable.</w:t>
            </w:r>
          </w:p>
        </w:tc>
      </w:tr>
      <w:tr w:rsidR="00510094" w:rsidRPr="00107999" w:rsidTr="002B01FD">
        <w:trPr>
          <w:trHeight w:val="1970"/>
        </w:trPr>
        <w:tc>
          <w:tcPr>
            <w:tcW w:w="1921" w:type="pct"/>
            <w:noWrap/>
          </w:tcPr>
          <w:p w:rsidR="00510094" w:rsidRPr="00BB70EA" w:rsidRDefault="00510094" w:rsidP="002B01FD">
            <w:pPr>
              <w:rPr>
                <w:rFonts w:eastAsia="ArialNarrow"/>
              </w:rPr>
            </w:pPr>
            <w:r w:rsidRPr="00BB70EA">
              <w:t>The SS</w:t>
            </w:r>
            <w:r w:rsidR="00E90B5C">
              <w:rPr>
                <w:rStyle w:val="FootnoteReference"/>
                <w:rFonts w:asciiTheme="minorHAnsi" w:hAnsiTheme="minorHAnsi"/>
              </w:rPr>
              <w:footnoteReference w:id="22"/>
            </w:r>
            <w:r w:rsidRPr="00BB70EA">
              <w:t xml:space="preserve"> of the EU-RMP refers to </w:t>
            </w:r>
            <w:r w:rsidRPr="00BB70EA">
              <w:rPr>
                <w:rFonts w:eastAsia="ArialNarrow"/>
              </w:rPr>
              <w:t xml:space="preserve">‘Hypokalaemia’, ‘Hyperglycaemia’ &amp; ‘Tremor’ </w:t>
            </w:r>
            <w:r w:rsidRPr="00BB70EA">
              <w:t xml:space="preserve">as important pharmacological class effects for LABA and </w:t>
            </w:r>
            <w:r w:rsidRPr="00BB70EA">
              <w:rPr>
                <w:rFonts w:eastAsia="ArialNarrow"/>
              </w:rPr>
              <w:t xml:space="preserve">routine pharmacovigilance activities will monitor </w:t>
            </w:r>
            <w:r w:rsidR="00042F57">
              <w:t xml:space="preserve">these effects. </w:t>
            </w:r>
            <w:r w:rsidRPr="00BB70EA">
              <w:t xml:space="preserve">Consequently it is suggested that </w:t>
            </w:r>
            <w:r w:rsidRPr="00BB70EA">
              <w:rPr>
                <w:rFonts w:eastAsia="ArialNarrow"/>
              </w:rPr>
              <w:t xml:space="preserve">‘Hypokalaemia’, ‘Hyperglycaemia’ &amp; ‘Tremor’ </w:t>
            </w:r>
            <w:r w:rsidRPr="00BB70EA">
              <w:t>should be included as important potential risks.</w:t>
            </w:r>
          </w:p>
        </w:tc>
        <w:tc>
          <w:tcPr>
            <w:tcW w:w="1648" w:type="pct"/>
            <w:noWrap/>
          </w:tcPr>
          <w:p w:rsidR="00510094" w:rsidRPr="00107999" w:rsidRDefault="00510094" w:rsidP="002B01FD">
            <w:r>
              <w:t>The sponsor has provided a justification based on clinical data to support the omission of ‘</w:t>
            </w:r>
            <w:r w:rsidRPr="00BB70EA">
              <w:rPr>
                <w:rFonts w:eastAsia="ArialNarrow"/>
              </w:rPr>
              <w:t>H</w:t>
            </w:r>
            <w:r>
              <w:rPr>
                <w:rFonts w:eastAsia="ArialNarrow"/>
              </w:rPr>
              <w:t>ypokalaemia’, ‘Hyperglycaemia’ or</w:t>
            </w:r>
            <w:r w:rsidRPr="00BB70EA">
              <w:rPr>
                <w:rFonts w:eastAsia="ArialNarrow"/>
              </w:rPr>
              <w:t xml:space="preserve"> ‘Tremor’ </w:t>
            </w:r>
            <w:r>
              <w:t xml:space="preserve">as </w:t>
            </w:r>
            <w:r w:rsidRPr="00BB70EA">
              <w:t>important potential risk</w:t>
            </w:r>
            <w:r>
              <w:t>s in the EU-</w:t>
            </w:r>
            <w:r w:rsidRPr="00BB70EA">
              <w:t>RMP.</w:t>
            </w:r>
          </w:p>
        </w:tc>
        <w:tc>
          <w:tcPr>
            <w:tcW w:w="1431" w:type="pct"/>
            <w:noWrap/>
          </w:tcPr>
          <w:p w:rsidR="00510094" w:rsidRPr="00107999" w:rsidRDefault="00510094" w:rsidP="002B01FD">
            <w:r>
              <w:t>This is acceptable and it is noted that this appears to have been accepted by the EMA.</w:t>
            </w:r>
          </w:p>
        </w:tc>
      </w:tr>
      <w:tr w:rsidR="00510094" w:rsidTr="002B01FD">
        <w:trPr>
          <w:trHeight w:val="771"/>
        </w:trPr>
        <w:tc>
          <w:tcPr>
            <w:tcW w:w="1921" w:type="pct"/>
            <w:noWrap/>
          </w:tcPr>
          <w:p w:rsidR="00510094" w:rsidRPr="00F61694" w:rsidRDefault="00510094" w:rsidP="002B01FD">
            <w:pPr>
              <w:rPr>
                <w:rFonts w:eastAsia="ArialNarrow"/>
              </w:rPr>
            </w:pPr>
            <w:r w:rsidRPr="00BB70EA">
              <w:lastRenderedPageBreak/>
              <w:t xml:space="preserve">The SS of the EU-RMP refers to </w:t>
            </w:r>
            <w:r w:rsidRPr="00BB70EA">
              <w:rPr>
                <w:rFonts w:eastAsia="ArialNarrow"/>
              </w:rPr>
              <w:t xml:space="preserve">‘Gastrointestinal obstruction’ </w:t>
            </w:r>
            <w:r w:rsidRPr="00BB70EA">
              <w:t xml:space="preserve">as an important pharmacological class effect for LAMA and </w:t>
            </w:r>
            <w:r w:rsidRPr="00BB70EA">
              <w:rPr>
                <w:rFonts w:eastAsia="ArialNarrow"/>
              </w:rPr>
              <w:t xml:space="preserve">routine pharmacovigilance activities will monitor </w:t>
            </w:r>
            <w:r w:rsidR="00042F57">
              <w:t xml:space="preserve">this effect. </w:t>
            </w:r>
            <w:r w:rsidRPr="00BB70EA">
              <w:t xml:space="preserve">Consequently it is suggested that </w:t>
            </w:r>
            <w:r w:rsidRPr="00BB70EA">
              <w:rPr>
                <w:rFonts w:eastAsia="ArialNarrow"/>
              </w:rPr>
              <w:t xml:space="preserve">‘Gastrointestinal obstruction’ </w:t>
            </w:r>
            <w:r w:rsidRPr="00BB70EA">
              <w:t>should be included as important potential risk.</w:t>
            </w:r>
          </w:p>
        </w:tc>
        <w:tc>
          <w:tcPr>
            <w:tcW w:w="1648" w:type="pct"/>
            <w:noWrap/>
          </w:tcPr>
          <w:p w:rsidR="00510094" w:rsidRDefault="00510094" w:rsidP="002B01FD">
            <w:r>
              <w:t xml:space="preserve">The sponsor has provided a justification based on clinical data to support the omission of </w:t>
            </w:r>
            <w:r w:rsidRPr="00BB70EA">
              <w:rPr>
                <w:rFonts w:eastAsia="ArialNarrow"/>
              </w:rPr>
              <w:t xml:space="preserve">‘Gastrointestinal obstruction’ </w:t>
            </w:r>
            <w:r>
              <w:t xml:space="preserve">as an </w:t>
            </w:r>
            <w:r w:rsidRPr="00BB70EA">
              <w:t>important potential risk in the EU</w:t>
            </w:r>
            <w:r>
              <w:t>-</w:t>
            </w:r>
            <w:r w:rsidRPr="00BB70EA">
              <w:t>RMP.</w:t>
            </w:r>
          </w:p>
        </w:tc>
        <w:tc>
          <w:tcPr>
            <w:tcW w:w="1431" w:type="pct"/>
            <w:noWrap/>
          </w:tcPr>
          <w:p w:rsidR="00510094" w:rsidRDefault="00510094" w:rsidP="002B01FD">
            <w:r>
              <w:t>This is acceptable and it is noted that this appears to have been accepted by the EMA.</w:t>
            </w:r>
          </w:p>
        </w:tc>
      </w:tr>
      <w:tr w:rsidR="00510094" w:rsidTr="002B01FD">
        <w:trPr>
          <w:trHeight w:val="867"/>
        </w:trPr>
        <w:tc>
          <w:tcPr>
            <w:tcW w:w="1921" w:type="pct"/>
            <w:noWrap/>
          </w:tcPr>
          <w:p w:rsidR="00510094" w:rsidRPr="00BB70EA" w:rsidRDefault="00510094" w:rsidP="002B01FD">
            <w:r w:rsidRPr="00F61694">
              <w:t xml:space="preserve">The draft PI states: </w:t>
            </w:r>
            <w:r w:rsidRPr="00F61694">
              <w:rPr>
                <w:i/>
              </w:rPr>
              <w:t>“</w:t>
            </w:r>
            <w:proofErr w:type="spellStart"/>
            <w:r w:rsidRPr="00F61694">
              <w:rPr>
                <w:i/>
              </w:rPr>
              <w:t>Anoro</w:t>
            </w:r>
            <w:proofErr w:type="spellEnd"/>
            <w:r w:rsidRPr="00F61694">
              <w:rPr>
                <w:i/>
              </w:rPr>
              <w:t xml:space="preserve"> </w:t>
            </w:r>
            <w:proofErr w:type="spellStart"/>
            <w:r w:rsidRPr="00F61694">
              <w:rPr>
                <w:i/>
              </w:rPr>
              <w:t>Ellipta</w:t>
            </w:r>
            <w:proofErr w:type="spellEnd"/>
            <w:r w:rsidRPr="00F61694">
              <w:rPr>
                <w:i/>
              </w:rPr>
              <w:t xml:space="preserve"> has not been studied in patients with severe hepatic impairment (see </w:t>
            </w:r>
            <w:r w:rsidR="006D08A2">
              <w:rPr>
                <w:i/>
              </w:rPr>
              <w:t>PK</w:t>
            </w:r>
            <w:r w:rsidRPr="00F61694">
              <w:rPr>
                <w:i/>
              </w:rPr>
              <w:t>s – Special Patient Populations).”</w:t>
            </w:r>
            <w:r w:rsidR="00042F57">
              <w:t xml:space="preserve"> </w:t>
            </w:r>
            <w:r w:rsidRPr="00F61694">
              <w:t>Consequently it is suggested that ‘Use in patients with</w:t>
            </w:r>
            <w:r w:rsidRPr="00F61694">
              <w:rPr>
                <w:i/>
              </w:rPr>
              <w:t xml:space="preserve"> </w:t>
            </w:r>
            <w:r w:rsidRPr="00F61694">
              <w:t>severe hepatic impairment’ should be included as important missing information.</w:t>
            </w:r>
          </w:p>
        </w:tc>
        <w:tc>
          <w:tcPr>
            <w:tcW w:w="1648" w:type="pct"/>
            <w:noWrap/>
          </w:tcPr>
          <w:p w:rsidR="00510094" w:rsidRPr="00F61694" w:rsidRDefault="00510094" w:rsidP="002B01FD">
            <w:r w:rsidRPr="00F61694">
              <w:t>‘Safety in subjects with severe hepatic impairment’ has been included as missing inform</w:t>
            </w:r>
            <w:r>
              <w:t>ation in the updated UMEC/VI EU-</w:t>
            </w:r>
            <w:r w:rsidRPr="00F61694">
              <w:t>RMP.</w:t>
            </w:r>
          </w:p>
        </w:tc>
        <w:tc>
          <w:tcPr>
            <w:tcW w:w="1431" w:type="pct"/>
            <w:noWrap/>
          </w:tcPr>
          <w:p w:rsidR="00510094" w:rsidRDefault="00510094" w:rsidP="002B01FD">
            <w:r>
              <w:t>This is acceptable.</w:t>
            </w:r>
          </w:p>
        </w:tc>
      </w:tr>
      <w:tr w:rsidR="00510094" w:rsidTr="002B01FD">
        <w:trPr>
          <w:trHeight w:val="1403"/>
        </w:trPr>
        <w:tc>
          <w:tcPr>
            <w:tcW w:w="1921" w:type="pct"/>
            <w:noWrap/>
          </w:tcPr>
          <w:p w:rsidR="00510094" w:rsidRPr="00BB70EA" w:rsidRDefault="00510094" w:rsidP="002B01FD">
            <w:r w:rsidRPr="00F61694">
              <w:t xml:space="preserve">The draft PI states: </w:t>
            </w:r>
            <w:r w:rsidRPr="00F61694">
              <w:rPr>
                <w:i/>
              </w:rPr>
              <w:t xml:space="preserve">“In a long-term safety study, 335 subjects were treated for up to 12 months with </w:t>
            </w:r>
            <w:proofErr w:type="spellStart"/>
            <w:r w:rsidRPr="00F61694">
              <w:rPr>
                <w:i/>
              </w:rPr>
              <w:t>Anoro</w:t>
            </w:r>
            <w:proofErr w:type="spellEnd"/>
            <w:r w:rsidRPr="00F61694">
              <w:rPr>
                <w:i/>
              </w:rPr>
              <w:t xml:space="preserve"> </w:t>
            </w:r>
            <w:proofErr w:type="spellStart"/>
            <w:r w:rsidRPr="00F61694">
              <w:rPr>
                <w:i/>
              </w:rPr>
              <w:t>Ellipta</w:t>
            </w:r>
            <w:proofErr w:type="spellEnd"/>
            <w:r w:rsidRPr="00F61694">
              <w:rPr>
                <w:i/>
              </w:rPr>
              <w:t xml:space="preserve"> 125/25 </w:t>
            </w:r>
            <w:r w:rsidR="00FC0A6F">
              <w:rPr>
                <w:i/>
              </w:rPr>
              <w:t>µg</w:t>
            </w:r>
            <w:r w:rsidRPr="00F61694">
              <w:rPr>
                <w:i/>
              </w:rPr>
              <w:t xml:space="preserve"> or placebo.”</w:t>
            </w:r>
            <w:r w:rsidR="00042F57">
              <w:t xml:space="preserve"> </w:t>
            </w:r>
            <w:r w:rsidRPr="00F61694">
              <w:t>Consequently it is suggested that ‘Long-term safety data’ should be included as important missing information.</w:t>
            </w:r>
          </w:p>
        </w:tc>
        <w:tc>
          <w:tcPr>
            <w:tcW w:w="1648" w:type="pct"/>
            <w:noWrap/>
          </w:tcPr>
          <w:p w:rsidR="00510094" w:rsidRPr="00F61694" w:rsidRDefault="00510094" w:rsidP="002B01FD">
            <w:r w:rsidRPr="00F61694">
              <w:t>‘Safety in long term use’ has been included as missing inform</w:t>
            </w:r>
            <w:r>
              <w:t>ation in the updated UMEC/VI EU-</w:t>
            </w:r>
            <w:r w:rsidRPr="00F61694">
              <w:t>RMP.</w:t>
            </w:r>
          </w:p>
        </w:tc>
        <w:tc>
          <w:tcPr>
            <w:tcW w:w="1431" w:type="pct"/>
            <w:noWrap/>
          </w:tcPr>
          <w:p w:rsidR="00510094" w:rsidRDefault="00510094" w:rsidP="002B01FD">
            <w:r>
              <w:t>This is acceptable.</w:t>
            </w:r>
          </w:p>
        </w:tc>
      </w:tr>
      <w:tr w:rsidR="00510094" w:rsidTr="002B01FD">
        <w:trPr>
          <w:trHeight w:val="2975"/>
        </w:trPr>
        <w:tc>
          <w:tcPr>
            <w:tcW w:w="1921" w:type="pct"/>
            <w:noWrap/>
          </w:tcPr>
          <w:p w:rsidR="00510094" w:rsidRPr="00F61694" w:rsidRDefault="00510094" w:rsidP="002B01FD">
            <w:r w:rsidRPr="00F61694">
              <w:t xml:space="preserve">If the sponsor decides to include these ongoing safety concerns in Australia for </w:t>
            </w:r>
            <w:proofErr w:type="spellStart"/>
            <w:r w:rsidRPr="00F61694">
              <w:t>A</w:t>
            </w:r>
            <w:r w:rsidR="00042F57" w:rsidRPr="00F61694">
              <w:t>noro</w:t>
            </w:r>
            <w:proofErr w:type="spellEnd"/>
            <w:r w:rsidRPr="00F61694">
              <w:t xml:space="preserve"> </w:t>
            </w:r>
            <w:proofErr w:type="spellStart"/>
            <w:r w:rsidRPr="00F61694">
              <w:t>E</w:t>
            </w:r>
            <w:r w:rsidR="00042F57" w:rsidRPr="00F61694">
              <w:t>llipta</w:t>
            </w:r>
            <w:proofErr w:type="spellEnd"/>
            <w:r w:rsidRPr="00F61694">
              <w:t xml:space="preserve"> then consideration must be given as to what pharmacovigilance and risk minimisation activities will be proposed for them and the </w:t>
            </w:r>
            <w:r w:rsidR="00CF6510">
              <w:t>ASA</w:t>
            </w:r>
            <w:r w:rsidRPr="00F61694">
              <w:t xml:space="preserve"> should be revised accordingly.</w:t>
            </w:r>
          </w:p>
        </w:tc>
        <w:tc>
          <w:tcPr>
            <w:tcW w:w="1648" w:type="pct"/>
            <w:noWrap/>
          </w:tcPr>
          <w:p w:rsidR="00510094" w:rsidRPr="00F61694" w:rsidRDefault="00510094" w:rsidP="002B01FD">
            <w:pPr>
              <w:rPr>
                <w:szCs w:val="22"/>
              </w:rPr>
            </w:pPr>
            <w:r>
              <w:rPr>
                <w:szCs w:val="22"/>
              </w:rPr>
              <w:t>The EU-</w:t>
            </w:r>
            <w:r w:rsidRPr="00F61694">
              <w:rPr>
                <w:szCs w:val="22"/>
              </w:rPr>
              <w:t>RMP has been updated to reflect the inclusion of ‘paradoxical bronchospasm’, ‘narrow angle glaucoma’ and ‘bladder outflow obstruction and urinary retention’ as important potential risks. Additionally, missing information has been updated to include ‘safety in long-</w:t>
            </w:r>
            <w:r w:rsidRPr="00F61694">
              <w:rPr>
                <w:szCs w:val="22"/>
              </w:rPr>
              <w:lastRenderedPageBreak/>
              <w:t xml:space="preserve">term use’ and ‘safety in severe hepatic </w:t>
            </w:r>
            <w:r w:rsidRPr="00E90B5C">
              <w:rPr>
                <w:color w:val="auto"/>
                <w:szCs w:val="22"/>
              </w:rPr>
              <w:t xml:space="preserve">impairment’. The Summary of the Safety Concerns (Part II Module SVIII) has been updated accordingly. </w:t>
            </w:r>
            <w:r w:rsidRPr="00F61694">
              <w:rPr>
                <w:szCs w:val="22"/>
              </w:rPr>
              <w:t>The proposed pharmacovigilance activities, including any risk minimisation measures have been updated in the pharmacovigilance plan to reflect the inclusion of these additional safety concerns. The ASA has been revised accordingly.</w:t>
            </w:r>
          </w:p>
        </w:tc>
        <w:tc>
          <w:tcPr>
            <w:tcW w:w="1431" w:type="pct"/>
            <w:noWrap/>
          </w:tcPr>
          <w:p w:rsidR="00510094" w:rsidRDefault="00510094" w:rsidP="002B01FD">
            <w:r>
              <w:lastRenderedPageBreak/>
              <w:t xml:space="preserve">This is acceptable. </w:t>
            </w:r>
          </w:p>
        </w:tc>
      </w:tr>
      <w:tr w:rsidR="00510094" w:rsidTr="002B01FD">
        <w:trPr>
          <w:trHeight w:val="1153"/>
        </w:trPr>
        <w:tc>
          <w:tcPr>
            <w:tcW w:w="1921" w:type="pct"/>
            <w:noWrap/>
          </w:tcPr>
          <w:p w:rsidR="00510094" w:rsidRPr="00DF2369" w:rsidRDefault="00510094" w:rsidP="002B01FD">
            <w:r w:rsidRPr="00F61694">
              <w:lastRenderedPageBreak/>
              <w:t>It is suggested the im</w:t>
            </w:r>
            <w:r w:rsidR="00E9414B">
              <w:t xml:space="preserve">portant potential risk: ‘Asthma </w:t>
            </w:r>
            <w:r w:rsidRPr="00F61694">
              <w:t>related intubations a</w:t>
            </w:r>
            <w:r w:rsidR="00E9414B">
              <w:t xml:space="preserve">nd death’ be revised to ‘Asthma </w:t>
            </w:r>
            <w:r w:rsidRPr="00F61694">
              <w:t xml:space="preserve">related intubations, </w:t>
            </w:r>
            <w:r w:rsidRPr="00F61694">
              <w:rPr>
                <w:u w:val="single"/>
              </w:rPr>
              <w:t>hospitalisation</w:t>
            </w:r>
            <w:r w:rsidRPr="00F61694">
              <w:t xml:space="preserve"> and death’ for completeness.</w:t>
            </w:r>
          </w:p>
        </w:tc>
        <w:tc>
          <w:tcPr>
            <w:tcW w:w="1648" w:type="pct"/>
            <w:noWrap/>
          </w:tcPr>
          <w:p w:rsidR="00510094" w:rsidRPr="00F61694" w:rsidRDefault="00510094" w:rsidP="002B01FD">
            <w:r>
              <w:t>The sponsor</w:t>
            </w:r>
            <w:r w:rsidRPr="00F61694">
              <w:t xml:space="preserve"> will include the term ‘hospitalisation’ to the impo</w:t>
            </w:r>
            <w:r w:rsidR="00E9414B">
              <w:t xml:space="preserve">rtant potential risk of ‘Asthma </w:t>
            </w:r>
            <w:r w:rsidRPr="00F61694">
              <w:t>related intubations and deat</w:t>
            </w:r>
            <w:r>
              <w:t>h’ at the next update of the EU-</w:t>
            </w:r>
            <w:r w:rsidRPr="00F61694">
              <w:t>RMP.</w:t>
            </w:r>
            <w:r>
              <w:t xml:space="preserve"> </w:t>
            </w:r>
          </w:p>
        </w:tc>
        <w:tc>
          <w:tcPr>
            <w:tcW w:w="1431" w:type="pct"/>
            <w:noWrap/>
          </w:tcPr>
          <w:p w:rsidR="00510094" w:rsidRDefault="00510094" w:rsidP="002B01FD">
            <w:r>
              <w:t xml:space="preserve">This is acceptable. </w:t>
            </w:r>
          </w:p>
        </w:tc>
      </w:tr>
      <w:tr w:rsidR="00510094" w:rsidTr="002B01FD">
        <w:trPr>
          <w:trHeight w:val="1949"/>
        </w:trPr>
        <w:tc>
          <w:tcPr>
            <w:tcW w:w="1921" w:type="pct"/>
            <w:noWrap/>
          </w:tcPr>
          <w:p w:rsidR="00510094" w:rsidRPr="00DF2369" w:rsidRDefault="00510094" w:rsidP="002B01FD">
            <w:r w:rsidRPr="00DF2369">
              <w:t>The sponsor should definitively state</w:t>
            </w:r>
            <w:r w:rsidRPr="00DF2369">
              <w:rPr>
                <w:rFonts w:eastAsia="TimesNewRoman"/>
              </w:rPr>
              <w:t xml:space="preserve"> whether the </w:t>
            </w:r>
            <w:r w:rsidR="00E9414B">
              <w:t xml:space="preserve">follow </w:t>
            </w:r>
            <w:r w:rsidRPr="00DF2369">
              <w:t>up pregnancy forms provided in Annex 7 of EU-RMP are to be used in Australia, and if so section 2.4: ‘Other Pharmacovigilance Activities Referenced in the EU-RMP’ of the ASA should be amended accordingly when this document is next updated.</w:t>
            </w:r>
          </w:p>
        </w:tc>
        <w:tc>
          <w:tcPr>
            <w:tcW w:w="1648" w:type="pct"/>
            <w:noWrap/>
          </w:tcPr>
          <w:p w:rsidR="00510094" w:rsidRPr="00DF2369" w:rsidRDefault="00510094" w:rsidP="002B01FD">
            <w:r w:rsidRPr="00DF2369">
              <w:t>The pregnancy follow-up forms in Annex 7 o</w:t>
            </w:r>
            <w:r>
              <w:t>f the EU-</w:t>
            </w:r>
            <w:r w:rsidRPr="00DF2369">
              <w:t xml:space="preserve">RMP differ to those that will be used in Australia. The </w:t>
            </w:r>
            <w:r w:rsidRPr="002350B9">
              <w:rPr>
                <w:color w:val="auto"/>
              </w:rPr>
              <w:t>ASA</w:t>
            </w:r>
            <w:r w:rsidRPr="00E9414B">
              <w:rPr>
                <w:color w:val="9160CB" w:themeColor="accent5" w:themeTint="99"/>
              </w:rPr>
              <w:t xml:space="preserve"> </w:t>
            </w:r>
            <w:r w:rsidRPr="00DF2369">
              <w:t>has been revised to clarify this difference and to include the Pregnancy Notification Form and Pregnancy Outcome Form to be used in Australia.</w:t>
            </w:r>
          </w:p>
        </w:tc>
        <w:tc>
          <w:tcPr>
            <w:tcW w:w="1431" w:type="pct"/>
            <w:noWrap/>
          </w:tcPr>
          <w:p w:rsidR="00510094" w:rsidRDefault="00510094" w:rsidP="002B01FD">
            <w:r>
              <w:t>This is acceptable.</w:t>
            </w:r>
          </w:p>
        </w:tc>
      </w:tr>
      <w:tr w:rsidR="00510094" w:rsidTr="002B01FD">
        <w:trPr>
          <w:trHeight w:val="1055"/>
        </w:trPr>
        <w:tc>
          <w:tcPr>
            <w:tcW w:w="1921" w:type="pct"/>
            <w:noWrap/>
          </w:tcPr>
          <w:p w:rsidR="00510094" w:rsidRPr="00BB70EA" w:rsidRDefault="00510094" w:rsidP="002B01FD">
            <w:r w:rsidRPr="00DF2369">
              <w:t>The ongoing</w:t>
            </w:r>
            <w:r w:rsidRPr="00DF2369">
              <w:rPr>
                <w:rFonts w:eastAsia="TimesNewRoman"/>
              </w:rPr>
              <w:t xml:space="preserve"> Study </w:t>
            </w:r>
            <w:r w:rsidRPr="00DF2369">
              <w:t xml:space="preserve">HZC115058 is not considered to be part of the planned clinical studies </w:t>
            </w:r>
            <w:r w:rsidR="00E9414B">
              <w:t xml:space="preserve">in the pharmacovigilance plan. </w:t>
            </w:r>
            <w:r w:rsidRPr="00DF2369">
              <w:t>Therefore the related study p</w:t>
            </w:r>
            <w:r w:rsidR="00E9414B">
              <w:t xml:space="preserve">rotocol has not been </w:t>
            </w:r>
            <w:r w:rsidR="00E9414B">
              <w:lastRenderedPageBreak/>
              <w:t xml:space="preserve">reviewed. </w:t>
            </w:r>
            <w:r w:rsidRPr="00DF2369">
              <w:t>Nevertheless an update on the progress/results/analysis of this study, as outlined in the EU-RMP, will be expected in future PSUR</w:t>
            </w:r>
            <w:r w:rsidR="00E9414B">
              <w:t>s</w:t>
            </w:r>
            <w:r w:rsidR="002350B9">
              <w:rPr>
                <w:rStyle w:val="FootnoteReference"/>
                <w:rFonts w:asciiTheme="minorHAnsi" w:hAnsiTheme="minorHAnsi"/>
              </w:rPr>
              <w:footnoteReference w:id="23"/>
            </w:r>
            <w:r w:rsidR="00E9414B">
              <w:t xml:space="preserve"> and updated RMPs.</w:t>
            </w:r>
          </w:p>
        </w:tc>
        <w:tc>
          <w:tcPr>
            <w:tcW w:w="1648" w:type="pct"/>
            <w:noWrap/>
          </w:tcPr>
          <w:p w:rsidR="00510094" w:rsidRPr="00DF2369" w:rsidRDefault="00510094" w:rsidP="002B01FD">
            <w:r w:rsidRPr="00DF2369">
              <w:lastRenderedPageBreak/>
              <w:t>The sponsor confirms that the progress/results/</w:t>
            </w:r>
            <w:r w:rsidR="00B41D3A">
              <w:t xml:space="preserve"> </w:t>
            </w:r>
            <w:r w:rsidRPr="00DF2369">
              <w:t xml:space="preserve">analysis of </w:t>
            </w:r>
            <w:r w:rsidR="00A96E8F">
              <w:t>Study</w:t>
            </w:r>
            <w:r w:rsidRPr="00DF2369">
              <w:t xml:space="preserve"> HZC115058 will be presented in fut</w:t>
            </w:r>
            <w:r>
              <w:t xml:space="preserve">ure </w:t>
            </w:r>
            <w:r w:rsidR="001A50F1" w:rsidRPr="001A50F1">
              <w:t xml:space="preserve">Periodic Benefit-Risk </w:t>
            </w:r>
            <w:r w:rsidR="001A50F1" w:rsidRPr="001A50F1">
              <w:lastRenderedPageBreak/>
              <w:t xml:space="preserve">Evaluation Reports </w:t>
            </w:r>
            <w:r w:rsidR="001A50F1">
              <w:t>(</w:t>
            </w:r>
            <w:r>
              <w:t>PBRERs</w:t>
            </w:r>
            <w:r w:rsidR="001A50F1">
              <w:t>)</w:t>
            </w:r>
            <w:r w:rsidR="00746931">
              <w:rPr>
                <w:rStyle w:val="FootnoteReference"/>
                <w:rFonts w:asciiTheme="minorHAnsi" w:hAnsiTheme="minorHAnsi"/>
              </w:rPr>
              <w:footnoteReference w:id="24"/>
            </w:r>
            <w:r>
              <w:t>/PSURs and updated EU-</w:t>
            </w:r>
            <w:r w:rsidRPr="00DF2369">
              <w:t>RMPs.</w:t>
            </w:r>
          </w:p>
        </w:tc>
        <w:tc>
          <w:tcPr>
            <w:tcW w:w="1431" w:type="pct"/>
            <w:noWrap/>
          </w:tcPr>
          <w:p w:rsidR="00510094" w:rsidRDefault="00510094" w:rsidP="002B01FD">
            <w:r>
              <w:lastRenderedPageBreak/>
              <w:t>This is acceptable.</w:t>
            </w:r>
          </w:p>
        </w:tc>
      </w:tr>
      <w:tr w:rsidR="00510094" w:rsidTr="002B01FD">
        <w:trPr>
          <w:trHeight w:val="2975"/>
        </w:trPr>
        <w:tc>
          <w:tcPr>
            <w:tcW w:w="1921" w:type="pct"/>
            <w:noWrap/>
          </w:tcPr>
          <w:p w:rsidR="00510094" w:rsidRPr="00DF2369" w:rsidRDefault="00510094" w:rsidP="002B01FD">
            <w:r w:rsidRPr="00DF2369">
              <w:lastRenderedPageBreak/>
              <w:t>The studies referenced in the pharmacovigilance plan will generate safety data that will simply support the known safety profile of the medicine, while others will generate data that will provoke applications to amend the Au</w:t>
            </w:r>
            <w:r w:rsidR="00E9414B">
              <w:t xml:space="preserve">stralian registration details. </w:t>
            </w:r>
            <w:r w:rsidRPr="00DF2369">
              <w:t>To this end it is suggested that the sponsor should provide an attachment to the ASA setting out all the forthcoming studies and the anticipated dates for their submission in Australia.</w:t>
            </w:r>
          </w:p>
        </w:tc>
        <w:tc>
          <w:tcPr>
            <w:tcW w:w="1648" w:type="pct"/>
            <w:noWrap/>
          </w:tcPr>
          <w:p w:rsidR="00510094" w:rsidRDefault="00510094" w:rsidP="002B01FD">
            <w:r w:rsidRPr="00DF2369">
              <w:rPr>
                <w:szCs w:val="22"/>
              </w:rPr>
              <w:t xml:space="preserve">An overview of the forthcoming studies in the pharmacovigilance plan and the anticipated completion dates is provided in Table 1 of the ASA in the section ‘Studies Referenced in the EU-RMP’. The results from these studies will be presented and discussed in </w:t>
            </w:r>
            <w:r w:rsidR="001A50F1">
              <w:rPr>
                <w:szCs w:val="22"/>
              </w:rPr>
              <w:t>PBRERs</w:t>
            </w:r>
            <w:r w:rsidRPr="00DF2369">
              <w:rPr>
                <w:szCs w:val="22"/>
              </w:rPr>
              <w:t xml:space="preserve"> and the EU-RMP. </w:t>
            </w:r>
            <w:r w:rsidR="004A20BC" w:rsidRPr="004A20BC">
              <w:rPr>
                <w:szCs w:val="22"/>
              </w:rPr>
              <w:t xml:space="preserve">GlaxoSmithKline </w:t>
            </w:r>
            <w:r w:rsidR="004A20BC">
              <w:rPr>
                <w:szCs w:val="22"/>
              </w:rPr>
              <w:t>(</w:t>
            </w:r>
            <w:r w:rsidRPr="00DF2369">
              <w:rPr>
                <w:szCs w:val="22"/>
              </w:rPr>
              <w:t>GSK</w:t>
            </w:r>
            <w:r w:rsidR="004A20BC">
              <w:rPr>
                <w:szCs w:val="22"/>
              </w:rPr>
              <w:t>)</w:t>
            </w:r>
            <w:r w:rsidRPr="00DF2369">
              <w:rPr>
                <w:szCs w:val="22"/>
              </w:rPr>
              <w:t xml:space="preserve"> will submit PBRERs (including the EU-RMP and ASA when these have been updated) to the TGA in line with the PBRER reporting period. GSK proposes to provide additional information regarding these studies to the TGA upon request, following review of the PBRER/RMP. Any impact of these studies on the Australian Product Information (PI) will be provided to the TGA through the submission of an appropriate application.</w:t>
            </w:r>
          </w:p>
        </w:tc>
        <w:tc>
          <w:tcPr>
            <w:tcW w:w="1431" w:type="pct"/>
            <w:noWrap/>
          </w:tcPr>
          <w:p w:rsidR="00510094" w:rsidRDefault="00510094" w:rsidP="002B01FD">
            <w:r>
              <w:t>This is acceptable.</w:t>
            </w:r>
          </w:p>
        </w:tc>
      </w:tr>
      <w:tr w:rsidR="00510094" w:rsidTr="002B01FD">
        <w:trPr>
          <w:trHeight w:val="2975"/>
        </w:trPr>
        <w:tc>
          <w:tcPr>
            <w:tcW w:w="1921" w:type="pct"/>
            <w:noWrap/>
          </w:tcPr>
          <w:p w:rsidR="00510094" w:rsidRPr="00BB70EA" w:rsidRDefault="00510094" w:rsidP="002B01FD">
            <w:r w:rsidRPr="00DF2369">
              <w:lastRenderedPageBreak/>
              <w:t>The submitted short study summaries do not lend themselves to detailed ass</w:t>
            </w:r>
            <w:r w:rsidR="00671DD7">
              <w:t>essment.</w:t>
            </w:r>
            <w:r w:rsidRPr="00DF2369">
              <w:t xml:space="preserve"> Nevertheless they will be considered by the ACSOM</w:t>
            </w:r>
            <w:r w:rsidR="00E90B5C">
              <w:rPr>
                <w:rStyle w:val="FootnoteReference"/>
                <w:rFonts w:asciiTheme="minorHAnsi" w:hAnsiTheme="minorHAnsi"/>
              </w:rPr>
              <w:footnoteReference w:id="25"/>
            </w:r>
            <w:r w:rsidRPr="00DF2369">
              <w:t>, as to whether the study design is adequate and if not, h</w:t>
            </w:r>
            <w:r w:rsidR="00671DD7">
              <w:t xml:space="preserve">ow could they be strengthened. </w:t>
            </w:r>
            <w:r w:rsidRPr="00DF2369">
              <w:t>In addition</w:t>
            </w:r>
            <w:r w:rsidRPr="00DF2369">
              <w:rPr>
                <w:lang w:val="en-GB"/>
              </w:rPr>
              <w:t xml:space="preserve"> </w:t>
            </w:r>
            <w:r w:rsidRPr="00DF2369">
              <w:rPr>
                <w:iCs/>
              </w:rPr>
              <w:t>the committee will consider if Australian pa</w:t>
            </w:r>
            <w:r w:rsidR="00671DD7">
              <w:rPr>
                <w:iCs/>
              </w:rPr>
              <w:t xml:space="preserve">tient involvement is required. </w:t>
            </w:r>
            <w:r w:rsidRPr="00DF2369">
              <w:t>The sponsor should also provide an assurance that it will submit a draft protocol for these planned studies to the TGA for review once they become available.</w:t>
            </w:r>
          </w:p>
        </w:tc>
        <w:tc>
          <w:tcPr>
            <w:tcW w:w="1648" w:type="pct"/>
            <w:noWrap/>
          </w:tcPr>
          <w:p w:rsidR="00510094" w:rsidRPr="00DF2369" w:rsidRDefault="00510094" w:rsidP="002B01FD">
            <w:r w:rsidRPr="00DF2369">
              <w:t xml:space="preserve">The sponsor confirms that the </w:t>
            </w:r>
            <w:r w:rsidR="00E9414B">
              <w:t xml:space="preserve">protocols for the proposed post </w:t>
            </w:r>
            <w:r w:rsidRPr="00DF2369">
              <w:t>authorisation safety studies (PASS) will be submitted to the TGA upon endorsement by the EMA Pharmacovigilance Risk Assessment Committee. Once approved, the final PASS protocols will be provided in the updated UMEC/VI EU RMP.</w:t>
            </w:r>
          </w:p>
        </w:tc>
        <w:tc>
          <w:tcPr>
            <w:tcW w:w="1431" w:type="pct"/>
            <w:noWrap/>
          </w:tcPr>
          <w:p w:rsidR="00510094" w:rsidRDefault="00E9414B" w:rsidP="002B01FD">
            <w:r>
              <w:t xml:space="preserve">This is acceptable. </w:t>
            </w:r>
            <w:r w:rsidR="00510094">
              <w:t xml:space="preserve">However, in the light of the ACSOM advice the sponsor should consider amending the </w:t>
            </w:r>
            <w:r w:rsidR="00510094" w:rsidRPr="002D50E7">
              <w:t xml:space="preserve">draft protocol / synopsis </w:t>
            </w:r>
            <w:r w:rsidR="00510094" w:rsidRPr="002D50E7">
              <w:rPr>
                <w:rFonts w:eastAsia="MS Mincho"/>
              </w:rPr>
              <w:t xml:space="preserve">of the </w:t>
            </w:r>
            <w:r w:rsidR="00510094" w:rsidRPr="00041358">
              <w:t>drug utilisation study</w:t>
            </w:r>
            <w:r w:rsidR="00510094" w:rsidRPr="00041358">
              <w:rPr>
                <w:i/>
              </w:rPr>
              <w:t xml:space="preserve"> </w:t>
            </w:r>
            <w:r w:rsidR="00510094">
              <w:rPr>
                <w:rFonts w:eastAsia="MS Mincho"/>
              </w:rPr>
              <w:t xml:space="preserve">to include Australian patients and an updated version </w:t>
            </w:r>
            <w:r w:rsidR="00510094" w:rsidRPr="002D50E7">
              <w:rPr>
                <w:rFonts w:eastAsia="MS Mincho"/>
              </w:rPr>
              <w:t>should be provided to the TGA for review once it is available</w:t>
            </w:r>
            <w:r w:rsidR="00510094">
              <w:rPr>
                <w:rFonts w:eastAsia="MS Mincho"/>
              </w:rPr>
              <w:t xml:space="preserve"> (see above)</w:t>
            </w:r>
            <w:r w:rsidR="00510094" w:rsidRPr="002D50E7">
              <w:rPr>
                <w:rFonts w:eastAsia="MS Mincho"/>
              </w:rPr>
              <w:t>.</w:t>
            </w:r>
          </w:p>
        </w:tc>
      </w:tr>
      <w:tr w:rsidR="00510094" w:rsidTr="002B01FD">
        <w:trPr>
          <w:trHeight w:val="870"/>
        </w:trPr>
        <w:tc>
          <w:tcPr>
            <w:tcW w:w="1921" w:type="pct"/>
            <w:noWrap/>
          </w:tcPr>
          <w:p w:rsidR="00510094" w:rsidRPr="00DF2369" w:rsidRDefault="00510094" w:rsidP="002B01FD">
            <w:r w:rsidRPr="00DF2369">
              <w:t>It is agreed the specified ongoing safety concerns would not appear to warrant additional risk minimisation activities</w:t>
            </w:r>
            <w:r>
              <w:t>.</w:t>
            </w:r>
          </w:p>
        </w:tc>
        <w:tc>
          <w:tcPr>
            <w:tcW w:w="1648" w:type="pct"/>
            <w:noWrap/>
          </w:tcPr>
          <w:p w:rsidR="00510094" w:rsidRDefault="00510094" w:rsidP="002B01FD">
            <w:r>
              <w:t>This is noted.</w:t>
            </w:r>
          </w:p>
        </w:tc>
        <w:tc>
          <w:tcPr>
            <w:tcW w:w="1431" w:type="pct"/>
            <w:noWrap/>
          </w:tcPr>
          <w:p w:rsidR="00510094" w:rsidRDefault="00510094" w:rsidP="002B01FD">
            <w:r>
              <w:t>n/a</w:t>
            </w:r>
          </w:p>
        </w:tc>
      </w:tr>
    </w:tbl>
    <w:p w:rsidR="00F15E74" w:rsidRPr="00F15E74" w:rsidRDefault="002B01FD" w:rsidP="002B01FD">
      <w:pPr>
        <w:pStyle w:val="Heading5"/>
      </w:pPr>
      <w:r>
        <w:t>Key changes to the updated RMP</w:t>
      </w:r>
    </w:p>
    <w:p w:rsidR="00E140E4" w:rsidRDefault="00F15E74" w:rsidP="002B01FD">
      <w:r w:rsidRPr="00F15E74">
        <w:t>In their response to the TGA request for information the sponsor provided an updated EU-RMP (Version: 3.0, dated 14 October 2013) with an updated ASA (Version: 2.0, undated)</w:t>
      </w:r>
      <w:r>
        <w:t xml:space="preserve">. </w:t>
      </w:r>
      <w:r w:rsidRPr="00F15E74">
        <w:t>Key changes from the version evaluated at Round 1 are summarised below:</w:t>
      </w:r>
    </w:p>
    <w:p w:rsidR="00E140E4" w:rsidRDefault="00E140E4" w:rsidP="002B01FD">
      <w:pPr>
        <w:pStyle w:val="Tabletitle0"/>
      </w:pPr>
      <w:proofErr w:type="gramStart"/>
      <w:r>
        <w:t>Table 10.</w:t>
      </w:r>
      <w:proofErr w:type="gramEnd"/>
      <w:r>
        <w:t xml:space="preserve"> Key changes to the updated RMP</w:t>
      </w:r>
    </w:p>
    <w:tbl>
      <w:tblPr>
        <w:tblStyle w:val="TableTGAblue"/>
        <w:tblW w:w="0" w:type="auto"/>
        <w:tblLook w:val="04A0" w:firstRow="1" w:lastRow="0" w:firstColumn="1" w:lastColumn="0" w:noHBand="0" w:noVBand="1"/>
      </w:tblPr>
      <w:tblGrid>
        <w:gridCol w:w="2342"/>
        <w:gridCol w:w="6378"/>
      </w:tblGrid>
      <w:tr w:rsidR="00F15E74" w:rsidRPr="00107999" w:rsidTr="002B01FD">
        <w:trPr>
          <w:cnfStyle w:val="100000000000" w:firstRow="1" w:lastRow="0" w:firstColumn="0" w:lastColumn="0" w:oddVBand="0" w:evenVBand="0" w:oddHBand="0" w:evenHBand="0" w:firstRowFirstColumn="0" w:firstRowLastColumn="0" w:lastRowFirstColumn="0" w:lastRowLastColumn="0"/>
          <w:trHeight w:val="536"/>
        </w:trPr>
        <w:tc>
          <w:tcPr>
            <w:tcW w:w="2152" w:type="dxa"/>
          </w:tcPr>
          <w:p w:rsidR="00F15E74" w:rsidRPr="00107999" w:rsidRDefault="00E140E4" w:rsidP="002B01FD">
            <w:pPr>
              <w:rPr>
                <w:highlight w:val="yellow"/>
              </w:rPr>
            </w:pPr>
            <w:r w:rsidRPr="00E140E4">
              <w:t>RMP Section</w:t>
            </w:r>
          </w:p>
        </w:tc>
        <w:tc>
          <w:tcPr>
            <w:tcW w:w="7169" w:type="dxa"/>
          </w:tcPr>
          <w:p w:rsidR="00F15E74" w:rsidRPr="00F35BE2" w:rsidRDefault="00F35BE2" w:rsidP="002B01FD">
            <w:r w:rsidRPr="00F35BE2">
              <w:t>Changes introduced</w:t>
            </w:r>
          </w:p>
        </w:tc>
      </w:tr>
      <w:tr w:rsidR="00F15E74" w:rsidRPr="00107999" w:rsidTr="002B01FD">
        <w:trPr>
          <w:trHeight w:val="270"/>
        </w:trPr>
        <w:tc>
          <w:tcPr>
            <w:tcW w:w="2152" w:type="dxa"/>
            <w:hideMark/>
          </w:tcPr>
          <w:p w:rsidR="00F15E74" w:rsidRPr="00F35BE2" w:rsidRDefault="00F15E74" w:rsidP="002B01FD">
            <w:r w:rsidRPr="00F35BE2">
              <w:t>Ongoing safety concerns</w:t>
            </w:r>
          </w:p>
        </w:tc>
        <w:tc>
          <w:tcPr>
            <w:tcW w:w="7169" w:type="dxa"/>
          </w:tcPr>
          <w:p w:rsidR="00F15E74" w:rsidRPr="00F35BE2" w:rsidRDefault="00F15E74" w:rsidP="002B01FD">
            <w:pPr>
              <w:rPr>
                <w:rFonts w:eastAsia="MS Mincho" w:cs="ArialNarrow"/>
              </w:rPr>
            </w:pPr>
            <w:r w:rsidRPr="00F35BE2">
              <w:rPr>
                <w:rFonts w:eastAsia="MS Mincho" w:cs="ArialNarrow"/>
              </w:rPr>
              <w:t>Modified to include the following updated or additional safety concerns:</w:t>
            </w:r>
          </w:p>
          <w:p w:rsidR="00F15E74" w:rsidRPr="00F35BE2" w:rsidRDefault="00F15E74" w:rsidP="002B01FD">
            <w:pPr>
              <w:rPr>
                <w:rFonts w:eastAsia="MS Mincho" w:cs="ArialNarrow"/>
              </w:rPr>
            </w:pPr>
            <w:r w:rsidRPr="00F35BE2">
              <w:rPr>
                <w:rFonts w:eastAsia="MS Mincho" w:cs="ArialNarrow"/>
              </w:rPr>
              <w:t>Potential risks:</w:t>
            </w:r>
          </w:p>
          <w:p w:rsidR="00F15E74" w:rsidRPr="00F35BE2" w:rsidRDefault="00B73028" w:rsidP="002B01FD">
            <w:pPr>
              <w:rPr>
                <w:rFonts w:eastAsia="MS Mincho" w:cs="ArialNarrow"/>
              </w:rPr>
            </w:pPr>
            <w:r>
              <w:rPr>
                <w:rFonts w:eastAsia="MS Mincho" w:cs="ArialNarrow"/>
              </w:rPr>
              <w:t>Cardio</w:t>
            </w:r>
            <w:r w:rsidR="00F15E74" w:rsidRPr="00F35BE2">
              <w:rPr>
                <w:rFonts w:eastAsia="MS Mincho" w:cs="ArialNarrow"/>
              </w:rPr>
              <w:t xml:space="preserve"> and Cerebrovascular disorders</w:t>
            </w:r>
          </w:p>
          <w:p w:rsidR="00F15E74" w:rsidRPr="00F35BE2" w:rsidRDefault="00F15E74" w:rsidP="002B01FD">
            <w:pPr>
              <w:rPr>
                <w:rFonts w:eastAsia="MS Mincho" w:cs="ArialNarrow"/>
              </w:rPr>
            </w:pPr>
            <w:r w:rsidRPr="00F35BE2">
              <w:rPr>
                <w:rFonts w:eastAsia="MS Mincho" w:cs="ArialNarrow"/>
              </w:rPr>
              <w:t>Paradoxical bronchospasm</w:t>
            </w:r>
          </w:p>
          <w:p w:rsidR="00F15E74" w:rsidRPr="00F35BE2" w:rsidRDefault="00F15E74" w:rsidP="002B01FD">
            <w:pPr>
              <w:rPr>
                <w:rFonts w:eastAsia="MS Mincho" w:cs="ArialNarrow"/>
              </w:rPr>
            </w:pPr>
            <w:r w:rsidRPr="00F35BE2">
              <w:rPr>
                <w:rFonts w:eastAsia="MS Mincho" w:cs="ArialNarrow"/>
              </w:rPr>
              <w:t>Narrow angle glaucoma</w:t>
            </w:r>
          </w:p>
          <w:p w:rsidR="00F15E74" w:rsidRPr="00F35BE2" w:rsidRDefault="00F15E74" w:rsidP="002B01FD">
            <w:pPr>
              <w:rPr>
                <w:rFonts w:eastAsia="MS Mincho" w:cs="ArialNarrow"/>
              </w:rPr>
            </w:pPr>
            <w:r w:rsidRPr="00F35BE2">
              <w:rPr>
                <w:rFonts w:eastAsia="MS Mincho" w:cs="ArialNarrow"/>
              </w:rPr>
              <w:t>Bladder outflow obstruction and urinary retention</w:t>
            </w:r>
          </w:p>
          <w:p w:rsidR="00F15E74" w:rsidRPr="00F35BE2" w:rsidRDefault="00F15E74" w:rsidP="002B01FD">
            <w:pPr>
              <w:rPr>
                <w:rFonts w:eastAsia="MS Mincho" w:cs="ArialNarrow"/>
              </w:rPr>
            </w:pPr>
            <w:r w:rsidRPr="00F35BE2">
              <w:rPr>
                <w:rFonts w:eastAsia="MS Mincho" w:cs="ArialNarrow"/>
              </w:rPr>
              <w:t>Missing information:</w:t>
            </w:r>
          </w:p>
          <w:p w:rsidR="00F15E74" w:rsidRPr="00F35BE2" w:rsidRDefault="00B73028" w:rsidP="002B01FD">
            <w:pPr>
              <w:rPr>
                <w:rFonts w:eastAsia="MS Mincho" w:cs="ArialNarrow"/>
              </w:rPr>
            </w:pPr>
            <w:r>
              <w:rPr>
                <w:rFonts w:eastAsia="MS Mincho" w:cs="ArialNarrow"/>
              </w:rPr>
              <w:t xml:space="preserve">Safety in long </w:t>
            </w:r>
            <w:r w:rsidR="00F15E74" w:rsidRPr="00F35BE2">
              <w:rPr>
                <w:rFonts w:eastAsia="MS Mincho" w:cs="ArialNarrow"/>
              </w:rPr>
              <w:t>term use</w:t>
            </w:r>
          </w:p>
          <w:p w:rsidR="00F15E74" w:rsidRPr="00F35BE2" w:rsidRDefault="00F15E74" w:rsidP="002B01FD">
            <w:pPr>
              <w:rPr>
                <w:rFonts w:eastAsia="MS Mincho" w:cs="ArialNarrow"/>
              </w:rPr>
            </w:pPr>
            <w:r w:rsidRPr="00F35BE2">
              <w:rPr>
                <w:rFonts w:eastAsia="MS Mincho" w:cs="ArialNarrow"/>
              </w:rPr>
              <w:lastRenderedPageBreak/>
              <w:t>Safety in subjects with severe hepatic impairment</w:t>
            </w:r>
          </w:p>
        </w:tc>
      </w:tr>
      <w:tr w:rsidR="00F15E74" w:rsidRPr="00107999" w:rsidTr="002B01FD">
        <w:trPr>
          <w:trHeight w:val="524"/>
        </w:trPr>
        <w:tc>
          <w:tcPr>
            <w:tcW w:w="2152" w:type="dxa"/>
            <w:hideMark/>
          </w:tcPr>
          <w:p w:rsidR="00F15E74" w:rsidRPr="00D84CF2" w:rsidRDefault="00F15E74" w:rsidP="002B01FD">
            <w:r w:rsidRPr="00D84CF2">
              <w:lastRenderedPageBreak/>
              <w:t>Pharmacovigilance activities</w:t>
            </w:r>
          </w:p>
        </w:tc>
        <w:tc>
          <w:tcPr>
            <w:tcW w:w="7169" w:type="dxa"/>
          </w:tcPr>
          <w:p w:rsidR="00F15E74" w:rsidRPr="00D036DA" w:rsidRDefault="00F15E74" w:rsidP="002B01FD">
            <w:pPr>
              <w:rPr>
                <w:rFonts w:eastAsia="MS Mincho" w:cs="ArialNarrow"/>
              </w:rPr>
            </w:pPr>
            <w:r w:rsidRPr="00D036DA">
              <w:t xml:space="preserve">The </w:t>
            </w:r>
            <w:r w:rsidRPr="00D036DA">
              <w:rPr>
                <w:rFonts w:eastAsia="MS Mincho" w:cs="ArialNarrow"/>
              </w:rPr>
              <w:t>Pharmacovigilance Plan has been updated to include the safety concerns highlighted above.</w:t>
            </w:r>
          </w:p>
          <w:p w:rsidR="00F15E74" w:rsidRDefault="00B73028" w:rsidP="002B01FD">
            <w:pPr>
              <w:rPr>
                <w:rFonts w:eastAsia="MS Mincho" w:cs="ArialNarrow"/>
              </w:rPr>
            </w:pPr>
            <w:r>
              <w:rPr>
                <w:rFonts w:eastAsia="MS Mincho" w:cs="ArialNarrow"/>
              </w:rPr>
              <w:t xml:space="preserve">Inclusion of in </w:t>
            </w:r>
            <w:r w:rsidR="00F15E74" w:rsidRPr="00D036DA">
              <w:rPr>
                <w:rFonts w:eastAsia="MS Mincho" w:cs="ArialNarrow"/>
              </w:rPr>
              <w:t>period scientific and cumulative assessments of all-cause mortality and cardiac and cerebrovascular mortality in future PSURs f</w:t>
            </w:r>
            <w:r>
              <w:rPr>
                <w:rFonts w:eastAsia="MS Mincho" w:cs="ArialNarrow"/>
              </w:rPr>
              <w:t>or the safety concern of Cardio</w:t>
            </w:r>
            <w:r w:rsidR="00F15E74" w:rsidRPr="00D036DA">
              <w:rPr>
                <w:rFonts w:eastAsia="MS Mincho" w:cs="ArialNarrow"/>
              </w:rPr>
              <w:t xml:space="preserve"> and Cerebrovascular Disorders.</w:t>
            </w:r>
          </w:p>
          <w:p w:rsidR="00F15E74" w:rsidRPr="00D036DA" w:rsidRDefault="00B73028" w:rsidP="002B01FD">
            <w:pPr>
              <w:rPr>
                <w:rFonts w:eastAsia="MS Mincho" w:cs="ArialNarrow"/>
              </w:rPr>
            </w:pPr>
            <w:r>
              <w:rPr>
                <w:rFonts w:eastAsia="MS Mincho" w:cs="ArialNarrow"/>
              </w:rPr>
              <w:t xml:space="preserve">Timings for the proposed post </w:t>
            </w:r>
            <w:r w:rsidR="00F15E74" w:rsidRPr="00D036DA">
              <w:rPr>
                <w:rFonts w:eastAsia="MS Mincho" w:cs="ArialNarrow"/>
              </w:rPr>
              <w:t>authorisation safety observational cohort study have been updated to reflect the inclusion of mortality as a safety endpoint.</w:t>
            </w:r>
          </w:p>
        </w:tc>
      </w:tr>
      <w:tr w:rsidR="00F15E74" w:rsidRPr="00107999" w:rsidTr="002B01FD">
        <w:trPr>
          <w:trHeight w:val="524"/>
        </w:trPr>
        <w:tc>
          <w:tcPr>
            <w:tcW w:w="2152" w:type="dxa"/>
            <w:hideMark/>
          </w:tcPr>
          <w:p w:rsidR="00F15E74" w:rsidRPr="00D84CF2" w:rsidRDefault="00F15E74" w:rsidP="002B01FD">
            <w:r w:rsidRPr="00D84CF2">
              <w:t>Risk minimisation activities</w:t>
            </w:r>
          </w:p>
        </w:tc>
        <w:tc>
          <w:tcPr>
            <w:tcW w:w="7169" w:type="dxa"/>
          </w:tcPr>
          <w:p w:rsidR="00F15E74" w:rsidRPr="00107999" w:rsidRDefault="00F15E74" w:rsidP="002B01FD">
            <w:pPr>
              <w:rPr>
                <w:highlight w:val="yellow"/>
              </w:rPr>
            </w:pPr>
            <w:r>
              <w:t>Risk minimisation measures have been</w:t>
            </w:r>
            <w:r w:rsidRPr="00D036DA">
              <w:rPr>
                <w:rFonts w:eastAsia="MS Mincho" w:cs="ArialNarrow"/>
              </w:rPr>
              <w:t xml:space="preserve"> updated to include the safety concerns highlighted above.</w:t>
            </w:r>
          </w:p>
        </w:tc>
      </w:tr>
    </w:tbl>
    <w:p w:rsidR="00413C5A" w:rsidRDefault="00413C5A" w:rsidP="002B01FD">
      <w:pPr>
        <w:pStyle w:val="Heading4"/>
        <w:rPr>
          <w:lang w:eastAsia="en-AU"/>
        </w:rPr>
      </w:pPr>
      <w:r>
        <w:rPr>
          <w:lang w:eastAsia="en-AU"/>
        </w:rPr>
        <w:t>Advice from the Advisory Committee on the Safety of Medicines (ACSOM)</w:t>
      </w:r>
    </w:p>
    <w:p w:rsidR="00FC544B" w:rsidRPr="00FC544B" w:rsidRDefault="00F15E74" w:rsidP="002B01FD">
      <w:r>
        <w:t>A</w:t>
      </w:r>
      <w:r w:rsidR="00FC544B" w:rsidRPr="00FC544B">
        <w:t xml:space="preserve">dvice regarding </w:t>
      </w:r>
      <w:proofErr w:type="spellStart"/>
      <w:r w:rsidR="00FC544B" w:rsidRPr="00FC544B">
        <w:t>A</w:t>
      </w:r>
      <w:r w:rsidR="000C755A" w:rsidRPr="00FC544B">
        <w:t>noro</w:t>
      </w:r>
      <w:proofErr w:type="spellEnd"/>
      <w:r w:rsidR="00FC544B" w:rsidRPr="00FC544B">
        <w:t xml:space="preserve"> </w:t>
      </w:r>
      <w:proofErr w:type="spellStart"/>
      <w:r w:rsidR="00FC544B" w:rsidRPr="00FC544B">
        <w:t>E</w:t>
      </w:r>
      <w:r w:rsidR="000C755A" w:rsidRPr="00FC544B">
        <w:t>llipta</w:t>
      </w:r>
      <w:proofErr w:type="spellEnd"/>
      <w:r w:rsidR="00FC544B" w:rsidRPr="00FC544B">
        <w:t xml:space="preserve"> </w:t>
      </w:r>
      <w:r>
        <w:t xml:space="preserve">was requested </w:t>
      </w:r>
      <w:r w:rsidR="00FC544B" w:rsidRPr="00FC544B">
        <w:t>from the 20th meeting of ACSOM</w:t>
      </w:r>
      <w:r>
        <w:t>.</w:t>
      </w:r>
      <w:r w:rsidR="00FC544B" w:rsidRPr="00FC544B">
        <w:t xml:space="preserve"> </w:t>
      </w:r>
      <w:r>
        <w:t>T</w:t>
      </w:r>
      <w:r w:rsidR="00FC544B" w:rsidRPr="00FC544B">
        <w:t>he following outstanding issues were raised:</w:t>
      </w:r>
    </w:p>
    <w:p w:rsidR="00FC544B" w:rsidRPr="00FC544B" w:rsidRDefault="00FC544B" w:rsidP="00AA6872">
      <w:pPr>
        <w:pStyle w:val="ListBullet"/>
      </w:pPr>
      <w:r w:rsidRPr="00FC544B">
        <w:t>The ACSOM considered a ‘Short Study Summar</w:t>
      </w:r>
      <w:r w:rsidR="00F35BE2">
        <w:t xml:space="preserve">y’ (undated) for both the ‘Post </w:t>
      </w:r>
      <w:r w:rsidRPr="00FC544B">
        <w:t>Authorisation Safety (PAS) Observational Cohort Study’ and ‘WEUSKOP6679: Drug utili</w:t>
      </w:r>
      <w:r w:rsidR="00F15E74">
        <w:t>s</w:t>
      </w:r>
      <w:r w:rsidRPr="00FC544B">
        <w:t>ation study of new users of inhaled UMEC/VI in the primary care setting: UK Clinical Practice Research Datalink (CPRD) study’ and stated: “ACSOM considered that it is reasonable not to invo</w:t>
      </w:r>
      <w:r w:rsidR="00F15E74">
        <w:t xml:space="preserve">lve Australian patients in post </w:t>
      </w:r>
      <w:r w:rsidRPr="00FC544B">
        <w:t xml:space="preserve">authorisation safety study, as populations being studied in the </w:t>
      </w:r>
      <w:r w:rsidR="00A54884" w:rsidRPr="00A54884">
        <w:t>UK</w:t>
      </w:r>
      <w:r w:rsidRPr="00FC544B">
        <w:t xml:space="preserve"> and Europe would be similar. Members also indicated that the classes of drugs used in this product were well understood and did not require a con</w:t>
      </w:r>
      <w:r w:rsidR="00F15E74">
        <w:t xml:space="preserve">servative Australian approach. </w:t>
      </w:r>
      <w:r w:rsidRPr="00FC544B">
        <w:t xml:space="preserve">However, members advised that the drug utilisation study should include Australian patients as it is necessary to obtain local </w:t>
      </w:r>
      <w:r w:rsidR="00F15E74">
        <w:t xml:space="preserve">data on off </w:t>
      </w:r>
      <w:r w:rsidRPr="00FC544B">
        <w:t>label and paediatric use. The committee advised that use in co-morbidities and accompanying ICS use would be of particular value and noted t</w:t>
      </w:r>
      <w:r w:rsidR="00F15E74">
        <w:t xml:space="preserve">hat data obtained regarding off </w:t>
      </w:r>
      <w:r w:rsidRPr="00FC544B">
        <w:t>label use in the UK would not be relev</w:t>
      </w:r>
      <w:r w:rsidR="00F15E74">
        <w:t xml:space="preserve">ant in an Australian context.” </w:t>
      </w:r>
      <w:r w:rsidRPr="00FC544B">
        <w:t>Consequently the sponsor should consid</w:t>
      </w:r>
      <w:r w:rsidR="00AA1D67">
        <w:t>er amending the draft protocol and</w:t>
      </w:r>
      <w:r w:rsidRPr="00FC544B">
        <w:t xml:space="preserve"> synopsis of the drug </w:t>
      </w:r>
      <w:r w:rsidRPr="00AA6872">
        <w:t>utilisation</w:t>
      </w:r>
      <w:r w:rsidRPr="00FC544B">
        <w:t xml:space="preserve"> study to include Australian patients and an updated version should be provided to the TGA for review once it is available.</w:t>
      </w:r>
    </w:p>
    <w:p w:rsidR="00FC544B" w:rsidRPr="00FC544B" w:rsidRDefault="00FC544B" w:rsidP="002B01FD">
      <w:pPr>
        <w:pStyle w:val="ListBullet"/>
      </w:pPr>
      <w:r w:rsidRPr="00FC544B">
        <w:t>The ACSOM noted that the parents of paediatric patients may be concerned about stero</w:t>
      </w:r>
      <w:r w:rsidR="00F15E74">
        <w:t xml:space="preserve">id use in children and that off </w:t>
      </w:r>
      <w:r w:rsidRPr="00FC544B">
        <w:t xml:space="preserve">label use of </w:t>
      </w:r>
      <w:r w:rsidR="00A54884">
        <w:t>UMEC</w:t>
      </w:r>
      <w:r w:rsidRPr="00FC544B">
        <w:t>/</w:t>
      </w:r>
      <w:r w:rsidR="00A54884" w:rsidRPr="00A54884">
        <w:t xml:space="preserve"> VI</w:t>
      </w:r>
      <w:r w:rsidRPr="00FC544B">
        <w:t xml:space="preserve"> would present an attractive </w:t>
      </w:r>
      <w:r w:rsidR="00F15E74">
        <w:t xml:space="preserve">alternative in this situation. </w:t>
      </w:r>
      <w:r w:rsidRPr="00FC544B">
        <w:t>Members advised that the TGA may wish to strengthen the paediatric stateme</w:t>
      </w:r>
      <w:r w:rsidR="000C755A">
        <w:t xml:space="preserve">nt in the product information. </w:t>
      </w:r>
      <w:r w:rsidRPr="00FC544B">
        <w:t>Consideration could be given to replacing the statement ‘The use in children is not relevant in a COPD indication’ with a more strongly worded statement text along the lines of ‘This product should not be used in children</w:t>
      </w:r>
      <w:r w:rsidR="000C755A">
        <w:t xml:space="preserve">.’ </w:t>
      </w:r>
      <w:r w:rsidRPr="00FC544B">
        <w:t>This advice is raised with the Delegate for consideration.</w:t>
      </w:r>
    </w:p>
    <w:p w:rsidR="00FC544B" w:rsidRPr="00FC544B" w:rsidRDefault="00FC544B" w:rsidP="002B01FD">
      <w:pPr>
        <w:pStyle w:val="ListBullet"/>
      </w:pPr>
      <w:r w:rsidRPr="00FC544B">
        <w:t xml:space="preserve">The ACSOM advised that given this is a new </w:t>
      </w:r>
      <w:r w:rsidR="00AA1D67">
        <w:t>fixed dose combination</w:t>
      </w:r>
      <w:r w:rsidRPr="00FC544B">
        <w:t xml:space="preserve"> product containing two new chemical entities, and the first LABA/LAMA FDC to be registered in Australia prescribers need to be made aware of what class the individual components</w:t>
      </w:r>
      <w:r w:rsidR="00AA1D67">
        <w:t xml:space="preserve"> are to prevent inadvertent off </w:t>
      </w:r>
      <w:r w:rsidRPr="00FC544B">
        <w:t>label prescribi</w:t>
      </w:r>
      <w:r w:rsidR="000C755A">
        <w:t xml:space="preserve">ng. </w:t>
      </w:r>
      <w:r w:rsidRPr="00FC544B">
        <w:t>The committee added that the use of generic names that are long and unfamiliar compounds the ris</w:t>
      </w:r>
      <w:r w:rsidR="00AA1D67">
        <w:t xml:space="preserve">k of accidental off label use. </w:t>
      </w:r>
      <w:r w:rsidRPr="00FC544B">
        <w:t xml:space="preserve">The committee further advised that the product’s labelling and associated education materials should ensure that health professionals and patients are aware of the </w:t>
      </w:r>
      <w:r w:rsidRPr="00FC544B">
        <w:lastRenderedPageBreak/>
        <w:t>individual componen</w:t>
      </w:r>
      <w:r w:rsidR="00AA1D67">
        <w:t xml:space="preserve">ts and their associated risks. </w:t>
      </w:r>
      <w:r w:rsidRPr="00FC544B">
        <w:t>This advice is raised with the Delegate for consideration.</w:t>
      </w:r>
    </w:p>
    <w:p w:rsidR="00413C5A" w:rsidRDefault="00413C5A" w:rsidP="002B01FD">
      <w:pPr>
        <w:pStyle w:val="Heading4"/>
        <w:rPr>
          <w:lang w:eastAsia="en-AU"/>
        </w:rPr>
      </w:pPr>
      <w:r>
        <w:rPr>
          <w:lang w:eastAsia="en-AU"/>
        </w:rPr>
        <w:t>Comments on the safety specifications of the RMP</w:t>
      </w:r>
    </w:p>
    <w:p w:rsidR="000C755A" w:rsidRPr="0066300F" w:rsidRDefault="0066300F" w:rsidP="002B01FD">
      <w:pPr>
        <w:pStyle w:val="Heading5"/>
      </w:pPr>
      <w:r>
        <w:t xml:space="preserve">OMA </w:t>
      </w:r>
      <w:r w:rsidR="007831A2">
        <w:t>c</w:t>
      </w:r>
      <w:r>
        <w:t xml:space="preserve">linical </w:t>
      </w:r>
      <w:r w:rsidR="007831A2">
        <w:t>e</w:t>
      </w:r>
      <w:r>
        <w:t xml:space="preserve">valuation </w:t>
      </w:r>
      <w:r w:rsidR="007831A2">
        <w:t>report</w:t>
      </w:r>
    </w:p>
    <w:p w:rsidR="00453469" w:rsidRDefault="00453469" w:rsidP="002B01FD">
      <w:r>
        <w:t xml:space="preserve">The clinical evaluator made the following comment in regard to </w:t>
      </w:r>
      <w:r w:rsidR="00F35BE2">
        <w:t>safety specifications</w:t>
      </w:r>
      <w:r w:rsidR="00A55F8B">
        <w:t xml:space="preserve"> in the draft RMP;</w:t>
      </w:r>
    </w:p>
    <w:p w:rsidR="000C755A" w:rsidRPr="00A55F8B" w:rsidRDefault="00453469" w:rsidP="002B01FD">
      <w:pPr>
        <w:ind w:left="284"/>
      </w:pPr>
      <w:r w:rsidRPr="00A55F8B">
        <w:t>“</w:t>
      </w:r>
      <w:r w:rsidR="000C755A" w:rsidRPr="00A55F8B">
        <w:t>The Safety Specification in the draft Risk Management Plan is satisfactory.</w:t>
      </w:r>
      <w:r w:rsidRPr="00A55F8B">
        <w:t>”</w:t>
      </w:r>
    </w:p>
    <w:p w:rsidR="00453469" w:rsidRPr="00453469" w:rsidRDefault="00453469" w:rsidP="002B01FD">
      <w:pPr>
        <w:pStyle w:val="Heading5"/>
      </w:pPr>
      <w:r w:rsidRPr="00453469">
        <w:t>OSE</w:t>
      </w:r>
      <w:r w:rsidR="007831A2">
        <w:t xml:space="preserve"> non-clinical evaluation report</w:t>
      </w:r>
    </w:p>
    <w:p w:rsidR="00453469" w:rsidRPr="006961EE" w:rsidRDefault="00453469" w:rsidP="002B01FD">
      <w:r>
        <w:t xml:space="preserve">The non </w:t>
      </w:r>
      <w:r w:rsidRPr="006961EE">
        <w:t xml:space="preserve">clinical evaluator made the following summary comment in regard to </w:t>
      </w:r>
      <w:r w:rsidR="00A54884" w:rsidRPr="00A54884">
        <w:t>SS</w:t>
      </w:r>
      <w:r w:rsidR="00A55F8B">
        <w:t xml:space="preserve"> in the draft RMP;</w:t>
      </w:r>
    </w:p>
    <w:p w:rsidR="00453469" w:rsidRDefault="00A55F8B" w:rsidP="002B01FD">
      <w:pPr>
        <w:ind w:left="284"/>
      </w:pPr>
      <w:r>
        <w:t>“</w:t>
      </w:r>
      <w:r w:rsidR="00453469" w:rsidRPr="00A55F8B">
        <w:t xml:space="preserve">Results and conclusions drawn from the nonclinical program for </w:t>
      </w:r>
      <w:r w:rsidR="00A54884">
        <w:t>UMEC</w:t>
      </w:r>
      <w:r w:rsidR="00453469" w:rsidRPr="00A55F8B">
        <w:t>/</w:t>
      </w:r>
      <w:r w:rsidR="00A54884">
        <w:t>VI</w:t>
      </w:r>
      <w:r w:rsidR="00453469" w:rsidRPr="00A55F8B">
        <w:t xml:space="preserve"> detailed in the sponsor’s draft Risk Management Plan (Part II, Module SII </w:t>
      </w:r>
      <w:r w:rsidR="00672509" w:rsidRPr="00A55F8B">
        <w:t>(</w:t>
      </w:r>
      <w:r w:rsidR="00453469" w:rsidRPr="00A55F8B">
        <w:t>version 2.0</w:t>
      </w:r>
      <w:r w:rsidR="00672509" w:rsidRPr="00A55F8B">
        <w:t>)</w:t>
      </w:r>
      <w:r w:rsidR="00453469" w:rsidRPr="00A55F8B">
        <w:t>) are in general concordance with those of the Nonclinical Evaluator.</w:t>
      </w:r>
      <w:r>
        <w:t>”</w:t>
      </w:r>
    </w:p>
    <w:p w:rsidR="00AA1D67" w:rsidRDefault="00AA1D67" w:rsidP="002B01FD">
      <w:pPr>
        <w:pStyle w:val="Heading4"/>
      </w:pPr>
      <w:r>
        <w:t>Outstanding issues</w:t>
      </w:r>
    </w:p>
    <w:p w:rsidR="00AA1D67" w:rsidRPr="00AA1D67" w:rsidRDefault="00AA1D67" w:rsidP="002B01FD">
      <w:pPr>
        <w:pStyle w:val="Heading5"/>
      </w:pPr>
      <w:r w:rsidRPr="00AA1D67">
        <w:t>Issues in relation to the RMP evaluation report</w:t>
      </w:r>
    </w:p>
    <w:p w:rsidR="00AA1D67" w:rsidRPr="00AA1D67" w:rsidRDefault="00AA1D67" w:rsidP="002B01FD">
      <w:r w:rsidRPr="00AA1D67">
        <w:t>The sponsor was asked to provide a tabular ‘Summary of the Risk Management Plan in Australia’ in a revised ASA, including reference to specific routine risk minimisation in the Australian PI. The sponsor states that it does not believe it necessary to provide a separate ‘Summary of the Risk Management Plan in Australia’ in a revised ASA</w:t>
      </w:r>
      <w:r w:rsidR="003F5A62">
        <w:rPr>
          <w:rStyle w:val="FootnoteReference"/>
        </w:rPr>
        <w:footnoteReference w:id="26"/>
      </w:r>
      <w:r w:rsidRPr="00AA1D67">
        <w:t>. The sponsor has also provided an assurance that the draft Australian PI and Consumer Medicine Information (CMI) will be revised to reflect the risk minimisation activities described in the updated RMP upon receipt of the De</w:t>
      </w:r>
      <w:r w:rsidR="00F35BE2">
        <w:t>legate’s o</w:t>
      </w:r>
      <w:r w:rsidRPr="00AA1D67">
        <w:t xml:space="preserve">verview. However, in regard to routine risk minimisation the EU-RMP makes reference to the </w:t>
      </w:r>
      <w:r w:rsidR="00804CE1">
        <w:t>Summary of Product Characteristics (</w:t>
      </w:r>
      <w:proofErr w:type="spellStart"/>
      <w:r w:rsidRPr="00AA1D67">
        <w:t>SmPC</w:t>
      </w:r>
      <w:proofErr w:type="spellEnd"/>
      <w:r w:rsidR="00804CE1">
        <w:t>)</w:t>
      </w:r>
      <w:r w:rsidRPr="00AA1D67">
        <w:t>, not the wording proposed in the draft Australian PI and CMI. Consequently this request remains outstanding.</w:t>
      </w:r>
    </w:p>
    <w:p w:rsidR="00413C5A" w:rsidRDefault="00413C5A" w:rsidP="002B01FD">
      <w:pPr>
        <w:pStyle w:val="Heading4"/>
        <w:rPr>
          <w:lang w:eastAsia="en-AU"/>
        </w:rPr>
      </w:pPr>
      <w:r>
        <w:rPr>
          <w:lang w:eastAsia="en-AU"/>
        </w:rPr>
        <w:t>Recommendations to the Delegate</w:t>
      </w:r>
    </w:p>
    <w:p w:rsidR="00453469" w:rsidRPr="00453469" w:rsidRDefault="00453469" w:rsidP="002B01FD">
      <w:r w:rsidRPr="00453469">
        <w:t>The European Risk Management Plan Version 3.0 (dated 14 October 2013), with an Australian Specific Annex (ASA) Version: 2.0 (undated), to be revised as specified in the sponsor’s correspondence dated 4 December 2013 and to the satisfaction o</w:t>
      </w:r>
      <w:r w:rsidR="00AA1D67">
        <w:t>f the TGA, must be implemented</w:t>
      </w:r>
      <w:r w:rsidR="00BD30AC">
        <w:t>, as a condition of registration</w:t>
      </w:r>
      <w:r w:rsidR="00AA1D67">
        <w:t>.</w:t>
      </w:r>
    </w:p>
    <w:p w:rsidR="008E7846" w:rsidRPr="00792A32" w:rsidRDefault="008E7846" w:rsidP="002B01FD">
      <w:pPr>
        <w:pStyle w:val="Heading2"/>
      </w:pPr>
      <w:bookmarkStart w:id="136" w:name="_Toc314842510"/>
      <w:bookmarkStart w:id="137" w:name="_Toc42057762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1"/>
      <w:bookmarkEnd w:id="135"/>
      <w:bookmarkEnd w:id="136"/>
      <w:bookmarkEnd w:id="137"/>
    </w:p>
    <w:p w:rsidR="008E7846" w:rsidRDefault="008E7846" w:rsidP="002B01FD">
      <w:bookmarkStart w:id="138" w:name="_Toc247691528"/>
      <w:r>
        <w:t xml:space="preserve">The submission was summarised in the following </w:t>
      </w:r>
      <w:r w:rsidRPr="00EF5C48">
        <w:t xml:space="preserve">Delegate’s </w:t>
      </w:r>
      <w:r>
        <w:t>overview</w:t>
      </w:r>
      <w:r w:rsidRPr="00EF5C48">
        <w:t xml:space="preserve"> and recommendation</w:t>
      </w:r>
      <w:r>
        <w:t>s:</w:t>
      </w:r>
    </w:p>
    <w:p w:rsidR="006721D0" w:rsidRPr="006721D0" w:rsidRDefault="006721D0" w:rsidP="002B01FD">
      <w:pPr>
        <w:pStyle w:val="Heading3"/>
      </w:pPr>
      <w:bookmarkStart w:id="139" w:name="_Toc420577621"/>
      <w:r w:rsidRPr="006721D0">
        <w:lastRenderedPageBreak/>
        <w:t>Background</w:t>
      </w:r>
      <w:bookmarkEnd w:id="139"/>
    </w:p>
    <w:p w:rsidR="006721D0" w:rsidRPr="006721D0" w:rsidRDefault="00525BC0" w:rsidP="002B01FD">
      <w:pPr>
        <w:pStyle w:val="Heading4"/>
      </w:pPr>
      <w:r>
        <w:t>The product</w:t>
      </w:r>
    </w:p>
    <w:p w:rsidR="002374E8" w:rsidRDefault="006721D0" w:rsidP="002B01FD">
      <w:r w:rsidRPr="006721D0">
        <w:t>Umeclidinium/</w:t>
      </w:r>
      <w:r w:rsidR="00F35BE2">
        <w:t>vilanterol</w:t>
      </w:r>
      <w:r w:rsidRPr="006721D0">
        <w:t xml:space="preserve"> (UMEC/V</w:t>
      </w:r>
      <w:r w:rsidR="002374E8">
        <w:t xml:space="preserve">I) inhalation powder is a fixed </w:t>
      </w:r>
      <w:r w:rsidRPr="006721D0">
        <w:t xml:space="preserve">dose combination (FDC) </w:t>
      </w:r>
      <w:r w:rsidR="002374E8" w:rsidRPr="002374E8">
        <w:t xml:space="preserve">product, </w:t>
      </w:r>
      <w:proofErr w:type="spellStart"/>
      <w:r w:rsidR="002374E8" w:rsidRPr="002374E8">
        <w:t>Anoro</w:t>
      </w:r>
      <w:proofErr w:type="spellEnd"/>
      <w:r w:rsidR="002374E8" w:rsidRPr="002374E8">
        <w:t xml:space="preserve"> </w:t>
      </w:r>
      <w:proofErr w:type="spellStart"/>
      <w:r w:rsidR="002374E8" w:rsidRPr="002374E8">
        <w:t>Ellipta</w:t>
      </w:r>
      <w:proofErr w:type="spellEnd"/>
      <w:r w:rsidR="002374E8">
        <w:t xml:space="preserve">, </w:t>
      </w:r>
      <w:r w:rsidRPr="006721D0">
        <w:t xml:space="preserve">administered by oral inhalation. The proposed dose is 62.5/25 </w:t>
      </w:r>
      <w:r w:rsidR="002374E8">
        <w:t>µ</w:t>
      </w:r>
      <w:r w:rsidRPr="006721D0">
        <w:t>g once daily. (The 125/25</w:t>
      </w:r>
      <w:r w:rsidR="002374E8">
        <w:t>µ</w:t>
      </w:r>
      <w:r w:rsidRPr="006721D0">
        <w:t>g product was withdrawn during the evaluation</w:t>
      </w:r>
      <w:r w:rsidR="002374E8">
        <w:t>, see below</w:t>
      </w:r>
      <w:r w:rsidRPr="006721D0">
        <w:t>)</w:t>
      </w:r>
      <w:r w:rsidR="002374E8">
        <w:t xml:space="preserve">. The proposed indication for </w:t>
      </w:r>
      <w:proofErr w:type="spellStart"/>
      <w:r w:rsidR="002374E8">
        <w:t>Anoro</w:t>
      </w:r>
      <w:proofErr w:type="spellEnd"/>
      <w:r w:rsidR="002374E8">
        <w:t xml:space="preserve"> </w:t>
      </w:r>
      <w:proofErr w:type="spellStart"/>
      <w:r w:rsidR="002374E8">
        <w:t>Ellipta</w:t>
      </w:r>
      <w:proofErr w:type="spellEnd"/>
      <w:r w:rsidR="002374E8">
        <w:t xml:space="preserve"> is:</w:t>
      </w:r>
    </w:p>
    <w:p w:rsidR="002374E8" w:rsidRPr="002B01FD" w:rsidRDefault="002374E8" w:rsidP="002B01FD">
      <w:pPr>
        <w:ind w:left="284"/>
        <w:rPr>
          <w:i/>
        </w:rPr>
      </w:pPr>
      <w:r w:rsidRPr="002B01FD">
        <w:rPr>
          <w:i/>
        </w:rPr>
        <w:t xml:space="preserve">... </w:t>
      </w:r>
      <w:proofErr w:type="gramStart"/>
      <w:r w:rsidRPr="002B01FD">
        <w:rPr>
          <w:i/>
        </w:rPr>
        <w:t>as</w:t>
      </w:r>
      <w:proofErr w:type="gramEnd"/>
      <w:r w:rsidRPr="002B01FD">
        <w:rPr>
          <w:i/>
        </w:rPr>
        <w:t xml:space="preserve"> a long-term once daily maintenance bronchodilator treatment to relieve symptoms in adult patients with chronic obstructive pulmonary disease (COPD)</w:t>
      </w:r>
    </w:p>
    <w:p w:rsidR="002374E8" w:rsidRDefault="002374E8" w:rsidP="002B01FD">
      <w:proofErr w:type="spellStart"/>
      <w:r w:rsidRPr="00F60B8E">
        <w:t>Umeclidinium</w:t>
      </w:r>
      <w:proofErr w:type="spellEnd"/>
      <w:r w:rsidRPr="00F60B8E">
        <w:t>, a LAMA (anti-cholinergic), is a new chemical entity. Vilanterol is a selective LABA.</w:t>
      </w:r>
      <w:r>
        <w:t xml:space="preserve"> </w:t>
      </w:r>
      <w:r w:rsidRPr="00F60B8E">
        <w:t xml:space="preserve">Vilanterol has been previously considered by </w:t>
      </w:r>
      <w:r>
        <w:t xml:space="preserve">the TGA </w:t>
      </w:r>
      <w:r w:rsidRPr="00F60B8E">
        <w:t xml:space="preserve">as part of the </w:t>
      </w:r>
      <w:proofErr w:type="spellStart"/>
      <w:r w:rsidRPr="00F60B8E">
        <w:t>B</w:t>
      </w:r>
      <w:r>
        <w:t>reo</w:t>
      </w:r>
      <w:proofErr w:type="spellEnd"/>
      <w:r>
        <w:t xml:space="preserve"> </w:t>
      </w:r>
      <w:proofErr w:type="spellStart"/>
      <w:r w:rsidRPr="00F60B8E">
        <w:t>E</w:t>
      </w:r>
      <w:r>
        <w:t>llipta</w:t>
      </w:r>
      <w:proofErr w:type="spellEnd"/>
      <w:r>
        <w:t xml:space="preserve"> </w:t>
      </w:r>
      <w:r w:rsidR="00B73028">
        <w:t>fixed dose combination</w:t>
      </w:r>
      <w:r w:rsidRPr="00F60B8E">
        <w:t xml:space="preserve"> product. The mono product</w:t>
      </w:r>
      <w:r w:rsidR="00B73028">
        <w:t xml:space="preserve">, </w:t>
      </w:r>
      <w:proofErr w:type="spellStart"/>
      <w:r w:rsidR="00B73028">
        <w:t>Incruse</w:t>
      </w:r>
      <w:proofErr w:type="spellEnd"/>
      <w:r w:rsidR="00B73028">
        <w:t xml:space="preserve"> </w:t>
      </w:r>
      <w:proofErr w:type="spellStart"/>
      <w:r w:rsidR="00B73028">
        <w:t>Ellipta</w:t>
      </w:r>
      <w:proofErr w:type="spellEnd"/>
      <w:r w:rsidRPr="00F60B8E">
        <w:t xml:space="preserve"> (</w:t>
      </w:r>
      <w:r w:rsidR="00A54884">
        <w:t>UMEC</w:t>
      </w:r>
      <w:r w:rsidRPr="00F60B8E">
        <w:t>)</w:t>
      </w:r>
      <w:r w:rsidR="00B73028">
        <w:t>,</w:t>
      </w:r>
      <w:r w:rsidRPr="00F60B8E">
        <w:t xml:space="preserve"> is also being considered </w:t>
      </w:r>
      <w:r>
        <w:t>by the TGA</w:t>
      </w:r>
      <w:r w:rsidRPr="00F60B8E">
        <w:t>.</w:t>
      </w:r>
      <w:r>
        <w:t xml:space="preserve"> </w:t>
      </w:r>
      <w:r w:rsidRPr="00F60B8E">
        <w:t>Vilanterol is not marketed as a mono product.</w:t>
      </w:r>
    </w:p>
    <w:p w:rsidR="006721D0" w:rsidRDefault="006721D0" w:rsidP="002B01FD">
      <w:r w:rsidRPr="006721D0">
        <w:t xml:space="preserve">UMEC/VI is administered by the same dry powder inhaler device approved for </w:t>
      </w:r>
      <w:proofErr w:type="spellStart"/>
      <w:r w:rsidRPr="006721D0">
        <w:t>B</w:t>
      </w:r>
      <w:r w:rsidR="002374E8" w:rsidRPr="006721D0">
        <w:t>reo</w:t>
      </w:r>
      <w:proofErr w:type="spellEnd"/>
      <w:r w:rsidRPr="006721D0">
        <w:t xml:space="preserve"> </w:t>
      </w:r>
      <w:proofErr w:type="spellStart"/>
      <w:r w:rsidRPr="006721D0">
        <w:t>E</w:t>
      </w:r>
      <w:r w:rsidR="002374E8" w:rsidRPr="006721D0">
        <w:t>llipta</w:t>
      </w:r>
      <w:proofErr w:type="spellEnd"/>
      <w:r w:rsidRPr="006721D0">
        <w:t xml:space="preserve">. The </w:t>
      </w:r>
      <w:proofErr w:type="spellStart"/>
      <w:r w:rsidRPr="006721D0">
        <w:t>E</w:t>
      </w:r>
      <w:r w:rsidR="002374E8" w:rsidRPr="006721D0">
        <w:t>llipta</w:t>
      </w:r>
      <w:proofErr w:type="spellEnd"/>
      <w:r w:rsidRPr="006721D0">
        <w:t xml:space="preserve"> inhaler is a plastic inhaler with dose counter. The devic</w:t>
      </w:r>
      <w:r w:rsidR="00525BC0">
        <w:t xml:space="preserve">e contains two separate, double </w:t>
      </w:r>
      <w:r w:rsidRPr="006721D0">
        <w:t>foil, laminate blister strips that are activated in parallel and provide a total of 30 do</w:t>
      </w:r>
      <w:r w:rsidR="002374E8">
        <w:t xml:space="preserve">ses. One strip contains </w:t>
      </w:r>
      <w:proofErr w:type="spellStart"/>
      <w:r w:rsidR="002374E8">
        <w:t>micronis</w:t>
      </w:r>
      <w:r w:rsidRPr="006721D0">
        <w:t>ed</w:t>
      </w:r>
      <w:proofErr w:type="spellEnd"/>
      <w:r w:rsidRPr="006721D0">
        <w:t xml:space="preserve"> UMEC and lactose. Th</w:t>
      </w:r>
      <w:r w:rsidR="002374E8">
        <w:t xml:space="preserve">e second strip contains </w:t>
      </w:r>
      <w:proofErr w:type="spellStart"/>
      <w:r w:rsidR="002374E8">
        <w:t>micronis</w:t>
      </w:r>
      <w:r w:rsidRPr="006721D0">
        <w:t>ed</w:t>
      </w:r>
      <w:proofErr w:type="spellEnd"/>
      <w:r w:rsidRPr="006721D0">
        <w:t xml:space="preserve"> VI, magnesium stearate, and lactose. The device is designed to deliver the contents from a single blister from each of the two blister strips simultaneously.</w:t>
      </w:r>
    </w:p>
    <w:p w:rsidR="006721D0" w:rsidRPr="006721D0" w:rsidRDefault="00152B78" w:rsidP="002B01FD">
      <w:pPr>
        <w:pStyle w:val="Heading5"/>
      </w:pPr>
      <w:r>
        <w:t>Safety of LAMAs</w:t>
      </w:r>
    </w:p>
    <w:p w:rsidR="006721D0" w:rsidRDefault="006721D0" w:rsidP="002B01FD">
      <w:r w:rsidRPr="006721D0">
        <w:t>Common anticholinergic adverse effects include dry mouth, co</w:t>
      </w:r>
      <w:r w:rsidR="00F35BE2">
        <w:t xml:space="preserve">nstipation, worsening of narrow </w:t>
      </w:r>
      <w:r w:rsidRPr="006721D0">
        <w:t>angle glaucoma, and w</w:t>
      </w:r>
      <w:r w:rsidR="00525BC0">
        <w:t xml:space="preserve">orsening of urinary retention. </w:t>
      </w:r>
      <w:r w:rsidRPr="006721D0">
        <w:t xml:space="preserve">LAMAs have been associated with safety concerns regarding a possible increased risk of stroke, cardiovascular death, </w:t>
      </w:r>
      <w:r w:rsidR="00525BC0">
        <w:t>and myocardial infarction. T</w:t>
      </w:r>
      <w:r w:rsidRPr="006721D0">
        <w:t>able</w:t>
      </w:r>
      <w:r w:rsidR="00F35BE2">
        <w:t xml:space="preserve"> 11</w:t>
      </w:r>
      <w:r w:rsidR="00525BC0">
        <w:t>,</w:t>
      </w:r>
      <w:r w:rsidRPr="006721D0">
        <w:t xml:space="preserve"> summarises some of the evidence, which involves </w:t>
      </w:r>
      <w:proofErr w:type="spellStart"/>
      <w:r w:rsidRPr="006721D0">
        <w:t>tiotropium</w:t>
      </w:r>
      <w:proofErr w:type="spellEnd"/>
      <w:r w:rsidR="00A54884">
        <w:t xml:space="preserve"> (TIO)</w:t>
      </w:r>
      <w:r w:rsidRPr="006721D0">
        <w:t xml:space="preserve"> (registered in Australia in 2002). (The 2008 Singh meta-analysis</w:t>
      </w:r>
      <w:r w:rsidR="002374E8">
        <w:rPr>
          <w:rStyle w:val="FootnoteReference"/>
        </w:rPr>
        <w:footnoteReference w:id="27"/>
      </w:r>
      <w:r w:rsidRPr="006721D0">
        <w:t xml:space="preserve"> also included the </w:t>
      </w:r>
      <w:r w:rsidR="002374E8" w:rsidRPr="002374E8">
        <w:t xml:space="preserve">short acting </w:t>
      </w:r>
      <w:proofErr w:type="spellStart"/>
      <w:r w:rsidR="002374E8" w:rsidRPr="002374E8">
        <w:t>muscarinc</w:t>
      </w:r>
      <w:proofErr w:type="spellEnd"/>
      <w:r w:rsidR="002374E8" w:rsidRPr="002374E8">
        <w:t xml:space="preserve"> antagonist </w:t>
      </w:r>
      <w:r w:rsidR="002374E8">
        <w:t>(</w:t>
      </w:r>
      <w:r w:rsidRPr="006721D0">
        <w:t>SAMA</w:t>
      </w:r>
      <w:r w:rsidR="002374E8">
        <w:t>)</w:t>
      </w:r>
      <w:r w:rsidRPr="006721D0">
        <w:t xml:space="preserve"> ipratropium.)</w:t>
      </w:r>
      <w:r w:rsidR="00152B78">
        <w:t>.</w:t>
      </w:r>
    </w:p>
    <w:p w:rsidR="00525BC0" w:rsidRDefault="00F35BE2" w:rsidP="002B01FD">
      <w:pPr>
        <w:pStyle w:val="Tabletitle0"/>
      </w:pPr>
      <w:proofErr w:type="gramStart"/>
      <w:r>
        <w:t>Table 11</w:t>
      </w:r>
      <w:r w:rsidR="00525BC0">
        <w:t>.</w:t>
      </w:r>
      <w:proofErr w:type="gramEnd"/>
      <w:r w:rsidR="00525BC0">
        <w:t xml:space="preserve"> Summary of evidence of safety concerns for LAMAs.</w:t>
      </w:r>
    </w:p>
    <w:tbl>
      <w:tblPr>
        <w:tblStyle w:val="TableTGAblue"/>
        <w:tblW w:w="9134" w:type="dxa"/>
        <w:tblLayout w:type="fixed"/>
        <w:tblLook w:val="04A0" w:firstRow="1" w:lastRow="0" w:firstColumn="1" w:lastColumn="0" w:noHBand="0" w:noVBand="1"/>
      </w:tblPr>
      <w:tblGrid>
        <w:gridCol w:w="2002"/>
        <w:gridCol w:w="1601"/>
        <w:gridCol w:w="1608"/>
        <w:gridCol w:w="1985"/>
        <w:gridCol w:w="1938"/>
      </w:tblGrid>
      <w:tr w:rsidR="006721D0" w:rsidRPr="006721D0" w:rsidTr="002B01FD">
        <w:trPr>
          <w:cnfStyle w:val="100000000000" w:firstRow="1" w:lastRow="0" w:firstColumn="0" w:lastColumn="0" w:oddVBand="0" w:evenVBand="0" w:oddHBand="0" w:evenHBand="0" w:firstRowFirstColumn="0" w:firstRowLastColumn="0" w:lastRowFirstColumn="0" w:lastRowLastColumn="0"/>
          <w:trHeight w:hRule="exact" w:val="1155"/>
        </w:trPr>
        <w:tc>
          <w:tcPr>
            <w:tcW w:w="2002" w:type="dxa"/>
          </w:tcPr>
          <w:p w:rsidR="006721D0" w:rsidRPr="006721D0" w:rsidRDefault="006721D0" w:rsidP="002B01FD">
            <w:pPr>
              <w:ind w:left="0"/>
            </w:pPr>
          </w:p>
        </w:tc>
        <w:tc>
          <w:tcPr>
            <w:tcW w:w="1601" w:type="dxa"/>
          </w:tcPr>
          <w:p w:rsidR="006721D0" w:rsidRPr="006721D0" w:rsidRDefault="006721D0" w:rsidP="002B01FD">
            <w:pPr>
              <w:ind w:left="0"/>
            </w:pPr>
            <w:r w:rsidRPr="006721D0">
              <w:t xml:space="preserve">29 pooled </w:t>
            </w:r>
            <w:r>
              <w:t xml:space="preserve">trials </w:t>
            </w:r>
            <w:r w:rsidRPr="006721D0">
              <w:t>(2007)</w:t>
            </w:r>
            <w:r w:rsidRPr="00522013">
              <w:rPr>
                <w:vertAlign w:val="superscript"/>
              </w:rPr>
              <w:t>1</w:t>
            </w:r>
            <w:r>
              <w:t xml:space="preserve"> </w:t>
            </w:r>
          </w:p>
        </w:tc>
        <w:tc>
          <w:tcPr>
            <w:tcW w:w="1608" w:type="dxa"/>
          </w:tcPr>
          <w:p w:rsidR="006721D0" w:rsidRPr="006721D0" w:rsidRDefault="006721D0" w:rsidP="00033028">
            <w:pPr>
              <w:ind w:left="0"/>
            </w:pPr>
            <w:r w:rsidRPr="006721D0">
              <w:t>Singh meta-analysis (2008)</w:t>
            </w:r>
            <w:r w:rsidRPr="00522013">
              <w:rPr>
                <w:vertAlign w:val="superscript"/>
              </w:rPr>
              <w:t>2</w:t>
            </w:r>
          </w:p>
        </w:tc>
        <w:tc>
          <w:tcPr>
            <w:tcW w:w="1985" w:type="dxa"/>
          </w:tcPr>
          <w:p w:rsidR="006721D0" w:rsidRPr="006721D0" w:rsidRDefault="006721D0" w:rsidP="00033028">
            <w:pPr>
              <w:ind w:left="34"/>
            </w:pPr>
            <w:r w:rsidRPr="006721D0">
              <w:t>UPLIFT (2009)</w:t>
            </w:r>
            <w:r w:rsidRPr="00522013">
              <w:rPr>
                <w:vertAlign w:val="superscript"/>
              </w:rPr>
              <w:t>3</w:t>
            </w:r>
          </w:p>
        </w:tc>
        <w:tc>
          <w:tcPr>
            <w:tcW w:w="1938" w:type="dxa"/>
          </w:tcPr>
          <w:p w:rsidR="006721D0" w:rsidRPr="006721D0" w:rsidRDefault="006721D0" w:rsidP="00033028">
            <w:pPr>
              <w:ind w:left="34"/>
            </w:pPr>
            <w:r w:rsidRPr="006721D0">
              <w:t>Singh meta-analysis (2011)</w:t>
            </w:r>
            <w:r w:rsidRPr="00522013">
              <w:rPr>
                <w:vertAlign w:val="superscript"/>
              </w:rPr>
              <w:t>4</w:t>
            </w:r>
          </w:p>
        </w:tc>
      </w:tr>
      <w:tr w:rsidR="006721D0" w:rsidRPr="006721D0" w:rsidTr="002B01FD">
        <w:trPr>
          <w:trHeight w:hRule="exact" w:val="1142"/>
        </w:trPr>
        <w:tc>
          <w:tcPr>
            <w:tcW w:w="2002" w:type="dxa"/>
          </w:tcPr>
          <w:p w:rsidR="006721D0" w:rsidRPr="00525BC0" w:rsidRDefault="006721D0" w:rsidP="002B01FD">
            <w:pPr>
              <w:ind w:left="0"/>
            </w:pPr>
            <w:r w:rsidRPr="00525BC0">
              <w:t>Type of LAMA</w:t>
            </w:r>
          </w:p>
        </w:tc>
        <w:tc>
          <w:tcPr>
            <w:tcW w:w="1601" w:type="dxa"/>
          </w:tcPr>
          <w:p w:rsidR="006721D0" w:rsidRPr="00525BC0" w:rsidRDefault="006721D0" w:rsidP="002B01FD">
            <w:pPr>
              <w:ind w:left="0"/>
            </w:pPr>
            <w:proofErr w:type="spellStart"/>
            <w:r w:rsidRPr="00525BC0">
              <w:t>tiotropium</w:t>
            </w:r>
            <w:proofErr w:type="spellEnd"/>
            <w:r w:rsidRPr="00525BC0">
              <w:t xml:space="preserve"> </w:t>
            </w:r>
            <w:proofErr w:type="spellStart"/>
            <w:r w:rsidRPr="00525BC0">
              <w:t>Handihaler</w:t>
            </w:r>
            <w:proofErr w:type="spellEnd"/>
          </w:p>
        </w:tc>
        <w:tc>
          <w:tcPr>
            <w:tcW w:w="1608" w:type="dxa"/>
          </w:tcPr>
          <w:p w:rsidR="006721D0" w:rsidRPr="00525BC0" w:rsidRDefault="006721D0" w:rsidP="00033028">
            <w:pPr>
              <w:ind w:left="0"/>
            </w:pPr>
            <w:proofErr w:type="spellStart"/>
            <w:r w:rsidRPr="00525BC0">
              <w:t>tiotropium</w:t>
            </w:r>
            <w:proofErr w:type="spellEnd"/>
            <w:r w:rsidRPr="00525BC0">
              <w:t xml:space="preserve"> </w:t>
            </w:r>
            <w:proofErr w:type="spellStart"/>
            <w:r w:rsidRPr="00525BC0">
              <w:t>HandiHaler</w:t>
            </w:r>
            <w:proofErr w:type="spellEnd"/>
            <w:r w:rsidRPr="00525BC0">
              <w:t xml:space="preserve"> ipratropium</w:t>
            </w:r>
          </w:p>
        </w:tc>
        <w:tc>
          <w:tcPr>
            <w:tcW w:w="1985" w:type="dxa"/>
          </w:tcPr>
          <w:p w:rsidR="006721D0" w:rsidRPr="00525BC0" w:rsidRDefault="006721D0" w:rsidP="00033028">
            <w:pPr>
              <w:ind w:left="34"/>
            </w:pPr>
            <w:proofErr w:type="spellStart"/>
            <w:r w:rsidRPr="00525BC0">
              <w:t>tiotropium</w:t>
            </w:r>
            <w:proofErr w:type="spellEnd"/>
            <w:r w:rsidRPr="00525BC0">
              <w:t xml:space="preserve"> </w:t>
            </w:r>
            <w:proofErr w:type="spellStart"/>
            <w:r w:rsidRPr="00525BC0">
              <w:t>HandiHaler</w:t>
            </w:r>
            <w:proofErr w:type="spellEnd"/>
          </w:p>
        </w:tc>
        <w:tc>
          <w:tcPr>
            <w:tcW w:w="1938" w:type="dxa"/>
          </w:tcPr>
          <w:p w:rsidR="006721D0" w:rsidRPr="00525BC0" w:rsidRDefault="006721D0" w:rsidP="00033028">
            <w:pPr>
              <w:ind w:left="34"/>
            </w:pPr>
            <w:proofErr w:type="spellStart"/>
            <w:r w:rsidRPr="00525BC0">
              <w:t>tiotropium</w:t>
            </w:r>
            <w:proofErr w:type="spellEnd"/>
            <w:r w:rsidRPr="00525BC0">
              <w:t xml:space="preserve"> </w:t>
            </w:r>
            <w:proofErr w:type="spellStart"/>
            <w:r w:rsidRPr="00525BC0">
              <w:t>Respimat</w:t>
            </w:r>
            <w:proofErr w:type="spellEnd"/>
          </w:p>
        </w:tc>
      </w:tr>
      <w:tr w:rsidR="006721D0" w:rsidRPr="006721D0" w:rsidTr="002B01FD">
        <w:trPr>
          <w:trHeight w:hRule="exact" w:val="705"/>
        </w:trPr>
        <w:tc>
          <w:tcPr>
            <w:tcW w:w="2002" w:type="dxa"/>
          </w:tcPr>
          <w:p w:rsidR="006721D0" w:rsidRPr="00525BC0" w:rsidRDefault="006721D0" w:rsidP="002B01FD">
            <w:pPr>
              <w:ind w:left="0"/>
            </w:pPr>
            <w:r w:rsidRPr="00525BC0">
              <w:t>Relative risk (95% CI)</w:t>
            </w:r>
          </w:p>
        </w:tc>
        <w:tc>
          <w:tcPr>
            <w:tcW w:w="1601" w:type="dxa"/>
          </w:tcPr>
          <w:p w:rsidR="006721D0" w:rsidRPr="00525BC0" w:rsidRDefault="006721D0" w:rsidP="002B01FD">
            <w:pPr>
              <w:ind w:left="0"/>
            </w:pPr>
          </w:p>
        </w:tc>
        <w:tc>
          <w:tcPr>
            <w:tcW w:w="1608" w:type="dxa"/>
          </w:tcPr>
          <w:p w:rsidR="006721D0" w:rsidRPr="00525BC0" w:rsidRDefault="006721D0" w:rsidP="00033028">
            <w:pPr>
              <w:ind w:left="0"/>
            </w:pPr>
          </w:p>
        </w:tc>
        <w:tc>
          <w:tcPr>
            <w:tcW w:w="1985" w:type="dxa"/>
          </w:tcPr>
          <w:p w:rsidR="006721D0" w:rsidRPr="00525BC0" w:rsidRDefault="006721D0" w:rsidP="00033028">
            <w:pPr>
              <w:ind w:left="34"/>
            </w:pPr>
          </w:p>
        </w:tc>
        <w:tc>
          <w:tcPr>
            <w:tcW w:w="1938" w:type="dxa"/>
          </w:tcPr>
          <w:p w:rsidR="006721D0" w:rsidRPr="00525BC0" w:rsidRDefault="006721D0" w:rsidP="00033028">
            <w:pPr>
              <w:ind w:left="34"/>
            </w:pPr>
          </w:p>
        </w:tc>
      </w:tr>
      <w:tr w:rsidR="006721D0" w:rsidRPr="006721D0" w:rsidTr="002B01FD">
        <w:trPr>
          <w:trHeight w:hRule="exact" w:val="699"/>
        </w:trPr>
        <w:tc>
          <w:tcPr>
            <w:tcW w:w="2002" w:type="dxa"/>
          </w:tcPr>
          <w:p w:rsidR="006721D0" w:rsidRPr="00525BC0" w:rsidRDefault="006721D0" w:rsidP="002B01FD">
            <w:pPr>
              <w:ind w:left="0"/>
            </w:pPr>
            <w:r w:rsidRPr="00525BC0">
              <w:t>Stroke</w:t>
            </w:r>
          </w:p>
        </w:tc>
        <w:tc>
          <w:tcPr>
            <w:tcW w:w="1601" w:type="dxa"/>
          </w:tcPr>
          <w:p w:rsidR="006721D0" w:rsidRPr="00525BC0" w:rsidRDefault="006721D0" w:rsidP="002B01FD">
            <w:pPr>
              <w:ind w:left="0"/>
            </w:pPr>
            <w:r w:rsidRPr="00525BC0">
              <w:t>1.37 (0.73, 15.6)</w:t>
            </w:r>
          </w:p>
        </w:tc>
        <w:tc>
          <w:tcPr>
            <w:tcW w:w="1608" w:type="dxa"/>
          </w:tcPr>
          <w:p w:rsidR="006721D0" w:rsidRPr="00525BC0" w:rsidRDefault="006721D0" w:rsidP="00033028">
            <w:pPr>
              <w:ind w:left="0"/>
            </w:pPr>
            <w:r w:rsidRPr="00525BC0">
              <w:t>1.46 (0.81, 2.62)</w:t>
            </w:r>
          </w:p>
        </w:tc>
        <w:tc>
          <w:tcPr>
            <w:tcW w:w="1985" w:type="dxa"/>
          </w:tcPr>
          <w:p w:rsidR="006721D0" w:rsidRPr="00525BC0" w:rsidRDefault="006721D0" w:rsidP="00033028">
            <w:pPr>
              <w:ind w:left="34"/>
            </w:pPr>
            <w:r w:rsidRPr="00525BC0">
              <w:t>0.95 (0.70, 1.29)</w:t>
            </w:r>
          </w:p>
        </w:tc>
        <w:tc>
          <w:tcPr>
            <w:tcW w:w="1938" w:type="dxa"/>
          </w:tcPr>
          <w:p w:rsidR="006721D0" w:rsidRPr="00525BC0" w:rsidRDefault="006721D0" w:rsidP="00033028">
            <w:pPr>
              <w:ind w:left="34"/>
            </w:pPr>
          </w:p>
        </w:tc>
      </w:tr>
      <w:tr w:rsidR="006721D0" w:rsidRPr="006721D0" w:rsidTr="002B01FD">
        <w:trPr>
          <w:trHeight w:hRule="exact" w:val="711"/>
        </w:trPr>
        <w:tc>
          <w:tcPr>
            <w:tcW w:w="2002" w:type="dxa"/>
          </w:tcPr>
          <w:p w:rsidR="006721D0" w:rsidRPr="00525BC0" w:rsidRDefault="006721D0" w:rsidP="002B01FD">
            <w:pPr>
              <w:ind w:left="0"/>
            </w:pPr>
            <w:r w:rsidRPr="00525BC0">
              <w:t>Myocardial infarction</w:t>
            </w:r>
          </w:p>
        </w:tc>
        <w:tc>
          <w:tcPr>
            <w:tcW w:w="1601" w:type="dxa"/>
          </w:tcPr>
          <w:p w:rsidR="006721D0" w:rsidRPr="00525BC0" w:rsidRDefault="006721D0" w:rsidP="002B01FD">
            <w:pPr>
              <w:ind w:left="0"/>
            </w:pPr>
          </w:p>
        </w:tc>
        <w:tc>
          <w:tcPr>
            <w:tcW w:w="1608" w:type="dxa"/>
          </w:tcPr>
          <w:p w:rsidR="006721D0" w:rsidRPr="00525BC0" w:rsidRDefault="006721D0" w:rsidP="00033028">
            <w:pPr>
              <w:ind w:left="0"/>
            </w:pPr>
            <w:r w:rsidRPr="00525BC0">
              <w:t>1.53 (1.05, 2.23)</w:t>
            </w:r>
          </w:p>
        </w:tc>
        <w:tc>
          <w:tcPr>
            <w:tcW w:w="1985" w:type="dxa"/>
          </w:tcPr>
          <w:p w:rsidR="006721D0" w:rsidRPr="00525BC0" w:rsidRDefault="006721D0" w:rsidP="00033028">
            <w:pPr>
              <w:ind w:left="34"/>
            </w:pPr>
            <w:r w:rsidRPr="00525BC0">
              <w:t>0.71 (0.51, 0.99)</w:t>
            </w:r>
          </w:p>
        </w:tc>
        <w:tc>
          <w:tcPr>
            <w:tcW w:w="1938" w:type="dxa"/>
          </w:tcPr>
          <w:p w:rsidR="006721D0" w:rsidRPr="00525BC0" w:rsidRDefault="006721D0" w:rsidP="00033028">
            <w:pPr>
              <w:ind w:left="34"/>
            </w:pPr>
          </w:p>
        </w:tc>
      </w:tr>
      <w:tr w:rsidR="006721D0" w:rsidRPr="006721D0" w:rsidTr="002B01FD">
        <w:trPr>
          <w:trHeight w:hRule="exact" w:val="759"/>
        </w:trPr>
        <w:tc>
          <w:tcPr>
            <w:tcW w:w="2002" w:type="dxa"/>
          </w:tcPr>
          <w:p w:rsidR="006721D0" w:rsidRPr="00525BC0" w:rsidRDefault="006721D0" w:rsidP="002B01FD">
            <w:pPr>
              <w:ind w:left="0"/>
            </w:pPr>
            <w:r w:rsidRPr="00525BC0">
              <w:lastRenderedPageBreak/>
              <w:t>CV death</w:t>
            </w:r>
          </w:p>
        </w:tc>
        <w:tc>
          <w:tcPr>
            <w:tcW w:w="1601" w:type="dxa"/>
          </w:tcPr>
          <w:p w:rsidR="006721D0" w:rsidRPr="00525BC0" w:rsidRDefault="006721D0" w:rsidP="002B01FD">
            <w:pPr>
              <w:ind w:left="0"/>
            </w:pPr>
            <w:r w:rsidRPr="00525BC0">
              <w:t>0.97 (0.54, 1.75)</w:t>
            </w:r>
          </w:p>
        </w:tc>
        <w:tc>
          <w:tcPr>
            <w:tcW w:w="1608" w:type="dxa"/>
          </w:tcPr>
          <w:p w:rsidR="006721D0" w:rsidRPr="00525BC0" w:rsidRDefault="006721D0" w:rsidP="00033028">
            <w:pPr>
              <w:ind w:left="0"/>
            </w:pPr>
            <w:r w:rsidRPr="00525BC0">
              <w:t>1.80 (1.17, 2.77)</w:t>
            </w:r>
          </w:p>
        </w:tc>
        <w:tc>
          <w:tcPr>
            <w:tcW w:w="1985" w:type="dxa"/>
          </w:tcPr>
          <w:p w:rsidR="006721D0" w:rsidRPr="00525BC0" w:rsidRDefault="006721D0" w:rsidP="00033028">
            <w:pPr>
              <w:ind w:left="34"/>
            </w:pPr>
            <w:r w:rsidRPr="00525BC0">
              <w:t>0.73 (0.56, 0.95)</w:t>
            </w:r>
          </w:p>
        </w:tc>
        <w:tc>
          <w:tcPr>
            <w:tcW w:w="1938" w:type="dxa"/>
          </w:tcPr>
          <w:p w:rsidR="006721D0" w:rsidRPr="00525BC0" w:rsidRDefault="006721D0" w:rsidP="00033028">
            <w:pPr>
              <w:ind w:left="34"/>
            </w:pPr>
            <w:r w:rsidRPr="00525BC0">
              <w:t>2.05 (1.06, 3.99)</w:t>
            </w:r>
          </w:p>
        </w:tc>
      </w:tr>
      <w:tr w:rsidR="006721D0" w:rsidRPr="006721D0" w:rsidTr="002B01FD">
        <w:trPr>
          <w:trHeight w:hRule="exact" w:val="854"/>
        </w:trPr>
        <w:tc>
          <w:tcPr>
            <w:tcW w:w="2002" w:type="dxa"/>
          </w:tcPr>
          <w:p w:rsidR="006721D0" w:rsidRPr="00525BC0" w:rsidRDefault="006721D0" w:rsidP="002B01FD">
            <w:pPr>
              <w:ind w:left="0"/>
            </w:pPr>
            <w:r w:rsidRPr="00525BC0">
              <w:t>Any death</w:t>
            </w:r>
          </w:p>
        </w:tc>
        <w:tc>
          <w:tcPr>
            <w:tcW w:w="1601" w:type="dxa"/>
          </w:tcPr>
          <w:p w:rsidR="006721D0" w:rsidRPr="00525BC0" w:rsidRDefault="006721D0" w:rsidP="002B01FD">
            <w:pPr>
              <w:ind w:left="0"/>
            </w:pPr>
          </w:p>
        </w:tc>
        <w:tc>
          <w:tcPr>
            <w:tcW w:w="1608" w:type="dxa"/>
          </w:tcPr>
          <w:p w:rsidR="006721D0" w:rsidRPr="00525BC0" w:rsidRDefault="006721D0" w:rsidP="00033028">
            <w:pPr>
              <w:ind w:left="0"/>
            </w:pPr>
            <w:r w:rsidRPr="00525BC0">
              <w:t>1.26 (0.99, 1.61)</w:t>
            </w:r>
          </w:p>
        </w:tc>
        <w:tc>
          <w:tcPr>
            <w:tcW w:w="1985" w:type="dxa"/>
          </w:tcPr>
          <w:p w:rsidR="006721D0" w:rsidRPr="00525BC0" w:rsidRDefault="006721D0" w:rsidP="00033028">
            <w:pPr>
              <w:ind w:left="34"/>
            </w:pPr>
            <w:r w:rsidRPr="00525BC0">
              <w:t>0.85 (0.74, 0.98)</w:t>
            </w:r>
          </w:p>
        </w:tc>
        <w:tc>
          <w:tcPr>
            <w:tcW w:w="1938" w:type="dxa"/>
          </w:tcPr>
          <w:p w:rsidR="006721D0" w:rsidRPr="00525BC0" w:rsidRDefault="006721D0" w:rsidP="00033028">
            <w:pPr>
              <w:ind w:left="34"/>
            </w:pPr>
            <w:r w:rsidRPr="00525BC0">
              <w:t>1.52 (1.06, 2.16)</w:t>
            </w:r>
          </w:p>
        </w:tc>
      </w:tr>
    </w:tbl>
    <w:p w:rsidR="00522013" w:rsidRPr="00522013" w:rsidRDefault="00522013" w:rsidP="007831A2">
      <w:pPr>
        <w:pStyle w:val="TableDescription"/>
      </w:pPr>
      <w:r w:rsidRPr="00522013">
        <w:t xml:space="preserve">1. Michele TM, </w:t>
      </w:r>
      <w:r w:rsidR="00A55F8B">
        <w:t>et al</w:t>
      </w:r>
      <w:r w:rsidRPr="00522013">
        <w:t xml:space="preserve">. </w:t>
      </w:r>
      <w:proofErr w:type="gramStart"/>
      <w:r w:rsidRPr="00522013">
        <w:t xml:space="preserve">The safety of </w:t>
      </w:r>
      <w:proofErr w:type="spellStart"/>
      <w:r w:rsidRPr="00522013">
        <w:t>tiotropium</w:t>
      </w:r>
      <w:proofErr w:type="spellEnd"/>
      <w:r w:rsidRPr="00522013">
        <w:t xml:space="preserve"> – the FDA’s conclus</w:t>
      </w:r>
      <w:r w:rsidR="00377981">
        <w:t>ions.</w:t>
      </w:r>
      <w:proofErr w:type="gramEnd"/>
      <w:r w:rsidR="00377981">
        <w:t xml:space="preserve"> </w:t>
      </w:r>
      <w:r w:rsidR="00A55F8B" w:rsidRPr="00A55F8B">
        <w:rPr>
          <w:i/>
        </w:rPr>
        <w:t xml:space="preserve">N </w:t>
      </w:r>
      <w:proofErr w:type="spellStart"/>
      <w:r w:rsidR="00A55F8B" w:rsidRPr="00A55F8B">
        <w:rPr>
          <w:i/>
        </w:rPr>
        <w:t>Engl</w:t>
      </w:r>
      <w:proofErr w:type="spellEnd"/>
      <w:r w:rsidR="00A55F8B" w:rsidRPr="00A55F8B">
        <w:rPr>
          <w:i/>
        </w:rPr>
        <w:t xml:space="preserve"> J Med</w:t>
      </w:r>
      <w:r w:rsidR="00377981">
        <w:t xml:space="preserve"> 2</w:t>
      </w:r>
      <w:r w:rsidR="00A55F8B">
        <w:t>010</w:t>
      </w:r>
      <w:proofErr w:type="gramStart"/>
      <w:r w:rsidR="00A55F8B">
        <w:t>;363</w:t>
      </w:r>
      <w:r w:rsidR="00377981">
        <w:t>:1097</w:t>
      </w:r>
      <w:proofErr w:type="gramEnd"/>
      <w:r w:rsidR="00377981">
        <w:t>-9.</w:t>
      </w:r>
    </w:p>
    <w:p w:rsidR="00522013" w:rsidRPr="00522013" w:rsidRDefault="00522013" w:rsidP="007831A2">
      <w:pPr>
        <w:pStyle w:val="TableDescription"/>
      </w:pPr>
      <w:r w:rsidRPr="00522013">
        <w:t xml:space="preserve">2. Singh S, </w:t>
      </w:r>
      <w:r w:rsidR="00A55F8B">
        <w:t>et al</w:t>
      </w:r>
      <w:r w:rsidRPr="00522013">
        <w:t xml:space="preserve">. Inhaled anticholinergics and risk of major adverse cardiovascular events in patients with chronic obstructive pulmonary disease: a systematic review and meta-analysis. </w:t>
      </w:r>
      <w:r w:rsidRPr="00A55F8B">
        <w:rPr>
          <w:i/>
        </w:rPr>
        <w:t>JAMA</w:t>
      </w:r>
      <w:r w:rsidRPr="00522013">
        <w:t xml:space="preserve"> 2008</w:t>
      </w:r>
      <w:proofErr w:type="gramStart"/>
      <w:r w:rsidRPr="00522013">
        <w:t>;300:1439</w:t>
      </w:r>
      <w:proofErr w:type="gramEnd"/>
      <w:r w:rsidRPr="00522013">
        <w:t xml:space="preserve">-50. </w:t>
      </w:r>
      <w:r w:rsidR="00672509">
        <w:t>(</w:t>
      </w:r>
      <w:r w:rsidRPr="00522013">
        <w:t>E</w:t>
      </w:r>
      <w:r w:rsidR="00377981">
        <w:t xml:space="preserve">rratum, </w:t>
      </w:r>
      <w:r w:rsidR="00377981" w:rsidRPr="00A55F8B">
        <w:rPr>
          <w:i/>
        </w:rPr>
        <w:t xml:space="preserve">JAMA </w:t>
      </w:r>
      <w:r w:rsidR="00377981">
        <w:t>2009</w:t>
      </w:r>
      <w:proofErr w:type="gramStart"/>
      <w:r w:rsidR="00377981">
        <w:t>;301:1227</w:t>
      </w:r>
      <w:proofErr w:type="gramEnd"/>
      <w:r w:rsidR="00377981">
        <w:t>-30.</w:t>
      </w:r>
      <w:r w:rsidR="00672509">
        <w:t>)</w:t>
      </w:r>
    </w:p>
    <w:p w:rsidR="00522013" w:rsidRPr="00522013" w:rsidRDefault="00522013" w:rsidP="007831A2">
      <w:pPr>
        <w:pStyle w:val="TableDescription"/>
      </w:pPr>
      <w:r w:rsidRPr="00522013">
        <w:t xml:space="preserve">3. </w:t>
      </w:r>
      <w:proofErr w:type="spellStart"/>
      <w:r w:rsidRPr="00522013">
        <w:t>Tashkin</w:t>
      </w:r>
      <w:proofErr w:type="spellEnd"/>
      <w:r w:rsidRPr="00522013">
        <w:t xml:space="preserve"> DP, et al. </w:t>
      </w:r>
      <w:proofErr w:type="gramStart"/>
      <w:r w:rsidRPr="00522013">
        <w:t xml:space="preserve">A 4-year trial of </w:t>
      </w:r>
      <w:proofErr w:type="spellStart"/>
      <w:r w:rsidRPr="00522013">
        <w:t>tiotropium</w:t>
      </w:r>
      <w:proofErr w:type="spellEnd"/>
      <w:r w:rsidRPr="00522013">
        <w:t xml:space="preserve"> in chronic obstructive pulmonary disease</w:t>
      </w:r>
      <w:r w:rsidR="00377981">
        <w:t>.</w:t>
      </w:r>
      <w:proofErr w:type="gramEnd"/>
      <w:r w:rsidR="00377981">
        <w:t xml:space="preserve"> </w:t>
      </w:r>
      <w:r w:rsidR="00377981" w:rsidRPr="00A55F8B">
        <w:rPr>
          <w:i/>
        </w:rPr>
        <w:t xml:space="preserve">N </w:t>
      </w:r>
      <w:proofErr w:type="spellStart"/>
      <w:r w:rsidR="00377981" w:rsidRPr="00A55F8B">
        <w:rPr>
          <w:i/>
        </w:rPr>
        <w:t>Engl</w:t>
      </w:r>
      <w:proofErr w:type="spellEnd"/>
      <w:r w:rsidR="00377981" w:rsidRPr="00A55F8B">
        <w:rPr>
          <w:i/>
        </w:rPr>
        <w:t xml:space="preserve"> J Med</w:t>
      </w:r>
      <w:r w:rsidR="00377981">
        <w:t xml:space="preserve"> 2008</w:t>
      </w:r>
      <w:proofErr w:type="gramStart"/>
      <w:r w:rsidR="00377981">
        <w:t>;359:543</w:t>
      </w:r>
      <w:proofErr w:type="gramEnd"/>
      <w:r w:rsidR="00377981">
        <w:t>-54.</w:t>
      </w:r>
    </w:p>
    <w:p w:rsidR="00522013" w:rsidRPr="00522013" w:rsidRDefault="00522013" w:rsidP="007831A2">
      <w:pPr>
        <w:pStyle w:val="TableDescription"/>
      </w:pPr>
      <w:r w:rsidRPr="00522013">
        <w:t xml:space="preserve">4. Singh S, et al. Mortality associated with </w:t>
      </w:r>
      <w:proofErr w:type="spellStart"/>
      <w:r w:rsidRPr="00522013">
        <w:t>tiotropium</w:t>
      </w:r>
      <w:proofErr w:type="spellEnd"/>
      <w:r w:rsidRPr="00522013">
        <w:t xml:space="preserve"> mist inhaler in patients with COPD: systematic review and meta-analysis of randomised controlled trials. </w:t>
      </w:r>
      <w:r w:rsidRPr="00A55F8B">
        <w:rPr>
          <w:i/>
        </w:rPr>
        <w:t xml:space="preserve">BMJ </w:t>
      </w:r>
      <w:r w:rsidRPr="00522013">
        <w:t>2011</w:t>
      </w:r>
      <w:proofErr w:type="gramStart"/>
      <w:r w:rsidRPr="00522013">
        <w:t>;3</w:t>
      </w:r>
      <w:r w:rsidR="00377981">
        <w:t>42:d3215</w:t>
      </w:r>
      <w:proofErr w:type="gramEnd"/>
      <w:r w:rsidR="00377981">
        <w:t xml:space="preserve"> doi:10.1136/bmj.d3215.</w:t>
      </w:r>
    </w:p>
    <w:p w:rsidR="006721D0" w:rsidRDefault="00522013" w:rsidP="00033028">
      <w:r>
        <w:t>The UPLIFT trial</w:t>
      </w:r>
      <w:r w:rsidR="004C2ABF">
        <w:t xml:space="preserve"> </w:t>
      </w:r>
      <w:r w:rsidR="00152B78">
        <w:t xml:space="preserve">(a 4 </w:t>
      </w:r>
      <w:r w:rsidR="004C2ABF" w:rsidRPr="004C2ABF">
        <w:t xml:space="preserve">year trial of </w:t>
      </w:r>
      <w:r w:rsidR="00A54884" w:rsidRPr="00A54884">
        <w:t xml:space="preserve">TIO </w:t>
      </w:r>
      <w:r w:rsidR="004C2ABF" w:rsidRPr="004C2ABF">
        <w:t xml:space="preserve">in </w:t>
      </w:r>
      <w:r w:rsidR="007803AE" w:rsidRPr="007803AE">
        <w:t>COPD</w:t>
      </w:r>
      <w:r w:rsidR="004C2ABF" w:rsidRPr="004C2ABF">
        <w:t>)</w:t>
      </w:r>
      <w:r>
        <w:t xml:space="preserve"> was large (approximately </w:t>
      </w:r>
      <w:r w:rsidR="006721D0" w:rsidRPr="006721D0">
        <w:t>6000 par</w:t>
      </w:r>
      <w:r>
        <w:t>ticipa</w:t>
      </w:r>
      <w:r w:rsidR="00502EAA">
        <w:t xml:space="preserve">nts), had adequate follow up (4 </w:t>
      </w:r>
      <w:r w:rsidR="006721D0" w:rsidRPr="006721D0">
        <w:t xml:space="preserve">years), and was specifically designed as a safety trial. Given the strength of these data over meta-analyses (problems of statistical multiplicity and heterogeneity), the FDA concluded in 2010 that: “current data do not support the conclusion that there is an increased risk of stroke, heart attack, or death associated with </w:t>
      </w:r>
      <w:r w:rsidR="00A54884" w:rsidRPr="00A54884">
        <w:t xml:space="preserve">TIO </w:t>
      </w:r>
      <w:proofErr w:type="spellStart"/>
      <w:r w:rsidR="006721D0" w:rsidRPr="006721D0">
        <w:t>HandiHaler</w:t>
      </w:r>
      <w:proofErr w:type="spellEnd"/>
      <w:r w:rsidR="006721D0" w:rsidRPr="006721D0">
        <w:t xml:space="preserve">”. The signal for </w:t>
      </w:r>
      <w:r w:rsidR="00A54884" w:rsidRPr="00A54884">
        <w:t xml:space="preserve">TIO </w:t>
      </w:r>
      <w:proofErr w:type="spellStart"/>
      <w:r w:rsidR="006721D0" w:rsidRPr="006721D0">
        <w:t>Respimat</w:t>
      </w:r>
      <w:proofErr w:type="spellEnd"/>
      <w:r w:rsidR="006721D0" w:rsidRPr="006721D0">
        <w:t xml:space="preserve"> r</w:t>
      </w:r>
      <w:r w:rsidR="00525BC0">
        <w:t xml:space="preserve">emains unresolved (a large post </w:t>
      </w:r>
      <w:r w:rsidR="006721D0" w:rsidRPr="006721D0">
        <w:t>marketing study is about to report)</w:t>
      </w:r>
      <w:r w:rsidR="00377981">
        <w:rPr>
          <w:rStyle w:val="FootnoteReference"/>
        </w:rPr>
        <w:footnoteReference w:id="28"/>
      </w:r>
      <w:r w:rsidR="006721D0" w:rsidRPr="006721D0">
        <w:t xml:space="preserve">. One hypothesis was that differences between </w:t>
      </w:r>
      <w:proofErr w:type="spellStart"/>
      <w:r w:rsidR="006721D0" w:rsidRPr="006721D0">
        <w:t>HandiHaler</w:t>
      </w:r>
      <w:proofErr w:type="spellEnd"/>
      <w:r w:rsidR="006721D0" w:rsidRPr="006721D0">
        <w:t xml:space="preserve"> and </w:t>
      </w:r>
      <w:proofErr w:type="spellStart"/>
      <w:r w:rsidR="006721D0" w:rsidRPr="006721D0">
        <w:t>Respimat</w:t>
      </w:r>
      <w:proofErr w:type="spellEnd"/>
      <w:r w:rsidR="006721D0" w:rsidRPr="006721D0">
        <w:t xml:space="preserve"> in terms of lung deposition and other factors may result in differential risk.</w:t>
      </w:r>
    </w:p>
    <w:p w:rsidR="00710B34" w:rsidRPr="00710B34" w:rsidRDefault="00710B34" w:rsidP="00033028">
      <w:pPr>
        <w:pStyle w:val="Heading5"/>
      </w:pPr>
      <w:r w:rsidRPr="00710B34">
        <w:t>Withdrawal of 125</w:t>
      </w:r>
      <w:r w:rsidR="004C2ABF">
        <w:t>µ</w:t>
      </w:r>
      <w:r w:rsidRPr="00710B34">
        <w:t>g stre</w:t>
      </w:r>
      <w:r w:rsidR="007831A2">
        <w:t>ngth of UMEC</w:t>
      </w:r>
    </w:p>
    <w:p w:rsidR="00525BC0" w:rsidRPr="00710B34" w:rsidRDefault="00710B34" w:rsidP="00033028">
      <w:r w:rsidRPr="00710B34">
        <w:t>The Phase</w:t>
      </w:r>
      <w:r w:rsidR="00B73028">
        <w:t xml:space="preserve"> </w:t>
      </w:r>
      <w:r w:rsidR="004C2ABF">
        <w:t>III</w:t>
      </w:r>
      <w:r w:rsidRPr="00710B34">
        <w:t xml:space="preserve"> </w:t>
      </w:r>
      <w:proofErr w:type="spellStart"/>
      <w:r w:rsidRPr="00710B34">
        <w:t>Anoro</w:t>
      </w:r>
      <w:proofErr w:type="spellEnd"/>
      <w:r w:rsidRPr="00710B34">
        <w:t xml:space="preserve"> </w:t>
      </w:r>
      <w:proofErr w:type="spellStart"/>
      <w:r w:rsidRPr="00710B34">
        <w:t>Ellipta</w:t>
      </w:r>
      <w:proofErr w:type="spellEnd"/>
      <w:r w:rsidRPr="00710B34">
        <w:t xml:space="preserve"> program was designed to investigate two strengths of the combination produc</w:t>
      </w:r>
      <w:r>
        <w:t xml:space="preserve">t: 62.5/25 µg and 125/25 µg. </w:t>
      </w:r>
      <w:r w:rsidRPr="00710B34">
        <w:t xml:space="preserve">The results for the </w:t>
      </w:r>
      <w:r w:rsidR="00152B78">
        <w:t xml:space="preserve">intent to </w:t>
      </w:r>
      <w:r w:rsidR="004A20BC" w:rsidRPr="004A20BC">
        <w:t xml:space="preserve">treat </w:t>
      </w:r>
      <w:r w:rsidR="004A20BC">
        <w:t>(</w:t>
      </w:r>
      <w:r w:rsidRPr="00710B34">
        <w:t>ITT</w:t>
      </w:r>
      <w:r w:rsidR="004A20BC">
        <w:t>)</w:t>
      </w:r>
      <w:r w:rsidRPr="00710B34">
        <w:t xml:space="preserve"> population did not suggest a clear efficacy advantage for doses higher</w:t>
      </w:r>
      <w:r w:rsidR="00B73028">
        <w:t xml:space="preserve"> than UMEC/VI 62.5</w:t>
      </w:r>
      <w:r>
        <w:t xml:space="preserve">/25 µg. </w:t>
      </w:r>
      <w:r w:rsidRPr="00710B34">
        <w:t>It is possible that there is a subgroup of patients who might benefit from the 125/25</w:t>
      </w:r>
      <w:r w:rsidR="00152B78">
        <w:t xml:space="preserve"> </w:t>
      </w:r>
      <w:r w:rsidR="00152B78" w:rsidRPr="00152B78">
        <w:t>µg</w:t>
      </w:r>
      <w:r w:rsidRPr="00710B34">
        <w:t xml:space="preserve"> strength. However, after discussio</w:t>
      </w:r>
      <w:r w:rsidR="004C2ABF">
        <w:t>n with the US, EU and Canadian regulatory a</w:t>
      </w:r>
      <w:r w:rsidRPr="00710B34">
        <w:t xml:space="preserve">gencies, the sponsor withdrew the application for registration of the 125/25 </w:t>
      </w:r>
      <w:r>
        <w:t>µ</w:t>
      </w:r>
      <w:r w:rsidRPr="00710B34">
        <w:t xml:space="preserve">g strength. The reason given by the sponsor was: “additional data are needed to further characterise the subpopulation which could derive most benefit from the higher strength (125/25 </w:t>
      </w:r>
      <w:r>
        <w:t>µ</w:t>
      </w:r>
      <w:r w:rsidRPr="00710B34">
        <w:t>g)”.</w:t>
      </w:r>
    </w:p>
    <w:p w:rsidR="008E7846" w:rsidRDefault="008E7846" w:rsidP="00033028">
      <w:pPr>
        <w:pStyle w:val="Heading3"/>
      </w:pPr>
      <w:bookmarkStart w:id="140" w:name="_Toc314842511"/>
      <w:bookmarkStart w:id="141" w:name="_Toc420577622"/>
      <w:r>
        <w:t>Quality</w:t>
      </w:r>
      <w:bookmarkEnd w:id="138"/>
      <w:bookmarkEnd w:id="140"/>
      <w:bookmarkEnd w:id="141"/>
    </w:p>
    <w:p w:rsidR="00390EED" w:rsidRPr="00C466D3" w:rsidRDefault="00390EED" w:rsidP="00033028">
      <w:r w:rsidRPr="006C586A">
        <w:t xml:space="preserve">Inhaled UMEC and VI have an approximate systemic bioavailability of 13% and 26%, respectively. Given low oral bioavailability, systemic exposure for both components is primarily due to absorption of the inhaled portion. The estimated half-life for both UMEC and VI after oral inhalation administration of UMEC/VI is 11 hours. UMEC </w:t>
      </w:r>
      <w:proofErr w:type="spellStart"/>
      <w:r w:rsidRPr="006C586A">
        <w:t>C</w:t>
      </w:r>
      <w:r w:rsidRPr="006C586A">
        <w:rPr>
          <w:vertAlign w:val="subscript"/>
        </w:rPr>
        <w:t>max</w:t>
      </w:r>
      <w:proofErr w:type="spellEnd"/>
      <w:r w:rsidRPr="006C586A">
        <w:t xml:space="preserve"> and </w:t>
      </w:r>
      <w:r w:rsidR="0007102C" w:rsidRPr="0007102C">
        <w:t>AUC</w:t>
      </w:r>
      <w:r w:rsidR="00152B78">
        <w:rPr>
          <w:vertAlign w:val="subscript"/>
        </w:rPr>
        <w:t>0</w:t>
      </w:r>
      <w:r w:rsidR="00152B78">
        <w:rPr>
          <w:vertAlign w:val="subscript"/>
        </w:rPr>
        <w:noBreakHyphen/>
      </w:r>
      <w:r w:rsidR="0007102C" w:rsidRPr="0007102C">
        <w:rPr>
          <w:vertAlign w:val="subscript"/>
        </w:rPr>
        <w:t>24</w:t>
      </w:r>
      <w:r w:rsidR="004C2ABF">
        <w:rPr>
          <w:vertAlign w:val="subscript"/>
        </w:rPr>
        <w:t> </w:t>
      </w:r>
      <w:r w:rsidR="0007102C" w:rsidRPr="0007102C">
        <w:rPr>
          <w:vertAlign w:val="subscript"/>
        </w:rPr>
        <w:t>h</w:t>
      </w:r>
      <w:r w:rsidRPr="006C586A">
        <w:t xml:space="preserve"> were </w:t>
      </w:r>
      <w:r w:rsidR="0007102C">
        <w:t xml:space="preserve">&lt; </w:t>
      </w:r>
      <w:r w:rsidRPr="006C586A">
        <w:t xml:space="preserve">50% lower in COPD patients compared to healthy subjects. No significant effects due to age, renal impairment, hepatic impairment, or </w:t>
      </w:r>
      <w:r w:rsidR="004A20BC" w:rsidRPr="004A20BC">
        <w:t xml:space="preserve">ICS </w:t>
      </w:r>
      <w:r w:rsidRPr="006C586A">
        <w:t xml:space="preserve">on </w:t>
      </w:r>
      <w:r w:rsidR="006D08A2">
        <w:t>PK</w:t>
      </w:r>
      <w:r w:rsidR="00310B18">
        <w:t xml:space="preserve"> parameters were observed.</w:t>
      </w:r>
    </w:p>
    <w:p w:rsidR="00390EED" w:rsidRPr="00C466D3" w:rsidRDefault="00390EED" w:rsidP="00033028">
      <w:r w:rsidRPr="006C586A">
        <w:t xml:space="preserve">No clinically meaningful differences were observed in </w:t>
      </w:r>
      <w:r w:rsidR="00152B78">
        <w:t>normal and C</w:t>
      </w:r>
      <w:r w:rsidR="00870FE3">
        <w:t>YP2D6 poor metabolis</w:t>
      </w:r>
      <w:r w:rsidRPr="006C586A">
        <w:t xml:space="preserve">er subjects following administration of UMEC 500 </w:t>
      </w:r>
      <w:r w:rsidR="0007102C">
        <w:t>µ</w:t>
      </w:r>
      <w:r w:rsidRPr="006C586A">
        <w:t>g. VI is me</w:t>
      </w:r>
      <w:r w:rsidR="00870FE3">
        <w:t>tabolis</w:t>
      </w:r>
      <w:r w:rsidR="00152B78">
        <w:t xml:space="preserve">ed </w:t>
      </w:r>
      <w:r w:rsidR="00152B78">
        <w:lastRenderedPageBreak/>
        <w:t xml:space="preserve">principally via CYP3A4. Co </w:t>
      </w:r>
      <w:r w:rsidRPr="006C586A">
        <w:t>administration with ketoconazole, a strong CYP3A4 and potent P-</w:t>
      </w:r>
      <w:proofErr w:type="spellStart"/>
      <w:r w:rsidRPr="006C586A">
        <w:t>gp</w:t>
      </w:r>
      <w:proofErr w:type="spellEnd"/>
      <w:r w:rsidRPr="006C586A">
        <w:t xml:space="preserve"> inhibitor, resulted in 65% and 22% increase in mean </w:t>
      </w:r>
      <w:r w:rsidR="0007102C" w:rsidRPr="0007102C">
        <w:t>AUC</w:t>
      </w:r>
      <w:r w:rsidR="0007102C" w:rsidRPr="0007102C">
        <w:rPr>
          <w:vertAlign w:val="subscript"/>
        </w:rPr>
        <w:t>0-24</w:t>
      </w:r>
      <w:r w:rsidR="00E15620">
        <w:rPr>
          <w:vertAlign w:val="subscript"/>
        </w:rPr>
        <w:t xml:space="preserve"> </w:t>
      </w:r>
      <w:r w:rsidR="0007102C" w:rsidRPr="0007102C">
        <w:rPr>
          <w:vertAlign w:val="subscript"/>
        </w:rPr>
        <w:t>h</w:t>
      </w:r>
      <w:r w:rsidRPr="006C586A">
        <w:t xml:space="preserve"> and </w:t>
      </w:r>
      <w:proofErr w:type="spellStart"/>
      <w:r w:rsidRPr="006C586A">
        <w:t>C</w:t>
      </w:r>
      <w:r w:rsidRPr="006C586A">
        <w:rPr>
          <w:vertAlign w:val="subscript"/>
        </w:rPr>
        <w:t>max</w:t>
      </w:r>
      <w:proofErr w:type="spellEnd"/>
      <w:r w:rsidRPr="006C586A">
        <w:t>, respectively. No dose adjustment is recommended for UMEC/VI when co-</w:t>
      </w:r>
      <w:r w:rsidR="00671DD7">
        <w:t>administered with ketoconazole.</w:t>
      </w:r>
    </w:p>
    <w:p w:rsidR="00730F8A" w:rsidRDefault="00390EED" w:rsidP="00033028">
      <w:r w:rsidRPr="00C466D3">
        <w:t xml:space="preserve">A study to assess </w:t>
      </w:r>
      <w:proofErr w:type="spellStart"/>
      <w:r w:rsidRPr="00C466D3">
        <w:t>QTc</w:t>
      </w:r>
      <w:proofErr w:type="spellEnd"/>
      <w:r w:rsidRPr="00C466D3">
        <w:t xml:space="preserve"> effects did not indicate any clinically relevant prolongation of the </w:t>
      </w:r>
      <w:proofErr w:type="spellStart"/>
      <w:r w:rsidRPr="00C466D3">
        <w:t>QTc</w:t>
      </w:r>
      <w:proofErr w:type="spellEnd"/>
      <w:r w:rsidRPr="00C466D3">
        <w:t xml:space="preserve"> interval.</w:t>
      </w:r>
    </w:p>
    <w:p w:rsidR="0007102C" w:rsidRDefault="0007102C" w:rsidP="00033028">
      <w:r w:rsidRPr="0007102C">
        <w:t>The pharmaceutical chemistry evaluator concluded that: “the chemistry, manufacturing and quality aspects of the submission are acceptabl</w:t>
      </w:r>
      <w:r w:rsidR="00525BC0">
        <w:t>e and approval is recommended.”</w:t>
      </w:r>
    </w:p>
    <w:p w:rsidR="00390EED" w:rsidRDefault="008E7846" w:rsidP="00033028">
      <w:pPr>
        <w:pStyle w:val="Heading3"/>
      </w:pPr>
      <w:bookmarkStart w:id="142" w:name="_Toc314842512"/>
      <w:bookmarkStart w:id="143" w:name="_Toc420577623"/>
      <w:r>
        <w:t>Nonclinical</w:t>
      </w:r>
      <w:bookmarkEnd w:id="142"/>
      <w:bookmarkEnd w:id="143"/>
    </w:p>
    <w:p w:rsidR="00390EED" w:rsidRPr="00390EED" w:rsidRDefault="00390EED" w:rsidP="00033028">
      <w:r w:rsidRPr="00390EED">
        <w:t xml:space="preserve">The nonclinical evaluator concluded that there are no nonclinical objections to the registration of </w:t>
      </w:r>
      <w:proofErr w:type="spellStart"/>
      <w:r w:rsidRPr="00390EED">
        <w:t>A</w:t>
      </w:r>
      <w:r w:rsidR="00310B18" w:rsidRPr="00390EED">
        <w:t>noro</w:t>
      </w:r>
      <w:proofErr w:type="spellEnd"/>
      <w:r w:rsidRPr="00390EED">
        <w:t xml:space="preserve"> </w:t>
      </w:r>
      <w:proofErr w:type="spellStart"/>
      <w:r w:rsidRPr="00390EED">
        <w:t>E</w:t>
      </w:r>
      <w:r w:rsidR="00310B18" w:rsidRPr="00390EED">
        <w:t>llipta</w:t>
      </w:r>
      <w:proofErr w:type="spellEnd"/>
      <w:r w:rsidR="00310B18">
        <w:t xml:space="preserve"> for the proposed indication.</w:t>
      </w:r>
    </w:p>
    <w:p w:rsidR="00390EED" w:rsidRPr="00390EED" w:rsidRDefault="00390EED" w:rsidP="00033028">
      <w:r w:rsidRPr="00390EED">
        <w:t>UMEC and VI were not considered to pose a genotoxic or carcinogenic hazard to patients.</w:t>
      </w:r>
    </w:p>
    <w:p w:rsidR="00390EED" w:rsidRPr="00390EED" w:rsidRDefault="00390EED" w:rsidP="00033028">
      <w:r w:rsidRPr="00390EED">
        <w:t xml:space="preserve">Although no adverse effects on embryofetal development were observed with UMEC alone, previously evaluated studies with VI showed </w:t>
      </w:r>
      <w:proofErr w:type="spellStart"/>
      <w:r w:rsidRPr="00390EED">
        <w:t>fetal</w:t>
      </w:r>
      <w:proofErr w:type="spellEnd"/>
      <w:r w:rsidRPr="00390EED">
        <w:t xml:space="preserve"> damage (including malformations). The sponsor therefore proposed “Pregnancy Category B3”, which was supported by the nonclinical evaluator.</w:t>
      </w:r>
    </w:p>
    <w:p w:rsidR="008E7846" w:rsidRDefault="008E7846" w:rsidP="00033028">
      <w:pPr>
        <w:pStyle w:val="Heading3"/>
      </w:pPr>
      <w:bookmarkStart w:id="144" w:name="_Toc247691530"/>
      <w:bookmarkStart w:id="145" w:name="_Toc314842513"/>
      <w:bookmarkStart w:id="146" w:name="_Toc420577624"/>
      <w:r>
        <w:t>Clinical</w:t>
      </w:r>
      <w:bookmarkEnd w:id="144"/>
      <w:bookmarkEnd w:id="145"/>
      <w:bookmarkEnd w:id="146"/>
    </w:p>
    <w:p w:rsidR="00296D72" w:rsidRPr="00410A65" w:rsidRDefault="00296D72" w:rsidP="00033028">
      <w:pPr>
        <w:pStyle w:val="Heading4"/>
      </w:pPr>
      <w:bookmarkStart w:id="147" w:name="_Toc314842514"/>
      <w:r w:rsidRPr="00410A65">
        <w:t xml:space="preserve">Dose finding and frequency </w:t>
      </w:r>
    </w:p>
    <w:p w:rsidR="00296D72" w:rsidRPr="006C586A" w:rsidRDefault="00296D72" w:rsidP="00033028">
      <w:r w:rsidRPr="006C586A">
        <w:t xml:space="preserve">The dose finding studies for </w:t>
      </w:r>
      <w:r w:rsidR="00E01483">
        <w:t>vilanterol</w:t>
      </w:r>
      <w:r w:rsidRPr="006C586A">
        <w:t xml:space="preserve"> were </w:t>
      </w:r>
      <w:r w:rsidR="00DE3D3D">
        <w:t xml:space="preserve">previously </w:t>
      </w:r>
      <w:r w:rsidRPr="006C586A">
        <w:t xml:space="preserve">considered by </w:t>
      </w:r>
      <w:r w:rsidR="004C2ABF">
        <w:t>TGA</w:t>
      </w:r>
      <w:r w:rsidRPr="006C586A">
        <w:t xml:space="preserve">, as </w:t>
      </w:r>
      <w:r w:rsidR="00DE3D3D">
        <w:t xml:space="preserve">part of the submission for </w:t>
      </w:r>
      <w:proofErr w:type="spellStart"/>
      <w:r w:rsidR="00DE3D3D">
        <w:t>Breo</w:t>
      </w:r>
      <w:proofErr w:type="spellEnd"/>
      <w:r w:rsidRPr="006C586A">
        <w:t xml:space="preserve"> </w:t>
      </w:r>
      <w:proofErr w:type="spellStart"/>
      <w:r w:rsidRPr="006C586A">
        <w:t>E</w:t>
      </w:r>
      <w:r w:rsidR="00DE3D3D" w:rsidRPr="006C586A">
        <w:t>llipta</w:t>
      </w:r>
      <w:proofErr w:type="spellEnd"/>
      <w:r w:rsidR="00DE3D3D">
        <w:t xml:space="preserve"> (</w:t>
      </w:r>
      <w:r w:rsidR="00E01483">
        <w:t xml:space="preserve">fluticasone </w:t>
      </w:r>
      <w:proofErr w:type="spellStart"/>
      <w:r w:rsidR="00E01483">
        <w:t>furoate</w:t>
      </w:r>
      <w:proofErr w:type="spellEnd"/>
      <w:r w:rsidR="00B8228F">
        <w:t>/</w:t>
      </w:r>
      <w:proofErr w:type="spellStart"/>
      <w:r w:rsidR="00E01483">
        <w:t>vilanterol</w:t>
      </w:r>
      <w:proofErr w:type="spellEnd"/>
      <w:r w:rsidR="00B8228F">
        <w:t>) in which t</w:t>
      </w:r>
      <w:r w:rsidRPr="006C586A">
        <w:t>he dose of 25</w:t>
      </w:r>
      <w:r w:rsidR="00E01483">
        <w:t xml:space="preserve"> </w:t>
      </w:r>
      <w:r w:rsidR="00FC0A6F">
        <w:t>µg</w:t>
      </w:r>
      <w:r w:rsidRPr="006C586A">
        <w:t xml:space="preserve"> </w:t>
      </w:r>
      <w:r w:rsidR="004C2ABF">
        <w:t>once daily</w:t>
      </w:r>
      <w:r w:rsidR="00B8228F">
        <w:t xml:space="preserve"> was established</w:t>
      </w:r>
      <w:r w:rsidRPr="006C586A">
        <w:t>. The data supporting the 25</w:t>
      </w:r>
      <w:r w:rsidR="00E01483">
        <w:t xml:space="preserve"> </w:t>
      </w:r>
      <w:r w:rsidR="00FC0A6F">
        <w:t>µg</w:t>
      </w:r>
      <w:r w:rsidRPr="006C586A">
        <w:t xml:space="preserve"> dose of VI </w:t>
      </w:r>
      <w:r w:rsidR="0050592A">
        <w:t xml:space="preserve">will not be re </w:t>
      </w:r>
      <w:r w:rsidR="00671DD7">
        <w:t xml:space="preserve">considered </w:t>
      </w:r>
      <w:r w:rsidR="00B83313">
        <w:t>in this report</w:t>
      </w:r>
      <w:r w:rsidR="00671DD7">
        <w:t>.</w:t>
      </w:r>
    </w:p>
    <w:p w:rsidR="00296D72" w:rsidRPr="00410A65" w:rsidRDefault="00296D72" w:rsidP="00033028">
      <w:pPr>
        <w:rPr>
          <w:sz w:val="23"/>
          <w:szCs w:val="23"/>
        </w:rPr>
      </w:pPr>
      <w:r w:rsidRPr="006C586A">
        <w:t>For LAMAs, dose selection can be problematic, given relat</w:t>
      </w:r>
      <w:r w:rsidR="00B8228F">
        <w:t xml:space="preserve">ively flat dose </w:t>
      </w:r>
      <w:r w:rsidRPr="006C586A">
        <w:t>response curves and the relative lack of effect in asthmatic patients. However, the tot</w:t>
      </w:r>
      <w:r w:rsidR="00671DD7">
        <w:t>ality of data, from four Phase II</w:t>
      </w:r>
      <w:r w:rsidRPr="006C586A">
        <w:t xml:space="preserve"> studies (which assessed doses from 15.6 to 1000</w:t>
      </w:r>
      <w:r w:rsidR="00410A65">
        <w:t xml:space="preserve"> µ</w:t>
      </w:r>
      <w:r w:rsidR="00B83313">
        <w:t>g), suggested that UMEC 62.5 </w:t>
      </w:r>
      <w:r w:rsidR="00B83313" w:rsidRPr="00B83313">
        <w:t xml:space="preserve">µg </w:t>
      </w:r>
      <w:r w:rsidRPr="006C586A">
        <w:t xml:space="preserve">and 125 </w:t>
      </w:r>
      <w:r w:rsidR="00410A65">
        <w:t>µ</w:t>
      </w:r>
      <w:r w:rsidRPr="006C586A">
        <w:t xml:space="preserve">g </w:t>
      </w:r>
      <w:r w:rsidR="00502EAA" w:rsidRPr="00502EAA">
        <w:t>once daily</w:t>
      </w:r>
      <w:r w:rsidRPr="006C586A">
        <w:t xml:space="preserve"> were doses </w:t>
      </w:r>
      <w:r w:rsidR="000864A7">
        <w:t xml:space="preserve">on the steeper part of the dose </w:t>
      </w:r>
      <w:r w:rsidRPr="006C586A">
        <w:t xml:space="preserve">response curve. Efficacy of </w:t>
      </w:r>
      <w:r w:rsidR="00502EAA" w:rsidRPr="00502EAA">
        <w:t>once daily</w:t>
      </w:r>
      <w:r w:rsidR="00870FE3" w:rsidRPr="00870FE3">
        <w:t xml:space="preserve"> </w:t>
      </w:r>
      <w:r w:rsidR="00B8228F">
        <w:t xml:space="preserve">versus twice </w:t>
      </w:r>
      <w:r w:rsidRPr="006C586A">
        <w:t xml:space="preserve">daily dosing regimens for UMEC was similar. Therefore, 62.5 </w:t>
      </w:r>
      <w:r w:rsidR="00B83313" w:rsidRPr="00B83313">
        <w:t xml:space="preserve">µg </w:t>
      </w:r>
      <w:r w:rsidRPr="006C586A">
        <w:t xml:space="preserve">and 125 </w:t>
      </w:r>
      <w:r w:rsidR="00410A65">
        <w:t>µ</w:t>
      </w:r>
      <w:r w:rsidRPr="006C586A">
        <w:t xml:space="preserve">g </w:t>
      </w:r>
      <w:r w:rsidR="00502EAA" w:rsidRPr="00502EAA">
        <w:t>once daily</w:t>
      </w:r>
      <w:r w:rsidRPr="006C586A">
        <w:t xml:space="preserve"> were carried f</w:t>
      </w:r>
      <w:r w:rsidR="00671DD7">
        <w:t>orward into the Phase III trials.</w:t>
      </w:r>
    </w:p>
    <w:p w:rsidR="00296D72" w:rsidRPr="00410A65" w:rsidRDefault="00296D72" w:rsidP="00033028">
      <w:pPr>
        <w:pStyle w:val="Heading4"/>
      </w:pPr>
      <w:r w:rsidRPr="00410A65">
        <w:t>Efficacy</w:t>
      </w:r>
    </w:p>
    <w:p w:rsidR="00296D72" w:rsidRPr="00410A65" w:rsidRDefault="00296D72" w:rsidP="00033028">
      <w:pPr>
        <w:pStyle w:val="Heading5"/>
      </w:pPr>
      <w:r w:rsidRPr="00410A65">
        <w:t>Overview</w:t>
      </w:r>
    </w:p>
    <w:p w:rsidR="00410A65" w:rsidRDefault="00671DD7" w:rsidP="00033028">
      <w:r w:rsidRPr="00410A65">
        <w:t>One aim of the Phase III</w:t>
      </w:r>
      <w:r w:rsidR="00296D72" w:rsidRPr="00410A65">
        <w:t xml:space="preserve"> program was to show that use of two bronchodilators in combination provided added benefit over each alone. That is, one aim was to demonstrate the efficacy contribution of VI to </w:t>
      </w:r>
      <w:r w:rsidR="00E01483">
        <w:t>UMEC/VI and of UMEC to UMEC/VI.</w:t>
      </w:r>
    </w:p>
    <w:p w:rsidR="00410A65" w:rsidRPr="00410A65" w:rsidRDefault="00671DD7" w:rsidP="00033028">
      <w:r w:rsidRPr="00410A65">
        <w:t>The Phase III</w:t>
      </w:r>
      <w:r w:rsidR="00B8228F">
        <w:t xml:space="preserve"> program included two placebo </w:t>
      </w:r>
      <w:r w:rsidR="00296D72" w:rsidRPr="00410A65">
        <w:t>controlled trials (3361, 3373) an</w:t>
      </w:r>
      <w:r w:rsidR="00B8228F">
        <w:t xml:space="preserve">d two active </w:t>
      </w:r>
      <w:r w:rsidR="00296D72" w:rsidRPr="00410A65">
        <w:t>controlled trials (3360, 3374)</w:t>
      </w:r>
      <w:r w:rsidR="00410A65">
        <w:t xml:space="preserve">. </w:t>
      </w:r>
      <w:r w:rsidRPr="00410A65">
        <w:t xml:space="preserve">The placebo </w:t>
      </w:r>
      <w:r w:rsidR="00296D72" w:rsidRPr="00410A65">
        <w:t>controlled trials were replicate in design and eac</w:t>
      </w:r>
      <w:r w:rsidR="00B83313">
        <w:t>h compared UMEC/VI (either 62.5</w:t>
      </w:r>
      <w:r w:rsidR="00296D72" w:rsidRPr="00410A65">
        <w:t xml:space="preserve">/25 </w:t>
      </w:r>
      <w:r w:rsidR="00FC0A6F">
        <w:t>µg</w:t>
      </w:r>
      <w:r w:rsidR="00B83313">
        <w:t xml:space="preserve"> or 125/</w:t>
      </w:r>
      <w:r w:rsidR="00296D72" w:rsidRPr="00410A65">
        <w:t xml:space="preserve">25 </w:t>
      </w:r>
      <w:r w:rsidR="00FC0A6F">
        <w:t>µg</w:t>
      </w:r>
      <w:r w:rsidR="00296D72" w:rsidRPr="00410A65">
        <w:t>) to pl</w:t>
      </w:r>
      <w:r w:rsidRPr="00410A65">
        <w:t>acebo and to the mono products.</w:t>
      </w:r>
      <w:r w:rsidR="00410A65">
        <w:t xml:space="preserve"> </w:t>
      </w:r>
      <w:r w:rsidRPr="00410A65">
        <w:t xml:space="preserve">The active </w:t>
      </w:r>
      <w:r w:rsidR="00296D72" w:rsidRPr="00410A65">
        <w:t xml:space="preserve">controlled trials were also replicate in design </w:t>
      </w:r>
      <w:r w:rsidR="00B83313">
        <w:t>and each compared UMEC/VI (62.5</w:t>
      </w:r>
      <w:r w:rsidR="00296D72" w:rsidRPr="00410A65">
        <w:t xml:space="preserve">/25 </w:t>
      </w:r>
      <w:r w:rsidR="00FC0A6F">
        <w:t>µg</w:t>
      </w:r>
      <w:r w:rsidR="00B83313">
        <w:t xml:space="preserve"> and 125</w:t>
      </w:r>
      <w:r w:rsidR="00296D72" w:rsidRPr="00410A65">
        <w:t xml:space="preserve">/25 </w:t>
      </w:r>
      <w:r w:rsidR="00FC0A6F">
        <w:t>µg</w:t>
      </w:r>
      <w:r w:rsidR="00296D72" w:rsidRPr="00410A65">
        <w:t xml:space="preserve">) to </w:t>
      </w:r>
      <w:r w:rsidR="003476A7" w:rsidRPr="00410A65">
        <w:t>TIO</w:t>
      </w:r>
      <w:r w:rsidR="00410A65">
        <w:t xml:space="preserve">, and to the mono products. </w:t>
      </w:r>
      <w:r w:rsidR="00410A65" w:rsidRPr="00410A65">
        <w:t>These four trials included patients with moderate to v</w:t>
      </w:r>
      <w:r w:rsidR="00B8228F">
        <w:t>ery severe COPD (</w:t>
      </w:r>
      <w:r w:rsidR="004C2ABF" w:rsidRPr="00CA2D2E">
        <w:t xml:space="preserve">Global Initiative for Chronic </w:t>
      </w:r>
      <w:r w:rsidR="004C2ABF" w:rsidRPr="00CA2D2E">
        <w:lastRenderedPageBreak/>
        <w:t xml:space="preserve">Obstructive Lung Disease </w:t>
      </w:r>
      <w:r w:rsidR="004C2ABF">
        <w:t xml:space="preserve">(GOLD) stages II to </w:t>
      </w:r>
      <w:r w:rsidR="004C2ABF" w:rsidRPr="00410A65">
        <w:t>IV</w:t>
      </w:r>
      <w:r w:rsidR="004C2ABF">
        <w:rPr>
          <w:rStyle w:val="FootnoteReference"/>
        </w:rPr>
        <w:footnoteReference w:id="29"/>
      </w:r>
      <w:r w:rsidR="00410A65" w:rsidRPr="00410A65">
        <w:t>),</w:t>
      </w:r>
      <w:r w:rsidR="00410A65">
        <w:t xml:space="preserve"> and the duration of the double </w:t>
      </w:r>
      <w:r w:rsidR="00410A65" w:rsidRPr="00410A65">
        <w:t xml:space="preserve">blind treatment period was 24 weeks. They were multi-centre trials, conducted during 2011 and 2012, in </w:t>
      </w:r>
      <w:r w:rsidR="00E01483">
        <w:t>more than</w:t>
      </w:r>
      <w:r w:rsidR="00410A65">
        <w:t xml:space="preserve"> </w:t>
      </w:r>
      <w:r w:rsidR="00410A65" w:rsidRPr="00410A65">
        <w:t>150 centres in USA, Western Europe, Eastern Europe, Asia, and Central and South America.</w:t>
      </w:r>
    </w:p>
    <w:p w:rsidR="00410A65" w:rsidRPr="00410A65" w:rsidRDefault="00410A65" w:rsidP="00033028">
      <w:r w:rsidRPr="00410A65">
        <w:t xml:space="preserve">The two exercise endurance trials were replicate in design and each evaluated both doses of UMEC/VI, both doses of UMEC, VI, and placebo. In contrast to the parallel design of the primary efficacy </w:t>
      </w:r>
      <w:r>
        <w:t xml:space="preserve">trials, these trials were cross </w:t>
      </w:r>
      <w:r w:rsidRPr="00410A65">
        <w:t>over in de</w:t>
      </w:r>
      <w:r>
        <w:t xml:space="preserve">sign and the duration of double </w:t>
      </w:r>
      <w:r w:rsidRPr="00410A65">
        <w:t>blind treatment period was 12 weeks.</w:t>
      </w:r>
    </w:p>
    <w:p w:rsidR="00296D72" w:rsidRPr="00410A65" w:rsidRDefault="00410A65" w:rsidP="00033028">
      <w:r w:rsidRPr="00410A65">
        <w:t>The primary efficacy endpoint was trough FEV1 on treatment Day 169 (Week 24) for the four primary efficacy trials; trough FEV1 on treatment Day 85 (Week 12) was pre-specified as a co-primary endpoint in</w:t>
      </w:r>
      <w:r>
        <w:t xml:space="preserve"> the exercise endurance trials.</w:t>
      </w:r>
    </w:p>
    <w:p w:rsidR="00296D72" w:rsidRDefault="004C2ABF" w:rsidP="00033028">
      <w:pPr>
        <w:pStyle w:val="Heading5"/>
      </w:pPr>
      <w:r>
        <w:t>Phase III</w:t>
      </w:r>
      <w:r w:rsidR="00296D72" w:rsidRPr="00410A65">
        <w:t xml:space="preserve"> trial design</w:t>
      </w:r>
    </w:p>
    <w:p w:rsidR="00B8228F" w:rsidRPr="00B8228F" w:rsidRDefault="004C2ABF" w:rsidP="00033028">
      <w:r>
        <w:t>The tria</w:t>
      </w:r>
      <w:r w:rsidR="00B8228F">
        <w:t>l design of the placebo controlled trials 3361 and 3373 is shown in Table 1</w:t>
      </w:r>
      <w:r w:rsidR="00F35BE2">
        <w:t>2</w:t>
      </w:r>
      <w:r w:rsidR="00B8228F">
        <w:t>.</w:t>
      </w:r>
    </w:p>
    <w:p w:rsidR="00296D72" w:rsidRPr="00410A65" w:rsidRDefault="00B8228F" w:rsidP="00033028">
      <w:pPr>
        <w:pStyle w:val="Tabletitle0"/>
      </w:pPr>
      <w:proofErr w:type="gramStart"/>
      <w:r>
        <w:t xml:space="preserve">Table </w:t>
      </w:r>
      <w:r w:rsidR="00F35BE2">
        <w:t>12</w:t>
      </w:r>
      <w:r w:rsidR="00E01483">
        <w:t>.</w:t>
      </w:r>
      <w:proofErr w:type="gramEnd"/>
      <w:r w:rsidR="00E01483">
        <w:t xml:space="preserve"> Trial design of p</w:t>
      </w:r>
      <w:r>
        <w:t xml:space="preserve">lacebo </w:t>
      </w:r>
      <w:r w:rsidR="00296D72" w:rsidRPr="00410A65">
        <w:t>controlled trials (3361, 3373)</w:t>
      </w:r>
    </w:p>
    <w:tbl>
      <w:tblPr>
        <w:tblStyle w:val="TableTGAblue"/>
        <w:tblW w:w="0" w:type="auto"/>
        <w:tblLook w:val="04A0" w:firstRow="1" w:lastRow="0" w:firstColumn="1" w:lastColumn="0" w:noHBand="0" w:noVBand="1"/>
      </w:tblPr>
      <w:tblGrid>
        <w:gridCol w:w="1668"/>
        <w:gridCol w:w="7052"/>
      </w:tblGrid>
      <w:tr w:rsidR="00296D72" w:rsidTr="00033028">
        <w:trPr>
          <w:cnfStyle w:val="100000000000" w:firstRow="1" w:lastRow="0" w:firstColumn="0" w:lastColumn="0" w:oddVBand="0" w:evenVBand="0" w:oddHBand="0" w:evenHBand="0" w:firstRowFirstColumn="0" w:firstRowLastColumn="0" w:lastRowFirstColumn="0" w:lastRowLastColumn="0"/>
        </w:trPr>
        <w:tc>
          <w:tcPr>
            <w:tcW w:w="1668" w:type="dxa"/>
          </w:tcPr>
          <w:p w:rsidR="00296D72" w:rsidRPr="00FC0A6F" w:rsidRDefault="00FC0A6F" w:rsidP="00033028">
            <w:r w:rsidRPr="00FC0A6F">
              <w:t>Category</w:t>
            </w:r>
          </w:p>
        </w:tc>
        <w:tc>
          <w:tcPr>
            <w:tcW w:w="7052" w:type="dxa"/>
          </w:tcPr>
          <w:p w:rsidR="00296D72" w:rsidRPr="00FC0A6F" w:rsidRDefault="00FC0A6F" w:rsidP="00033028">
            <w:r w:rsidRPr="00FC0A6F">
              <w:t>Description</w:t>
            </w:r>
          </w:p>
        </w:tc>
      </w:tr>
      <w:tr w:rsidR="00FC0A6F" w:rsidTr="00033028">
        <w:tc>
          <w:tcPr>
            <w:tcW w:w="1668" w:type="dxa"/>
          </w:tcPr>
          <w:p w:rsidR="00FC0A6F" w:rsidRPr="00AA6872" w:rsidRDefault="00FC0A6F" w:rsidP="00AA6872">
            <w:pPr>
              <w:ind w:left="0" w:right="0"/>
              <w:rPr>
                <w:sz w:val="20"/>
                <w:szCs w:val="20"/>
              </w:rPr>
            </w:pPr>
            <w:r w:rsidRPr="00AA6872">
              <w:rPr>
                <w:sz w:val="20"/>
                <w:szCs w:val="20"/>
              </w:rPr>
              <w:t>Participants</w:t>
            </w:r>
          </w:p>
        </w:tc>
        <w:tc>
          <w:tcPr>
            <w:tcW w:w="7052" w:type="dxa"/>
          </w:tcPr>
          <w:p w:rsidR="00FC0A6F" w:rsidRPr="00AA6872" w:rsidRDefault="00FC0A6F" w:rsidP="00AA6872">
            <w:pPr>
              <w:ind w:left="0" w:right="0"/>
              <w:rPr>
                <w:sz w:val="20"/>
                <w:szCs w:val="20"/>
              </w:rPr>
            </w:pPr>
            <w:r w:rsidRPr="00AA6872">
              <w:rPr>
                <w:sz w:val="20"/>
                <w:szCs w:val="20"/>
              </w:rPr>
              <w:t>40+ years (mean = 63 years), approximately70% men, post bronchodilator FEV1/FVC</w:t>
            </w:r>
            <w:r w:rsidR="004D3555" w:rsidRPr="00AA6872">
              <w:rPr>
                <w:rStyle w:val="FootnoteReference"/>
                <w:sz w:val="20"/>
                <w:szCs w:val="20"/>
              </w:rPr>
              <w:footnoteReference w:id="30"/>
            </w:r>
            <w:r w:rsidRPr="00AA6872">
              <w:rPr>
                <w:sz w:val="20"/>
                <w:szCs w:val="20"/>
              </w:rPr>
              <w:t xml:space="preserve"> &lt; 0.7, post-bronchodilator FEV1 &lt; 0.7 predicted, 2+ on modified Medical Research Council Dyspnoea Scale, GOLD stage 2 (46%), GOLD stage 3 (43%), GOLD stage 4 (11%)</w:t>
            </w:r>
            <w:r w:rsidR="00E01483" w:rsidRPr="00AA6872">
              <w:rPr>
                <w:rStyle w:val="FootnoteReference"/>
                <w:sz w:val="20"/>
                <w:szCs w:val="20"/>
              </w:rPr>
              <w:footnoteReference w:id="31"/>
            </w:r>
          </w:p>
        </w:tc>
      </w:tr>
      <w:tr w:rsidR="00FC0A6F" w:rsidTr="00033028">
        <w:tc>
          <w:tcPr>
            <w:tcW w:w="1668" w:type="dxa"/>
          </w:tcPr>
          <w:p w:rsidR="00FC0A6F" w:rsidRPr="00AA6872" w:rsidRDefault="00FC0A6F" w:rsidP="00AA6872">
            <w:pPr>
              <w:ind w:left="0" w:right="0"/>
              <w:rPr>
                <w:sz w:val="20"/>
                <w:szCs w:val="20"/>
              </w:rPr>
            </w:pPr>
            <w:r w:rsidRPr="00AA6872">
              <w:rPr>
                <w:sz w:val="20"/>
                <w:szCs w:val="20"/>
              </w:rPr>
              <w:t>Intervention</w:t>
            </w:r>
          </w:p>
        </w:tc>
        <w:tc>
          <w:tcPr>
            <w:tcW w:w="7052" w:type="dxa"/>
          </w:tcPr>
          <w:p w:rsidR="00FC0A6F" w:rsidRPr="00AA6872" w:rsidRDefault="00FC0A6F" w:rsidP="00AA6872">
            <w:pPr>
              <w:ind w:left="0" w:right="0"/>
              <w:rPr>
                <w:sz w:val="20"/>
                <w:szCs w:val="20"/>
              </w:rPr>
            </w:pPr>
            <w:r w:rsidRPr="00AA6872">
              <w:rPr>
                <w:sz w:val="20"/>
                <w:szCs w:val="20"/>
              </w:rPr>
              <w:t>3361: UMEC/VI 125/25</w:t>
            </w:r>
          </w:p>
          <w:p w:rsidR="00FC0A6F" w:rsidRPr="00AA6872" w:rsidRDefault="00FC0A6F" w:rsidP="00AA6872">
            <w:pPr>
              <w:ind w:left="0" w:right="0"/>
              <w:rPr>
                <w:sz w:val="20"/>
                <w:szCs w:val="20"/>
              </w:rPr>
            </w:pPr>
            <w:r w:rsidRPr="00AA6872">
              <w:rPr>
                <w:sz w:val="20"/>
                <w:szCs w:val="20"/>
              </w:rPr>
              <w:t>3373: UMEC/VI 62.5/25</w:t>
            </w:r>
          </w:p>
        </w:tc>
      </w:tr>
      <w:tr w:rsidR="00FC0A6F" w:rsidTr="00033028">
        <w:tc>
          <w:tcPr>
            <w:tcW w:w="1668" w:type="dxa"/>
          </w:tcPr>
          <w:p w:rsidR="00FC0A6F" w:rsidRPr="00AA6872" w:rsidRDefault="00FC0A6F" w:rsidP="00AA6872">
            <w:pPr>
              <w:ind w:left="0" w:right="0"/>
              <w:rPr>
                <w:sz w:val="20"/>
                <w:szCs w:val="20"/>
              </w:rPr>
            </w:pPr>
            <w:r w:rsidRPr="00AA6872">
              <w:rPr>
                <w:sz w:val="20"/>
                <w:szCs w:val="20"/>
              </w:rPr>
              <w:t>Comparator</w:t>
            </w:r>
          </w:p>
        </w:tc>
        <w:tc>
          <w:tcPr>
            <w:tcW w:w="7052" w:type="dxa"/>
          </w:tcPr>
          <w:p w:rsidR="00FC0A6F" w:rsidRPr="00AA6872" w:rsidRDefault="00FC0A6F" w:rsidP="00AA6872">
            <w:pPr>
              <w:ind w:left="0" w:right="0"/>
              <w:rPr>
                <w:sz w:val="20"/>
                <w:szCs w:val="20"/>
              </w:rPr>
            </w:pPr>
            <w:r w:rsidRPr="00AA6872">
              <w:rPr>
                <w:sz w:val="20"/>
                <w:szCs w:val="20"/>
              </w:rPr>
              <w:t>placebo</w:t>
            </w:r>
          </w:p>
          <w:p w:rsidR="00FC0A6F" w:rsidRPr="00AA6872" w:rsidRDefault="00FC0A6F" w:rsidP="00AA6872">
            <w:pPr>
              <w:ind w:left="0" w:right="0"/>
              <w:rPr>
                <w:sz w:val="20"/>
                <w:szCs w:val="20"/>
              </w:rPr>
            </w:pPr>
            <w:r w:rsidRPr="00AA6872">
              <w:rPr>
                <w:sz w:val="20"/>
                <w:szCs w:val="20"/>
              </w:rPr>
              <w:t>mono products (UMEC, VI)</w:t>
            </w:r>
          </w:p>
        </w:tc>
      </w:tr>
      <w:tr w:rsidR="00FC0A6F" w:rsidTr="00033028">
        <w:tc>
          <w:tcPr>
            <w:tcW w:w="1668" w:type="dxa"/>
          </w:tcPr>
          <w:p w:rsidR="00FC0A6F" w:rsidRPr="00AA6872" w:rsidRDefault="00FC0A6F" w:rsidP="00AA6872">
            <w:pPr>
              <w:ind w:left="0" w:right="0"/>
              <w:rPr>
                <w:sz w:val="20"/>
                <w:szCs w:val="20"/>
              </w:rPr>
            </w:pPr>
            <w:r w:rsidRPr="00AA6872">
              <w:rPr>
                <w:sz w:val="20"/>
                <w:szCs w:val="20"/>
              </w:rPr>
              <w:t>Background therapy</w:t>
            </w:r>
          </w:p>
        </w:tc>
        <w:tc>
          <w:tcPr>
            <w:tcW w:w="7052" w:type="dxa"/>
          </w:tcPr>
          <w:p w:rsidR="00FC0A6F" w:rsidRPr="00AA6872" w:rsidRDefault="00FC0A6F" w:rsidP="00AA6872">
            <w:pPr>
              <w:ind w:left="0" w:right="0"/>
              <w:rPr>
                <w:sz w:val="20"/>
                <w:szCs w:val="20"/>
              </w:rPr>
            </w:pPr>
            <w:r w:rsidRPr="00AA6872">
              <w:rPr>
                <w:sz w:val="20"/>
                <w:szCs w:val="20"/>
              </w:rPr>
              <w:t>Allowed: ICS (mono product), O</w:t>
            </w:r>
            <w:r w:rsidRPr="00AA6872">
              <w:rPr>
                <w:sz w:val="20"/>
                <w:szCs w:val="20"/>
                <w:vertAlign w:val="subscript"/>
              </w:rPr>
              <w:t>2</w:t>
            </w:r>
            <w:r w:rsidRPr="00AA6872">
              <w:rPr>
                <w:sz w:val="20"/>
                <w:szCs w:val="20"/>
              </w:rPr>
              <w:t xml:space="preserve"> therapy</w:t>
            </w:r>
            <w:r w:rsidR="00B83313" w:rsidRPr="00AA6872">
              <w:rPr>
                <w:sz w:val="20"/>
                <w:szCs w:val="20"/>
              </w:rPr>
              <w:t xml:space="preserve"> &lt;</w:t>
            </w:r>
            <w:r w:rsidRPr="00AA6872">
              <w:rPr>
                <w:sz w:val="20"/>
                <w:szCs w:val="20"/>
              </w:rPr>
              <w:t xml:space="preserve"> 12 hours/day, </w:t>
            </w:r>
            <w:proofErr w:type="spellStart"/>
            <w:r w:rsidRPr="00AA6872">
              <w:rPr>
                <w:sz w:val="20"/>
                <w:szCs w:val="20"/>
              </w:rPr>
              <w:t>mucolytics</w:t>
            </w:r>
            <w:proofErr w:type="spellEnd"/>
            <w:r w:rsidRPr="00AA6872">
              <w:rPr>
                <w:sz w:val="20"/>
                <w:szCs w:val="20"/>
              </w:rPr>
              <w:t>, rescue SABA</w:t>
            </w:r>
          </w:p>
          <w:p w:rsidR="00FC0A6F" w:rsidRPr="00AA6872" w:rsidRDefault="00FC0A6F" w:rsidP="00AA6872">
            <w:pPr>
              <w:ind w:left="0" w:right="0"/>
              <w:rPr>
                <w:sz w:val="20"/>
                <w:szCs w:val="20"/>
              </w:rPr>
            </w:pPr>
            <w:r w:rsidRPr="00AA6872">
              <w:rPr>
                <w:sz w:val="20"/>
                <w:szCs w:val="20"/>
              </w:rPr>
              <w:t xml:space="preserve">Prohibited: systemic CS, LABAs, ICS/LABA, SAMA, SAMA/SABA, TIO </w:t>
            </w:r>
            <w:r w:rsidRPr="00AA6872">
              <w:rPr>
                <w:color w:val="auto"/>
                <w:sz w:val="20"/>
                <w:szCs w:val="20"/>
              </w:rPr>
              <w:t>P</w:t>
            </w:r>
            <w:r w:rsidR="009C213F" w:rsidRPr="00AA6872">
              <w:rPr>
                <w:color w:val="auto"/>
                <w:sz w:val="20"/>
                <w:szCs w:val="20"/>
              </w:rPr>
              <w:t>hosphodiesterase type 4</w:t>
            </w:r>
            <w:r w:rsidRPr="00AA6872">
              <w:rPr>
                <w:color w:val="auto"/>
                <w:sz w:val="20"/>
                <w:szCs w:val="20"/>
              </w:rPr>
              <w:t xml:space="preserve"> </w:t>
            </w:r>
            <w:r w:rsidRPr="00AA6872">
              <w:rPr>
                <w:sz w:val="20"/>
                <w:szCs w:val="20"/>
              </w:rPr>
              <w:t>inhibitors, leukotriene inhibitors, theophylline</w:t>
            </w:r>
          </w:p>
        </w:tc>
      </w:tr>
      <w:tr w:rsidR="00FC0A6F" w:rsidTr="00033028">
        <w:tc>
          <w:tcPr>
            <w:tcW w:w="1668" w:type="dxa"/>
          </w:tcPr>
          <w:p w:rsidR="00FC0A6F" w:rsidRPr="00AA6872" w:rsidRDefault="00FC0A6F" w:rsidP="00AA6872">
            <w:pPr>
              <w:ind w:left="0" w:right="0"/>
              <w:rPr>
                <w:sz w:val="20"/>
                <w:szCs w:val="20"/>
              </w:rPr>
            </w:pPr>
            <w:r w:rsidRPr="00AA6872">
              <w:rPr>
                <w:sz w:val="20"/>
                <w:szCs w:val="20"/>
              </w:rPr>
              <w:t>Endpoints</w:t>
            </w:r>
          </w:p>
        </w:tc>
        <w:tc>
          <w:tcPr>
            <w:tcW w:w="7052" w:type="dxa"/>
          </w:tcPr>
          <w:p w:rsidR="00FC0A6F" w:rsidRPr="00AA6872" w:rsidRDefault="00FC0A6F" w:rsidP="00AA6872">
            <w:pPr>
              <w:ind w:left="0" w:right="0"/>
              <w:rPr>
                <w:sz w:val="20"/>
                <w:szCs w:val="20"/>
              </w:rPr>
            </w:pPr>
            <w:r w:rsidRPr="00AA6872">
              <w:rPr>
                <w:sz w:val="20"/>
                <w:szCs w:val="20"/>
              </w:rPr>
              <w:t>Primary: trough FEV1 on day 169 (mean FEV1 23 and 24 hours after dosing on the previous day)</w:t>
            </w:r>
          </w:p>
          <w:p w:rsidR="00FC0A6F" w:rsidRPr="00AA6872" w:rsidRDefault="00FC0A6F" w:rsidP="00AA6872">
            <w:pPr>
              <w:ind w:left="0" w:right="0"/>
              <w:rPr>
                <w:sz w:val="20"/>
                <w:szCs w:val="20"/>
              </w:rPr>
            </w:pPr>
            <w:r w:rsidRPr="00AA6872">
              <w:rPr>
                <w:sz w:val="20"/>
                <w:szCs w:val="20"/>
              </w:rPr>
              <w:t>“Key” s</w:t>
            </w:r>
            <w:r w:rsidR="00B83313" w:rsidRPr="00AA6872">
              <w:rPr>
                <w:sz w:val="20"/>
                <w:szCs w:val="20"/>
              </w:rPr>
              <w:t xml:space="preserve">econdary: weighted mean FEV1 (0 to </w:t>
            </w:r>
            <w:r w:rsidRPr="00AA6872">
              <w:rPr>
                <w:sz w:val="20"/>
                <w:szCs w:val="20"/>
              </w:rPr>
              <w:t>6 hours), Transitional Dyspnoea Ind</w:t>
            </w:r>
            <w:r w:rsidR="009C213F" w:rsidRPr="00AA6872">
              <w:rPr>
                <w:sz w:val="20"/>
                <w:szCs w:val="20"/>
              </w:rPr>
              <w:t>ex (this was at request of EMA)</w:t>
            </w:r>
          </w:p>
          <w:p w:rsidR="00FC0A6F" w:rsidRPr="00AA6872" w:rsidRDefault="00FC0A6F" w:rsidP="00AA6872">
            <w:pPr>
              <w:ind w:left="0" w:right="0"/>
              <w:rPr>
                <w:sz w:val="20"/>
                <w:szCs w:val="20"/>
              </w:rPr>
            </w:pPr>
            <w:r w:rsidRPr="00AA6872">
              <w:rPr>
                <w:sz w:val="20"/>
                <w:szCs w:val="20"/>
              </w:rPr>
              <w:t>Other secondary: exacerbations, St Georges Respiratory Questionnaire, etcetera.</w:t>
            </w:r>
          </w:p>
        </w:tc>
      </w:tr>
      <w:tr w:rsidR="00FC0A6F" w:rsidTr="00033028">
        <w:tc>
          <w:tcPr>
            <w:tcW w:w="1668" w:type="dxa"/>
          </w:tcPr>
          <w:p w:rsidR="00FC0A6F" w:rsidRPr="00AA6872" w:rsidRDefault="00FC0A6F" w:rsidP="00AA6872">
            <w:pPr>
              <w:ind w:left="0" w:right="0"/>
              <w:rPr>
                <w:sz w:val="20"/>
                <w:szCs w:val="20"/>
              </w:rPr>
            </w:pPr>
            <w:r w:rsidRPr="00AA6872">
              <w:rPr>
                <w:sz w:val="20"/>
                <w:szCs w:val="20"/>
              </w:rPr>
              <w:t>Duration</w:t>
            </w:r>
          </w:p>
        </w:tc>
        <w:tc>
          <w:tcPr>
            <w:tcW w:w="7052" w:type="dxa"/>
          </w:tcPr>
          <w:p w:rsidR="00FC0A6F" w:rsidRPr="00AA6872" w:rsidRDefault="00FC0A6F" w:rsidP="00AA6872">
            <w:pPr>
              <w:ind w:left="0" w:right="0"/>
              <w:rPr>
                <w:sz w:val="20"/>
                <w:szCs w:val="20"/>
              </w:rPr>
            </w:pPr>
            <w:r w:rsidRPr="00AA6872">
              <w:rPr>
                <w:sz w:val="20"/>
                <w:szCs w:val="20"/>
              </w:rPr>
              <w:t>24 weeks</w:t>
            </w:r>
          </w:p>
        </w:tc>
      </w:tr>
    </w:tbl>
    <w:p w:rsidR="00296D72" w:rsidRPr="00410A65" w:rsidRDefault="00296D72" w:rsidP="00033028">
      <w:pPr>
        <w:pStyle w:val="Heading6"/>
      </w:pPr>
      <w:r w:rsidRPr="00410A65">
        <w:lastRenderedPageBreak/>
        <w:t>Active-controlled trials (3360, 3374)</w:t>
      </w:r>
    </w:p>
    <w:p w:rsidR="00296D72" w:rsidRPr="00410A65" w:rsidRDefault="00296D72" w:rsidP="00033028">
      <w:r w:rsidRPr="00410A65">
        <w:t xml:space="preserve">Design of these trials was similar to the placebo controlled trials, except that these trials allowed direct comparison of </w:t>
      </w:r>
      <w:r w:rsidR="009C213F">
        <w:t xml:space="preserve">UMEC/VI </w:t>
      </w:r>
      <w:r w:rsidRPr="00410A65">
        <w:t>62.5/25</w:t>
      </w:r>
      <w:r w:rsidR="00173405" w:rsidRPr="00173405">
        <w:t xml:space="preserve"> µg</w:t>
      </w:r>
      <w:r w:rsidRPr="00410A65">
        <w:t xml:space="preserve"> versus </w:t>
      </w:r>
      <w:r w:rsidR="00173405" w:rsidRPr="00173405">
        <w:t xml:space="preserve">UMEC/VI </w:t>
      </w:r>
      <w:r w:rsidRPr="00410A65">
        <w:t>125/25</w:t>
      </w:r>
      <w:r w:rsidR="00173405" w:rsidRPr="00173405">
        <w:t xml:space="preserve"> µg</w:t>
      </w:r>
      <w:r w:rsidRPr="00410A65">
        <w:t xml:space="preserve">. The active comparator was </w:t>
      </w:r>
      <w:r w:rsidR="003476A7" w:rsidRPr="00410A65">
        <w:t>TIO</w:t>
      </w:r>
      <w:r w:rsidR="00FC0A6F">
        <w:t> 18 µ</w:t>
      </w:r>
      <w:r w:rsidR="00410A65">
        <w:t>g.</w:t>
      </w:r>
    </w:p>
    <w:p w:rsidR="00296D72" w:rsidRPr="00410A65" w:rsidRDefault="00410A65" w:rsidP="00033028">
      <w:pPr>
        <w:pStyle w:val="Heading6"/>
      </w:pPr>
      <w:r>
        <w:t>Exercise trials (4417 and 4418)</w:t>
      </w:r>
    </w:p>
    <w:p w:rsidR="00296D72" w:rsidRDefault="00296D72" w:rsidP="00033028">
      <w:r w:rsidRPr="00410A65">
        <w:t xml:space="preserve">The sponsor also submitted two, </w:t>
      </w:r>
      <w:r w:rsidR="00B8228F">
        <w:t xml:space="preserve">incomplete block, crossover (12 </w:t>
      </w:r>
      <w:r w:rsidRPr="00410A65">
        <w:t>week treatment periods) exercise trial</w:t>
      </w:r>
      <w:r w:rsidR="009C213F">
        <w:t xml:space="preserve">s in support of UMEC/VI. The co </w:t>
      </w:r>
      <w:r w:rsidRPr="00410A65">
        <w:t xml:space="preserve">primary efficacy endpoints were the </w:t>
      </w:r>
      <w:r w:rsidR="00367B3B" w:rsidRPr="009C213F">
        <w:t>EET</w:t>
      </w:r>
      <w:r w:rsidR="00367B3B" w:rsidRPr="00410A65">
        <w:t xml:space="preserve"> </w:t>
      </w:r>
      <w:r w:rsidRPr="00410A65">
        <w:t>(measured by the endurance shuttle walk test) and the trough FEV1 at Da</w:t>
      </w:r>
      <w:r w:rsidR="00B8228F">
        <w:t xml:space="preserve">y 85 (pre bronchodilator and pre </w:t>
      </w:r>
      <w:r w:rsidRPr="00410A65">
        <w:t>dose FEV1 obtained 24 hours after dosing on Treatment Day 84). The sponsor is not making an exercise claim; and the results are not reproduced in this overview. In short, these trials provide support</w:t>
      </w:r>
      <w:r w:rsidR="00410A65">
        <w:t xml:space="preserve"> for the bronchodilation claim.</w:t>
      </w:r>
    </w:p>
    <w:p w:rsidR="00296D72" w:rsidRPr="00410A65" w:rsidRDefault="004C2ABF" w:rsidP="00033028">
      <w:pPr>
        <w:pStyle w:val="Heading5"/>
      </w:pPr>
      <w:r>
        <w:t>Phase III</w:t>
      </w:r>
      <w:r w:rsidR="00296D72" w:rsidRPr="00410A65">
        <w:t xml:space="preserve"> trial results</w:t>
      </w:r>
    </w:p>
    <w:p w:rsidR="00296D72" w:rsidRPr="00410A65" w:rsidRDefault="00F35BE2" w:rsidP="00033028">
      <w:pPr>
        <w:pStyle w:val="Tabletitle0"/>
      </w:pPr>
      <w:proofErr w:type="gramStart"/>
      <w:r>
        <w:t>Table 13</w:t>
      </w:r>
      <w:r w:rsidR="004C6AD5">
        <w:t>.</w:t>
      </w:r>
      <w:proofErr w:type="gramEnd"/>
      <w:r w:rsidR="004C6AD5">
        <w:t xml:space="preserve"> </w:t>
      </w:r>
      <w:r w:rsidR="00946D67">
        <w:t xml:space="preserve">Results of placebo </w:t>
      </w:r>
      <w:r w:rsidR="00296D72" w:rsidRPr="00410A65">
        <w:t>controlled tri</w:t>
      </w:r>
      <w:r w:rsidR="00946D67">
        <w:t>als (3361, 3373), trough FEV1, D</w:t>
      </w:r>
      <w:r w:rsidR="00296D72" w:rsidRPr="00410A65">
        <w:t xml:space="preserve">ay 169, </w:t>
      </w:r>
      <w:proofErr w:type="gramStart"/>
      <w:r w:rsidR="00296D72" w:rsidRPr="00410A65">
        <w:t>ITT</w:t>
      </w:r>
      <w:proofErr w:type="gramEnd"/>
      <w:r w:rsidR="0061779E">
        <w:t xml:space="preserve"> population</w:t>
      </w:r>
      <w:r w:rsidR="00837F98">
        <w:t>.</w:t>
      </w:r>
    </w:p>
    <w:tbl>
      <w:tblPr>
        <w:tblStyle w:val="TableTGAblue"/>
        <w:tblW w:w="9039" w:type="dxa"/>
        <w:tblLayout w:type="fixed"/>
        <w:tblLook w:val="04A0" w:firstRow="1" w:lastRow="0" w:firstColumn="1" w:lastColumn="0" w:noHBand="0" w:noVBand="1"/>
      </w:tblPr>
      <w:tblGrid>
        <w:gridCol w:w="1526"/>
        <w:gridCol w:w="709"/>
        <w:gridCol w:w="992"/>
        <w:gridCol w:w="992"/>
        <w:gridCol w:w="1418"/>
        <w:gridCol w:w="992"/>
        <w:gridCol w:w="1417"/>
        <w:gridCol w:w="993"/>
      </w:tblGrid>
      <w:tr w:rsidR="00296D72" w:rsidRPr="004C6AD5" w:rsidTr="007C7144">
        <w:trPr>
          <w:cnfStyle w:val="100000000000" w:firstRow="1" w:lastRow="0" w:firstColumn="0" w:lastColumn="0" w:oddVBand="0" w:evenVBand="0" w:oddHBand="0" w:evenHBand="0" w:firstRowFirstColumn="0" w:firstRowLastColumn="0" w:lastRowFirstColumn="0" w:lastRowLastColumn="0"/>
        </w:trPr>
        <w:tc>
          <w:tcPr>
            <w:tcW w:w="1526" w:type="dxa"/>
          </w:tcPr>
          <w:p w:rsidR="00296D72" w:rsidRPr="009F67D4" w:rsidRDefault="00296D72" w:rsidP="009F67D4">
            <w:pPr>
              <w:ind w:left="0" w:right="0"/>
              <w:rPr>
                <w:sz w:val="20"/>
                <w:szCs w:val="20"/>
              </w:rPr>
            </w:pPr>
            <w:r w:rsidRPr="009F67D4">
              <w:rPr>
                <w:sz w:val="20"/>
                <w:szCs w:val="20"/>
              </w:rPr>
              <w:t>Treatment</w:t>
            </w:r>
          </w:p>
        </w:tc>
        <w:tc>
          <w:tcPr>
            <w:tcW w:w="709" w:type="dxa"/>
          </w:tcPr>
          <w:p w:rsidR="00296D72" w:rsidRPr="009F67D4" w:rsidRDefault="00296D72" w:rsidP="009F67D4">
            <w:pPr>
              <w:ind w:left="34" w:right="0"/>
              <w:rPr>
                <w:sz w:val="20"/>
                <w:szCs w:val="20"/>
              </w:rPr>
            </w:pPr>
            <w:r w:rsidRPr="009F67D4">
              <w:rPr>
                <w:sz w:val="20"/>
                <w:szCs w:val="20"/>
              </w:rPr>
              <w:t>n</w:t>
            </w:r>
          </w:p>
        </w:tc>
        <w:tc>
          <w:tcPr>
            <w:tcW w:w="992" w:type="dxa"/>
          </w:tcPr>
          <w:p w:rsidR="00296D72" w:rsidRPr="009F67D4" w:rsidRDefault="00946D67" w:rsidP="009F67D4">
            <w:pPr>
              <w:ind w:left="33" w:right="0"/>
              <w:rPr>
                <w:sz w:val="20"/>
                <w:szCs w:val="20"/>
              </w:rPr>
            </w:pPr>
            <w:r w:rsidRPr="009F67D4">
              <w:rPr>
                <w:sz w:val="20"/>
                <w:szCs w:val="20"/>
              </w:rPr>
              <w:t xml:space="preserve">LS mean </w:t>
            </w:r>
            <w:r w:rsidR="00296D72" w:rsidRPr="009F67D4">
              <w:rPr>
                <w:sz w:val="20"/>
                <w:szCs w:val="20"/>
              </w:rPr>
              <w:t>(L)</w:t>
            </w:r>
          </w:p>
        </w:tc>
        <w:tc>
          <w:tcPr>
            <w:tcW w:w="992" w:type="dxa"/>
          </w:tcPr>
          <w:p w:rsidR="00296D72" w:rsidRPr="009F67D4" w:rsidRDefault="00946D67" w:rsidP="009F67D4">
            <w:pPr>
              <w:ind w:left="34" w:right="0"/>
              <w:rPr>
                <w:sz w:val="20"/>
                <w:szCs w:val="20"/>
              </w:rPr>
            </w:pPr>
            <w:r w:rsidRPr="009F67D4">
              <w:rPr>
                <w:sz w:val="20"/>
                <w:szCs w:val="20"/>
              </w:rPr>
              <w:t xml:space="preserve">LS mean </w:t>
            </w:r>
            <w:r w:rsidR="00296D72" w:rsidRPr="009F67D4">
              <w:rPr>
                <w:sz w:val="20"/>
                <w:szCs w:val="20"/>
              </w:rPr>
              <w:t>change (L)</w:t>
            </w:r>
          </w:p>
        </w:tc>
        <w:tc>
          <w:tcPr>
            <w:tcW w:w="1418" w:type="dxa"/>
          </w:tcPr>
          <w:p w:rsidR="00296D72" w:rsidRPr="009F67D4" w:rsidRDefault="00946D67" w:rsidP="009F67D4">
            <w:pPr>
              <w:ind w:left="34" w:right="0"/>
              <w:rPr>
                <w:sz w:val="20"/>
                <w:szCs w:val="20"/>
              </w:rPr>
            </w:pPr>
            <w:r w:rsidRPr="009F67D4">
              <w:rPr>
                <w:sz w:val="20"/>
                <w:szCs w:val="20"/>
              </w:rPr>
              <w:t xml:space="preserve">Difference from UMEC </w:t>
            </w:r>
            <w:r w:rsidR="00296D72" w:rsidRPr="009F67D4">
              <w:rPr>
                <w:sz w:val="20"/>
                <w:szCs w:val="20"/>
              </w:rPr>
              <w:t>(95% CI)</w:t>
            </w:r>
          </w:p>
        </w:tc>
        <w:tc>
          <w:tcPr>
            <w:tcW w:w="992" w:type="dxa"/>
          </w:tcPr>
          <w:p w:rsidR="00296D72" w:rsidRPr="009F67D4" w:rsidRDefault="00296D72" w:rsidP="009F67D4">
            <w:pPr>
              <w:ind w:left="34" w:right="0"/>
              <w:rPr>
                <w:sz w:val="20"/>
                <w:szCs w:val="20"/>
              </w:rPr>
            </w:pPr>
            <w:r w:rsidRPr="009F67D4">
              <w:rPr>
                <w:sz w:val="20"/>
                <w:szCs w:val="20"/>
              </w:rPr>
              <w:t>p</w:t>
            </w:r>
          </w:p>
        </w:tc>
        <w:tc>
          <w:tcPr>
            <w:tcW w:w="1417" w:type="dxa"/>
          </w:tcPr>
          <w:p w:rsidR="00296D72" w:rsidRPr="009F67D4" w:rsidRDefault="00946D67" w:rsidP="009F67D4">
            <w:pPr>
              <w:ind w:left="0" w:right="0"/>
              <w:rPr>
                <w:sz w:val="20"/>
                <w:szCs w:val="20"/>
              </w:rPr>
            </w:pPr>
            <w:r w:rsidRPr="009F67D4">
              <w:rPr>
                <w:sz w:val="20"/>
                <w:szCs w:val="20"/>
              </w:rPr>
              <w:t xml:space="preserve">Difference from VI </w:t>
            </w:r>
            <w:r w:rsidR="00296D72" w:rsidRPr="009F67D4">
              <w:rPr>
                <w:sz w:val="20"/>
                <w:szCs w:val="20"/>
              </w:rPr>
              <w:t>(95% CI)</w:t>
            </w:r>
          </w:p>
        </w:tc>
        <w:tc>
          <w:tcPr>
            <w:tcW w:w="993" w:type="dxa"/>
          </w:tcPr>
          <w:p w:rsidR="00296D72" w:rsidRPr="009F67D4" w:rsidRDefault="00296D72" w:rsidP="009F67D4">
            <w:pPr>
              <w:ind w:left="33" w:right="0"/>
              <w:rPr>
                <w:sz w:val="20"/>
                <w:szCs w:val="20"/>
              </w:rPr>
            </w:pPr>
            <w:r w:rsidRPr="009F67D4">
              <w:rPr>
                <w:sz w:val="20"/>
                <w:szCs w:val="20"/>
              </w:rPr>
              <w:t>p</w:t>
            </w:r>
          </w:p>
        </w:tc>
      </w:tr>
      <w:tr w:rsidR="004C6AD5" w:rsidRPr="004C6AD5" w:rsidTr="009F67D4">
        <w:tc>
          <w:tcPr>
            <w:tcW w:w="9039" w:type="dxa"/>
            <w:gridSpan w:val="8"/>
          </w:tcPr>
          <w:p w:rsidR="004C6AD5" w:rsidRPr="009F67D4" w:rsidRDefault="00173405" w:rsidP="009F67D4">
            <w:pPr>
              <w:ind w:left="33" w:right="0"/>
              <w:rPr>
                <w:sz w:val="20"/>
                <w:szCs w:val="20"/>
              </w:rPr>
            </w:pPr>
            <w:r w:rsidRPr="009F67D4">
              <w:rPr>
                <w:sz w:val="20"/>
                <w:szCs w:val="20"/>
              </w:rPr>
              <w:t xml:space="preserve">Study </w:t>
            </w:r>
            <w:r w:rsidR="004C6AD5" w:rsidRPr="009F67D4">
              <w:rPr>
                <w:sz w:val="20"/>
                <w:szCs w:val="20"/>
              </w:rPr>
              <w:t>3361</w:t>
            </w:r>
          </w:p>
        </w:tc>
      </w:tr>
      <w:tr w:rsidR="00296D72" w:rsidRPr="004C6AD5" w:rsidTr="007C7144">
        <w:tc>
          <w:tcPr>
            <w:tcW w:w="1526" w:type="dxa"/>
          </w:tcPr>
          <w:p w:rsidR="00296D72" w:rsidRPr="009F67D4" w:rsidRDefault="00296D72" w:rsidP="009F67D4">
            <w:pPr>
              <w:ind w:left="0" w:right="0"/>
              <w:rPr>
                <w:sz w:val="20"/>
                <w:szCs w:val="20"/>
              </w:rPr>
            </w:pPr>
            <w:r w:rsidRPr="009F67D4">
              <w:rPr>
                <w:sz w:val="20"/>
                <w:szCs w:val="20"/>
              </w:rPr>
              <w:t>UMEC/VI 125</w:t>
            </w:r>
            <w:r w:rsidR="00173405" w:rsidRPr="009F67D4">
              <w:rPr>
                <w:color w:val="auto"/>
                <w:sz w:val="20"/>
                <w:szCs w:val="20"/>
                <w:lang w:eastAsia="en-US"/>
              </w:rPr>
              <w:t xml:space="preserve"> </w:t>
            </w:r>
            <w:r w:rsidR="00173405" w:rsidRPr="009F67D4">
              <w:rPr>
                <w:sz w:val="20"/>
                <w:szCs w:val="20"/>
              </w:rPr>
              <w:t xml:space="preserve">µg </w:t>
            </w:r>
            <w:r w:rsidRPr="009F67D4">
              <w:rPr>
                <w:sz w:val="20"/>
                <w:szCs w:val="20"/>
              </w:rPr>
              <w:t>/25</w:t>
            </w:r>
            <w:r w:rsidR="00173405" w:rsidRPr="009F67D4">
              <w:rPr>
                <w:color w:val="auto"/>
                <w:sz w:val="20"/>
                <w:szCs w:val="20"/>
                <w:lang w:eastAsia="en-US"/>
              </w:rPr>
              <w:t xml:space="preserve"> </w:t>
            </w:r>
            <w:r w:rsidR="00173405" w:rsidRPr="009F67D4">
              <w:rPr>
                <w:sz w:val="20"/>
                <w:szCs w:val="20"/>
              </w:rPr>
              <w:t>µg</w:t>
            </w:r>
          </w:p>
        </w:tc>
        <w:tc>
          <w:tcPr>
            <w:tcW w:w="709" w:type="dxa"/>
          </w:tcPr>
          <w:p w:rsidR="00296D72" w:rsidRPr="009F67D4" w:rsidRDefault="00296D72" w:rsidP="009F67D4">
            <w:pPr>
              <w:ind w:left="34" w:right="0"/>
              <w:rPr>
                <w:sz w:val="20"/>
                <w:szCs w:val="20"/>
              </w:rPr>
            </w:pPr>
            <w:r w:rsidRPr="009F67D4">
              <w:rPr>
                <w:sz w:val="20"/>
                <w:szCs w:val="20"/>
              </w:rPr>
              <w:t>403</w:t>
            </w:r>
          </w:p>
        </w:tc>
        <w:tc>
          <w:tcPr>
            <w:tcW w:w="992" w:type="dxa"/>
          </w:tcPr>
          <w:p w:rsidR="00296D72" w:rsidRPr="009F67D4" w:rsidRDefault="00296D72" w:rsidP="009F67D4">
            <w:pPr>
              <w:ind w:left="33" w:right="0"/>
              <w:rPr>
                <w:sz w:val="20"/>
                <w:szCs w:val="20"/>
              </w:rPr>
            </w:pPr>
            <w:r w:rsidRPr="009F67D4">
              <w:rPr>
                <w:sz w:val="20"/>
                <w:szCs w:val="20"/>
              </w:rPr>
              <w:t>1.484</w:t>
            </w:r>
          </w:p>
        </w:tc>
        <w:tc>
          <w:tcPr>
            <w:tcW w:w="992" w:type="dxa"/>
          </w:tcPr>
          <w:p w:rsidR="00296D72" w:rsidRPr="009F67D4" w:rsidRDefault="00296D72" w:rsidP="009F67D4">
            <w:pPr>
              <w:ind w:left="34" w:right="0"/>
              <w:rPr>
                <w:sz w:val="20"/>
                <w:szCs w:val="20"/>
              </w:rPr>
            </w:pPr>
            <w:r w:rsidRPr="009F67D4">
              <w:rPr>
                <w:sz w:val="20"/>
                <w:szCs w:val="20"/>
              </w:rPr>
              <w:t>0.207</w:t>
            </w:r>
          </w:p>
        </w:tc>
        <w:tc>
          <w:tcPr>
            <w:tcW w:w="1418" w:type="dxa"/>
          </w:tcPr>
          <w:p w:rsidR="00296D72" w:rsidRPr="009F67D4" w:rsidRDefault="00710B34" w:rsidP="009F67D4">
            <w:pPr>
              <w:ind w:left="34" w:right="0"/>
              <w:rPr>
                <w:sz w:val="20"/>
                <w:szCs w:val="20"/>
              </w:rPr>
            </w:pPr>
            <w:r w:rsidRPr="009F67D4">
              <w:rPr>
                <w:sz w:val="20"/>
                <w:szCs w:val="20"/>
              </w:rPr>
              <w:t>0.079</w:t>
            </w:r>
            <w:r w:rsidR="007831A2" w:rsidRPr="009F67D4">
              <w:rPr>
                <w:sz w:val="20"/>
                <w:szCs w:val="20"/>
              </w:rPr>
              <w:t xml:space="preserve"> </w:t>
            </w:r>
            <w:r w:rsidR="00296D72" w:rsidRPr="009F67D4">
              <w:rPr>
                <w:sz w:val="20"/>
                <w:szCs w:val="20"/>
              </w:rPr>
              <w:t>(0.046, 0.112)</w:t>
            </w:r>
          </w:p>
        </w:tc>
        <w:tc>
          <w:tcPr>
            <w:tcW w:w="992" w:type="dxa"/>
          </w:tcPr>
          <w:p w:rsidR="00296D72" w:rsidRPr="009F67D4" w:rsidRDefault="00296D72" w:rsidP="009F67D4">
            <w:pPr>
              <w:ind w:left="34" w:right="0"/>
              <w:rPr>
                <w:sz w:val="20"/>
                <w:szCs w:val="20"/>
              </w:rPr>
            </w:pPr>
            <w:r w:rsidRPr="009F67D4">
              <w:rPr>
                <w:sz w:val="20"/>
                <w:szCs w:val="20"/>
              </w:rPr>
              <w:t>&lt;0.001</w:t>
            </w:r>
          </w:p>
        </w:tc>
        <w:tc>
          <w:tcPr>
            <w:tcW w:w="1417" w:type="dxa"/>
          </w:tcPr>
          <w:p w:rsidR="00296D72" w:rsidRPr="009F67D4" w:rsidRDefault="00173405" w:rsidP="009F67D4">
            <w:pPr>
              <w:ind w:left="0" w:right="0"/>
              <w:rPr>
                <w:sz w:val="20"/>
                <w:szCs w:val="20"/>
              </w:rPr>
            </w:pPr>
            <w:r w:rsidRPr="009F67D4">
              <w:rPr>
                <w:sz w:val="20"/>
                <w:szCs w:val="20"/>
              </w:rPr>
              <w:t>0.114</w:t>
            </w:r>
            <w:r w:rsidR="007831A2" w:rsidRPr="009F67D4">
              <w:rPr>
                <w:sz w:val="20"/>
                <w:szCs w:val="20"/>
              </w:rPr>
              <w:br/>
            </w:r>
            <w:r w:rsidR="00296D72" w:rsidRPr="009F67D4">
              <w:rPr>
                <w:sz w:val="20"/>
                <w:szCs w:val="20"/>
              </w:rPr>
              <w:t>(0.081, 0.148)</w:t>
            </w:r>
          </w:p>
        </w:tc>
        <w:tc>
          <w:tcPr>
            <w:tcW w:w="993" w:type="dxa"/>
          </w:tcPr>
          <w:p w:rsidR="00296D72" w:rsidRPr="009F67D4" w:rsidRDefault="00296D72" w:rsidP="009F67D4">
            <w:pPr>
              <w:ind w:left="33" w:right="0"/>
              <w:rPr>
                <w:sz w:val="20"/>
                <w:szCs w:val="20"/>
              </w:rPr>
            </w:pPr>
            <w:r w:rsidRPr="009F67D4">
              <w:rPr>
                <w:sz w:val="20"/>
                <w:szCs w:val="20"/>
              </w:rPr>
              <w:t>&lt;0.001</w:t>
            </w:r>
          </w:p>
        </w:tc>
      </w:tr>
      <w:tr w:rsidR="00296D72" w:rsidRPr="004C6AD5" w:rsidTr="007C7144">
        <w:tc>
          <w:tcPr>
            <w:tcW w:w="1526" w:type="dxa"/>
          </w:tcPr>
          <w:p w:rsidR="00296D72" w:rsidRPr="009F67D4" w:rsidRDefault="00296D72" w:rsidP="009F67D4">
            <w:pPr>
              <w:ind w:left="0" w:right="0"/>
              <w:rPr>
                <w:sz w:val="20"/>
                <w:szCs w:val="20"/>
              </w:rPr>
            </w:pPr>
            <w:r w:rsidRPr="009F67D4">
              <w:rPr>
                <w:sz w:val="20"/>
                <w:szCs w:val="20"/>
              </w:rPr>
              <w:t>UMEC 125</w:t>
            </w:r>
            <w:r w:rsidR="00173405" w:rsidRPr="009F67D4">
              <w:rPr>
                <w:sz w:val="20"/>
                <w:szCs w:val="20"/>
              </w:rPr>
              <w:t xml:space="preserve"> µg</w:t>
            </w:r>
          </w:p>
        </w:tc>
        <w:tc>
          <w:tcPr>
            <w:tcW w:w="709" w:type="dxa"/>
          </w:tcPr>
          <w:p w:rsidR="00296D72" w:rsidRPr="009F67D4" w:rsidRDefault="00296D72" w:rsidP="009F67D4">
            <w:pPr>
              <w:ind w:left="34" w:right="0"/>
              <w:rPr>
                <w:sz w:val="20"/>
                <w:szCs w:val="20"/>
              </w:rPr>
            </w:pPr>
            <w:r w:rsidRPr="009F67D4">
              <w:rPr>
                <w:sz w:val="20"/>
                <w:szCs w:val="20"/>
              </w:rPr>
              <w:t>407</w:t>
            </w:r>
          </w:p>
        </w:tc>
        <w:tc>
          <w:tcPr>
            <w:tcW w:w="992" w:type="dxa"/>
          </w:tcPr>
          <w:p w:rsidR="00296D72" w:rsidRPr="009F67D4" w:rsidRDefault="00296D72" w:rsidP="009F67D4">
            <w:pPr>
              <w:ind w:left="33" w:right="0"/>
              <w:rPr>
                <w:sz w:val="20"/>
                <w:szCs w:val="20"/>
              </w:rPr>
            </w:pPr>
            <w:r w:rsidRPr="009F67D4">
              <w:rPr>
                <w:sz w:val="20"/>
                <w:szCs w:val="20"/>
              </w:rPr>
              <w:t>1.405</w:t>
            </w:r>
          </w:p>
        </w:tc>
        <w:tc>
          <w:tcPr>
            <w:tcW w:w="992" w:type="dxa"/>
          </w:tcPr>
          <w:p w:rsidR="00296D72" w:rsidRPr="009F67D4" w:rsidRDefault="00296D72" w:rsidP="009F67D4">
            <w:pPr>
              <w:ind w:left="34" w:right="0"/>
              <w:rPr>
                <w:sz w:val="20"/>
                <w:szCs w:val="20"/>
              </w:rPr>
            </w:pPr>
            <w:r w:rsidRPr="009F67D4">
              <w:rPr>
                <w:sz w:val="20"/>
                <w:szCs w:val="20"/>
              </w:rPr>
              <w:t>0.129</w:t>
            </w:r>
          </w:p>
        </w:tc>
        <w:tc>
          <w:tcPr>
            <w:tcW w:w="1418" w:type="dxa"/>
          </w:tcPr>
          <w:p w:rsidR="00296D72" w:rsidRPr="009F67D4" w:rsidRDefault="00296D72" w:rsidP="009F67D4">
            <w:pPr>
              <w:ind w:left="34" w:right="0"/>
              <w:rPr>
                <w:sz w:val="20"/>
                <w:szCs w:val="20"/>
              </w:rPr>
            </w:pPr>
          </w:p>
        </w:tc>
        <w:tc>
          <w:tcPr>
            <w:tcW w:w="992" w:type="dxa"/>
          </w:tcPr>
          <w:p w:rsidR="00296D72" w:rsidRPr="009F67D4" w:rsidRDefault="00296D72" w:rsidP="009F67D4">
            <w:pPr>
              <w:ind w:left="34" w:right="0"/>
              <w:rPr>
                <w:sz w:val="20"/>
                <w:szCs w:val="20"/>
              </w:rPr>
            </w:pPr>
          </w:p>
        </w:tc>
        <w:tc>
          <w:tcPr>
            <w:tcW w:w="1417" w:type="dxa"/>
          </w:tcPr>
          <w:p w:rsidR="00296D72" w:rsidRPr="009F67D4" w:rsidRDefault="00296D72" w:rsidP="009F67D4">
            <w:pPr>
              <w:ind w:left="0" w:right="0"/>
              <w:rPr>
                <w:sz w:val="20"/>
                <w:szCs w:val="20"/>
              </w:rPr>
            </w:pPr>
          </w:p>
        </w:tc>
        <w:tc>
          <w:tcPr>
            <w:tcW w:w="993" w:type="dxa"/>
          </w:tcPr>
          <w:p w:rsidR="00296D72" w:rsidRPr="009F67D4" w:rsidRDefault="00296D72" w:rsidP="009F67D4">
            <w:pPr>
              <w:ind w:left="33" w:right="0"/>
              <w:rPr>
                <w:sz w:val="20"/>
                <w:szCs w:val="20"/>
              </w:rPr>
            </w:pPr>
          </w:p>
        </w:tc>
      </w:tr>
      <w:tr w:rsidR="00296D72" w:rsidRPr="004C6AD5" w:rsidTr="007C7144">
        <w:tc>
          <w:tcPr>
            <w:tcW w:w="1526" w:type="dxa"/>
          </w:tcPr>
          <w:p w:rsidR="00296D72" w:rsidRPr="009F67D4" w:rsidRDefault="00296D72" w:rsidP="009F67D4">
            <w:pPr>
              <w:ind w:left="0" w:right="0"/>
              <w:rPr>
                <w:sz w:val="20"/>
                <w:szCs w:val="20"/>
              </w:rPr>
            </w:pPr>
            <w:r w:rsidRPr="009F67D4">
              <w:rPr>
                <w:sz w:val="20"/>
                <w:szCs w:val="20"/>
              </w:rPr>
              <w:t>VI 25</w:t>
            </w:r>
            <w:r w:rsidR="00173405" w:rsidRPr="009F67D4">
              <w:rPr>
                <w:sz w:val="20"/>
                <w:szCs w:val="20"/>
              </w:rPr>
              <w:t xml:space="preserve"> µg</w:t>
            </w:r>
          </w:p>
        </w:tc>
        <w:tc>
          <w:tcPr>
            <w:tcW w:w="709" w:type="dxa"/>
          </w:tcPr>
          <w:p w:rsidR="00296D72" w:rsidRPr="009F67D4" w:rsidRDefault="00296D72" w:rsidP="009F67D4">
            <w:pPr>
              <w:ind w:left="34" w:right="0"/>
              <w:rPr>
                <w:sz w:val="20"/>
                <w:szCs w:val="20"/>
              </w:rPr>
            </w:pPr>
            <w:r w:rsidRPr="009F67D4">
              <w:rPr>
                <w:sz w:val="20"/>
                <w:szCs w:val="20"/>
              </w:rPr>
              <w:t>404</w:t>
            </w:r>
          </w:p>
        </w:tc>
        <w:tc>
          <w:tcPr>
            <w:tcW w:w="992" w:type="dxa"/>
          </w:tcPr>
          <w:p w:rsidR="00296D72" w:rsidRPr="009F67D4" w:rsidRDefault="00296D72" w:rsidP="009F67D4">
            <w:pPr>
              <w:ind w:left="33" w:right="0"/>
              <w:rPr>
                <w:sz w:val="20"/>
                <w:szCs w:val="20"/>
              </w:rPr>
            </w:pPr>
            <w:r w:rsidRPr="009F67D4">
              <w:rPr>
                <w:sz w:val="20"/>
                <w:szCs w:val="20"/>
              </w:rPr>
              <w:t>1.379</w:t>
            </w:r>
          </w:p>
        </w:tc>
        <w:tc>
          <w:tcPr>
            <w:tcW w:w="992" w:type="dxa"/>
          </w:tcPr>
          <w:p w:rsidR="00296D72" w:rsidRPr="009F67D4" w:rsidRDefault="00296D72" w:rsidP="009F67D4">
            <w:pPr>
              <w:ind w:left="34" w:right="0"/>
              <w:rPr>
                <w:sz w:val="20"/>
                <w:szCs w:val="20"/>
              </w:rPr>
            </w:pPr>
            <w:r w:rsidRPr="009F67D4">
              <w:rPr>
                <w:sz w:val="20"/>
                <w:szCs w:val="20"/>
              </w:rPr>
              <w:t>0.093</w:t>
            </w:r>
          </w:p>
        </w:tc>
        <w:tc>
          <w:tcPr>
            <w:tcW w:w="1418" w:type="dxa"/>
          </w:tcPr>
          <w:p w:rsidR="00296D72" w:rsidRPr="009F67D4" w:rsidRDefault="00296D72" w:rsidP="009F67D4">
            <w:pPr>
              <w:ind w:left="34" w:right="0"/>
              <w:rPr>
                <w:sz w:val="20"/>
                <w:szCs w:val="20"/>
              </w:rPr>
            </w:pPr>
          </w:p>
        </w:tc>
        <w:tc>
          <w:tcPr>
            <w:tcW w:w="992" w:type="dxa"/>
          </w:tcPr>
          <w:p w:rsidR="00296D72" w:rsidRPr="009F67D4" w:rsidRDefault="00296D72" w:rsidP="009F67D4">
            <w:pPr>
              <w:ind w:left="34" w:right="0"/>
              <w:rPr>
                <w:sz w:val="20"/>
                <w:szCs w:val="20"/>
              </w:rPr>
            </w:pPr>
          </w:p>
        </w:tc>
        <w:tc>
          <w:tcPr>
            <w:tcW w:w="1417" w:type="dxa"/>
          </w:tcPr>
          <w:p w:rsidR="00296D72" w:rsidRPr="009F67D4" w:rsidRDefault="00296D72" w:rsidP="009F67D4">
            <w:pPr>
              <w:ind w:left="0" w:right="0"/>
              <w:rPr>
                <w:sz w:val="20"/>
                <w:szCs w:val="20"/>
              </w:rPr>
            </w:pPr>
          </w:p>
        </w:tc>
        <w:tc>
          <w:tcPr>
            <w:tcW w:w="993" w:type="dxa"/>
          </w:tcPr>
          <w:p w:rsidR="00296D72" w:rsidRPr="009F67D4" w:rsidRDefault="00296D72" w:rsidP="009F67D4">
            <w:pPr>
              <w:ind w:left="33" w:right="0"/>
              <w:rPr>
                <w:sz w:val="20"/>
                <w:szCs w:val="20"/>
              </w:rPr>
            </w:pPr>
          </w:p>
        </w:tc>
      </w:tr>
      <w:tr w:rsidR="00296D72" w:rsidRPr="004C6AD5" w:rsidTr="007C7144">
        <w:tc>
          <w:tcPr>
            <w:tcW w:w="1526" w:type="dxa"/>
          </w:tcPr>
          <w:p w:rsidR="00296D72" w:rsidRPr="009F67D4" w:rsidRDefault="00296D72" w:rsidP="009F67D4">
            <w:pPr>
              <w:ind w:left="0" w:right="0"/>
              <w:rPr>
                <w:sz w:val="20"/>
                <w:szCs w:val="20"/>
              </w:rPr>
            </w:pPr>
            <w:r w:rsidRPr="009F67D4">
              <w:rPr>
                <w:sz w:val="20"/>
                <w:szCs w:val="20"/>
              </w:rPr>
              <w:t>Placebo</w:t>
            </w:r>
          </w:p>
        </w:tc>
        <w:tc>
          <w:tcPr>
            <w:tcW w:w="709" w:type="dxa"/>
          </w:tcPr>
          <w:p w:rsidR="00296D72" w:rsidRPr="009F67D4" w:rsidRDefault="00296D72" w:rsidP="009F67D4">
            <w:pPr>
              <w:ind w:left="34" w:right="0"/>
              <w:rPr>
                <w:sz w:val="20"/>
                <w:szCs w:val="20"/>
              </w:rPr>
            </w:pPr>
            <w:r w:rsidRPr="009F67D4">
              <w:rPr>
                <w:sz w:val="20"/>
                <w:szCs w:val="20"/>
              </w:rPr>
              <w:t>275</w:t>
            </w:r>
          </w:p>
        </w:tc>
        <w:tc>
          <w:tcPr>
            <w:tcW w:w="992" w:type="dxa"/>
          </w:tcPr>
          <w:p w:rsidR="00296D72" w:rsidRPr="009F67D4" w:rsidRDefault="00296D72" w:rsidP="009F67D4">
            <w:pPr>
              <w:ind w:left="33" w:right="0"/>
              <w:rPr>
                <w:sz w:val="20"/>
                <w:szCs w:val="20"/>
              </w:rPr>
            </w:pPr>
            <w:r w:rsidRPr="009F67D4">
              <w:rPr>
                <w:sz w:val="20"/>
                <w:szCs w:val="20"/>
              </w:rPr>
              <w:t>1.245</w:t>
            </w:r>
          </w:p>
        </w:tc>
        <w:tc>
          <w:tcPr>
            <w:tcW w:w="992" w:type="dxa"/>
          </w:tcPr>
          <w:p w:rsidR="00296D72" w:rsidRPr="009F67D4" w:rsidRDefault="00296D72" w:rsidP="009F67D4">
            <w:pPr>
              <w:ind w:left="34" w:right="0"/>
              <w:rPr>
                <w:sz w:val="20"/>
                <w:szCs w:val="20"/>
              </w:rPr>
            </w:pPr>
            <w:r w:rsidRPr="009F67D4">
              <w:rPr>
                <w:sz w:val="20"/>
                <w:szCs w:val="20"/>
              </w:rPr>
              <w:t>-0.031</w:t>
            </w:r>
          </w:p>
        </w:tc>
        <w:tc>
          <w:tcPr>
            <w:tcW w:w="1418" w:type="dxa"/>
          </w:tcPr>
          <w:p w:rsidR="00296D72" w:rsidRPr="009F67D4" w:rsidRDefault="0061779E" w:rsidP="009F67D4">
            <w:pPr>
              <w:ind w:left="34" w:right="0"/>
              <w:rPr>
                <w:sz w:val="20"/>
                <w:szCs w:val="20"/>
              </w:rPr>
            </w:pPr>
            <w:r w:rsidRPr="009F67D4">
              <w:rPr>
                <w:sz w:val="20"/>
                <w:szCs w:val="20"/>
              </w:rPr>
              <w:t>0.160</w:t>
            </w:r>
            <w:r w:rsidR="00033028" w:rsidRPr="009F67D4">
              <w:rPr>
                <w:sz w:val="20"/>
                <w:szCs w:val="20"/>
              </w:rPr>
              <w:t xml:space="preserve"> </w:t>
            </w:r>
            <w:r w:rsidR="00296D72" w:rsidRPr="009F67D4">
              <w:rPr>
                <w:sz w:val="20"/>
                <w:szCs w:val="20"/>
              </w:rPr>
              <w:t>(0.122, 0.198)</w:t>
            </w:r>
          </w:p>
        </w:tc>
        <w:tc>
          <w:tcPr>
            <w:tcW w:w="992" w:type="dxa"/>
          </w:tcPr>
          <w:p w:rsidR="00296D72" w:rsidRPr="009F67D4" w:rsidRDefault="00296D72" w:rsidP="009F67D4">
            <w:pPr>
              <w:ind w:left="34" w:right="0"/>
              <w:rPr>
                <w:sz w:val="20"/>
                <w:szCs w:val="20"/>
              </w:rPr>
            </w:pPr>
            <w:r w:rsidRPr="009F67D4">
              <w:rPr>
                <w:sz w:val="20"/>
                <w:szCs w:val="20"/>
              </w:rPr>
              <w:t>&lt;0.001</w:t>
            </w:r>
          </w:p>
        </w:tc>
        <w:tc>
          <w:tcPr>
            <w:tcW w:w="1417" w:type="dxa"/>
          </w:tcPr>
          <w:p w:rsidR="00296D72" w:rsidRPr="009F67D4" w:rsidRDefault="0061779E" w:rsidP="009F67D4">
            <w:pPr>
              <w:ind w:left="0" w:right="0"/>
              <w:rPr>
                <w:sz w:val="20"/>
                <w:szCs w:val="20"/>
              </w:rPr>
            </w:pPr>
            <w:r w:rsidRPr="009F67D4">
              <w:rPr>
                <w:sz w:val="20"/>
                <w:szCs w:val="20"/>
              </w:rPr>
              <w:t>0.124</w:t>
            </w:r>
            <w:r w:rsidR="00033028" w:rsidRPr="009F67D4">
              <w:rPr>
                <w:sz w:val="20"/>
                <w:szCs w:val="20"/>
              </w:rPr>
              <w:t xml:space="preserve"> </w:t>
            </w:r>
            <w:r w:rsidR="00296D72" w:rsidRPr="009F67D4">
              <w:rPr>
                <w:sz w:val="20"/>
                <w:szCs w:val="20"/>
              </w:rPr>
              <w:t>(0.086, 0.162)</w:t>
            </w:r>
          </w:p>
        </w:tc>
        <w:tc>
          <w:tcPr>
            <w:tcW w:w="993" w:type="dxa"/>
          </w:tcPr>
          <w:p w:rsidR="00296D72" w:rsidRPr="009F67D4" w:rsidRDefault="00296D72" w:rsidP="009F67D4">
            <w:pPr>
              <w:ind w:left="33" w:right="0"/>
              <w:rPr>
                <w:sz w:val="20"/>
                <w:szCs w:val="20"/>
              </w:rPr>
            </w:pPr>
            <w:r w:rsidRPr="009F67D4">
              <w:rPr>
                <w:sz w:val="20"/>
                <w:szCs w:val="20"/>
              </w:rPr>
              <w:t>&lt;0.001</w:t>
            </w:r>
          </w:p>
        </w:tc>
      </w:tr>
      <w:tr w:rsidR="004C6AD5" w:rsidRPr="004C6AD5" w:rsidTr="009F67D4">
        <w:tc>
          <w:tcPr>
            <w:tcW w:w="9039" w:type="dxa"/>
            <w:gridSpan w:val="8"/>
          </w:tcPr>
          <w:p w:rsidR="004C6AD5" w:rsidRPr="009F67D4" w:rsidRDefault="00173405" w:rsidP="009F67D4">
            <w:pPr>
              <w:ind w:left="33" w:right="0"/>
              <w:rPr>
                <w:sz w:val="20"/>
                <w:szCs w:val="20"/>
              </w:rPr>
            </w:pPr>
            <w:r w:rsidRPr="009F67D4">
              <w:rPr>
                <w:sz w:val="20"/>
                <w:szCs w:val="20"/>
              </w:rPr>
              <w:t xml:space="preserve">Study </w:t>
            </w:r>
            <w:r w:rsidR="004C6AD5" w:rsidRPr="009F67D4">
              <w:rPr>
                <w:sz w:val="20"/>
                <w:szCs w:val="20"/>
              </w:rPr>
              <w:t>3373</w:t>
            </w:r>
          </w:p>
        </w:tc>
      </w:tr>
      <w:tr w:rsidR="00296D72" w:rsidRPr="004C6AD5" w:rsidTr="007C7144">
        <w:tc>
          <w:tcPr>
            <w:tcW w:w="1526" w:type="dxa"/>
          </w:tcPr>
          <w:p w:rsidR="00296D72" w:rsidRPr="009F67D4" w:rsidRDefault="00296D72" w:rsidP="009F67D4">
            <w:pPr>
              <w:ind w:left="0" w:right="0"/>
              <w:rPr>
                <w:sz w:val="20"/>
                <w:szCs w:val="20"/>
              </w:rPr>
            </w:pPr>
            <w:r w:rsidRPr="009F67D4">
              <w:rPr>
                <w:sz w:val="20"/>
                <w:szCs w:val="20"/>
              </w:rPr>
              <w:t xml:space="preserve">UMEC/VI </w:t>
            </w:r>
            <w:r w:rsidR="00033028" w:rsidRPr="009F67D4">
              <w:rPr>
                <w:sz w:val="20"/>
                <w:szCs w:val="20"/>
              </w:rPr>
              <w:t xml:space="preserve"> </w:t>
            </w:r>
            <w:r w:rsidRPr="009F67D4">
              <w:rPr>
                <w:sz w:val="20"/>
                <w:szCs w:val="20"/>
              </w:rPr>
              <w:t>62.5</w:t>
            </w:r>
            <w:r w:rsidR="00173405" w:rsidRPr="009F67D4">
              <w:rPr>
                <w:sz w:val="20"/>
                <w:szCs w:val="20"/>
              </w:rPr>
              <w:t xml:space="preserve"> µg </w:t>
            </w:r>
            <w:r w:rsidRPr="009F67D4">
              <w:rPr>
                <w:sz w:val="20"/>
                <w:szCs w:val="20"/>
              </w:rPr>
              <w:t>/25</w:t>
            </w:r>
            <w:r w:rsidR="00173405" w:rsidRPr="009F67D4">
              <w:rPr>
                <w:sz w:val="20"/>
                <w:szCs w:val="20"/>
              </w:rPr>
              <w:t xml:space="preserve"> µg</w:t>
            </w:r>
          </w:p>
        </w:tc>
        <w:tc>
          <w:tcPr>
            <w:tcW w:w="709" w:type="dxa"/>
          </w:tcPr>
          <w:p w:rsidR="00296D72" w:rsidRPr="009F67D4" w:rsidRDefault="00296D72" w:rsidP="009F67D4">
            <w:pPr>
              <w:ind w:left="34" w:right="0"/>
              <w:rPr>
                <w:sz w:val="20"/>
                <w:szCs w:val="20"/>
              </w:rPr>
            </w:pPr>
            <w:r w:rsidRPr="009F67D4">
              <w:rPr>
                <w:sz w:val="20"/>
                <w:szCs w:val="20"/>
              </w:rPr>
              <w:t>413</w:t>
            </w:r>
          </w:p>
        </w:tc>
        <w:tc>
          <w:tcPr>
            <w:tcW w:w="992" w:type="dxa"/>
          </w:tcPr>
          <w:p w:rsidR="00296D72" w:rsidRPr="009F67D4" w:rsidRDefault="00296D72" w:rsidP="009F67D4">
            <w:pPr>
              <w:ind w:left="33" w:right="0"/>
              <w:rPr>
                <w:sz w:val="20"/>
                <w:szCs w:val="20"/>
              </w:rPr>
            </w:pPr>
            <w:r w:rsidRPr="009F67D4">
              <w:rPr>
                <w:sz w:val="20"/>
                <w:szCs w:val="20"/>
              </w:rPr>
              <w:t>1.406</w:t>
            </w:r>
          </w:p>
        </w:tc>
        <w:tc>
          <w:tcPr>
            <w:tcW w:w="992" w:type="dxa"/>
          </w:tcPr>
          <w:p w:rsidR="00296D72" w:rsidRPr="009F67D4" w:rsidRDefault="00296D72" w:rsidP="009F67D4">
            <w:pPr>
              <w:ind w:left="34" w:right="0"/>
              <w:rPr>
                <w:sz w:val="20"/>
                <w:szCs w:val="20"/>
              </w:rPr>
            </w:pPr>
            <w:r w:rsidRPr="009F67D4">
              <w:rPr>
                <w:sz w:val="20"/>
                <w:szCs w:val="20"/>
              </w:rPr>
              <w:t>0.171</w:t>
            </w:r>
          </w:p>
        </w:tc>
        <w:tc>
          <w:tcPr>
            <w:tcW w:w="1418" w:type="dxa"/>
          </w:tcPr>
          <w:p w:rsidR="00296D72" w:rsidRPr="009F67D4" w:rsidRDefault="0061779E" w:rsidP="009F67D4">
            <w:pPr>
              <w:ind w:left="34" w:right="0"/>
              <w:rPr>
                <w:sz w:val="20"/>
                <w:szCs w:val="20"/>
              </w:rPr>
            </w:pPr>
            <w:r w:rsidRPr="009F67D4">
              <w:rPr>
                <w:sz w:val="20"/>
                <w:szCs w:val="20"/>
              </w:rPr>
              <w:t>0.052</w:t>
            </w:r>
            <w:r w:rsidR="007831A2" w:rsidRPr="009F67D4">
              <w:rPr>
                <w:sz w:val="20"/>
                <w:szCs w:val="20"/>
              </w:rPr>
              <w:br/>
            </w:r>
            <w:r w:rsidR="00296D72" w:rsidRPr="009F67D4">
              <w:rPr>
                <w:sz w:val="20"/>
                <w:szCs w:val="20"/>
              </w:rPr>
              <w:t>(0.017, 0.087)</w:t>
            </w:r>
          </w:p>
        </w:tc>
        <w:tc>
          <w:tcPr>
            <w:tcW w:w="992" w:type="dxa"/>
          </w:tcPr>
          <w:p w:rsidR="00296D72" w:rsidRPr="009F67D4" w:rsidRDefault="00296D72" w:rsidP="009F67D4">
            <w:pPr>
              <w:ind w:left="34" w:right="0"/>
              <w:rPr>
                <w:sz w:val="20"/>
                <w:szCs w:val="20"/>
              </w:rPr>
            </w:pPr>
            <w:r w:rsidRPr="009F67D4">
              <w:rPr>
                <w:sz w:val="20"/>
                <w:szCs w:val="20"/>
              </w:rPr>
              <w:t>0.002</w:t>
            </w:r>
          </w:p>
        </w:tc>
        <w:tc>
          <w:tcPr>
            <w:tcW w:w="1417" w:type="dxa"/>
          </w:tcPr>
          <w:p w:rsidR="00296D72" w:rsidRPr="009F67D4" w:rsidRDefault="0061779E" w:rsidP="009F67D4">
            <w:pPr>
              <w:ind w:left="0" w:right="0"/>
              <w:rPr>
                <w:sz w:val="20"/>
                <w:szCs w:val="20"/>
              </w:rPr>
            </w:pPr>
            <w:r w:rsidRPr="009F67D4">
              <w:rPr>
                <w:sz w:val="20"/>
                <w:szCs w:val="20"/>
              </w:rPr>
              <w:t>0.095</w:t>
            </w:r>
            <w:r w:rsidR="00033028" w:rsidRPr="009F67D4">
              <w:rPr>
                <w:sz w:val="20"/>
                <w:szCs w:val="20"/>
              </w:rPr>
              <w:t xml:space="preserve"> </w:t>
            </w:r>
            <w:r w:rsidR="00296D72" w:rsidRPr="009F67D4">
              <w:rPr>
                <w:sz w:val="20"/>
                <w:szCs w:val="20"/>
              </w:rPr>
              <w:t>(0.060, 0.130)</w:t>
            </w:r>
          </w:p>
        </w:tc>
        <w:tc>
          <w:tcPr>
            <w:tcW w:w="993" w:type="dxa"/>
          </w:tcPr>
          <w:p w:rsidR="00296D72" w:rsidRPr="009F67D4" w:rsidRDefault="00296D72" w:rsidP="009F67D4">
            <w:pPr>
              <w:ind w:left="33" w:right="0"/>
              <w:rPr>
                <w:sz w:val="20"/>
                <w:szCs w:val="20"/>
              </w:rPr>
            </w:pPr>
            <w:r w:rsidRPr="009F67D4">
              <w:rPr>
                <w:sz w:val="20"/>
                <w:szCs w:val="20"/>
              </w:rPr>
              <w:t>&lt;0.001</w:t>
            </w:r>
          </w:p>
        </w:tc>
      </w:tr>
      <w:tr w:rsidR="00296D72" w:rsidRPr="004C6AD5" w:rsidTr="007C7144">
        <w:tc>
          <w:tcPr>
            <w:tcW w:w="1526" w:type="dxa"/>
          </w:tcPr>
          <w:p w:rsidR="00296D72" w:rsidRPr="009F67D4" w:rsidRDefault="00296D72" w:rsidP="009F67D4">
            <w:pPr>
              <w:ind w:left="0" w:right="0"/>
              <w:rPr>
                <w:sz w:val="20"/>
                <w:szCs w:val="20"/>
              </w:rPr>
            </w:pPr>
            <w:r w:rsidRPr="009F67D4">
              <w:rPr>
                <w:sz w:val="20"/>
                <w:szCs w:val="20"/>
              </w:rPr>
              <w:t>UMEC 62.5</w:t>
            </w:r>
            <w:r w:rsidR="00173405" w:rsidRPr="009F67D4">
              <w:rPr>
                <w:sz w:val="20"/>
                <w:szCs w:val="20"/>
              </w:rPr>
              <w:t xml:space="preserve"> µg</w:t>
            </w:r>
          </w:p>
        </w:tc>
        <w:tc>
          <w:tcPr>
            <w:tcW w:w="709" w:type="dxa"/>
          </w:tcPr>
          <w:p w:rsidR="00296D72" w:rsidRPr="009F67D4" w:rsidRDefault="00296D72" w:rsidP="009F67D4">
            <w:pPr>
              <w:ind w:left="34" w:right="0"/>
              <w:rPr>
                <w:sz w:val="20"/>
                <w:szCs w:val="20"/>
              </w:rPr>
            </w:pPr>
            <w:r w:rsidRPr="009F67D4">
              <w:rPr>
                <w:sz w:val="20"/>
                <w:szCs w:val="20"/>
              </w:rPr>
              <w:t>418</w:t>
            </w:r>
          </w:p>
        </w:tc>
        <w:tc>
          <w:tcPr>
            <w:tcW w:w="992" w:type="dxa"/>
          </w:tcPr>
          <w:p w:rsidR="00296D72" w:rsidRPr="009F67D4" w:rsidRDefault="00296D72" w:rsidP="009F67D4">
            <w:pPr>
              <w:ind w:left="33" w:right="0"/>
              <w:rPr>
                <w:sz w:val="20"/>
                <w:szCs w:val="20"/>
              </w:rPr>
            </w:pPr>
            <w:r w:rsidRPr="009F67D4">
              <w:rPr>
                <w:sz w:val="20"/>
                <w:szCs w:val="20"/>
              </w:rPr>
              <w:t>1.354</w:t>
            </w:r>
          </w:p>
        </w:tc>
        <w:tc>
          <w:tcPr>
            <w:tcW w:w="992" w:type="dxa"/>
          </w:tcPr>
          <w:p w:rsidR="00296D72" w:rsidRPr="009F67D4" w:rsidRDefault="00296D72" w:rsidP="009F67D4">
            <w:pPr>
              <w:ind w:left="34" w:right="0"/>
              <w:rPr>
                <w:sz w:val="20"/>
                <w:szCs w:val="20"/>
              </w:rPr>
            </w:pPr>
            <w:r w:rsidRPr="009F67D4">
              <w:rPr>
                <w:sz w:val="20"/>
                <w:szCs w:val="20"/>
              </w:rPr>
              <w:t>0.119</w:t>
            </w:r>
          </w:p>
        </w:tc>
        <w:tc>
          <w:tcPr>
            <w:tcW w:w="1418" w:type="dxa"/>
          </w:tcPr>
          <w:p w:rsidR="00296D72" w:rsidRPr="009F67D4" w:rsidRDefault="00296D72" w:rsidP="009F67D4">
            <w:pPr>
              <w:ind w:left="34" w:right="0"/>
              <w:rPr>
                <w:sz w:val="20"/>
                <w:szCs w:val="20"/>
              </w:rPr>
            </w:pPr>
          </w:p>
        </w:tc>
        <w:tc>
          <w:tcPr>
            <w:tcW w:w="992" w:type="dxa"/>
          </w:tcPr>
          <w:p w:rsidR="00296D72" w:rsidRPr="009F67D4" w:rsidRDefault="00296D72" w:rsidP="009F67D4">
            <w:pPr>
              <w:ind w:left="34" w:right="0"/>
              <w:rPr>
                <w:sz w:val="20"/>
                <w:szCs w:val="20"/>
              </w:rPr>
            </w:pPr>
          </w:p>
        </w:tc>
        <w:tc>
          <w:tcPr>
            <w:tcW w:w="1417" w:type="dxa"/>
          </w:tcPr>
          <w:p w:rsidR="00296D72" w:rsidRPr="009F67D4" w:rsidRDefault="00296D72" w:rsidP="009F67D4">
            <w:pPr>
              <w:ind w:left="0" w:right="0"/>
              <w:rPr>
                <w:sz w:val="20"/>
                <w:szCs w:val="20"/>
              </w:rPr>
            </w:pPr>
          </w:p>
        </w:tc>
        <w:tc>
          <w:tcPr>
            <w:tcW w:w="993" w:type="dxa"/>
          </w:tcPr>
          <w:p w:rsidR="00296D72" w:rsidRPr="009F67D4" w:rsidRDefault="00296D72" w:rsidP="009F67D4">
            <w:pPr>
              <w:ind w:left="33" w:right="0"/>
              <w:rPr>
                <w:sz w:val="20"/>
                <w:szCs w:val="20"/>
              </w:rPr>
            </w:pPr>
          </w:p>
        </w:tc>
      </w:tr>
      <w:tr w:rsidR="00296D72" w:rsidRPr="004C6AD5" w:rsidTr="007C7144">
        <w:tc>
          <w:tcPr>
            <w:tcW w:w="1526" w:type="dxa"/>
          </w:tcPr>
          <w:p w:rsidR="00296D72" w:rsidRPr="009F67D4" w:rsidRDefault="00296D72" w:rsidP="009F67D4">
            <w:pPr>
              <w:ind w:left="0" w:right="0"/>
              <w:rPr>
                <w:sz w:val="20"/>
                <w:szCs w:val="20"/>
              </w:rPr>
            </w:pPr>
            <w:r w:rsidRPr="009F67D4">
              <w:rPr>
                <w:sz w:val="20"/>
                <w:szCs w:val="20"/>
              </w:rPr>
              <w:t>VI 25</w:t>
            </w:r>
            <w:r w:rsidR="00173405" w:rsidRPr="009F67D4">
              <w:rPr>
                <w:sz w:val="20"/>
                <w:szCs w:val="20"/>
              </w:rPr>
              <w:t xml:space="preserve"> µg</w:t>
            </w:r>
          </w:p>
        </w:tc>
        <w:tc>
          <w:tcPr>
            <w:tcW w:w="709" w:type="dxa"/>
          </w:tcPr>
          <w:p w:rsidR="00296D72" w:rsidRPr="009F67D4" w:rsidRDefault="00296D72" w:rsidP="009F67D4">
            <w:pPr>
              <w:ind w:left="34" w:right="0"/>
              <w:rPr>
                <w:sz w:val="20"/>
                <w:szCs w:val="20"/>
              </w:rPr>
            </w:pPr>
            <w:r w:rsidRPr="009F67D4">
              <w:rPr>
                <w:sz w:val="20"/>
                <w:szCs w:val="20"/>
              </w:rPr>
              <w:t>421</w:t>
            </w:r>
          </w:p>
        </w:tc>
        <w:tc>
          <w:tcPr>
            <w:tcW w:w="992" w:type="dxa"/>
          </w:tcPr>
          <w:p w:rsidR="00296D72" w:rsidRPr="009F67D4" w:rsidRDefault="00296D72" w:rsidP="009F67D4">
            <w:pPr>
              <w:ind w:left="33" w:right="0"/>
              <w:rPr>
                <w:sz w:val="20"/>
                <w:szCs w:val="20"/>
              </w:rPr>
            </w:pPr>
            <w:r w:rsidRPr="009F67D4">
              <w:rPr>
                <w:sz w:val="20"/>
                <w:szCs w:val="20"/>
              </w:rPr>
              <w:t>1.311</w:t>
            </w:r>
          </w:p>
        </w:tc>
        <w:tc>
          <w:tcPr>
            <w:tcW w:w="992" w:type="dxa"/>
          </w:tcPr>
          <w:p w:rsidR="00296D72" w:rsidRPr="009F67D4" w:rsidRDefault="00296D72" w:rsidP="009F67D4">
            <w:pPr>
              <w:ind w:left="34" w:right="0"/>
              <w:rPr>
                <w:sz w:val="20"/>
                <w:szCs w:val="20"/>
              </w:rPr>
            </w:pPr>
            <w:r w:rsidRPr="009F67D4">
              <w:rPr>
                <w:sz w:val="20"/>
                <w:szCs w:val="20"/>
              </w:rPr>
              <w:t>0.076</w:t>
            </w:r>
          </w:p>
        </w:tc>
        <w:tc>
          <w:tcPr>
            <w:tcW w:w="1418" w:type="dxa"/>
          </w:tcPr>
          <w:p w:rsidR="00296D72" w:rsidRPr="009F67D4" w:rsidRDefault="00296D72" w:rsidP="009F67D4">
            <w:pPr>
              <w:ind w:left="34" w:right="0"/>
              <w:rPr>
                <w:sz w:val="20"/>
                <w:szCs w:val="20"/>
              </w:rPr>
            </w:pPr>
          </w:p>
        </w:tc>
        <w:tc>
          <w:tcPr>
            <w:tcW w:w="992" w:type="dxa"/>
          </w:tcPr>
          <w:p w:rsidR="00296D72" w:rsidRPr="009F67D4" w:rsidRDefault="00296D72" w:rsidP="009F67D4">
            <w:pPr>
              <w:ind w:left="34" w:right="0"/>
              <w:rPr>
                <w:sz w:val="20"/>
                <w:szCs w:val="20"/>
              </w:rPr>
            </w:pPr>
          </w:p>
        </w:tc>
        <w:tc>
          <w:tcPr>
            <w:tcW w:w="1417" w:type="dxa"/>
          </w:tcPr>
          <w:p w:rsidR="00296D72" w:rsidRPr="009F67D4" w:rsidRDefault="00296D72" w:rsidP="009F67D4">
            <w:pPr>
              <w:ind w:left="0" w:right="0"/>
              <w:rPr>
                <w:sz w:val="20"/>
                <w:szCs w:val="20"/>
              </w:rPr>
            </w:pPr>
          </w:p>
        </w:tc>
        <w:tc>
          <w:tcPr>
            <w:tcW w:w="993" w:type="dxa"/>
          </w:tcPr>
          <w:p w:rsidR="00296D72" w:rsidRPr="009F67D4" w:rsidRDefault="00296D72" w:rsidP="009F67D4">
            <w:pPr>
              <w:ind w:left="33" w:right="0"/>
              <w:rPr>
                <w:sz w:val="20"/>
                <w:szCs w:val="20"/>
              </w:rPr>
            </w:pPr>
          </w:p>
        </w:tc>
      </w:tr>
      <w:tr w:rsidR="00296D72" w:rsidRPr="004C6AD5" w:rsidTr="007C7144">
        <w:tc>
          <w:tcPr>
            <w:tcW w:w="1526" w:type="dxa"/>
          </w:tcPr>
          <w:p w:rsidR="00296D72" w:rsidRPr="009F67D4" w:rsidRDefault="00296D72" w:rsidP="009F67D4">
            <w:pPr>
              <w:ind w:left="0" w:right="0"/>
              <w:rPr>
                <w:sz w:val="20"/>
                <w:szCs w:val="20"/>
              </w:rPr>
            </w:pPr>
            <w:r w:rsidRPr="009F67D4">
              <w:rPr>
                <w:sz w:val="20"/>
                <w:szCs w:val="20"/>
              </w:rPr>
              <w:t>Placebo</w:t>
            </w:r>
          </w:p>
        </w:tc>
        <w:tc>
          <w:tcPr>
            <w:tcW w:w="709" w:type="dxa"/>
          </w:tcPr>
          <w:p w:rsidR="00296D72" w:rsidRPr="009F67D4" w:rsidRDefault="00296D72" w:rsidP="009F67D4">
            <w:pPr>
              <w:ind w:left="34" w:right="0"/>
              <w:rPr>
                <w:sz w:val="20"/>
                <w:szCs w:val="20"/>
              </w:rPr>
            </w:pPr>
            <w:r w:rsidRPr="009F67D4">
              <w:rPr>
                <w:sz w:val="20"/>
                <w:szCs w:val="20"/>
              </w:rPr>
              <w:t>280</w:t>
            </w:r>
          </w:p>
        </w:tc>
        <w:tc>
          <w:tcPr>
            <w:tcW w:w="992" w:type="dxa"/>
          </w:tcPr>
          <w:p w:rsidR="00296D72" w:rsidRPr="009F67D4" w:rsidRDefault="00296D72" w:rsidP="009F67D4">
            <w:pPr>
              <w:ind w:left="33" w:right="0"/>
              <w:rPr>
                <w:sz w:val="20"/>
                <w:szCs w:val="20"/>
              </w:rPr>
            </w:pPr>
            <w:r w:rsidRPr="009F67D4">
              <w:rPr>
                <w:sz w:val="20"/>
                <w:szCs w:val="20"/>
              </w:rPr>
              <w:t>1.239</w:t>
            </w:r>
          </w:p>
        </w:tc>
        <w:tc>
          <w:tcPr>
            <w:tcW w:w="992" w:type="dxa"/>
          </w:tcPr>
          <w:p w:rsidR="00296D72" w:rsidRPr="009F67D4" w:rsidRDefault="00296D72" w:rsidP="009F67D4">
            <w:pPr>
              <w:ind w:left="34" w:right="0"/>
              <w:rPr>
                <w:sz w:val="20"/>
                <w:szCs w:val="20"/>
              </w:rPr>
            </w:pPr>
            <w:r w:rsidRPr="009F67D4">
              <w:rPr>
                <w:sz w:val="20"/>
                <w:szCs w:val="20"/>
              </w:rPr>
              <w:t>0.004</w:t>
            </w:r>
          </w:p>
        </w:tc>
        <w:tc>
          <w:tcPr>
            <w:tcW w:w="1418" w:type="dxa"/>
          </w:tcPr>
          <w:p w:rsidR="00296D72" w:rsidRPr="009F67D4" w:rsidRDefault="0061779E" w:rsidP="009F67D4">
            <w:pPr>
              <w:ind w:left="34" w:right="0"/>
              <w:rPr>
                <w:sz w:val="20"/>
                <w:szCs w:val="20"/>
              </w:rPr>
            </w:pPr>
            <w:r w:rsidRPr="009F67D4">
              <w:rPr>
                <w:sz w:val="20"/>
                <w:szCs w:val="20"/>
              </w:rPr>
              <w:t>0.115</w:t>
            </w:r>
            <w:r w:rsidR="007831A2" w:rsidRPr="009F67D4">
              <w:rPr>
                <w:sz w:val="20"/>
                <w:szCs w:val="20"/>
              </w:rPr>
              <w:br/>
            </w:r>
            <w:r w:rsidR="00296D72" w:rsidRPr="009F67D4">
              <w:rPr>
                <w:sz w:val="20"/>
                <w:szCs w:val="20"/>
              </w:rPr>
              <w:t>(0.076, 0.155)</w:t>
            </w:r>
          </w:p>
        </w:tc>
        <w:tc>
          <w:tcPr>
            <w:tcW w:w="992" w:type="dxa"/>
          </w:tcPr>
          <w:p w:rsidR="00296D72" w:rsidRPr="009F67D4" w:rsidRDefault="00296D72" w:rsidP="009F67D4">
            <w:pPr>
              <w:ind w:left="34" w:right="0"/>
              <w:rPr>
                <w:sz w:val="20"/>
                <w:szCs w:val="20"/>
              </w:rPr>
            </w:pPr>
            <w:r w:rsidRPr="009F67D4">
              <w:rPr>
                <w:sz w:val="20"/>
                <w:szCs w:val="20"/>
              </w:rPr>
              <w:t>&lt;0.001</w:t>
            </w:r>
          </w:p>
        </w:tc>
        <w:tc>
          <w:tcPr>
            <w:tcW w:w="1417" w:type="dxa"/>
          </w:tcPr>
          <w:p w:rsidR="00296D72" w:rsidRPr="009F67D4" w:rsidRDefault="0061779E" w:rsidP="009F67D4">
            <w:pPr>
              <w:ind w:left="0" w:right="0"/>
              <w:rPr>
                <w:sz w:val="20"/>
                <w:szCs w:val="20"/>
              </w:rPr>
            </w:pPr>
            <w:r w:rsidRPr="009F67D4">
              <w:rPr>
                <w:sz w:val="20"/>
                <w:szCs w:val="20"/>
              </w:rPr>
              <w:t>0.072</w:t>
            </w:r>
            <w:r w:rsidR="00033028" w:rsidRPr="009F67D4">
              <w:rPr>
                <w:sz w:val="20"/>
                <w:szCs w:val="20"/>
              </w:rPr>
              <w:t xml:space="preserve"> </w:t>
            </w:r>
            <w:r w:rsidR="00296D72" w:rsidRPr="009F67D4">
              <w:rPr>
                <w:sz w:val="20"/>
                <w:szCs w:val="20"/>
              </w:rPr>
              <w:t>(0.032, 0.112)</w:t>
            </w:r>
          </w:p>
        </w:tc>
        <w:tc>
          <w:tcPr>
            <w:tcW w:w="993" w:type="dxa"/>
          </w:tcPr>
          <w:p w:rsidR="00296D72" w:rsidRPr="009F67D4" w:rsidRDefault="00296D72" w:rsidP="009F67D4">
            <w:pPr>
              <w:ind w:left="33" w:right="0"/>
              <w:rPr>
                <w:sz w:val="20"/>
                <w:szCs w:val="20"/>
              </w:rPr>
            </w:pPr>
            <w:r w:rsidRPr="009F67D4">
              <w:rPr>
                <w:sz w:val="20"/>
                <w:szCs w:val="20"/>
              </w:rPr>
              <w:t>&lt;0.001</w:t>
            </w:r>
          </w:p>
        </w:tc>
      </w:tr>
    </w:tbl>
    <w:p w:rsidR="00296D72" w:rsidRPr="004F24FD" w:rsidRDefault="00F35BE2" w:rsidP="00033028">
      <w:pPr>
        <w:pStyle w:val="Tabletitle0"/>
      </w:pPr>
      <w:proofErr w:type="gramStart"/>
      <w:r>
        <w:lastRenderedPageBreak/>
        <w:t>Table 14</w:t>
      </w:r>
      <w:r w:rsidR="00173405">
        <w:t>.</w:t>
      </w:r>
      <w:proofErr w:type="gramEnd"/>
      <w:r w:rsidR="004C6AD5">
        <w:t xml:space="preserve"> </w:t>
      </w:r>
      <w:r w:rsidR="0061779E">
        <w:t xml:space="preserve">Active </w:t>
      </w:r>
      <w:r w:rsidR="00296D72" w:rsidRPr="004F24FD">
        <w:t>controlled trials (3360, 3374), trough FEV</w:t>
      </w:r>
      <w:r w:rsidR="00296D72" w:rsidRPr="004F24FD">
        <w:rPr>
          <w:vertAlign w:val="subscript"/>
        </w:rPr>
        <w:t>1</w:t>
      </w:r>
      <w:r w:rsidR="00173405">
        <w:t>, D</w:t>
      </w:r>
      <w:r w:rsidR="00296D72" w:rsidRPr="004F24FD">
        <w:t xml:space="preserve">ay 169, </w:t>
      </w:r>
      <w:proofErr w:type="gramStart"/>
      <w:r w:rsidR="00296D72" w:rsidRPr="004F24FD">
        <w:t>ITT</w:t>
      </w:r>
      <w:proofErr w:type="gramEnd"/>
      <w:r w:rsidR="0061779E">
        <w:t xml:space="preserve"> population.</w:t>
      </w:r>
    </w:p>
    <w:tbl>
      <w:tblPr>
        <w:tblStyle w:val="TableTGAblue"/>
        <w:tblW w:w="9039" w:type="dxa"/>
        <w:tblLayout w:type="fixed"/>
        <w:tblLook w:val="04A0" w:firstRow="1" w:lastRow="0" w:firstColumn="1" w:lastColumn="0" w:noHBand="0" w:noVBand="1"/>
      </w:tblPr>
      <w:tblGrid>
        <w:gridCol w:w="1809"/>
        <w:gridCol w:w="709"/>
        <w:gridCol w:w="851"/>
        <w:gridCol w:w="992"/>
        <w:gridCol w:w="1559"/>
        <w:gridCol w:w="851"/>
        <w:gridCol w:w="1275"/>
        <w:gridCol w:w="993"/>
      </w:tblGrid>
      <w:tr w:rsidR="00296D72" w:rsidTr="00A05315">
        <w:trPr>
          <w:cnfStyle w:val="100000000000" w:firstRow="1" w:lastRow="0" w:firstColumn="0" w:lastColumn="0" w:oddVBand="0" w:evenVBand="0" w:oddHBand="0" w:evenHBand="0" w:firstRowFirstColumn="0" w:firstRowLastColumn="0" w:lastRowFirstColumn="0" w:lastRowLastColumn="0"/>
        </w:trPr>
        <w:tc>
          <w:tcPr>
            <w:tcW w:w="1809" w:type="dxa"/>
          </w:tcPr>
          <w:p w:rsidR="00296D72" w:rsidRPr="00A05315" w:rsidRDefault="00296D72" w:rsidP="00A05315">
            <w:pPr>
              <w:ind w:left="0" w:right="33"/>
              <w:rPr>
                <w:sz w:val="20"/>
                <w:szCs w:val="20"/>
              </w:rPr>
            </w:pPr>
            <w:r w:rsidRPr="00A05315">
              <w:rPr>
                <w:sz w:val="20"/>
                <w:szCs w:val="20"/>
              </w:rPr>
              <w:t>Treatment</w:t>
            </w:r>
          </w:p>
        </w:tc>
        <w:tc>
          <w:tcPr>
            <w:tcW w:w="709" w:type="dxa"/>
          </w:tcPr>
          <w:p w:rsidR="00296D72" w:rsidRPr="00A05315" w:rsidRDefault="00296D72" w:rsidP="00A05315">
            <w:pPr>
              <w:ind w:left="0" w:right="33"/>
              <w:rPr>
                <w:sz w:val="20"/>
                <w:szCs w:val="20"/>
              </w:rPr>
            </w:pPr>
            <w:r w:rsidRPr="00A05315">
              <w:rPr>
                <w:sz w:val="20"/>
                <w:szCs w:val="20"/>
              </w:rPr>
              <w:t>n</w:t>
            </w:r>
          </w:p>
        </w:tc>
        <w:tc>
          <w:tcPr>
            <w:tcW w:w="851" w:type="dxa"/>
          </w:tcPr>
          <w:p w:rsidR="00296D72" w:rsidRPr="00A05315" w:rsidRDefault="00ED0BF7" w:rsidP="00A05315">
            <w:pPr>
              <w:ind w:left="34" w:right="33"/>
              <w:rPr>
                <w:sz w:val="20"/>
                <w:szCs w:val="20"/>
              </w:rPr>
            </w:pPr>
            <w:r w:rsidRPr="00A05315">
              <w:rPr>
                <w:sz w:val="20"/>
                <w:szCs w:val="20"/>
              </w:rPr>
              <w:t xml:space="preserve">LS mean </w:t>
            </w:r>
            <w:r w:rsidR="00296D72" w:rsidRPr="00A05315">
              <w:rPr>
                <w:sz w:val="20"/>
                <w:szCs w:val="20"/>
              </w:rPr>
              <w:t>(L)</w:t>
            </w:r>
          </w:p>
        </w:tc>
        <w:tc>
          <w:tcPr>
            <w:tcW w:w="992" w:type="dxa"/>
          </w:tcPr>
          <w:p w:rsidR="00296D72" w:rsidRPr="00A05315" w:rsidRDefault="00ED0BF7" w:rsidP="00A05315">
            <w:pPr>
              <w:ind w:left="34" w:right="33"/>
              <w:rPr>
                <w:sz w:val="20"/>
                <w:szCs w:val="20"/>
              </w:rPr>
            </w:pPr>
            <w:r w:rsidRPr="00A05315">
              <w:rPr>
                <w:sz w:val="20"/>
                <w:szCs w:val="20"/>
              </w:rPr>
              <w:t xml:space="preserve">LS mean </w:t>
            </w:r>
            <w:r w:rsidR="00296D72" w:rsidRPr="00A05315">
              <w:rPr>
                <w:sz w:val="20"/>
                <w:szCs w:val="20"/>
              </w:rPr>
              <w:t>change (L)</w:t>
            </w:r>
          </w:p>
        </w:tc>
        <w:tc>
          <w:tcPr>
            <w:tcW w:w="1559" w:type="dxa"/>
          </w:tcPr>
          <w:p w:rsidR="00296D72" w:rsidRPr="00A05315" w:rsidRDefault="00ED0BF7" w:rsidP="00A05315">
            <w:pPr>
              <w:ind w:left="34" w:right="33"/>
              <w:rPr>
                <w:sz w:val="20"/>
                <w:szCs w:val="20"/>
              </w:rPr>
            </w:pPr>
            <w:r w:rsidRPr="00A05315">
              <w:rPr>
                <w:sz w:val="20"/>
                <w:szCs w:val="20"/>
              </w:rPr>
              <w:t xml:space="preserve">Difference from UMEC </w:t>
            </w:r>
            <w:r w:rsidR="00296D72" w:rsidRPr="00A05315">
              <w:rPr>
                <w:sz w:val="20"/>
                <w:szCs w:val="20"/>
              </w:rPr>
              <w:t>(95% CI)</w:t>
            </w:r>
          </w:p>
        </w:tc>
        <w:tc>
          <w:tcPr>
            <w:tcW w:w="851" w:type="dxa"/>
          </w:tcPr>
          <w:p w:rsidR="00296D72" w:rsidRPr="00A05315" w:rsidRDefault="00296D72" w:rsidP="00A05315">
            <w:pPr>
              <w:ind w:left="0" w:right="33"/>
              <w:rPr>
                <w:sz w:val="20"/>
                <w:szCs w:val="20"/>
              </w:rPr>
            </w:pPr>
            <w:r w:rsidRPr="00A05315">
              <w:rPr>
                <w:sz w:val="20"/>
                <w:szCs w:val="20"/>
              </w:rPr>
              <w:t>p</w:t>
            </w:r>
          </w:p>
        </w:tc>
        <w:tc>
          <w:tcPr>
            <w:tcW w:w="1275" w:type="dxa"/>
          </w:tcPr>
          <w:p w:rsidR="00296D72" w:rsidRPr="00A05315" w:rsidRDefault="00ED0BF7" w:rsidP="00A05315">
            <w:pPr>
              <w:ind w:left="34" w:right="33"/>
              <w:rPr>
                <w:sz w:val="20"/>
                <w:szCs w:val="20"/>
              </w:rPr>
            </w:pPr>
            <w:r w:rsidRPr="00A05315">
              <w:rPr>
                <w:sz w:val="20"/>
                <w:szCs w:val="20"/>
              </w:rPr>
              <w:t xml:space="preserve">Difference from VI </w:t>
            </w:r>
            <w:r w:rsidR="00296D72" w:rsidRPr="00A05315">
              <w:rPr>
                <w:sz w:val="20"/>
                <w:szCs w:val="20"/>
              </w:rPr>
              <w:t>(95% CI)</w:t>
            </w:r>
          </w:p>
        </w:tc>
        <w:tc>
          <w:tcPr>
            <w:tcW w:w="993" w:type="dxa"/>
          </w:tcPr>
          <w:p w:rsidR="00296D72" w:rsidRPr="00A05315" w:rsidRDefault="00296D72" w:rsidP="00A05315">
            <w:pPr>
              <w:ind w:left="33" w:right="33"/>
              <w:rPr>
                <w:sz w:val="20"/>
                <w:szCs w:val="20"/>
              </w:rPr>
            </w:pPr>
            <w:r w:rsidRPr="00A05315">
              <w:rPr>
                <w:sz w:val="20"/>
                <w:szCs w:val="20"/>
              </w:rPr>
              <w:t>p</w:t>
            </w:r>
          </w:p>
        </w:tc>
      </w:tr>
      <w:tr w:rsidR="00ED0BF7" w:rsidTr="00A05315">
        <w:tc>
          <w:tcPr>
            <w:tcW w:w="9039" w:type="dxa"/>
            <w:gridSpan w:val="8"/>
          </w:tcPr>
          <w:p w:rsidR="00ED0BF7" w:rsidRPr="00A05315" w:rsidRDefault="00173405" w:rsidP="00A05315">
            <w:pPr>
              <w:ind w:left="33" w:right="33"/>
              <w:rPr>
                <w:sz w:val="20"/>
                <w:szCs w:val="20"/>
              </w:rPr>
            </w:pPr>
            <w:r w:rsidRPr="00A05315">
              <w:rPr>
                <w:sz w:val="20"/>
                <w:szCs w:val="20"/>
              </w:rPr>
              <w:t xml:space="preserve">Study </w:t>
            </w:r>
            <w:r w:rsidR="00ED0BF7" w:rsidRPr="00A05315">
              <w:rPr>
                <w:sz w:val="20"/>
                <w:szCs w:val="20"/>
              </w:rPr>
              <w:t>3361</w:t>
            </w:r>
          </w:p>
        </w:tc>
      </w:tr>
      <w:tr w:rsidR="00296D72" w:rsidTr="00A05315">
        <w:tc>
          <w:tcPr>
            <w:tcW w:w="1809" w:type="dxa"/>
          </w:tcPr>
          <w:p w:rsidR="00296D72" w:rsidRPr="00A05315" w:rsidRDefault="00296D72" w:rsidP="00A05315">
            <w:pPr>
              <w:ind w:left="0" w:right="33"/>
              <w:rPr>
                <w:sz w:val="20"/>
                <w:szCs w:val="20"/>
              </w:rPr>
            </w:pPr>
            <w:r w:rsidRPr="00A05315">
              <w:rPr>
                <w:sz w:val="20"/>
                <w:szCs w:val="20"/>
              </w:rPr>
              <w:t>UMEC/VI</w:t>
            </w:r>
            <w:r w:rsidR="007831A2" w:rsidRPr="00A05315">
              <w:rPr>
                <w:sz w:val="20"/>
                <w:szCs w:val="20"/>
              </w:rPr>
              <w:br/>
            </w:r>
            <w:r w:rsidRPr="00A05315">
              <w:rPr>
                <w:sz w:val="20"/>
                <w:szCs w:val="20"/>
              </w:rPr>
              <w:t>125</w:t>
            </w:r>
            <w:r w:rsidR="0061779E" w:rsidRPr="00A05315">
              <w:rPr>
                <w:sz w:val="20"/>
                <w:szCs w:val="20"/>
              </w:rPr>
              <w:t xml:space="preserve"> µg </w:t>
            </w:r>
            <w:r w:rsidRPr="00A05315">
              <w:rPr>
                <w:sz w:val="20"/>
                <w:szCs w:val="20"/>
              </w:rPr>
              <w:t>/25</w:t>
            </w:r>
            <w:r w:rsidR="0061779E" w:rsidRPr="00A05315">
              <w:rPr>
                <w:sz w:val="20"/>
                <w:szCs w:val="20"/>
              </w:rPr>
              <w:t xml:space="preserve"> µg</w:t>
            </w:r>
          </w:p>
        </w:tc>
        <w:tc>
          <w:tcPr>
            <w:tcW w:w="709" w:type="dxa"/>
          </w:tcPr>
          <w:p w:rsidR="00296D72" w:rsidRPr="00A05315" w:rsidRDefault="00296D72" w:rsidP="00A05315">
            <w:pPr>
              <w:ind w:left="0" w:right="33"/>
              <w:rPr>
                <w:sz w:val="20"/>
                <w:szCs w:val="20"/>
              </w:rPr>
            </w:pPr>
            <w:r w:rsidRPr="00A05315">
              <w:rPr>
                <w:sz w:val="20"/>
                <w:szCs w:val="20"/>
              </w:rPr>
              <w:t>207</w:t>
            </w:r>
          </w:p>
        </w:tc>
        <w:tc>
          <w:tcPr>
            <w:tcW w:w="851" w:type="dxa"/>
          </w:tcPr>
          <w:p w:rsidR="00296D72" w:rsidRPr="00A05315" w:rsidRDefault="00296D72" w:rsidP="00A05315">
            <w:pPr>
              <w:ind w:left="34" w:right="33"/>
              <w:rPr>
                <w:sz w:val="20"/>
                <w:szCs w:val="20"/>
              </w:rPr>
            </w:pPr>
            <w:r w:rsidRPr="00A05315">
              <w:rPr>
                <w:sz w:val="20"/>
                <w:szCs w:val="20"/>
              </w:rPr>
              <w:t>1.521</w:t>
            </w:r>
          </w:p>
        </w:tc>
        <w:tc>
          <w:tcPr>
            <w:tcW w:w="992" w:type="dxa"/>
          </w:tcPr>
          <w:p w:rsidR="00296D72" w:rsidRPr="00A05315" w:rsidRDefault="00296D72" w:rsidP="00A05315">
            <w:pPr>
              <w:ind w:left="34" w:right="33"/>
              <w:rPr>
                <w:sz w:val="20"/>
                <w:szCs w:val="20"/>
              </w:rPr>
            </w:pPr>
            <w:r w:rsidRPr="00A05315">
              <w:rPr>
                <w:sz w:val="20"/>
                <w:szCs w:val="20"/>
              </w:rPr>
              <w:t>0.211</w:t>
            </w:r>
          </w:p>
        </w:tc>
        <w:tc>
          <w:tcPr>
            <w:tcW w:w="1559" w:type="dxa"/>
          </w:tcPr>
          <w:p w:rsidR="00296D72" w:rsidRPr="00A05315" w:rsidRDefault="00296D72" w:rsidP="00A05315">
            <w:pPr>
              <w:ind w:left="34" w:right="33"/>
              <w:rPr>
                <w:sz w:val="20"/>
                <w:szCs w:val="20"/>
              </w:rPr>
            </w:pPr>
          </w:p>
        </w:tc>
        <w:tc>
          <w:tcPr>
            <w:tcW w:w="851" w:type="dxa"/>
          </w:tcPr>
          <w:p w:rsidR="00296D72" w:rsidRPr="00A05315" w:rsidRDefault="00296D72" w:rsidP="00A05315">
            <w:pPr>
              <w:ind w:left="0" w:right="33"/>
              <w:rPr>
                <w:sz w:val="20"/>
                <w:szCs w:val="20"/>
              </w:rPr>
            </w:pPr>
          </w:p>
        </w:tc>
        <w:tc>
          <w:tcPr>
            <w:tcW w:w="1275" w:type="dxa"/>
          </w:tcPr>
          <w:p w:rsidR="00296D72" w:rsidRPr="00A05315" w:rsidRDefault="0061779E" w:rsidP="00A05315">
            <w:pPr>
              <w:ind w:left="34" w:right="33"/>
              <w:rPr>
                <w:sz w:val="20"/>
                <w:szCs w:val="20"/>
              </w:rPr>
            </w:pPr>
            <w:r w:rsidRPr="00A05315">
              <w:rPr>
                <w:sz w:val="20"/>
                <w:szCs w:val="20"/>
              </w:rPr>
              <w:t>0.088</w:t>
            </w:r>
            <w:r w:rsidR="007831A2" w:rsidRPr="00A05315">
              <w:rPr>
                <w:sz w:val="20"/>
                <w:szCs w:val="20"/>
              </w:rPr>
              <w:br/>
            </w:r>
            <w:r w:rsidR="00296D72" w:rsidRPr="00A05315">
              <w:rPr>
                <w:sz w:val="20"/>
                <w:szCs w:val="20"/>
              </w:rPr>
              <w:t>(0.037, 0.139)</w:t>
            </w:r>
          </w:p>
        </w:tc>
        <w:tc>
          <w:tcPr>
            <w:tcW w:w="993" w:type="dxa"/>
          </w:tcPr>
          <w:p w:rsidR="00296D72" w:rsidRPr="00A05315" w:rsidRDefault="00296D72" w:rsidP="00A05315">
            <w:pPr>
              <w:ind w:left="33" w:right="33"/>
              <w:rPr>
                <w:sz w:val="20"/>
                <w:szCs w:val="20"/>
              </w:rPr>
            </w:pPr>
            <w:r w:rsidRPr="00A05315">
              <w:rPr>
                <w:sz w:val="20"/>
                <w:szCs w:val="20"/>
              </w:rPr>
              <w:t>&lt;0.001</w:t>
            </w:r>
          </w:p>
        </w:tc>
      </w:tr>
      <w:tr w:rsidR="00296D72" w:rsidTr="00A05315">
        <w:tc>
          <w:tcPr>
            <w:tcW w:w="1809" w:type="dxa"/>
          </w:tcPr>
          <w:p w:rsidR="0061779E" w:rsidRPr="00A05315" w:rsidRDefault="00296D72" w:rsidP="00A05315">
            <w:pPr>
              <w:ind w:left="0" w:right="33"/>
              <w:rPr>
                <w:sz w:val="20"/>
                <w:szCs w:val="20"/>
              </w:rPr>
            </w:pPr>
            <w:r w:rsidRPr="00A05315">
              <w:rPr>
                <w:sz w:val="20"/>
                <w:szCs w:val="20"/>
              </w:rPr>
              <w:t>UMEC/VI</w:t>
            </w:r>
          </w:p>
          <w:p w:rsidR="00296D72" w:rsidRPr="00A05315" w:rsidRDefault="00296D72" w:rsidP="00A05315">
            <w:pPr>
              <w:ind w:left="0" w:right="33"/>
              <w:rPr>
                <w:sz w:val="20"/>
                <w:szCs w:val="20"/>
              </w:rPr>
            </w:pPr>
            <w:r w:rsidRPr="00A05315">
              <w:rPr>
                <w:sz w:val="20"/>
                <w:szCs w:val="20"/>
              </w:rPr>
              <w:t>62.5</w:t>
            </w:r>
            <w:r w:rsidR="0061779E" w:rsidRPr="00A05315">
              <w:rPr>
                <w:sz w:val="20"/>
                <w:szCs w:val="20"/>
              </w:rPr>
              <w:t xml:space="preserve"> µg </w:t>
            </w:r>
            <w:r w:rsidRPr="00A05315">
              <w:rPr>
                <w:sz w:val="20"/>
                <w:szCs w:val="20"/>
              </w:rPr>
              <w:t>/25</w:t>
            </w:r>
            <w:r w:rsidR="0061779E" w:rsidRPr="00A05315">
              <w:rPr>
                <w:sz w:val="20"/>
                <w:szCs w:val="20"/>
              </w:rPr>
              <w:t xml:space="preserve"> µg</w:t>
            </w:r>
          </w:p>
        </w:tc>
        <w:tc>
          <w:tcPr>
            <w:tcW w:w="709" w:type="dxa"/>
          </w:tcPr>
          <w:p w:rsidR="00296D72" w:rsidRPr="00A05315" w:rsidRDefault="00296D72" w:rsidP="00A05315">
            <w:pPr>
              <w:ind w:left="0" w:right="33"/>
              <w:rPr>
                <w:sz w:val="20"/>
                <w:szCs w:val="20"/>
              </w:rPr>
            </w:pPr>
            <w:r w:rsidRPr="00A05315">
              <w:rPr>
                <w:sz w:val="20"/>
                <w:szCs w:val="20"/>
              </w:rPr>
              <w:t>208</w:t>
            </w:r>
          </w:p>
        </w:tc>
        <w:tc>
          <w:tcPr>
            <w:tcW w:w="851" w:type="dxa"/>
          </w:tcPr>
          <w:p w:rsidR="00296D72" w:rsidRPr="00A05315" w:rsidRDefault="00296D72" w:rsidP="00A05315">
            <w:pPr>
              <w:ind w:left="34" w:right="33"/>
              <w:rPr>
                <w:sz w:val="20"/>
                <w:szCs w:val="20"/>
              </w:rPr>
            </w:pPr>
            <w:r w:rsidRPr="00A05315">
              <w:rPr>
                <w:sz w:val="20"/>
                <w:szCs w:val="20"/>
              </w:rPr>
              <w:t>1.519</w:t>
            </w:r>
          </w:p>
        </w:tc>
        <w:tc>
          <w:tcPr>
            <w:tcW w:w="992" w:type="dxa"/>
          </w:tcPr>
          <w:p w:rsidR="00296D72" w:rsidRPr="00A05315" w:rsidRDefault="00296D72" w:rsidP="00A05315">
            <w:pPr>
              <w:ind w:left="34" w:right="33"/>
              <w:rPr>
                <w:sz w:val="20"/>
                <w:szCs w:val="20"/>
              </w:rPr>
            </w:pPr>
            <w:r w:rsidRPr="00A05315">
              <w:rPr>
                <w:sz w:val="20"/>
                <w:szCs w:val="20"/>
              </w:rPr>
              <w:t>0.209</w:t>
            </w:r>
          </w:p>
        </w:tc>
        <w:tc>
          <w:tcPr>
            <w:tcW w:w="1559" w:type="dxa"/>
          </w:tcPr>
          <w:p w:rsidR="00296D72" w:rsidRPr="00A05315" w:rsidRDefault="00296D72" w:rsidP="00A05315">
            <w:pPr>
              <w:ind w:left="34" w:right="33"/>
              <w:rPr>
                <w:sz w:val="20"/>
                <w:szCs w:val="20"/>
              </w:rPr>
            </w:pPr>
          </w:p>
        </w:tc>
        <w:tc>
          <w:tcPr>
            <w:tcW w:w="851" w:type="dxa"/>
          </w:tcPr>
          <w:p w:rsidR="00296D72" w:rsidRPr="00A05315" w:rsidRDefault="00296D72" w:rsidP="00A05315">
            <w:pPr>
              <w:ind w:left="0" w:right="33"/>
              <w:rPr>
                <w:sz w:val="20"/>
                <w:szCs w:val="20"/>
              </w:rPr>
            </w:pPr>
          </w:p>
        </w:tc>
        <w:tc>
          <w:tcPr>
            <w:tcW w:w="1275" w:type="dxa"/>
          </w:tcPr>
          <w:p w:rsidR="00296D72" w:rsidRPr="00A05315" w:rsidRDefault="0061779E" w:rsidP="00A05315">
            <w:pPr>
              <w:ind w:left="34" w:right="33"/>
              <w:rPr>
                <w:sz w:val="20"/>
                <w:szCs w:val="20"/>
              </w:rPr>
            </w:pPr>
            <w:r w:rsidRPr="00A05315">
              <w:rPr>
                <w:sz w:val="20"/>
                <w:szCs w:val="20"/>
              </w:rPr>
              <w:t>0.093</w:t>
            </w:r>
            <w:r w:rsidR="007831A2" w:rsidRPr="00A05315">
              <w:rPr>
                <w:sz w:val="20"/>
                <w:szCs w:val="20"/>
              </w:rPr>
              <w:br/>
            </w:r>
            <w:r w:rsidR="00296D72" w:rsidRPr="00A05315">
              <w:rPr>
                <w:sz w:val="20"/>
                <w:szCs w:val="20"/>
              </w:rPr>
              <w:t>(0.041, 0.144)</w:t>
            </w:r>
          </w:p>
        </w:tc>
        <w:tc>
          <w:tcPr>
            <w:tcW w:w="993" w:type="dxa"/>
          </w:tcPr>
          <w:p w:rsidR="00296D72" w:rsidRPr="00A05315" w:rsidRDefault="00296D72" w:rsidP="00A05315">
            <w:pPr>
              <w:ind w:left="33" w:right="33"/>
              <w:rPr>
                <w:sz w:val="20"/>
                <w:szCs w:val="20"/>
              </w:rPr>
            </w:pPr>
            <w:r w:rsidRPr="00A05315">
              <w:rPr>
                <w:sz w:val="20"/>
                <w:szCs w:val="20"/>
              </w:rPr>
              <w:t>&lt;0.001</w:t>
            </w:r>
          </w:p>
        </w:tc>
      </w:tr>
      <w:tr w:rsidR="00296D72" w:rsidTr="00A05315">
        <w:tc>
          <w:tcPr>
            <w:tcW w:w="1809" w:type="dxa"/>
          </w:tcPr>
          <w:p w:rsidR="00296D72" w:rsidRPr="00A05315" w:rsidRDefault="00296D72" w:rsidP="00A05315">
            <w:pPr>
              <w:ind w:left="0" w:right="33"/>
              <w:rPr>
                <w:sz w:val="20"/>
                <w:szCs w:val="20"/>
              </w:rPr>
            </w:pPr>
            <w:r w:rsidRPr="00A05315">
              <w:rPr>
                <w:sz w:val="20"/>
                <w:szCs w:val="20"/>
              </w:rPr>
              <w:t>VI 25</w:t>
            </w:r>
            <w:r w:rsidR="0061779E" w:rsidRPr="00A05315">
              <w:rPr>
                <w:sz w:val="20"/>
                <w:szCs w:val="20"/>
              </w:rPr>
              <w:t xml:space="preserve"> µg</w:t>
            </w:r>
          </w:p>
        </w:tc>
        <w:tc>
          <w:tcPr>
            <w:tcW w:w="709" w:type="dxa"/>
          </w:tcPr>
          <w:p w:rsidR="00296D72" w:rsidRPr="00A05315" w:rsidRDefault="00296D72" w:rsidP="00A05315">
            <w:pPr>
              <w:ind w:left="0" w:right="33"/>
              <w:rPr>
                <w:sz w:val="20"/>
                <w:szCs w:val="20"/>
              </w:rPr>
            </w:pPr>
            <w:r w:rsidRPr="00A05315">
              <w:rPr>
                <w:sz w:val="20"/>
                <w:szCs w:val="20"/>
              </w:rPr>
              <w:t>205</w:t>
            </w:r>
          </w:p>
        </w:tc>
        <w:tc>
          <w:tcPr>
            <w:tcW w:w="851" w:type="dxa"/>
          </w:tcPr>
          <w:p w:rsidR="00296D72" w:rsidRPr="00A05315" w:rsidRDefault="00296D72" w:rsidP="00A05315">
            <w:pPr>
              <w:ind w:left="34" w:right="33"/>
              <w:rPr>
                <w:sz w:val="20"/>
                <w:szCs w:val="20"/>
              </w:rPr>
            </w:pPr>
            <w:r w:rsidRPr="00A05315">
              <w:rPr>
                <w:sz w:val="20"/>
                <w:szCs w:val="20"/>
              </w:rPr>
              <w:t>1.431</w:t>
            </w:r>
          </w:p>
        </w:tc>
        <w:tc>
          <w:tcPr>
            <w:tcW w:w="992" w:type="dxa"/>
          </w:tcPr>
          <w:p w:rsidR="00296D72" w:rsidRPr="00A05315" w:rsidRDefault="00296D72" w:rsidP="00A05315">
            <w:pPr>
              <w:ind w:left="34" w:right="33"/>
              <w:rPr>
                <w:sz w:val="20"/>
                <w:szCs w:val="20"/>
              </w:rPr>
            </w:pPr>
            <w:r w:rsidRPr="00A05315">
              <w:rPr>
                <w:sz w:val="20"/>
                <w:szCs w:val="20"/>
              </w:rPr>
              <w:t>0.121</w:t>
            </w:r>
          </w:p>
        </w:tc>
        <w:tc>
          <w:tcPr>
            <w:tcW w:w="1559" w:type="dxa"/>
          </w:tcPr>
          <w:p w:rsidR="00296D72" w:rsidRPr="00A05315" w:rsidRDefault="00296D72" w:rsidP="00A05315">
            <w:pPr>
              <w:ind w:left="34" w:right="33"/>
              <w:rPr>
                <w:sz w:val="20"/>
                <w:szCs w:val="20"/>
              </w:rPr>
            </w:pPr>
          </w:p>
        </w:tc>
        <w:tc>
          <w:tcPr>
            <w:tcW w:w="851" w:type="dxa"/>
          </w:tcPr>
          <w:p w:rsidR="00296D72" w:rsidRPr="00A05315" w:rsidRDefault="00296D72" w:rsidP="00A05315">
            <w:pPr>
              <w:ind w:left="0" w:right="33"/>
              <w:rPr>
                <w:sz w:val="20"/>
                <w:szCs w:val="20"/>
              </w:rPr>
            </w:pPr>
          </w:p>
        </w:tc>
        <w:tc>
          <w:tcPr>
            <w:tcW w:w="1275" w:type="dxa"/>
          </w:tcPr>
          <w:p w:rsidR="00296D72" w:rsidRPr="00A05315" w:rsidRDefault="00296D72" w:rsidP="00A05315">
            <w:pPr>
              <w:ind w:left="34" w:right="33"/>
              <w:rPr>
                <w:sz w:val="20"/>
                <w:szCs w:val="20"/>
              </w:rPr>
            </w:pPr>
          </w:p>
        </w:tc>
        <w:tc>
          <w:tcPr>
            <w:tcW w:w="993" w:type="dxa"/>
          </w:tcPr>
          <w:p w:rsidR="00296D72" w:rsidRPr="00A05315" w:rsidRDefault="00296D72" w:rsidP="00A05315">
            <w:pPr>
              <w:ind w:left="33" w:right="33"/>
              <w:rPr>
                <w:sz w:val="20"/>
                <w:szCs w:val="20"/>
              </w:rPr>
            </w:pPr>
          </w:p>
        </w:tc>
      </w:tr>
      <w:tr w:rsidR="00296D72" w:rsidTr="00A05315">
        <w:tc>
          <w:tcPr>
            <w:tcW w:w="1809" w:type="dxa"/>
          </w:tcPr>
          <w:p w:rsidR="00296D72" w:rsidRPr="00A05315" w:rsidRDefault="00296D72" w:rsidP="00A05315">
            <w:pPr>
              <w:ind w:left="0" w:right="33"/>
              <w:rPr>
                <w:sz w:val="20"/>
                <w:szCs w:val="20"/>
              </w:rPr>
            </w:pPr>
            <w:proofErr w:type="spellStart"/>
            <w:r w:rsidRPr="00A05315">
              <w:rPr>
                <w:sz w:val="20"/>
                <w:szCs w:val="20"/>
              </w:rPr>
              <w:t>Tiotropium</w:t>
            </w:r>
            <w:proofErr w:type="spellEnd"/>
            <w:r w:rsidRPr="00A05315">
              <w:rPr>
                <w:sz w:val="20"/>
                <w:szCs w:val="20"/>
              </w:rPr>
              <w:t xml:space="preserve"> 18</w:t>
            </w:r>
            <w:r w:rsidR="00FC0A6F" w:rsidRPr="00A05315">
              <w:rPr>
                <w:sz w:val="20"/>
                <w:szCs w:val="20"/>
              </w:rPr>
              <w:t>µg</w:t>
            </w:r>
          </w:p>
        </w:tc>
        <w:tc>
          <w:tcPr>
            <w:tcW w:w="709" w:type="dxa"/>
          </w:tcPr>
          <w:p w:rsidR="00296D72" w:rsidRPr="00A05315" w:rsidRDefault="00296D72" w:rsidP="00A05315">
            <w:pPr>
              <w:ind w:left="0" w:right="33"/>
              <w:rPr>
                <w:sz w:val="20"/>
                <w:szCs w:val="20"/>
              </w:rPr>
            </w:pPr>
            <w:r w:rsidRPr="00A05315">
              <w:rPr>
                <w:sz w:val="20"/>
                <w:szCs w:val="20"/>
              </w:rPr>
              <w:t>203</w:t>
            </w:r>
          </w:p>
        </w:tc>
        <w:tc>
          <w:tcPr>
            <w:tcW w:w="851" w:type="dxa"/>
          </w:tcPr>
          <w:p w:rsidR="00296D72" w:rsidRPr="00A05315" w:rsidRDefault="00296D72" w:rsidP="00A05315">
            <w:pPr>
              <w:ind w:left="34" w:right="33"/>
              <w:rPr>
                <w:sz w:val="20"/>
                <w:szCs w:val="20"/>
              </w:rPr>
            </w:pPr>
            <w:r w:rsidRPr="00A05315">
              <w:rPr>
                <w:sz w:val="20"/>
                <w:szCs w:val="20"/>
              </w:rPr>
              <w:t>1.431</w:t>
            </w:r>
          </w:p>
        </w:tc>
        <w:tc>
          <w:tcPr>
            <w:tcW w:w="992" w:type="dxa"/>
          </w:tcPr>
          <w:p w:rsidR="00296D72" w:rsidRPr="00A05315" w:rsidRDefault="00296D72" w:rsidP="00A05315">
            <w:pPr>
              <w:ind w:left="34" w:right="33"/>
              <w:rPr>
                <w:sz w:val="20"/>
                <w:szCs w:val="20"/>
              </w:rPr>
            </w:pPr>
            <w:r w:rsidRPr="00A05315">
              <w:rPr>
                <w:sz w:val="20"/>
                <w:szCs w:val="20"/>
              </w:rPr>
              <w:t>0.121</w:t>
            </w:r>
          </w:p>
        </w:tc>
        <w:tc>
          <w:tcPr>
            <w:tcW w:w="1559" w:type="dxa"/>
          </w:tcPr>
          <w:p w:rsidR="00296D72" w:rsidRPr="00A05315" w:rsidRDefault="00296D72" w:rsidP="00A05315">
            <w:pPr>
              <w:ind w:left="34" w:right="33"/>
              <w:rPr>
                <w:sz w:val="20"/>
                <w:szCs w:val="20"/>
              </w:rPr>
            </w:pPr>
          </w:p>
        </w:tc>
        <w:tc>
          <w:tcPr>
            <w:tcW w:w="851" w:type="dxa"/>
          </w:tcPr>
          <w:p w:rsidR="00296D72" w:rsidRPr="00A05315" w:rsidRDefault="00296D72" w:rsidP="00A05315">
            <w:pPr>
              <w:ind w:left="0" w:right="33"/>
              <w:rPr>
                <w:sz w:val="20"/>
                <w:szCs w:val="20"/>
              </w:rPr>
            </w:pPr>
          </w:p>
        </w:tc>
        <w:tc>
          <w:tcPr>
            <w:tcW w:w="1275" w:type="dxa"/>
          </w:tcPr>
          <w:p w:rsidR="00296D72" w:rsidRPr="00A05315" w:rsidRDefault="00296D72" w:rsidP="00A05315">
            <w:pPr>
              <w:ind w:left="34" w:right="33"/>
              <w:rPr>
                <w:sz w:val="20"/>
                <w:szCs w:val="20"/>
              </w:rPr>
            </w:pPr>
          </w:p>
        </w:tc>
        <w:tc>
          <w:tcPr>
            <w:tcW w:w="993" w:type="dxa"/>
          </w:tcPr>
          <w:p w:rsidR="00296D72" w:rsidRPr="00A05315" w:rsidRDefault="00296D72" w:rsidP="00A05315">
            <w:pPr>
              <w:ind w:left="33" w:right="33"/>
              <w:rPr>
                <w:sz w:val="20"/>
                <w:szCs w:val="20"/>
              </w:rPr>
            </w:pPr>
          </w:p>
        </w:tc>
      </w:tr>
      <w:tr w:rsidR="00ED0BF7" w:rsidTr="00A05315">
        <w:tc>
          <w:tcPr>
            <w:tcW w:w="9039" w:type="dxa"/>
            <w:gridSpan w:val="8"/>
          </w:tcPr>
          <w:p w:rsidR="00ED0BF7" w:rsidRPr="00A05315" w:rsidRDefault="00173405" w:rsidP="00A05315">
            <w:pPr>
              <w:ind w:left="33" w:right="33"/>
              <w:rPr>
                <w:sz w:val="20"/>
                <w:szCs w:val="20"/>
              </w:rPr>
            </w:pPr>
            <w:r w:rsidRPr="00A05315">
              <w:rPr>
                <w:sz w:val="20"/>
                <w:szCs w:val="20"/>
              </w:rPr>
              <w:t xml:space="preserve">Study </w:t>
            </w:r>
            <w:r w:rsidR="00ED0BF7" w:rsidRPr="00A05315">
              <w:rPr>
                <w:sz w:val="20"/>
                <w:szCs w:val="20"/>
              </w:rPr>
              <w:t>3374</w:t>
            </w:r>
          </w:p>
        </w:tc>
      </w:tr>
      <w:tr w:rsidR="00296D72" w:rsidTr="00A05315">
        <w:tc>
          <w:tcPr>
            <w:tcW w:w="1809" w:type="dxa"/>
          </w:tcPr>
          <w:p w:rsidR="00296D72" w:rsidRPr="00A05315" w:rsidRDefault="0061779E" w:rsidP="00A05315">
            <w:pPr>
              <w:ind w:left="0" w:right="33"/>
              <w:rPr>
                <w:sz w:val="20"/>
                <w:szCs w:val="20"/>
              </w:rPr>
            </w:pPr>
            <w:r w:rsidRPr="00A05315">
              <w:rPr>
                <w:sz w:val="20"/>
                <w:szCs w:val="20"/>
              </w:rPr>
              <w:t>UMEC/VI</w:t>
            </w:r>
            <w:r w:rsidR="007831A2" w:rsidRPr="00A05315">
              <w:rPr>
                <w:sz w:val="20"/>
                <w:szCs w:val="20"/>
              </w:rPr>
              <w:br/>
            </w:r>
            <w:r w:rsidR="00296D72" w:rsidRPr="00A05315">
              <w:rPr>
                <w:sz w:val="20"/>
                <w:szCs w:val="20"/>
              </w:rPr>
              <w:t>125</w:t>
            </w:r>
            <w:r w:rsidRPr="00A05315">
              <w:rPr>
                <w:sz w:val="20"/>
                <w:szCs w:val="20"/>
              </w:rPr>
              <w:t xml:space="preserve"> µg </w:t>
            </w:r>
            <w:r w:rsidR="00296D72" w:rsidRPr="00A05315">
              <w:rPr>
                <w:sz w:val="20"/>
                <w:szCs w:val="20"/>
              </w:rPr>
              <w:t>/25</w:t>
            </w:r>
            <w:r w:rsidRPr="00A05315">
              <w:rPr>
                <w:sz w:val="20"/>
                <w:szCs w:val="20"/>
              </w:rPr>
              <w:t xml:space="preserve"> µg</w:t>
            </w:r>
          </w:p>
        </w:tc>
        <w:tc>
          <w:tcPr>
            <w:tcW w:w="709" w:type="dxa"/>
          </w:tcPr>
          <w:p w:rsidR="00296D72" w:rsidRPr="00A05315" w:rsidRDefault="00296D72" w:rsidP="00A05315">
            <w:pPr>
              <w:ind w:left="0" w:right="33"/>
              <w:rPr>
                <w:sz w:val="20"/>
                <w:szCs w:val="20"/>
              </w:rPr>
            </w:pPr>
            <w:r w:rsidRPr="00A05315">
              <w:rPr>
                <w:sz w:val="20"/>
                <w:szCs w:val="20"/>
              </w:rPr>
              <w:t>217</w:t>
            </w:r>
          </w:p>
        </w:tc>
        <w:tc>
          <w:tcPr>
            <w:tcW w:w="851" w:type="dxa"/>
          </w:tcPr>
          <w:p w:rsidR="00296D72" w:rsidRPr="00A05315" w:rsidRDefault="00296D72" w:rsidP="00A05315">
            <w:pPr>
              <w:ind w:left="34" w:right="33"/>
              <w:rPr>
                <w:sz w:val="20"/>
                <w:szCs w:val="20"/>
              </w:rPr>
            </w:pPr>
            <w:r w:rsidRPr="00A05315">
              <w:rPr>
                <w:sz w:val="20"/>
                <w:szCs w:val="20"/>
              </w:rPr>
              <w:t>1.355</w:t>
            </w:r>
          </w:p>
        </w:tc>
        <w:tc>
          <w:tcPr>
            <w:tcW w:w="992" w:type="dxa"/>
          </w:tcPr>
          <w:p w:rsidR="00296D72" w:rsidRPr="00A05315" w:rsidRDefault="00296D72" w:rsidP="00A05315">
            <w:pPr>
              <w:ind w:left="34" w:right="33"/>
              <w:rPr>
                <w:sz w:val="20"/>
                <w:szCs w:val="20"/>
              </w:rPr>
            </w:pPr>
            <w:r w:rsidRPr="00A05315">
              <w:rPr>
                <w:sz w:val="20"/>
                <w:szCs w:val="20"/>
              </w:rPr>
              <w:t>0.208</w:t>
            </w:r>
          </w:p>
        </w:tc>
        <w:tc>
          <w:tcPr>
            <w:tcW w:w="1559" w:type="dxa"/>
          </w:tcPr>
          <w:p w:rsidR="00296D72" w:rsidRPr="00A05315" w:rsidRDefault="00ED0BF7" w:rsidP="00A05315">
            <w:pPr>
              <w:ind w:left="34" w:right="33"/>
              <w:rPr>
                <w:sz w:val="20"/>
                <w:szCs w:val="20"/>
              </w:rPr>
            </w:pPr>
            <w:r w:rsidRPr="00A05315">
              <w:rPr>
                <w:sz w:val="20"/>
                <w:szCs w:val="20"/>
              </w:rPr>
              <w:t>0.022</w:t>
            </w:r>
            <w:r w:rsidR="00A05315">
              <w:rPr>
                <w:sz w:val="20"/>
                <w:szCs w:val="20"/>
              </w:rPr>
              <w:t xml:space="preserve"> </w:t>
            </w:r>
            <w:r w:rsidR="0061779E" w:rsidRPr="00A05315">
              <w:rPr>
                <w:sz w:val="20"/>
                <w:szCs w:val="20"/>
              </w:rPr>
              <w:t>(-</w:t>
            </w:r>
            <w:r w:rsidR="00296D72" w:rsidRPr="00A05315">
              <w:rPr>
                <w:sz w:val="20"/>
                <w:szCs w:val="20"/>
              </w:rPr>
              <w:t>0.027, 0.072)</w:t>
            </w:r>
          </w:p>
        </w:tc>
        <w:tc>
          <w:tcPr>
            <w:tcW w:w="851" w:type="dxa"/>
          </w:tcPr>
          <w:p w:rsidR="00296D72" w:rsidRPr="00A05315" w:rsidRDefault="00296D72" w:rsidP="00A05315">
            <w:pPr>
              <w:ind w:left="0" w:right="33"/>
              <w:rPr>
                <w:sz w:val="20"/>
                <w:szCs w:val="20"/>
              </w:rPr>
            </w:pPr>
            <w:r w:rsidRPr="00A05315">
              <w:rPr>
                <w:sz w:val="20"/>
                <w:szCs w:val="20"/>
              </w:rPr>
              <w:t>0.377</w:t>
            </w:r>
          </w:p>
        </w:tc>
        <w:tc>
          <w:tcPr>
            <w:tcW w:w="1275" w:type="dxa"/>
          </w:tcPr>
          <w:p w:rsidR="00296D72" w:rsidRPr="00A05315" w:rsidRDefault="00296D72" w:rsidP="00A05315">
            <w:pPr>
              <w:ind w:left="34" w:right="33"/>
              <w:rPr>
                <w:sz w:val="20"/>
                <w:szCs w:val="20"/>
              </w:rPr>
            </w:pPr>
          </w:p>
        </w:tc>
        <w:tc>
          <w:tcPr>
            <w:tcW w:w="993" w:type="dxa"/>
          </w:tcPr>
          <w:p w:rsidR="00296D72" w:rsidRPr="00A05315" w:rsidRDefault="00296D72" w:rsidP="00A05315">
            <w:pPr>
              <w:ind w:left="33" w:right="33"/>
              <w:rPr>
                <w:sz w:val="20"/>
                <w:szCs w:val="20"/>
              </w:rPr>
            </w:pPr>
          </w:p>
        </w:tc>
      </w:tr>
      <w:tr w:rsidR="00296D72" w:rsidTr="00A05315">
        <w:tc>
          <w:tcPr>
            <w:tcW w:w="1809" w:type="dxa"/>
          </w:tcPr>
          <w:p w:rsidR="0061779E" w:rsidRPr="00A05315" w:rsidRDefault="0061779E" w:rsidP="00A05315">
            <w:pPr>
              <w:ind w:left="0" w:right="33"/>
              <w:rPr>
                <w:sz w:val="20"/>
                <w:szCs w:val="20"/>
              </w:rPr>
            </w:pPr>
            <w:r w:rsidRPr="00A05315">
              <w:rPr>
                <w:sz w:val="20"/>
                <w:szCs w:val="20"/>
              </w:rPr>
              <w:t>UMEC/VI</w:t>
            </w:r>
          </w:p>
          <w:p w:rsidR="00296D72" w:rsidRPr="00A05315" w:rsidRDefault="00296D72" w:rsidP="00A05315">
            <w:pPr>
              <w:ind w:left="0" w:right="33"/>
              <w:rPr>
                <w:sz w:val="20"/>
                <w:szCs w:val="20"/>
              </w:rPr>
            </w:pPr>
            <w:r w:rsidRPr="00A05315">
              <w:rPr>
                <w:sz w:val="20"/>
                <w:szCs w:val="20"/>
              </w:rPr>
              <w:t>62.5</w:t>
            </w:r>
            <w:r w:rsidR="0061779E" w:rsidRPr="00A05315">
              <w:rPr>
                <w:sz w:val="20"/>
                <w:szCs w:val="20"/>
              </w:rPr>
              <w:t xml:space="preserve"> µg </w:t>
            </w:r>
            <w:r w:rsidRPr="00A05315">
              <w:rPr>
                <w:sz w:val="20"/>
                <w:szCs w:val="20"/>
              </w:rPr>
              <w:t>/25</w:t>
            </w:r>
            <w:r w:rsidR="0061779E" w:rsidRPr="00A05315">
              <w:rPr>
                <w:sz w:val="20"/>
                <w:szCs w:val="20"/>
              </w:rPr>
              <w:t xml:space="preserve"> µg</w:t>
            </w:r>
          </w:p>
        </w:tc>
        <w:tc>
          <w:tcPr>
            <w:tcW w:w="709" w:type="dxa"/>
          </w:tcPr>
          <w:p w:rsidR="00296D72" w:rsidRPr="00A05315" w:rsidRDefault="00296D72" w:rsidP="00A05315">
            <w:pPr>
              <w:ind w:left="0" w:right="33"/>
              <w:rPr>
                <w:sz w:val="20"/>
                <w:szCs w:val="20"/>
              </w:rPr>
            </w:pPr>
            <w:r w:rsidRPr="00A05315">
              <w:rPr>
                <w:sz w:val="20"/>
                <w:szCs w:val="20"/>
              </w:rPr>
              <w:t>215</w:t>
            </w:r>
          </w:p>
        </w:tc>
        <w:tc>
          <w:tcPr>
            <w:tcW w:w="851" w:type="dxa"/>
          </w:tcPr>
          <w:p w:rsidR="00296D72" w:rsidRPr="00A05315" w:rsidRDefault="00296D72" w:rsidP="00A05315">
            <w:pPr>
              <w:ind w:left="34" w:right="33"/>
              <w:rPr>
                <w:sz w:val="20"/>
                <w:szCs w:val="20"/>
              </w:rPr>
            </w:pPr>
            <w:r w:rsidRPr="00A05315">
              <w:rPr>
                <w:sz w:val="20"/>
                <w:szCs w:val="20"/>
              </w:rPr>
              <w:t>1.369</w:t>
            </w:r>
          </w:p>
        </w:tc>
        <w:tc>
          <w:tcPr>
            <w:tcW w:w="992" w:type="dxa"/>
          </w:tcPr>
          <w:p w:rsidR="00296D72" w:rsidRPr="00A05315" w:rsidRDefault="00296D72" w:rsidP="00A05315">
            <w:pPr>
              <w:ind w:left="34" w:right="33"/>
              <w:rPr>
                <w:sz w:val="20"/>
                <w:szCs w:val="20"/>
              </w:rPr>
            </w:pPr>
            <w:r w:rsidRPr="00A05315">
              <w:rPr>
                <w:sz w:val="20"/>
                <w:szCs w:val="20"/>
              </w:rPr>
              <w:t>0.223</w:t>
            </w:r>
          </w:p>
        </w:tc>
        <w:tc>
          <w:tcPr>
            <w:tcW w:w="1559" w:type="dxa"/>
          </w:tcPr>
          <w:p w:rsidR="00296D72" w:rsidRPr="00A05315" w:rsidRDefault="00ED0BF7" w:rsidP="00A05315">
            <w:pPr>
              <w:ind w:left="34" w:right="33"/>
              <w:rPr>
                <w:sz w:val="20"/>
                <w:szCs w:val="20"/>
              </w:rPr>
            </w:pPr>
            <w:r w:rsidRPr="00A05315">
              <w:rPr>
                <w:sz w:val="20"/>
                <w:szCs w:val="20"/>
              </w:rPr>
              <w:t xml:space="preserve">0.037 </w:t>
            </w:r>
            <w:r w:rsidR="00296D72" w:rsidRPr="00A05315">
              <w:rPr>
                <w:sz w:val="20"/>
                <w:szCs w:val="20"/>
              </w:rPr>
              <w:t>(</w:t>
            </w:r>
            <w:r w:rsidR="0061779E" w:rsidRPr="00A05315">
              <w:rPr>
                <w:sz w:val="20"/>
                <w:szCs w:val="20"/>
              </w:rPr>
              <w:t>-</w:t>
            </w:r>
            <w:r w:rsidR="00296D72" w:rsidRPr="00A05315">
              <w:rPr>
                <w:sz w:val="20"/>
                <w:szCs w:val="20"/>
              </w:rPr>
              <w:t>0.012, 0.087)</w:t>
            </w:r>
          </w:p>
        </w:tc>
        <w:tc>
          <w:tcPr>
            <w:tcW w:w="851" w:type="dxa"/>
          </w:tcPr>
          <w:p w:rsidR="00296D72" w:rsidRPr="00A05315" w:rsidRDefault="00296D72" w:rsidP="00A05315">
            <w:pPr>
              <w:ind w:left="0" w:right="33"/>
              <w:rPr>
                <w:sz w:val="20"/>
                <w:szCs w:val="20"/>
              </w:rPr>
            </w:pPr>
            <w:r w:rsidRPr="00A05315">
              <w:rPr>
                <w:sz w:val="20"/>
                <w:szCs w:val="20"/>
              </w:rPr>
              <w:t>0.142</w:t>
            </w:r>
          </w:p>
        </w:tc>
        <w:tc>
          <w:tcPr>
            <w:tcW w:w="1275" w:type="dxa"/>
          </w:tcPr>
          <w:p w:rsidR="00296D72" w:rsidRPr="00A05315" w:rsidRDefault="00296D72" w:rsidP="00A05315">
            <w:pPr>
              <w:ind w:left="34" w:right="33"/>
              <w:rPr>
                <w:sz w:val="20"/>
                <w:szCs w:val="20"/>
              </w:rPr>
            </w:pPr>
          </w:p>
        </w:tc>
        <w:tc>
          <w:tcPr>
            <w:tcW w:w="993" w:type="dxa"/>
          </w:tcPr>
          <w:p w:rsidR="00296D72" w:rsidRPr="00A05315" w:rsidRDefault="00296D72" w:rsidP="00A05315">
            <w:pPr>
              <w:ind w:left="33" w:right="33"/>
              <w:rPr>
                <w:sz w:val="20"/>
                <w:szCs w:val="20"/>
              </w:rPr>
            </w:pPr>
          </w:p>
        </w:tc>
      </w:tr>
      <w:tr w:rsidR="00296D72" w:rsidTr="00A05315">
        <w:tc>
          <w:tcPr>
            <w:tcW w:w="1809" w:type="dxa"/>
          </w:tcPr>
          <w:p w:rsidR="00296D72" w:rsidRPr="00A05315" w:rsidRDefault="00296D72" w:rsidP="00A05315">
            <w:pPr>
              <w:ind w:left="0" w:right="33"/>
              <w:rPr>
                <w:sz w:val="20"/>
                <w:szCs w:val="20"/>
              </w:rPr>
            </w:pPr>
            <w:r w:rsidRPr="00A05315">
              <w:rPr>
                <w:sz w:val="20"/>
                <w:szCs w:val="20"/>
              </w:rPr>
              <w:t>UMEC 125</w:t>
            </w:r>
            <w:r w:rsidR="0061779E" w:rsidRPr="00A05315">
              <w:rPr>
                <w:sz w:val="20"/>
                <w:szCs w:val="20"/>
              </w:rPr>
              <w:t xml:space="preserve"> µg</w:t>
            </w:r>
          </w:p>
        </w:tc>
        <w:tc>
          <w:tcPr>
            <w:tcW w:w="709" w:type="dxa"/>
          </w:tcPr>
          <w:p w:rsidR="00296D72" w:rsidRPr="00A05315" w:rsidRDefault="00296D72" w:rsidP="00A05315">
            <w:pPr>
              <w:ind w:left="0" w:right="33"/>
              <w:rPr>
                <w:sz w:val="20"/>
                <w:szCs w:val="20"/>
              </w:rPr>
            </w:pPr>
            <w:r w:rsidRPr="00A05315">
              <w:rPr>
                <w:sz w:val="20"/>
                <w:szCs w:val="20"/>
              </w:rPr>
              <w:t>222</w:t>
            </w:r>
          </w:p>
        </w:tc>
        <w:tc>
          <w:tcPr>
            <w:tcW w:w="851" w:type="dxa"/>
          </w:tcPr>
          <w:p w:rsidR="00296D72" w:rsidRPr="00A05315" w:rsidRDefault="00296D72" w:rsidP="00A05315">
            <w:pPr>
              <w:ind w:left="34" w:right="33"/>
              <w:rPr>
                <w:sz w:val="20"/>
                <w:szCs w:val="20"/>
              </w:rPr>
            </w:pPr>
            <w:r w:rsidRPr="00A05315">
              <w:rPr>
                <w:sz w:val="20"/>
                <w:szCs w:val="20"/>
              </w:rPr>
              <w:t>1.332</w:t>
            </w:r>
          </w:p>
        </w:tc>
        <w:tc>
          <w:tcPr>
            <w:tcW w:w="992" w:type="dxa"/>
          </w:tcPr>
          <w:p w:rsidR="00296D72" w:rsidRPr="00A05315" w:rsidRDefault="00296D72" w:rsidP="00A05315">
            <w:pPr>
              <w:ind w:left="34" w:right="33"/>
              <w:rPr>
                <w:sz w:val="20"/>
                <w:szCs w:val="20"/>
              </w:rPr>
            </w:pPr>
            <w:r w:rsidRPr="00A05315">
              <w:rPr>
                <w:sz w:val="20"/>
                <w:szCs w:val="20"/>
              </w:rPr>
              <w:t>0.186</w:t>
            </w:r>
          </w:p>
        </w:tc>
        <w:tc>
          <w:tcPr>
            <w:tcW w:w="1559" w:type="dxa"/>
          </w:tcPr>
          <w:p w:rsidR="00296D72" w:rsidRPr="00A05315" w:rsidRDefault="00296D72" w:rsidP="00A05315">
            <w:pPr>
              <w:ind w:left="34" w:right="33"/>
              <w:rPr>
                <w:sz w:val="20"/>
                <w:szCs w:val="20"/>
              </w:rPr>
            </w:pPr>
          </w:p>
        </w:tc>
        <w:tc>
          <w:tcPr>
            <w:tcW w:w="851" w:type="dxa"/>
          </w:tcPr>
          <w:p w:rsidR="00296D72" w:rsidRPr="00A05315" w:rsidRDefault="00296D72" w:rsidP="00A05315">
            <w:pPr>
              <w:ind w:left="0" w:right="33"/>
              <w:rPr>
                <w:sz w:val="20"/>
                <w:szCs w:val="20"/>
              </w:rPr>
            </w:pPr>
          </w:p>
        </w:tc>
        <w:tc>
          <w:tcPr>
            <w:tcW w:w="1275" w:type="dxa"/>
          </w:tcPr>
          <w:p w:rsidR="00296D72" w:rsidRPr="00A05315" w:rsidRDefault="00296D72" w:rsidP="00A05315">
            <w:pPr>
              <w:ind w:left="34" w:right="33"/>
              <w:rPr>
                <w:sz w:val="20"/>
                <w:szCs w:val="20"/>
              </w:rPr>
            </w:pPr>
          </w:p>
        </w:tc>
        <w:tc>
          <w:tcPr>
            <w:tcW w:w="993" w:type="dxa"/>
          </w:tcPr>
          <w:p w:rsidR="00296D72" w:rsidRPr="00A05315" w:rsidRDefault="00296D72" w:rsidP="00A05315">
            <w:pPr>
              <w:ind w:left="33" w:right="33"/>
              <w:rPr>
                <w:sz w:val="20"/>
                <w:szCs w:val="20"/>
              </w:rPr>
            </w:pPr>
          </w:p>
        </w:tc>
      </w:tr>
      <w:tr w:rsidR="00296D72" w:rsidTr="00A05315">
        <w:tc>
          <w:tcPr>
            <w:tcW w:w="1809" w:type="dxa"/>
          </w:tcPr>
          <w:p w:rsidR="00296D72" w:rsidRPr="00A05315" w:rsidRDefault="00296D72" w:rsidP="00A05315">
            <w:pPr>
              <w:ind w:left="0" w:right="33"/>
              <w:rPr>
                <w:sz w:val="20"/>
                <w:szCs w:val="20"/>
              </w:rPr>
            </w:pPr>
            <w:proofErr w:type="spellStart"/>
            <w:r w:rsidRPr="00A05315">
              <w:rPr>
                <w:sz w:val="20"/>
                <w:szCs w:val="20"/>
              </w:rPr>
              <w:t>Tiotropium</w:t>
            </w:r>
            <w:proofErr w:type="spellEnd"/>
            <w:r w:rsidRPr="00A05315">
              <w:rPr>
                <w:sz w:val="20"/>
                <w:szCs w:val="20"/>
              </w:rPr>
              <w:t xml:space="preserve"> 18</w:t>
            </w:r>
            <w:r w:rsidR="00FC0A6F" w:rsidRPr="00A05315">
              <w:rPr>
                <w:sz w:val="20"/>
                <w:szCs w:val="20"/>
              </w:rPr>
              <w:t>µg</w:t>
            </w:r>
          </w:p>
        </w:tc>
        <w:tc>
          <w:tcPr>
            <w:tcW w:w="709" w:type="dxa"/>
          </w:tcPr>
          <w:p w:rsidR="00296D72" w:rsidRPr="00A05315" w:rsidRDefault="00296D72" w:rsidP="00A05315">
            <w:pPr>
              <w:ind w:left="0" w:right="33"/>
              <w:rPr>
                <w:sz w:val="20"/>
                <w:szCs w:val="20"/>
              </w:rPr>
            </w:pPr>
            <w:r w:rsidRPr="00A05315">
              <w:rPr>
                <w:sz w:val="20"/>
                <w:szCs w:val="20"/>
              </w:rPr>
              <w:t>215</w:t>
            </w:r>
          </w:p>
        </w:tc>
        <w:tc>
          <w:tcPr>
            <w:tcW w:w="851" w:type="dxa"/>
          </w:tcPr>
          <w:p w:rsidR="00296D72" w:rsidRPr="00A05315" w:rsidRDefault="00296D72" w:rsidP="00A05315">
            <w:pPr>
              <w:ind w:left="34" w:right="33"/>
              <w:rPr>
                <w:sz w:val="20"/>
                <w:szCs w:val="20"/>
              </w:rPr>
            </w:pPr>
            <w:r w:rsidRPr="00A05315">
              <w:rPr>
                <w:sz w:val="20"/>
                <w:szCs w:val="20"/>
              </w:rPr>
              <w:t>1.295</w:t>
            </w:r>
          </w:p>
        </w:tc>
        <w:tc>
          <w:tcPr>
            <w:tcW w:w="992" w:type="dxa"/>
          </w:tcPr>
          <w:p w:rsidR="00296D72" w:rsidRPr="00A05315" w:rsidRDefault="00296D72" w:rsidP="00A05315">
            <w:pPr>
              <w:ind w:left="34" w:right="33"/>
              <w:rPr>
                <w:sz w:val="20"/>
                <w:szCs w:val="20"/>
              </w:rPr>
            </w:pPr>
            <w:r w:rsidRPr="00A05315">
              <w:rPr>
                <w:sz w:val="20"/>
                <w:szCs w:val="20"/>
              </w:rPr>
              <w:t>0.149</w:t>
            </w:r>
          </w:p>
        </w:tc>
        <w:tc>
          <w:tcPr>
            <w:tcW w:w="1559" w:type="dxa"/>
          </w:tcPr>
          <w:p w:rsidR="00296D72" w:rsidRPr="00A05315" w:rsidRDefault="00296D72" w:rsidP="00A05315">
            <w:pPr>
              <w:ind w:left="34" w:right="33"/>
              <w:rPr>
                <w:sz w:val="20"/>
                <w:szCs w:val="20"/>
              </w:rPr>
            </w:pPr>
          </w:p>
        </w:tc>
        <w:tc>
          <w:tcPr>
            <w:tcW w:w="851" w:type="dxa"/>
          </w:tcPr>
          <w:p w:rsidR="00296D72" w:rsidRPr="00A05315" w:rsidRDefault="00296D72" w:rsidP="00A05315">
            <w:pPr>
              <w:ind w:left="0" w:right="33"/>
              <w:rPr>
                <w:sz w:val="20"/>
                <w:szCs w:val="20"/>
              </w:rPr>
            </w:pPr>
          </w:p>
        </w:tc>
        <w:tc>
          <w:tcPr>
            <w:tcW w:w="1275" w:type="dxa"/>
          </w:tcPr>
          <w:p w:rsidR="00296D72" w:rsidRPr="00A05315" w:rsidRDefault="00296D72" w:rsidP="00A05315">
            <w:pPr>
              <w:ind w:left="34" w:right="33"/>
              <w:rPr>
                <w:sz w:val="20"/>
                <w:szCs w:val="20"/>
              </w:rPr>
            </w:pPr>
          </w:p>
        </w:tc>
        <w:tc>
          <w:tcPr>
            <w:tcW w:w="993" w:type="dxa"/>
          </w:tcPr>
          <w:p w:rsidR="00296D72" w:rsidRPr="00A05315" w:rsidRDefault="00296D72" w:rsidP="00A05315">
            <w:pPr>
              <w:ind w:left="33" w:right="33"/>
              <w:rPr>
                <w:sz w:val="20"/>
                <w:szCs w:val="20"/>
              </w:rPr>
            </w:pPr>
          </w:p>
        </w:tc>
      </w:tr>
    </w:tbl>
    <w:p w:rsidR="00296D72" w:rsidRPr="00410A65" w:rsidRDefault="00ED0BF7" w:rsidP="00033028">
      <w:r>
        <w:t xml:space="preserve">The active </w:t>
      </w:r>
      <w:r w:rsidR="00296D72" w:rsidRPr="00410A65">
        <w:t>controlled trials allowed a direct comparison between UMEC/VI 125/25</w:t>
      </w:r>
      <w:r w:rsidR="00B83313">
        <w:t xml:space="preserve"> </w:t>
      </w:r>
      <w:r w:rsidR="00B83313" w:rsidRPr="00B83313">
        <w:t>µg</w:t>
      </w:r>
      <w:r w:rsidR="00296D72" w:rsidRPr="00410A65">
        <w:t xml:space="preserve"> and 62.5/25</w:t>
      </w:r>
      <w:r w:rsidR="00B83313">
        <w:t xml:space="preserve"> </w:t>
      </w:r>
      <w:r w:rsidR="00B83313" w:rsidRPr="00B83313">
        <w:t>µg</w:t>
      </w:r>
      <w:r w:rsidR="00296D72" w:rsidRPr="00410A65">
        <w:t xml:space="preserve">. As shown in </w:t>
      </w:r>
      <w:r>
        <w:t>T</w:t>
      </w:r>
      <w:r w:rsidR="00296D72" w:rsidRPr="00410A65">
        <w:t>able</w:t>
      </w:r>
      <w:r w:rsidR="00F35BE2">
        <w:t xml:space="preserve"> 14</w:t>
      </w:r>
      <w:r w:rsidR="00296D72" w:rsidRPr="00410A65">
        <w:t xml:space="preserve">, there was </w:t>
      </w:r>
      <w:r w:rsidR="00E128BF">
        <w:t>no clear dose response.</w:t>
      </w:r>
    </w:p>
    <w:p w:rsidR="00296D72" w:rsidRPr="00410A65" w:rsidRDefault="00296D72" w:rsidP="00033028">
      <w:r w:rsidRPr="00410A65">
        <w:t>Among these four trials, study completion rates ranged from 70 to 83%. Lack of efficacy was cited as a reason for discontinuation; most</w:t>
      </w:r>
      <w:r w:rsidR="004C2ABF">
        <w:t xml:space="preserve"> frequently in patients randomis</w:t>
      </w:r>
      <w:r w:rsidRPr="00410A65">
        <w:t>ed to placebo. To assess the potential impact of missing data, the sponsor submitted several sensitivity analyses using different imputation strategies, including a more conservative approach requested by FDA. The results were statistically robust accor</w:t>
      </w:r>
      <w:r w:rsidR="00E128BF">
        <w:t>ding to these various analyses.</w:t>
      </w:r>
    </w:p>
    <w:p w:rsidR="00296D72" w:rsidRPr="00410A65" w:rsidRDefault="00296D72" w:rsidP="00033028">
      <w:r w:rsidRPr="00410A65">
        <w:t>Among the four trials, the results were robust to analyses conducted for various subgroups based on demographic factors (age, gender, race, geography) and on disease and other characteristics (COPD severity, concomitant ICS use, bronchodilator reversibility, and smoking status).</w:t>
      </w:r>
    </w:p>
    <w:p w:rsidR="00671DD7" w:rsidRPr="00410A65" w:rsidRDefault="00296D72" w:rsidP="00033028">
      <w:r w:rsidRPr="00410A65">
        <w:t>Results for secondary and other endpoints, including weighted m</w:t>
      </w:r>
      <w:r w:rsidR="00ED0BF7">
        <w:t xml:space="preserve">ean FEV1 over 0 to 6 hours post </w:t>
      </w:r>
      <w:r w:rsidRPr="00410A65">
        <w:t xml:space="preserve">dose at Week 24, transitional dyspnoea index, and reduction in exacerbations were supportive of the primary analysis. However, the sponsor is not seeking a claim in the </w:t>
      </w:r>
      <w:r w:rsidR="00ED0BF7">
        <w:t>indication</w:t>
      </w:r>
      <w:r w:rsidRPr="00410A65">
        <w:t xml:space="preserve"> for reduction of rescue medication use, reduction of exacerba</w:t>
      </w:r>
      <w:r w:rsidR="00ED0BF7">
        <w:t xml:space="preserve">tions, or improvement in health </w:t>
      </w:r>
      <w:r w:rsidRPr="00410A65">
        <w:t>related quality of life.</w:t>
      </w:r>
    </w:p>
    <w:p w:rsidR="00296D72" w:rsidRPr="00410A65" w:rsidRDefault="00296D72" w:rsidP="00033028">
      <w:pPr>
        <w:pStyle w:val="Heading4"/>
      </w:pPr>
      <w:r w:rsidRPr="00410A65">
        <w:lastRenderedPageBreak/>
        <w:t>Safety</w:t>
      </w:r>
    </w:p>
    <w:p w:rsidR="00296D72" w:rsidRPr="00410A65" w:rsidRDefault="00296D72" w:rsidP="00033028">
      <w:pPr>
        <w:pStyle w:val="Heading5"/>
      </w:pPr>
      <w:r w:rsidRPr="00410A65">
        <w:t>Overview</w:t>
      </w:r>
    </w:p>
    <w:p w:rsidR="00296D72" w:rsidRPr="00410A65" w:rsidRDefault="00ED0BF7" w:rsidP="00033028">
      <w:r>
        <w:t xml:space="preserve">The sponsor submitted a 52 </w:t>
      </w:r>
      <w:r w:rsidR="00296D72" w:rsidRPr="00410A65">
        <w:t xml:space="preserve">week safety study, comparing UMEC/VI 125/25 </w:t>
      </w:r>
      <w:r w:rsidR="00B83313" w:rsidRPr="00B83313">
        <w:t xml:space="preserve">µg </w:t>
      </w:r>
      <w:r w:rsidR="00296D72" w:rsidRPr="00410A65">
        <w:t>(n</w:t>
      </w:r>
      <w:r>
        <w:t xml:space="preserve"> </w:t>
      </w:r>
      <w:r w:rsidR="00296D72" w:rsidRPr="00410A65">
        <w:t>=</w:t>
      </w:r>
      <w:r>
        <w:t xml:space="preserve"> </w:t>
      </w:r>
      <w:r w:rsidR="00296D72" w:rsidRPr="00410A65">
        <w:t>226) to placebo (n</w:t>
      </w:r>
      <w:r>
        <w:t xml:space="preserve"> </w:t>
      </w:r>
      <w:r w:rsidR="00296D72" w:rsidRPr="00410A65">
        <w:t>=</w:t>
      </w:r>
      <w:r>
        <w:t xml:space="preserve"> </w:t>
      </w:r>
      <w:r w:rsidR="00296D72" w:rsidRPr="00410A65">
        <w:t>107) and UMEC 125</w:t>
      </w:r>
      <w:r w:rsidR="00B83313">
        <w:t xml:space="preserve"> </w:t>
      </w:r>
      <w:r w:rsidR="00B83313" w:rsidRPr="00B83313">
        <w:t>µg</w:t>
      </w:r>
      <w:r w:rsidR="00296D72" w:rsidRPr="00410A65">
        <w:t xml:space="preserve"> (n</w:t>
      </w:r>
      <w:r>
        <w:t xml:space="preserve"> </w:t>
      </w:r>
      <w:r w:rsidR="00296D72" w:rsidRPr="00410A65">
        <w:t>=</w:t>
      </w:r>
      <w:r>
        <w:t xml:space="preserve"> </w:t>
      </w:r>
      <w:r w:rsidR="00296D72" w:rsidRPr="00410A65">
        <w:t>22</w:t>
      </w:r>
      <w:r w:rsidR="0053140B">
        <w:t>7</w:t>
      </w:r>
      <w:r w:rsidR="00296D72" w:rsidRPr="00410A65">
        <w:t xml:space="preserve">). Endpoints included </w:t>
      </w:r>
      <w:r w:rsidR="00CF6510">
        <w:t>AEs</w:t>
      </w:r>
      <w:r w:rsidR="00296D72" w:rsidRPr="00410A65">
        <w:t>, COPD exacerbations, ECG asse</w:t>
      </w:r>
      <w:r w:rsidR="00671DD7" w:rsidRPr="00410A65">
        <w:t>ssments, and Holter monitoring.</w:t>
      </w:r>
    </w:p>
    <w:p w:rsidR="00296D72" w:rsidRPr="00410A65" w:rsidRDefault="00296D72" w:rsidP="00033028">
      <w:r w:rsidRPr="00410A65">
        <w:t xml:space="preserve">Exposure to UMEC/VI for patients in the safety database, who had COPD, is shown </w:t>
      </w:r>
      <w:r w:rsidR="00F35BE2">
        <w:t>in Table 15</w:t>
      </w:r>
      <w:r w:rsidR="0050592A">
        <w:t xml:space="preserve"> </w:t>
      </w:r>
      <w:r w:rsidRPr="00410A65">
        <w:t>below.</w:t>
      </w:r>
    </w:p>
    <w:p w:rsidR="00296D72" w:rsidRDefault="00F35BE2" w:rsidP="00033028">
      <w:pPr>
        <w:pStyle w:val="Tabletitle0"/>
      </w:pPr>
      <w:proofErr w:type="gramStart"/>
      <w:r>
        <w:t>Table 15</w:t>
      </w:r>
      <w:r w:rsidR="0050592A">
        <w:t>.</w:t>
      </w:r>
      <w:proofErr w:type="gramEnd"/>
      <w:r w:rsidR="0050592A">
        <w:t xml:space="preserve"> </w:t>
      </w:r>
      <w:proofErr w:type="gramStart"/>
      <w:r w:rsidR="00296D72" w:rsidRPr="00410A65">
        <w:t xml:space="preserve">Exposure for </w:t>
      </w:r>
      <w:r w:rsidR="0050592A">
        <w:t>the “All COPD clinical studies”.</w:t>
      </w:r>
      <w:proofErr w:type="gramEnd"/>
    </w:p>
    <w:p w:rsidR="00DE372D" w:rsidRPr="00DE372D" w:rsidRDefault="00DE372D" w:rsidP="007831A2">
      <w:r>
        <w:rPr>
          <w:noProof/>
          <w:lang w:eastAsia="en-AU"/>
        </w:rPr>
        <w:drawing>
          <wp:inline distT="0" distB="0" distL="0" distR="0" wp14:anchorId="1C53952B" wp14:editId="4D8E602C">
            <wp:extent cx="5397690" cy="1962430"/>
            <wp:effectExtent l="0" t="0" r="0" b="0"/>
            <wp:docPr id="5" name="Picture 5" descr="Table 15. Exposure for the “All COP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a:stretch/>
                  </pic:blipFill>
                  <pic:spPr bwMode="auto">
                    <a:xfrm>
                      <a:off x="0" y="0"/>
                      <a:ext cx="5397690" cy="1962430"/>
                    </a:xfrm>
                    <a:prstGeom prst="rect">
                      <a:avLst/>
                    </a:prstGeom>
                    <a:ln>
                      <a:noFill/>
                    </a:ln>
                    <a:extLst>
                      <a:ext uri="{53640926-AAD7-44D8-BBD7-CCE9431645EC}">
                        <a14:shadowObscured xmlns:a14="http://schemas.microsoft.com/office/drawing/2010/main"/>
                      </a:ext>
                    </a:extLst>
                  </pic:spPr>
                </pic:pic>
              </a:graphicData>
            </a:graphic>
          </wp:inline>
        </w:drawing>
      </w:r>
    </w:p>
    <w:p w:rsidR="00296D72" w:rsidRPr="00410A65" w:rsidRDefault="00296D72" w:rsidP="00033028">
      <w:r w:rsidRPr="00410A65">
        <w:t>Evaluation for safety was unremarkable; the data were consistent with what is known about LAMAs and LABAs. An assessment of AE terms related to anticholinergic effects (</w:t>
      </w:r>
      <w:r w:rsidR="006C586A" w:rsidRPr="00410A65">
        <w:t>for example,</w:t>
      </w:r>
      <w:r w:rsidRPr="00410A65">
        <w:t xml:space="preserve"> urinary retention, blurred vision, </w:t>
      </w:r>
      <w:proofErr w:type="gramStart"/>
      <w:r w:rsidRPr="00410A65">
        <w:t>dr</w:t>
      </w:r>
      <w:r w:rsidR="00837F98">
        <w:t>y</w:t>
      </w:r>
      <w:proofErr w:type="gramEnd"/>
      <w:r w:rsidR="00837F98">
        <w:t xml:space="preserve"> mouth, bowel obstruction, etcetera</w:t>
      </w:r>
      <w:r w:rsidRPr="00410A65">
        <w:t>) and adrenergic effects (</w:t>
      </w:r>
      <w:r w:rsidR="006C586A" w:rsidRPr="00410A65">
        <w:t>for example,</w:t>
      </w:r>
      <w:r w:rsidRPr="00410A65">
        <w:t xml:space="preserve"> electrolyte shifts, tachycardia, tremor, </w:t>
      </w:r>
      <w:r w:rsidR="00837F98" w:rsidRPr="00837F98">
        <w:t>etcetera</w:t>
      </w:r>
      <w:r w:rsidRPr="00410A65">
        <w:t>) did not indicate any specific safety signals. Also, the data do not suggest an increased risk of LTRI or pneumonia as has been observed with ICS/LAB</w:t>
      </w:r>
      <w:r w:rsidR="00671DD7" w:rsidRPr="00410A65">
        <w:t>A combination products in COPD.</w:t>
      </w:r>
    </w:p>
    <w:p w:rsidR="00296D72" w:rsidRPr="00410A65" w:rsidRDefault="00296D72" w:rsidP="00033028">
      <w:r w:rsidRPr="00410A65">
        <w:t xml:space="preserve">Most interest centred on cardiovascular safety; a summary of these results is given </w:t>
      </w:r>
      <w:r w:rsidR="00837F98">
        <w:t>below</w:t>
      </w:r>
      <w:r w:rsidR="00E128BF">
        <w:t>.</w:t>
      </w:r>
    </w:p>
    <w:p w:rsidR="00296D72" w:rsidRPr="00410A65" w:rsidRDefault="00296D72" w:rsidP="00033028">
      <w:pPr>
        <w:pStyle w:val="Heading5"/>
      </w:pPr>
      <w:r w:rsidRPr="00410A65">
        <w:t>Assessment of cardiovascular adverse events</w:t>
      </w:r>
    </w:p>
    <w:p w:rsidR="00296D72" w:rsidRPr="00502EAA" w:rsidRDefault="00296D72" w:rsidP="00033028">
      <w:r w:rsidRPr="00410A65">
        <w:t xml:space="preserve">Two analyses were conducted: major adverse cardiac events (MACE) and (cardiovascular) </w:t>
      </w:r>
      <w:r w:rsidR="00CF6510">
        <w:t>AESI</w:t>
      </w:r>
      <w:r w:rsidRPr="00410A65">
        <w:t xml:space="preserve">. An imbalance was reported for cardiac </w:t>
      </w:r>
      <w:proofErr w:type="spellStart"/>
      <w:r w:rsidRPr="00410A65">
        <w:t>isch</w:t>
      </w:r>
      <w:r w:rsidR="00837F98">
        <w:t>aemia</w:t>
      </w:r>
      <w:proofErr w:type="spellEnd"/>
      <w:r w:rsidR="00837F98">
        <w:t xml:space="preserve"> in the four pooled Phase III</w:t>
      </w:r>
      <w:r w:rsidRPr="00410A65">
        <w:t xml:space="preserve"> effic</w:t>
      </w:r>
      <w:r w:rsidR="00837F98">
        <w:t xml:space="preserve">acy trials, but not from the 52 </w:t>
      </w:r>
      <w:r w:rsidR="00B83313">
        <w:t>week safety trial (Tables 16 and 17).</w:t>
      </w:r>
    </w:p>
    <w:p w:rsidR="00296D72" w:rsidRDefault="00F35BE2" w:rsidP="00033028">
      <w:pPr>
        <w:pStyle w:val="Tabletitle0"/>
      </w:pPr>
      <w:proofErr w:type="gramStart"/>
      <w:r>
        <w:t>Table 16</w:t>
      </w:r>
      <w:r w:rsidR="002A18DB">
        <w:t>.</w:t>
      </w:r>
      <w:proofErr w:type="gramEnd"/>
      <w:r w:rsidR="002A18DB">
        <w:t xml:space="preserve"> </w:t>
      </w:r>
      <w:proofErr w:type="gramStart"/>
      <w:r w:rsidR="00502EAA">
        <w:t>Cardiovascular AESI, Phase III</w:t>
      </w:r>
      <w:r w:rsidR="00296D72" w:rsidRPr="004F24FD">
        <w:t xml:space="preserve"> efficacy trials</w:t>
      </w:r>
      <w:r w:rsidR="00DE372D">
        <w:t>.</w:t>
      </w:r>
      <w:proofErr w:type="gramEnd"/>
    </w:p>
    <w:p w:rsidR="00DE372D" w:rsidRPr="00DE372D" w:rsidRDefault="00DE372D" w:rsidP="007831A2">
      <w:r>
        <w:rPr>
          <w:noProof/>
          <w:lang w:eastAsia="en-AU"/>
        </w:rPr>
        <w:drawing>
          <wp:inline distT="0" distB="0" distL="0" distR="0" wp14:anchorId="6A0C51BF" wp14:editId="75A8FD73">
            <wp:extent cx="5400040" cy="2713289"/>
            <wp:effectExtent l="0" t="0" r="0" b="0"/>
            <wp:docPr id="10" name="Picture 10" descr="Table 16. Cardiovascular AESI, Phase III efficacy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713289"/>
                    </a:xfrm>
                    <a:prstGeom prst="rect">
                      <a:avLst/>
                    </a:prstGeom>
                  </pic:spPr>
                </pic:pic>
              </a:graphicData>
            </a:graphic>
          </wp:inline>
        </w:drawing>
      </w:r>
    </w:p>
    <w:p w:rsidR="00296D72" w:rsidRDefault="00F35BE2" w:rsidP="007831A2">
      <w:pPr>
        <w:pStyle w:val="Tabletitle0"/>
      </w:pPr>
      <w:proofErr w:type="gramStart"/>
      <w:r>
        <w:lastRenderedPageBreak/>
        <w:t>Table 17</w:t>
      </w:r>
      <w:r w:rsidR="00837F98">
        <w:t>.</w:t>
      </w:r>
      <w:proofErr w:type="gramEnd"/>
      <w:r w:rsidR="00837F98">
        <w:t xml:space="preserve"> </w:t>
      </w:r>
      <w:proofErr w:type="gramStart"/>
      <w:r w:rsidR="00296D72" w:rsidRPr="004F24FD">
        <w:t>Cardiovascular AESI, Safety trial</w:t>
      </w:r>
      <w:r w:rsidR="00837F98">
        <w:t>.</w:t>
      </w:r>
      <w:proofErr w:type="gramEnd"/>
    </w:p>
    <w:p w:rsidR="001E4642" w:rsidRPr="001E4642" w:rsidRDefault="001E4642" w:rsidP="007831A2">
      <w:r>
        <w:rPr>
          <w:noProof/>
          <w:lang w:eastAsia="en-AU"/>
        </w:rPr>
        <w:drawing>
          <wp:inline distT="0" distB="0" distL="0" distR="0" wp14:anchorId="6F1028A6" wp14:editId="59F45C84">
            <wp:extent cx="3534770" cy="3050553"/>
            <wp:effectExtent l="0" t="0" r="8890" b="0"/>
            <wp:docPr id="11" name="Picture 11" descr="Table 17. Cardiovascular AESI, Safety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37434" cy="3052852"/>
                    </a:xfrm>
                    <a:prstGeom prst="rect">
                      <a:avLst/>
                    </a:prstGeom>
                  </pic:spPr>
                </pic:pic>
              </a:graphicData>
            </a:graphic>
          </wp:inline>
        </w:drawing>
      </w:r>
    </w:p>
    <w:p w:rsidR="00296D72" w:rsidRDefault="00296D72" w:rsidP="00033028">
      <w:r w:rsidRPr="00410A65">
        <w:t>The l</w:t>
      </w:r>
      <w:r w:rsidR="00502EAA">
        <w:t xml:space="preserve">ack of an imbalance in the long </w:t>
      </w:r>
      <w:r w:rsidRPr="00410A65">
        <w:t xml:space="preserve">term safety trial is somewhat reassuring </w:t>
      </w:r>
      <w:proofErr w:type="gramStart"/>
      <w:r w:rsidRPr="00410A65">
        <w:t>however,</w:t>
      </w:r>
      <w:proofErr w:type="gramEnd"/>
      <w:r w:rsidRPr="00410A65">
        <w:t xml:space="preserve"> interpretation is complicated by the withdrawal of patients wi</w:t>
      </w:r>
      <w:r w:rsidR="00E128BF">
        <w:t>th ECG or Holter abnormalities.</w:t>
      </w:r>
    </w:p>
    <w:p w:rsidR="00296D72" w:rsidRPr="000E426F" w:rsidRDefault="00F35BE2" w:rsidP="000E426F">
      <w:pPr>
        <w:pStyle w:val="Tabletitle0"/>
      </w:pPr>
      <w:proofErr w:type="gramStart"/>
      <w:r>
        <w:t>Table 18</w:t>
      </w:r>
      <w:r w:rsidR="00B83313">
        <w:t>.</w:t>
      </w:r>
      <w:proofErr w:type="gramEnd"/>
      <w:r w:rsidR="000E426F" w:rsidRPr="000E426F">
        <w:t xml:space="preserve"> </w:t>
      </w:r>
      <w:proofErr w:type="gramStart"/>
      <w:r w:rsidR="000E426F" w:rsidRPr="000E426F">
        <w:t xml:space="preserve">Subject disposition, long </w:t>
      </w:r>
      <w:r w:rsidR="00296D72" w:rsidRPr="000E426F">
        <w:t>term safety trial</w:t>
      </w:r>
      <w:r w:rsidR="00837F98">
        <w:t>.</w:t>
      </w:r>
      <w:proofErr w:type="gramEnd"/>
    </w:p>
    <w:tbl>
      <w:tblPr>
        <w:tblStyle w:val="TableTGAblue"/>
        <w:tblW w:w="0" w:type="auto"/>
        <w:tblLook w:val="04A0" w:firstRow="1" w:lastRow="0" w:firstColumn="1" w:lastColumn="0" w:noHBand="0" w:noVBand="1"/>
      </w:tblPr>
      <w:tblGrid>
        <w:gridCol w:w="2515"/>
        <w:gridCol w:w="1876"/>
        <w:gridCol w:w="1877"/>
        <w:gridCol w:w="1978"/>
      </w:tblGrid>
      <w:tr w:rsidR="0058445E" w:rsidRPr="0058445E" w:rsidTr="00033028">
        <w:trPr>
          <w:cnfStyle w:val="100000000000" w:firstRow="1" w:lastRow="0" w:firstColumn="0" w:lastColumn="0" w:oddVBand="0" w:evenVBand="0" w:oddHBand="0" w:evenHBand="0" w:firstRowFirstColumn="0" w:firstRowLastColumn="0" w:lastRowFirstColumn="0" w:lastRowLastColumn="0"/>
          <w:trHeight w:val="723"/>
        </w:trPr>
        <w:tc>
          <w:tcPr>
            <w:tcW w:w="2515" w:type="dxa"/>
          </w:tcPr>
          <w:p w:rsidR="0058445E" w:rsidRPr="0058445E" w:rsidRDefault="0058445E" w:rsidP="00940B9A">
            <w:pPr>
              <w:ind w:left="0"/>
            </w:pPr>
          </w:p>
        </w:tc>
        <w:tc>
          <w:tcPr>
            <w:tcW w:w="1876" w:type="dxa"/>
          </w:tcPr>
          <w:p w:rsidR="0058445E" w:rsidRPr="0058445E" w:rsidRDefault="0058445E" w:rsidP="00940B9A">
            <w:pPr>
              <w:ind w:left="37"/>
            </w:pPr>
            <w:r w:rsidRPr="0058445E">
              <w:t>Placebo</w:t>
            </w:r>
            <w:r w:rsidR="00837F98">
              <w:t xml:space="preserve"> </w:t>
            </w:r>
            <w:r w:rsidRPr="0058445E">
              <w:t>N=109</w:t>
            </w:r>
          </w:p>
        </w:tc>
        <w:tc>
          <w:tcPr>
            <w:tcW w:w="1877" w:type="dxa"/>
          </w:tcPr>
          <w:p w:rsidR="0058445E" w:rsidRPr="0058445E" w:rsidRDefault="0058445E" w:rsidP="00940B9A">
            <w:pPr>
              <w:ind w:left="4"/>
            </w:pPr>
            <w:r w:rsidRPr="0058445E">
              <w:t>UMEC/VI</w:t>
            </w:r>
            <w:r w:rsidR="00837F98">
              <w:t xml:space="preserve"> </w:t>
            </w:r>
            <w:r w:rsidRPr="0058445E">
              <w:t>125/25</w:t>
            </w:r>
            <w:r w:rsidR="00837F98">
              <w:t xml:space="preserve"> n</w:t>
            </w:r>
            <w:r w:rsidRPr="0058445E">
              <w:t>=226</w:t>
            </w:r>
          </w:p>
        </w:tc>
        <w:tc>
          <w:tcPr>
            <w:tcW w:w="1977" w:type="dxa"/>
          </w:tcPr>
          <w:p w:rsidR="0058445E" w:rsidRPr="0058445E" w:rsidRDefault="0058445E" w:rsidP="00940B9A">
            <w:pPr>
              <w:ind w:left="0"/>
            </w:pPr>
            <w:r w:rsidRPr="0058445E">
              <w:t>UMEC</w:t>
            </w:r>
            <w:r w:rsidR="00837F98">
              <w:t xml:space="preserve"> </w:t>
            </w:r>
            <w:r w:rsidRPr="0058445E">
              <w:t>125</w:t>
            </w:r>
            <w:r w:rsidR="00837F98">
              <w:t xml:space="preserve"> </w:t>
            </w:r>
            <w:r w:rsidRPr="0058445E">
              <w:t>N=227</w:t>
            </w:r>
          </w:p>
        </w:tc>
      </w:tr>
      <w:tr w:rsidR="0058445E" w:rsidRPr="0058445E" w:rsidTr="00033028">
        <w:trPr>
          <w:trHeight w:val="486"/>
        </w:trPr>
        <w:tc>
          <w:tcPr>
            <w:tcW w:w="8246" w:type="dxa"/>
            <w:gridSpan w:val="4"/>
          </w:tcPr>
          <w:p w:rsidR="0058445E" w:rsidRPr="0058445E" w:rsidRDefault="0058445E" w:rsidP="00940B9A">
            <w:pPr>
              <w:ind w:left="0"/>
            </w:pPr>
            <w:r w:rsidRPr="0058445E">
              <w:t>Completion status n (%)</w:t>
            </w:r>
          </w:p>
        </w:tc>
      </w:tr>
      <w:tr w:rsidR="0058445E" w:rsidRPr="0058445E" w:rsidTr="00033028">
        <w:trPr>
          <w:trHeight w:val="475"/>
        </w:trPr>
        <w:tc>
          <w:tcPr>
            <w:tcW w:w="2515" w:type="dxa"/>
          </w:tcPr>
          <w:p w:rsidR="0058445E" w:rsidRPr="0058445E" w:rsidRDefault="0058445E" w:rsidP="00940B9A">
            <w:pPr>
              <w:ind w:left="0"/>
            </w:pPr>
            <w:r w:rsidRPr="0058445E">
              <w:t>Completed</w:t>
            </w:r>
          </w:p>
        </w:tc>
        <w:tc>
          <w:tcPr>
            <w:tcW w:w="1876" w:type="dxa"/>
          </w:tcPr>
          <w:p w:rsidR="0058445E" w:rsidRPr="0058445E" w:rsidRDefault="0058445E" w:rsidP="00940B9A">
            <w:pPr>
              <w:ind w:left="37"/>
            </w:pPr>
            <w:r w:rsidRPr="0058445E">
              <w:t>66 (61)</w:t>
            </w:r>
          </w:p>
        </w:tc>
        <w:tc>
          <w:tcPr>
            <w:tcW w:w="1877" w:type="dxa"/>
          </w:tcPr>
          <w:p w:rsidR="0058445E" w:rsidRPr="0058445E" w:rsidRDefault="0058445E" w:rsidP="00940B9A">
            <w:pPr>
              <w:ind w:left="4"/>
            </w:pPr>
            <w:r w:rsidRPr="0058445E">
              <w:t>143 (63)</w:t>
            </w:r>
          </w:p>
        </w:tc>
        <w:tc>
          <w:tcPr>
            <w:tcW w:w="1977" w:type="dxa"/>
          </w:tcPr>
          <w:p w:rsidR="0058445E" w:rsidRPr="0058445E" w:rsidRDefault="0058445E" w:rsidP="00940B9A">
            <w:pPr>
              <w:ind w:left="0"/>
            </w:pPr>
            <w:r w:rsidRPr="0058445E">
              <w:t>133 (59)</w:t>
            </w:r>
          </w:p>
        </w:tc>
      </w:tr>
      <w:tr w:rsidR="0058445E" w:rsidRPr="0058445E" w:rsidTr="00033028">
        <w:trPr>
          <w:trHeight w:val="486"/>
        </w:trPr>
        <w:tc>
          <w:tcPr>
            <w:tcW w:w="2515" w:type="dxa"/>
          </w:tcPr>
          <w:p w:rsidR="0058445E" w:rsidRPr="0058445E" w:rsidRDefault="0058445E" w:rsidP="00940B9A">
            <w:pPr>
              <w:ind w:left="0"/>
            </w:pPr>
            <w:r w:rsidRPr="0058445E">
              <w:t>Withdrew</w:t>
            </w:r>
          </w:p>
        </w:tc>
        <w:tc>
          <w:tcPr>
            <w:tcW w:w="1876" w:type="dxa"/>
          </w:tcPr>
          <w:p w:rsidR="0058445E" w:rsidRPr="0058445E" w:rsidRDefault="0058445E" w:rsidP="00940B9A">
            <w:pPr>
              <w:ind w:left="37"/>
            </w:pPr>
            <w:r w:rsidRPr="0058445E">
              <w:t>43 (39)</w:t>
            </w:r>
          </w:p>
        </w:tc>
        <w:tc>
          <w:tcPr>
            <w:tcW w:w="1877" w:type="dxa"/>
          </w:tcPr>
          <w:p w:rsidR="0058445E" w:rsidRPr="0058445E" w:rsidRDefault="0058445E" w:rsidP="00940B9A">
            <w:pPr>
              <w:ind w:left="4"/>
            </w:pPr>
            <w:r w:rsidRPr="0058445E">
              <w:t>83 (37)</w:t>
            </w:r>
          </w:p>
        </w:tc>
        <w:tc>
          <w:tcPr>
            <w:tcW w:w="1977" w:type="dxa"/>
          </w:tcPr>
          <w:p w:rsidR="0058445E" w:rsidRPr="0058445E" w:rsidRDefault="0058445E" w:rsidP="00940B9A">
            <w:pPr>
              <w:ind w:left="0"/>
            </w:pPr>
            <w:r w:rsidRPr="0058445E">
              <w:t>94 (41)</w:t>
            </w:r>
          </w:p>
        </w:tc>
      </w:tr>
      <w:tr w:rsidR="0058445E" w:rsidRPr="0058445E" w:rsidTr="00033028">
        <w:trPr>
          <w:trHeight w:val="475"/>
        </w:trPr>
        <w:tc>
          <w:tcPr>
            <w:tcW w:w="8246" w:type="dxa"/>
            <w:gridSpan w:val="4"/>
          </w:tcPr>
          <w:p w:rsidR="0058445E" w:rsidRPr="0058445E" w:rsidRDefault="0058445E" w:rsidP="00940B9A">
            <w:pPr>
              <w:ind w:left="0"/>
            </w:pPr>
            <w:r w:rsidRPr="0058445E">
              <w:t>Selected reasons for withdrawal n (%)</w:t>
            </w:r>
          </w:p>
        </w:tc>
      </w:tr>
      <w:tr w:rsidR="0058445E" w:rsidRPr="0058445E" w:rsidTr="00033028">
        <w:trPr>
          <w:trHeight w:val="486"/>
        </w:trPr>
        <w:tc>
          <w:tcPr>
            <w:tcW w:w="2515" w:type="dxa"/>
          </w:tcPr>
          <w:p w:rsidR="0058445E" w:rsidRPr="0058445E" w:rsidRDefault="0058445E" w:rsidP="00940B9A">
            <w:pPr>
              <w:ind w:left="0"/>
            </w:pPr>
            <w:r w:rsidRPr="0058445E">
              <w:t>Adverse event</w:t>
            </w:r>
          </w:p>
        </w:tc>
        <w:tc>
          <w:tcPr>
            <w:tcW w:w="1876" w:type="dxa"/>
          </w:tcPr>
          <w:p w:rsidR="0058445E" w:rsidRPr="0058445E" w:rsidRDefault="0058445E" w:rsidP="00940B9A">
            <w:pPr>
              <w:ind w:left="37"/>
            </w:pPr>
            <w:r w:rsidRPr="0058445E">
              <w:t>13 (12)</w:t>
            </w:r>
          </w:p>
        </w:tc>
        <w:tc>
          <w:tcPr>
            <w:tcW w:w="1877" w:type="dxa"/>
          </w:tcPr>
          <w:p w:rsidR="0058445E" w:rsidRPr="0058445E" w:rsidRDefault="0058445E" w:rsidP="00940B9A">
            <w:pPr>
              <w:ind w:left="4"/>
            </w:pPr>
            <w:r w:rsidRPr="0058445E">
              <w:t>17 (8)</w:t>
            </w:r>
          </w:p>
        </w:tc>
        <w:tc>
          <w:tcPr>
            <w:tcW w:w="1977" w:type="dxa"/>
          </w:tcPr>
          <w:p w:rsidR="0058445E" w:rsidRPr="0058445E" w:rsidRDefault="0058445E" w:rsidP="00940B9A">
            <w:pPr>
              <w:ind w:left="0"/>
            </w:pPr>
            <w:r w:rsidRPr="0058445E">
              <w:t>21 (9)</w:t>
            </w:r>
          </w:p>
        </w:tc>
      </w:tr>
      <w:tr w:rsidR="0058445E" w:rsidRPr="0058445E" w:rsidTr="00033028">
        <w:trPr>
          <w:trHeight w:val="475"/>
        </w:trPr>
        <w:tc>
          <w:tcPr>
            <w:tcW w:w="2515" w:type="dxa"/>
          </w:tcPr>
          <w:p w:rsidR="0058445E" w:rsidRPr="0058445E" w:rsidRDefault="0058445E" w:rsidP="00940B9A">
            <w:pPr>
              <w:ind w:left="0"/>
            </w:pPr>
            <w:r w:rsidRPr="0058445E">
              <w:t>Lack of efficacy</w:t>
            </w:r>
          </w:p>
        </w:tc>
        <w:tc>
          <w:tcPr>
            <w:tcW w:w="1876" w:type="dxa"/>
          </w:tcPr>
          <w:p w:rsidR="0058445E" w:rsidRPr="0058445E" w:rsidRDefault="0058445E" w:rsidP="00940B9A">
            <w:pPr>
              <w:ind w:left="37"/>
            </w:pPr>
            <w:r w:rsidRPr="0058445E">
              <w:t>9 (8)</w:t>
            </w:r>
          </w:p>
        </w:tc>
        <w:tc>
          <w:tcPr>
            <w:tcW w:w="1877" w:type="dxa"/>
          </w:tcPr>
          <w:p w:rsidR="0058445E" w:rsidRPr="0058445E" w:rsidRDefault="0058445E" w:rsidP="00940B9A">
            <w:pPr>
              <w:ind w:left="4"/>
            </w:pPr>
            <w:r w:rsidRPr="0058445E">
              <w:t>1 (&lt;1)</w:t>
            </w:r>
          </w:p>
        </w:tc>
        <w:tc>
          <w:tcPr>
            <w:tcW w:w="1977" w:type="dxa"/>
          </w:tcPr>
          <w:p w:rsidR="0058445E" w:rsidRPr="0058445E" w:rsidRDefault="0058445E" w:rsidP="00940B9A">
            <w:pPr>
              <w:ind w:left="0"/>
            </w:pPr>
            <w:r w:rsidRPr="0058445E">
              <w:t>3 (1)</w:t>
            </w:r>
          </w:p>
        </w:tc>
      </w:tr>
      <w:tr w:rsidR="0058445E" w:rsidRPr="0058445E" w:rsidTr="00033028">
        <w:trPr>
          <w:trHeight w:val="486"/>
        </w:trPr>
        <w:tc>
          <w:tcPr>
            <w:tcW w:w="8246" w:type="dxa"/>
            <w:gridSpan w:val="4"/>
          </w:tcPr>
          <w:p w:rsidR="0058445E" w:rsidRPr="0058445E" w:rsidRDefault="0058445E" w:rsidP="00940B9A">
            <w:pPr>
              <w:ind w:left="0"/>
            </w:pPr>
            <w:r w:rsidRPr="0058445E">
              <w:t>Protocol defined stopping criteria</w:t>
            </w:r>
            <w:r w:rsidR="00837F98">
              <w:t xml:space="preserve"> n (%)</w:t>
            </w:r>
          </w:p>
        </w:tc>
      </w:tr>
      <w:tr w:rsidR="0058445E" w:rsidRPr="0058445E" w:rsidTr="00033028">
        <w:trPr>
          <w:trHeight w:val="486"/>
        </w:trPr>
        <w:tc>
          <w:tcPr>
            <w:tcW w:w="2515" w:type="dxa"/>
          </w:tcPr>
          <w:p w:rsidR="0058445E" w:rsidRPr="0058445E" w:rsidRDefault="0058445E" w:rsidP="00940B9A">
            <w:pPr>
              <w:ind w:left="0"/>
            </w:pPr>
            <w:r w:rsidRPr="0058445E">
              <w:t>ECG abnormality</w:t>
            </w:r>
          </w:p>
        </w:tc>
        <w:tc>
          <w:tcPr>
            <w:tcW w:w="1876" w:type="dxa"/>
          </w:tcPr>
          <w:p w:rsidR="0058445E" w:rsidRPr="0058445E" w:rsidRDefault="0058445E" w:rsidP="00940B9A">
            <w:pPr>
              <w:ind w:left="37"/>
            </w:pPr>
            <w:r w:rsidRPr="0058445E">
              <w:t>0</w:t>
            </w:r>
          </w:p>
        </w:tc>
        <w:tc>
          <w:tcPr>
            <w:tcW w:w="1877" w:type="dxa"/>
          </w:tcPr>
          <w:p w:rsidR="0058445E" w:rsidRPr="0058445E" w:rsidRDefault="0058445E" w:rsidP="00940B9A">
            <w:pPr>
              <w:ind w:left="4"/>
            </w:pPr>
            <w:r w:rsidRPr="0058445E">
              <w:t>13 (6)</w:t>
            </w:r>
          </w:p>
        </w:tc>
        <w:tc>
          <w:tcPr>
            <w:tcW w:w="1977" w:type="dxa"/>
          </w:tcPr>
          <w:p w:rsidR="0058445E" w:rsidRPr="0058445E" w:rsidRDefault="0058445E" w:rsidP="00940B9A">
            <w:pPr>
              <w:ind w:left="0"/>
            </w:pPr>
            <w:r w:rsidRPr="0058445E">
              <w:t>12 (5)</w:t>
            </w:r>
          </w:p>
        </w:tc>
      </w:tr>
      <w:tr w:rsidR="0058445E" w:rsidRPr="0058445E" w:rsidTr="00033028">
        <w:trPr>
          <w:trHeight w:val="486"/>
        </w:trPr>
        <w:tc>
          <w:tcPr>
            <w:tcW w:w="2515" w:type="dxa"/>
          </w:tcPr>
          <w:p w:rsidR="0058445E" w:rsidRPr="0058445E" w:rsidRDefault="0058445E" w:rsidP="00940B9A">
            <w:pPr>
              <w:ind w:left="0"/>
            </w:pPr>
            <w:r w:rsidRPr="0058445E">
              <w:t>Holter abnormality</w:t>
            </w:r>
          </w:p>
        </w:tc>
        <w:tc>
          <w:tcPr>
            <w:tcW w:w="1876" w:type="dxa"/>
          </w:tcPr>
          <w:p w:rsidR="0058445E" w:rsidRPr="0058445E" w:rsidRDefault="0058445E" w:rsidP="00940B9A">
            <w:pPr>
              <w:ind w:left="37"/>
            </w:pPr>
            <w:r w:rsidRPr="0058445E">
              <w:t>8 (7)</w:t>
            </w:r>
          </w:p>
        </w:tc>
        <w:tc>
          <w:tcPr>
            <w:tcW w:w="1877" w:type="dxa"/>
          </w:tcPr>
          <w:p w:rsidR="0058445E" w:rsidRPr="0058445E" w:rsidRDefault="0058445E" w:rsidP="00940B9A">
            <w:pPr>
              <w:ind w:left="4"/>
            </w:pPr>
            <w:r w:rsidRPr="0058445E">
              <w:t>26 (12)</w:t>
            </w:r>
          </w:p>
        </w:tc>
        <w:tc>
          <w:tcPr>
            <w:tcW w:w="1977" w:type="dxa"/>
          </w:tcPr>
          <w:p w:rsidR="0058445E" w:rsidRPr="0058445E" w:rsidRDefault="0058445E" w:rsidP="00940B9A">
            <w:pPr>
              <w:ind w:left="0"/>
            </w:pPr>
            <w:r w:rsidRPr="0058445E">
              <w:t>26 (11)</w:t>
            </w:r>
          </w:p>
        </w:tc>
      </w:tr>
    </w:tbl>
    <w:p w:rsidR="00296D72" w:rsidRPr="00410A65" w:rsidRDefault="00296D72" w:rsidP="001D05AF">
      <w:r w:rsidRPr="00410A65">
        <w:t>In summary, cardiovascular safety analyses based on the integrated COPD study dat</w:t>
      </w:r>
      <w:r w:rsidR="00B83313">
        <w:t xml:space="preserve">abase and the long </w:t>
      </w:r>
      <w:r w:rsidRPr="00410A65">
        <w:t xml:space="preserve">term safety trial were unremarkable. An imbalance for cardiac </w:t>
      </w:r>
      <w:proofErr w:type="spellStart"/>
      <w:r w:rsidR="0058445E">
        <w:t>ischaemia</w:t>
      </w:r>
      <w:proofErr w:type="spellEnd"/>
      <w:r w:rsidR="0058445E">
        <w:t xml:space="preserve"> was seen in the Phase III</w:t>
      </w:r>
      <w:r w:rsidRPr="00410A65">
        <w:t xml:space="preserve"> efficacy trial</w:t>
      </w:r>
      <w:r w:rsidR="0058445E">
        <w:t xml:space="preserve">s (24 weeks), but not in the 12 </w:t>
      </w:r>
      <w:r w:rsidRPr="00410A65">
        <w:t>month safety trial or in the larger integrated, COPD safety database. However, differential withdrawal for protocol-specified ECG and H</w:t>
      </w:r>
      <w:r w:rsidR="000E426F">
        <w:t xml:space="preserve">olter abnormalities in the long </w:t>
      </w:r>
      <w:r w:rsidRPr="00410A65">
        <w:t xml:space="preserve">term safety </w:t>
      </w:r>
      <w:proofErr w:type="gramStart"/>
      <w:r w:rsidRPr="00410A65">
        <w:t>trial,</w:t>
      </w:r>
      <w:proofErr w:type="gramEnd"/>
      <w:r w:rsidRPr="00410A65">
        <w:t xml:space="preserve"> complicates the interpretation of these data.</w:t>
      </w:r>
    </w:p>
    <w:p w:rsidR="007B6132" w:rsidRPr="00502EAA" w:rsidRDefault="007B6132" w:rsidP="001D05AF">
      <w:pPr>
        <w:pStyle w:val="Heading4"/>
      </w:pPr>
      <w:r w:rsidRPr="00502EAA">
        <w:lastRenderedPageBreak/>
        <w:t>Clin</w:t>
      </w:r>
      <w:r w:rsidR="00502EAA" w:rsidRPr="00502EAA">
        <w:t>ical evaluator’s recommendation</w:t>
      </w:r>
    </w:p>
    <w:p w:rsidR="00502EAA" w:rsidRPr="00502EAA" w:rsidRDefault="00502EAA" w:rsidP="00940B9A">
      <w:r w:rsidRPr="00502EAA">
        <w:t>The clinical evaluator recommended that the application for the registration of UMEC/VI 62.5/25 µg and 125/25 µg</w:t>
      </w:r>
      <w:r w:rsidRPr="00502EAA">
        <w:rPr>
          <w:vertAlign w:val="superscript"/>
        </w:rPr>
        <w:footnoteReference w:id="32"/>
      </w:r>
      <w:r w:rsidRPr="00502EAA">
        <w:rPr>
          <w:vertAlign w:val="superscript"/>
        </w:rPr>
        <w:t xml:space="preserve"> </w:t>
      </w:r>
      <w:r w:rsidRPr="00502EAA">
        <w:t xml:space="preserve">as a long term </w:t>
      </w:r>
      <w:r w:rsidR="001A50F1" w:rsidRPr="001A50F1">
        <w:t>once daily</w:t>
      </w:r>
      <w:r w:rsidRPr="00502EAA">
        <w:t xml:space="preserve"> maintenance bronchodilator treatment to relieve symptoms in adult patients with COPD be approved.</w:t>
      </w:r>
    </w:p>
    <w:p w:rsidR="008E7846" w:rsidRDefault="00386150" w:rsidP="00940B9A">
      <w:pPr>
        <w:pStyle w:val="Heading3"/>
        <w:rPr>
          <w:lang w:eastAsia="en-AU"/>
        </w:rPr>
      </w:pPr>
      <w:bookmarkStart w:id="148" w:name="_Toc420577625"/>
      <w:r>
        <w:rPr>
          <w:lang w:eastAsia="en-AU"/>
        </w:rPr>
        <w:t>Risk m</w:t>
      </w:r>
      <w:r w:rsidR="008E7846">
        <w:rPr>
          <w:lang w:eastAsia="en-AU"/>
        </w:rPr>
        <w:t xml:space="preserve">anagement </w:t>
      </w:r>
      <w:r>
        <w:rPr>
          <w:lang w:eastAsia="en-AU"/>
        </w:rPr>
        <w:t>p</w:t>
      </w:r>
      <w:r w:rsidR="008E7846">
        <w:rPr>
          <w:lang w:eastAsia="en-AU"/>
        </w:rPr>
        <w:t>lan</w:t>
      </w:r>
      <w:bookmarkEnd w:id="147"/>
      <w:bookmarkEnd w:id="148"/>
    </w:p>
    <w:p w:rsidR="00493E4F" w:rsidRPr="001104ED" w:rsidRDefault="00493E4F" w:rsidP="00940B9A">
      <w:bookmarkStart w:id="149" w:name="_Toc247691531"/>
      <w:bookmarkStart w:id="150" w:name="_Toc314842515"/>
      <w:bookmarkStart w:id="151" w:name="_Toc196046505"/>
      <w:bookmarkStart w:id="152" w:name="_Toc196046949"/>
      <w:r w:rsidRPr="001104ED">
        <w:t>The on-going safety concerns include the following:</w:t>
      </w:r>
    </w:p>
    <w:p w:rsidR="00493E4F" w:rsidRPr="001104ED" w:rsidRDefault="00493E4F" w:rsidP="00940B9A">
      <w:r w:rsidRPr="001104ED">
        <w:t>Potential risks:</w:t>
      </w:r>
    </w:p>
    <w:p w:rsidR="00493E4F" w:rsidRDefault="001104ED" w:rsidP="00940B9A">
      <w:pPr>
        <w:pStyle w:val="ListBullet"/>
      </w:pPr>
      <w:r>
        <w:t>Cardio</w:t>
      </w:r>
      <w:r w:rsidR="00493E4F" w:rsidRPr="001104ED">
        <w:t xml:space="preserve"> and Cerebrovascular disorders</w:t>
      </w:r>
    </w:p>
    <w:p w:rsidR="00933E0B" w:rsidRPr="001104ED" w:rsidRDefault="00933E0B" w:rsidP="00940B9A">
      <w:pPr>
        <w:pStyle w:val="ListBullet"/>
      </w:pPr>
      <w:r>
        <w:t>Asthma related intubations, hospitalisation and death</w:t>
      </w:r>
    </w:p>
    <w:p w:rsidR="00493E4F" w:rsidRPr="001104ED" w:rsidRDefault="00493E4F" w:rsidP="00940B9A">
      <w:pPr>
        <w:pStyle w:val="ListBullet"/>
      </w:pPr>
      <w:r w:rsidRPr="001104ED">
        <w:t>Paradoxical bronchospasm</w:t>
      </w:r>
    </w:p>
    <w:p w:rsidR="00493E4F" w:rsidRPr="001104ED" w:rsidRDefault="00493E4F" w:rsidP="00940B9A">
      <w:pPr>
        <w:pStyle w:val="ListBullet"/>
      </w:pPr>
      <w:r w:rsidRPr="001104ED">
        <w:t>Narrow angle glaucoma</w:t>
      </w:r>
    </w:p>
    <w:p w:rsidR="00493E4F" w:rsidRPr="001104ED" w:rsidRDefault="00493E4F" w:rsidP="00940B9A">
      <w:pPr>
        <w:pStyle w:val="ListBullet"/>
      </w:pPr>
      <w:r w:rsidRPr="001104ED">
        <w:t>Bladder outflow obstruction and urinary retention</w:t>
      </w:r>
    </w:p>
    <w:p w:rsidR="00493E4F" w:rsidRDefault="00493E4F" w:rsidP="00940B9A">
      <w:r w:rsidRPr="001104ED">
        <w:t>Missing information:</w:t>
      </w:r>
    </w:p>
    <w:p w:rsidR="00933E0B" w:rsidRDefault="00933E0B" w:rsidP="00940B9A">
      <w:pPr>
        <w:pStyle w:val="ListBullet"/>
      </w:pPr>
      <w:r>
        <w:t>Safety in pregnancy and lactation</w:t>
      </w:r>
    </w:p>
    <w:p w:rsidR="00933E0B" w:rsidRPr="001104ED" w:rsidRDefault="00933E0B" w:rsidP="00940B9A">
      <w:pPr>
        <w:pStyle w:val="ListBullet"/>
      </w:pPr>
      <w:r>
        <w:t>Off label use in Asthma (including paediatric use)</w:t>
      </w:r>
    </w:p>
    <w:p w:rsidR="00493E4F" w:rsidRPr="001104ED" w:rsidRDefault="00F705C7" w:rsidP="00940B9A">
      <w:pPr>
        <w:pStyle w:val="ListBullet"/>
      </w:pPr>
      <w:r>
        <w:t xml:space="preserve">Safety in long </w:t>
      </w:r>
      <w:r w:rsidR="00493E4F" w:rsidRPr="001104ED">
        <w:t>term use</w:t>
      </w:r>
    </w:p>
    <w:p w:rsidR="00493E4F" w:rsidRPr="001104ED" w:rsidRDefault="00493E4F" w:rsidP="00940B9A">
      <w:pPr>
        <w:pStyle w:val="ListBullet"/>
      </w:pPr>
      <w:r w:rsidRPr="001104ED">
        <w:t>Safety in subjects</w:t>
      </w:r>
      <w:r w:rsidR="00671DD7" w:rsidRPr="001104ED">
        <w:t xml:space="preserve"> with severe hepatic impairment</w:t>
      </w:r>
      <w:r w:rsidR="007831A2">
        <w:t>.</w:t>
      </w:r>
    </w:p>
    <w:p w:rsidR="00493E4F" w:rsidRPr="001104ED" w:rsidRDefault="000E426F" w:rsidP="00940B9A">
      <w:r>
        <w:t xml:space="preserve">A post </w:t>
      </w:r>
      <w:r w:rsidR="00493E4F" w:rsidRPr="001104ED">
        <w:t>authorisation safety study for UMEC/VI is planned Europe (Poland, France, Germany, Spain, the Netherlands, Belgium</w:t>
      </w:r>
      <w:r w:rsidR="0053140B">
        <w:t xml:space="preserve"> and non-EU countries)</w:t>
      </w:r>
      <w:r w:rsidR="00493E4F" w:rsidRPr="001104ED">
        <w:t>. The planne</w:t>
      </w:r>
      <w:r>
        <w:t>d sample size is 4000 patients.</w:t>
      </w:r>
    </w:p>
    <w:p w:rsidR="00493E4F" w:rsidRPr="001104ED" w:rsidRDefault="00493E4F" w:rsidP="00940B9A">
      <w:pPr>
        <w:pStyle w:val="Heading5"/>
      </w:pPr>
      <w:r w:rsidRPr="001104ED">
        <w:t>ACSOM</w:t>
      </w:r>
      <w:r w:rsidR="00F705C7">
        <w:t xml:space="preserve"> advice</w:t>
      </w:r>
    </w:p>
    <w:p w:rsidR="00493E4F" w:rsidRPr="001104ED" w:rsidRDefault="00493E4F" w:rsidP="00940B9A">
      <w:r w:rsidRPr="001104ED">
        <w:t xml:space="preserve">Members were concerned about the use of </w:t>
      </w:r>
      <w:r w:rsidR="00A54884">
        <w:t>UMEC</w:t>
      </w:r>
      <w:r w:rsidRPr="001104ED">
        <w:t>/</w:t>
      </w:r>
      <w:r w:rsidR="00A54884">
        <w:t>VI</w:t>
      </w:r>
      <w:r w:rsidRPr="001104ED">
        <w:t xml:space="preserve"> in COPD patients with comorbid asthma. The use of a LAMA/LABA combination poses the risk of such patients receiving a LABA without an ICS which could increase the risk of asthma exacerbations, hospitalisations and intubations. The </w:t>
      </w:r>
      <w:r w:rsidR="007B5B7B">
        <w:t xml:space="preserve">committee advised that such off </w:t>
      </w:r>
      <w:r w:rsidRPr="001104ED">
        <w:t>label use would have to be man</w:t>
      </w:r>
      <w:r w:rsidR="00671DD7" w:rsidRPr="001104ED">
        <w:t>aged by the prescribing doctor.</w:t>
      </w:r>
    </w:p>
    <w:p w:rsidR="00493E4F" w:rsidRPr="001104ED" w:rsidRDefault="00493E4F" w:rsidP="00940B9A">
      <w:r w:rsidRPr="001104ED">
        <w:t>Members advised that the use of a LABA without an ICS carries significant increased risks when used in a paediatric population, includi</w:t>
      </w:r>
      <w:r w:rsidR="00671DD7" w:rsidRPr="001104ED">
        <w:t>ng an increased mortality rate.</w:t>
      </w:r>
    </w:p>
    <w:p w:rsidR="00493E4F" w:rsidRPr="001104ED" w:rsidRDefault="00493E4F" w:rsidP="00940B9A">
      <w:r w:rsidRPr="001104ED">
        <w:t xml:space="preserve">Members were also concerned that some parents or prescribers might view </w:t>
      </w:r>
      <w:proofErr w:type="spellStart"/>
      <w:r w:rsidRPr="001104ED">
        <w:t>A</w:t>
      </w:r>
      <w:r w:rsidR="00B83313" w:rsidRPr="001104ED">
        <w:t>noro</w:t>
      </w:r>
      <w:proofErr w:type="spellEnd"/>
      <w:r w:rsidRPr="001104ED">
        <w:t xml:space="preserve"> as an attractive product to use off-label in children with asthma (to avoid the adverse effects of ICS).</w:t>
      </w:r>
    </w:p>
    <w:p w:rsidR="008E7846" w:rsidRDefault="00AA0ED0" w:rsidP="00940B9A">
      <w:pPr>
        <w:pStyle w:val="Heading3"/>
      </w:pPr>
      <w:bookmarkStart w:id="153" w:name="_Toc420577626"/>
      <w:r>
        <w:t>Risk-benefit a</w:t>
      </w:r>
      <w:r w:rsidR="008E7846">
        <w:t>nalysis</w:t>
      </w:r>
      <w:bookmarkEnd w:id="149"/>
      <w:bookmarkEnd w:id="150"/>
      <w:bookmarkEnd w:id="153"/>
    </w:p>
    <w:p w:rsidR="00D23139" w:rsidRDefault="00D23139" w:rsidP="00940B9A">
      <w:pPr>
        <w:pStyle w:val="Heading4"/>
      </w:pPr>
      <w:r w:rsidRPr="00D23139">
        <w:t xml:space="preserve">Delegate’s considerations </w:t>
      </w:r>
    </w:p>
    <w:p w:rsidR="00345296" w:rsidRPr="00345296" w:rsidRDefault="00345296" w:rsidP="00940B9A">
      <w:r w:rsidRPr="00345296">
        <w:t xml:space="preserve">UMEC/VI 62.5/25 </w:t>
      </w:r>
      <w:r w:rsidR="00FC0A6F">
        <w:t>µg</w:t>
      </w:r>
      <w:r w:rsidR="007B5B7B">
        <w:t xml:space="preserve"> showed a placebo </w:t>
      </w:r>
      <w:r w:rsidRPr="00345296">
        <w:t>subtracted improvement in trough FEV</w:t>
      </w:r>
      <w:r w:rsidRPr="007B5B7B">
        <w:t>1</w:t>
      </w:r>
      <w:r w:rsidRPr="00345296">
        <w:t>, at the end of 6 months, of about 170</w:t>
      </w:r>
      <w:r w:rsidR="007B5B7B">
        <w:t xml:space="preserve"> </w:t>
      </w:r>
      <w:r w:rsidR="00F705C7">
        <w:t>mL</w:t>
      </w:r>
      <w:r w:rsidRPr="00345296">
        <w:t>; this is likely to translate into benefit for COPD patients. Also, the Phase</w:t>
      </w:r>
      <w:r w:rsidR="007B5B7B">
        <w:t xml:space="preserve"> III </w:t>
      </w:r>
      <w:r w:rsidRPr="00345296">
        <w:t xml:space="preserve">trials show that each of the components of </w:t>
      </w:r>
      <w:r w:rsidRPr="00F705C7">
        <w:t xml:space="preserve">the FDC product </w:t>
      </w:r>
      <w:r w:rsidRPr="00345296">
        <w:t xml:space="preserve">makes a </w:t>
      </w:r>
      <w:r w:rsidRPr="00345296">
        <w:lastRenderedPageBreak/>
        <w:t>contribution to the treatment effect of the combination. Secondary endpoints were supportive.</w:t>
      </w:r>
    </w:p>
    <w:p w:rsidR="00345296" w:rsidRPr="00345296" w:rsidRDefault="00345296" w:rsidP="00940B9A">
      <w:r w:rsidRPr="00345296">
        <w:t xml:space="preserve">Therefore, at this point in time and pending ACPM advice, </w:t>
      </w:r>
      <w:r w:rsidR="001104ED">
        <w:t>the Delegate’s</w:t>
      </w:r>
      <w:r w:rsidRPr="00345296">
        <w:t xml:space="preserve"> view is that the efficacy of </w:t>
      </w:r>
      <w:proofErr w:type="spellStart"/>
      <w:r w:rsidRPr="00345296">
        <w:t>A</w:t>
      </w:r>
      <w:r w:rsidR="001104ED" w:rsidRPr="00345296">
        <w:t>noro</w:t>
      </w:r>
      <w:proofErr w:type="spellEnd"/>
      <w:r w:rsidRPr="00345296">
        <w:t xml:space="preserve"> </w:t>
      </w:r>
      <w:proofErr w:type="spellStart"/>
      <w:r w:rsidRPr="00345296">
        <w:t>E</w:t>
      </w:r>
      <w:r w:rsidR="001104ED" w:rsidRPr="00345296">
        <w:t>llipta</w:t>
      </w:r>
      <w:proofErr w:type="spellEnd"/>
      <w:r w:rsidRPr="00345296">
        <w:t xml:space="preserve"> has been satisfactorily established.</w:t>
      </w:r>
    </w:p>
    <w:p w:rsidR="00345296" w:rsidRDefault="00345296" w:rsidP="00940B9A">
      <w:r w:rsidRPr="00345296">
        <w:t>P</w:t>
      </w:r>
      <w:r w:rsidR="000E426F">
        <w:t xml:space="preserve">atients with COPD often have co </w:t>
      </w:r>
      <w:r w:rsidRPr="00345296">
        <w:t xml:space="preserve">existing cardiovascular problems. </w:t>
      </w:r>
      <w:r w:rsidR="000E426F">
        <w:t>The Delegate’s</w:t>
      </w:r>
      <w:r w:rsidRPr="00345296">
        <w:t xml:space="preserve"> view, at this point in time and pending ACPM advice, is that the imbalance for cardiac ischaemic from the four Phase</w:t>
      </w:r>
      <w:r w:rsidR="000E426F">
        <w:t xml:space="preserve"> III</w:t>
      </w:r>
      <w:r w:rsidRPr="00345296">
        <w:t xml:space="preserve"> efficacy</w:t>
      </w:r>
      <w:r w:rsidR="000E426F">
        <w:t xml:space="preserve"> trials (but not seen in the 52 </w:t>
      </w:r>
      <w:r w:rsidRPr="00345296">
        <w:t>week safety trial, with the caveat that patients with ECG or Holter abnormalities were discontinued), does not warrant rejection of registration. However,</w:t>
      </w:r>
      <w:r w:rsidR="000E426F">
        <w:t xml:space="preserve"> it does warrant further follow up via post </w:t>
      </w:r>
      <w:r w:rsidRPr="00345296">
        <w:t>marketing studies, as planned by the sponsor.</w:t>
      </w:r>
    </w:p>
    <w:p w:rsidR="00D23139" w:rsidRPr="00CF6510" w:rsidRDefault="00D23139" w:rsidP="001D05AF">
      <w:pPr>
        <w:pStyle w:val="Heading4"/>
      </w:pPr>
      <w:r w:rsidRPr="001D05AF">
        <w:t>Proposed</w:t>
      </w:r>
      <w:r w:rsidRPr="00CF6510">
        <w:t xml:space="preserve"> action</w:t>
      </w:r>
    </w:p>
    <w:p w:rsidR="00F136D3" w:rsidRPr="00CF6510" w:rsidRDefault="00A55F8B" w:rsidP="00940B9A">
      <w:r>
        <w:t>The Delegate had</w:t>
      </w:r>
      <w:r w:rsidR="00F136D3" w:rsidRPr="00CF6510">
        <w:t xml:space="preserve"> no reason to say, </w:t>
      </w:r>
      <w:r>
        <w:t xml:space="preserve">(at this time) </w:t>
      </w:r>
      <w:r w:rsidR="00F136D3" w:rsidRPr="00CF6510">
        <w:t xml:space="preserve">that the application for </w:t>
      </w:r>
      <w:proofErr w:type="spellStart"/>
      <w:r w:rsidR="00F136D3" w:rsidRPr="00CF6510">
        <w:t>A</w:t>
      </w:r>
      <w:r>
        <w:t>noro</w:t>
      </w:r>
      <w:proofErr w:type="spellEnd"/>
      <w:r w:rsidR="00F136D3" w:rsidRPr="00CF6510">
        <w:t xml:space="preserve"> </w:t>
      </w:r>
      <w:proofErr w:type="spellStart"/>
      <w:r w:rsidR="00F136D3" w:rsidRPr="00CF6510">
        <w:t>E</w:t>
      </w:r>
      <w:r w:rsidRPr="00CF6510">
        <w:t>llipta</w:t>
      </w:r>
      <w:proofErr w:type="spellEnd"/>
      <w:r w:rsidR="00F136D3" w:rsidRPr="00CF6510">
        <w:t xml:space="preserve"> should no</w:t>
      </w:r>
      <w:r w:rsidR="00F705C7">
        <w:t>t be approved for registration.</w:t>
      </w:r>
    </w:p>
    <w:p w:rsidR="00F705C7" w:rsidRPr="00F136D3" w:rsidRDefault="00F705C7" w:rsidP="00940B9A">
      <w:pPr>
        <w:pStyle w:val="Heading5"/>
      </w:pPr>
      <w:r>
        <w:t>Proposed c</w:t>
      </w:r>
      <w:r w:rsidRPr="00F136D3">
        <w:t>onditions of registration</w:t>
      </w:r>
    </w:p>
    <w:p w:rsidR="00F136D3" w:rsidRPr="00F136D3" w:rsidRDefault="00F136D3" w:rsidP="00940B9A">
      <w:pPr>
        <w:pStyle w:val="ListBullet"/>
      </w:pPr>
      <w:r w:rsidRPr="00F136D3">
        <w:t>The European Risk Management Plan Version 3.0 (dated 14 October 2013), with an Australian Specific Annex (ASA) Version: 2.0 (undated), to be revised as specified in the sponsor’s correspondence dated 4 December 2013 and to the satisfaction of the TGA, must be implemented.</w:t>
      </w:r>
    </w:p>
    <w:p w:rsidR="00F136D3" w:rsidRPr="00F136D3" w:rsidRDefault="00F136D3" w:rsidP="00940B9A">
      <w:pPr>
        <w:pStyle w:val="ListBullet"/>
      </w:pPr>
      <w:r w:rsidRPr="00F136D3">
        <w:t>Any post marketing studies must be submitted to the TGA for evaluation as soon as results are available.</w:t>
      </w:r>
    </w:p>
    <w:p w:rsidR="00D23139" w:rsidRDefault="00D23139" w:rsidP="00940B9A">
      <w:pPr>
        <w:pStyle w:val="Heading4"/>
      </w:pPr>
      <w:r w:rsidRPr="00D23139">
        <w:t>Request for ACPM advice</w:t>
      </w:r>
    </w:p>
    <w:p w:rsidR="00F136D3" w:rsidRPr="006309FD" w:rsidRDefault="00F136D3" w:rsidP="00940B9A">
      <w:r w:rsidRPr="006309FD">
        <w:t xml:space="preserve">The Delegate proposed to seek general advice on this application from the </w:t>
      </w:r>
      <w:r w:rsidR="00F705C7">
        <w:t>ACPM</w:t>
      </w:r>
      <w:r w:rsidRPr="006309FD">
        <w:t xml:space="preserve"> and to request the committee provide advice on the following specific issue</w:t>
      </w:r>
      <w:r>
        <w:t>s</w:t>
      </w:r>
      <w:r w:rsidRPr="006309FD">
        <w:t>:</w:t>
      </w:r>
    </w:p>
    <w:p w:rsidR="00345296" w:rsidRPr="00F705C7" w:rsidRDefault="00345296" w:rsidP="00940B9A">
      <w:pPr>
        <w:pStyle w:val="Numberbullet0"/>
        <w:numPr>
          <w:ilvl w:val="0"/>
          <w:numId w:val="11"/>
        </w:numPr>
      </w:pPr>
      <w:r w:rsidRPr="00F705C7">
        <w:t>Is the ACPM satisfied that efficacy has been satisfactorily established?</w:t>
      </w:r>
    </w:p>
    <w:p w:rsidR="00345296" w:rsidRPr="00F705C7" w:rsidRDefault="00345296" w:rsidP="00940B9A">
      <w:pPr>
        <w:pStyle w:val="Numberbullet0"/>
        <w:numPr>
          <w:ilvl w:val="0"/>
          <w:numId w:val="11"/>
        </w:numPr>
      </w:pPr>
      <w:r w:rsidRPr="00F705C7">
        <w:t xml:space="preserve">Does the ACPM have any safety concerns about </w:t>
      </w:r>
      <w:proofErr w:type="spellStart"/>
      <w:r w:rsidRPr="00F705C7">
        <w:t>A</w:t>
      </w:r>
      <w:r w:rsidR="00F705C7">
        <w:t>noro</w:t>
      </w:r>
      <w:proofErr w:type="spellEnd"/>
      <w:r w:rsidR="00F705C7">
        <w:t xml:space="preserve"> </w:t>
      </w:r>
      <w:r w:rsidRPr="00F705C7">
        <w:t>that would preclude registration?</w:t>
      </w:r>
    </w:p>
    <w:p w:rsidR="00345296" w:rsidRPr="00345296" w:rsidRDefault="00671DD7" w:rsidP="00940B9A">
      <w:pPr>
        <w:pStyle w:val="Heading4"/>
      </w:pPr>
      <w:r>
        <w:t xml:space="preserve">Response from </w:t>
      </w:r>
      <w:r w:rsidR="007831A2">
        <w:t>s</w:t>
      </w:r>
      <w:r>
        <w:t>ponsor</w:t>
      </w:r>
    </w:p>
    <w:p w:rsidR="00345296" w:rsidRPr="007F43CA" w:rsidRDefault="00671DD7" w:rsidP="00940B9A">
      <w:pPr>
        <w:pStyle w:val="Heading5"/>
      </w:pPr>
      <w:r w:rsidRPr="007F43CA">
        <w:t xml:space="preserve">Executive </w:t>
      </w:r>
      <w:r w:rsidR="00940B9A">
        <w:t>s</w:t>
      </w:r>
      <w:r w:rsidRPr="007F43CA">
        <w:t>ummary</w:t>
      </w:r>
    </w:p>
    <w:p w:rsidR="00345296" w:rsidRPr="00EB06F3" w:rsidRDefault="00EB06F3" w:rsidP="00940B9A">
      <w:r>
        <w:t>The company</w:t>
      </w:r>
      <w:r w:rsidR="007B5B7B" w:rsidRPr="00EB06F3">
        <w:t xml:space="preserve"> welcomes the</w:t>
      </w:r>
      <w:r w:rsidR="00345296" w:rsidRPr="00EB06F3">
        <w:t xml:space="preserve"> Delegate’s recommendation to approve the registration of </w:t>
      </w:r>
      <w:proofErr w:type="spellStart"/>
      <w:r w:rsidR="00345296" w:rsidRPr="00EB06F3">
        <w:t>Anoro</w:t>
      </w:r>
      <w:proofErr w:type="spellEnd"/>
      <w:r w:rsidR="00345296" w:rsidRPr="00EB06F3">
        <w:t xml:space="preserve"> </w:t>
      </w:r>
      <w:proofErr w:type="spellStart"/>
      <w:r w:rsidR="00345296" w:rsidRPr="00EB06F3">
        <w:t>Ellipt</w:t>
      </w:r>
      <w:r w:rsidR="00671DD7" w:rsidRPr="00EB06F3">
        <w:t>a</w:t>
      </w:r>
      <w:proofErr w:type="spellEnd"/>
      <w:r w:rsidR="00671DD7" w:rsidRPr="00EB06F3">
        <w:t xml:space="preserve"> for the following indication:</w:t>
      </w:r>
    </w:p>
    <w:p w:rsidR="00345296" w:rsidRPr="00CF6510" w:rsidRDefault="00345296" w:rsidP="00940B9A">
      <w:pPr>
        <w:ind w:left="284"/>
        <w:rPr>
          <w:i/>
        </w:rPr>
      </w:pPr>
      <w:r w:rsidRPr="00CF6510">
        <w:rPr>
          <w:i/>
        </w:rPr>
        <w:t>“</w:t>
      </w:r>
      <w:proofErr w:type="spellStart"/>
      <w:r w:rsidRPr="00CF6510">
        <w:rPr>
          <w:i/>
        </w:rPr>
        <w:t>Anoro</w:t>
      </w:r>
      <w:proofErr w:type="spellEnd"/>
      <w:r w:rsidRPr="00CF6510">
        <w:rPr>
          <w:i/>
        </w:rPr>
        <w:t xml:space="preserve"> </w:t>
      </w:r>
      <w:proofErr w:type="spellStart"/>
      <w:r w:rsidRPr="00CF6510">
        <w:rPr>
          <w:i/>
        </w:rPr>
        <w:t>Ellipta</w:t>
      </w:r>
      <w:proofErr w:type="spellEnd"/>
      <w:r w:rsidRPr="00CF6510">
        <w:rPr>
          <w:i/>
        </w:rPr>
        <w:t xml:space="preserve"> is indicated as a long-term </w:t>
      </w:r>
      <w:r w:rsidR="001A50F1" w:rsidRPr="001A50F1">
        <w:rPr>
          <w:i/>
        </w:rPr>
        <w:t>once daily</w:t>
      </w:r>
      <w:r w:rsidRPr="00CF6510">
        <w:rPr>
          <w:i/>
        </w:rPr>
        <w:t xml:space="preserve"> maintenance bronchodilator treatment to relieve symptoms in adult patients with chronic obstruc</w:t>
      </w:r>
      <w:r w:rsidR="00671DD7" w:rsidRPr="00CF6510">
        <w:rPr>
          <w:i/>
        </w:rPr>
        <w:t>tive pulmonary disease (COPD).”</w:t>
      </w:r>
    </w:p>
    <w:p w:rsidR="00345296" w:rsidRPr="00EB06F3" w:rsidRDefault="00345296" w:rsidP="00940B9A">
      <w:r w:rsidRPr="00EB06F3">
        <w:t>This reco</w:t>
      </w:r>
      <w:r w:rsidR="00F705C7">
        <w:t>mmendation is supported by the clinical e</w:t>
      </w:r>
      <w:r w:rsidRPr="00EB06F3">
        <w:t xml:space="preserve">valuator who has concluded that “the benefit-risk balance of UMEC/VI, given the proposed usage, is favourable” and recommended that the registration of </w:t>
      </w:r>
      <w:proofErr w:type="spellStart"/>
      <w:r w:rsidRPr="00EB06F3">
        <w:t>Anoro</w:t>
      </w:r>
      <w:proofErr w:type="spellEnd"/>
      <w:r w:rsidRPr="00EB06F3">
        <w:t xml:space="preserve"> </w:t>
      </w:r>
      <w:proofErr w:type="spellStart"/>
      <w:r w:rsidRPr="00EB06F3">
        <w:t>Ellipta</w:t>
      </w:r>
      <w:proofErr w:type="spellEnd"/>
      <w:r w:rsidRPr="00EB06F3">
        <w:t xml:space="preserve"> be approved</w:t>
      </w:r>
      <w:r w:rsidR="00671DD7" w:rsidRPr="00EB06F3">
        <w:t>.</w:t>
      </w:r>
    </w:p>
    <w:p w:rsidR="00345296" w:rsidRPr="00EB06F3" w:rsidRDefault="00345296" w:rsidP="00940B9A">
      <w:r w:rsidRPr="00EB06F3">
        <w:t xml:space="preserve">The efficacy of </w:t>
      </w:r>
      <w:proofErr w:type="spellStart"/>
      <w:r w:rsidRPr="00EB06F3">
        <w:t>Anoro</w:t>
      </w:r>
      <w:proofErr w:type="spellEnd"/>
      <w:r w:rsidRPr="00EB06F3">
        <w:t xml:space="preserve"> </w:t>
      </w:r>
      <w:proofErr w:type="spellStart"/>
      <w:r w:rsidRPr="00EB06F3">
        <w:t>Ellipta</w:t>
      </w:r>
      <w:proofErr w:type="spellEnd"/>
      <w:r w:rsidRPr="00EB06F3">
        <w:t xml:space="preserve"> (also referred to as UMEC/VI 62.5/25 </w:t>
      </w:r>
      <w:r w:rsidR="00FC0A6F" w:rsidRPr="00EB06F3">
        <w:t>µg</w:t>
      </w:r>
      <w:r w:rsidRPr="00EB06F3">
        <w:t xml:space="preserve">) was demonstrated across four Phase </w:t>
      </w:r>
      <w:r w:rsidR="007B5B7B" w:rsidRPr="00EB06F3">
        <w:t xml:space="preserve">III clinical studies, two placebo </w:t>
      </w:r>
      <w:r w:rsidRPr="00EB06F3">
        <w:t>co</w:t>
      </w:r>
      <w:r w:rsidR="007B5B7B" w:rsidRPr="00EB06F3">
        <w:t xml:space="preserve">ntrolled studies and two active </w:t>
      </w:r>
      <w:r w:rsidRPr="00EB06F3">
        <w:t xml:space="preserve">controlled studies where </w:t>
      </w:r>
      <w:proofErr w:type="spellStart"/>
      <w:r w:rsidRPr="00EB06F3">
        <w:t>Anoro</w:t>
      </w:r>
      <w:proofErr w:type="spellEnd"/>
      <w:r w:rsidRPr="00EB06F3">
        <w:t xml:space="preserve"> </w:t>
      </w:r>
      <w:proofErr w:type="spellStart"/>
      <w:r w:rsidRPr="00EB06F3">
        <w:t>Ellipta</w:t>
      </w:r>
      <w:proofErr w:type="spellEnd"/>
      <w:r w:rsidRPr="00EB06F3">
        <w:t xml:space="preserve"> demonstrated clinically meaningful improvements in lung function (trough FEV1) compared to placebo, the individual monotherapies and the active comparator </w:t>
      </w:r>
      <w:r w:rsidR="003476A7" w:rsidRPr="00EB06F3">
        <w:t>TIO</w:t>
      </w:r>
      <w:r w:rsidRPr="00EB06F3">
        <w:t xml:space="preserve">. </w:t>
      </w:r>
      <w:proofErr w:type="spellStart"/>
      <w:r w:rsidRPr="00EB06F3">
        <w:t>Anoro</w:t>
      </w:r>
      <w:proofErr w:type="spellEnd"/>
      <w:r w:rsidRPr="00EB06F3">
        <w:t xml:space="preserve"> </w:t>
      </w:r>
      <w:proofErr w:type="spellStart"/>
      <w:r w:rsidRPr="00EB06F3">
        <w:t>Ellipta</w:t>
      </w:r>
      <w:proofErr w:type="spellEnd"/>
      <w:r w:rsidRPr="00EB06F3">
        <w:t xml:space="preserve"> has also demonstrated improved symptoms of dyspnoea (measured by TDI scores) and improved health outcomes (measured by SGRQ) compared to placebo providing additional evidence of beneficial effect.</w:t>
      </w:r>
    </w:p>
    <w:p w:rsidR="00345296" w:rsidRPr="00EB06F3" w:rsidRDefault="00345296" w:rsidP="00940B9A">
      <w:r w:rsidRPr="00EB06F3">
        <w:lastRenderedPageBreak/>
        <w:t xml:space="preserve">The safety profile for </w:t>
      </w:r>
      <w:proofErr w:type="spellStart"/>
      <w:r w:rsidRPr="00EB06F3">
        <w:t>Anoro</w:t>
      </w:r>
      <w:proofErr w:type="spellEnd"/>
      <w:r w:rsidRPr="00EB06F3">
        <w:t xml:space="preserve"> </w:t>
      </w:r>
      <w:proofErr w:type="spellStart"/>
      <w:r w:rsidRPr="00EB06F3">
        <w:t>Ellipta</w:t>
      </w:r>
      <w:proofErr w:type="spellEnd"/>
      <w:r w:rsidRPr="00EB06F3">
        <w:t xml:space="preserve"> is based on 2,454 patients with COPD who received doses of UMEC/VI 62.5/25 </w:t>
      </w:r>
      <w:r w:rsidR="00FC0A6F" w:rsidRPr="00EB06F3">
        <w:t>µg</w:t>
      </w:r>
      <w:r w:rsidRPr="00EB06F3">
        <w:t xml:space="preserve"> or greater for up to one year during clinical studies. </w:t>
      </w:r>
      <w:proofErr w:type="spellStart"/>
      <w:r w:rsidRPr="00EB06F3">
        <w:t>Anoro</w:t>
      </w:r>
      <w:proofErr w:type="spellEnd"/>
      <w:r w:rsidRPr="00EB06F3">
        <w:t xml:space="preserve"> </w:t>
      </w:r>
      <w:proofErr w:type="spellStart"/>
      <w:r w:rsidRPr="00EB06F3">
        <w:t>Ellipta</w:t>
      </w:r>
      <w:proofErr w:type="spellEnd"/>
      <w:r w:rsidRPr="00EB06F3">
        <w:t xml:space="preserve"> was well tolerated with a similar incidence of </w:t>
      </w:r>
      <w:r w:rsidR="00CF6510">
        <w:t>AE</w:t>
      </w:r>
      <w:r w:rsidRPr="00EB06F3">
        <w:t xml:space="preserve"> across all treatment groups including placebo and there were no significant safety concerns. Overall, the </w:t>
      </w:r>
      <w:proofErr w:type="spellStart"/>
      <w:r w:rsidRPr="00EB06F3">
        <w:t>Anoro</w:t>
      </w:r>
      <w:proofErr w:type="spellEnd"/>
      <w:r w:rsidRPr="00EB06F3">
        <w:t xml:space="preserve"> </w:t>
      </w:r>
      <w:proofErr w:type="spellStart"/>
      <w:r w:rsidRPr="00EB06F3">
        <w:t>Ellipta</w:t>
      </w:r>
      <w:proofErr w:type="spellEnd"/>
      <w:r w:rsidRPr="00EB06F3">
        <w:t xml:space="preserve"> safety profile is unremarkable and as expected for a </w:t>
      </w:r>
      <w:r w:rsidR="006F0C0F" w:rsidRPr="00EB06F3">
        <w:t>LAMA/LABA</w:t>
      </w:r>
      <w:r w:rsidR="00671DD7" w:rsidRPr="00EB06F3">
        <w:t xml:space="preserve"> combination.</w:t>
      </w:r>
    </w:p>
    <w:p w:rsidR="00345296" w:rsidRPr="00EB06F3" w:rsidRDefault="00345296" w:rsidP="00940B9A">
      <w:r w:rsidRPr="00EB06F3">
        <w:t xml:space="preserve">In totality, the data from the </w:t>
      </w:r>
      <w:proofErr w:type="spellStart"/>
      <w:r w:rsidRPr="00EB06F3">
        <w:t>Anoro</w:t>
      </w:r>
      <w:proofErr w:type="spellEnd"/>
      <w:r w:rsidRPr="00EB06F3">
        <w:t xml:space="preserve"> </w:t>
      </w:r>
      <w:proofErr w:type="spellStart"/>
      <w:r w:rsidRPr="00EB06F3">
        <w:t>Ellipta</w:t>
      </w:r>
      <w:proofErr w:type="spellEnd"/>
      <w:r w:rsidRPr="00EB06F3">
        <w:t xml:space="preserve"> development progra</w:t>
      </w:r>
      <w:r w:rsidR="007B5B7B" w:rsidRPr="00EB06F3">
        <w:t xml:space="preserve">m supports a favourable benefit </w:t>
      </w:r>
      <w:r w:rsidRPr="00EB06F3">
        <w:t xml:space="preserve">risk assessment for the registration of </w:t>
      </w:r>
      <w:proofErr w:type="spellStart"/>
      <w:r w:rsidRPr="00EB06F3">
        <w:t>Anoro</w:t>
      </w:r>
      <w:proofErr w:type="spellEnd"/>
      <w:r w:rsidRPr="00EB06F3">
        <w:t xml:space="preserve"> </w:t>
      </w:r>
      <w:proofErr w:type="spellStart"/>
      <w:r w:rsidRPr="00EB06F3">
        <w:t>Ellipta</w:t>
      </w:r>
      <w:proofErr w:type="spellEnd"/>
      <w:r w:rsidRPr="00EB06F3">
        <w:t xml:space="preserve"> for treatment of patients with</w:t>
      </w:r>
      <w:r w:rsidR="00671DD7" w:rsidRPr="00EB06F3">
        <w:t xml:space="preserve"> COPD.</w:t>
      </w:r>
    </w:p>
    <w:p w:rsidR="00345296" w:rsidRPr="00EB06F3" w:rsidRDefault="00345296" w:rsidP="00940B9A">
      <w:proofErr w:type="spellStart"/>
      <w:r w:rsidRPr="00EB06F3">
        <w:t>Anoro</w:t>
      </w:r>
      <w:proofErr w:type="spellEnd"/>
      <w:r w:rsidRPr="00EB06F3">
        <w:t xml:space="preserve"> </w:t>
      </w:r>
      <w:proofErr w:type="spellStart"/>
      <w:r w:rsidRPr="00EB06F3">
        <w:t>Ellipta</w:t>
      </w:r>
      <w:proofErr w:type="spellEnd"/>
      <w:r w:rsidRPr="00EB06F3">
        <w:t xml:space="preserve"> received European Marketing Authorisation on 8 May 2014, and was approved by the US</w:t>
      </w:r>
      <w:r w:rsidR="003476A7" w:rsidRPr="00EB06F3">
        <w:t>A</w:t>
      </w:r>
      <w:r w:rsidRPr="00EB06F3">
        <w:t xml:space="preserve"> FDA on 18 December 2013, by Health Canada on 23 December 2013 and by N</w:t>
      </w:r>
      <w:r w:rsidR="00F705C7">
        <w:t xml:space="preserve">ew </w:t>
      </w:r>
      <w:r w:rsidRPr="00EB06F3">
        <w:t>Z</w:t>
      </w:r>
      <w:r w:rsidR="00F705C7">
        <w:t>ealand</w:t>
      </w:r>
      <w:r w:rsidRPr="00EB06F3">
        <w:t xml:space="preserve"> </w:t>
      </w:r>
      <w:proofErr w:type="spellStart"/>
      <w:r w:rsidRPr="00EB06F3">
        <w:t>Medsafe</w:t>
      </w:r>
      <w:proofErr w:type="spellEnd"/>
      <w:r w:rsidRPr="00EB06F3">
        <w:t xml:space="preserve"> on 20 March 2014 for indications similar to the one proposed for Austr</w:t>
      </w:r>
      <w:r w:rsidR="00EB06F3">
        <w:t>alia</w:t>
      </w:r>
      <w:r w:rsidR="00671DD7" w:rsidRPr="00EB06F3">
        <w:t>.</w:t>
      </w:r>
    </w:p>
    <w:p w:rsidR="00345296" w:rsidRPr="00345296" w:rsidRDefault="00671DD7" w:rsidP="00940B9A">
      <w:pPr>
        <w:pStyle w:val="Heading5"/>
      </w:pPr>
      <w:r>
        <w:t>Background</w:t>
      </w:r>
    </w:p>
    <w:p w:rsidR="00345296" w:rsidRPr="00EB06F3" w:rsidRDefault="00345296" w:rsidP="00940B9A">
      <w:proofErr w:type="spellStart"/>
      <w:r w:rsidRPr="00EB06F3">
        <w:t>Anoro</w:t>
      </w:r>
      <w:proofErr w:type="spellEnd"/>
      <w:r w:rsidRPr="00EB06F3">
        <w:t xml:space="preserve"> </w:t>
      </w:r>
      <w:proofErr w:type="spellStart"/>
      <w:r w:rsidRPr="00EB06F3">
        <w:t>Ellipta</w:t>
      </w:r>
      <w:proofErr w:type="spellEnd"/>
      <w:r w:rsidRPr="00EB06F3">
        <w:t xml:space="preserve"> is a </w:t>
      </w:r>
      <w:r w:rsidR="00F705C7" w:rsidRPr="00F705C7">
        <w:t>once daily</w:t>
      </w:r>
      <w:r w:rsidRPr="00EB06F3">
        <w:t xml:space="preserve"> fixed dose LAMA/LABA combination for oral inhalation. The rationale for development of a LAMA/LABA combination was based on the distinct and complementary mechanisms of action through which LAMA and LABA bronchodilators act to relax airway smooth muscle and improve airflow obstruction, thereby providing improved lung function</w:t>
      </w:r>
      <w:r w:rsidR="00F705C7">
        <w:t xml:space="preserve"> with the combination over long </w:t>
      </w:r>
      <w:r w:rsidRPr="00EB06F3">
        <w:t>acting bronchodilator monotherapy</w:t>
      </w:r>
      <w:r w:rsidR="00F82F3C">
        <w:t xml:space="preserve">. Additional benefits of a once </w:t>
      </w:r>
      <w:r w:rsidRPr="00EB06F3">
        <w:t xml:space="preserve">daily fixed dose LAMA/LABA combination are increased convenience and ease of use for patients, which will favour better adherence with treatments. Currently, there is only one other </w:t>
      </w:r>
      <w:r w:rsidR="00F705C7" w:rsidRPr="00F705C7">
        <w:t>once daily</w:t>
      </w:r>
      <w:r w:rsidRPr="00EB06F3">
        <w:t xml:space="preserve"> LAMA/LABA combination registered in Australia for the treatment of CO</w:t>
      </w:r>
      <w:r w:rsidR="00671DD7" w:rsidRPr="00EB06F3">
        <w:t xml:space="preserve">PD, </w:t>
      </w:r>
      <w:proofErr w:type="spellStart"/>
      <w:r w:rsidR="00671DD7" w:rsidRPr="00EB06F3">
        <w:t>glycopyrronium</w:t>
      </w:r>
      <w:proofErr w:type="spellEnd"/>
      <w:r w:rsidR="00671DD7" w:rsidRPr="00EB06F3">
        <w:t>/</w:t>
      </w:r>
      <w:proofErr w:type="spellStart"/>
      <w:r w:rsidR="00671DD7" w:rsidRPr="00EB06F3">
        <w:t>indacaterol</w:t>
      </w:r>
      <w:proofErr w:type="spellEnd"/>
      <w:r w:rsidR="00671DD7" w:rsidRPr="00EB06F3">
        <w:t>.</w:t>
      </w:r>
    </w:p>
    <w:p w:rsidR="00345296" w:rsidRPr="00EB06F3" w:rsidRDefault="00345296" w:rsidP="00940B9A">
      <w:proofErr w:type="spellStart"/>
      <w:r w:rsidRPr="00EB06F3">
        <w:t>Anoro</w:t>
      </w:r>
      <w:proofErr w:type="spellEnd"/>
      <w:r w:rsidRPr="00EB06F3">
        <w:t xml:space="preserve"> </w:t>
      </w:r>
      <w:proofErr w:type="spellStart"/>
      <w:r w:rsidRPr="00EB06F3">
        <w:t>Ellipta</w:t>
      </w:r>
      <w:proofErr w:type="spellEnd"/>
      <w:r w:rsidRPr="00EB06F3">
        <w:t xml:space="preserve"> complies with the European Guideline on Clinical Development of Fixed Combination Medicinal Products adopted by the TGA (CPMP/EWP/240/95 Rev1) and GSK’s fixed combination product justification was accepted by the TGA prior to t</w:t>
      </w:r>
      <w:r w:rsidR="00F705C7">
        <w:t>he submission for registration.</w:t>
      </w:r>
    </w:p>
    <w:p w:rsidR="00345296" w:rsidRDefault="00345296" w:rsidP="00940B9A">
      <w:r w:rsidRPr="00345296">
        <w:t xml:space="preserve">The registration application for </w:t>
      </w:r>
      <w:proofErr w:type="spellStart"/>
      <w:r w:rsidRPr="00345296">
        <w:t>Anoro</w:t>
      </w:r>
      <w:proofErr w:type="spellEnd"/>
      <w:r w:rsidRPr="00345296">
        <w:t xml:space="preserve"> </w:t>
      </w:r>
      <w:proofErr w:type="spellStart"/>
      <w:r w:rsidRPr="00345296">
        <w:t>Ellipta</w:t>
      </w:r>
      <w:proofErr w:type="spellEnd"/>
      <w:r w:rsidRPr="00345296">
        <w:t xml:space="preserve"> submitted to the TGA in April 2013 contained two strengths, UMEC/VI 62.5/25 </w:t>
      </w:r>
      <w:r w:rsidR="00FC0A6F">
        <w:t>µg</w:t>
      </w:r>
      <w:r w:rsidRPr="00345296">
        <w:t xml:space="preserve"> and UMEC/VI 125/25 </w:t>
      </w:r>
      <w:r w:rsidR="00FC0A6F">
        <w:t>µg</w:t>
      </w:r>
      <w:r w:rsidRPr="00345296">
        <w:t xml:space="preserve">. Both strengths of </w:t>
      </w:r>
      <w:proofErr w:type="spellStart"/>
      <w:r w:rsidR="00EE2A52">
        <w:t>Anoro</w:t>
      </w:r>
      <w:proofErr w:type="spellEnd"/>
      <w:r w:rsidR="00EE2A52">
        <w:t xml:space="preserve"> </w:t>
      </w:r>
      <w:proofErr w:type="spellStart"/>
      <w:r w:rsidR="00EE2A52">
        <w:t>Ellipta</w:t>
      </w:r>
      <w:proofErr w:type="spellEnd"/>
      <w:r w:rsidR="00EE2A52">
        <w:t xml:space="preserve"> studied in Phase III</w:t>
      </w:r>
      <w:r w:rsidRPr="00345296">
        <w:t xml:space="preserve"> were similar with regard to efficacy and safety, therefore after discussion with the US</w:t>
      </w:r>
      <w:r w:rsidR="003476A7">
        <w:t>A</w:t>
      </w:r>
      <w:r w:rsidRPr="00345296">
        <w:t xml:space="preserve">, EU and Canadian regulatory agencies, GSK decided to pursue registration of UMEC/VI 62.5/25 </w:t>
      </w:r>
      <w:r w:rsidR="00FC0A6F">
        <w:t>µg</w:t>
      </w:r>
      <w:r w:rsidRPr="00345296">
        <w:t xml:space="preserve"> only. GSK’s aim throughout the development program has been to identify the lowest effective dose that produces a meaningful and important clinical benefit whilst minimising adverse effects and UMEC/VI 62.5/25 </w:t>
      </w:r>
      <w:r w:rsidR="00FC0A6F">
        <w:t>µg</w:t>
      </w:r>
      <w:r w:rsidRPr="00345296">
        <w:t xml:space="preserve"> meets these requirements for the general population of COPD patients.</w:t>
      </w:r>
    </w:p>
    <w:p w:rsidR="003D5872" w:rsidRPr="003D5872" w:rsidRDefault="003D5872" w:rsidP="00940B9A">
      <w:pPr>
        <w:pStyle w:val="Heading5"/>
      </w:pPr>
      <w:r w:rsidRPr="003D5872">
        <w:t>Specific questions raised by the Delegate for ACPM’s advice</w:t>
      </w:r>
    </w:p>
    <w:p w:rsidR="0069294F" w:rsidRPr="001222B1" w:rsidRDefault="0069294F" w:rsidP="00940B9A">
      <w:pPr>
        <w:pStyle w:val="Heading6"/>
      </w:pPr>
      <w:r w:rsidRPr="001222B1">
        <w:t>1. Is the ACPM satisfied that efficacy has b</w:t>
      </w:r>
      <w:r w:rsidR="00671DD7" w:rsidRPr="001222B1">
        <w:t>een satisfactorily established?</w:t>
      </w:r>
    </w:p>
    <w:p w:rsidR="0069294F" w:rsidRDefault="003D5872" w:rsidP="00940B9A">
      <w:r w:rsidRPr="00940B9A">
        <w:rPr>
          <w:b/>
        </w:rPr>
        <w:t>Company</w:t>
      </w:r>
      <w:r w:rsidR="001222B1" w:rsidRPr="00940B9A">
        <w:rPr>
          <w:b/>
        </w:rPr>
        <w:t xml:space="preserve"> response</w:t>
      </w:r>
      <w:r w:rsidR="001222B1">
        <w:t>:</w:t>
      </w:r>
      <w:r w:rsidR="00940B9A">
        <w:t xml:space="preserve"> </w:t>
      </w:r>
      <w:r w:rsidR="0069294F" w:rsidRPr="0069294F">
        <w:t xml:space="preserve">The efficacy of </w:t>
      </w:r>
      <w:proofErr w:type="spellStart"/>
      <w:r w:rsidR="0069294F" w:rsidRPr="0069294F">
        <w:t>Anoro</w:t>
      </w:r>
      <w:proofErr w:type="spellEnd"/>
      <w:r w:rsidR="0069294F" w:rsidRPr="0069294F">
        <w:t xml:space="preserve"> </w:t>
      </w:r>
      <w:proofErr w:type="spellStart"/>
      <w:r w:rsidR="0069294F" w:rsidRPr="0069294F">
        <w:t>Ellipta</w:t>
      </w:r>
      <w:proofErr w:type="spellEnd"/>
      <w:r w:rsidR="0069294F" w:rsidRPr="0069294F">
        <w:t xml:space="preserve"> was </w:t>
      </w:r>
      <w:r w:rsidR="007B5B7B">
        <w:t xml:space="preserve">demonstrated across four Phase III clinical studies, two placebo </w:t>
      </w:r>
      <w:r w:rsidR="0069294F" w:rsidRPr="0069294F">
        <w:t>controlled studies (DB211</w:t>
      </w:r>
      <w:r w:rsidR="00814A70">
        <w:t xml:space="preserve">3361, DB2113373) and two active </w:t>
      </w:r>
      <w:r w:rsidR="0069294F" w:rsidRPr="0069294F">
        <w:t>controlled studies (DB2113374, DB2113360). It should b</w:t>
      </w:r>
      <w:r w:rsidR="007B5B7B">
        <w:t xml:space="preserve">e noted that one of the placebo </w:t>
      </w:r>
      <w:r w:rsidR="0069294F" w:rsidRPr="0069294F">
        <w:t xml:space="preserve">controlled studies examined the efficacy of UMEC/VI 125/25 </w:t>
      </w:r>
      <w:r w:rsidR="00FC0A6F">
        <w:t>µg</w:t>
      </w:r>
      <w:r w:rsidR="0069294F" w:rsidRPr="0069294F">
        <w:t xml:space="preserve"> and therefore the efficacy findings for this study are not discussed in this response (DB2113361).</w:t>
      </w:r>
    </w:p>
    <w:p w:rsidR="0069294F" w:rsidRDefault="0069294F" w:rsidP="001752EA">
      <w:r w:rsidRPr="0069294F">
        <w:t xml:space="preserve">Overall, the UMEC/VI development program has demonstrated that </w:t>
      </w:r>
      <w:proofErr w:type="spellStart"/>
      <w:r w:rsidRPr="0069294F">
        <w:t>Anoro</w:t>
      </w:r>
      <w:proofErr w:type="spellEnd"/>
      <w:r w:rsidRPr="0069294F">
        <w:t xml:space="preserve"> </w:t>
      </w:r>
      <w:proofErr w:type="spellStart"/>
      <w:r w:rsidRPr="0069294F">
        <w:t>Ellipta</w:t>
      </w:r>
      <w:proofErr w:type="spellEnd"/>
      <w:r w:rsidRPr="0069294F">
        <w:t xml:space="preserve"> provides clinically relevant efficacy, as defined by measures of lung function over 24 weeks of treatment when compared with placebo, the individual monotherap</w:t>
      </w:r>
      <w:r w:rsidR="003476A7">
        <w:t>ies, and the active comparator TIO</w:t>
      </w:r>
      <w:r w:rsidRPr="0069294F">
        <w:t xml:space="preserve"> in a broad range of patients with COPD. In addition to lung function, </w:t>
      </w:r>
      <w:proofErr w:type="spellStart"/>
      <w:r w:rsidRPr="0069294F">
        <w:t>Anoro</w:t>
      </w:r>
      <w:proofErr w:type="spellEnd"/>
      <w:r w:rsidRPr="0069294F">
        <w:t xml:space="preserve"> </w:t>
      </w:r>
      <w:proofErr w:type="spellStart"/>
      <w:r w:rsidRPr="0069294F">
        <w:t>Ellipta</w:t>
      </w:r>
      <w:proofErr w:type="spellEnd"/>
      <w:r w:rsidRPr="0069294F">
        <w:t xml:space="preserve"> has demonstrated improved symptoms of dyspnoea as measured by TDI scores and health outcomes as measured by SGRQ scores compared with placebo, thereby providing additional evidence of beneficial effect.</w:t>
      </w:r>
    </w:p>
    <w:p w:rsidR="0069294F" w:rsidRDefault="0069294F" w:rsidP="001752EA">
      <w:proofErr w:type="spellStart"/>
      <w:r w:rsidRPr="0069294F">
        <w:lastRenderedPageBreak/>
        <w:t>Anoro</w:t>
      </w:r>
      <w:proofErr w:type="spellEnd"/>
      <w:r w:rsidRPr="0069294F">
        <w:t xml:space="preserve"> </w:t>
      </w:r>
      <w:proofErr w:type="spellStart"/>
      <w:r w:rsidRPr="0069294F">
        <w:t>Ellipta</w:t>
      </w:r>
      <w:proofErr w:type="spellEnd"/>
      <w:r w:rsidRPr="0069294F">
        <w:t xml:space="preserve"> met the primary </w:t>
      </w:r>
      <w:r w:rsidR="00F705C7">
        <w:t xml:space="preserve">endpoint in the 24 week placebo </w:t>
      </w:r>
      <w:r w:rsidRPr="0069294F">
        <w:t>controlled study (DB211337</w:t>
      </w:r>
      <w:r w:rsidR="00F705C7">
        <w:t xml:space="preserve">3) and the first 24 week active </w:t>
      </w:r>
      <w:r w:rsidRPr="0069294F">
        <w:t>controlled (</w:t>
      </w:r>
      <w:r w:rsidR="003476A7">
        <w:t>TIO</w:t>
      </w:r>
      <w:r w:rsidRPr="0069294F">
        <w:t xml:space="preserve"> 18 </w:t>
      </w:r>
      <w:r w:rsidR="00FC0A6F">
        <w:t>µg</w:t>
      </w:r>
      <w:r w:rsidRPr="0069294F">
        <w:t xml:space="preserve"> administered </w:t>
      </w:r>
      <w:r w:rsidR="00F705C7" w:rsidRPr="00F705C7">
        <w:t>once daily</w:t>
      </w:r>
      <w:r w:rsidRPr="0069294F">
        <w:t xml:space="preserve">) study (DB2113360) demonstrating a statistically significant improvement in lung function (defined by change from baseline trough FEV1 at Week 24) compared with placebo (improvement over placebo by 167 </w:t>
      </w:r>
      <w:r w:rsidR="00F705C7">
        <w:t>mL</w:t>
      </w:r>
      <w:r w:rsidRPr="0069294F">
        <w:t xml:space="preserve"> </w:t>
      </w:r>
      <w:r w:rsidR="00672509">
        <w:t>(</w:t>
      </w:r>
      <w:r w:rsidRPr="0069294F">
        <w:t>p</w:t>
      </w:r>
      <w:r w:rsidR="007B5B7B">
        <w:t xml:space="preserve"> </w:t>
      </w:r>
      <w:r w:rsidRPr="0069294F">
        <w:t>&lt;</w:t>
      </w:r>
      <w:r w:rsidR="007B5B7B">
        <w:t xml:space="preserve"> </w:t>
      </w:r>
      <w:r w:rsidRPr="0069294F">
        <w:t>0.001</w:t>
      </w:r>
      <w:r w:rsidR="00672509">
        <w:t>)</w:t>
      </w:r>
      <w:r w:rsidRPr="0069294F">
        <w:t xml:space="preserve">) and </w:t>
      </w:r>
      <w:r w:rsidR="003476A7">
        <w:t>TIO</w:t>
      </w:r>
      <w:r w:rsidRPr="0069294F">
        <w:t xml:space="preserve"> (improvement over </w:t>
      </w:r>
      <w:r w:rsidR="003476A7" w:rsidRPr="003476A7">
        <w:t>TIO</w:t>
      </w:r>
      <w:r w:rsidR="007B5B7B">
        <w:t xml:space="preserve"> by 90 </w:t>
      </w:r>
      <w:r w:rsidR="00F705C7">
        <w:t>mL</w:t>
      </w:r>
      <w:r w:rsidRPr="0069294F">
        <w:t xml:space="preserve"> </w:t>
      </w:r>
      <w:r w:rsidR="00672509">
        <w:t>(</w:t>
      </w:r>
      <w:r w:rsidRPr="0069294F">
        <w:t>p</w:t>
      </w:r>
      <w:r w:rsidR="007B5B7B">
        <w:t xml:space="preserve"> </w:t>
      </w:r>
      <w:r w:rsidRPr="0069294F">
        <w:t>&lt;</w:t>
      </w:r>
      <w:r w:rsidR="007B5B7B">
        <w:t xml:space="preserve"> </w:t>
      </w:r>
      <w:r w:rsidRPr="0069294F">
        <w:t>0.001</w:t>
      </w:r>
      <w:r w:rsidR="00672509">
        <w:t>)</w:t>
      </w:r>
      <w:r w:rsidRPr="0069294F">
        <w:t xml:space="preserve">). Whilst </w:t>
      </w:r>
      <w:proofErr w:type="spellStart"/>
      <w:r w:rsidRPr="0069294F">
        <w:t>Anoro</w:t>
      </w:r>
      <w:proofErr w:type="spellEnd"/>
      <w:r w:rsidRPr="0069294F">
        <w:t xml:space="preserve"> </w:t>
      </w:r>
      <w:proofErr w:type="spellStart"/>
      <w:r w:rsidRPr="0069294F">
        <w:t>Ellipta</w:t>
      </w:r>
      <w:proofErr w:type="spellEnd"/>
      <w:r w:rsidRPr="0069294F">
        <w:t xml:space="preserve"> did not demonstrate a statistically significant improvement in lung functi</w:t>
      </w:r>
      <w:r w:rsidR="007B5B7B">
        <w:t xml:space="preserve">on in the second 24 week active </w:t>
      </w:r>
      <w:r w:rsidRPr="0069294F">
        <w:t>controlled s</w:t>
      </w:r>
      <w:r w:rsidR="00F705C7">
        <w:t>tudy (DB2113374) due to the pre-</w:t>
      </w:r>
      <w:r w:rsidRPr="0069294F">
        <w:t xml:space="preserve">defined order of the testing hierarchy, the numerically greater improvement compared with </w:t>
      </w:r>
      <w:r w:rsidR="003476A7" w:rsidRPr="003476A7">
        <w:t>TIO</w:t>
      </w:r>
      <w:r w:rsidRPr="0069294F">
        <w:t xml:space="preserve"> (improvement over </w:t>
      </w:r>
      <w:r w:rsidR="00672509">
        <w:t xml:space="preserve">TIO by 60 </w:t>
      </w:r>
      <w:r w:rsidR="00F705C7">
        <w:t>mL</w:t>
      </w:r>
      <w:r w:rsidR="00672509">
        <w:t xml:space="preserve"> (95% CI=10 </w:t>
      </w:r>
      <w:r w:rsidR="00F705C7">
        <w:t>mL</w:t>
      </w:r>
      <w:r w:rsidR="00672509">
        <w:t xml:space="preserve"> to 109 </w:t>
      </w:r>
      <w:r w:rsidR="00F705C7">
        <w:t>mL</w:t>
      </w:r>
      <w:r w:rsidR="00672509">
        <w:t>)</w:t>
      </w:r>
      <w:r w:rsidRPr="0069294F">
        <w:t xml:space="preserve">) is supportive of clinically relevant efficacy. The increased benefit of </w:t>
      </w:r>
      <w:proofErr w:type="spellStart"/>
      <w:r w:rsidRPr="0069294F">
        <w:t>Anoro</w:t>
      </w:r>
      <w:proofErr w:type="spellEnd"/>
      <w:r w:rsidRPr="0069294F">
        <w:t xml:space="preserve"> </w:t>
      </w:r>
      <w:proofErr w:type="spellStart"/>
      <w:r w:rsidRPr="0069294F">
        <w:t>Ellipta</w:t>
      </w:r>
      <w:proofErr w:type="spellEnd"/>
      <w:r w:rsidRPr="0069294F">
        <w:t xml:space="preserve"> over the individual components was demonstrated in </w:t>
      </w:r>
      <w:r w:rsidR="00A96E8F">
        <w:t>Study</w:t>
      </w:r>
      <w:r w:rsidRPr="0069294F">
        <w:t xml:space="preserve"> DB2113373 with statistically significant improvements in lung function compared with the monotherapies </w:t>
      </w:r>
      <w:r w:rsidR="00672509">
        <w:t>(UMEC 62.5 </w:t>
      </w:r>
      <w:r w:rsidR="00FC0A6F">
        <w:t>µg</w:t>
      </w:r>
      <w:r w:rsidRPr="0069294F">
        <w:t xml:space="preserve"> (52 </w:t>
      </w:r>
      <w:r w:rsidR="00F705C7">
        <w:t>mL</w:t>
      </w:r>
      <w:r w:rsidRPr="0069294F">
        <w:t>, p</w:t>
      </w:r>
      <w:r w:rsidR="00672509">
        <w:t xml:space="preserve"> </w:t>
      </w:r>
      <w:r w:rsidRPr="0069294F">
        <w:t>=</w:t>
      </w:r>
      <w:r w:rsidR="00672509">
        <w:t xml:space="preserve"> </w:t>
      </w:r>
      <w:r w:rsidRPr="0069294F">
        <w:t xml:space="preserve">0.004) and VI 25 </w:t>
      </w:r>
      <w:r w:rsidR="00FC0A6F">
        <w:t>µg</w:t>
      </w:r>
      <w:r w:rsidRPr="0069294F">
        <w:t xml:space="preserve"> (95 </w:t>
      </w:r>
      <w:r w:rsidR="00F705C7">
        <w:t>mL</w:t>
      </w:r>
      <w:r w:rsidRPr="0069294F">
        <w:t>, p</w:t>
      </w:r>
      <w:r w:rsidR="00672509">
        <w:t xml:space="preserve"> </w:t>
      </w:r>
      <w:r w:rsidRPr="0069294F">
        <w:t>&lt;</w:t>
      </w:r>
      <w:r w:rsidR="00672509">
        <w:t xml:space="preserve"> </w:t>
      </w:r>
      <w:r w:rsidRPr="0069294F">
        <w:t>0.001)</w:t>
      </w:r>
      <w:r w:rsidR="00672509">
        <w:t>)</w:t>
      </w:r>
      <w:r w:rsidRPr="0069294F">
        <w:t>.</w:t>
      </w:r>
    </w:p>
    <w:p w:rsidR="0069294F" w:rsidRPr="0069294F" w:rsidRDefault="0069294F" w:rsidP="001752EA">
      <w:r w:rsidRPr="0069294F">
        <w:t xml:space="preserve">The </w:t>
      </w:r>
      <w:proofErr w:type="spellStart"/>
      <w:r w:rsidRPr="0069294F">
        <w:t>Anoro</w:t>
      </w:r>
      <w:proofErr w:type="spellEnd"/>
      <w:r w:rsidRPr="0069294F">
        <w:t xml:space="preserve"> </w:t>
      </w:r>
      <w:proofErr w:type="spellStart"/>
      <w:r w:rsidRPr="0069294F">
        <w:t>Ellipta</w:t>
      </w:r>
      <w:proofErr w:type="spellEnd"/>
      <w:r w:rsidRPr="0069294F">
        <w:t xml:space="preserve"> primary efficacy results are supported by the secondary endpoint</w:t>
      </w:r>
      <w:r w:rsidR="00672509">
        <w:t xml:space="preserve">s of weighted mean FEV1 (over 0 to 6 hours post </w:t>
      </w:r>
      <w:r w:rsidRPr="0069294F">
        <w:t xml:space="preserve">dose at Week 24) and TDI score. </w:t>
      </w:r>
      <w:proofErr w:type="spellStart"/>
      <w:r w:rsidRPr="0069294F">
        <w:t>Anoro</w:t>
      </w:r>
      <w:proofErr w:type="spellEnd"/>
      <w:r w:rsidRPr="0069294F">
        <w:t xml:space="preserve"> </w:t>
      </w:r>
      <w:proofErr w:type="spellStart"/>
      <w:r w:rsidRPr="0069294F">
        <w:t>Ellipta</w:t>
      </w:r>
      <w:proofErr w:type="spellEnd"/>
      <w:r w:rsidRPr="0069294F">
        <w:t xml:space="preserve"> demonstrated greater improvements from baseline in weighted mean FEV1 compared with placebo in </w:t>
      </w:r>
      <w:r w:rsidR="00A96E8F">
        <w:t>Study</w:t>
      </w:r>
      <w:r w:rsidRPr="0069294F">
        <w:t xml:space="preserve"> DB2113373 (242 </w:t>
      </w:r>
      <w:r w:rsidR="00F705C7">
        <w:t>mL</w:t>
      </w:r>
      <w:r w:rsidRPr="0069294F">
        <w:t xml:space="preserve"> </w:t>
      </w:r>
      <w:r w:rsidR="00672509">
        <w:t>(</w:t>
      </w:r>
      <w:r w:rsidRPr="0069294F">
        <w:t>95% CI</w:t>
      </w:r>
      <w:r w:rsidR="00672509">
        <w:t xml:space="preserve"> </w:t>
      </w:r>
      <w:r w:rsidRPr="0069294F">
        <w:t>=</w:t>
      </w:r>
      <w:r w:rsidR="00672509">
        <w:t xml:space="preserve"> </w:t>
      </w:r>
      <w:r w:rsidRPr="0069294F">
        <w:t xml:space="preserve">202 </w:t>
      </w:r>
      <w:r w:rsidR="00F705C7">
        <w:t>mL</w:t>
      </w:r>
      <w:r w:rsidRPr="0069294F">
        <w:t xml:space="preserve"> to 282 </w:t>
      </w:r>
      <w:r w:rsidR="00F705C7">
        <w:t>mL</w:t>
      </w:r>
      <w:r w:rsidR="00672509">
        <w:t>)</w:t>
      </w:r>
      <w:r w:rsidRPr="0069294F">
        <w:t xml:space="preserve">) and compared with </w:t>
      </w:r>
      <w:r w:rsidR="003476A7" w:rsidRPr="003476A7">
        <w:t>TIO</w:t>
      </w:r>
      <w:r w:rsidRPr="0069294F">
        <w:t xml:space="preserve"> in </w:t>
      </w:r>
      <w:r w:rsidR="00A96E8F">
        <w:t>Study</w:t>
      </w:r>
      <w:r w:rsidRPr="0069294F">
        <w:t xml:space="preserve"> DB2113360 (74 </w:t>
      </w:r>
      <w:r w:rsidR="00F705C7">
        <w:t>mL</w:t>
      </w:r>
      <w:r w:rsidRPr="0069294F">
        <w:t xml:space="preserve"> </w:t>
      </w:r>
      <w:r w:rsidR="00672509">
        <w:t>(</w:t>
      </w:r>
      <w:r w:rsidRPr="0069294F">
        <w:t>95% CI</w:t>
      </w:r>
      <w:r w:rsidR="00672509">
        <w:t xml:space="preserve"> </w:t>
      </w:r>
      <w:r w:rsidRPr="0069294F">
        <w:t>=</w:t>
      </w:r>
      <w:r w:rsidR="00672509">
        <w:t xml:space="preserve"> </w:t>
      </w:r>
      <w:r w:rsidRPr="0069294F">
        <w:t xml:space="preserve">22 </w:t>
      </w:r>
      <w:r w:rsidR="00F705C7">
        <w:t>mL</w:t>
      </w:r>
      <w:r w:rsidRPr="0069294F">
        <w:t xml:space="preserve"> to 125 </w:t>
      </w:r>
      <w:r w:rsidR="00F705C7">
        <w:t>mL</w:t>
      </w:r>
      <w:r w:rsidRPr="0069294F">
        <w:t>; p</w:t>
      </w:r>
      <w:r w:rsidR="00672509">
        <w:t xml:space="preserve"> </w:t>
      </w:r>
      <w:r w:rsidRPr="0069294F">
        <w:t>=</w:t>
      </w:r>
      <w:r w:rsidR="00672509">
        <w:t xml:space="preserve"> </w:t>
      </w:r>
      <w:r w:rsidRPr="0069294F">
        <w:t>0.005</w:t>
      </w:r>
      <w:r w:rsidR="00672509">
        <w:t>)</w:t>
      </w:r>
      <w:r w:rsidRPr="0069294F">
        <w:t xml:space="preserve">) and </w:t>
      </w:r>
      <w:r w:rsidR="00A96E8F">
        <w:t>Study</w:t>
      </w:r>
      <w:r w:rsidRPr="0069294F">
        <w:t xml:space="preserve"> DB2113374 (96 </w:t>
      </w:r>
      <w:r w:rsidR="00F705C7">
        <w:t>mL</w:t>
      </w:r>
      <w:r w:rsidRPr="0069294F">
        <w:t xml:space="preserve"> </w:t>
      </w:r>
      <w:r w:rsidR="00672509">
        <w:t>(</w:t>
      </w:r>
      <w:r w:rsidRPr="0069294F">
        <w:t>95% CI</w:t>
      </w:r>
      <w:r w:rsidR="00672509">
        <w:t xml:space="preserve"> </w:t>
      </w:r>
      <w:r w:rsidRPr="0069294F">
        <w:t>=</w:t>
      </w:r>
      <w:r w:rsidR="00672509">
        <w:t xml:space="preserve"> </w:t>
      </w:r>
      <w:r w:rsidRPr="0069294F">
        <w:t xml:space="preserve">50 </w:t>
      </w:r>
      <w:r w:rsidR="00F705C7">
        <w:t>mL</w:t>
      </w:r>
      <w:r w:rsidRPr="0069294F">
        <w:t xml:space="preserve"> to 142 </w:t>
      </w:r>
      <w:r w:rsidR="00F705C7">
        <w:t>mL</w:t>
      </w:r>
      <w:r w:rsidR="00672509">
        <w:t>)</w:t>
      </w:r>
      <w:r w:rsidRPr="0069294F">
        <w:t xml:space="preserve">). </w:t>
      </w:r>
      <w:proofErr w:type="spellStart"/>
      <w:r w:rsidRPr="0069294F">
        <w:t>Anoro</w:t>
      </w:r>
      <w:proofErr w:type="spellEnd"/>
      <w:r w:rsidRPr="0069294F">
        <w:t xml:space="preserve"> </w:t>
      </w:r>
      <w:proofErr w:type="spellStart"/>
      <w:r w:rsidRPr="0069294F">
        <w:t>Ellipta</w:t>
      </w:r>
      <w:proofErr w:type="spellEnd"/>
      <w:r w:rsidRPr="0069294F">
        <w:t xml:space="preserve"> also demonstrated clinically meaningful improvements compared with placebo in dyspnoea (evaluated by TDI score), health outcomes (assessed by SGRQ total score) and rescue use throughout the study period providing further</w:t>
      </w:r>
      <w:r w:rsidR="00671DD7">
        <w:t xml:space="preserve"> evidence of clinical benefit.</w:t>
      </w:r>
    </w:p>
    <w:p w:rsidR="00672509" w:rsidRDefault="0069294F" w:rsidP="001752EA">
      <w:r w:rsidRPr="0069294F">
        <w:t>Overall</w:t>
      </w:r>
      <w:r w:rsidR="00672509">
        <w:t>, the data from the four Phase III</w:t>
      </w:r>
      <w:r w:rsidRPr="0069294F">
        <w:t xml:space="preserve"> clinical studies demonstrate that </w:t>
      </w:r>
      <w:proofErr w:type="spellStart"/>
      <w:r w:rsidRPr="0069294F">
        <w:t>Anoro</w:t>
      </w:r>
      <w:proofErr w:type="spellEnd"/>
      <w:r w:rsidRPr="0069294F">
        <w:t xml:space="preserve"> </w:t>
      </w:r>
      <w:proofErr w:type="spellStart"/>
      <w:r w:rsidRPr="0069294F">
        <w:t>Ellipta</w:t>
      </w:r>
      <w:proofErr w:type="spellEnd"/>
      <w:r w:rsidRPr="0069294F">
        <w:t xml:space="preserve"> provides clinically relevant efficacy in patients with COPD and supports the proposed indicati</w:t>
      </w:r>
      <w:r w:rsidR="00672509">
        <w:t>on. This is supported by the</w:t>
      </w:r>
      <w:r w:rsidRPr="0069294F">
        <w:t xml:space="preserve"> Delegate who has stated that </w:t>
      </w:r>
      <w:r w:rsidRPr="0069294F">
        <w:rPr>
          <w:i/>
          <w:iCs/>
        </w:rPr>
        <w:t xml:space="preserve">“at this point in time and pending ACPM </w:t>
      </w:r>
      <w:r w:rsidR="00814A70">
        <w:rPr>
          <w:i/>
          <w:iCs/>
        </w:rPr>
        <w:t>advice, (the Delegate’s)</w:t>
      </w:r>
      <w:r w:rsidR="00AC6C2D" w:rsidRPr="00AC6C2D">
        <w:rPr>
          <w:i/>
          <w:iCs/>
        </w:rPr>
        <w:t xml:space="preserve"> </w:t>
      </w:r>
      <w:r w:rsidR="00AC6C2D">
        <w:rPr>
          <w:i/>
          <w:iCs/>
        </w:rPr>
        <w:t>view</w:t>
      </w:r>
      <w:r w:rsidRPr="0069294F">
        <w:rPr>
          <w:i/>
          <w:iCs/>
        </w:rPr>
        <w:t xml:space="preserve"> is that the eff</w:t>
      </w:r>
      <w:r w:rsidRPr="0069294F">
        <w:t xml:space="preserve">icacy </w:t>
      </w:r>
      <w:r w:rsidRPr="0069294F">
        <w:rPr>
          <w:i/>
          <w:iCs/>
        </w:rPr>
        <w:t xml:space="preserve">of </w:t>
      </w:r>
      <w:proofErr w:type="spellStart"/>
      <w:r w:rsidRPr="0069294F">
        <w:rPr>
          <w:i/>
          <w:iCs/>
        </w:rPr>
        <w:t>Anoro</w:t>
      </w:r>
      <w:proofErr w:type="spellEnd"/>
      <w:r w:rsidRPr="0069294F">
        <w:rPr>
          <w:i/>
          <w:iCs/>
        </w:rPr>
        <w:t xml:space="preserve"> </w:t>
      </w:r>
      <w:proofErr w:type="spellStart"/>
      <w:r w:rsidRPr="0069294F">
        <w:rPr>
          <w:i/>
          <w:iCs/>
        </w:rPr>
        <w:t>Ellipta</w:t>
      </w:r>
      <w:proofErr w:type="spellEnd"/>
      <w:r w:rsidRPr="0069294F">
        <w:rPr>
          <w:i/>
          <w:iCs/>
        </w:rPr>
        <w:t xml:space="preserve"> has been satisfactory established” </w:t>
      </w:r>
      <w:r w:rsidR="00672509">
        <w:t>and by the clinical e</w:t>
      </w:r>
      <w:r w:rsidRPr="0069294F">
        <w:t>valuator who has concluded that “</w:t>
      </w:r>
      <w:r w:rsidRPr="0069294F">
        <w:rPr>
          <w:i/>
          <w:iCs/>
        </w:rPr>
        <w:t>efficacy results were supportive of the efficacy claim of both doses of UMEC/VI (125/25</w:t>
      </w:r>
      <w:r w:rsidR="00672509">
        <w:rPr>
          <w:i/>
          <w:iCs/>
        </w:rPr>
        <w:t xml:space="preserve"> </w:t>
      </w:r>
      <w:r w:rsidR="00FC0A6F">
        <w:rPr>
          <w:i/>
          <w:iCs/>
        </w:rPr>
        <w:t>µg</w:t>
      </w:r>
      <w:r w:rsidRPr="0069294F">
        <w:rPr>
          <w:i/>
          <w:iCs/>
        </w:rPr>
        <w:t xml:space="preserve"> and 62.5/25</w:t>
      </w:r>
      <w:r w:rsidR="00672509">
        <w:rPr>
          <w:i/>
          <w:iCs/>
        </w:rPr>
        <w:t xml:space="preserve"> </w:t>
      </w:r>
      <w:r w:rsidR="00FC0A6F">
        <w:rPr>
          <w:i/>
          <w:iCs/>
        </w:rPr>
        <w:t>µg</w:t>
      </w:r>
      <w:r w:rsidRPr="0069294F">
        <w:rPr>
          <w:i/>
          <w:iCs/>
        </w:rPr>
        <w:t>) over placebo in terms of lung function as well as symptom relief</w:t>
      </w:r>
      <w:r w:rsidRPr="0069294F">
        <w:t>”.</w:t>
      </w:r>
    </w:p>
    <w:p w:rsidR="00062E35" w:rsidRPr="001222B1" w:rsidRDefault="0069294F" w:rsidP="001D05AF">
      <w:pPr>
        <w:pStyle w:val="Heading6"/>
      </w:pPr>
      <w:r w:rsidRPr="001222B1">
        <w:t xml:space="preserve">2. Does the ACPM have any safety concerns about </w:t>
      </w:r>
      <w:proofErr w:type="spellStart"/>
      <w:r w:rsidRPr="001222B1">
        <w:t>Anoro</w:t>
      </w:r>
      <w:proofErr w:type="spellEnd"/>
      <w:r w:rsidRPr="001222B1">
        <w:t xml:space="preserve"> th</w:t>
      </w:r>
      <w:r w:rsidR="00671DD7" w:rsidRPr="001222B1">
        <w:t>at would preclude registration?</w:t>
      </w:r>
    </w:p>
    <w:p w:rsidR="0069294F" w:rsidRDefault="00913184" w:rsidP="0069294F">
      <w:r w:rsidRPr="001752EA">
        <w:rPr>
          <w:b/>
        </w:rPr>
        <w:t>Company response</w:t>
      </w:r>
      <w:r w:rsidRPr="001222B1">
        <w:t>:</w:t>
      </w:r>
      <w:r w:rsidR="001752EA">
        <w:t xml:space="preserve"> </w:t>
      </w:r>
      <w:r w:rsidR="0069294F" w:rsidRPr="0069294F">
        <w:t xml:space="preserve">The safety profile for </w:t>
      </w:r>
      <w:proofErr w:type="spellStart"/>
      <w:r w:rsidR="0069294F" w:rsidRPr="0069294F">
        <w:t>Anoro</w:t>
      </w:r>
      <w:proofErr w:type="spellEnd"/>
      <w:r w:rsidR="0069294F" w:rsidRPr="0069294F">
        <w:t xml:space="preserve"> </w:t>
      </w:r>
      <w:proofErr w:type="spellStart"/>
      <w:r w:rsidR="0069294F" w:rsidRPr="0069294F">
        <w:t>Ellipta</w:t>
      </w:r>
      <w:proofErr w:type="spellEnd"/>
      <w:r w:rsidR="0069294F" w:rsidRPr="0069294F">
        <w:t xml:space="preserve"> is based on 2,454 patients with COPD who received doses of UMEC/VI 62.5/25 </w:t>
      </w:r>
      <w:r w:rsidR="00FC0A6F">
        <w:t>µg</w:t>
      </w:r>
      <w:r w:rsidR="0069294F" w:rsidRPr="0069294F">
        <w:t xml:space="preserve"> or greater for up to one year during clinical studies. Overall, the safety profile of </w:t>
      </w:r>
      <w:proofErr w:type="spellStart"/>
      <w:r w:rsidR="0069294F" w:rsidRPr="0069294F">
        <w:t>Anoro</w:t>
      </w:r>
      <w:proofErr w:type="spellEnd"/>
      <w:r w:rsidR="0069294F" w:rsidRPr="0069294F">
        <w:t xml:space="preserve"> </w:t>
      </w:r>
      <w:proofErr w:type="spellStart"/>
      <w:r w:rsidR="0069294F" w:rsidRPr="0069294F">
        <w:t>Ellipta</w:t>
      </w:r>
      <w:proofErr w:type="spellEnd"/>
      <w:r w:rsidR="0069294F" w:rsidRPr="0069294F">
        <w:t xml:space="preserve"> was similar to placebo, the individual components and </w:t>
      </w:r>
      <w:r w:rsidR="003476A7" w:rsidRPr="003476A7">
        <w:t>TIO</w:t>
      </w:r>
      <w:r w:rsidR="0069294F" w:rsidRPr="0069294F">
        <w:t xml:space="preserve">. </w:t>
      </w:r>
      <w:proofErr w:type="spellStart"/>
      <w:r w:rsidR="0069294F" w:rsidRPr="0069294F">
        <w:t>Anoro</w:t>
      </w:r>
      <w:proofErr w:type="spellEnd"/>
      <w:r w:rsidR="0069294F" w:rsidRPr="0069294F">
        <w:t xml:space="preserve"> </w:t>
      </w:r>
      <w:proofErr w:type="spellStart"/>
      <w:r w:rsidR="0069294F" w:rsidRPr="0069294F">
        <w:t>Ellipta</w:t>
      </w:r>
      <w:proofErr w:type="spellEnd"/>
      <w:r w:rsidR="0069294F" w:rsidRPr="0069294F">
        <w:t xml:space="preserve"> was well tolerated with a simil</w:t>
      </w:r>
      <w:r w:rsidR="00CF6510">
        <w:t>ar incidence of AEs</w:t>
      </w:r>
      <w:r w:rsidR="0069294F" w:rsidRPr="0069294F">
        <w:t xml:space="preserve"> across all treatment groups including placebo and no significant safety concerns were noted</w:t>
      </w:r>
      <w:r w:rsidR="00672509">
        <w:t>. This was acknowledged by the clinical e</w:t>
      </w:r>
      <w:r w:rsidR="0069294F" w:rsidRPr="0069294F">
        <w:t xml:space="preserve">valuator who has stated that the </w:t>
      </w:r>
      <w:proofErr w:type="spellStart"/>
      <w:r w:rsidR="0069294F" w:rsidRPr="0069294F">
        <w:t>Anoro</w:t>
      </w:r>
      <w:proofErr w:type="spellEnd"/>
      <w:r w:rsidR="0069294F" w:rsidRPr="0069294F">
        <w:t xml:space="preserve"> </w:t>
      </w:r>
      <w:proofErr w:type="spellStart"/>
      <w:r w:rsidR="0069294F" w:rsidRPr="0069294F">
        <w:t>Ellipta</w:t>
      </w:r>
      <w:proofErr w:type="spellEnd"/>
      <w:r w:rsidR="0069294F" w:rsidRPr="0069294F">
        <w:t xml:space="preserve"> </w:t>
      </w:r>
      <w:r w:rsidR="0069294F" w:rsidRPr="0069294F">
        <w:rPr>
          <w:i/>
          <w:iCs/>
        </w:rPr>
        <w:t xml:space="preserve">“safety results did not raise any major safety concerns” </w:t>
      </w:r>
      <w:r w:rsidR="00672509">
        <w:t>and supported by the</w:t>
      </w:r>
      <w:r w:rsidR="0069294F" w:rsidRPr="0069294F">
        <w:t xml:space="preserve"> Delegate who has stated that the </w:t>
      </w:r>
      <w:r w:rsidR="0069294F" w:rsidRPr="0069294F">
        <w:rPr>
          <w:i/>
          <w:iCs/>
        </w:rPr>
        <w:t>“evaluation for safety was unremarkable”</w:t>
      </w:r>
      <w:r w:rsidR="0069294F" w:rsidRPr="0069294F">
        <w:t>.</w:t>
      </w:r>
    </w:p>
    <w:p w:rsidR="0069294F" w:rsidRDefault="00672509" w:rsidP="0069294F">
      <w:r>
        <w:t>The clinical e</w:t>
      </w:r>
      <w:r w:rsidR="0069294F" w:rsidRPr="0069294F">
        <w:t xml:space="preserve">valuator highlighted LAMA and LABA pharmacological class effects as potential risks of UMEC/VI for the proposed indication, in particular, cardiovascular effects. However, on review of the data concluded that </w:t>
      </w:r>
      <w:r w:rsidR="0069294F" w:rsidRPr="0069294F">
        <w:rPr>
          <w:i/>
          <w:iCs/>
        </w:rPr>
        <w:t>“analyses of cardiovascular safety and the adverse effects related to muscarinic antagonist and beta</w:t>
      </w:r>
      <w:r w:rsidR="0069294F" w:rsidRPr="002D141B">
        <w:rPr>
          <w:i/>
          <w:iCs/>
          <w:vertAlign w:val="subscript"/>
        </w:rPr>
        <w:t>2</w:t>
      </w:r>
      <w:r w:rsidR="002D141B">
        <w:rPr>
          <w:i/>
          <w:iCs/>
        </w:rPr>
        <w:t>-</w:t>
      </w:r>
      <w:r w:rsidR="0069294F" w:rsidRPr="0069294F">
        <w:rPr>
          <w:i/>
          <w:iCs/>
        </w:rPr>
        <w:t xml:space="preserve">agonist pharmacological class effects did not raise major safety concerns”. </w:t>
      </w:r>
      <w:r w:rsidR="0069294F" w:rsidRPr="0069294F">
        <w:t>GSK agrees with this assessment.</w:t>
      </w:r>
    </w:p>
    <w:p w:rsidR="0069294F" w:rsidRDefault="0069294F" w:rsidP="0069294F">
      <w:r w:rsidRPr="0069294F">
        <w:t xml:space="preserve">The Delegate identified cardiovascular safety as the finding of most interest, specifically noting that in the </w:t>
      </w:r>
      <w:proofErr w:type="spellStart"/>
      <w:r w:rsidRPr="0069294F">
        <w:t>Anoro</w:t>
      </w:r>
      <w:proofErr w:type="spellEnd"/>
      <w:r w:rsidRPr="0069294F">
        <w:t xml:space="preserve"> </w:t>
      </w:r>
      <w:proofErr w:type="spellStart"/>
      <w:r w:rsidRPr="0069294F">
        <w:t>Ellipta</w:t>
      </w:r>
      <w:proofErr w:type="spellEnd"/>
      <w:r w:rsidRPr="0069294F">
        <w:t xml:space="preserve"> program there was an imbalance observed for cardiac</w:t>
      </w:r>
      <w:r w:rsidR="00062E35">
        <w:t xml:space="preserve"> ischemia in the 24 week Phase III</w:t>
      </w:r>
      <w:r w:rsidRPr="0069294F">
        <w:t xml:space="preserve"> efficacy trials that was not observed in the 52 week long term safety study (DB2113359) or the larger integrated COPD safety database. GSK acknowledges that there are concerns surrounding cardiovascular safety with LAMAs and for this reason the clinical program was designed to closely monitor cardiovascular safety in the </w:t>
      </w:r>
      <w:proofErr w:type="spellStart"/>
      <w:r w:rsidRPr="0069294F">
        <w:t>Anoro</w:t>
      </w:r>
      <w:proofErr w:type="spellEnd"/>
      <w:r w:rsidRPr="0069294F">
        <w:t xml:space="preserve"> </w:t>
      </w:r>
      <w:proofErr w:type="spellStart"/>
      <w:r w:rsidRPr="0069294F">
        <w:t>Ellipta</w:t>
      </w:r>
      <w:proofErr w:type="spellEnd"/>
      <w:r w:rsidRPr="0069294F">
        <w:t xml:space="preserve"> clinical development program through assessment of </w:t>
      </w:r>
      <w:r w:rsidR="006E24B0">
        <w:t>MACE</w:t>
      </w:r>
      <w:r w:rsidRPr="0069294F">
        <w:t xml:space="preserve">, cardiovascular </w:t>
      </w:r>
      <w:r w:rsidR="00CF6510">
        <w:t>AESI</w:t>
      </w:r>
      <w:r w:rsidRPr="0069294F">
        <w:t xml:space="preserve"> groupings, extensive ECG and Holter monitoring and vital signs.</w:t>
      </w:r>
    </w:p>
    <w:p w:rsidR="0069294F" w:rsidRDefault="0069294F" w:rsidP="0069294F">
      <w:r w:rsidRPr="0069294F">
        <w:lastRenderedPageBreak/>
        <w:t xml:space="preserve">GSK’s analyses of the </w:t>
      </w:r>
      <w:proofErr w:type="spellStart"/>
      <w:r w:rsidRPr="0069294F">
        <w:t>Anoro</w:t>
      </w:r>
      <w:proofErr w:type="spellEnd"/>
      <w:r w:rsidRPr="0069294F">
        <w:t xml:space="preserve"> </w:t>
      </w:r>
      <w:proofErr w:type="spellStart"/>
      <w:r w:rsidRPr="0069294F">
        <w:t>Ellipta</w:t>
      </w:r>
      <w:proofErr w:type="spellEnd"/>
      <w:r w:rsidRPr="0069294F">
        <w:t xml:space="preserve"> safety results have not identified any significant safety concern related to cardiovascular effects or class effects in general. </w:t>
      </w:r>
      <w:r w:rsidR="00BB41DF">
        <w:t>Of note, the AE and SAE</w:t>
      </w:r>
      <w:r w:rsidRPr="0069294F">
        <w:t xml:space="preserve"> event rate with </w:t>
      </w:r>
      <w:proofErr w:type="spellStart"/>
      <w:r w:rsidRPr="0069294F">
        <w:t>Anoro</w:t>
      </w:r>
      <w:proofErr w:type="spellEnd"/>
      <w:r w:rsidRPr="0069294F">
        <w:t xml:space="preserve"> </w:t>
      </w:r>
      <w:proofErr w:type="spellStart"/>
      <w:r w:rsidRPr="0069294F">
        <w:t>Ellipta</w:t>
      </w:r>
      <w:proofErr w:type="spellEnd"/>
      <w:r w:rsidRPr="0069294F">
        <w:t xml:space="preserve"> and the individual components, specifically the absolute number of cardiovascular events, was very low. Additionally, the MACE score for UMEC/VI and the individual components, assessed through an integrated analysis of 8 studies, was similar to or lower than placebo and the percentage of patients with a myocardial infarction was &lt;</w:t>
      </w:r>
      <w:r w:rsidR="00062E35">
        <w:t xml:space="preserve"> </w:t>
      </w:r>
      <w:r w:rsidRPr="0069294F">
        <w:t xml:space="preserve">1% across all treatment groups with 1 in the placebo group, 3 in each of the UMEC/VI groups, 1 in UMEC 62.5 </w:t>
      </w:r>
      <w:r w:rsidR="00FC0A6F">
        <w:t>µg</w:t>
      </w:r>
      <w:r w:rsidRPr="0069294F">
        <w:t xml:space="preserve"> group, 4 in the UMEC 125 </w:t>
      </w:r>
      <w:r w:rsidR="00FC0A6F">
        <w:t>µg</w:t>
      </w:r>
      <w:r w:rsidRPr="0069294F">
        <w:t xml:space="preserve"> group and 2 in the VI group. There was a small imbalance observed in the exposure adjusted events with 2.7 events per 1000 patient years of exposure in the placebo group, compared to 7.4 events in the UMEC/VI 62.5/25 </w:t>
      </w:r>
      <w:r w:rsidR="00FC0A6F">
        <w:t>µg</w:t>
      </w:r>
      <w:r w:rsidRPr="0069294F">
        <w:t xml:space="preserve"> group, 5.2 events in the UMEC/VI 125/25 </w:t>
      </w:r>
      <w:r w:rsidR="00FC0A6F">
        <w:t>µg</w:t>
      </w:r>
      <w:r w:rsidRPr="0069294F">
        <w:t xml:space="preserve"> group, 4.9 events in the UMEC 62.5 </w:t>
      </w:r>
      <w:r w:rsidR="00FC0A6F">
        <w:t>µg</w:t>
      </w:r>
      <w:r w:rsidRPr="0069294F">
        <w:t xml:space="preserve"> group, 8.9 events in the UMEC 125 </w:t>
      </w:r>
      <w:r w:rsidR="00FC0A6F">
        <w:t>µg</w:t>
      </w:r>
      <w:r w:rsidRPr="0069294F">
        <w:t xml:space="preserve"> group and 4.5</w:t>
      </w:r>
      <w:r w:rsidR="00B83313">
        <w:t xml:space="preserve"> events in the VI </w:t>
      </w:r>
      <w:r w:rsidR="00062E35">
        <w:t>25 </w:t>
      </w:r>
      <w:r w:rsidR="00FC0A6F">
        <w:t>µg</w:t>
      </w:r>
      <w:r w:rsidRPr="0069294F">
        <w:t xml:space="preserve"> </w:t>
      </w:r>
      <w:r w:rsidRPr="00D76AFA">
        <w:t>group (Table 1</w:t>
      </w:r>
      <w:r w:rsidR="00152B78">
        <w:t>9</w:t>
      </w:r>
      <w:r w:rsidRPr="00D76AFA">
        <w:t xml:space="preserve">), however </w:t>
      </w:r>
      <w:r w:rsidRPr="0069294F">
        <w:t xml:space="preserve">the data do not demonstrate a dose relationship between the doses of UMEC/VI or additive effect from the combination and are lower than reported in the general COPD </w:t>
      </w:r>
      <w:r w:rsidRPr="00D76AFA">
        <w:t>population (</w:t>
      </w:r>
      <w:r w:rsidR="00152B78">
        <w:t>Table 2</w:t>
      </w:r>
      <w:r w:rsidR="00933E0B">
        <w:t>2</w:t>
      </w:r>
      <w:r w:rsidRPr="00D76AFA">
        <w:t xml:space="preserve">), therefore </w:t>
      </w:r>
      <w:r w:rsidRPr="0069294F">
        <w:t>these data are unlikely to represent a treatment related effect.</w:t>
      </w:r>
    </w:p>
    <w:p w:rsidR="00062E35" w:rsidRDefault="0069294F" w:rsidP="007831A2">
      <w:pPr>
        <w:pStyle w:val="Tabletitle0"/>
      </w:pPr>
      <w:r w:rsidRPr="0069294F">
        <w:t>Table 1</w:t>
      </w:r>
      <w:r w:rsidR="00152B78">
        <w:t>9</w:t>
      </w:r>
      <w:r w:rsidR="00D76AFA">
        <w:t>: Major adverse cardiac events: broad and narrow analyses.</w:t>
      </w:r>
      <w:r w:rsidRPr="0069294F">
        <w:t xml:space="preserve"> </w:t>
      </w:r>
      <w:proofErr w:type="gramStart"/>
      <w:r w:rsidRPr="0069294F">
        <w:t>Integrated Studies (ITT population)</w:t>
      </w:r>
      <w:r w:rsidR="00062E35">
        <w:t>.</w:t>
      </w:r>
      <w:proofErr w:type="gramEnd"/>
    </w:p>
    <w:p w:rsidR="0069294F" w:rsidRDefault="0069294F" w:rsidP="007831A2">
      <w:r>
        <w:rPr>
          <w:noProof/>
          <w:lang w:eastAsia="en-AU"/>
        </w:rPr>
        <w:drawing>
          <wp:inline distT="0" distB="0" distL="0" distR="0" wp14:anchorId="0E8E29AB" wp14:editId="7EE1464E">
            <wp:extent cx="5400040" cy="3584450"/>
            <wp:effectExtent l="0" t="0" r="0" b="0"/>
            <wp:docPr id="8" name="Picture 8" descr="Table 19: Major adverse cardiac events: broad and narrow analyses. Integrated Studi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584450"/>
                    </a:xfrm>
                    <a:prstGeom prst="rect">
                      <a:avLst/>
                    </a:prstGeom>
                  </pic:spPr>
                </pic:pic>
              </a:graphicData>
            </a:graphic>
          </wp:inline>
        </w:drawing>
      </w:r>
    </w:p>
    <w:p w:rsidR="004A7626" w:rsidRPr="004A7626" w:rsidRDefault="004A7626" w:rsidP="007831A2">
      <w:pPr>
        <w:pStyle w:val="TableTitle"/>
      </w:pPr>
      <w:proofErr w:type="gramStart"/>
      <w:r w:rsidRPr="004A7626">
        <w:lastRenderedPageBreak/>
        <w:t>Table 20.</w:t>
      </w:r>
      <w:proofErr w:type="gramEnd"/>
      <w:r w:rsidRPr="004A7626">
        <w:t xml:space="preserve"> ECG Abnormality Findings Meeting the Withdrawal Criteria for Subjects with an ECG Protocol-Defined Stopping Criteria as the Primary Reason for Withdrawal (DB2113359, ITT Population).</w:t>
      </w:r>
    </w:p>
    <w:p w:rsidR="004A7626" w:rsidRDefault="004A7626" w:rsidP="0069294F">
      <w:r w:rsidRPr="004A7626">
        <w:rPr>
          <w:noProof/>
          <w:lang w:eastAsia="en-AU"/>
        </w:rPr>
        <w:drawing>
          <wp:inline distT="0" distB="0" distL="0" distR="0" wp14:anchorId="23531F97" wp14:editId="46EFA412">
            <wp:extent cx="5400040" cy="2482518"/>
            <wp:effectExtent l="0" t="0" r="0" b="0"/>
            <wp:docPr id="6" name="Picture 6" descr="Table 20. ECG Abnormality Findings Meeting the Withdrawal Criteria for Subjects with an ECG Protocol-Defined Stopping Criteria as the Primary Reason for Withdrawal (DB211335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482518"/>
                    </a:xfrm>
                    <a:prstGeom prst="rect">
                      <a:avLst/>
                    </a:prstGeom>
                  </pic:spPr>
                </pic:pic>
              </a:graphicData>
            </a:graphic>
          </wp:inline>
        </w:drawing>
      </w:r>
    </w:p>
    <w:p w:rsidR="004A7626" w:rsidRDefault="004A7626" w:rsidP="001752EA">
      <w:r w:rsidRPr="004A7626">
        <w:t>Cardiac ischemia was further examined in the AESI analysis. There was a small numerical imbalance in the cardiac ischemia AESI grouping across some of the active treatment groups compared to placebo in the primary efficacy studies, which differed from the MACE analysis and the 52 week long term safety study (DB2113359). There was also an imbalance observed in the long term safety study where events in the cardiac ischemic AESI grouping were lower wit</w:t>
      </w:r>
      <w:r w:rsidR="00B83313">
        <w:t>h UMEC 125 µg and UMEC/VI 125</w:t>
      </w:r>
      <w:r w:rsidRPr="004A7626">
        <w:t xml:space="preserve">/25 µg than placebo. There was no evidence of a dose response for either UMEC/VI or UMEC </w:t>
      </w:r>
      <w:proofErr w:type="gramStart"/>
      <w:r w:rsidRPr="004A7626">
        <w:t>nor</w:t>
      </w:r>
      <w:proofErr w:type="gramEnd"/>
      <w:r w:rsidRPr="004A7626">
        <w:t xml:space="preserve"> an additive effect for the combination over components for cardiac ischemia. As imbalances were inconsistent across studies and the overall number of cardiac ischemia events and the incidence were low, cardiac </w:t>
      </w:r>
      <w:proofErr w:type="spellStart"/>
      <w:r w:rsidRPr="004A7626">
        <w:t>ischaemia</w:t>
      </w:r>
      <w:proofErr w:type="spellEnd"/>
      <w:r w:rsidRPr="004A7626">
        <w:t xml:space="preserve"> was not identified as a major safety concern.</w:t>
      </w:r>
    </w:p>
    <w:p w:rsidR="0069294F" w:rsidRPr="0069294F" w:rsidRDefault="0069294F" w:rsidP="001752EA">
      <w:r w:rsidRPr="0069294F">
        <w:t>Further to the initial MACE assessment, GSK has performed an analysis of its global safety database to identify any unexpected, serious adverse reactions not currently captured in the data provided to TGA. This analysis has only identified one case of acute myocardial infarction in the period between 23 August 2012 and 30 April 2014, providing reassurance that the incidence of cardiovascular events associ</w:t>
      </w:r>
      <w:r w:rsidR="001222B1">
        <w:t>ated with UMEC/VI is low.</w:t>
      </w:r>
    </w:p>
    <w:p w:rsidR="0069294F" w:rsidRDefault="00D76AFA" w:rsidP="001752EA">
      <w:r>
        <w:t xml:space="preserve">Overall, there were no dose or treatment </w:t>
      </w:r>
      <w:r w:rsidR="0069294F" w:rsidRPr="0069294F">
        <w:t xml:space="preserve">related patterns identified in the incidence of AEs in the cardiovascular AESI categories acquired long QT, cardiac arrhythmias, cardiac failure, cardiac </w:t>
      </w:r>
      <w:proofErr w:type="spellStart"/>
      <w:r w:rsidR="0069294F" w:rsidRPr="0069294F">
        <w:t>ischaemia</w:t>
      </w:r>
      <w:proofErr w:type="spellEnd"/>
      <w:r w:rsidR="0069294F" w:rsidRPr="0069294F">
        <w:t xml:space="preserve">, hypertension, sudden death, </w:t>
      </w:r>
      <w:r w:rsidR="00693F7B">
        <w:t xml:space="preserve">and </w:t>
      </w:r>
      <w:r w:rsidR="0069294F" w:rsidRPr="0069294F">
        <w:t xml:space="preserve">stroke. The most commonly reported cardiovascular AESI category was cardiac arrhythmias followed by hypertension, with a low incidence of AEs in the cardiac arrhythmia AESI category. A higher number of subjects reported supraventricular </w:t>
      </w:r>
      <w:proofErr w:type="spellStart"/>
      <w:r w:rsidR="0069294F" w:rsidRPr="0069294F">
        <w:t>tachyarrhythmias</w:t>
      </w:r>
      <w:proofErr w:type="spellEnd"/>
      <w:r w:rsidR="0069294F" w:rsidRPr="0069294F">
        <w:t xml:space="preserve"> (</w:t>
      </w:r>
      <w:r w:rsidR="006C586A">
        <w:t>for example,</w:t>
      </w:r>
      <w:r w:rsidR="0069294F" w:rsidRPr="0069294F">
        <w:t xml:space="preserve"> atrial fibrillation, atrial flutter, sinus tachycardia, and supraventricular </w:t>
      </w:r>
      <w:proofErr w:type="spellStart"/>
      <w:r w:rsidR="0069294F" w:rsidRPr="0069294F">
        <w:t>extrasystoles</w:t>
      </w:r>
      <w:proofErr w:type="spellEnd"/>
      <w:r w:rsidR="0069294F" w:rsidRPr="0069294F">
        <w:t>) in the UMEC/VI and UMEC treatment groups compared with placebo, which is consistent with the ECG monitoring observations. These findings are consistent with evidence that suggests that atrial arrhythmias may be a class effect of anticholinergics</w:t>
      </w:r>
      <w:r>
        <w:rPr>
          <w:rStyle w:val="FootnoteReference"/>
        </w:rPr>
        <w:footnoteReference w:id="33"/>
      </w:r>
      <w:r>
        <w:t>.</w:t>
      </w:r>
    </w:p>
    <w:p w:rsidR="0069294F" w:rsidRDefault="00D76AFA" w:rsidP="001752EA">
      <w:r>
        <w:t>The</w:t>
      </w:r>
      <w:r w:rsidR="0069294F" w:rsidRPr="0069294F">
        <w:t xml:space="preserve"> Delegate noted that diffe</w:t>
      </w:r>
      <w:r>
        <w:t xml:space="preserve">rential withdrawal for protocol </w:t>
      </w:r>
      <w:r w:rsidR="0069294F" w:rsidRPr="0069294F">
        <w:t>specified ECG and Holter ab</w:t>
      </w:r>
      <w:r>
        <w:t xml:space="preserve">normalities in the 52 week long </w:t>
      </w:r>
      <w:r w:rsidR="0069294F" w:rsidRPr="0069294F">
        <w:t xml:space="preserve">term safety study (DB2113359) complicates the interpretation of the cardiovascular safety data. GSK recognises that although a higher number of patient withdrawals were observed in the long-term safety study due to Holter/ECG abnormalities in the active treatment groups compared with placebo, the majority of the ECG abnormalities leading to withdrawal were unlikely to have </w:t>
      </w:r>
      <w:proofErr w:type="spellStart"/>
      <w:r w:rsidR="0069294F" w:rsidRPr="0069294F">
        <w:t>lead</w:t>
      </w:r>
      <w:proofErr w:type="spellEnd"/>
      <w:r w:rsidR="0069294F" w:rsidRPr="0069294F">
        <w:t xml:space="preserve"> to </w:t>
      </w:r>
      <w:r w:rsidR="0069294F" w:rsidRPr="0069294F">
        <w:lastRenderedPageBreak/>
        <w:t xml:space="preserve">more severe cardiovascular </w:t>
      </w:r>
      <w:r w:rsidR="0069294F" w:rsidRPr="001222B1">
        <w:t>events (</w:t>
      </w:r>
      <w:r w:rsidR="003D5872" w:rsidRPr="001222B1">
        <w:t>Table</w:t>
      </w:r>
      <w:r w:rsidR="001222B1">
        <w:t>s</w:t>
      </w:r>
      <w:r w:rsidR="003D5872" w:rsidRPr="001222B1">
        <w:t xml:space="preserve"> </w:t>
      </w:r>
      <w:r w:rsidR="00152B78">
        <w:t>20 and 21</w:t>
      </w:r>
      <w:r w:rsidR="0069294F" w:rsidRPr="001222B1">
        <w:t xml:space="preserve">). </w:t>
      </w:r>
      <w:r w:rsidR="0069294F" w:rsidRPr="0069294F">
        <w:t xml:space="preserve">None of these ECG or Holter withdrawals </w:t>
      </w:r>
      <w:proofErr w:type="gramStart"/>
      <w:r w:rsidR="0069294F" w:rsidRPr="0069294F">
        <w:t>were</w:t>
      </w:r>
      <w:proofErr w:type="gramEnd"/>
      <w:r w:rsidR="0069294F" w:rsidRPr="0069294F">
        <w:t xml:space="preserve"> associated with any concurrent clinically relevant symptoms. Overall, withdrawal rates were similar between the place</w:t>
      </w:r>
      <w:r w:rsidR="005746DB">
        <w:t>bo group and active treatments.</w:t>
      </w:r>
    </w:p>
    <w:p w:rsidR="003D5872" w:rsidRDefault="00152B78" w:rsidP="007831A2">
      <w:pPr>
        <w:pStyle w:val="TableTitle"/>
      </w:pPr>
      <w:proofErr w:type="gramStart"/>
      <w:r>
        <w:t>Table 21</w:t>
      </w:r>
      <w:r w:rsidR="003D5872">
        <w:t>.</w:t>
      </w:r>
      <w:proofErr w:type="gramEnd"/>
      <w:r w:rsidR="003D5872">
        <w:t xml:space="preserve"> </w:t>
      </w:r>
      <w:r w:rsidR="003D5872" w:rsidRPr="003D5872">
        <w:t>Holter Abnormality Findings Meeting the Withdrawal Criteria for Subjects with a Holter Protocol-Defined Stopping Criteria as the Primary Reason for Withdrawal (DB2113359, ITT Population)</w:t>
      </w:r>
      <w:r w:rsidR="003D5872">
        <w:t>.</w:t>
      </w:r>
    </w:p>
    <w:p w:rsidR="003D5872" w:rsidRPr="0069294F" w:rsidRDefault="003D5872" w:rsidP="007831A2">
      <w:r>
        <w:rPr>
          <w:noProof/>
          <w:lang w:eastAsia="en-AU"/>
        </w:rPr>
        <w:drawing>
          <wp:inline distT="0" distB="0" distL="0" distR="0" wp14:anchorId="72761390" wp14:editId="36D97107">
            <wp:extent cx="5400040" cy="2126554"/>
            <wp:effectExtent l="0" t="0" r="0" b="7620"/>
            <wp:docPr id="7" name="Picture 7" descr="Table 21. Holter Abnormality Findings Meeting the Withdrawal Criteria for Subjects with a Holter Protocol-Defined Stopping Criteria as the Primary Reason for Withdrawal (DB211335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126554"/>
                    </a:xfrm>
                    <a:prstGeom prst="rect">
                      <a:avLst/>
                    </a:prstGeom>
                  </pic:spPr>
                </pic:pic>
              </a:graphicData>
            </a:graphic>
          </wp:inline>
        </w:drawing>
      </w:r>
    </w:p>
    <w:p w:rsidR="0069294F" w:rsidRDefault="0069294F" w:rsidP="001752EA">
      <w:r w:rsidRPr="0069294F">
        <w:t>The exp</w:t>
      </w:r>
      <w:r w:rsidR="00D76AFA">
        <w:t xml:space="preserve">osure </w:t>
      </w:r>
      <w:r w:rsidRPr="0069294F">
        <w:t>adjusted incidence of cardiovascular AEs, including serious cardiovascular AEs (</w:t>
      </w:r>
      <w:r w:rsidR="006C586A">
        <w:t>that is,</w:t>
      </w:r>
      <w:r w:rsidRPr="0069294F">
        <w:t xml:space="preserve"> myocardial infarction) reported in UMEC/VI studies were similar to those reported in the general COPD population, including observational studies with LABAs and </w:t>
      </w:r>
      <w:r w:rsidR="003476A7" w:rsidRPr="003476A7">
        <w:t>TIO</w:t>
      </w:r>
      <w:r w:rsidRPr="0069294F">
        <w:t xml:space="preserve">, as well as a pooled analysis of </w:t>
      </w:r>
      <w:r w:rsidR="003476A7" w:rsidRPr="003476A7">
        <w:t>TIO</w:t>
      </w:r>
      <w:r w:rsidRPr="0069294F">
        <w:t xml:space="preserve"> trials including UPLIFT</w:t>
      </w:r>
      <w:r w:rsidR="00D76AFA">
        <w:rPr>
          <w:rStyle w:val="FootnoteReference"/>
        </w:rPr>
        <w:footnoteReference w:id="34"/>
      </w:r>
      <w:r w:rsidRPr="0069294F">
        <w:t xml:space="preserve"> (Table </w:t>
      </w:r>
      <w:r w:rsidR="00152B78">
        <w:t>22</w:t>
      </w:r>
      <w:r w:rsidRPr="0069294F">
        <w:t>). A similar pattern was</w:t>
      </w:r>
      <w:r w:rsidR="00D76AFA">
        <w:t xml:space="preserve"> also noted in the 52 week long </w:t>
      </w:r>
      <w:r w:rsidRPr="0069294F">
        <w:t>term safety study (DB2113359). This suggests that any small imbalances noted in individual events in these categories are likely due to</w:t>
      </w:r>
      <w:r w:rsidR="004A7626">
        <w:t xml:space="preserve"> chance and are not a treatment </w:t>
      </w:r>
      <w:r w:rsidRPr="0069294F">
        <w:t>related effect.</w:t>
      </w:r>
    </w:p>
    <w:p w:rsidR="0069294F" w:rsidRDefault="00062E35" w:rsidP="007831A2">
      <w:pPr>
        <w:pStyle w:val="TableTitle"/>
      </w:pPr>
      <w:r>
        <w:t xml:space="preserve">Table </w:t>
      </w:r>
      <w:r w:rsidR="00152B78">
        <w:t>22</w:t>
      </w:r>
      <w:r w:rsidR="00D76AFA">
        <w:t>: Exposure adjusted incidence of CV adverse e</w:t>
      </w:r>
      <w:r w:rsidR="0069294F" w:rsidRPr="0069294F">
        <w:t>vents in the COPD Population compared with UMEC/VI</w:t>
      </w:r>
      <w:r w:rsidR="00D76AFA">
        <w:t>.</w:t>
      </w:r>
      <w:r w:rsidR="0069294F" w:rsidRPr="0069294F">
        <w:t xml:space="preserve"> Phase </w:t>
      </w:r>
      <w:proofErr w:type="spellStart"/>
      <w:r w:rsidR="0069294F" w:rsidRPr="0069294F">
        <w:t>IIIa</w:t>
      </w:r>
      <w:proofErr w:type="spellEnd"/>
      <w:r w:rsidR="0069294F" w:rsidRPr="0069294F">
        <w:t xml:space="preserve"> studies</w:t>
      </w:r>
      <w:r w:rsidR="00D76AFA">
        <w:t>.</w:t>
      </w:r>
    </w:p>
    <w:p w:rsidR="0069294F" w:rsidRDefault="0069294F" w:rsidP="00A4483F">
      <w:r>
        <w:rPr>
          <w:noProof/>
          <w:lang w:eastAsia="en-AU"/>
        </w:rPr>
        <w:drawing>
          <wp:inline distT="0" distB="0" distL="0" distR="0" wp14:anchorId="4ED1DACE" wp14:editId="63C3F2B1">
            <wp:extent cx="5400040" cy="3010407"/>
            <wp:effectExtent l="0" t="0" r="0" b="0"/>
            <wp:docPr id="9" name="Picture 9" descr="Table 22: Exposure adjusted incidence of CV adverse events in the COPD Population compared with UMEC/VI. Phase III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010407"/>
                    </a:xfrm>
                    <a:prstGeom prst="rect">
                      <a:avLst/>
                    </a:prstGeom>
                  </pic:spPr>
                </pic:pic>
              </a:graphicData>
            </a:graphic>
          </wp:inline>
        </w:drawing>
      </w:r>
    </w:p>
    <w:p w:rsidR="0069294F" w:rsidRDefault="0069294F" w:rsidP="001752EA">
      <w:r w:rsidRPr="0069294F">
        <w:t xml:space="preserve">Whilst the </w:t>
      </w:r>
      <w:proofErr w:type="spellStart"/>
      <w:r w:rsidRPr="0069294F">
        <w:t>Anoro</w:t>
      </w:r>
      <w:proofErr w:type="spellEnd"/>
      <w:r w:rsidRPr="0069294F">
        <w:t xml:space="preserve"> </w:t>
      </w:r>
      <w:proofErr w:type="spellStart"/>
      <w:r w:rsidRPr="0069294F">
        <w:t>Ellipta</w:t>
      </w:r>
      <w:proofErr w:type="spellEnd"/>
      <w:r w:rsidRPr="0069294F">
        <w:t xml:space="preserve"> saf</w:t>
      </w:r>
      <w:r w:rsidR="00D76AFA">
        <w:t>ety data are reassuring, cardio</w:t>
      </w:r>
      <w:r w:rsidRPr="0069294F">
        <w:t xml:space="preserve"> and cerebrovascular disorders have been included as an important potential risk in the </w:t>
      </w:r>
      <w:proofErr w:type="spellStart"/>
      <w:r w:rsidRPr="0069294F">
        <w:t>Anoro</w:t>
      </w:r>
      <w:proofErr w:type="spellEnd"/>
      <w:r w:rsidRPr="0069294F">
        <w:t xml:space="preserve"> </w:t>
      </w:r>
      <w:proofErr w:type="spellStart"/>
      <w:r w:rsidRPr="0069294F">
        <w:t>Ellipta</w:t>
      </w:r>
      <w:proofErr w:type="spellEnd"/>
      <w:r w:rsidRPr="0069294F">
        <w:t xml:space="preserve"> </w:t>
      </w:r>
      <w:r w:rsidR="000B6CC7">
        <w:t>EU RMP</w:t>
      </w:r>
      <w:r w:rsidRPr="0069294F">
        <w:t xml:space="preserve"> and a comprehensive pharmacovigilance plan is proposed to further e</w:t>
      </w:r>
      <w:r w:rsidR="00D76AFA">
        <w:t xml:space="preserve">valuate and characterise </w:t>
      </w:r>
      <w:r w:rsidR="00D76AFA">
        <w:lastRenderedPageBreak/>
        <w:t>cardio</w:t>
      </w:r>
      <w:r w:rsidRPr="0069294F">
        <w:t xml:space="preserve"> and cerebrovascular disorders. As part of the EU RMP, </w:t>
      </w:r>
      <w:r w:rsidR="00D76AFA">
        <w:t xml:space="preserve">GSK plans to undertake two </w:t>
      </w:r>
      <w:r w:rsidR="001A50F1">
        <w:t>PASS</w:t>
      </w:r>
      <w:r w:rsidRPr="0069294F">
        <w:t xml:space="preserve"> to collect data from a larger ‘real world’ dataset to determine the overall absolute and relative risks (</w:t>
      </w:r>
      <w:r w:rsidR="00A96E8F">
        <w:t>Study</w:t>
      </w:r>
      <w:r w:rsidRPr="0069294F">
        <w:t xml:space="preserve"> 201038 and WWE117397). In addition, GSK has included text in the </w:t>
      </w:r>
      <w:r w:rsidRPr="0069294F">
        <w:rPr>
          <w:i/>
          <w:iCs/>
        </w:rPr>
        <w:t xml:space="preserve">Precautions </w:t>
      </w:r>
      <w:r w:rsidRPr="0069294F">
        <w:t xml:space="preserve">section of the </w:t>
      </w:r>
      <w:r w:rsidR="00D76AFA">
        <w:t>PI</w:t>
      </w:r>
      <w:r w:rsidRPr="0069294F">
        <w:t xml:space="preserve"> advising of potential cardiovascular effects and that caution should therefore be used in treating patients with severe cardiovascular disease. Furthermore, GSK has included the adverse drug reactions (ADRs) tachycardia, supraventricular tachycardia and atrial fibrillation in the </w:t>
      </w:r>
      <w:r w:rsidRPr="0069294F">
        <w:rPr>
          <w:i/>
          <w:iCs/>
        </w:rPr>
        <w:t xml:space="preserve">Adverse Effects </w:t>
      </w:r>
      <w:r w:rsidRPr="0069294F">
        <w:t>section of the PI, as these events had an incidence of 1% for either UMEC/VI dose and greater than placebo, and were considered to be potentially related to UMEC/VI. Any further characterisation of the incidence, nature and outcome of the cardiovascular risk will be managed with updates to the PI as required.</w:t>
      </w:r>
    </w:p>
    <w:p w:rsidR="0069294F" w:rsidRPr="0069294F" w:rsidRDefault="00D76AFA" w:rsidP="001752EA">
      <w:pPr>
        <w:pStyle w:val="Heading5"/>
      </w:pPr>
      <w:r>
        <w:t>Other issues raised by the</w:t>
      </w:r>
      <w:r w:rsidR="0069294F" w:rsidRPr="0069294F">
        <w:t xml:space="preserve"> </w:t>
      </w:r>
      <w:r w:rsidR="00A4483F">
        <w:t>d</w:t>
      </w:r>
      <w:r w:rsidR="0069294F" w:rsidRPr="0069294F">
        <w:t xml:space="preserve">elegate </w:t>
      </w:r>
    </w:p>
    <w:p w:rsidR="001222B1" w:rsidRDefault="001222B1" w:rsidP="001752EA">
      <w:pPr>
        <w:pStyle w:val="Heading6"/>
      </w:pPr>
      <w:r>
        <w:t xml:space="preserve">Issues raised by the </w:t>
      </w:r>
      <w:r w:rsidRPr="001222B1">
        <w:t>Advisory Committee on the Safety of Medicines</w:t>
      </w:r>
    </w:p>
    <w:p w:rsidR="0069294F" w:rsidRDefault="00D76AFA" w:rsidP="001752EA">
      <w:r>
        <w:t>The</w:t>
      </w:r>
      <w:r w:rsidR="0069294F" w:rsidRPr="0069294F">
        <w:t xml:space="preserve"> Delegate noted that the </w:t>
      </w:r>
      <w:r>
        <w:t>ACSOM</w:t>
      </w:r>
      <w:r w:rsidR="0069294F" w:rsidRPr="0069294F">
        <w:t xml:space="preserve"> were concerned about the use of </w:t>
      </w:r>
      <w:proofErr w:type="spellStart"/>
      <w:r w:rsidR="0069294F" w:rsidRPr="0069294F">
        <w:t>Anoro</w:t>
      </w:r>
      <w:proofErr w:type="spellEnd"/>
      <w:r w:rsidR="0069294F" w:rsidRPr="0069294F">
        <w:t xml:space="preserve"> </w:t>
      </w:r>
      <w:proofErr w:type="spellStart"/>
      <w:r w:rsidR="0069294F" w:rsidRPr="0069294F">
        <w:t>E</w:t>
      </w:r>
      <w:r>
        <w:t>llipta</w:t>
      </w:r>
      <w:proofErr w:type="spellEnd"/>
      <w:r>
        <w:t xml:space="preserve"> in COPD patients with co </w:t>
      </w:r>
      <w:r w:rsidR="0069294F" w:rsidRPr="0069294F">
        <w:t>morbid asthma and that a LAMA/LABA combination poses the risk of patients receiving a LABA without an ICS. GSK acknowledges this risk and agrees w</w:t>
      </w:r>
      <w:r w:rsidR="000A2B47">
        <w:t xml:space="preserve">ith ACSOM’s advice that any off </w:t>
      </w:r>
      <w:r w:rsidR="0069294F" w:rsidRPr="0069294F">
        <w:t xml:space="preserve">label use would have to be managed by the prescriber. To minimise this risk, GSK has included text in the </w:t>
      </w:r>
      <w:r w:rsidR="0069294F" w:rsidRPr="0069294F">
        <w:rPr>
          <w:i/>
          <w:iCs/>
        </w:rPr>
        <w:t xml:space="preserve">Precautions </w:t>
      </w:r>
      <w:r w:rsidR="0069294F" w:rsidRPr="0069294F">
        <w:t xml:space="preserve">section of the PI stating that </w:t>
      </w:r>
      <w:r w:rsidR="0069294F" w:rsidRPr="0069294F">
        <w:rPr>
          <w:i/>
          <w:iCs/>
        </w:rPr>
        <w:t>“</w:t>
      </w:r>
      <w:proofErr w:type="spellStart"/>
      <w:r w:rsidR="0069294F" w:rsidRPr="0069294F">
        <w:rPr>
          <w:i/>
          <w:iCs/>
        </w:rPr>
        <w:t>A</w:t>
      </w:r>
      <w:r w:rsidR="000B6CC7" w:rsidRPr="0069294F">
        <w:rPr>
          <w:i/>
          <w:iCs/>
        </w:rPr>
        <w:t>noro</w:t>
      </w:r>
      <w:proofErr w:type="spellEnd"/>
      <w:r w:rsidR="0069294F" w:rsidRPr="0069294F">
        <w:rPr>
          <w:i/>
          <w:iCs/>
        </w:rPr>
        <w:t xml:space="preserve"> </w:t>
      </w:r>
      <w:proofErr w:type="spellStart"/>
      <w:r w:rsidR="0069294F" w:rsidRPr="0069294F">
        <w:rPr>
          <w:i/>
          <w:iCs/>
        </w:rPr>
        <w:t>E</w:t>
      </w:r>
      <w:r w:rsidR="000B6CC7" w:rsidRPr="0069294F">
        <w:rPr>
          <w:i/>
          <w:iCs/>
        </w:rPr>
        <w:t>llipta</w:t>
      </w:r>
      <w:proofErr w:type="spellEnd"/>
      <w:r w:rsidR="0069294F" w:rsidRPr="0069294F">
        <w:rPr>
          <w:i/>
          <w:iCs/>
        </w:rPr>
        <w:t xml:space="preserve"> should not be used in patients with asthma”</w:t>
      </w:r>
      <w:r w:rsidR="0069294F" w:rsidRPr="0069294F">
        <w:t>. In addition</w:t>
      </w:r>
      <w:r w:rsidR="000A2B47">
        <w:t xml:space="preserve">, GSK will be examining any off label use in a post </w:t>
      </w:r>
      <w:r w:rsidR="0069294F" w:rsidRPr="0069294F">
        <w:t>authorisation study (WWE117397) described in the most recent EU RMP (version 5.0, dated 28 January 2014), which will be submitted to the TGA.</w:t>
      </w:r>
    </w:p>
    <w:p w:rsidR="0069294F" w:rsidRDefault="000A2B47" w:rsidP="001752EA">
      <w:r>
        <w:t>The</w:t>
      </w:r>
      <w:r w:rsidR="0069294F" w:rsidRPr="0069294F">
        <w:t xml:space="preserve"> Delegate also noted ACSOM’s conce</w:t>
      </w:r>
      <w:r>
        <w:t xml:space="preserve">rns about the potential for off </w:t>
      </w:r>
      <w:r w:rsidR="0069294F" w:rsidRPr="0069294F">
        <w:t xml:space="preserve">label use of </w:t>
      </w:r>
      <w:proofErr w:type="spellStart"/>
      <w:r w:rsidR="0069294F" w:rsidRPr="0069294F">
        <w:t>Anoro</w:t>
      </w:r>
      <w:proofErr w:type="spellEnd"/>
      <w:r w:rsidR="0069294F" w:rsidRPr="0069294F">
        <w:t xml:space="preserve"> </w:t>
      </w:r>
      <w:proofErr w:type="spellStart"/>
      <w:r w:rsidR="0069294F" w:rsidRPr="0069294F">
        <w:t>Ellipta</w:t>
      </w:r>
      <w:proofErr w:type="spellEnd"/>
      <w:r w:rsidR="0069294F" w:rsidRPr="0069294F">
        <w:t xml:space="preserve"> in children with asthma, as it may appear an attractive alternative to ICS use. GSK acknowledges these concerns and has strengthened the </w:t>
      </w:r>
      <w:r w:rsidR="0069294F" w:rsidRPr="0069294F">
        <w:rPr>
          <w:i/>
          <w:iCs/>
        </w:rPr>
        <w:t xml:space="preserve">Precautions </w:t>
      </w:r>
      <w:r w:rsidR="0069294F" w:rsidRPr="0069294F">
        <w:t xml:space="preserve">statement in the proposed PI to </w:t>
      </w:r>
      <w:r w:rsidR="0069294F" w:rsidRPr="0069294F">
        <w:rPr>
          <w:i/>
          <w:iCs/>
        </w:rPr>
        <w:t>“</w:t>
      </w:r>
      <w:proofErr w:type="spellStart"/>
      <w:r w:rsidR="0069294F" w:rsidRPr="0069294F">
        <w:rPr>
          <w:i/>
          <w:iCs/>
        </w:rPr>
        <w:t>A</w:t>
      </w:r>
      <w:r w:rsidR="000B6CC7" w:rsidRPr="0069294F">
        <w:rPr>
          <w:i/>
          <w:iCs/>
        </w:rPr>
        <w:t>noro</w:t>
      </w:r>
      <w:proofErr w:type="spellEnd"/>
      <w:r w:rsidR="0069294F" w:rsidRPr="0069294F">
        <w:rPr>
          <w:i/>
          <w:iCs/>
        </w:rPr>
        <w:t xml:space="preserve"> </w:t>
      </w:r>
      <w:proofErr w:type="spellStart"/>
      <w:r w:rsidR="0069294F" w:rsidRPr="0069294F">
        <w:rPr>
          <w:i/>
          <w:iCs/>
        </w:rPr>
        <w:t>E</w:t>
      </w:r>
      <w:r w:rsidR="000B6CC7" w:rsidRPr="0069294F">
        <w:rPr>
          <w:i/>
          <w:iCs/>
        </w:rPr>
        <w:t>llipta</w:t>
      </w:r>
      <w:proofErr w:type="spellEnd"/>
      <w:r w:rsidR="0069294F" w:rsidRPr="0069294F">
        <w:rPr>
          <w:i/>
          <w:iCs/>
        </w:rPr>
        <w:t xml:space="preserve"> should not be used in children.” </w:t>
      </w:r>
      <w:r w:rsidR="0069294F" w:rsidRPr="0069294F">
        <w:t>as recom</w:t>
      </w:r>
      <w:r>
        <w:t>mended by both ACSOM and the</w:t>
      </w:r>
      <w:r w:rsidR="0069294F" w:rsidRPr="0069294F">
        <w:t xml:space="preserve"> Delegate. GSK believes that this statement along with the statement that </w:t>
      </w:r>
      <w:proofErr w:type="spellStart"/>
      <w:r w:rsidR="0069294F" w:rsidRPr="0069294F">
        <w:t>Anoro</w:t>
      </w:r>
      <w:proofErr w:type="spellEnd"/>
      <w:r w:rsidR="0069294F" w:rsidRPr="0069294F">
        <w:t xml:space="preserve"> </w:t>
      </w:r>
      <w:proofErr w:type="spellStart"/>
      <w:r w:rsidR="0069294F" w:rsidRPr="0069294F">
        <w:t>Ellipta</w:t>
      </w:r>
      <w:proofErr w:type="spellEnd"/>
      <w:r w:rsidR="0069294F" w:rsidRPr="0069294F">
        <w:t xml:space="preserve"> should not be used for the treatment of asthma will minimis</w:t>
      </w:r>
      <w:r>
        <w:t xml:space="preserve">e the risk of any potential off </w:t>
      </w:r>
      <w:r w:rsidR="0069294F" w:rsidRPr="0069294F">
        <w:t xml:space="preserve">label use in children. The fact that the </w:t>
      </w:r>
      <w:proofErr w:type="spellStart"/>
      <w:r w:rsidR="0069294F" w:rsidRPr="0069294F">
        <w:t>Anoro</w:t>
      </w:r>
      <w:proofErr w:type="spellEnd"/>
      <w:r w:rsidR="0069294F" w:rsidRPr="0069294F">
        <w:t xml:space="preserve"> </w:t>
      </w:r>
      <w:proofErr w:type="spellStart"/>
      <w:r w:rsidR="0069294F" w:rsidRPr="0069294F">
        <w:t>Ellipta</w:t>
      </w:r>
      <w:proofErr w:type="spellEnd"/>
      <w:r w:rsidR="0069294F" w:rsidRPr="0069294F">
        <w:t xml:space="preserve"> device is a dry powder inhaler instead of an aerosol metered dose inhaler, which is the recommended inhaler for children, also minimises the risk </w:t>
      </w:r>
      <w:r>
        <w:t xml:space="preserve">of off </w:t>
      </w:r>
      <w:r w:rsidR="0069294F" w:rsidRPr="0069294F">
        <w:t>label use in children. An analysis of Medicare prescribing data has found that over 99.9% of available LAMAs and LABAs have been prescribed to patients over 18 years in the past 12 months providing further reassurance that prescribers are using LAMAs and LABAs in appropriate populations.</w:t>
      </w:r>
    </w:p>
    <w:p w:rsidR="0069294F" w:rsidRDefault="0069294F" w:rsidP="001752EA">
      <w:r w:rsidRPr="0069294F">
        <w:t>To f</w:t>
      </w:r>
      <w:r w:rsidR="000A2B47">
        <w:t xml:space="preserve">urther minimise the risk of off </w:t>
      </w:r>
      <w:r w:rsidRPr="0069294F">
        <w:t xml:space="preserve">label use, GSK will provide educational materials to prescribers on the appropriate use of </w:t>
      </w:r>
      <w:proofErr w:type="spellStart"/>
      <w:r w:rsidRPr="0069294F">
        <w:t>Ano</w:t>
      </w:r>
      <w:r w:rsidR="000A2B47">
        <w:t>ro</w:t>
      </w:r>
      <w:proofErr w:type="spellEnd"/>
      <w:r w:rsidR="000A2B47">
        <w:t xml:space="preserve"> </w:t>
      </w:r>
      <w:proofErr w:type="spellStart"/>
      <w:r w:rsidR="000A2B47">
        <w:t>Ellipta</w:t>
      </w:r>
      <w:proofErr w:type="spellEnd"/>
      <w:r w:rsidR="000A2B47">
        <w:t xml:space="preserve"> and will monitor off </w:t>
      </w:r>
      <w:r w:rsidRPr="0069294F">
        <w:t>lab</w:t>
      </w:r>
      <w:r w:rsidR="000A2B47">
        <w:t>el use through PBRERs</w:t>
      </w:r>
      <w:r w:rsidRPr="0069294F">
        <w:t>.</w:t>
      </w:r>
    </w:p>
    <w:p w:rsidR="001222B1" w:rsidRDefault="001222B1" w:rsidP="001752EA">
      <w:pPr>
        <w:pStyle w:val="Heading6"/>
      </w:pPr>
      <w:r w:rsidRPr="001222B1">
        <w:t>Any post-marketing studies must be submitted to the TGA for evaluation as soon as they are available.</w:t>
      </w:r>
    </w:p>
    <w:p w:rsidR="001222B1" w:rsidRPr="001222B1" w:rsidRDefault="001222B1" w:rsidP="001222B1">
      <w:r w:rsidRPr="001752EA">
        <w:rPr>
          <w:b/>
        </w:rPr>
        <w:t>Company response</w:t>
      </w:r>
      <w:r w:rsidRPr="001222B1">
        <w:t>:</w:t>
      </w:r>
      <w:r w:rsidR="001752EA">
        <w:t xml:space="preserve"> </w:t>
      </w:r>
      <w:r w:rsidRPr="001222B1">
        <w:t xml:space="preserve">GSK plans to undertake two post authorisation studies to assess the absolute and relative risks of cardio- and cerebrovascular disorders in patients with COPD using </w:t>
      </w:r>
      <w:proofErr w:type="spellStart"/>
      <w:r w:rsidRPr="001222B1">
        <w:t>Anoro</w:t>
      </w:r>
      <w:proofErr w:type="spellEnd"/>
      <w:r w:rsidRPr="001222B1">
        <w:t xml:space="preserve"> </w:t>
      </w:r>
      <w:proofErr w:type="spellStart"/>
      <w:r w:rsidRPr="001222B1">
        <w:t>Ellipta</w:t>
      </w:r>
      <w:proofErr w:type="spellEnd"/>
      <w:r w:rsidRPr="001222B1">
        <w:t xml:space="preserve"> and </w:t>
      </w:r>
      <w:proofErr w:type="spellStart"/>
      <w:r w:rsidRPr="001222B1">
        <w:t>Incruse</w:t>
      </w:r>
      <w:proofErr w:type="spellEnd"/>
      <w:r w:rsidRPr="001222B1">
        <w:t xml:space="preserve"> </w:t>
      </w:r>
      <w:proofErr w:type="spellStart"/>
      <w:r w:rsidRPr="001222B1">
        <w:t>Ellipta</w:t>
      </w:r>
      <w:proofErr w:type="spellEnd"/>
      <w:r w:rsidRPr="001222B1">
        <w:t xml:space="preserve"> (Study 201038), and to assess off-label use (WWE117397), as described in the EU RMP (version 5.0, dated 28 January 2014). GSK commits to submitting the final study reports for these studies to the TGA as soon as they are available</w:t>
      </w:r>
      <w:r w:rsidR="00A4483F">
        <w:t>.</w:t>
      </w:r>
    </w:p>
    <w:p w:rsidR="008E7846" w:rsidRDefault="008E7846" w:rsidP="001752EA">
      <w:pPr>
        <w:pStyle w:val="Heading4"/>
      </w:pPr>
      <w:r>
        <w:t xml:space="preserve">Advisory </w:t>
      </w:r>
      <w:r w:rsidR="001D05AF">
        <w:t>c</w:t>
      </w:r>
      <w:r>
        <w:t xml:space="preserve">ommittee </w:t>
      </w:r>
      <w:r w:rsidR="001D05AF">
        <w:t>c</w:t>
      </w:r>
      <w:r>
        <w:t>onsiderations</w:t>
      </w:r>
    </w:p>
    <w:p w:rsidR="008E7846" w:rsidRDefault="00D23139" w:rsidP="001752EA">
      <w:r w:rsidRPr="00D23139">
        <w:t xml:space="preserve">The </w:t>
      </w:r>
      <w:r w:rsidR="000B6CC7">
        <w:t>ACPM,</w:t>
      </w:r>
      <w:r w:rsidRPr="00D23139">
        <w:t xml:space="preserve"> having considered the evaluations and the Delegate’s overview, as well as the sponsor’s response to these documents, advised the following:</w:t>
      </w:r>
    </w:p>
    <w:p w:rsidR="00EB59AD" w:rsidRPr="004C5B1F" w:rsidRDefault="00EB59AD" w:rsidP="001752EA">
      <w:r w:rsidRPr="00EA501C">
        <w:t xml:space="preserve">The submission seeks to register a </w:t>
      </w:r>
      <w:r w:rsidRPr="004C5B1F">
        <w:rPr>
          <w:noProof/>
        </w:rPr>
        <w:t>new chemical entity</w:t>
      </w:r>
      <w:r w:rsidRPr="004C5B1F">
        <w:t>.</w:t>
      </w:r>
    </w:p>
    <w:p w:rsidR="00EB59AD" w:rsidRPr="00C90863" w:rsidRDefault="00EB59AD" w:rsidP="001752EA">
      <w:r w:rsidRPr="00C90863">
        <w:lastRenderedPageBreak/>
        <w:t xml:space="preserve">The ACPM, taking into account the submitted evidence of efficacy, safety and quality, agreed with the delegate and considered </w:t>
      </w:r>
      <w:proofErr w:type="spellStart"/>
      <w:r w:rsidRPr="00647F1D">
        <w:t>A</w:t>
      </w:r>
      <w:r w:rsidR="00C90863" w:rsidRPr="00647F1D">
        <w:t>noro</w:t>
      </w:r>
      <w:proofErr w:type="spellEnd"/>
      <w:r w:rsidRPr="00647F1D">
        <w:t xml:space="preserve"> </w:t>
      </w:r>
      <w:proofErr w:type="spellStart"/>
      <w:r w:rsidRPr="00647F1D">
        <w:t>E</w:t>
      </w:r>
      <w:r w:rsidR="00C90863" w:rsidRPr="00647F1D">
        <w:t>llipta</w:t>
      </w:r>
      <w:proofErr w:type="spellEnd"/>
      <w:r w:rsidRPr="00647F1D">
        <w:t xml:space="preserve"> </w:t>
      </w:r>
      <w:r w:rsidRPr="00C90863">
        <w:t xml:space="preserve">dry powder inhalation administered by </w:t>
      </w:r>
      <w:r w:rsidRPr="00BA40AE">
        <w:t xml:space="preserve">the </w:t>
      </w:r>
      <w:proofErr w:type="spellStart"/>
      <w:r w:rsidRPr="00BA40AE">
        <w:t>E</w:t>
      </w:r>
      <w:r w:rsidR="000B6CC7" w:rsidRPr="00BA40AE">
        <w:t>llipta</w:t>
      </w:r>
      <w:proofErr w:type="spellEnd"/>
      <w:r w:rsidRPr="00BA40AE">
        <w:t xml:space="preserve"> </w:t>
      </w:r>
      <w:r w:rsidRPr="00C90863">
        <w:t>inhaler device, containing 62.5</w:t>
      </w:r>
      <w:r w:rsidR="000B6CC7">
        <w:t xml:space="preserve"> </w:t>
      </w:r>
      <w:r w:rsidRPr="00C90863">
        <w:t>µg of umeclidinium bromide and 25 µg of vilanterol trifenatate to h</w:t>
      </w:r>
      <w:r w:rsidR="00A35829">
        <w:t>ave an overall positive benefit-</w:t>
      </w:r>
      <w:r w:rsidRPr="00C90863">
        <w:t>r</w:t>
      </w:r>
      <w:r w:rsidR="00A35829">
        <w:t>isk profile for the indication;</w:t>
      </w:r>
    </w:p>
    <w:p w:rsidR="00EB59AD" w:rsidRPr="00C90863" w:rsidRDefault="00BA40AE" w:rsidP="00EB59AD">
      <w:pPr>
        <w:spacing w:after="240"/>
        <w:ind w:left="567"/>
        <w:rPr>
          <w:rFonts w:cs="Calibri"/>
          <w:bCs/>
          <w:i/>
        </w:rPr>
      </w:pPr>
      <w:proofErr w:type="spellStart"/>
      <w:r w:rsidRPr="00BA40AE">
        <w:rPr>
          <w:rFonts w:cs="Calibri"/>
          <w:bCs/>
          <w:i/>
        </w:rPr>
        <w:t>Anoro</w:t>
      </w:r>
      <w:proofErr w:type="spellEnd"/>
      <w:r w:rsidRPr="00BA40AE">
        <w:rPr>
          <w:rFonts w:cs="Calibri"/>
          <w:bCs/>
          <w:i/>
        </w:rPr>
        <w:t xml:space="preserve"> </w:t>
      </w:r>
      <w:proofErr w:type="spellStart"/>
      <w:r w:rsidRPr="00BA40AE">
        <w:rPr>
          <w:rFonts w:cs="Calibri"/>
          <w:bCs/>
          <w:i/>
        </w:rPr>
        <w:t>Ellipta</w:t>
      </w:r>
      <w:proofErr w:type="spellEnd"/>
      <w:r w:rsidRPr="00BA40AE">
        <w:rPr>
          <w:rFonts w:cs="Calibri"/>
          <w:bCs/>
          <w:i/>
        </w:rPr>
        <w:t xml:space="preserve"> is indicated</w:t>
      </w:r>
      <w:r w:rsidRPr="00BA40AE">
        <w:rPr>
          <w:rFonts w:cs="Calibri"/>
          <w:b/>
          <w:bCs/>
          <w:i/>
        </w:rPr>
        <w:t xml:space="preserve"> </w:t>
      </w:r>
      <w:r w:rsidR="00EB59AD" w:rsidRPr="00C90863">
        <w:rPr>
          <w:rFonts w:cs="Calibri"/>
          <w:bCs/>
          <w:i/>
        </w:rPr>
        <w:t>as a long-term once daily maintenance bronchodilator treatment to relieve symptoms in adult patients with chronic obstructive pulmonary disease (COPD)</w:t>
      </w:r>
      <w:r w:rsidR="00CD64A7">
        <w:rPr>
          <w:rFonts w:cs="Calibri"/>
          <w:bCs/>
          <w:i/>
        </w:rPr>
        <w:t>.</w:t>
      </w:r>
    </w:p>
    <w:p w:rsidR="00EB59AD" w:rsidRPr="00C90863" w:rsidRDefault="00EB59AD" w:rsidP="001752EA">
      <w:r w:rsidRPr="00C90863">
        <w:t>In makin</w:t>
      </w:r>
      <w:r w:rsidR="000B6CC7">
        <w:t>g this recommendation the ACPM;</w:t>
      </w:r>
    </w:p>
    <w:p w:rsidR="00EB59AD" w:rsidRPr="00C90863" w:rsidRDefault="00EB59AD" w:rsidP="001752EA">
      <w:pPr>
        <w:pStyle w:val="ListBullet"/>
      </w:pPr>
      <w:r w:rsidRPr="00C90863">
        <w:t>Noted the evaluations submitted in the concurrent monotherapy application for umeclidinium bromide also before the committee.</w:t>
      </w:r>
    </w:p>
    <w:p w:rsidR="00EB59AD" w:rsidRPr="00C90863" w:rsidRDefault="00EB59AD" w:rsidP="001752EA">
      <w:pPr>
        <w:pStyle w:val="Heading5"/>
      </w:pPr>
      <w:r w:rsidRPr="00C90863">
        <w:t>Proposed conditions of registration:</w:t>
      </w:r>
    </w:p>
    <w:p w:rsidR="00EB59AD" w:rsidRPr="00C90863" w:rsidRDefault="000B6CC7" w:rsidP="001752EA">
      <w:r>
        <w:t>The ACPM agreed with the D</w:t>
      </w:r>
      <w:r w:rsidR="00EB59AD" w:rsidRPr="00C90863">
        <w:t>elegate on the propo</w:t>
      </w:r>
      <w:r w:rsidR="00A4483F">
        <w:t>sed conditions of registration.</w:t>
      </w:r>
    </w:p>
    <w:p w:rsidR="00EB59AD" w:rsidRPr="00C90863" w:rsidRDefault="00C90863" w:rsidP="001752EA">
      <w:pPr>
        <w:pStyle w:val="Heading5"/>
      </w:pPr>
      <w:r>
        <w:t>Proposed PI/CMI</w:t>
      </w:r>
      <w:r w:rsidR="00EB59AD" w:rsidRPr="00C90863">
        <w:t xml:space="preserve"> amendments:</w:t>
      </w:r>
    </w:p>
    <w:p w:rsidR="00EB59AD" w:rsidRPr="00C90863" w:rsidRDefault="000B6CC7" w:rsidP="001752EA">
      <w:r>
        <w:t>The ACPM agreed with the D</w:t>
      </w:r>
      <w:r w:rsidR="00EB59AD" w:rsidRPr="00C90863">
        <w:t>elegate to the proposed amendments to the Product Information (PI) and Consumer Medicine Information (CMI).</w:t>
      </w:r>
    </w:p>
    <w:p w:rsidR="00EB59AD" w:rsidRPr="00C90863" w:rsidRDefault="00EB59AD" w:rsidP="001752EA">
      <w:pPr>
        <w:pStyle w:val="Heading5"/>
      </w:pPr>
      <w:r w:rsidRPr="00C90863">
        <w:t>Specific advice:</w:t>
      </w:r>
    </w:p>
    <w:p w:rsidR="00EB59AD" w:rsidRPr="00C90863" w:rsidRDefault="00EB59AD" w:rsidP="001752EA">
      <w:r w:rsidRPr="00C90863">
        <w:t>The ACPM advised the following in response to the specific delegate’s questions on this submission:</w:t>
      </w:r>
    </w:p>
    <w:p w:rsidR="00EB59AD" w:rsidRPr="00C90863" w:rsidRDefault="00EB59AD" w:rsidP="001752EA">
      <w:pPr>
        <w:pStyle w:val="Numberbullet0"/>
        <w:numPr>
          <w:ilvl w:val="0"/>
          <w:numId w:val="9"/>
        </w:numPr>
      </w:pPr>
      <w:r w:rsidRPr="00C90863">
        <w:t>Is the ACPM satisfied that efficacy has been satisfactorily established?</w:t>
      </w:r>
    </w:p>
    <w:p w:rsidR="00EB59AD" w:rsidRPr="00C90863" w:rsidRDefault="00EB59AD" w:rsidP="001752EA">
      <w:r w:rsidRPr="00C90863">
        <w:t>The ACPM advised the evidence submitted has demonstrated bronchodilation that is clinically meaningful and each component of the treatment makes a contribution to this effect.</w:t>
      </w:r>
    </w:p>
    <w:p w:rsidR="00EB59AD" w:rsidRPr="00C90863" w:rsidRDefault="00EB59AD" w:rsidP="001752EA">
      <w:pPr>
        <w:pStyle w:val="Numberbullet0"/>
      </w:pPr>
      <w:r w:rsidRPr="00C90863">
        <w:t xml:space="preserve">Does the ACPM have any safety concerns about </w:t>
      </w:r>
      <w:proofErr w:type="spellStart"/>
      <w:r w:rsidRPr="00C90863">
        <w:t>A</w:t>
      </w:r>
      <w:r w:rsidR="000B6CC7" w:rsidRPr="00C90863">
        <w:t>noro</w:t>
      </w:r>
      <w:proofErr w:type="spellEnd"/>
      <w:r w:rsidRPr="00C90863">
        <w:t xml:space="preserve"> that would preclude registration?</w:t>
      </w:r>
    </w:p>
    <w:p w:rsidR="00EB59AD" w:rsidRPr="00C90863" w:rsidRDefault="00EB59AD" w:rsidP="001752EA">
      <w:r w:rsidRPr="00C90863">
        <w:t>The ACPM advised that while no major or significant concerns are apparent from the trial data the post registration data will be important, especially in regards to cardiac safety.</w:t>
      </w:r>
    </w:p>
    <w:p w:rsidR="00913184" w:rsidRPr="000B6CC7" w:rsidRDefault="00EB59AD" w:rsidP="001752EA">
      <w:pPr>
        <w:rPr>
          <w:lang w:val="en-GB"/>
        </w:rPr>
      </w:pPr>
      <w:r w:rsidRPr="00C90863">
        <w:rPr>
          <w:lang w:val="en-GB"/>
        </w:rPr>
        <w:t xml:space="preserve">The ACPM advised that the implementation by the sponsor of the recommendations outlined above to the satisfaction of the TGA, in addition to the evidence of efficacy and safety provided would support the safe and </w:t>
      </w:r>
      <w:r w:rsidR="00A4483F">
        <w:rPr>
          <w:lang w:val="en-GB"/>
        </w:rPr>
        <w:t>effective use of this product.</w:t>
      </w:r>
    </w:p>
    <w:p w:rsidR="008E7846" w:rsidRPr="002E238E" w:rsidRDefault="008E7846" w:rsidP="001752EA">
      <w:pPr>
        <w:pStyle w:val="Heading3"/>
      </w:pPr>
      <w:bookmarkStart w:id="154" w:name="_Toc247691532"/>
      <w:bookmarkStart w:id="155" w:name="_Toc314842516"/>
      <w:bookmarkStart w:id="156" w:name="_Toc420577627"/>
      <w:bookmarkEnd w:id="112"/>
      <w:bookmarkEnd w:id="151"/>
      <w:bookmarkEnd w:id="152"/>
      <w:r>
        <w:t>Outcome</w:t>
      </w:r>
      <w:bookmarkEnd w:id="154"/>
      <w:bookmarkEnd w:id="155"/>
      <w:bookmarkEnd w:id="156"/>
    </w:p>
    <w:p w:rsidR="00D23139" w:rsidRPr="00D23139" w:rsidRDefault="00D23139" w:rsidP="001752EA">
      <w:bookmarkStart w:id="157" w:name="_Toc247691533"/>
      <w:bookmarkStart w:id="158" w:name="_Toc314842517"/>
      <w:r w:rsidRPr="00D23139">
        <w:t xml:space="preserve">Based on a review of quality, safety and efficacy, TGA approved the registration of </w:t>
      </w:r>
      <w:proofErr w:type="spellStart"/>
      <w:r w:rsidR="00FC0A6F">
        <w:t>Anoro</w:t>
      </w:r>
      <w:proofErr w:type="spellEnd"/>
      <w:r w:rsidR="00FC0A6F">
        <w:t xml:space="preserve"> </w:t>
      </w:r>
      <w:proofErr w:type="spellStart"/>
      <w:r w:rsidR="00FC0A6F" w:rsidRPr="00647F1D">
        <w:t>Ellipta</w:t>
      </w:r>
      <w:proofErr w:type="spellEnd"/>
      <w:r w:rsidR="00FC0A6F" w:rsidRPr="00647F1D">
        <w:t xml:space="preserve"> </w:t>
      </w:r>
      <w:r w:rsidR="006344BC" w:rsidRPr="00647F1D">
        <w:t xml:space="preserve">62.5/25 </w:t>
      </w:r>
      <w:proofErr w:type="spellStart"/>
      <w:r w:rsidR="00B824CD" w:rsidRPr="00647F1D">
        <w:t>Umeclidinium</w:t>
      </w:r>
      <w:proofErr w:type="spellEnd"/>
      <w:r w:rsidR="00B824CD" w:rsidRPr="00647F1D">
        <w:t xml:space="preserve"> </w:t>
      </w:r>
      <w:r w:rsidR="006344BC">
        <w:t xml:space="preserve">(as </w:t>
      </w:r>
      <w:r w:rsidR="00B824CD" w:rsidRPr="00B824CD">
        <w:t>bromide</w:t>
      </w:r>
      <w:r w:rsidR="006344BC">
        <w:t>)/</w:t>
      </w:r>
      <w:r w:rsidR="00B824CD" w:rsidRPr="00B824CD">
        <w:t xml:space="preserve">vilanterol </w:t>
      </w:r>
      <w:r w:rsidR="006344BC">
        <w:t xml:space="preserve">(as </w:t>
      </w:r>
      <w:r w:rsidR="00B824CD" w:rsidRPr="00B824CD">
        <w:t>trifenatate</w:t>
      </w:r>
      <w:r w:rsidR="006344BC">
        <w:t xml:space="preserve">) 62.5 </w:t>
      </w:r>
      <w:r w:rsidR="000B6CC7">
        <w:t>µg</w:t>
      </w:r>
      <w:r w:rsidR="006344BC">
        <w:t xml:space="preserve">/ 25 </w:t>
      </w:r>
      <w:r w:rsidR="000B6CC7" w:rsidRPr="000B6CC7">
        <w:t>µg</w:t>
      </w:r>
      <w:r w:rsidR="006344BC">
        <w:t xml:space="preserve"> powder for </w:t>
      </w:r>
      <w:r w:rsidR="006344BC" w:rsidRPr="006344BC">
        <w:t>inhalation</w:t>
      </w:r>
      <w:r w:rsidR="006344BC" w:rsidRPr="006344BC">
        <w:rPr>
          <w:rStyle w:val="InstructionaltextChar"/>
          <w:color w:val="auto"/>
        </w:rPr>
        <w:t>,</w:t>
      </w:r>
      <w:r w:rsidRPr="006344BC">
        <w:t xml:space="preserve"> indicated </w:t>
      </w:r>
      <w:r w:rsidRPr="00D23139">
        <w:t>for:</w:t>
      </w:r>
    </w:p>
    <w:p w:rsidR="00D23139" w:rsidRPr="00B824CD" w:rsidRDefault="00B824CD" w:rsidP="00B824CD">
      <w:pPr>
        <w:ind w:left="720"/>
        <w:rPr>
          <w:bCs/>
          <w:i/>
          <w:szCs w:val="24"/>
        </w:rPr>
      </w:pPr>
      <w:proofErr w:type="spellStart"/>
      <w:r w:rsidRPr="00B824CD">
        <w:rPr>
          <w:bCs/>
          <w:i/>
          <w:szCs w:val="24"/>
        </w:rPr>
        <w:t>A</w:t>
      </w:r>
      <w:r w:rsidR="00C90863" w:rsidRPr="00B824CD">
        <w:rPr>
          <w:bCs/>
          <w:i/>
          <w:szCs w:val="24"/>
        </w:rPr>
        <w:t>noro</w:t>
      </w:r>
      <w:proofErr w:type="spellEnd"/>
      <w:r w:rsidRPr="00B824CD">
        <w:rPr>
          <w:bCs/>
          <w:i/>
          <w:szCs w:val="24"/>
        </w:rPr>
        <w:t xml:space="preserve"> </w:t>
      </w:r>
      <w:proofErr w:type="spellStart"/>
      <w:r w:rsidRPr="00B824CD">
        <w:rPr>
          <w:bCs/>
          <w:i/>
          <w:szCs w:val="24"/>
        </w:rPr>
        <w:t>E</w:t>
      </w:r>
      <w:r w:rsidR="00C90863" w:rsidRPr="00B824CD">
        <w:rPr>
          <w:bCs/>
          <w:i/>
          <w:szCs w:val="24"/>
        </w:rPr>
        <w:t>llipta</w:t>
      </w:r>
      <w:proofErr w:type="spellEnd"/>
      <w:r w:rsidRPr="00B824CD">
        <w:rPr>
          <w:bCs/>
          <w:i/>
          <w:szCs w:val="24"/>
        </w:rPr>
        <w:t xml:space="preserve"> is indicated</w:t>
      </w:r>
      <w:r w:rsidRPr="00B824CD">
        <w:rPr>
          <w:b/>
          <w:bCs/>
          <w:i/>
          <w:szCs w:val="24"/>
        </w:rPr>
        <w:t xml:space="preserve"> </w:t>
      </w:r>
      <w:r w:rsidRPr="00B824CD">
        <w:rPr>
          <w:bCs/>
          <w:i/>
          <w:szCs w:val="24"/>
        </w:rPr>
        <w:t>as a long-term once daily maintenance bronchodilator treatment to relieve symptoms in adult patients with chronic obstructive pulmonary disease (COPD)</w:t>
      </w:r>
      <w:r>
        <w:rPr>
          <w:bCs/>
          <w:i/>
          <w:szCs w:val="24"/>
        </w:rPr>
        <w:t>.</w:t>
      </w:r>
    </w:p>
    <w:p w:rsidR="00D23139" w:rsidRPr="00D23139" w:rsidRDefault="00D23139" w:rsidP="001752EA">
      <w:pPr>
        <w:pStyle w:val="Heading4"/>
      </w:pPr>
      <w:r w:rsidRPr="00D23139">
        <w:t>Specific conditions of registration applying to these goods</w:t>
      </w:r>
    </w:p>
    <w:p w:rsidR="006344BC" w:rsidRPr="006344BC" w:rsidRDefault="006344BC" w:rsidP="001752EA">
      <w:pPr>
        <w:pStyle w:val="ListBullet"/>
      </w:pPr>
      <w:r w:rsidRPr="006344BC">
        <w:t xml:space="preserve">The </w:t>
      </w:r>
      <w:proofErr w:type="spellStart"/>
      <w:r w:rsidRPr="006344BC">
        <w:t>A</w:t>
      </w:r>
      <w:r w:rsidR="00C90863" w:rsidRPr="006344BC">
        <w:t>noro</w:t>
      </w:r>
      <w:proofErr w:type="spellEnd"/>
      <w:r w:rsidRPr="006344BC">
        <w:t xml:space="preserve"> </w:t>
      </w:r>
      <w:proofErr w:type="spellStart"/>
      <w:r w:rsidRPr="006344BC">
        <w:t>E</w:t>
      </w:r>
      <w:r w:rsidR="00C90863" w:rsidRPr="006344BC">
        <w:t>llipta</w:t>
      </w:r>
      <w:proofErr w:type="spellEnd"/>
      <w:r w:rsidRPr="006344BC">
        <w:t xml:space="preserve"> </w:t>
      </w:r>
      <w:r w:rsidR="00C90863">
        <w:t>(</w:t>
      </w:r>
      <w:proofErr w:type="spellStart"/>
      <w:r w:rsidR="00C90863">
        <w:t>umeclidinium</w:t>
      </w:r>
      <w:proofErr w:type="spellEnd"/>
      <w:r w:rsidR="00C90863">
        <w:t xml:space="preserve"> bromide/</w:t>
      </w:r>
      <w:proofErr w:type="spellStart"/>
      <w:r w:rsidR="00C90863">
        <w:t>vilanterol</w:t>
      </w:r>
      <w:proofErr w:type="spellEnd"/>
      <w:r w:rsidR="00C90863">
        <w:t xml:space="preserve"> trifenatate) </w:t>
      </w:r>
      <w:r w:rsidRPr="006344BC">
        <w:t>EU Risk Management Plan IRMP), Version 30, dated 14 October 2013, with an Australian Spec</w:t>
      </w:r>
      <w:r>
        <w:t>i</w:t>
      </w:r>
      <w:r w:rsidRPr="006344BC">
        <w:t>fic Annex (</w:t>
      </w:r>
      <w:proofErr w:type="spellStart"/>
      <w:r w:rsidRPr="006344BC">
        <w:t>AsA</w:t>
      </w:r>
      <w:proofErr w:type="spellEnd"/>
      <w:r w:rsidRPr="006344BC">
        <w:t>) Version 2.0 (undated), to be</w:t>
      </w:r>
      <w:r>
        <w:t xml:space="preserve"> </w:t>
      </w:r>
      <w:r w:rsidRPr="006344BC">
        <w:t>revised as specified in the sponsor's correspondence</w:t>
      </w:r>
      <w:r>
        <w:t xml:space="preserve"> dated 4 December 2013, and any </w:t>
      </w:r>
      <w:r w:rsidRPr="006344BC">
        <w:t>subsequent revisions, as ag</w:t>
      </w:r>
      <w:r>
        <w:t>r</w:t>
      </w:r>
      <w:r w:rsidRPr="006344BC">
        <w:t>eed with the TG</w:t>
      </w:r>
      <w:r>
        <w:t>A will be impl</w:t>
      </w:r>
      <w:r w:rsidRPr="006344BC">
        <w:t>emented in Australia.</w:t>
      </w:r>
    </w:p>
    <w:p w:rsidR="00D23139" w:rsidRDefault="006344BC" w:rsidP="001752EA">
      <w:pPr>
        <w:pStyle w:val="ListBullet"/>
      </w:pPr>
      <w:r>
        <w:lastRenderedPageBreak/>
        <w:t>A</w:t>
      </w:r>
      <w:r w:rsidRPr="006344BC">
        <w:t>ny post-marketing studies must be submitted to the TGA for evaluation as soon as</w:t>
      </w:r>
      <w:r>
        <w:t xml:space="preserve"> results are available.</w:t>
      </w:r>
    </w:p>
    <w:p w:rsidR="006344BC" w:rsidRPr="006344BC" w:rsidRDefault="006344BC" w:rsidP="001752EA">
      <w:r w:rsidRPr="006961EE">
        <w:t xml:space="preserve">Details of additional specific conditions of registration applying to these goods including batch release conditions are </w:t>
      </w:r>
      <w:r w:rsidR="00A4483F">
        <w:t>beyond the scope of the AusPAR.</w:t>
      </w:r>
    </w:p>
    <w:p w:rsidR="008E7846" w:rsidRDefault="00A80B5B" w:rsidP="00B3031A">
      <w:pPr>
        <w:pStyle w:val="Heading2"/>
      </w:pPr>
      <w:bookmarkStart w:id="159" w:name="_Toc420577628"/>
      <w:proofErr w:type="gramStart"/>
      <w:r w:rsidRPr="00B3031A">
        <w:t>Attachment</w:t>
      </w:r>
      <w:r>
        <w:t xml:space="preserve"> 1.</w:t>
      </w:r>
      <w:proofErr w:type="gramEnd"/>
      <w:r>
        <w:t xml:space="preserve"> </w:t>
      </w:r>
      <w:r w:rsidR="008E7846">
        <w:t xml:space="preserve">Product </w:t>
      </w:r>
      <w:r w:rsidR="00AA0ED0">
        <w:t>I</w:t>
      </w:r>
      <w:r w:rsidR="008E7846">
        <w:t>nformation</w:t>
      </w:r>
      <w:bookmarkEnd w:id="157"/>
      <w:bookmarkEnd w:id="158"/>
      <w:bookmarkEnd w:id="159"/>
    </w:p>
    <w:p w:rsidR="00C80137" w:rsidRPr="005903EE" w:rsidRDefault="002B3624" w:rsidP="001752EA">
      <w:r w:rsidRPr="002B3624">
        <w:t xml:space="preserve">The Product Information approved for main </w:t>
      </w:r>
      <w:proofErr w:type="spellStart"/>
      <w:r w:rsidR="00F07B11">
        <w:t>Anoro</w:t>
      </w:r>
      <w:proofErr w:type="spellEnd"/>
      <w:r w:rsidR="00F07B11">
        <w:t xml:space="preserve"> </w:t>
      </w:r>
      <w:proofErr w:type="spellStart"/>
      <w:r w:rsidR="00F07B11">
        <w:t>Ellipta</w:t>
      </w:r>
      <w:proofErr w:type="spellEnd"/>
      <w:r w:rsidR="00F07B11">
        <w:t xml:space="preserve"> </w:t>
      </w:r>
      <w:r w:rsidRPr="002B3624">
        <w:t>at the time this AusPAR was published is at Attachment 1. For the most recent Product Information please refer to the TGA website at &lt;</w:t>
      </w:r>
      <w:hyperlink r:id="rId28" w:history="1">
        <w:r w:rsidR="005903EE" w:rsidRPr="005903EE">
          <w:rPr>
            <w:rStyle w:val="Hyperlink"/>
          </w:rPr>
          <w:t>https://www.tga.gov.au/product-information-pi</w:t>
        </w:r>
      </w:hyperlink>
      <w:r w:rsidR="005903EE">
        <w:t>&gt;.</w:t>
      </w:r>
    </w:p>
    <w:p w:rsidR="00C80137" w:rsidRDefault="00C80137" w:rsidP="001752EA">
      <w:pPr>
        <w:pStyle w:val="Heading2"/>
        <w:rPr>
          <w:lang w:eastAsia="en-AU"/>
        </w:rPr>
      </w:pPr>
      <w:bookmarkStart w:id="160" w:name="_Toc420577629"/>
      <w:proofErr w:type="gramStart"/>
      <w:r>
        <w:rPr>
          <w:lang w:eastAsia="en-AU"/>
        </w:rPr>
        <w:t>Attachment 2.</w:t>
      </w:r>
      <w:proofErr w:type="gramEnd"/>
      <w:r w:rsidR="00A80B5B">
        <w:rPr>
          <w:lang w:eastAsia="en-AU"/>
        </w:rPr>
        <w:t xml:space="preserve"> </w:t>
      </w:r>
      <w:r>
        <w:rPr>
          <w:lang w:eastAsia="en-AU"/>
        </w:rPr>
        <w:t>Extract from the Clinical Evaluation Report</w:t>
      </w:r>
      <w:bookmarkEnd w:id="160"/>
    </w:p>
    <w:p w:rsidR="00C80137" w:rsidRDefault="00C80137" w:rsidP="003A7F6C">
      <w:pPr>
        <w:pStyle w:val="TableTitle"/>
        <w:rPr>
          <w:b w:val="0"/>
        </w:rPr>
      </w:pPr>
    </w:p>
    <w:p w:rsidR="00F07B11" w:rsidRPr="001D043B" w:rsidRDefault="00F07B11" w:rsidP="003A7F6C">
      <w:pPr>
        <w:pStyle w:val="TableTitle"/>
        <w:sectPr w:rsidR="00F07B11"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C130FE">
        <w:trPr>
          <w:trHeight w:hRule="exact" w:val="704"/>
        </w:trPr>
        <w:tc>
          <w:tcPr>
            <w:tcW w:w="9175" w:type="dxa"/>
          </w:tcPr>
          <w:p w:rsidR="001C32CD" w:rsidRPr="00487162" w:rsidRDefault="001C32CD" w:rsidP="00C130FE">
            <w:pPr>
              <w:pStyle w:val="TGASignoff"/>
            </w:pPr>
            <w:r w:rsidRPr="00487162">
              <w:lastRenderedPageBreak/>
              <w:t>Therapeutic Goods Administration</w:t>
            </w:r>
          </w:p>
        </w:tc>
      </w:tr>
      <w:tr w:rsidR="001C32CD" w:rsidRPr="004C239D" w:rsidTr="00C130FE">
        <w:trPr>
          <w:trHeight w:val="1221"/>
        </w:trPr>
        <w:tc>
          <w:tcPr>
            <w:tcW w:w="9175" w:type="dxa"/>
            <w:tcMar>
              <w:top w:w="28" w:type="dxa"/>
            </w:tcMar>
          </w:tcPr>
          <w:p w:rsidR="001C32CD" w:rsidRPr="00487162" w:rsidRDefault="001C32CD" w:rsidP="00C130FE">
            <w:pPr>
              <w:pStyle w:val="Address"/>
            </w:pPr>
            <w:r w:rsidRPr="00487162">
              <w:t>PO Box 100 Woden ACT 2606 Australia</w:t>
            </w:r>
          </w:p>
          <w:p w:rsidR="001C32CD" w:rsidRPr="00487162" w:rsidRDefault="001C32CD" w:rsidP="00C130FE">
            <w:pPr>
              <w:pStyle w:val="Address"/>
            </w:pPr>
            <w:r w:rsidRPr="00487162">
              <w:t xml:space="preserve">Email: </w:t>
            </w:r>
            <w:hyperlink r:id="rId33" w:history="1">
              <w:r w:rsidRPr="004C239D">
                <w:rPr>
                  <w:rStyle w:val="Hyperlink"/>
                </w:rPr>
                <w:t>info@tga.gov.au</w:t>
              </w:r>
            </w:hyperlink>
            <w:r w:rsidRPr="00487162">
              <w:t xml:space="preserve">  Phone: 1800 020 653  Fax: 02 6232 8605</w:t>
            </w:r>
          </w:p>
          <w:p w:rsidR="001C32CD" w:rsidRPr="004C239D" w:rsidRDefault="00163792" w:rsidP="00C130FE">
            <w:pPr>
              <w:pStyle w:val="Address"/>
              <w:spacing w:line="260" w:lineRule="atLeast"/>
              <w:rPr>
                <w:b/>
                <w:color w:val="0000FF"/>
                <w:u w:val="single"/>
              </w:rPr>
            </w:pPr>
            <w:hyperlink r:id="rId34" w:history="1">
              <w:r w:rsidR="00E1477D">
                <w:rPr>
                  <w:rStyle w:val="Hyperlink"/>
                  <w:b/>
                </w:rPr>
                <w:t>https://www.tga.gov.au/</w:t>
              </w:r>
            </w:hyperlink>
          </w:p>
        </w:tc>
      </w:tr>
    </w:tbl>
    <w:p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792" w:rsidRDefault="00163792" w:rsidP="00C40A36">
      <w:pPr>
        <w:spacing w:after="0"/>
      </w:pPr>
      <w:r>
        <w:separator/>
      </w:r>
    </w:p>
  </w:endnote>
  <w:endnote w:type="continuationSeparator" w:id="0">
    <w:p w:rsidR="00163792" w:rsidRDefault="0016379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Narrow">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3" w:usb1="080F0000" w:usb2="00000010" w:usb3="00000000" w:csb0="001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63792" w:rsidRPr="00487162" w:rsidTr="00DB750B">
      <w:trPr>
        <w:trHeight w:val="269"/>
      </w:trPr>
      <w:tc>
        <w:tcPr>
          <w:tcW w:w="7371" w:type="dxa"/>
          <w:tcMar>
            <w:top w:w="142" w:type="dxa"/>
            <w:bottom w:w="0" w:type="dxa"/>
          </w:tcMar>
        </w:tcPr>
        <w:p w:rsidR="00163792" w:rsidRPr="00487162" w:rsidRDefault="00163792" w:rsidP="00CB5031">
          <w:pPr>
            <w:pStyle w:val="Footer"/>
          </w:pPr>
          <w:proofErr w:type="spellStart"/>
          <w:r>
            <w:t>AusPAR</w:t>
          </w:r>
          <w:proofErr w:type="spellEnd"/>
          <w:r>
            <w:t xml:space="preserve"> </w:t>
          </w:r>
          <w:proofErr w:type="spellStart"/>
          <w:r>
            <w:t>Anoro</w:t>
          </w:r>
          <w:proofErr w:type="spellEnd"/>
          <w:r>
            <w:t xml:space="preserve"> </w:t>
          </w:r>
          <w:proofErr w:type="spellStart"/>
          <w:r>
            <w:t>Ellipta</w:t>
          </w:r>
          <w:proofErr w:type="spellEnd"/>
          <w:r>
            <w:t xml:space="preserve"> </w:t>
          </w:r>
          <w:proofErr w:type="spellStart"/>
          <w:r>
            <w:t>Umeclidinium</w:t>
          </w:r>
          <w:proofErr w:type="spellEnd"/>
          <w:r>
            <w:t xml:space="preserve"> bromide and Vilanterol trifenatate GlaxoSmithKline Australia Pty Ltd PM-2013-00332-1-5 Date of Finalisation</w:t>
          </w:r>
          <w:r w:rsidRPr="00487162">
            <w:t xml:space="preserve"> </w:t>
          </w:r>
          <w:r>
            <w:t>8 April 2015</w:t>
          </w:r>
        </w:p>
      </w:tc>
      <w:tc>
        <w:tcPr>
          <w:tcW w:w="1490" w:type="dxa"/>
          <w:tcMar>
            <w:top w:w="142" w:type="dxa"/>
            <w:bottom w:w="0" w:type="dxa"/>
          </w:tcMar>
        </w:tcPr>
        <w:p w:rsidR="00163792" w:rsidRPr="00487162" w:rsidRDefault="00163792" w:rsidP="00DB750B">
          <w:pPr>
            <w:pStyle w:val="Footer"/>
            <w:jc w:val="right"/>
          </w:pPr>
          <w:r w:rsidRPr="00487162">
            <w:t xml:space="preserve">Page </w:t>
          </w:r>
          <w:r>
            <w:fldChar w:fldCharType="begin"/>
          </w:r>
          <w:r>
            <w:instrText xml:space="preserve"> PAGE  \* Arabic </w:instrText>
          </w:r>
          <w:r>
            <w:fldChar w:fldCharType="separate"/>
          </w:r>
          <w:r w:rsidR="006548A6">
            <w:rPr>
              <w:noProof/>
            </w:rPr>
            <w:t>8</w:t>
          </w:r>
          <w:r>
            <w:fldChar w:fldCharType="end"/>
          </w:r>
          <w:r w:rsidRPr="00487162">
            <w:t xml:space="preserve"> of </w:t>
          </w:r>
          <w:fldSimple w:instr=" NUMPAGES  \* Arabic ">
            <w:r w:rsidR="006548A6">
              <w:rPr>
                <w:noProof/>
              </w:rPr>
              <w:t>71</w:t>
            </w:r>
          </w:fldSimple>
        </w:p>
      </w:tc>
    </w:tr>
  </w:tbl>
  <w:p w:rsidR="00163792" w:rsidRDefault="0016379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63792" w:rsidRPr="00487162" w:rsidTr="00E45619">
      <w:trPr>
        <w:trHeight w:val="269"/>
      </w:trPr>
      <w:tc>
        <w:tcPr>
          <w:tcW w:w="4519" w:type="dxa"/>
          <w:tcBorders>
            <w:top w:val="single" w:sz="4" w:space="0" w:color="auto"/>
          </w:tcBorders>
          <w:tcMar>
            <w:top w:w="142" w:type="dxa"/>
            <w:bottom w:w="0" w:type="dxa"/>
          </w:tcMar>
        </w:tcPr>
        <w:p w:rsidR="00163792" w:rsidRPr="00487162" w:rsidRDefault="00163792" w:rsidP="00FE1DEE">
          <w:pPr>
            <w:pStyle w:val="Footer"/>
          </w:pPr>
          <w:r w:rsidRPr="00487162">
            <w:t>Document title, Part #, Section # - Section title</w:t>
          </w:r>
        </w:p>
        <w:p w:rsidR="00163792" w:rsidRPr="00487162" w:rsidRDefault="00163792" w:rsidP="00FE1DEE">
          <w:pPr>
            <w:pStyle w:val="Footer"/>
          </w:pPr>
          <w:r w:rsidRPr="00487162">
            <w:t>V1.0 October 2010</w:t>
          </w:r>
        </w:p>
      </w:tc>
      <w:tc>
        <w:tcPr>
          <w:tcW w:w="4342" w:type="dxa"/>
          <w:tcBorders>
            <w:top w:val="single" w:sz="4" w:space="0" w:color="auto"/>
          </w:tcBorders>
          <w:tcMar>
            <w:top w:w="142" w:type="dxa"/>
            <w:bottom w:w="0" w:type="dxa"/>
          </w:tcMar>
        </w:tcPr>
        <w:p w:rsidR="00163792" w:rsidRPr="00487162" w:rsidRDefault="0016379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70</w:t>
            </w:r>
          </w:fldSimple>
        </w:p>
      </w:tc>
    </w:tr>
  </w:tbl>
  <w:p w:rsidR="00163792" w:rsidRDefault="001637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92" w:rsidRPr="001C32CD" w:rsidRDefault="0016379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63792" w:rsidTr="0010601F">
      <w:trPr>
        <w:trHeight w:val="108"/>
      </w:trPr>
      <w:tc>
        <w:tcPr>
          <w:tcW w:w="8875" w:type="dxa"/>
          <w:gridSpan w:val="2"/>
          <w:tcBorders>
            <w:bottom w:val="single" w:sz="4" w:space="0" w:color="auto"/>
          </w:tcBorders>
          <w:tcMar>
            <w:right w:w="284" w:type="dxa"/>
          </w:tcMar>
        </w:tcPr>
        <w:p w:rsidR="00163792" w:rsidRDefault="00163792" w:rsidP="006E08B3">
          <w:pPr>
            <w:pStyle w:val="Heading3"/>
          </w:pPr>
          <w:r>
            <w:t>Copyright</w:t>
          </w:r>
        </w:p>
        <w:p w:rsidR="00163792" w:rsidRDefault="00163792" w:rsidP="006E08B3">
          <w:r>
            <w:rPr>
              <w:rFonts w:cs="Arial"/>
            </w:rPr>
            <w:t>©</w:t>
          </w:r>
          <w:r>
            <w:t xml:space="preserve"> Commonwealth of Australia (add year)</w:t>
          </w:r>
        </w:p>
        <w:p w:rsidR="00163792" w:rsidRDefault="00163792" w:rsidP="006E08B3"/>
        <w:p w:rsidR="00163792" w:rsidRDefault="0016379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63792" w:rsidRDefault="00163792" w:rsidP="006E08B3"/>
        <w:p w:rsidR="00163792" w:rsidRDefault="00163792" w:rsidP="006E08B3">
          <w:pPr>
            <w:pStyle w:val="Heading3"/>
          </w:pPr>
          <w:r>
            <w:t>Confidentiality</w:t>
          </w:r>
        </w:p>
        <w:p w:rsidR="00163792" w:rsidRDefault="0016379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63792" w:rsidRDefault="00163792" w:rsidP="006E08B3"/>
        <w:p w:rsidR="00163792" w:rsidRDefault="00163792" w:rsidP="006E08B3">
          <w:r>
            <w:t>For submission made by individuals, all personal details, other than your name, will be removed from your submission before it is published on the TGA’s Internet site.</w:t>
          </w:r>
        </w:p>
        <w:p w:rsidR="00163792" w:rsidRDefault="00163792" w:rsidP="006E08B3"/>
        <w:p w:rsidR="00163792" w:rsidRDefault="0016379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63792" w:rsidTr="0010601F">
      <w:trPr>
        <w:trHeight w:val="417"/>
      </w:trPr>
      <w:tc>
        <w:tcPr>
          <w:tcW w:w="4519" w:type="dxa"/>
          <w:tcBorders>
            <w:top w:val="single" w:sz="4" w:space="0" w:color="auto"/>
          </w:tcBorders>
          <w:tcMar>
            <w:top w:w="142" w:type="dxa"/>
            <w:bottom w:w="0" w:type="dxa"/>
          </w:tcMar>
        </w:tcPr>
        <w:p w:rsidR="00163792" w:rsidRDefault="00163792" w:rsidP="006E08B3">
          <w:r>
            <w:t>Document title, Part #, Section # - Section title</w:t>
          </w:r>
        </w:p>
        <w:p w:rsidR="00163792" w:rsidRDefault="00163792" w:rsidP="006E08B3">
          <w:r>
            <w:t>V1.0 October 2010</w:t>
          </w:r>
        </w:p>
      </w:tc>
      <w:tc>
        <w:tcPr>
          <w:tcW w:w="4356" w:type="dxa"/>
          <w:tcBorders>
            <w:top w:val="single" w:sz="4" w:space="0" w:color="auto"/>
          </w:tcBorders>
          <w:tcMar>
            <w:top w:w="142" w:type="dxa"/>
            <w:bottom w:w="0" w:type="dxa"/>
          </w:tcMar>
        </w:tcPr>
        <w:p w:rsidR="00163792" w:rsidRDefault="0016379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70</w:t>
            </w:r>
          </w:fldSimple>
          <w:r>
            <w:t xml:space="preserve">  </w:t>
          </w:r>
        </w:p>
      </w:tc>
    </w:tr>
  </w:tbl>
  <w:p w:rsidR="00163792" w:rsidRDefault="001637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792" w:rsidRDefault="00163792" w:rsidP="00C40A36">
      <w:pPr>
        <w:spacing w:after="0"/>
      </w:pPr>
      <w:r>
        <w:separator/>
      </w:r>
    </w:p>
  </w:footnote>
  <w:footnote w:type="continuationSeparator" w:id="0">
    <w:p w:rsidR="00163792" w:rsidRDefault="00163792" w:rsidP="00C40A36">
      <w:pPr>
        <w:spacing w:after="0"/>
      </w:pPr>
      <w:r>
        <w:continuationSeparator/>
      </w:r>
    </w:p>
  </w:footnote>
  <w:footnote w:id="1">
    <w:p w:rsidR="00163792" w:rsidRDefault="00163792" w:rsidP="003B5481">
      <w:pPr>
        <w:pStyle w:val="FootnoteText"/>
      </w:pPr>
      <w:r>
        <w:rPr>
          <w:rStyle w:val="FootnoteReference"/>
        </w:rPr>
        <w:footnoteRef/>
      </w:r>
      <w:r>
        <w:t xml:space="preserve"> U</w:t>
      </w:r>
      <w:r w:rsidRPr="00A54884">
        <w:t>meclidinium bromide</w:t>
      </w:r>
      <w:r>
        <w:t xml:space="preserve"> is referred to by the abbreviation UMEC or umeclidinium throughout this document and is also sometimes referred to by the company abbreviation </w:t>
      </w:r>
      <w:r w:rsidRPr="00A54884">
        <w:t>GSK573719</w:t>
      </w:r>
      <w:r>
        <w:t>.</w:t>
      </w:r>
    </w:p>
  </w:footnote>
  <w:footnote w:id="2">
    <w:p w:rsidR="00163792" w:rsidRDefault="00163792" w:rsidP="003B5481">
      <w:pPr>
        <w:pStyle w:val="FootnoteText"/>
      </w:pPr>
      <w:r>
        <w:rPr>
          <w:rStyle w:val="FootnoteReference"/>
        </w:rPr>
        <w:footnoteRef/>
      </w:r>
      <w:r>
        <w:t xml:space="preserve"> V</w:t>
      </w:r>
      <w:r w:rsidRPr="00A54884">
        <w:t>ilanterol trifenatate</w:t>
      </w:r>
      <w:r>
        <w:t xml:space="preserve"> </w:t>
      </w:r>
      <w:r w:rsidRPr="00A54884">
        <w:t>is referred to by the abbreviation</w:t>
      </w:r>
      <w:r>
        <w:t xml:space="preserve"> VI or vilanterol </w:t>
      </w:r>
      <w:r w:rsidRPr="00A54884">
        <w:t>throughout this document</w:t>
      </w:r>
      <w:r>
        <w:t xml:space="preserve"> </w:t>
      </w:r>
      <w:r w:rsidRPr="00A54884">
        <w:t>and is also sometimes referred to by the company abbreviation</w:t>
      </w:r>
      <w:r>
        <w:t xml:space="preserve"> </w:t>
      </w:r>
      <w:r w:rsidRPr="00A54884">
        <w:t>GW642444</w:t>
      </w:r>
      <w:r>
        <w:t>.</w:t>
      </w:r>
    </w:p>
  </w:footnote>
  <w:footnote w:id="3">
    <w:p w:rsidR="00163792" w:rsidRDefault="00163792" w:rsidP="003B5481">
      <w:pPr>
        <w:pStyle w:val="FootnoteText"/>
      </w:pPr>
      <w:r>
        <w:rPr>
          <w:rStyle w:val="FootnoteReference"/>
        </w:rPr>
        <w:footnoteRef/>
      </w:r>
      <w:r w:rsidRPr="009F6F66">
        <w:t xml:space="preserve"> </w:t>
      </w:r>
      <w:proofErr w:type="spellStart"/>
      <w:r w:rsidRPr="009F6F66">
        <w:t>Ultibro</w:t>
      </w:r>
      <w:proofErr w:type="spellEnd"/>
      <w:r w:rsidRPr="009F6F66">
        <w:t xml:space="preserve"> </w:t>
      </w:r>
      <w:proofErr w:type="spellStart"/>
      <w:r w:rsidRPr="009F6F66">
        <w:t>Breezhaler</w:t>
      </w:r>
      <w:proofErr w:type="spellEnd"/>
      <w:r w:rsidRPr="009F6F66">
        <w:t xml:space="preserve"> was registered in Australia on 21 March 2014.</w:t>
      </w:r>
    </w:p>
  </w:footnote>
  <w:footnote w:id="4">
    <w:p w:rsidR="00163792" w:rsidRDefault="00163792" w:rsidP="00B201DB">
      <w:pPr>
        <w:pStyle w:val="FootnoteText"/>
      </w:pPr>
      <w:r>
        <w:rPr>
          <w:rStyle w:val="FootnoteReference"/>
        </w:rPr>
        <w:footnoteRef/>
      </w:r>
      <w:r>
        <w:t xml:space="preserve"> </w:t>
      </w:r>
      <w:proofErr w:type="gramStart"/>
      <w:r w:rsidRPr="00E0123A">
        <w:t>CPMP/ICH/2737/99</w:t>
      </w:r>
      <w:r>
        <w:t>.</w:t>
      </w:r>
      <w:proofErr w:type="gramEnd"/>
      <w:r>
        <w:t xml:space="preserve"> ICH Topic Q 3 </w:t>
      </w:r>
      <w:proofErr w:type="gramStart"/>
      <w:r>
        <w:t>A</w:t>
      </w:r>
      <w:proofErr w:type="gramEnd"/>
      <w:r>
        <w:t xml:space="preserve"> (R2) Impurities in new Drug Substances. Note for Guidance on Impurities Testing: Impurities in New Drug Substances.</w:t>
      </w:r>
    </w:p>
  </w:footnote>
  <w:footnote w:id="5">
    <w:p w:rsidR="00163792" w:rsidRDefault="00163792">
      <w:pPr>
        <w:pStyle w:val="FootnoteText"/>
      </w:pPr>
      <w:r w:rsidRPr="002745C1">
        <w:rPr>
          <w:vertAlign w:val="superscript"/>
        </w:rPr>
        <w:footnoteRef/>
      </w:r>
      <w:r w:rsidRPr="003E6EDF">
        <w:t xml:space="preserve"> </w:t>
      </w:r>
      <w:proofErr w:type="spellStart"/>
      <w:r w:rsidRPr="003E6EDF">
        <w:t>Gosens</w:t>
      </w:r>
      <w:proofErr w:type="spellEnd"/>
      <w:r w:rsidRPr="003E6EDF">
        <w:t xml:space="preserve"> R., </w:t>
      </w:r>
      <w:r>
        <w:t>et al</w:t>
      </w:r>
      <w:r w:rsidRPr="003E6EDF">
        <w:t xml:space="preserve">. Muscarinic receptor signalling in the pathophysiology of asthma and COPD. </w:t>
      </w:r>
      <w:proofErr w:type="spellStart"/>
      <w:proofErr w:type="gramStart"/>
      <w:r w:rsidRPr="00BC6FC4">
        <w:rPr>
          <w:i/>
        </w:rPr>
        <w:t>Respir</w:t>
      </w:r>
      <w:proofErr w:type="spellEnd"/>
      <w:r w:rsidRPr="00BC6FC4">
        <w:rPr>
          <w:i/>
        </w:rPr>
        <w:t>.</w:t>
      </w:r>
      <w:proofErr w:type="gramEnd"/>
      <w:r w:rsidRPr="00BC6FC4">
        <w:rPr>
          <w:i/>
        </w:rPr>
        <w:t xml:space="preserve"> Res</w:t>
      </w:r>
      <w:r w:rsidRPr="003E6EDF">
        <w:t>.</w:t>
      </w:r>
      <w:r w:rsidRPr="00BC6FC4">
        <w:t xml:space="preserve"> </w:t>
      </w:r>
      <w:r>
        <w:t>2006:7</w:t>
      </w:r>
      <w:proofErr w:type="gramStart"/>
      <w:r>
        <w:t>;</w:t>
      </w:r>
      <w:r w:rsidRPr="003E6EDF">
        <w:t>73</w:t>
      </w:r>
      <w:proofErr w:type="gramEnd"/>
      <w:r w:rsidRPr="003E6EDF">
        <w:t>.</w:t>
      </w:r>
    </w:p>
  </w:footnote>
  <w:footnote w:id="6">
    <w:p w:rsidR="00163792" w:rsidRDefault="00163792" w:rsidP="003B5481">
      <w:pPr>
        <w:pStyle w:val="FootnoteText"/>
      </w:pPr>
      <w:r>
        <w:rPr>
          <w:rStyle w:val="FootnoteReference"/>
        </w:rPr>
        <w:footnoteRef/>
      </w:r>
      <w:r>
        <w:t xml:space="preserve"> </w:t>
      </w:r>
      <w:r w:rsidRPr="00214066">
        <w:t xml:space="preserve">ICH </w:t>
      </w:r>
      <w:r>
        <w:t xml:space="preserve">guideline </w:t>
      </w:r>
      <w:proofErr w:type="gramStart"/>
      <w:r w:rsidRPr="00214066">
        <w:t>M3(</w:t>
      </w:r>
      <w:proofErr w:type="gramEnd"/>
      <w:r w:rsidRPr="00214066">
        <w:t>R2)</w:t>
      </w:r>
      <w:r>
        <w:t xml:space="preserve"> on non-clinical safety studies for the conduct of human clinical trials and marketing authorisation for pharmaceuticals. </w:t>
      </w:r>
      <w:proofErr w:type="gramStart"/>
      <w:r>
        <w:t>December 2009 EMA/CPMP/ICH/286/1995.</w:t>
      </w:r>
      <w:proofErr w:type="gramEnd"/>
    </w:p>
  </w:footnote>
  <w:footnote w:id="7">
    <w:p w:rsidR="00163792" w:rsidRPr="003B5481" w:rsidRDefault="00163792" w:rsidP="003B5481">
      <w:pPr>
        <w:pStyle w:val="FootnoteText"/>
        <w:rPr>
          <w:i/>
        </w:rPr>
      </w:pPr>
      <w:r>
        <w:rPr>
          <w:rStyle w:val="FootnoteReference"/>
        </w:rPr>
        <w:footnoteRef/>
      </w:r>
      <w:r>
        <w:t xml:space="preserve"> </w:t>
      </w:r>
      <w:r w:rsidRPr="00EB631E">
        <w:t>Category B3</w:t>
      </w:r>
      <w:r w:rsidRPr="00276B4A">
        <w:t xml:space="preserve"> for the use of medicines in pregnancy is defined as:</w:t>
      </w:r>
      <w:r>
        <w:t xml:space="preserve"> </w:t>
      </w:r>
      <w:r w:rsidRPr="003B5481">
        <w:rPr>
          <w:i/>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3B5481">
        <w:rPr>
          <w:i/>
        </w:rPr>
        <w:t>fetus</w:t>
      </w:r>
      <w:proofErr w:type="spellEnd"/>
      <w:r w:rsidRPr="003B5481">
        <w:rPr>
          <w:i/>
        </w:rPr>
        <w:t xml:space="preserve"> having been observed. Studies in animals have shown evidence of an increased occurrence of </w:t>
      </w:r>
      <w:proofErr w:type="spellStart"/>
      <w:r w:rsidRPr="003B5481">
        <w:rPr>
          <w:i/>
        </w:rPr>
        <w:t>fetal</w:t>
      </w:r>
      <w:proofErr w:type="spellEnd"/>
      <w:r w:rsidRPr="003B5481">
        <w:rPr>
          <w:i/>
        </w:rPr>
        <w:t xml:space="preserve"> damage, the significance of which is considered uncertain in humans.</w:t>
      </w:r>
    </w:p>
  </w:footnote>
  <w:footnote w:id="8">
    <w:p w:rsidR="00163792" w:rsidRPr="005346B8" w:rsidRDefault="00163792" w:rsidP="00B41D3A">
      <w:pPr>
        <w:pStyle w:val="FootnoteText"/>
      </w:pPr>
      <w:r>
        <w:rPr>
          <w:rStyle w:val="FootnoteReference"/>
        </w:rPr>
        <w:footnoteRef/>
      </w:r>
      <w:r w:rsidRPr="005346B8">
        <w:t xml:space="preserve"> </w:t>
      </w:r>
      <w:proofErr w:type="gramStart"/>
      <w:r w:rsidRPr="005346B8">
        <w:t>QT interval of the ECG.</w:t>
      </w:r>
      <w:proofErr w:type="gramEnd"/>
      <w:r w:rsidRPr="005346B8">
        <w:t xml:space="preserve"> The QT interval is the portion of an electrocardiogram between the onset of the Q wave and the end of the T wave, representing the total time for ventricular depolarization and repolarization. A prolonged QT interval is a risk factor for ventricular </w:t>
      </w:r>
      <w:proofErr w:type="spellStart"/>
      <w:r w:rsidRPr="005346B8">
        <w:t>tachyarrhythmias</w:t>
      </w:r>
      <w:proofErr w:type="spellEnd"/>
      <w:r w:rsidRPr="005346B8">
        <w:t xml:space="preserve"> such as torsade de pointes and sudden death. </w:t>
      </w:r>
      <w:proofErr w:type="spellStart"/>
      <w:r w:rsidRPr="005346B8">
        <w:t>QTc</w:t>
      </w:r>
      <w:proofErr w:type="spellEnd"/>
      <w:r w:rsidRPr="005346B8">
        <w:t xml:space="preserve">: Corrected QT interval. The QT interval is dependent on the heart rate (the faster the heart rate, the shorter the QT interval). To correct for changes in heart rate and thereby improve the detection of patients at increased risk of ventricular arrhythmia, a heart rate-corrected QT interval </w:t>
      </w:r>
      <w:proofErr w:type="spellStart"/>
      <w:r w:rsidRPr="005346B8">
        <w:t>QTc</w:t>
      </w:r>
      <w:proofErr w:type="spellEnd"/>
      <w:r w:rsidRPr="005346B8">
        <w:t xml:space="preserve"> is often calculated.</w:t>
      </w:r>
    </w:p>
  </w:footnote>
  <w:footnote w:id="9">
    <w:p w:rsidR="00163792" w:rsidRDefault="00163792" w:rsidP="00B41D3A">
      <w:pPr>
        <w:pStyle w:val="FootnoteText"/>
      </w:pPr>
      <w:r>
        <w:rPr>
          <w:rStyle w:val="FootnoteReference"/>
        </w:rPr>
        <w:footnoteRef/>
      </w:r>
      <w:r>
        <w:t xml:space="preserve"> </w:t>
      </w:r>
      <w:r w:rsidRPr="002C6F43">
        <w:t>TDI is an interview-based measurements of breathlessness related to activities of daily living. The TDI is an evaluative instrument that includes specific criteria for each of three components to measure changes from a baseline state.</w:t>
      </w:r>
    </w:p>
  </w:footnote>
  <w:footnote w:id="10">
    <w:p w:rsidR="00163792" w:rsidRPr="00B3426E" w:rsidRDefault="00163792" w:rsidP="00B41D3A">
      <w:pPr>
        <w:pStyle w:val="FootnoteText"/>
      </w:pPr>
      <w:r>
        <w:rPr>
          <w:rStyle w:val="FootnoteReference"/>
        </w:rPr>
        <w:footnoteRef/>
      </w:r>
      <w:r>
        <w:t xml:space="preserve"> </w:t>
      </w:r>
      <w:proofErr w:type="gramStart"/>
      <w:r>
        <w:t>Guideline</w:t>
      </w:r>
      <w:r w:rsidRPr="00B3426E">
        <w:t xml:space="preserve"> on clinical investigation of medicinal products in the treatment of chronic obstructive pulmonary disease</w:t>
      </w:r>
      <w:r>
        <w:t xml:space="preserve"> (COPD).</w:t>
      </w:r>
      <w:proofErr w:type="gramEnd"/>
      <w:r>
        <w:t xml:space="preserve"> </w:t>
      </w:r>
      <w:proofErr w:type="gramStart"/>
      <w:r>
        <w:t>EMA/CHMP/483572/2012 –corr</w:t>
      </w:r>
      <w:r w:rsidRPr="00B3426E">
        <w:rPr>
          <w:vertAlign w:val="superscript"/>
        </w:rPr>
        <w:t>1</w:t>
      </w:r>
      <w:r>
        <w:t>.</w:t>
      </w:r>
      <w:proofErr w:type="gramEnd"/>
    </w:p>
  </w:footnote>
  <w:footnote w:id="11">
    <w:p w:rsidR="00163792" w:rsidRPr="0097263C" w:rsidRDefault="00163792" w:rsidP="00B41D3A">
      <w:pPr>
        <w:pStyle w:val="FootnoteText"/>
      </w:pPr>
      <w:r w:rsidRPr="0097263C">
        <w:rPr>
          <w:rStyle w:val="FootnoteReference"/>
          <w:szCs w:val="18"/>
        </w:rPr>
        <w:footnoteRef/>
      </w:r>
      <w:r w:rsidRPr="0097263C">
        <w:t xml:space="preserve"> For regulatory agencies that consider the TDI score as a key secondary efficacy endpoint, these improvemen</w:t>
      </w:r>
      <w:r>
        <w:t xml:space="preserve">ts in weighted mean FEV1 over 0 to </w:t>
      </w:r>
      <w:r w:rsidRPr="0097263C">
        <w:t>6 hours observed in both studies were not considered inferential as a prior comparison in the testing hierarchy did not achieve significance. For regulatory agencies that do not consider the TDI as a key secondary endpoint, these improvements were considered statistically significant.</w:t>
      </w:r>
    </w:p>
  </w:footnote>
  <w:footnote w:id="12">
    <w:p w:rsidR="00163792" w:rsidRDefault="00163792" w:rsidP="00B41D3A">
      <w:pPr>
        <w:pStyle w:val="FootnoteText"/>
      </w:pPr>
      <w:r>
        <w:rPr>
          <w:rStyle w:val="FootnoteReference"/>
        </w:rPr>
        <w:footnoteRef/>
      </w:r>
      <w:r>
        <w:t xml:space="preserve"> Jones PW et al A self-complete measure for chronic airflow limitation, the St George’s Respiratory Questionnaire. 1992 </w:t>
      </w:r>
      <w:r w:rsidRPr="00961328">
        <w:rPr>
          <w:i/>
        </w:rPr>
        <w:t xml:space="preserve">Am Rev </w:t>
      </w:r>
      <w:proofErr w:type="spellStart"/>
      <w:r w:rsidRPr="00961328">
        <w:rPr>
          <w:i/>
        </w:rPr>
        <w:t>Respir</w:t>
      </w:r>
      <w:proofErr w:type="spellEnd"/>
      <w:r w:rsidRPr="00961328">
        <w:rPr>
          <w:i/>
        </w:rPr>
        <w:t xml:space="preserve"> Dis</w:t>
      </w:r>
      <w:r>
        <w:t xml:space="preserve"> 145 1321-1327.</w:t>
      </w:r>
    </w:p>
  </w:footnote>
  <w:footnote w:id="13">
    <w:p w:rsidR="00163792" w:rsidRDefault="00163792" w:rsidP="00B41D3A">
      <w:pPr>
        <w:pStyle w:val="FootnoteText"/>
      </w:pPr>
      <w:r>
        <w:rPr>
          <w:rStyle w:val="FootnoteReference"/>
        </w:rPr>
        <w:footnoteRef/>
      </w:r>
      <w:r>
        <w:t xml:space="preserve"> </w:t>
      </w:r>
      <w:r w:rsidRPr="004D3555">
        <w:t xml:space="preserve">The St George’s Respiratory Questionnaire (SGRQ) is an index designed to measure and </w:t>
      </w:r>
      <w:r>
        <w:t xml:space="preserve">to </w:t>
      </w:r>
      <w:r w:rsidRPr="004D3555">
        <w:t>quantify health related health status in patients with chronic airflow limitation.</w:t>
      </w:r>
    </w:p>
  </w:footnote>
  <w:footnote w:id="14">
    <w:p w:rsidR="00163792" w:rsidRPr="00683165" w:rsidRDefault="00163792" w:rsidP="00B41D3A">
      <w:pPr>
        <w:pStyle w:val="FootnoteText"/>
      </w:pPr>
      <w:r w:rsidRPr="00683165">
        <w:rPr>
          <w:rStyle w:val="FootnoteReference"/>
          <w:szCs w:val="18"/>
        </w:rPr>
        <w:footnoteRef/>
      </w:r>
      <w:r w:rsidRPr="00683165">
        <w:t xml:space="preserve"> For regulatory agencies that consider the TDI score as a key secondary efficacy endpoint, these improvemen</w:t>
      </w:r>
      <w:r>
        <w:t xml:space="preserve">ts in weighted mean FEV1 over 0 to </w:t>
      </w:r>
      <w:r w:rsidRPr="00683165">
        <w:t>6 hours observed in both studies were not considered inferential as a prior comparison in the testing hierarchy did not achieve significance. For regulatory agencies that do not consider the TDI as a key secondary endpoint, these improvements were considered statistically significant.</w:t>
      </w:r>
    </w:p>
  </w:footnote>
  <w:footnote w:id="15">
    <w:p w:rsidR="00163792" w:rsidRDefault="00163792" w:rsidP="00B41D3A">
      <w:pPr>
        <w:pStyle w:val="FootnoteText"/>
      </w:pPr>
      <w:r>
        <w:rPr>
          <w:rStyle w:val="FootnoteReference"/>
        </w:rPr>
        <w:footnoteRef/>
      </w:r>
      <w:r>
        <w:t xml:space="preserve"> </w:t>
      </w:r>
      <w:r w:rsidRPr="00B84830">
        <w:t xml:space="preserve">The </w:t>
      </w:r>
      <w:r>
        <w:t xml:space="preserve">application for the </w:t>
      </w:r>
      <w:r w:rsidRPr="00B84830">
        <w:t xml:space="preserve">higher strength </w:t>
      </w:r>
      <w:r>
        <w:t xml:space="preserve">UMEC/VI </w:t>
      </w:r>
      <w:r w:rsidRPr="00B84830">
        <w:t xml:space="preserve">125/25 </w:t>
      </w:r>
      <w:r w:rsidRPr="00B73028">
        <w:t xml:space="preserve">µg </w:t>
      </w:r>
      <w:r w:rsidRPr="00B84830">
        <w:t>was withdrawn</w:t>
      </w:r>
      <w:r>
        <w:t>.</w:t>
      </w:r>
    </w:p>
  </w:footnote>
  <w:footnote w:id="16">
    <w:p w:rsidR="00163792" w:rsidRPr="00683165" w:rsidRDefault="00163792" w:rsidP="00B41D3A">
      <w:pPr>
        <w:pStyle w:val="FootnoteText"/>
      </w:pPr>
      <w:r w:rsidRPr="00683165">
        <w:rPr>
          <w:rStyle w:val="FootnoteReference"/>
          <w:szCs w:val="18"/>
        </w:rPr>
        <w:footnoteRef/>
      </w:r>
      <w:r>
        <w:t xml:space="preserve"> </w:t>
      </w:r>
      <w:proofErr w:type="gramStart"/>
      <w:r>
        <w:t>D</w:t>
      </w:r>
      <w:r w:rsidRPr="00683165">
        <w:t xml:space="preserve">efined as an increase in FEV1 of </w:t>
      </w:r>
      <w:r>
        <w:t xml:space="preserve">≥ </w:t>
      </w:r>
      <w:r w:rsidRPr="00683165">
        <w:t xml:space="preserve">12% and </w:t>
      </w:r>
      <w:r>
        <w:t xml:space="preserve">≥ </w:t>
      </w:r>
      <w:r w:rsidRPr="00683165">
        <w:t>200 mL following administration of 4 puffs of salbutamol</w:t>
      </w:r>
      <w:r>
        <w:t>.</w:t>
      </w:r>
      <w:proofErr w:type="gramEnd"/>
    </w:p>
  </w:footnote>
  <w:footnote w:id="17">
    <w:p w:rsidR="00163792" w:rsidRDefault="00163792" w:rsidP="00B41D3A">
      <w:pPr>
        <w:pStyle w:val="FootnoteText"/>
      </w:pPr>
      <w:r>
        <w:rPr>
          <w:rStyle w:val="FootnoteReference"/>
        </w:rPr>
        <w:footnoteRef/>
      </w:r>
      <w:r>
        <w:t xml:space="preserve"> </w:t>
      </w:r>
      <w:r w:rsidRPr="0066300F">
        <w:t xml:space="preserve">The Twenty Four Hour </w:t>
      </w:r>
      <w:r>
        <w:t xml:space="preserve">(TFH) population comprised of a </w:t>
      </w:r>
      <w:r w:rsidRPr="0066300F">
        <w:t>subset of subjects from the ITT population for whom 24-hour dat</w:t>
      </w:r>
      <w:r>
        <w:t xml:space="preserve">a were collected for spirometry </w:t>
      </w:r>
      <w:r w:rsidRPr="0066300F">
        <w:t xml:space="preserve">and </w:t>
      </w:r>
      <w:proofErr w:type="spellStart"/>
      <w:r w:rsidRPr="0066300F">
        <w:t>Holter</w:t>
      </w:r>
      <w:proofErr w:type="spellEnd"/>
      <w:r w:rsidRPr="0066300F">
        <w:t xml:space="preserve"> monitoring.</w:t>
      </w:r>
      <w:r>
        <w:t xml:space="preserve"> (Studies DB2113361 and DB2113373)</w:t>
      </w:r>
    </w:p>
  </w:footnote>
  <w:footnote w:id="18">
    <w:p w:rsidR="00163792" w:rsidRPr="0011702E" w:rsidRDefault="00163792" w:rsidP="00B41D3A">
      <w:pPr>
        <w:pStyle w:val="FootnoteText"/>
      </w:pPr>
      <w:r w:rsidRPr="0011702E">
        <w:rPr>
          <w:rStyle w:val="FootnoteReference"/>
          <w:szCs w:val="18"/>
        </w:rPr>
        <w:footnoteRef/>
      </w:r>
      <w:r w:rsidRPr="0011702E">
        <w:t xml:space="preserve"> statistical significance could not be claimed for these comparisons in </w:t>
      </w:r>
      <w:r>
        <w:t>Study</w:t>
      </w:r>
      <w:r w:rsidRPr="0011702E">
        <w:t xml:space="preserve"> DB2113374 as a result of a prior test in the predefined testing hierarchy not achieving statistical significance in </w:t>
      </w:r>
      <w:r>
        <w:t>Study</w:t>
      </w:r>
      <w:r w:rsidRPr="0011702E">
        <w:t xml:space="preserve"> DB2113374</w:t>
      </w:r>
    </w:p>
  </w:footnote>
  <w:footnote w:id="19">
    <w:p w:rsidR="00163792" w:rsidRDefault="00163792" w:rsidP="00B41D3A">
      <w:pPr>
        <w:pStyle w:val="FootnoteText"/>
      </w:pPr>
      <w:r>
        <w:rPr>
          <w:rStyle w:val="FootnoteReference"/>
        </w:rPr>
        <w:footnoteRef/>
      </w:r>
      <w:r>
        <w:t xml:space="preserve"> </w:t>
      </w:r>
      <w:r w:rsidRPr="001F3A28">
        <w:t>Note: the sponsor subsequently withdrew the part of the application to register the UMEC/VI 125/25 µg strength</w:t>
      </w:r>
    </w:p>
  </w:footnote>
  <w:footnote w:id="20">
    <w:p w:rsidR="00163792" w:rsidRDefault="00163792" w:rsidP="00B41D3A">
      <w:pPr>
        <w:pStyle w:val="FootnoteText"/>
      </w:pPr>
      <w:r>
        <w:rPr>
          <w:rStyle w:val="FootnoteReference"/>
        </w:rPr>
        <w:footnoteRef/>
      </w:r>
      <w:r>
        <w:t xml:space="preserve"> </w:t>
      </w:r>
      <w:r w:rsidRPr="006E24B0">
        <w:t>Medical Dictionary for Regulatory Activities</w:t>
      </w:r>
      <w:r>
        <w:t xml:space="preserve"> (</w:t>
      </w:r>
      <w:proofErr w:type="spellStart"/>
      <w:r w:rsidRPr="001A50F1">
        <w:t>MedDRA</w:t>
      </w:r>
      <w:proofErr w:type="spellEnd"/>
      <w:r>
        <w:t>)</w:t>
      </w:r>
    </w:p>
  </w:footnote>
  <w:footnote w:id="21">
    <w:p w:rsidR="00163792" w:rsidRDefault="00163792" w:rsidP="00B41D3A">
      <w:pPr>
        <w:pStyle w:val="FootnoteText"/>
      </w:pPr>
      <w:r>
        <w:rPr>
          <w:rStyle w:val="FootnoteReference"/>
        </w:rPr>
        <w:footnoteRef/>
      </w:r>
      <w:r>
        <w:t xml:space="preserve"> </w:t>
      </w:r>
      <w:r w:rsidRPr="00E90B5C">
        <w:t xml:space="preserve">Standardised </w:t>
      </w:r>
      <w:proofErr w:type="spellStart"/>
      <w:r w:rsidRPr="00E90B5C">
        <w:t>MedDRA</w:t>
      </w:r>
      <w:proofErr w:type="spellEnd"/>
      <w:r w:rsidRPr="00E90B5C">
        <w:t xml:space="preserve"> Queries (SMQs) are groupings of </w:t>
      </w:r>
      <w:proofErr w:type="spellStart"/>
      <w:r w:rsidRPr="00E90B5C">
        <w:t>MedDRA</w:t>
      </w:r>
      <w:proofErr w:type="spellEnd"/>
      <w:r w:rsidRPr="00E90B5C">
        <w:t xml:space="preserve"> terms, ordinarily at the Preferred Term (PT) level that relate to a defined medical condition or area of interest</w:t>
      </w:r>
      <w:r>
        <w:t>.</w:t>
      </w:r>
    </w:p>
  </w:footnote>
  <w:footnote w:id="22">
    <w:p w:rsidR="00163792" w:rsidRDefault="00163792" w:rsidP="00B41D3A">
      <w:pPr>
        <w:pStyle w:val="FootnoteText"/>
      </w:pPr>
      <w:r>
        <w:rPr>
          <w:rStyle w:val="FootnoteReference"/>
        </w:rPr>
        <w:footnoteRef/>
      </w:r>
      <w:r>
        <w:t xml:space="preserve"> Safety Specification (SS)</w:t>
      </w:r>
    </w:p>
  </w:footnote>
  <w:footnote w:id="23">
    <w:p w:rsidR="00163792" w:rsidRDefault="00163792" w:rsidP="00B41D3A">
      <w:pPr>
        <w:pStyle w:val="FootnoteText"/>
      </w:pPr>
      <w:r>
        <w:rPr>
          <w:rStyle w:val="FootnoteReference"/>
        </w:rPr>
        <w:footnoteRef/>
      </w:r>
      <w:r>
        <w:t xml:space="preserve"> Periodic Safety Update Reports (PSURs)</w:t>
      </w:r>
    </w:p>
  </w:footnote>
  <w:footnote w:id="24">
    <w:p w:rsidR="00163792" w:rsidRDefault="00163792" w:rsidP="00B41D3A">
      <w:pPr>
        <w:pStyle w:val="FootnoteText"/>
      </w:pPr>
      <w:r>
        <w:rPr>
          <w:rStyle w:val="FootnoteReference"/>
        </w:rPr>
        <w:footnoteRef/>
      </w:r>
      <w:r>
        <w:t xml:space="preserve"> Periodic Benefit-Risk Evaluation Reports (PBRERs) (FDA)</w:t>
      </w:r>
    </w:p>
  </w:footnote>
  <w:footnote w:id="25">
    <w:p w:rsidR="00163792" w:rsidRDefault="00163792" w:rsidP="007831A2">
      <w:pPr>
        <w:pStyle w:val="FootnoteText"/>
      </w:pPr>
      <w:r>
        <w:rPr>
          <w:rStyle w:val="FootnoteReference"/>
        </w:rPr>
        <w:footnoteRef/>
      </w:r>
      <w:r>
        <w:t xml:space="preserve"> </w:t>
      </w:r>
      <w:proofErr w:type="gramStart"/>
      <w:r>
        <w:t>Advisory Committee on the Safety of Medicines (ACSOM).</w:t>
      </w:r>
      <w:proofErr w:type="gramEnd"/>
    </w:p>
  </w:footnote>
  <w:footnote w:id="26">
    <w:p w:rsidR="00163792" w:rsidRDefault="00163792" w:rsidP="007831A2">
      <w:pPr>
        <w:pStyle w:val="FootnoteText"/>
      </w:pPr>
      <w:r>
        <w:rPr>
          <w:rStyle w:val="FootnoteReference"/>
        </w:rPr>
        <w:footnoteRef/>
      </w:r>
      <w:r>
        <w:t xml:space="preserve"> The sponsor considered that all of the concerns identified in the EU-RMP are relevant for patients in Australia and therefore all of the planned pharmacovigilance actions proposed in the EU-RMP will be implemented in Australia.</w:t>
      </w:r>
    </w:p>
  </w:footnote>
  <w:footnote w:id="27">
    <w:p w:rsidR="00163792" w:rsidRDefault="00163792" w:rsidP="007831A2">
      <w:pPr>
        <w:pStyle w:val="FootnoteText"/>
      </w:pPr>
      <w:r>
        <w:rPr>
          <w:rStyle w:val="FootnoteReference"/>
        </w:rPr>
        <w:footnoteRef/>
      </w:r>
      <w:r>
        <w:t xml:space="preserve"> </w:t>
      </w:r>
      <w:r w:rsidRPr="002374E8">
        <w:t xml:space="preserve">Singh S, et al. Inhaled anticholinergics and risk of major adverse cardiovascular events in patients with chronic obstructive pulmonary disease: a systematic review and meta-analysis. </w:t>
      </w:r>
      <w:r w:rsidRPr="002374E8">
        <w:rPr>
          <w:i/>
        </w:rPr>
        <w:t>JAMA</w:t>
      </w:r>
      <w:r w:rsidRPr="002374E8">
        <w:t xml:space="preserve"> 2008</w:t>
      </w:r>
      <w:proofErr w:type="gramStart"/>
      <w:r w:rsidRPr="002374E8">
        <w:t>;300:1439</w:t>
      </w:r>
      <w:proofErr w:type="gramEnd"/>
      <w:r w:rsidRPr="002374E8">
        <w:t xml:space="preserve">-50. (Erratum, </w:t>
      </w:r>
      <w:r w:rsidRPr="002374E8">
        <w:rPr>
          <w:i/>
        </w:rPr>
        <w:t xml:space="preserve">JAMA </w:t>
      </w:r>
      <w:r w:rsidRPr="002374E8">
        <w:t>2009</w:t>
      </w:r>
      <w:proofErr w:type="gramStart"/>
      <w:r w:rsidRPr="002374E8">
        <w:t>;301:1227</w:t>
      </w:r>
      <w:proofErr w:type="gramEnd"/>
      <w:r w:rsidRPr="002374E8">
        <w:t>-30.)</w:t>
      </w:r>
    </w:p>
  </w:footnote>
  <w:footnote w:id="28">
    <w:p w:rsidR="00163792" w:rsidRPr="00377981" w:rsidRDefault="00163792" w:rsidP="007831A2">
      <w:pPr>
        <w:pStyle w:val="FootnoteText"/>
      </w:pPr>
      <w:r>
        <w:rPr>
          <w:rStyle w:val="FootnoteReference"/>
        </w:rPr>
        <w:footnoteRef/>
      </w:r>
      <w:r>
        <w:t xml:space="preserve"> </w:t>
      </w:r>
      <w:r w:rsidRPr="00377981">
        <w:t xml:space="preserve">5. Wise RA, et al. </w:t>
      </w:r>
      <w:proofErr w:type="gramStart"/>
      <w:r w:rsidRPr="00377981">
        <w:t xml:space="preserve">The </w:t>
      </w:r>
      <w:proofErr w:type="spellStart"/>
      <w:r w:rsidRPr="00377981">
        <w:t>tiotropium</w:t>
      </w:r>
      <w:proofErr w:type="spellEnd"/>
      <w:r w:rsidRPr="00377981">
        <w:t xml:space="preserve"> safety and performance in </w:t>
      </w:r>
      <w:proofErr w:type="spellStart"/>
      <w:r w:rsidRPr="00377981">
        <w:t>Respimat</w:t>
      </w:r>
      <w:proofErr w:type="spellEnd"/>
      <w:r w:rsidRPr="00377981">
        <w:t xml:space="preserve"> trial (TIOSPIR), design and rationale.</w:t>
      </w:r>
      <w:proofErr w:type="gramEnd"/>
      <w:r w:rsidRPr="00377981">
        <w:t xml:space="preserve"> </w:t>
      </w:r>
      <w:proofErr w:type="spellStart"/>
      <w:r w:rsidRPr="00525BC0">
        <w:rPr>
          <w:i/>
        </w:rPr>
        <w:t>Resp</w:t>
      </w:r>
      <w:proofErr w:type="spellEnd"/>
      <w:r w:rsidRPr="00525BC0">
        <w:rPr>
          <w:i/>
        </w:rPr>
        <w:t xml:space="preserve"> Res</w:t>
      </w:r>
      <w:r w:rsidRPr="00377981">
        <w:t xml:space="preserve"> 2013 14:40. </w:t>
      </w:r>
    </w:p>
    <w:p w:rsidR="00163792" w:rsidRDefault="00163792">
      <w:pPr>
        <w:pStyle w:val="FootnoteText"/>
      </w:pPr>
    </w:p>
  </w:footnote>
  <w:footnote w:id="29">
    <w:p w:rsidR="00163792" w:rsidRDefault="00163792" w:rsidP="007831A2">
      <w:pPr>
        <w:pStyle w:val="FootnoteText"/>
      </w:pPr>
      <w:r>
        <w:rPr>
          <w:rStyle w:val="FootnoteReference"/>
        </w:rPr>
        <w:footnoteRef/>
      </w:r>
      <w:r>
        <w:t xml:space="preserve"> </w:t>
      </w:r>
      <w:r w:rsidRPr="00494E35">
        <w:t xml:space="preserve">GOLD classifies COPD into 4 grades of severity: Grade I (mild; FEV1 ≥ 80% predicted), Grade II (moderate; FEV1 ≥ 50% and &lt; 80% predicted), </w:t>
      </w:r>
      <w:proofErr w:type="gramStart"/>
      <w:r w:rsidRPr="00494E35">
        <w:t>Grade</w:t>
      </w:r>
      <w:proofErr w:type="gramEnd"/>
      <w:r w:rsidRPr="00494E35">
        <w:t xml:space="preserve"> III (severe; FEV1 ≥ 30% and &lt; 50% predicted), and Grade IV (very severe; FEV1 &lt; 30% predicted). FEV1 is bas</w:t>
      </w:r>
      <w:r>
        <w:t>ed on post bronchodilator FEV1.</w:t>
      </w:r>
    </w:p>
  </w:footnote>
  <w:footnote w:id="30">
    <w:p w:rsidR="00163792" w:rsidRDefault="00163792" w:rsidP="007831A2">
      <w:pPr>
        <w:pStyle w:val="FootnoteText"/>
      </w:pPr>
      <w:r>
        <w:rPr>
          <w:rStyle w:val="FootnoteReference"/>
        </w:rPr>
        <w:footnoteRef/>
      </w:r>
      <w:r>
        <w:t xml:space="preserve"> Forced Vital Capacity (FVC) </w:t>
      </w:r>
      <w:r w:rsidRPr="004D3555">
        <w:t>is the maximum amount of air a person can forcibly expel from the lungs after a maximum inhalation.</w:t>
      </w:r>
    </w:p>
  </w:footnote>
  <w:footnote w:id="31">
    <w:p w:rsidR="00163792" w:rsidRDefault="00163792" w:rsidP="007831A2">
      <w:pPr>
        <w:pStyle w:val="FootnoteText"/>
      </w:pPr>
      <w:r>
        <w:rPr>
          <w:rStyle w:val="FootnoteReference"/>
        </w:rPr>
        <w:footnoteRef/>
      </w:r>
      <w:r>
        <w:t xml:space="preserve"> </w:t>
      </w:r>
      <w:r w:rsidRPr="00E01483">
        <w:t>modified Medical Research Council Dyspnoea Scale</w:t>
      </w:r>
      <w:r>
        <w:t>: Grade 0 - I get breathless only with strenuous exercise; Grade 1 – I get short of breath if hurrying on level ground or walking up a slight hill; Grade 2 – On level ground, I walk slower than people of the same age because of breathlessness, or have to stop for breath if walking at my own pace; Grade 3 – I stop for breath after walking about 100 yards or after a few minutes on level ground; Grade 4 – I am too breathless to leave the house or I am breathless when dressing.</w:t>
      </w:r>
    </w:p>
  </w:footnote>
  <w:footnote w:id="32">
    <w:p w:rsidR="00163792" w:rsidRPr="007E654A" w:rsidRDefault="00163792" w:rsidP="007831A2">
      <w:pPr>
        <w:pStyle w:val="FootnoteText"/>
      </w:pPr>
      <w:r w:rsidRPr="001A781E">
        <w:rPr>
          <w:vertAlign w:val="superscript"/>
        </w:rPr>
        <w:footnoteRef/>
      </w:r>
      <w:r w:rsidRPr="001A781E">
        <w:t xml:space="preserve"> Note: the sponsor subsequently withdrew the part of the application to register the UMEC/VI 125/25 µg strength.</w:t>
      </w:r>
    </w:p>
  </w:footnote>
  <w:footnote w:id="33">
    <w:p w:rsidR="00163792" w:rsidRDefault="00163792" w:rsidP="007831A2">
      <w:pPr>
        <w:pStyle w:val="FootnoteText"/>
      </w:pPr>
      <w:r>
        <w:rPr>
          <w:rStyle w:val="FootnoteReference"/>
        </w:rPr>
        <w:footnoteRef/>
      </w:r>
      <w:r>
        <w:t xml:space="preserve"> </w:t>
      </w:r>
      <w:proofErr w:type="spellStart"/>
      <w:proofErr w:type="gramStart"/>
      <w:r>
        <w:t>Anthonisen</w:t>
      </w:r>
      <w:proofErr w:type="spellEnd"/>
      <w:r>
        <w:t xml:space="preserve"> NR et al. </w:t>
      </w:r>
      <w:r w:rsidRPr="007F43CA">
        <w:t>Lung Health Study Research Group (2002) Hospitalizations and mortality in the Lung Health Study.</w:t>
      </w:r>
      <w:proofErr w:type="gramEnd"/>
      <w:r w:rsidRPr="007F43CA">
        <w:t xml:space="preserve"> </w:t>
      </w:r>
      <w:proofErr w:type="gramStart"/>
      <w:r w:rsidRPr="007F43CA">
        <w:rPr>
          <w:i/>
        </w:rPr>
        <w:t>Am</w:t>
      </w:r>
      <w:proofErr w:type="gramEnd"/>
      <w:r w:rsidRPr="007F43CA">
        <w:rPr>
          <w:i/>
        </w:rPr>
        <w:t xml:space="preserve"> J </w:t>
      </w:r>
      <w:proofErr w:type="spellStart"/>
      <w:r w:rsidRPr="007F43CA">
        <w:rPr>
          <w:i/>
        </w:rPr>
        <w:t>Respir</w:t>
      </w:r>
      <w:proofErr w:type="spellEnd"/>
      <w:r w:rsidRPr="007F43CA">
        <w:rPr>
          <w:i/>
        </w:rPr>
        <w:t xml:space="preserve"> </w:t>
      </w:r>
      <w:proofErr w:type="spellStart"/>
      <w:r w:rsidRPr="007F43CA">
        <w:rPr>
          <w:i/>
        </w:rPr>
        <w:t>Crit</w:t>
      </w:r>
      <w:proofErr w:type="spellEnd"/>
      <w:r w:rsidRPr="007F43CA">
        <w:rPr>
          <w:i/>
        </w:rPr>
        <w:t xml:space="preserve"> Care Med</w:t>
      </w:r>
      <w:r w:rsidRPr="007F43CA">
        <w:t>.</w:t>
      </w:r>
      <w:r>
        <w:t xml:space="preserve"> 2002:166; 333–339</w:t>
      </w:r>
      <w:r w:rsidRPr="00D76AFA">
        <w:t>.</w:t>
      </w:r>
    </w:p>
  </w:footnote>
  <w:footnote w:id="34">
    <w:p w:rsidR="00163792" w:rsidRDefault="00163792" w:rsidP="00A4483F">
      <w:pPr>
        <w:pStyle w:val="FootnoteText"/>
      </w:pPr>
      <w:r>
        <w:rPr>
          <w:rStyle w:val="FootnoteReference"/>
        </w:rPr>
        <w:footnoteRef/>
      </w:r>
      <w:r>
        <w:t xml:space="preserve"> </w:t>
      </w:r>
      <w:proofErr w:type="spellStart"/>
      <w:proofErr w:type="gramStart"/>
      <w:r>
        <w:t>Kesten</w:t>
      </w:r>
      <w:proofErr w:type="spellEnd"/>
      <w:r w:rsidRPr="007F43CA">
        <w:t xml:space="preserve"> </w:t>
      </w:r>
      <w:r>
        <w:t xml:space="preserve">S et al. </w:t>
      </w:r>
      <w:r w:rsidRPr="007F43CA">
        <w:t xml:space="preserve">Pooled clinical trial analysis of </w:t>
      </w:r>
      <w:proofErr w:type="spellStart"/>
      <w:r w:rsidRPr="007F43CA">
        <w:t>tiotropium</w:t>
      </w:r>
      <w:proofErr w:type="spellEnd"/>
      <w:r w:rsidRPr="007F43CA">
        <w:t xml:space="preserve"> safety.</w:t>
      </w:r>
      <w:proofErr w:type="gramEnd"/>
      <w:r w:rsidRPr="007F43CA">
        <w:t xml:space="preserve"> </w:t>
      </w:r>
      <w:r w:rsidRPr="007F43CA">
        <w:rPr>
          <w:i/>
        </w:rPr>
        <w:t>Chest</w:t>
      </w:r>
      <w:r w:rsidRPr="007F43CA">
        <w:t xml:space="preserve"> </w:t>
      </w:r>
      <w:r>
        <w:t>2006: 130; 1695-703.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92" w:rsidRDefault="0016379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92" w:rsidRDefault="00163792">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63792" w:rsidRDefault="00163792"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92" w:rsidRDefault="001637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92" w:rsidRDefault="0016379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92" w:rsidRDefault="0016379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92" w:rsidRDefault="001637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92" w:rsidRDefault="0016379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92" w:rsidRDefault="00163792" w:rsidP="006E08B3">
    <w:r>
      <w:t>Therapeutic Goods Administration</w:t>
    </w:r>
  </w:p>
  <w:p w:rsidR="00163792" w:rsidRDefault="0016379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2BCF57AC"/>
    <w:multiLevelType w:val="hybridMultilevel"/>
    <w:tmpl w:val="D8CA7B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7D64C3E"/>
    <w:multiLevelType w:val="hybridMultilevel"/>
    <w:tmpl w:val="62B29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2A57C6C"/>
    <w:multiLevelType w:val="hybridMultilevel"/>
    <w:tmpl w:val="38E4E950"/>
    <w:lvl w:ilvl="0" w:tplc="0C09000F">
      <w:start w:val="1"/>
      <w:numFmt w:val="decimal"/>
      <w:lvlText w:val="%1."/>
      <w:lvlJc w:val="left"/>
      <w:pPr>
        <w:ind w:left="1741" w:hanging="360"/>
      </w:p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6">
    <w:nsid w:val="44373A61"/>
    <w:multiLevelType w:val="hybridMultilevel"/>
    <w:tmpl w:val="C284E1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A39511F"/>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
  </w:num>
  <w:num w:numId="2">
    <w:abstractNumId w:val="0"/>
  </w:num>
  <w:num w:numId="3">
    <w:abstractNumId w:val="1"/>
  </w:num>
  <w:num w:numId="4">
    <w:abstractNumId w:val="0"/>
  </w:num>
  <w:num w:numId="5">
    <w:abstractNumId w:val="7"/>
  </w:num>
  <w:num w:numId="6">
    <w:abstractNumId w:val="3"/>
  </w:num>
  <w:num w:numId="7">
    <w:abstractNumId w:val="6"/>
  </w:num>
  <w:num w:numId="8">
    <w:abstractNumId w:val="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BE7"/>
    <w:rsid w:val="00001AEC"/>
    <w:rsid w:val="00002031"/>
    <w:rsid w:val="000021B8"/>
    <w:rsid w:val="00004734"/>
    <w:rsid w:val="000053DF"/>
    <w:rsid w:val="00006B22"/>
    <w:rsid w:val="0001276A"/>
    <w:rsid w:val="0001309C"/>
    <w:rsid w:val="000246AE"/>
    <w:rsid w:val="000250D1"/>
    <w:rsid w:val="00025C67"/>
    <w:rsid w:val="00025E8E"/>
    <w:rsid w:val="00033028"/>
    <w:rsid w:val="000345E3"/>
    <w:rsid w:val="000405E6"/>
    <w:rsid w:val="00042F57"/>
    <w:rsid w:val="00044772"/>
    <w:rsid w:val="0005559E"/>
    <w:rsid w:val="00056420"/>
    <w:rsid w:val="000604D6"/>
    <w:rsid w:val="00062E35"/>
    <w:rsid w:val="000673C3"/>
    <w:rsid w:val="00067CFD"/>
    <w:rsid w:val="0007102C"/>
    <w:rsid w:val="000734D8"/>
    <w:rsid w:val="00077775"/>
    <w:rsid w:val="00077A4E"/>
    <w:rsid w:val="0008449A"/>
    <w:rsid w:val="000864A7"/>
    <w:rsid w:val="00090471"/>
    <w:rsid w:val="00090C84"/>
    <w:rsid w:val="00092BA4"/>
    <w:rsid w:val="00096AA7"/>
    <w:rsid w:val="000A2B47"/>
    <w:rsid w:val="000A3AED"/>
    <w:rsid w:val="000B3532"/>
    <w:rsid w:val="000B3A75"/>
    <w:rsid w:val="000B6CC7"/>
    <w:rsid w:val="000C690F"/>
    <w:rsid w:val="000C755A"/>
    <w:rsid w:val="000D1295"/>
    <w:rsid w:val="000D391B"/>
    <w:rsid w:val="000D3D6D"/>
    <w:rsid w:val="000D4FC7"/>
    <w:rsid w:val="000E426F"/>
    <w:rsid w:val="000E558C"/>
    <w:rsid w:val="000F4869"/>
    <w:rsid w:val="000F5B42"/>
    <w:rsid w:val="000F6E6F"/>
    <w:rsid w:val="0010601F"/>
    <w:rsid w:val="0010788A"/>
    <w:rsid w:val="00107A31"/>
    <w:rsid w:val="001104ED"/>
    <w:rsid w:val="00110EA5"/>
    <w:rsid w:val="00112F56"/>
    <w:rsid w:val="001222B1"/>
    <w:rsid w:val="00125318"/>
    <w:rsid w:val="001305A2"/>
    <w:rsid w:val="00133238"/>
    <w:rsid w:val="0014197B"/>
    <w:rsid w:val="001447CD"/>
    <w:rsid w:val="001516B1"/>
    <w:rsid w:val="00152B78"/>
    <w:rsid w:val="00154EBB"/>
    <w:rsid w:val="00156316"/>
    <w:rsid w:val="00162159"/>
    <w:rsid w:val="00162D14"/>
    <w:rsid w:val="00163792"/>
    <w:rsid w:val="00165389"/>
    <w:rsid w:val="00173405"/>
    <w:rsid w:val="001752EA"/>
    <w:rsid w:val="0017693F"/>
    <w:rsid w:val="0018110E"/>
    <w:rsid w:val="00181684"/>
    <w:rsid w:val="001843C6"/>
    <w:rsid w:val="00184ABA"/>
    <w:rsid w:val="001850E0"/>
    <w:rsid w:val="001A20A5"/>
    <w:rsid w:val="001A2158"/>
    <w:rsid w:val="001A50F1"/>
    <w:rsid w:val="001A525F"/>
    <w:rsid w:val="001A5CCD"/>
    <w:rsid w:val="001B09F9"/>
    <w:rsid w:val="001B5C90"/>
    <w:rsid w:val="001B6448"/>
    <w:rsid w:val="001C32CD"/>
    <w:rsid w:val="001C4619"/>
    <w:rsid w:val="001D05AF"/>
    <w:rsid w:val="001D06ED"/>
    <w:rsid w:val="001D2984"/>
    <w:rsid w:val="001D54CF"/>
    <w:rsid w:val="001D6125"/>
    <w:rsid w:val="001E07CF"/>
    <w:rsid w:val="001E4642"/>
    <w:rsid w:val="001E59F1"/>
    <w:rsid w:val="001F1DC8"/>
    <w:rsid w:val="001F3A28"/>
    <w:rsid w:val="001F49EB"/>
    <w:rsid w:val="001F6CBA"/>
    <w:rsid w:val="00201D4E"/>
    <w:rsid w:val="002041BF"/>
    <w:rsid w:val="002076C9"/>
    <w:rsid w:val="00214066"/>
    <w:rsid w:val="00220B8A"/>
    <w:rsid w:val="002257F3"/>
    <w:rsid w:val="00227EF6"/>
    <w:rsid w:val="00233456"/>
    <w:rsid w:val="002339A5"/>
    <w:rsid w:val="002350B9"/>
    <w:rsid w:val="002374E8"/>
    <w:rsid w:val="00240523"/>
    <w:rsid w:val="00244213"/>
    <w:rsid w:val="00245149"/>
    <w:rsid w:val="00256325"/>
    <w:rsid w:val="00257848"/>
    <w:rsid w:val="0027084A"/>
    <w:rsid w:val="002745C1"/>
    <w:rsid w:val="00276B4A"/>
    <w:rsid w:val="00286434"/>
    <w:rsid w:val="00286C59"/>
    <w:rsid w:val="00287EB0"/>
    <w:rsid w:val="00291957"/>
    <w:rsid w:val="002942D1"/>
    <w:rsid w:val="0029501A"/>
    <w:rsid w:val="00296A82"/>
    <w:rsid w:val="00296D72"/>
    <w:rsid w:val="0029763C"/>
    <w:rsid w:val="002A18DB"/>
    <w:rsid w:val="002A3A6A"/>
    <w:rsid w:val="002A434E"/>
    <w:rsid w:val="002B01FD"/>
    <w:rsid w:val="002B1638"/>
    <w:rsid w:val="002B3624"/>
    <w:rsid w:val="002C6F43"/>
    <w:rsid w:val="002D141B"/>
    <w:rsid w:val="002D7A6D"/>
    <w:rsid w:val="002E1DAB"/>
    <w:rsid w:val="002E2591"/>
    <w:rsid w:val="002E40B3"/>
    <w:rsid w:val="002E4C9A"/>
    <w:rsid w:val="002F11F8"/>
    <w:rsid w:val="002F321A"/>
    <w:rsid w:val="002F3F56"/>
    <w:rsid w:val="002F44B5"/>
    <w:rsid w:val="003000A9"/>
    <w:rsid w:val="00310B18"/>
    <w:rsid w:val="00311AC0"/>
    <w:rsid w:val="00315E19"/>
    <w:rsid w:val="00320D48"/>
    <w:rsid w:val="003242E3"/>
    <w:rsid w:val="0032583B"/>
    <w:rsid w:val="00327883"/>
    <w:rsid w:val="003331B8"/>
    <w:rsid w:val="00335504"/>
    <w:rsid w:val="003435F6"/>
    <w:rsid w:val="00345296"/>
    <w:rsid w:val="003476A7"/>
    <w:rsid w:val="00347824"/>
    <w:rsid w:val="00350567"/>
    <w:rsid w:val="003521E8"/>
    <w:rsid w:val="0035367F"/>
    <w:rsid w:val="0036175C"/>
    <w:rsid w:val="0036602A"/>
    <w:rsid w:val="00367B3B"/>
    <w:rsid w:val="0037008F"/>
    <w:rsid w:val="003728F3"/>
    <w:rsid w:val="0037496E"/>
    <w:rsid w:val="00377981"/>
    <w:rsid w:val="003830DF"/>
    <w:rsid w:val="00386150"/>
    <w:rsid w:val="003874CE"/>
    <w:rsid w:val="00390900"/>
    <w:rsid w:val="00390EED"/>
    <w:rsid w:val="00392B23"/>
    <w:rsid w:val="00394913"/>
    <w:rsid w:val="003A7F6C"/>
    <w:rsid w:val="003B4D60"/>
    <w:rsid w:val="003B5481"/>
    <w:rsid w:val="003B78B2"/>
    <w:rsid w:val="003B7E39"/>
    <w:rsid w:val="003C58DC"/>
    <w:rsid w:val="003D1E62"/>
    <w:rsid w:val="003D3C63"/>
    <w:rsid w:val="003D584F"/>
    <w:rsid w:val="003D5872"/>
    <w:rsid w:val="003E2486"/>
    <w:rsid w:val="003E3208"/>
    <w:rsid w:val="003E6EDF"/>
    <w:rsid w:val="003E77F3"/>
    <w:rsid w:val="003F0B04"/>
    <w:rsid w:val="003F1690"/>
    <w:rsid w:val="003F5A62"/>
    <w:rsid w:val="0040134E"/>
    <w:rsid w:val="00401A81"/>
    <w:rsid w:val="00405D02"/>
    <w:rsid w:val="00410A65"/>
    <w:rsid w:val="00413C5A"/>
    <w:rsid w:val="004334C7"/>
    <w:rsid w:val="00435E3C"/>
    <w:rsid w:val="00440A2D"/>
    <w:rsid w:val="00442C0D"/>
    <w:rsid w:val="004466BD"/>
    <w:rsid w:val="00453469"/>
    <w:rsid w:val="004564A7"/>
    <w:rsid w:val="004617BF"/>
    <w:rsid w:val="00461B87"/>
    <w:rsid w:val="00463658"/>
    <w:rsid w:val="004637A0"/>
    <w:rsid w:val="004722CC"/>
    <w:rsid w:val="00484293"/>
    <w:rsid w:val="004936E4"/>
    <w:rsid w:val="00493E4F"/>
    <w:rsid w:val="00494E35"/>
    <w:rsid w:val="00494E60"/>
    <w:rsid w:val="00497487"/>
    <w:rsid w:val="004A20BC"/>
    <w:rsid w:val="004A7390"/>
    <w:rsid w:val="004A7626"/>
    <w:rsid w:val="004A7E15"/>
    <w:rsid w:val="004B7B76"/>
    <w:rsid w:val="004C239D"/>
    <w:rsid w:val="004C2ABF"/>
    <w:rsid w:val="004C2DCA"/>
    <w:rsid w:val="004C5B1F"/>
    <w:rsid w:val="004C6AD5"/>
    <w:rsid w:val="004D3220"/>
    <w:rsid w:val="004D3555"/>
    <w:rsid w:val="004F0C4A"/>
    <w:rsid w:val="004F0F38"/>
    <w:rsid w:val="004F2D2F"/>
    <w:rsid w:val="004F4C09"/>
    <w:rsid w:val="00501921"/>
    <w:rsid w:val="00502EAA"/>
    <w:rsid w:val="0050592A"/>
    <w:rsid w:val="00510094"/>
    <w:rsid w:val="005106AC"/>
    <w:rsid w:val="00522013"/>
    <w:rsid w:val="00525BC0"/>
    <w:rsid w:val="00530354"/>
    <w:rsid w:val="0053140B"/>
    <w:rsid w:val="005346B8"/>
    <w:rsid w:val="0053625B"/>
    <w:rsid w:val="005434C6"/>
    <w:rsid w:val="00543B39"/>
    <w:rsid w:val="00546154"/>
    <w:rsid w:val="00550096"/>
    <w:rsid w:val="00551265"/>
    <w:rsid w:val="005513E1"/>
    <w:rsid w:val="005528CA"/>
    <w:rsid w:val="00555280"/>
    <w:rsid w:val="0055788A"/>
    <w:rsid w:val="00557FF9"/>
    <w:rsid w:val="00563F7A"/>
    <w:rsid w:val="005746DB"/>
    <w:rsid w:val="00574A05"/>
    <w:rsid w:val="00576378"/>
    <w:rsid w:val="00577130"/>
    <w:rsid w:val="00577945"/>
    <w:rsid w:val="00577E38"/>
    <w:rsid w:val="0058445E"/>
    <w:rsid w:val="00585322"/>
    <w:rsid w:val="005857C6"/>
    <w:rsid w:val="005903EE"/>
    <w:rsid w:val="00592F6E"/>
    <w:rsid w:val="00593AD1"/>
    <w:rsid w:val="005A68B6"/>
    <w:rsid w:val="005C5570"/>
    <w:rsid w:val="005C79A4"/>
    <w:rsid w:val="005D1C08"/>
    <w:rsid w:val="005D50D6"/>
    <w:rsid w:val="005D5442"/>
    <w:rsid w:val="005F1EDF"/>
    <w:rsid w:val="005F4530"/>
    <w:rsid w:val="00603F32"/>
    <w:rsid w:val="00605AD4"/>
    <w:rsid w:val="00610270"/>
    <w:rsid w:val="0061779E"/>
    <w:rsid w:val="00625A6E"/>
    <w:rsid w:val="00632398"/>
    <w:rsid w:val="006344BC"/>
    <w:rsid w:val="00640FC3"/>
    <w:rsid w:val="00642020"/>
    <w:rsid w:val="00647F1D"/>
    <w:rsid w:val="0065337B"/>
    <w:rsid w:val="0065419D"/>
    <w:rsid w:val="006548A6"/>
    <w:rsid w:val="00657F6A"/>
    <w:rsid w:val="006604D8"/>
    <w:rsid w:val="0066300F"/>
    <w:rsid w:val="00664A5B"/>
    <w:rsid w:val="00671DD7"/>
    <w:rsid w:val="006721D0"/>
    <w:rsid w:val="00672509"/>
    <w:rsid w:val="006763D2"/>
    <w:rsid w:val="00680C08"/>
    <w:rsid w:val="0069294F"/>
    <w:rsid w:val="006931B1"/>
    <w:rsid w:val="00693EED"/>
    <w:rsid w:val="00693F7B"/>
    <w:rsid w:val="0069791D"/>
    <w:rsid w:val="006A15C0"/>
    <w:rsid w:val="006B593A"/>
    <w:rsid w:val="006C274F"/>
    <w:rsid w:val="006C39F3"/>
    <w:rsid w:val="006C3E2A"/>
    <w:rsid w:val="006C586A"/>
    <w:rsid w:val="006C642F"/>
    <w:rsid w:val="006D03E5"/>
    <w:rsid w:val="006D08A2"/>
    <w:rsid w:val="006D5D3E"/>
    <w:rsid w:val="006E08B3"/>
    <w:rsid w:val="006E2461"/>
    <w:rsid w:val="006E24B0"/>
    <w:rsid w:val="006F0C0F"/>
    <w:rsid w:val="006F17AC"/>
    <w:rsid w:val="006F25B8"/>
    <w:rsid w:val="006F51C2"/>
    <w:rsid w:val="006F572E"/>
    <w:rsid w:val="006F6218"/>
    <w:rsid w:val="007016D9"/>
    <w:rsid w:val="00703DBC"/>
    <w:rsid w:val="007046D6"/>
    <w:rsid w:val="00705DB0"/>
    <w:rsid w:val="00710B34"/>
    <w:rsid w:val="0072222B"/>
    <w:rsid w:val="00722B57"/>
    <w:rsid w:val="00730F8A"/>
    <w:rsid w:val="007365FC"/>
    <w:rsid w:val="0074253D"/>
    <w:rsid w:val="00743CFE"/>
    <w:rsid w:val="0074429B"/>
    <w:rsid w:val="00746931"/>
    <w:rsid w:val="007615BC"/>
    <w:rsid w:val="00762F05"/>
    <w:rsid w:val="007652FF"/>
    <w:rsid w:val="00770EF1"/>
    <w:rsid w:val="00773EF7"/>
    <w:rsid w:val="00774E1D"/>
    <w:rsid w:val="0077675A"/>
    <w:rsid w:val="00780355"/>
    <w:rsid w:val="007803AE"/>
    <w:rsid w:val="007816CE"/>
    <w:rsid w:val="007819FD"/>
    <w:rsid w:val="007831A2"/>
    <w:rsid w:val="00785721"/>
    <w:rsid w:val="00793A59"/>
    <w:rsid w:val="00793DBF"/>
    <w:rsid w:val="007B0BDE"/>
    <w:rsid w:val="007B5B7B"/>
    <w:rsid w:val="007B6132"/>
    <w:rsid w:val="007B6E9F"/>
    <w:rsid w:val="007C1216"/>
    <w:rsid w:val="007C1510"/>
    <w:rsid w:val="007C1AF7"/>
    <w:rsid w:val="007C7144"/>
    <w:rsid w:val="007E0827"/>
    <w:rsid w:val="007E23AB"/>
    <w:rsid w:val="007F2733"/>
    <w:rsid w:val="007F43CA"/>
    <w:rsid w:val="0080042C"/>
    <w:rsid w:val="00804CE1"/>
    <w:rsid w:val="00805D27"/>
    <w:rsid w:val="00814A70"/>
    <w:rsid w:val="00821776"/>
    <w:rsid w:val="008231E9"/>
    <w:rsid w:val="008314A4"/>
    <w:rsid w:val="008321F5"/>
    <w:rsid w:val="00832369"/>
    <w:rsid w:val="00834660"/>
    <w:rsid w:val="00836BC2"/>
    <w:rsid w:val="00837F98"/>
    <w:rsid w:val="0085156D"/>
    <w:rsid w:val="0085641B"/>
    <w:rsid w:val="00857136"/>
    <w:rsid w:val="00870FE3"/>
    <w:rsid w:val="00885B11"/>
    <w:rsid w:val="00886D15"/>
    <w:rsid w:val="00887DD8"/>
    <w:rsid w:val="00891BA9"/>
    <w:rsid w:val="00896018"/>
    <w:rsid w:val="008960DD"/>
    <w:rsid w:val="0089635C"/>
    <w:rsid w:val="008A2B9D"/>
    <w:rsid w:val="008A3D9F"/>
    <w:rsid w:val="008A5E0B"/>
    <w:rsid w:val="008A6D59"/>
    <w:rsid w:val="008B4B03"/>
    <w:rsid w:val="008B596F"/>
    <w:rsid w:val="008B640A"/>
    <w:rsid w:val="008C159F"/>
    <w:rsid w:val="008C1623"/>
    <w:rsid w:val="008C1850"/>
    <w:rsid w:val="008C51A9"/>
    <w:rsid w:val="008C62CF"/>
    <w:rsid w:val="008D58A2"/>
    <w:rsid w:val="008E213D"/>
    <w:rsid w:val="008E7846"/>
    <w:rsid w:val="008F1CCC"/>
    <w:rsid w:val="008F2967"/>
    <w:rsid w:val="008F6943"/>
    <w:rsid w:val="0090036F"/>
    <w:rsid w:val="00902A21"/>
    <w:rsid w:val="00913184"/>
    <w:rsid w:val="00920330"/>
    <w:rsid w:val="009219D7"/>
    <w:rsid w:val="00922D53"/>
    <w:rsid w:val="00923B70"/>
    <w:rsid w:val="00924482"/>
    <w:rsid w:val="00930237"/>
    <w:rsid w:val="00933E0B"/>
    <w:rsid w:val="00940A89"/>
    <w:rsid w:val="00940B9A"/>
    <w:rsid w:val="009442C3"/>
    <w:rsid w:val="00945508"/>
    <w:rsid w:val="00946D67"/>
    <w:rsid w:val="00946EA5"/>
    <w:rsid w:val="00961328"/>
    <w:rsid w:val="009615C3"/>
    <w:rsid w:val="009628C6"/>
    <w:rsid w:val="00963B3B"/>
    <w:rsid w:val="00963C08"/>
    <w:rsid w:val="00974EA2"/>
    <w:rsid w:val="00980CB0"/>
    <w:rsid w:val="0098585A"/>
    <w:rsid w:val="009A1CFE"/>
    <w:rsid w:val="009A4CED"/>
    <w:rsid w:val="009A690D"/>
    <w:rsid w:val="009B1D12"/>
    <w:rsid w:val="009B416B"/>
    <w:rsid w:val="009C1775"/>
    <w:rsid w:val="009C213F"/>
    <w:rsid w:val="009C4BD5"/>
    <w:rsid w:val="009C562B"/>
    <w:rsid w:val="009D7B77"/>
    <w:rsid w:val="009E0BB0"/>
    <w:rsid w:val="009E1EAF"/>
    <w:rsid w:val="009E3FBB"/>
    <w:rsid w:val="009F67D4"/>
    <w:rsid w:val="009F6F66"/>
    <w:rsid w:val="00A03E73"/>
    <w:rsid w:val="00A04F85"/>
    <w:rsid w:val="00A05315"/>
    <w:rsid w:val="00A102E4"/>
    <w:rsid w:val="00A12C42"/>
    <w:rsid w:val="00A14DF7"/>
    <w:rsid w:val="00A30D8C"/>
    <w:rsid w:val="00A3246D"/>
    <w:rsid w:val="00A35829"/>
    <w:rsid w:val="00A36FA7"/>
    <w:rsid w:val="00A427FC"/>
    <w:rsid w:val="00A43EC5"/>
    <w:rsid w:val="00A4483F"/>
    <w:rsid w:val="00A44DDB"/>
    <w:rsid w:val="00A475B7"/>
    <w:rsid w:val="00A47AF7"/>
    <w:rsid w:val="00A47C3E"/>
    <w:rsid w:val="00A50226"/>
    <w:rsid w:val="00A54191"/>
    <w:rsid w:val="00A54884"/>
    <w:rsid w:val="00A55F8B"/>
    <w:rsid w:val="00A60BAD"/>
    <w:rsid w:val="00A62466"/>
    <w:rsid w:val="00A71311"/>
    <w:rsid w:val="00A80B5B"/>
    <w:rsid w:val="00A84E36"/>
    <w:rsid w:val="00A964D1"/>
    <w:rsid w:val="00A9689A"/>
    <w:rsid w:val="00A96E8F"/>
    <w:rsid w:val="00A96F2C"/>
    <w:rsid w:val="00AA0ED0"/>
    <w:rsid w:val="00AA1D67"/>
    <w:rsid w:val="00AA26AE"/>
    <w:rsid w:val="00AA30B0"/>
    <w:rsid w:val="00AA6872"/>
    <w:rsid w:val="00AB0FB9"/>
    <w:rsid w:val="00AC2B40"/>
    <w:rsid w:val="00AC2BB2"/>
    <w:rsid w:val="00AC2C3C"/>
    <w:rsid w:val="00AC512D"/>
    <w:rsid w:val="00AC6C2D"/>
    <w:rsid w:val="00AD0083"/>
    <w:rsid w:val="00AD3935"/>
    <w:rsid w:val="00AD746D"/>
    <w:rsid w:val="00AE65EB"/>
    <w:rsid w:val="00AE67A7"/>
    <w:rsid w:val="00AF1D94"/>
    <w:rsid w:val="00AF26B5"/>
    <w:rsid w:val="00AF60C5"/>
    <w:rsid w:val="00B009C6"/>
    <w:rsid w:val="00B01548"/>
    <w:rsid w:val="00B10EA2"/>
    <w:rsid w:val="00B201DB"/>
    <w:rsid w:val="00B21D29"/>
    <w:rsid w:val="00B25034"/>
    <w:rsid w:val="00B3031A"/>
    <w:rsid w:val="00B33588"/>
    <w:rsid w:val="00B33863"/>
    <w:rsid w:val="00B33F56"/>
    <w:rsid w:val="00B3426E"/>
    <w:rsid w:val="00B35898"/>
    <w:rsid w:val="00B37CEF"/>
    <w:rsid w:val="00B37D17"/>
    <w:rsid w:val="00B4175E"/>
    <w:rsid w:val="00B41D3A"/>
    <w:rsid w:val="00B452CE"/>
    <w:rsid w:val="00B54C25"/>
    <w:rsid w:val="00B73028"/>
    <w:rsid w:val="00B76B91"/>
    <w:rsid w:val="00B77EB1"/>
    <w:rsid w:val="00B811C6"/>
    <w:rsid w:val="00B8228F"/>
    <w:rsid w:val="00B824CD"/>
    <w:rsid w:val="00B83313"/>
    <w:rsid w:val="00B84830"/>
    <w:rsid w:val="00B855B0"/>
    <w:rsid w:val="00B92E08"/>
    <w:rsid w:val="00B96ECC"/>
    <w:rsid w:val="00BA40AE"/>
    <w:rsid w:val="00BB4047"/>
    <w:rsid w:val="00BB41DF"/>
    <w:rsid w:val="00BC4448"/>
    <w:rsid w:val="00BC622A"/>
    <w:rsid w:val="00BC6FC4"/>
    <w:rsid w:val="00BD30AC"/>
    <w:rsid w:val="00BE09FE"/>
    <w:rsid w:val="00BE0A78"/>
    <w:rsid w:val="00BE33C4"/>
    <w:rsid w:val="00BE79F0"/>
    <w:rsid w:val="00BF046D"/>
    <w:rsid w:val="00BF1190"/>
    <w:rsid w:val="00BF5D04"/>
    <w:rsid w:val="00C1164D"/>
    <w:rsid w:val="00C12BE7"/>
    <w:rsid w:val="00C130FE"/>
    <w:rsid w:val="00C16861"/>
    <w:rsid w:val="00C23AF5"/>
    <w:rsid w:val="00C2755D"/>
    <w:rsid w:val="00C30B75"/>
    <w:rsid w:val="00C404A6"/>
    <w:rsid w:val="00C40A36"/>
    <w:rsid w:val="00C44419"/>
    <w:rsid w:val="00C45E7B"/>
    <w:rsid w:val="00C471B1"/>
    <w:rsid w:val="00C556C6"/>
    <w:rsid w:val="00C5786A"/>
    <w:rsid w:val="00C6027A"/>
    <w:rsid w:val="00C6316B"/>
    <w:rsid w:val="00C634A9"/>
    <w:rsid w:val="00C64586"/>
    <w:rsid w:val="00C67506"/>
    <w:rsid w:val="00C70D53"/>
    <w:rsid w:val="00C7195F"/>
    <w:rsid w:val="00C73D0B"/>
    <w:rsid w:val="00C772FF"/>
    <w:rsid w:val="00C80137"/>
    <w:rsid w:val="00C801AF"/>
    <w:rsid w:val="00C80256"/>
    <w:rsid w:val="00C90863"/>
    <w:rsid w:val="00C9747E"/>
    <w:rsid w:val="00CA20A1"/>
    <w:rsid w:val="00CB5031"/>
    <w:rsid w:val="00CB5782"/>
    <w:rsid w:val="00CB6BC0"/>
    <w:rsid w:val="00CC0928"/>
    <w:rsid w:val="00CC1B7C"/>
    <w:rsid w:val="00CC727F"/>
    <w:rsid w:val="00CD64A7"/>
    <w:rsid w:val="00CE5EB5"/>
    <w:rsid w:val="00CF15C3"/>
    <w:rsid w:val="00CF2B6F"/>
    <w:rsid w:val="00CF58B6"/>
    <w:rsid w:val="00CF6510"/>
    <w:rsid w:val="00D017ED"/>
    <w:rsid w:val="00D040D3"/>
    <w:rsid w:val="00D04BDB"/>
    <w:rsid w:val="00D04C65"/>
    <w:rsid w:val="00D12D2B"/>
    <w:rsid w:val="00D13EC4"/>
    <w:rsid w:val="00D201D2"/>
    <w:rsid w:val="00D224FE"/>
    <w:rsid w:val="00D23139"/>
    <w:rsid w:val="00D23B41"/>
    <w:rsid w:val="00D37B07"/>
    <w:rsid w:val="00D425BB"/>
    <w:rsid w:val="00D4445D"/>
    <w:rsid w:val="00D45C67"/>
    <w:rsid w:val="00D528D4"/>
    <w:rsid w:val="00D6493E"/>
    <w:rsid w:val="00D67D30"/>
    <w:rsid w:val="00D7195D"/>
    <w:rsid w:val="00D7301E"/>
    <w:rsid w:val="00D76AFA"/>
    <w:rsid w:val="00D83AE1"/>
    <w:rsid w:val="00D855D4"/>
    <w:rsid w:val="00D90179"/>
    <w:rsid w:val="00D93466"/>
    <w:rsid w:val="00DA1124"/>
    <w:rsid w:val="00DB6124"/>
    <w:rsid w:val="00DB750B"/>
    <w:rsid w:val="00DB75B7"/>
    <w:rsid w:val="00DC6E02"/>
    <w:rsid w:val="00DD744C"/>
    <w:rsid w:val="00DE02AE"/>
    <w:rsid w:val="00DE372D"/>
    <w:rsid w:val="00DE3D3D"/>
    <w:rsid w:val="00DF1D7F"/>
    <w:rsid w:val="00DF4BE4"/>
    <w:rsid w:val="00DF68E4"/>
    <w:rsid w:val="00E0123A"/>
    <w:rsid w:val="00E01483"/>
    <w:rsid w:val="00E02FB4"/>
    <w:rsid w:val="00E065AE"/>
    <w:rsid w:val="00E10C7F"/>
    <w:rsid w:val="00E128BF"/>
    <w:rsid w:val="00E13FC7"/>
    <w:rsid w:val="00E140E4"/>
    <w:rsid w:val="00E1477D"/>
    <w:rsid w:val="00E15359"/>
    <w:rsid w:val="00E15620"/>
    <w:rsid w:val="00E20571"/>
    <w:rsid w:val="00E2140F"/>
    <w:rsid w:val="00E235F7"/>
    <w:rsid w:val="00E23659"/>
    <w:rsid w:val="00E239D4"/>
    <w:rsid w:val="00E24F93"/>
    <w:rsid w:val="00E26130"/>
    <w:rsid w:val="00E30542"/>
    <w:rsid w:val="00E40B22"/>
    <w:rsid w:val="00E44ED1"/>
    <w:rsid w:val="00E45619"/>
    <w:rsid w:val="00E4588F"/>
    <w:rsid w:val="00E46DA3"/>
    <w:rsid w:val="00E50F10"/>
    <w:rsid w:val="00E51BB1"/>
    <w:rsid w:val="00E624A5"/>
    <w:rsid w:val="00E7344E"/>
    <w:rsid w:val="00E76DDA"/>
    <w:rsid w:val="00E8672B"/>
    <w:rsid w:val="00E90B5C"/>
    <w:rsid w:val="00E9414B"/>
    <w:rsid w:val="00EA210B"/>
    <w:rsid w:val="00EB06F3"/>
    <w:rsid w:val="00EB0798"/>
    <w:rsid w:val="00EB40AD"/>
    <w:rsid w:val="00EB478D"/>
    <w:rsid w:val="00EB586E"/>
    <w:rsid w:val="00EB59AD"/>
    <w:rsid w:val="00EB5FC8"/>
    <w:rsid w:val="00EB631E"/>
    <w:rsid w:val="00EC7A85"/>
    <w:rsid w:val="00ED0BF7"/>
    <w:rsid w:val="00ED1C56"/>
    <w:rsid w:val="00ED3BF5"/>
    <w:rsid w:val="00ED3CAD"/>
    <w:rsid w:val="00ED5A41"/>
    <w:rsid w:val="00EE1DE8"/>
    <w:rsid w:val="00EE2676"/>
    <w:rsid w:val="00EE2A52"/>
    <w:rsid w:val="00EE7043"/>
    <w:rsid w:val="00EE75B7"/>
    <w:rsid w:val="00F0156E"/>
    <w:rsid w:val="00F033EC"/>
    <w:rsid w:val="00F04F68"/>
    <w:rsid w:val="00F07344"/>
    <w:rsid w:val="00F07B11"/>
    <w:rsid w:val="00F12670"/>
    <w:rsid w:val="00F136D3"/>
    <w:rsid w:val="00F14B27"/>
    <w:rsid w:val="00F15E74"/>
    <w:rsid w:val="00F3148D"/>
    <w:rsid w:val="00F325C5"/>
    <w:rsid w:val="00F32FE0"/>
    <w:rsid w:val="00F33153"/>
    <w:rsid w:val="00F35298"/>
    <w:rsid w:val="00F35BE2"/>
    <w:rsid w:val="00F40DB4"/>
    <w:rsid w:val="00F47333"/>
    <w:rsid w:val="00F47E37"/>
    <w:rsid w:val="00F53C07"/>
    <w:rsid w:val="00F54B65"/>
    <w:rsid w:val="00F640B6"/>
    <w:rsid w:val="00F705C7"/>
    <w:rsid w:val="00F80E40"/>
    <w:rsid w:val="00F82F3C"/>
    <w:rsid w:val="00F84403"/>
    <w:rsid w:val="00F848D9"/>
    <w:rsid w:val="00F96D9E"/>
    <w:rsid w:val="00FA35C5"/>
    <w:rsid w:val="00FA5B82"/>
    <w:rsid w:val="00FA639E"/>
    <w:rsid w:val="00FC0A6F"/>
    <w:rsid w:val="00FC10B3"/>
    <w:rsid w:val="00FC25E4"/>
    <w:rsid w:val="00FC292D"/>
    <w:rsid w:val="00FC4EF7"/>
    <w:rsid w:val="00FC544B"/>
    <w:rsid w:val="00FD0824"/>
    <w:rsid w:val="00FD119B"/>
    <w:rsid w:val="00FD1EDC"/>
    <w:rsid w:val="00FD56D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3302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3830D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3830DF"/>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3830DF"/>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3830DF"/>
    <w:pPr>
      <w:keepNext/>
      <w:spacing w:before="360" w:after="0" w:line="220" w:lineRule="atLeast"/>
      <w:outlineLvl w:val="3"/>
    </w:pPr>
    <w:rPr>
      <w:b/>
      <w:bCs/>
      <w:szCs w:val="21"/>
    </w:rPr>
  </w:style>
  <w:style w:type="paragraph" w:styleId="Heading5">
    <w:name w:val="heading 5"/>
    <w:basedOn w:val="Normal"/>
    <w:next w:val="Normal"/>
    <w:link w:val="Heading5Char"/>
    <w:qFormat/>
    <w:rsid w:val="003830DF"/>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E24F93"/>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numPr>
        <w:ilvl w:val="6"/>
        <w:numId w:val="5"/>
      </w:num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830DF"/>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830DF"/>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E2461"/>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E2461"/>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B5481"/>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92B23"/>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92B2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92B23"/>
    <w:pPr>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92B2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Standard">
    <w:name w:val="Standard"/>
    <w:basedOn w:val="Normal"/>
    <w:link w:val="StandardChar"/>
    <w:qFormat/>
    <w:rsid w:val="00461B87"/>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461B87"/>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AB0FB9"/>
    <w:pPr>
      <w:keepNext/>
      <w:spacing w:after="110"/>
      <w:outlineLvl w:val="2"/>
    </w:pPr>
    <w:rPr>
      <w:b/>
      <w:i/>
    </w:rPr>
  </w:style>
  <w:style w:type="paragraph" w:customStyle="1" w:styleId="WhiteSpace">
    <w:name w:val="White Space"/>
    <w:basedOn w:val="Standard"/>
    <w:link w:val="WhiteSpaceChar"/>
    <w:rsid w:val="00AB0FB9"/>
    <w:pPr>
      <w:spacing w:after="0"/>
    </w:pPr>
    <w:rPr>
      <w:sz w:val="16"/>
      <w:szCs w:val="16"/>
    </w:rPr>
  </w:style>
  <w:style w:type="character" w:customStyle="1" w:styleId="WhiteSpaceChar">
    <w:name w:val="White Space Char"/>
    <w:basedOn w:val="DefaultParagraphFont"/>
    <w:link w:val="WhiteSpace"/>
    <w:rsid w:val="00AB0FB9"/>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AB0FB9"/>
    <w:pPr>
      <w:outlineLvl w:val="1"/>
    </w:pPr>
    <w:rPr>
      <w:i w:val="0"/>
    </w:rPr>
  </w:style>
  <w:style w:type="paragraph" w:customStyle="1" w:styleId="AssessmentSubsection2">
    <w:name w:val="Assessment Subsection 2"/>
    <w:basedOn w:val="AssessmentSubsection"/>
    <w:next w:val="Standard"/>
    <w:rsid w:val="00AB0FB9"/>
    <w:pPr>
      <w:outlineLvl w:val="3"/>
    </w:pPr>
    <w:rPr>
      <w:b w:val="0"/>
    </w:rPr>
  </w:style>
  <w:style w:type="character" w:customStyle="1" w:styleId="TableTitleChar">
    <w:name w:val="Table Title Char"/>
    <w:basedOn w:val="StandardChar"/>
    <w:link w:val="TableTitle"/>
    <w:rsid w:val="003830DF"/>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3830DF"/>
    <w:rPr>
      <w:rFonts w:ascii="Cambria" w:eastAsia="Cambria" w:hAnsi="Cambria" w:cs="Times New Roman"/>
      <w:sz w:val="19"/>
    </w:rPr>
  </w:style>
  <w:style w:type="paragraph" w:customStyle="1" w:styleId="TableHeader">
    <w:name w:val="Table Header"/>
    <w:basedOn w:val="Normal"/>
    <w:rsid w:val="003830DF"/>
    <w:pPr>
      <w:keepNext/>
      <w:keepLines/>
      <w:widowControl w:val="0"/>
      <w:spacing w:before="60" w:after="60" w:line="200" w:lineRule="exact"/>
      <w:jc w:val="center"/>
    </w:pPr>
    <w:rPr>
      <w:rFonts w:eastAsia="MS Mincho" w:cstheme="minorBidi"/>
      <w:b/>
      <w:kern w:val="2"/>
      <w:sz w:val="19"/>
      <w:szCs w:val="19"/>
    </w:rPr>
  </w:style>
  <w:style w:type="character" w:customStyle="1" w:styleId="Heading8Char">
    <w:name w:val="Heading 8 Char"/>
    <w:basedOn w:val="DefaultParagraphFont"/>
    <w:link w:val="Heading8"/>
    <w:uiPriority w:val="9"/>
    <w:semiHidden/>
    <w:rsid w:val="003830D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830DF"/>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semiHidden/>
    <w:unhideWhenUsed/>
    <w:rsid w:val="003830DF"/>
    <w:pPr>
      <w:numPr>
        <w:numId w:val="5"/>
      </w:numPr>
    </w:pPr>
  </w:style>
  <w:style w:type="paragraph" w:customStyle="1" w:styleId="TableCaption">
    <w:name w:val="Table Caption"/>
    <w:basedOn w:val="Standard"/>
    <w:next w:val="Standard"/>
    <w:link w:val="TableCaptionChar"/>
    <w:qFormat/>
    <w:rsid w:val="00E24F93"/>
    <w:pPr>
      <w:spacing w:before="60" w:after="440" w:line="215" w:lineRule="exact"/>
      <w:ind w:left="170"/>
    </w:pPr>
    <w:rPr>
      <w:sz w:val="18"/>
      <w:szCs w:val="19"/>
    </w:rPr>
  </w:style>
  <w:style w:type="character" w:customStyle="1" w:styleId="TableCaptionChar">
    <w:name w:val="Table Caption Char"/>
    <w:basedOn w:val="TabletextChar"/>
    <w:link w:val="TableCaption"/>
    <w:rsid w:val="00E24F93"/>
    <w:rPr>
      <w:rFonts w:ascii="Cambria" w:eastAsia="Times New Roman" w:hAnsi="Cambria" w:cs="Times New Roman"/>
      <w:snapToGrid w:val="0"/>
      <w:kern w:val="16"/>
      <w:sz w:val="18"/>
      <w:szCs w:val="19"/>
    </w:rPr>
  </w:style>
  <w:style w:type="paragraph" w:customStyle="1" w:styleId="Bullet1">
    <w:name w:val="Bullet 1"/>
    <w:basedOn w:val="Normal"/>
    <w:rsid w:val="003331B8"/>
    <w:pPr>
      <w:numPr>
        <w:numId w:val="6"/>
      </w:numPr>
      <w:spacing w:after="0" w:line="240" w:lineRule="auto"/>
    </w:pPr>
    <w:rPr>
      <w:rFonts w:eastAsia="Times New Roman"/>
      <w:kern w:val="24"/>
      <w:szCs w:val="24"/>
      <w:lang w:eastAsia="en-AU"/>
    </w:rPr>
  </w:style>
  <w:style w:type="paragraph" w:customStyle="1" w:styleId="Tabletitle0">
    <w:name w:val="Table title"/>
    <w:basedOn w:val="Normal"/>
    <w:next w:val="Normal"/>
    <w:rsid w:val="003331B8"/>
    <w:pPr>
      <w:keepNext/>
      <w:spacing w:after="180"/>
      <w:outlineLvl w:val="4"/>
    </w:pPr>
    <w:rPr>
      <w:rFonts w:cstheme="minorBidi"/>
      <w:b/>
    </w:rPr>
  </w:style>
  <w:style w:type="paragraph" w:styleId="ListParagraph">
    <w:name w:val="List Paragraph"/>
    <w:basedOn w:val="Normal"/>
    <w:uiPriority w:val="34"/>
    <w:qFormat/>
    <w:rsid w:val="00510094"/>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510094"/>
  </w:style>
  <w:style w:type="paragraph" w:customStyle="1" w:styleId="Default">
    <w:name w:val="Default"/>
    <w:rsid w:val="00510094"/>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 w:type="paragraph" w:customStyle="1" w:styleId="mine">
    <w:name w:val="mine"/>
    <w:basedOn w:val="Normal"/>
    <w:next w:val="Normal"/>
    <w:qFormat/>
    <w:rsid w:val="00390EED"/>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table">
    <w:name w:val="table"/>
    <w:basedOn w:val="Normal"/>
    <w:qFormat/>
    <w:rsid w:val="00296D72"/>
    <w:pPr>
      <w:adjustRightInd w:val="0"/>
      <w:snapToGrid w:val="0"/>
      <w:spacing w:before="0" w:after="0" w:line="240" w:lineRule="auto"/>
    </w:pPr>
    <w:rPr>
      <w:rFonts w:ascii="Times New Roman" w:eastAsia="MS Mincho" w:hAnsi="Times New Roman"/>
      <w:sz w:val="16"/>
      <w:szCs w:val="20"/>
      <w:lang w:eastAsia="ja-JP"/>
    </w:rPr>
  </w:style>
  <w:style w:type="paragraph" w:customStyle="1" w:styleId="SectionHeading">
    <w:name w:val="Section Heading"/>
    <w:basedOn w:val="Standard"/>
    <w:next w:val="Standard"/>
    <w:link w:val="SectionHeadingCharChar"/>
    <w:rsid w:val="001C4619"/>
    <w:pPr>
      <w:keepNext/>
      <w:outlineLvl w:val="0"/>
    </w:pPr>
    <w:rPr>
      <w:b/>
      <w:caps/>
      <w:sz w:val="24"/>
    </w:rPr>
  </w:style>
  <w:style w:type="character" w:customStyle="1" w:styleId="SectionHeadingCharChar">
    <w:name w:val="Section Heading Char Char"/>
    <w:basedOn w:val="DefaultParagraphFont"/>
    <w:link w:val="SectionHeading"/>
    <w:rsid w:val="001C4619"/>
    <w:rPr>
      <w:rFonts w:ascii="Cambria" w:eastAsia="Times New Roman" w:hAnsi="Cambria" w:cs="Times New Roman"/>
      <w:b/>
      <w:caps/>
      <w:snapToGrid w:val="0"/>
      <w:kern w:val="16"/>
      <w:sz w:val="24"/>
      <w:szCs w:val="24"/>
    </w:rPr>
  </w:style>
  <w:style w:type="character" w:styleId="CommentReference">
    <w:name w:val="annotation reference"/>
    <w:basedOn w:val="DefaultParagraphFont"/>
    <w:uiPriority w:val="99"/>
    <w:semiHidden/>
    <w:unhideWhenUsed/>
    <w:rsid w:val="00793DBF"/>
    <w:rPr>
      <w:sz w:val="16"/>
      <w:szCs w:val="16"/>
    </w:rPr>
  </w:style>
  <w:style w:type="paragraph" w:styleId="CommentText">
    <w:name w:val="annotation text"/>
    <w:basedOn w:val="Normal"/>
    <w:link w:val="CommentTextChar"/>
    <w:uiPriority w:val="99"/>
    <w:semiHidden/>
    <w:unhideWhenUsed/>
    <w:rsid w:val="00793DBF"/>
    <w:pPr>
      <w:spacing w:line="240" w:lineRule="auto"/>
    </w:pPr>
    <w:rPr>
      <w:sz w:val="20"/>
      <w:szCs w:val="20"/>
    </w:rPr>
  </w:style>
  <w:style w:type="character" w:customStyle="1" w:styleId="CommentTextChar">
    <w:name w:val="Comment Text Char"/>
    <w:basedOn w:val="DefaultParagraphFont"/>
    <w:link w:val="CommentText"/>
    <w:uiPriority w:val="99"/>
    <w:semiHidden/>
    <w:rsid w:val="00793DBF"/>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793DBF"/>
    <w:rPr>
      <w:b/>
      <w:bCs/>
    </w:rPr>
  </w:style>
  <w:style w:type="character" w:customStyle="1" w:styleId="CommentSubjectChar">
    <w:name w:val="Comment Subject Char"/>
    <w:basedOn w:val="CommentTextChar"/>
    <w:link w:val="CommentSubject"/>
    <w:uiPriority w:val="99"/>
    <w:semiHidden/>
    <w:rsid w:val="00793DBF"/>
    <w:rPr>
      <w:rFonts w:ascii="Cambria" w:eastAsia="Cambria" w:hAnsi="Cambria" w:cs="Times New Roman"/>
      <w:b/>
      <w:bCs/>
      <w:sz w:val="20"/>
      <w:szCs w:val="20"/>
    </w:rPr>
  </w:style>
  <w:style w:type="table" w:customStyle="1" w:styleId="TableTGAblue1">
    <w:name w:val="Table TGA blue1"/>
    <w:basedOn w:val="TableNormal"/>
    <w:uiPriority w:val="99"/>
    <w:qFormat/>
    <w:rsid w:val="00F15E74"/>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3302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3830D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3830DF"/>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3830DF"/>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3830DF"/>
    <w:pPr>
      <w:keepNext/>
      <w:spacing w:before="360" w:after="0" w:line="220" w:lineRule="atLeast"/>
      <w:outlineLvl w:val="3"/>
    </w:pPr>
    <w:rPr>
      <w:b/>
      <w:bCs/>
      <w:szCs w:val="21"/>
    </w:rPr>
  </w:style>
  <w:style w:type="paragraph" w:styleId="Heading5">
    <w:name w:val="heading 5"/>
    <w:basedOn w:val="Normal"/>
    <w:next w:val="Normal"/>
    <w:link w:val="Heading5Char"/>
    <w:qFormat/>
    <w:rsid w:val="003830DF"/>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E24F93"/>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numPr>
        <w:ilvl w:val="6"/>
        <w:numId w:val="5"/>
      </w:num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830DF"/>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830DF"/>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E2461"/>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E2461"/>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B5481"/>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92B23"/>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92B2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92B23"/>
    <w:pPr>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92B2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Standard">
    <w:name w:val="Standard"/>
    <w:basedOn w:val="Normal"/>
    <w:link w:val="StandardChar"/>
    <w:qFormat/>
    <w:rsid w:val="00461B87"/>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461B87"/>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AB0FB9"/>
    <w:pPr>
      <w:keepNext/>
      <w:spacing w:after="110"/>
      <w:outlineLvl w:val="2"/>
    </w:pPr>
    <w:rPr>
      <w:b/>
      <w:i/>
    </w:rPr>
  </w:style>
  <w:style w:type="paragraph" w:customStyle="1" w:styleId="WhiteSpace">
    <w:name w:val="White Space"/>
    <w:basedOn w:val="Standard"/>
    <w:link w:val="WhiteSpaceChar"/>
    <w:rsid w:val="00AB0FB9"/>
    <w:pPr>
      <w:spacing w:after="0"/>
    </w:pPr>
    <w:rPr>
      <w:sz w:val="16"/>
      <w:szCs w:val="16"/>
    </w:rPr>
  </w:style>
  <w:style w:type="character" w:customStyle="1" w:styleId="WhiteSpaceChar">
    <w:name w:val="White Space Char"/>
    <w:basedOn w:val="DefaultParagraphFont"/>
    <w:link w:val="WhiteSpace"/>
    <w:rsid w:val="00AB0FB9"/>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AB0FB9"/>
    <w:pPr>
      <w:outlineLvl w:val="1"/>
    </w:pPr>
    <w:rPr>
      <w:i w:val="0"/>
    </w:rPr>
  </w:style>
  <w:style w:type="paragraph" w:customStyle="1" w:styleId="AssessmentSubsection2">
    <w:name w:val="Assessment Subsection 2"/>
    <w:basedOn w:val="AssessmentSubsection"/>
    <w:next w:val="Standard"/>
    <w:rsid w:val="00AB0FB9"/>
    <w:pPr>
      <w:outlineLvl w:val="3"/>
    </w:pPr>
    <w:rPr>
      <w:b w:val="0"/>
    </w:rPr>
  </w:style>
  <w:style w:type="character" w:customStyle="1" w:styleId="TableTitleChar">
    <w:name w:val="Table Title Char"/>
    <w:basedOn w:val="StandardChar"/>
    <w:link w:val="TableTitle"/>
    <w:rsid w:val="003830DF"/>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3830DF"/>
    <w:rPr>
      <w:rFonts w:ascii="Cambria" w:eastAsia="Cambria" w:hAnsi="Cambria" w:cs="Times New Roman"/>
      <w:sz w:val="19"/>
    </w:rPr>
  </w:style>
  <w:style w:type="paragraph" w:customStyle="1" w:styleId="TableHeader">
    <w:name w:val="Table Header"/>
    <w:basedOn w:val="Normal"/>
    <w:rsid w:val="003830DF"/>
    <w:pPr>
      <w:keepNext/>
      <w:keepLines/>
      <w:widowControl w:val="0"/>
      <w:spacing w:before="60" w:after="60" w:line="200" w:lineRule="exact"/>
      <w:jc w:val="center"/>
    </w:pPr>
    <w:rPr>
      <w:rFonts w:eastAsia="MS Mincho" w:cstheme="minorBidi"/>
      <w:b/>
      <w:kern w:val="2"/>
      <w:sz w:val="19"/>
      <w:szCs w:val="19"/>
    </w:rPr>
  </w:style>
  <w:style w:type="character" w:customStyle="1" w:styleId="Heading8Char">
    <w:name w:val="Heading 8 Char"/>
    <w:basedOn w:val="DefaultParagraphFont"/>
    <w:link w:val="Heading8"/>
    <w:uiPriority w:val="9"/>
    <w:semiHidden/>
    <w:rsid w:val="003830D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830DF"/>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semiHidden/>
    <w:unhideWhenUsed/>
    <w:rsid w:val="003830DF"/>
    <w:pPr>
      <w:numPr>
        <w:numId w:val="5"/>
      </w:numPr>
    </w:pPr>
  </w:style>
  <w:style w:type="paragraph" w:customStyle="1" w:styleId="TableCaption">
    <w:name w:val="Table Caption"/>
    <w:basedOn w:val="Standard"/>
    <w:next w:val="Standard"/>
    <w:link w:val="TableCaptionChar"/>
    <w:qFormat/>
    <w:rsid w:val="00E24F93"/>
    <w:pPr>
      <w:spacing w:before="60" w:after="440" w:line="215" w:lineRule="exact"/>
      <w:ind w:left="170"/>
    </w:pPr>
    <w:rPr>
      <w:sz w:val="18"/>
      <w:szCs w:val="19"/>
    </w:rPr>
  </w:style>
  <w:style w:type="character" w:customStyle="1" w:styleId="TableCaptionChar">
    <w:name w:val="Table Caption Char"/>
    <w:basedOn w:val="TabletextChar"/>
    <w:link w:val="TableCaption"/>
    <w:rsid w:val="00E24F93"/>
    <w:rPr>
      <w:rFonts w:ascii="Cambria" w:eastAsia="Times New Roman" w:hAnsi="Cambria" w:cs="Times New Roman"/>
      <w:snapToGrid w:val="0"/>
      <w:kern w:val="16"/>
      <w:sz w:val="18"/>
      <w:szCs w:val="19"/>
    </w:rPr>
  </w:style>
  <w:style w:type="paragraph" w:customStyle="1" w:styleId="Bullet1">
    <w:name w:val="Bullet 1"/>
    <w:basedOn w:val="Normal"/>
    <w:rsid w:val="003331B8"/>
    <w:pPr>
      <w:numPr>
        <w:numId w:val="6"/>
      </w:numPr>
      <w:spacing w:after="0" w:line="240" w:lineRule="auto"/>
    </w:pPr>
    <w:rPr>
      <w:rFonts w:eastAsia="Times New Roman"/>
      <w:kern w:val="24"/>
      <w:szCs w:val="24"/>
      <w:lang w:eastAsia="en-AU"/>
    </w:rPr>
  </w:style>
  <w:style w:type="paragraph" w:customStyle="1" w:styleId="Tabletitle0">
    <w:name w:val="Table title"/>
    <w:basedOn w:val="Normal"/>
    <w:next w:val="Normal"/>
    <w:rsid w:val="003331B8"/>
    <w:pPr>
      <w:keepNext/>
      <w:spacing w:after="180"/>
      <w:outlineLvl w:val="4"/>
    </w:pPr>
    <w:rPr>
      <w:rFonts w:cstheme="minorBidi"/>
      <w:b/>
    </w:rPr>
  </w:style>
  <w:style w:type="paragraph" w:styleId="ListParagraph">
    <w:name w:val="List Paragraph"/>
    <w:basedOn w:val="Normal"/>
    <w:uiPriority w:val="34"/>
    <w:qFormat/>
    <w:rsid w:val="00510094"/>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510094"/>
  </w:style>
  <w:style w:type="paragraph" w:customStyle="1" w:styleId="Default">
    <w:name w:val="Default"/>
    <w:rsid w:val="00510094"/>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 w:type="paragraph" w:customStyle="1" w:styleId="mine">
    <w:name w:val="mine"/>
    <w:basedOn w:val="Normal"/>
    <w:next w:val="Normal"/>
    <w:qFormat/>
    <w:rsid w:val="00390EED"/>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table">
    <w:name w:val="table"/>
    <w:basedOn w:val="Normal"/>
    <w:qFormat/>
    <w:rsid w:val="00296D72"/>
    <w:pPr>
      <w:adjustRightInd w:val="0"/>
      <w:snapToGrid w:val="0"/>
      <w:spacing w:before="0" w:after="0" w:line="240" w:lineRule="auto"/>
    </w:pPr>
    <w:rPr>
      <w:rFonts w:ascii="Times New Roman" w:eastAsia="MS Mincho" w:hAnsi="Times New Roman"/>
      <w:sz w:val="16"/>
      <w:szCs w:val="20"/>
      <w:lang w:eastAsia="ja-JP"/>
    </w:rPr>
  </w:style>
  <w:style w:type="paragraph" w:customStyle="1" w:styleId="SectionHeading">
    <w:name w:val="Section Heading"/>
    <w:basedOn w:val="Standard"/>
    <w:next w:val="Standard"/>
    <w:link w:val="SectionHeadingCharChar"/>
    <w:rsid w:val="001C4619"/>
    <w:pPr>
      <w:keepNext/>
      <w:outlineLvl w:val="0"/>
    </w:pPr>
    <w:rPr>
      <w:b/>
      <w:caps/>
      <w:sz w:val="24"/>
    </w:rPr>
  </w:style>
  <w:style w:type="character" w:customStyle="1" w:styleId="SectionHeadingCharChar">
    <w:name w:val="Section Heading Char Char"/>
    <w:basedOn w:val="DefaultParagraphFont"/>
    <w:link w:val="SectionHeading"/>
    <w:rsid w:val="001C4619"/>
    <w:rPr>
      <w:rFonts w:ascii="Cambria" w:eastAsia="Times New Roman" w:hAnsi="Cambria" w:cs="Times New Roman"/>
      <w:b/>
      <w:caps/>
      <w:snapToGrid w:val="0"/>
      <w:kern w:val="16"/>
      <w:sz w:val="24"/>
      <w:szCs w:val="24"/>
    </w:rPr>
  </w:style>
  <w:style w:type="character" w:styleId="CommentReference">
    <w:name w:val="annotation reference"/>
    <w:basedOn w:val="DefaultParagraphFont"/>
    <w:uiPriority w:val="99"/>
    <w:semiHidden/>
    <w:unhideWhenUsed/>
    <w:rsid w:val="00793DBF"/>
    <w:rPr>
      <w:sz w:val="16"/>
      <w:szCs w:val="16"/>
    </w:rPr>
  </w:style>
  <w:style w:type="paragraph" w:styleId="CommentText">
    <w:name w:val="annotation text"/>
    <w:basedOn w:val="Normal"/>
    <w:link w:val="CommentTextChar"/>
    <w:uiPriority w:val="99"/>
    <w:semiHidden/>
    <w:unhideWhenUsed/>
    <w:rsid w:val="00793DBF"/>
    <w:pPr>
      <w:spacing w:line="240" w:lineRule="auto"/>
    </w:pPr>
    <w:rPr>
      <w:sz w:val="20"/>
      <w:szCs w:val="20"/>
    </w:rPr>
  </w:style>
  <w:style w:type="character" w:customStyle="1" w:styleId="CommentTextChar">
    <w:name w:val="Comment Text Char"/>
    <w:basedOn w:val="DefaultParagraphFont"/>
    <w:link w:val="CommentText"/>
    <w:uiPriority w:val="99"/>
    <w:semiHidden/>
    <w:rsid w:val="00793DBF"/>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793DBF"/>
    <w:rPr>
      <w:b/>
      <w:bCs/>
    </w:rPr>
  </w:style>
  <w:style w:type="character" w:customStyle="1" w:styleId="CommentSubjectChar">
    <w:name w:val="Comment Subject Char"/>
    <w:basedOn w:val="CommentTextChar"/>
    <w:link w:val="CommentSubject"/>
    <w:uiPriority w:val="99"/>
    <w:semiHidden/>
    <w:rsid w:val="00793DBF"/>
    <w:rPr>
      <w:rFonts w:ascii="Cambria" w:eastAsia="Cambria" w:hAnsi="Cambria" w:cs="Times New Roman"/>
      <w:b/>
      <w:bCs/>
      <w:sz w:val="20"/>
      <w:szCs w:val="20"/>
    </w:rPr>
  </w:style>
  <w:style w:type="table" w:customStyle="1" w:styleId="TableTGAblue1">
    <w:name w:val="Table TGA blue1"/>
    <w:basedOn w:val="TableNormal"/>
    <w:uiPriority w:val="99"/>
    <w:qFormat/>
    <w:rsid w:val="00F15E74"/>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09648">
      <w:bodyDiv w:val="1"/>
      <w:marLeft w:val="0"/>
      <w:marRight w:val="0"/>
      <w:marTop w:val="0"/>
      <w:marBottom w:val="0"/>
      <w:divBdr>
        <w:top w:val="none" w:sz="0" w:space="0" w:color="auto"/>
        <w:left w:val="none" w:sz="0" w:space="0" w:color="auto"/>
        <w:bottom w:val="none" w:sz="0" w:space="0" w:color="auto"/>
        <w:right w:val="none" w:sz="0" w:space="0" w:color="auto"/>
      </w:divBdr>
    </w:div>
    <w:div w:id="621032614">
      <w:bodyDiv w:val="1"/>
      <w:marLeft w:val="0"/>
      <w:marRight w:val="0"/>
      <w:marTop w:val="0"/>
      <w:marBottom w:val="0"/>
      <w:divBdr>
        <w:top w:val="none" w:sz="0" w:space="0" w:color="auto"/>
        <w:left w:val="none" w:sz="0" w:space="0" w:color="auto"/>
        <w:bottom w:val="none" w:sz="0" w:space="0" w:color="auto"/>
        <w:right w:val="none" w:sz="0" w:space="0" w:color="auto"/>
      </w:divBdr>
    </w:div>
    <w:div w:id="731543984">
      <w:bodyDiv w:val="1"/>
      <w:marLeft w:val="0"/>
      <w:marRight w:val="0"/>
      <w:marTop w:val="0"/>
      <w:marBottom w:val="0"/>
      <w:divBdr>
        <w:top w:val="none" w:sz="0" w:space="0" w:color="auto"/>
        <w:left w:val="none" w:sz="0" w:space="0" w:color="auto"/>
        <w:bottom w:val="none" w:sz="0" w:space="0" w:color="auto"/>
        <w:right w:val="none" w:sz="0" w:space="0" w:color="auto"/>
      </w:divBdr>
    </w:div>
    <w:div w:id="157381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tga.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490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356FB-D16E-482F-A8F7-8C7477FAE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320</TotalTime>
  <Pages>71</Pages>
  <Words>25508</Words>
  <Characters>145402</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Australian public assessment report for Umeclidinium bromide and Vilanterol trifenatate</vt:lpstr>
    </vt:vector>
  </TitlesOfParts>
  <Company>Department of Health Therapeutic Goods Administration</Company>
  <LinksUpToDate>false</LinksUpToDate>
  <CharactersWithSpaces>170569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Umeclidinium bromide and Vilanterol trifenatate</dc:title>
  <dc:subject>prescription medicine regulation</dc:subject>
  <dc:creator>Therapeutic Goods Administration</dc:creator>
  <cp:keywords>auspar, prescription, medicine, assessment, regulation, australia, umeclidinium, bromide, vilanterol, trifenatate, anoro, ellipta, glaxo smith kline</cp:keywords>
  <cp:lastModifiedBy>Sheppard, Fran</cp:lastModifiedBy>
  <cp:revision>18</cp:revision>
  <cp:lastPrinted>2015-03-11T05:04:00Z</cp:lastPrinted>
  <dcterms:created xsi:type="dcterms:W3CDTF">2015-04-07T01:11:00Z</dcterms:created>
  <dcterms:modified xsi:type="dcterms:W3CDTF">2015-06-25T00:24:00Z</dcterms:modified>
  <cp:category>External publication</cp:category>
</cp:coreProperties>
</file>