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0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4"/>
      </w:tblGrid>
      <w:tr w:rsidR="00B13321" w:rsidRPr="00487162" w:rsidTr="0028745E">
        <w:trPr>
          <w:trHeight w:val="1863"/>
        </w:trPr>
        <w:tc>
          <w:tcPr>
            <w:tcW w:w="7054" w:type="dxa"/>
            <w:tcBorders>
              <w:top w:val="nil"/>
              <w:left w:val="nil"/>
              <w:bottom w:val="nil"/>
              <w:right w:val="nil"/>
            </w:tcBorders>
          </w:tcPr>
          <w:p w:rsidR="00B13321" w:rsidRPr="00644D18" w:rsidRDefault="00B13321" w:rsidP="00644D18">
            <w:pPr>
              <w:pStyle w:val="Date"/>
              <w:framePr w:hSpace="0" w:wrap="auto" w:vAnchor="margin" w:hAnchor="text" w:yAlign="inline"/>
              <w:suppressOverlap w:val="0"/>
            </w:pPr>
            <w:r w:rsidRPr="00644D18">
              <w:t>First round report 2 October 2013</w:t>
            </w:r>
          </w:p>
          <w:p w:rsidR="00B13321" w:rsidRPr="00644D18" w:rsidRDefault="00B13321" w:rsidP="00644D18">
            <w:pPr>
              <w:pStyle w:val="Date"/>
              <w:framePr w:hSpace="0" w:wrap="auto" w:vAnchor="margin" w:hAnchor="text" w:yAlign="inline"/>
              <w:suppressOverlap w:val="0"/>
            </w:pPr>
            <w:r w:rsidRPr="00644D18">
              <w:t>Second round report 7 January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B13321" w:rsidRPr="00A964D1" w:rsidTr="0028745E">
        <w:trPr>
          <w:trHeight w:val="1548"/>
        </w:trPr>
        <w:tc>
          <w:tcPr>
            <w:tcW w:w="9079" w:type="dxa"/>
          </w:tcPr>
          <w:p w:rsidR="00B13321" w:rsidRPr="00A964D1" w:rsidRDefault="00B13321" w:rsidP="004D6ECD">
            <w:pPr>
              <w:pStyle w:val="Title"/>
            </w:pPr>
            <w:r>
              <w:t>AusPAR Attachment 2</w:t>
            </w:r>
          </w:p>
        </w:tc>
      </w:tr>
      <w:tr w:rsidR="00B13321" w:rsidRPr="00A964D1" w:rsidTr="0028745E">
        <w:trPr>
          <w:trHeight w:val="868"/>
        </w:trPr>
        <w:tc>
          <w:tcPr>
            <w:tcW w:w="9079" w:type="dxa"/>
          </w:tcPr>
          <w:p w:rsidR="00B13321" w:rsidRPr="00A964D1" w:rsidRDefault="00B13321" w:rsidP="00644D18">
            <w:pPr>
              <w:pStyle w:val="Title"/>
            </w:pPr>
            <w:r>
              <w:t>Extract from the Clinical Evaluation Report</w:t>
            </w:r>
            <w:r w:rsidRPr="00A964D1">
              <w:t xml:space="preserve"> for </w:t>
            </w:r>
            <w:proofErr w:type="spellStart"/>
            <w:r w:rsidRPr="00644D18">
              <w:t>Umeclidinium</w:t>
            </w:r>
            <w:proofErr w:type="spellEnd"/>
            <w:r>
              <w:t xml:space="preserve"> bromide and </w:t>
            </w:r>
            <w:proofErr w:type="spellStart"/>
            <w:r>
              <w:t>Vilanterol</w:t>
            </w:r>
            <w:proofErr w:type="spellEnd"/>
            <w:r>
              <w:t xml:space="preserve"> trifenatate</w:t>
            </w:r>
          </w:p>
        </w:tc>
      </w:tr>
      <w:tr w:rsidR="00B13321" w:rsidRPr="00B64760" w:rsidTr="0028745E">
        <w:tc>
          <w:tcPr>
            <w:tcW w:w="9079" w:type="dxa"/>
          </w:tcPr>
          <w:p w:rsidR="00B13321" w:rsidRPr="008E7846" w:rsidRDefault="00B13321" w:rsidP="00644D18">
            <w:pPr>
              <w:pStyle w:val="Subtitle"/>
            </w:pPr>
            <w:r w:rsidRPr="008E7846">
              <w:t xml:space="preserve">Proprietary Product Name: </w:t>
            </w:r>
            <w:proofErr w:type="spellStart"/>
            <w:r w:rsidRPr="00644D18">
              <w:t>Anoro</w:t>
            </w:r>
            <w:proofErr w:type="spellEnd"/>
            <w:r>
              <w:t xml:space="preserve"> </w:t>
            </w:r>
            <w:proofErr w:type="spellStart"/>
            <w:r>
              <w:t>Ellipta</w:t>
            </w:r>
            <w:proofErr w:type="spellEnd"/>
          </w:p>
        </w:tc>
      </w:tr>
      <w:tr w:rsidR="00B13321" w:rsidRPr="00B64760" w:rsidTr="0028745E">
        <w:trPr>
          <w:trHeight w:val="486"/>
        </w:trPr>
        <w:tc>
          <w:tcPr>
            <w:tcW w:w="9079" w:type="dxa"/>
          </w:tcPr>
          <w:p w:rsidR="00B13321" w:rsidRPr="008E7846" w:rsidRDefault="00B13321" w:rsidP="00644D18">
            <w:pPr>
              <w:pStyle w:val="Subtitle"/>
            </w:pPr>
            <w:r w:rsidRPr="008E7846">
              <w:t xml:space="preserve">Sponsor: </w:t>
            </w:r>
            <w:r>
              <w:t xml:space="preserve">GlaxoSmithKline Australia </w:t>
            </w:r>
            <w:r w:rsidRPr="00644D18">
              <w:t>Pty</w:t>
            </w:r>
            <w:r>
              <w:t xml:space="preserve"> Ltd</w:t>
            </w:r>
          </w:p>
        </w:tc>
      </w:tr>
    </w:tbl>
    <w:p w:rsidR="00B13321" w:rsidRDefault="00B13321" w:rsidP="00B13321">
      <w:pPr>
        <w:pStyle w:val="NonTOCHeading2"/>
      </w:pPr>
      <w:r>
        <w:br w:type="page"/>
      </w:r>
    </w:p>
    <w:p w:rsidR="00B13321" w:rsidRPr="001F6CBA" w:rsidRDefault="00B13321" w:rsidP="00B13321">
      <w:pPr>
        <w:pStyle w:val="NonTOCHeading2"/>
      </w:pPr>
      <w:r w:rsidRPr="001F6CBA">
        <w:lastRenderedPageBreak/>
        <w:t>About the Therapeutic Goods Administration (TGA)</w:t>
      </w:r>
    </w:p>
    <w:p w:rsidR="00B13321" w:rsidRDefault="00B13321" w:rsidP="00B13321">
      <w:pPr>
        <w:pStyle w:val="ListBullet"/>
        <w:numPr>
          <w:ilvl w:val="0"/>
          <w:numId w:val="1"/>
        </w:numPr>
        <w:ind w:left="357" w:hanging="357"/>
      </w:pPr>
      <w:r>
        <w:t>The Therapeutic Goods Administration (TGA) is part of the Australian Government Department of Health, and is responsible for regulating medicines and medical devices.</w:t>
      </w:r>
    </w:p>
    <w:p w:rsidR="00B13321" w:rsidRDefault="00B13321" w:rsidP="00B13321">
      <w:pPr>
        <w:pStyle w:val="ListBullet"/>
        <w:numPr>
          <w:ilvl w:val="0"/>
          <w:numId w:val="1"/>
        </w:numPr>
        <w:ind w:left="357" w:hanging="357"/>
      </w:pPr>
      <w:r>
        <w:t xml:space="preserve">The 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B13321" w:rsidRDefault="00B13321" w:rsidP="00B1332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B13321" w:rsidRDefault="00B13321" w:rsidP="00B1332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B13321" w:rsidRDefault="00B13321" w:rsidP="00B13321">
      <w:pPr>
        <w:pStyle w:val="ListBullet"/>
        <w:numPr>
          <w:ilvl w:val="0"/>
          <w:numId w:val="1"/>
        </w:numPr>
        <w:ind w:left="357" w:hanging="357"/>
      </w:pPr>
      <w:r>
        <w:t>To report a problem with a medicine or medical device, please see the information on the TGA website &lt;</w:t>
      </w:r>
      <w:hyperlink r:id="rId9" w:history="1">
        <w:r w:rsidR="004D6ECD">
          <w:rPr>
            <w:rStyle w:val="Hyperlink"/>
          </w:rPr>
          <w:t>https://www.tga.gov.au/</w:t>
        </w:r>
      </w:hyperlink>
      <w:r>
        <w:t>&gt;.</w:t>
      </w:r>
    </w:p>
    <w:p w:rsidR="00B13321" w:rsidRPr="001F6CBA" w:rsidRDefault="00B13321" w:rsidP="00B13321">
      <w:pPr>
        <w:pStyle w:val="NonTOCHeading2"/>
      </w:pPr>
      <w:r w:rsidRPr="001F6CBA">
        <w:t xml:space="preserve">About the </w:t>
      </w:r>
      <w:r w:rsidRPr="0017078F">
        <w:t>Extract</w:t>
      </w:r>
      <w:r>
        <w:t xml:space="preserve"> from the Clinical Evaluation Report</w:t>
      </w:r>
    </w:p>
    <w:p w:rsidR="00B13321" w:rsidRDefault="00B13321" w:rsidP="00B13321">
      <w:pPr>
        <w:pStyle w:val="ListBullet"/>
        <w:numPr>
          <w:ilvl w:val="0"/>
          <w:numId w:val="1"/>
        </w:numPr>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B13321" w:rsidRDefault="00B13321" w:rsidP="00B13321">
      <w:pPr>
        <w:pStyle w:val="ListBullet"/>
        <w:numPr>
          <w:ilvl w:val="0"/>
          <w:numId w:val="1"/>
        </w:numPr>
      </w:pPr>
      <w:r w:rsidRPr="003D0A3B">
        <w:t xml:space="preserve">The words </w:t>
      </w:r>
      <w:r>
        <w:t>(</w:t>
      </w:r>
      <w:r w:rsidRPr="003D0A3B">
        <w:t>Information redacted</w:t>
      </w:r>
      <w:r>
        <w:t>)</w:t>
      </w:r>
      <w:r w:rsidRPr="003D0A3B">
        <w:t>, where they appear in this document, indicate that confidential information has been deleted.</w:t>
      </w:r>
    </w:p>
    <w:p w:rsidR="00B13321" w:rsidRDefault="00B13321" w:rsidP="00B13321">
      <w:pPr>
        <w:pStyle w:val="ListBullet"/>
        <w:numPr>
          <w:ilvl w:val="0"/>
          <w:numId w:val="1"/>
        </w:numPr>
        <w:spacing w:after="3480"/>
        <w:ind w:left="357" w:hanging="357"/>
      </w:pPr>
      <w:r w:rsidRPr="003D0A3B">
        <w:t>For the most recent Product Information (PI), please refer to the TGA website</w:t>
      </w:r>
      <w:r>
        <w:t xml:space="preserve"> </w:t>
      </w:r>
      <w:r w:rsidRPr="00B1425E">
        <w:t>&lt;</w:t>
      </w:r>
      <w:hyperlink r:id="rId10" w:history="1">
        <w:r w:rsidRPr="00A81D01">
          <w:rPr>
            <w:rStyle w:val="Hyperlink"/>
          </w:rPr>
          <w:t>https://www.tga.gov.au/product-information-pi</w:t>
        </w:r>
      </w:hyperlink>
      <w:r>
        <w:t>&gt;.</w:t>
      </w:r>
    </w:p>
    <w:p w:rsidR="00B13321" w:rsidRPr="00B74897" w:rsidRDefault="00B13321" w:rsidP="00B74897">
      <w:pPr>
        <w:pStyle w:val="LegalSubheading"/>
      </w:pPr>
      <w:r w:rsidRPr="00B74897">
        <w:t>Copyright</w:t>
      </w:r>
    </w:p>
    <w:p w:rsidR="00B13321" w:rsidRDefault="00B13321" w:rsidP="00B13321">
      <w:pPr>
        <w:pStyle w:val="LegalCopy"/>
      </w:pPr>
      <w:r w:rsidRPr="00191B3B">
        <w:rPr>
          <w:rFonts w:cs="Arial"/>
          <w:lang w:val="en-GB"/>
        </w:rPr>
        <w:t>© Comm</w:t>
      </w:r>
      <w:r>
        <w:rPr>
          <w:rFonts w:cs="Arial"/>
          <w:lang w:val="en-GB"/>
        </w:rPr>
        <w:t>onwealth of Australia 201</w:t>
      </w:r>
      <w:r w:rsidR="00B74897">
        <w:rPr>
          <w:rFonts w:cs="Arial"/>
          <w:lang w:val="en-GB"/>
        </w:rPr>
        <w:t>5</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rsidR="00B13321" w:rsidRDefault="00B13321" w:rsidP="00B13321">
      <w:pPr>
        <w:pStyle w:val="LegalCopy"/>
        <w:sectPr w:rsidR="00B13321"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B13321" w:rsidRPr="0089635C" w:rsidRDefault="00B13321" w:rsidP="00B13321">
          <w:pPr>
            <w:pStyle w:val="Contents"/>
          </w:pPr>
          <w:r w:rsidRPr="0010788A">
            <w:t>Contents</w:t>
          </w:r>
        </w:p>
        <w:bookmarkStart w:id="2" w:name="_GoBack"/>
        <w:bookmarkEnd w:id="2"/>
        <w:p w:rsidR="0011268C" w:rsidRDefault="00B13321">
          <w:pPr>
            <w:pStyle w:val="TOC2"/>
            <w:rPr>
              <w:rFonts w:asciiTheme="minorHAnsi" w:eastAsiaTheme="minorEastAsia" w:hAnsiTheme="minorHAnsi" w:cstheme="minorBidi"/>
              <w:b w:val="0"/>
              <w:noProof/>
              <w:sz w:val="22"/>
              <w:lang w:eastAsia="en-AU"/>
            </w:rPr>
          </w:pPr>
          <w:r>
            <w:fldChar w:fldCharType="begin"/>
          </w:r>
          <w:r>
            <w:instrText xml:space="preserve"> TOC \o "1-3" \h \z \u </w:instrText>
          </w:r>
          <w:r>
            <w:fldChar w:fldCharType="separate"/>
          </w:r>
          <w:hyperlink w:anchor="_Toc422852140" w:history="1">
            <w:r w:rsidR="0011268C" w:rsidRPr="005B2BEA">
              <w:rPr>
                <w:rStyle w:val="Hyperlink"/>
                <w:noProof/>
              </w:rPr>
              <w:t>List of abbreviations</w:t>
            </w:r>
            <w:r w:rsidR="0011268C">
              <w:rPr>
                <w:noProof/>
                <w:webHidden/>
              </w:rPr>
              <w:tab/>
            </w:r>
            <w:r w:rsidR="0011268C">
              <w:rPr>
                <w:noProof/>
                <w:webHidden/>
              </w:rPr>
              <w:fldChar w:fldCharType="begin"/>
            </w:r>
            <w:r w:rsidR="0011268C">
              <w:rPr>
                <w:noProof/>
                <w:webHidden/>
              </w:rPr>
              <w:instrText xml:space="preserve"> PAGEREF _Toc422852140 \h </w:instrText>
            </w:r>
            <w:r w:rsidR="0011268C">
              <w:rPr>
                <w:noProof/>
                <w:webHidden/>
              </w:rPr>
            </w:r>
            <w:r w:rsidR="0011268C">
              <w:rPr>
                <w:noProof/>
                <w:webHidden/>
              </w:rPr>
              <w:fldChar w:fldCharType="separate"/>
            </w:r>
            <w:r w:rsidR="0011268C">
              <w:rPr>
                <w:noProof/>
                <w:webHidden/>
              </w:rPr>
              <w:t>5</w:t>
            </w:r>
            <w:r w:rsidR="0011268C">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41" w:history="1">
            <w:r w:rsidRPr="005B2BEA">
              <w:rPr>
                <w:rStyle w:val="Hyperlink"/>
                <w:noProof/>
                <w:lang w:eastAsia="en-AU"/>
              </w:rPr>
              <w:t>1.</w:t>
            </w:r>
            <w:r>
              <w:rPr>
                <w:rFonts w:asciiTheme="minorHAnsi" w:eastAsiaTheme="minorEastAsia" w:hAnsiTheme="minorHAnsi" w:cstheme="minorBidi"/>
                <w:b w:val="0"/>
                <w:noProof/>
                <w:sz w:val="22"/>
                <w:lang w:eastAsia="en-AU"/>
              </w:rPr>
              <w:tab/>
            </w:r>
            <w:r w:rsidRPr="005B2BEA">
              <w:rPr>
                <w:rStyle w:val="Hyperlink"/>
                <w:noProof/>
                <w:lang w:eastAsia="en-AU"/>
              </w:rPr>
              <w:t>Introduction</w:t>
            </w:r>
            <w:r>
              <w:rPr>
                <w:noProof/>
                <w:webHidden/>
              </w:rPr>
              <w:tab/>
            </w:r>
            <w:r>
              <w:rPr>
                <w:noProof/>
                <w:webHidden/>
              </w:rPr>
              <w:fldChar w:fldCharType="begin"/>
            </w:r>
            <w:r>
              <w:rPr>
                <w:noProof/>
                <w:webHidden/>
              </w:rPr>
              <w:instrText xml:space="preserve"> PAGEREF _Toc422852141 \h </w:instrText>
            </w:r>
            <w:r>
              <w:rPr>
                <w:noProof/>
                <w:webHidden/>
              </w:rPr>
            </w:r>
            <w:r>
              <w:rPr>
                <w:noProof/>
                <w:webHidden/>
              </w:rPr>
              <w:fldChar w:fldCharType="separate"/>
            </w:r>
            <w:r>
              <w:rPr>
                <w:noProof/>
                <w:webHidden/>
              </w:rPr>
              <w:t>9</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42" w:history="1">
            <w:r w:rsidRPr="005B2BEA">
              <w:rPr>
                <w:rStyle w:val="Hyperlink"/>
                <w:noProof/>
                <w:lang w:eastAsia="en-AU"/>
              </w:rPr>
              <w:t>2.</w:t>
            </w:r>
            <w:r>
              <w:rPr>
                <w:rFonts w:asciiTheme="minorHAnsi" w:eastAsiaTheme="minorEastAsia" w:hAnsiTheme="minorHAnsi" w:cstheme="minorBidi"/>
                <w:b w:val="0"/>
                <w:noProof/>
                <w:sz w:val="22"/>
                <w:lang w:eastAsia="en-AU"/>
              </w:rPr>
              <w:tab/>
            </w:r>
            <w:r w:rsidRPr="005B2BEA">
              <w:rPr>
                <w:rStyle w:val="Hyperlink"/>
                <w:noProof/>
              </w:rPr>
              <w:t>Clinical</w:t>
            </w:r>
            <w:r w:rsidRPr="005B2BEA">
              <w:rPr>
                <w:rStyle w:val="Hyperlink"/>
                <w:noProof/>
                <w:lang w:eastAsia="en-AU"/>
              </w:rPr>
              <w:t xml:space="preserve"> </w:t>
            </w:r>
            <w:r w:rsidRPr="005B2BEA">
              <w:rPr>
                <w:rStyle w:val="Hyperlink"/>
                <w:noProof/>
              </w:rPr>
              <w:t>rationale</w:t>
            </w:r>
            <w:r>
              <w:rPr>
                <w:noProof/>
                <w:webHidden/>
              </w:rPr>
              <w:tab/>
            </w:r>
            <w:r>
              <w:rPr>
                <w:noProof/>
                <w:webHidden/>
              </w:rPr>
              <w:fldChar w:fldCharType="begin"/>
            </w:r>
            <w:r>
              <w:rPr>
                <w:noProof/>
                <w:webHidden/>
              </w:rPr>
              <w:instrText xml:space="preserve"> PAGEREF _Toc422852142 \h </w:instrText>
            </w:r>
            <w:r>
              <w:rPr>
                <w:noProof/>
                <w:webHidden/>
              </w:rPr>
            </w:r>
            <w:r>
              <w:rPr>
                <w:noProof/>
                <w:webHidden/>
              </w:rPr>
              <w:fldChar w:fldCharType="separate"/>
            </w:r>
            <w:r>
              <w:rPr>
                <w:noProof/>
                <w:webHidden/>
              </w:rPr>
              <w:t>9</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43" w:history="1">
            <w:r w:rsidRPr="005B2BEA">
              <w:rPr>
                <w:rStyle w:val="Hyperlink"/>
                <w:noProof/>
              </w:rPr>
              <w:t>2.1.</w:t>
            </w:r>
            <w:r>
              <w:rPr>
                <w:rFonts w:asciiTheme="minorHAnsi" w:eastAsiaTheme="minorEastAsia" w:hAnsiTheme="minorHAnsi" w:cstheme="minorBidi"/>
                <w:noProof/>
                <w:lang w:eastAsia="en-AU"/>
              </w:rPr>
              <w:tab/>
            </w:r>
            <w:r w:rsidRPr="005B2BEA">
              <w:rPr>
                <w:rStyle w:val="Hyperlink"/>
                <w:noProof/>
              </w:rPr>
              <w:t>Guidance</w:t>
            </w:r>
            <w:r>
              <w:rPr>
                <w:noProof/>
                <w:webHidden/>
              </w:rPr>
              <w:tab/>
            </w:r>
            <w:r>
              <w:rPr>
                <w:noProof/>
                <w:webHidden/>
              </w:rPr>
              <w:fldChar w:fldCharType="begin"/>
            </w:r>
            <w:r>
              <w:rPr>
                <w:noProof/>
                <w:webHidden/>
              </w:rPr>
              <w:instrText xml:space="preserve"> PAGEREF _Toc422852143 \h </w:instrText>
            </w:r>
            <w:r>
              <w:rPr>
                <w:noProof/>
                <w:webHidden/>
              </w:rPr>
            </w:r>
            <w:r>
              <w:rPr>
                <w:noProof/>
                <w:webHidden/>
              </w:rPr>
              <w:fldChar w:fldCharType="separate"/>
            </w:r>
            <w:r>
              <w:rPr>
                <w:noProof/>
                <w:webHidden/>
              </w:rPr>
              <w:t>9</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44" w:history="1">
            <w:r w:rsidRPr="005B2BEA">
              <w:rPr>
                <w:rStyle w:val="Hyperlink"/>
                <w:noProof/>
                <w:lang w:eastAsia="en-AU"/>
              </w:rPr>
              <w:t>3.</w:t>
            </w:r>
            <w:r>
              <w:rPr>
                <w:rFonts w:asciiTheme="minorHAnsi" w:eastAsiaTheme="minorEastAsia" w:hAnsiTheme="minorHAnsi" w:cstheme="minorBidi"/>
                <w:b w:val="0"/>
                <w:noProof/>
                <w:sz w:val="22"/>
                <w:lang w:eastAsia="en-AU"/>
              </w:rPr>
              <w:tab/>
            </w:r>
            <w:r w:rsidRPr="005B2BEA">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_Toc422852144 \h </w:instrText>
            </w:r>
            <w:r>
              <w:rPr>
                <w:noProof/>
                <w:webHidden/>
              </w:rPr>
            </w:r>
            <w:r>
              <w:rPr>
                <w:noProof/>
                <w:webHidden/>
              </w:rPr>
              <w:fldChar w:fldCharType="separate"/>
            </w:r>
            <w:r>
              <w:rPr>
                <w:noProof/>
                <w:webHidden/>
              </w:rPr>
              <w:t>10</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45" w:history="1">
            <w:r w:rsidRPr="005B2BEA">
              <w:rPr>
                <w:rStyle w:val="Hyperlink"/>
                <w:noProof/>
              </w:rPr>
              <w:t>3.1.</w:t>
            </w:r>
            <w:r>
              <w:rPr>
                <w:rFonts w:asciiTheme="minorHAnsi" w:eastAsiaTheme="minorEastAsia" w:hAnsiTheme="minorHAnsi" w:cstheme="minorBidi"/>
                <w:noProof/>
                <w:lang w:eastAsia="en-AU"/>
              </w:rPr>
              <w:tab/>
            </w:r>
            <w:r w:rsidRPr="005B2BEA">
              <w:rPr>
                <w:rStyle w:val="Hyperlink"/>
                <w:noProof/>
              </w:rPr>
              <w:t>Scope of the clinical dossier</w:t>
            </w:r>
            <w:r>
              <w:rPr>
                <w:noProof/>
                <w:webHidden/>
              </w:rPr>
              <w:tab/>
            </w:r>
            <w:r>
              <w:rPr>
                <w:noProof/>
                <w:webHidden/>
              </w:rPr>
              <w:fldChar w:fldCharType="begin"/>
            </w:r>
            <w:r>
              <w:rPr>
                <w:noProof/>
                <w:webHidden/>
              </w:rPr>
              <w:instrText xml:space="preserve"> PAGEREF _Toc422852145 \h </w:instrText>
            </w:r>
            <w:r>
              <w:rPr>
                <w:noProof/>
                <w:webHidden/>
              </w:rPr>
            </w:r>
            <w:r>
              <w:rPr>
                <w:noProof/>
                <w:webHidden/>
              </w:rPr>
              <w:fldChar w:fldCharType="separate"/>
            </w:r>
            <w:r>
              <w:rPr>
                <w:noProof/>
                <w:webHidden/>
              </w:rPr>
              <w:t>10</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46" w:history="1">
            <w:r w:rsidRPr="005B2BEA">
              <w:rPr>
                <w:rStyle w:val="Hyperlink"/>
                <w:noProof/>
              </w:rPr>
              <w:t>3.2.</w:t>
            </w:r>
            <w:r>
              <w:rPr>
                <w:rFonts w:asciiTheme="minorHAnsi" w:eastAsiaTheme="minorEastAsia" w:hAnsiTheme="minorHAnsi" w:cstheme="minorBidi"/>
                <w:noProof/>
                <w:lang w:eastAsia="en-AU"/>
              </w:rPr>
              <w:tab/>
            </w:r>
            <w:r w:rsidRPr="005B2BEA">
              <w:rPr>
                <w:rStyle w:val="Hyperlink"/>
                <w:noProof/>
              </w:rPr>
              <w:t>Paediatric data</w:t>
            </w:r>
            <w:r>
              <w:rPr>
                <w:noProof/>
                <w:webHidden/>
              </w:rPr>
              <w:tab/>
            </w:r>
            <w:r>
              <w:rPr>
                <w:noProof/>
                <w:webHidden/>
              </w:rPr>
              <w:fldChar w:fldCharType="begin"/>
            </w:r>
            <w:r>
              <w:rPr>
                <w:noProof/>
                <w:webHidden/>
              </w:rPr>
              <w:instrText xml:space="preserve"> PAGEREF _Toc422852146 \h </w:instrText>
            </w:r>
            <w:r>
              <w:rPr>
                <w:noProof/>
                <w:webHidden/>
              </w:rPr>
            </w:r>
            <w:r>
              <w:rPr>
                <w:noProof/>
                <w:webHidden/>
              </w:rPr>
              <w:fldChar w:fldCharType="separate"/>
            </w:r>
            <w:r>
              <w:rPr>
                <w:noProof/>
                <w:webHidden/>
              </w:rPr>
              <w:t>11</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47" w:history="1">
            <w:r w:rsidRPr="005B2BEA">
              <w:rPr>
                <w:rStyle w:val="Hyperlink"/>
                <w:noProof/>
              </w:rPr>
              <w:t>3.3.</w:t>
            </w:r>
            <w:r>
              <w:rPr>
                <w:rFonts w:asciiTheme="minorHAnsi" w:eastAsiaTheme="minorEastAsia" w:hAnsiTheme="minorHAnsi" w:cstheme="minorBidi"/>
                <w:noProof/>
                <w:lang w:eastAsia="en-AU"/>
              </w:rPr>
              <w:tab/>
            </w:r>
            <w:r w:rsidRPr="005B2BEA">
              <w:rPr>
                <w:rStyle w:val="Hyperlink"/>
                <w:noProof/>
              </w:rPr>
              <w:t>Good clinical practice</w:t>
            </w:r>
            <w:r>
              <w:rPr>
                <w:noProof/>
                <w:webHidden/>
              </w:rPr>
              <w:tab/>
            </w:r>
            <w:r>
              <w:rPr>
                <w:noProof/>
                <w:webHidden/>
              </w:rPr>
              <w:fldChar w:fldCharType="begin"/>
            </w:r>
            <w:r>
              <w:rPr>
                <w:noProof/>
                <w:webHidden/>
              </w:rPr>
              <w:instrText xml:space="preserve"> PAGEREF _Toc422852147 \h </w:instrText>
            </w:r>
            <w:r>
              <w:rPr>
                <w:noProof/>
                <w:webHidden/>
              </w:rPr>
            </w:r>
            <w:r>
              <w:rPr>
                <w:noProof/>
                <w:webHidden/>
              </w:rPr>
              <w:fldChar w:fldCharType="separate"/>
            </w:r>
            <w:r>
              <w:rPr>
                <w:noProof/>
                <w:webHidden/>
              </w:rPr>
              <w:t>11</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48" w:history="1">
            <w:r w:rsidRPr="005B2BEA">
              <w:rPr>
                <w:rStyle w:val="Hyperlink"/>
                <w:noProof/>
              </w:rPr>
              <w:t>4.</w:t>
            </w:r>
            <w:r>
              <w:rPr>
                <w:rFonts w:asciiTheme="minorHAnsi" w:eastAsiaTheme="minorEastAsia" w:hAnsiTheme="minorHAnsi" w:cstheme="minorBidi"/>
                <w:b w:val="0"/>
                <w:noProof/>
                <w:sz w:val="22"/>
                <w:lang w:eastAsia="en-AU"/>
              </w:rPr>
              <w:tab/>
            </w:r>
            <w:r w:rsidRPr="005B2BEA">
              <w:rPr>
                <w:rStyle w:val="Hyperlink"/>
                <w:noProof/>
              </w:rPr>
              <w:t>Pharmacokinetics</w:t>
            </w:r>
            <w:r>
              <w:rPr>
                <w:noProof/>
                <w:webHidden/>
              </w:rPr>
              <w:tab/>
            </w:r>
            <w:r>
              <w:rPr>
                <w:noProof/>
                <w:webHidden/>
              </w:rPr>
              <w:fldChar w:fldCharType="begin"/>
            </w:r>
            <w:r>
              <w:rPr>
                <w:noProof/>
                <w:webHidden/>
              </w:rPr>
              <w:instrText xml:space="preserve"> PAGEREF _Toc422852148 \h </w:instrText>
            </w:r>
            <w:r>
              <w:rPr>
                <w:noProof/>
                <w:webHidden/>
              </w:rPr>
            </w:r>
            <w:r>
              <w:rPr>
                <w:noProof/>
                <w:webHidden/>
              </w:rPr>
              <w:fldChar w:fldCharType="separate"/>
            </w:r>
            <w:r>
              <w:rPr>
                <w:noProof/>
                <w:webHidden/>
              </w:rPr>
              <w:t>12</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49" w:history="1">
            <w:r w:rsidRPr="005B2BEA">
              <w:rPr>
                <w:rStyle w:val="Hyperlink"/>
                <w:noProof/>
              </w:rPr>
              <w:t>4.1.</w:t>
            </w:r>
            <w:r>
              <w:rPr>
                <w:rFonts w:asciiTheme="minorHAnsi" w:eastAsiaTheme="minorEastAsia" w:hAnsiTheme="minorHAnsi" w:cstheme="minorBidi"/>
                <w:noProof/>
                <w:lang w:eastAsia="en-AU"/>
              </w:rPr>
              <w:tab/>
            </w:r>
            <w:r w:rsidRPr="005B2BEA">
              <w:rPr>
                <w:rStyle w:val="Hyperlink"/>
                <w:noProof/>
              </w:rPr>
              <w:t>Studies providing pharmacokinetic (PK) data</w:t>
            </w:r>
            <w:r>
              <w:rPr>
                <w:noProof/>
                <w:webHidden/>
              </w:rPr>
              <w:tab/>
            </w:r>
            <w:r>
              <w:rPr>
                <w:noProof/>
                <w:webHidden/>
              </w:rPr>
              <w:fldChar w:fldCharType="begin"/>
            </w:r>
            <w:r>
              <w:rPr>
                <w:noProof/>
                <w:webHidden/>
              </w:rPr>
              <w:instrText xml:space="preserve"> PAGEREF _Toc422852149 \h </w:instrText>
            </w:r>
            <w:r>
              <w:rPr>
                <w:noProof/>
                <w:webHidden/>
              </w:rPr>
            </w:r>
            <w:r>
              <w:rPr>
                <w:noProof/>
                <w:webHidden/>
              </w:rPr>
              <w:fldChar w:fldCharType="separate"/>
            </w:r>
            <w:r>
              <w:rPr>
                <w:noProof/>
                <w:webHidden/>
              </w:rPr>
              <w:t>12</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0" w:history="1">
            <w:r w:rsidRPr="005B2BEA">
              <w:rPr>
                <w:rStyle w:val="Hyperlink"/>
                <w:noProof/>
              </w:rPr>
              <w:t>4.2.</w:t>
            </w:r>
            <w:r>
              <w:rPr>
                <w:rFonts w:asciiTheme="minorHAnsi" w:eastAsiaTheme="minorEastAsia" w:hAnsiTheme="minorHAnsi" w:cstheme="minorBidi"/>
                <w:noProof/>
                <w:lang w:eastAsia="en-AU"/>
              </w:rPr>
              <w:tab/>
            </w:r>
            <w:r w:rsidRPr="005B2BEA">
              <w:rPr>
                <w:rStyle w:val="Hyperlink"/>
                <w:noProof/>
              </w:rPr>
              <w:t>Summary of pharmacokinetics</w:t>
            </w:r>
            <w:r>
              <w:rPr>
                <w:noProof/>
                <w:webHidden/>
              </w:rPr>
              <w:tab/>
            </w:r>
            <w:r>
              <w:rPr>
                <w:noProof/>
                <w:webHidden/>
              </w:rPr>
              <w:fldChar w:fldCharType="begin"/>
            </w:r>
            <w:r>
              <w:rPr>
                <w:noProof/>
                <w:webHidden/>
              </w:rPr>
              <w:instrText xml:space="preserve"> PAGEREF _Toc422852150 \h </w:instrText>
            </w:r>
            <w:r>
              <w:rPr>
                <w:noProof/>
                <w:webHidden/>
              </w:rPr>
            </w:r>
            <w:r>
              <w:rPr>
                <w:noProof/>
                <w:webHidden/>
              </w:rPr>
              <w:fldChar w:fldCharType="separate"/>
            </w:r>
            <w:r>
              <w:rPr>
                <w:noProof/>
                <w:webHidden/>
              </w:rPr>
              <w:t>14</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1" w:history="1">
            <w:r w:rsidRPr="005B2BEA">
              <w:rPr>
                <w:rStyle w:val="Hyperlink"/>
                <w:noProof/>
              </w:rPr>
              <w:t>4.3.</w:t>
            </w:r>
            <w:r>
              <w:rPr>
                <w:rFonts w:asciiTheme="minorHAnsi" w:eastAsiaTheme="minorEastAsia" w:hAnsiTheme="minorHAnsi" w:cstheme="minorBidi"/>
                <w:noProof/>
                <w:lang w:eastAsia="en-AU"/>
              </w:rPr>
              <w:tab/>
            </w:r>
            <w:r w:rsidRPr="005B2BEA">
              <w:rPr>
                <w:rStyle w:val="Hyperlink"/>
                <w:noProof/>
              </w:rPr>
              <w:t>Evaluator’s overall conclusions on pharmacokinetics</w:t>
            </w:r>
            <w:r>
              <w:rPr>
                <w:noProof/>
                <w:webHidden/>
              </w:rPr>
              <w:tab/>
            </w:r>
            <w:r>
              <w:rPr>
                <w:noProof/>
                <w:webHidden/>
              </w:rPr>
              <w:fldChar w:fldCharType="begin"/>
            </w:r>
            <w:r>
              <w:rPr>
                <w:noProof/>
                <w:webHidden/>
              </w:rPr>
              <w:instrText xml:space="preserve"> PAGEREF _Toc422852151 \h </w:instrText>
            </w:r>
            <w:r>
              <w:rPr>
                <w:noProof/>
                <w:webHidden/>
              </w:rPr>
            </w:r>
            <w:r>
              <w:rPr>
                <w:noProof/>
                <w:webHidden/>
              </w:rPr>
              <w:fldChar w:fldCharType="separate"/>
            </w:r>
            <w:r>
              <w:rPr>
                <w:noProof/>
                <w:webHidden/>
              </w:rPr>
              <w:t>25</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52" w:history="1">
            <w:r w:rsidRPr="005B2BEA">
              <w:rPr>
                <w:rStyle w:val="Hyperlink"/>
                <w:noProof/>
              </w:rPr>
              <w:t>5.</w:t>
            </w:r>
            <w:r>
              <w:rPr>
                <w:rFonts w:asciiTheme="minorHAnsi" w:eastAsiaTheme="minorEastAsia" w:hAnsiTheme="minorHAnsi" w:cstheme="minorBidi"/>
                <w:b w:val="0"/>
                <w:noProof/>
                <w:sz w:val="22"/>
                <w:lang w:eastAsia="en-AU"/>
              </w:rPr>
              <w:tab/>
            </w:r>
            <w:r w:rsidRPr="005B2BEA">
              <w:rPr>
                <w:rStyle w:val="Hyperlink"/>
                <w:noProof/>
              </w:rPr>
              <w:t>Pharmacodynamics</w:t>
            </w:r>
            <w:r>
              <w:rPr>
                <w:noProof/>
                <w:webHidden/>
              </w:rPr>
              <w:tab/>
            </w:r>
            <w:r>
              <w:rPr>
                <w:noProof/>
                <w:webHidden/>
              </w:rPr>
              <w:fldChar w:fldCharType="begin"/>
            </w:r>
            <w:r>
              <w:rPr>
                <w:noProof/>
                <w:webHidden/>
              </w:rPr>
              <w:instrText xml:space="preserve"> PAGEREF _Toc422852152 \h </w:instrText>
            </w:r>
            <w:r>
              <w:rPr>
                <w:noProof/>
                <w:webHidden/>
              </w:rPr>
            </w:r>
            <w:r>
              <w:rPr>
                <w:noProof/>
                <w:webHidden/>
              </w:rPr>
              <w:fldChar w:fldCharType="separate"/>
            </w:r>
            <w:r>
              <w:rPr>
                <w:noProof/>
                <w:webHidden/>
              </w:rPr>
              <w:t>27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3" w:history="1">
            <w:r w:rsidRPr="005B2BEA">
              <w:rPr>
                <w:rStyle w:val="Hyperlink"/>
                <w:noProof/>
              </w:rPr>
              <w:t>5.1.</w:t>
            </w:r>
            <w:r>
              <w:rPr>
                <w:rFonts w:asciiTheme="minorHAnsi" w:eastAsiaTheme="minorEastAsia" w:hAnsiTheme="minorHAnsi" w:cstheme="minorBidi"/>
                <w:noProof/>
                <w:lang w:eastAsia="en-AU"/>
              </w:rPr>
              <w:tab/>
            </w:r>
            <w:r w:rsidRPr="005B2BEA">
              <w:rPr>
                <w:rStyle w:val="Hyperlink"/>
                <w:noProof/>
              </w:rPr>
              <w:t>Studies providing pharmacodynamic (PD) data</w:t>
            </w:r>
            <w:r>
              <w:rPr>
                <w:noProof/>
                <w:webHidden/>
              </w:rPr>
              <w:tab/>
            </w:r>
            <w:r>
              <w:rPr>
                <w:noProof/>
                <w:webHidden/>
              </w:rPr>
              <w:fldChar w:fldCharType="begin"/>
            </w:r>
            <w:r>
              <w:rPr>
                <w:noProof/>
                <w:webHidden/>
              </w:rPr>
              <w:instrText xml:space="preserve"> PAGEREF _Toc422852153 \h </w:instrText>
            </w:r>
            <w:r>
              <w:rPr>
                <w:noProof/>
                <w:webHidden/>
              </w:rPr>
            </w:r>
            <w:r>
              <w:rPr>
                <w:noProof/>
                <w:webHidden/>
              </w:rPr>
              <w:fldChar w:fldCharType="separate"/>
            </w:r>
            <w:r>
              <w:rPr>
                <w:noProof/>
                <w:webHidden/>
              </w:rPr>
              <w:t>27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4" w:history="1">
            <w:r w:rsidRPr="005B2BEA">
              <w:rPr>
                <w:rStyle w:val="Hyperlink"/>
                <w:noProof/>
              </w:rPr>
              <w:t>5.2.</w:t>
            </w:r>
            <w:r>
              <w:rPr>
                <w:rFonts w:asciiTheme="minorHAnsi" w:eastAsiaTheme="minorEastAsia" w:hAnsiTheme="minorHAnsi" w:cstheme="minorBidi"/>
                <w:noProof/>
                <w:lang w:eastAsia="en-AU"/>
              </w:rPr>
              <w:tab/>
            </w:r>
            <w:r w:rsidRPr="005B2BEA">
              <w:rPr>
                <w:rStyle w:val="Hyperlink"/>
                <w:noProof/>
              </w:rPr>
              <w:t>Summary of pharmacodynamics</w:t>
            </w:r>
            <w:r>
              <w:rPr>
                <w:noProof/>
                <w:webHidden/>
              </w:rPr>
              <w:tab/>
            </w:r>
            <w:r>
              <w:rPr>
                <w:noProof/>
                <w:webHidden/>
              </w:rPr>
              <w:fldChar w:fldCharType="begin"/>
            </w:r>
            <w:r>
              <w:rPr>
                <w:noProof/>
                <w:webHidden/>
              </w:rPr>
              <w:instrText xml:space="preserve"> PAGEREF _Toc422852154 \h </w:instrText>
            </w:r>
            <w:r>
              <w:rPr>
                <w:noProof/>
                <w:webHidden/>
              </w:rPr>
            </w:r>
            <w:r>
              <w:rPr>
                <w:noProof/>
                <w:webHidden/>
              </w:rPr>
              <w:fldChar w:fldCharType="separate"/>
            </w:r>
            <w:r>
              <w:rPr>
                <w:noProof/>
                <w:webHidden/>
              </w:rPr>
              <w:t>27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5" w:history="1">
            <w:r w:rsidRPr="005B2BEA">
              <w:rPr>
                <w:rStyle w:val="Hyperlink"/>
                <w:noProof/>
              </w:rPr>
              <w:t>5.3.</w:t>
            </w:r>
            <w:r>
              <w:rPr>
                <w:rFonts w:asciiTheme="minorHAnsi" w:eastAsiaTheme="minorEastAsia" w:hAnsiTheme="minorHAnsi" w:cstheme="minorBidi"/>
                <w:noProof/>
                <w:lang w:eastAsia="en-AU"/>
              </w:rPr>
              <w:tab/>
            </w:r>
            <w:r w:rsidRPr="005B2BEA">
              <w:rPr>
                <w:rStyle w:val="Hyperlink"/>
                <w:noProof/>
              </w:rPr>
              <w:t>Evaluator’s overall conclusions on pharmacodynamics</w:t>
            </w:r>
            <w:r>
              <w:rPr>
                <w:noProof/>
                <w:webHidden/>
              </w:rPr>
              <w:tab/>
            </w:r>
            <w:r>
              <w:rPr>
                <w:noProof/>
                <w:webHidden/>
              </w:rPr>
              <w:fldChar w:fldCharType="begin"/>
            </w:r>
            <w:r>
              <w:rPr>
                <w:noProof/>
                <w:webHidden/>
              </w:rPr>
              <w:instrText xml:space="preserve"> PAGEREF _Toc422852155 \h </w:instrText>
            </w:r>
            <w:r>
              <w:rPr>
                <w:noProof/>
                <w:webHidden/>
              </w:rPr>
            </w:r>
            <w:r>
              <w:rPr>
                <w:noProof/>
                <w:webHidden/>
              </w:rPr>
              <w:fldChar w:fldCharType="separate"/>
            </w:r>
            <w:r>
              <w:rPr>
                <w:noProof/>
                <w:webHidden/>
              </w:rPr>
              <w:t>32</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56" w:history="1">
            <w:r w:rsidRPr="005B2BEA">
              <w:rPr>
                <w:rStyle w:val="Hyperlink"/>
                <w:noProof/>
              </w:rPr>
              <w:t>6.</w:t>
            </w:r>
            <w:r>
              <w:rPr>
                <w:rFonts w:asciiTheme="minorHAnsi" w:eastAsiaTheme="minorEastAsia" w:hAnsiTheme="minorHAnsi" w:cstheme="minorBidi"/>
                <w:b w:val="0"/>
                <w:noProof/>
                <w:sz w:val="22"/>
                <w:lang w:eastAsia="en-AU"/>
              </w:rPr>
              <w:tab/>
            </w:r>
            <w:r w:rsidRPr="005B2BEA">
              <w:rPr>
                <w:rStyle w:val="Hyperlink"/>
                <w:noProof/>
              </w:rPr>
              <w:t>Dosage selection for the pivotal studies</w:t>
            </w:r>
            <w:r>
              <w:rPr>
                <w:noProof/>
                <w:webHidden/>
              </w:rPr>
              <w:tab/>
            </w:r>
            <w:r>
              <w:rPr>
                <w:noProof/>
                <w:webHidden/>
              </w:rPr>
              <w:fldChar w:fldCharType="begin"/>
            </w:r>
            <w:r>
              <w:rPr>
                <w:noProof/>
                <w:webHidden/>
              </w:rPr>
              <w:instrText xml:space="preserve"> PAGEREF _Toc422852156 \h </w:instrText>
            </w:r>
            <w:r>
              <w:rPr>
                <w:noProof/>
                <w:webHidden/>
              </w:rPr>
            </w:r>
            <w:r>
              <w:rPr>
                <w:noProof/>
                <w:webHidden/>
              </w:rPr>
              <w:fldChar w:fldCharType="separate"/>
            </w:r>
            <w:r>
              <w:rPr>
                <w:noProof/>
                <w:webHidden/>
              </w:rPr>
              <w:t>32</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57" w:history="1">
            <w:r w:rsidRPr="005B2BEA">
              <w:rPr>
                <w:rStyle w:val="Hyperlink"/>
                <w:noProof/>
              </w:rPr>
              <w:t>7.</w:t>
            </w:r>
            <w:r>
              <w:rPr>
                <w:rFonts w:asciiTheme="minorHAnsi" w:eastAsiaTheme="minorEastAsia" w:hAnsiTheme="minorHAnsi" w:cstheme="minorBidi"/>
                <w:b w:val="0"/>
                <w:noProof/>
                <w:sz w:val="22"/>
                <w:lang w:eastAsia="en-AU"/>
              </w:rPr>
              <w:tab/>
            </w:r>
            <w:r w:rsidRPr="005B2BEA">
              <w:rPr>
                <w:rStyle w:val="Hyperlink"/>
                <w:noProof/>
              </w:rPr>
              <w:t>Clinical efficacy</w:t>
            </w:r>
            <w:r>
              <w:rPr>
                <w:noProof/>
                <w:webHidden/>
              </w:rPr>
              <w:tab/>
            </w:r>
            <w:r>
              <w:rPr>
                <w:noProof/>
                <w:webHidden/>
              </w:rPr>
              <w:fldChar w:fldCharType="begin"/>
            </w:r>
            <w:r>
              <w:rPr>
                <w:noProof/>
                <w:webHidden/>
              </w:rPr>
              <w:instrText xml:space="preserve"> PAGEREF _Toc422852157 \h </w:instrText>
            </w:r>
            <w:r>
              <w:rPr>
                <w:noProof/>
                <w:webHidden/>
              </w:rPr>
            </w:r>
            <w:r>
              <w:rPr>
                <w:noProof/>
                <w:webHidden/>
              </w:rPr>
              <w:fldChar w:fldCharType="separate"/>
            </w:r>
            <w:r>
              <w:rPr>
                <w:noProof/>
                <w:webHidden/>
              </w:rPr>
              <w:t>37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8" w:history="1">
            <w:r w:rsidRPr="005B2BEA">
              <w:rPr>
                <w:rStyle w:val="Hyperlink"/>
                <w:noProof/>
              </w:rPr>
              <w:t>7.1.</w:t>
            </w:r>
            <w:r>
              <w:rPr>
                <w:rFonts w:asciiTheme="minorHAnsi" w:eastAsiaTheme="minorEastAsia" w:hAnsiTheme="minorHAnsi" w:cstheme="minorBidi"/>
                <w:noProof/>
                <w:lang w:eastAsia="en-AU"/>
              </w:rPr>
              <w:tab/>
            </w:r>
            <w:r w:rsidRPr="005B2BEA">
              <w:rPr>
                <w:rStyle w:val="Hyperlink"/>
                <w:noProof/>
              </w:rPr>
              <w:t>Pivotal efficacy studies</w:t>
            </w:r>
            <w:r>
              <w:rPr>
                <w:noProof/>
                <w:webHidden/>
              </w:rPr>
              <w:tab/>
            </w:r>
            <w:r>
              <w:rPr>
                <w:noProof/>
                <w:webHidden/>
              </w:rPr>
              <w:fldChar w:fldCharType="begin"/>
            </w:r>
            <w:r>
              <w:rPr>
                <w:noProof/>
                <w:webHidden/>
              </w:rPr>
              <w:instrText xml:space="preserve"> PAGEREF _Toc422852158 \h </w:instrText>
            </w:r>
            <w:r>
              <w:rPr>
                <w:noProof/>
                <w:webHidden/>
              </w:rPr>
            </w:r>
            <w:r>
              <w:rPr>
                <w:noProof/>
                <w:webHidden/>
              </w:rPr>
              <w:fldChar w:fldCharType="separate"/>
            </w:r>
            <w:r>
              <w:rPr>
                <w:noProof/>
                <w:webHidden/>
              </w:rPr>
              <w:t>37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59" w:history="1">
            <w:r w:rsidRPr="005B2BEA">
              <w:rPr>
                <w:rStyle w:val="Hyperlink"/>
                <w:noProof/>
              </w:rPr>
              <w:t>7.2.</w:t>
            </w:r>
            <w:r>
              <w:rPr>
                <w:rFonts w:asciiTheme="minorHAnsi" w:eastAsiaTheme="minorEastAsia" w:hAnsiTheme="minorHAnsi" w:cstheme="minorBidi"/>
                <w:noProof/>
                <w:lang w:eastAsia="en-AU"/>
              </w:rPr>
              <w:tab/>
            </w:r>
            <w:r w:rsidRPr="005B2BEA">
              <w:rPr>
                <w:rStyle w:val="Hyperlink"/>
                <w:noProof/>
              </w:rPr>
              <w:t>Other efficacy studies</w:t>
            </w:r>
            <w:r>
              <w:rPr>
                <w:noProof/>
                <w:webHidden/>
              </w:rPr>
              <w:tab/>
            </w:r>
            <w:r>
              <w:rPr>
                <w:noProof/>
                <w:webHidden/>
              </w:rPr>
              <w:fldChar w:fldCharType="begin"/>
            </w:r>
            <w:r>
              <w:rPr>
                <w:noProof/>
                <w:webHidden/>
              </w:rPr>
              <w:instrText xml:space="preserve"> PAGEREF _Toc422852159 \h </w:instrText>
            </w:r>
            <w:r>
              <w:rPr>
                <w:noProof/>
                <w:webHidden/>
              </w:rPr>
            </w:r>
            <w:r>
              <w:rPr>
                <w:noProof/>
                <w:webHidden/>
              </w:rPr>
              <w:fldChar w:fldCharType="separate"/>
            </w:r>
            <w:r>
              <w:rPr>
                <w:noProof/>
                <w:webHidden/>
              </w:rPr>
              <w:t>83</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0" w:history="1">
            <w:r w:rsidRPr="005B2BEA">
              <w:rPr>
                <w:rStyle w:val="Hyperlink"/>
                <w:noProof/>
              </w:rPr>
              <w:t>7.3.</w:t>
            </w:r>
            <w:r>
              <w:rPr>
                <w:rFonts w:asciiTheme="minorHAnsi" w:eastAsiaTheme="minorEastAsia" w:hAnsiTheme="minorHAnsi" w:cstheme="minorBidi"/>
                <w:noProof/>
                <w:lang w:eastAsia="en-AU"/>
              </w:rPr>
              <w:tab/>
            </w:r>
            <w:r w:rsidRPr="005B2BEA">
              <w:rPr>
                <w:rStyle w:val="Hyperlink"/>
                <w:noProof/>
              </w:rPr>
              <w:t>Evaluator’s conclusions</w:t>
            </w:r>
            <w:r>
              <w:rPr>
                <w:noProof/>
                <w:webHidden/>
              </w:rPr>
              <w:tab/>
            </w:r>
            <w:r>
              <w:rPr>
                <w:noProof/>
                <w:webHidden/>
              </w:rPr>
              <w:fldChar w:fldCharType="begin"/>
            </w:r>
            <w:r>
              <w:rPr>
                <w:noProof/>
                <w:webHidden/>
              </w:rPr>
              <w:instrText xml:space="preserve"> PAGEREF _Toc422852160 \h </w:instrText>
            </w:r>
            <w:r>
              <w:rPr>
                <w:noProof/>
                <w:webHidden/>
              </w:rPr>
            </w:r>
            <w:r>
              <w:rPr>
                <w:noProof/>
                <w:webHidden/>
              </w:rPr>
              <w:fldChar w:fldCharType="separate"/>
            </w:r>
            <w:r>
              <w:rPr>
                <w:noProof/>
                <w:webHidden/>
              </w:rPr>
              <w:t>90</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61" w:history="1">
            <w:r w:rsidRPr="005B2BEA">
              <w:rPr>
                <w:rStyle w:val="Hyperlink"/>
                <w:noProof/>
              </w:rPr>
              <w:t>8.</w:t>
            </w:r>
            <w:r>
              <w:rPr>
                <w:rFonts w:asciiTheme="minorHAnsi" w:eastAsiaTheme="minorEastAsia" w:hAnsiTheme="minorHAnsi" w:cstheme="minorBidi"/>
                <w:b w:val="0"/>
                <w:noProof/>
                <w:sz w:val="22"/>
                <w:lang w:eastAsia="en-AU"/>
              </w:rPr>
              <w:tab/>
            </w:r>
            <w:r w:rsidRPr="005B2BEA">
              <w:rPr>
                <w:rStyle w:val="Hyperlink"/>
                <w:noProof/>
              </w:rPr>
              <w:t>Clinical safety</w:t>
            </w:r>
            <w:r>
              <w:rPr>
                <w:noProof/>
                <w:webHidden/>
              </w:rPr>
              <w:tab/>
            </w:r>
            <w:r>
              <w:rPr>
                <w:noProof/>
                <w:webHidden/>
              </w:rPr>
              <w:fldChar w:fldCharType="begin"/>
            </w:r>
            <w:r>
              <w:rPr>
                <w:noProof/>
                <w:webHidden/>
              </w:rPr>
              <w:instrText xml:space="preserve"> PAGEREF _Toc422852161 \h </w:instrText>
            </w:r>
            <w:r>
              <w:rPr>
                <w:noProof/>
                <w:webHidden/>
              </w:rPr>
            </w:r>
            <w:r>
              <w:rPr>
                <w:noProof/>
                <w:webHidden/>
              </w:rPr>
              <w:fldChar w:fldCharType="separate"/>
            </w:r>
            <w:r>
              <w:rPr>
                <w:noProof/>
                <w:webHidden/>
              </w:rPr>
              <w:t>96</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2" w:history="1">
            <w:r w:rsidRPr="005B2BEA">
              <w:rPr>
                <w:rStyle w:val="Hyperlink"/>
                <w:noProof/>
              </w:rPr>
              <w:t>8.1.</w:t>
            </w:r>
            <w:r>
              <w:rPr>
                <w:rFonts w:asciiTheme="minorHAnsi" w:eastAsiaTheme="minorEastAsia" w:hAnsiTheme="minorHAnsi" w:cstheme="minorBidi"/>
                <w:noProof/>
                <w:lang w:eastAsia="en-AU"/>
              </w:rPr>
              <w:tab/>
            </w:r>
            <w:r w:rsidRPr="005B2BEA">
              <w:rPr>
                <w:rStyle w:val="Hyperlink"/>
                <w:noProof/>
              </w:rPr>
              <w:t>Studies providing evaluable safety data</w:t>
            </w:r>
            <w:r>
              <w:rPr>
                <w:noProof/>
                <w:webHidden/>
              </w:rPr>
              <w:tab/>
            </w:r>
            <w:r>
              <w:rPr>
                <w:noProof/>
                <w:webHidden/>
              </w:rPr>
              <w:fldChar w:fldCharType="begin"/>
            </w:r>
            <w:r>
              <w:rPr>
                <w:noProof/>
                <w:webHidden/>
              </w:rPr>
              <w:instrText xml:space="preserve"> PAGEREF _Toc422852162 \h </w:instrText>
            </w:r>
            <w:r>
              <w:rPr>
                <w:noProof/>
                <w:webHidden/>
              </w:rPr>
            </w:r>
            <w:r>
              <w:rPr>
                <w:noProof/>
                <w:webHidden/>
              </w:rPr>
              <w:fldChar w:fldCharType="separate"/>
            </w:r>
            <w:r>
              <w:rPr>
                <w:noProof/>
                <w:webHidden/>
              </w:rPr>
              <w:t>96</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3" w:history="1">
            <w:r w:rsidRPr="005B2BEA">
              <w:rPr>
                <w:rStyle w:val="Hyperlink"/>
                <w:noProof/>
              </w:rPr>
              <w:t>8.2.</w:t>
            </w:r>
            <w:r>
              <w:rPr>
                <w:rFonts w:asciiTheme="minorHAnsi" w:eastAsiaTheme="minorEastAsia" w:hAnsiTheme="minorHAnsi" w:cstheme="minorBidi"/>
                <w:noProof/>
                <w:lang w:eastAsia="en-AU"/>
              </w:rPr>
              <w:tab/>
            </w:r>
            <w:r w:rsidRPr="005B2BEA">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_Toc422852163 \h </w:instrText>
            </w:r>
            <w:r>
              <w:rPr>
                <w:noProof/>
                <w:webHidden/>
              </w:rPr>
            </w:r>
            <w:r>
              <w:rPr>
                <w:noProof/>
                <w:webHidden/>
              </w:rPr>
              <w:fldChar w:fldCharType="separate"/>
            </w:r>
            <w:r>
              <w:rPr>
                <w:noProof/>
                <w:webHidden/>
              </w:rPr>
              <w:t>98</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4" w:history="1">
            <w:r w:rsidRPr="005B2BEA">
              <w:rPr>
                <w:rStyle w:val="Hyperlink"/>
                <w:noProof/>
              </w:rPr>
              <w:t>8.3.</w:t>
            </w:r>
            <w:r>
              <w:rPr>
                <w:rFonts w:asciiTheme="minorHAnsi" w:eastAsiaTheme="minorEastAsia" w:hAnsiTheme="minorHAnsi" w:cstheme="minorBidi"/>
                <w:noProof/>
                <w:lang w:eastAsia="en-AU"/>
              </w:rPr>
              <w:tab/>
            </w:r>
            <w:r w:rsidRPr="005B2BEA">
              <w:rPr>
                <w:rStyle w:val="Hyperlink"/>
                <w:noProof/>
              </w:rPr>
              <w:t>Patient exposure</w:t>
            </w:r>
            <w:r>
              <w:rPr>
                <w:noProof/>
                <w:webHidden/>
              </w:rPr>
              <w:tab/>
            </w:r>
            <w:r>
              <w:rPr>
                <w:noProof/>
                <w:webHidden/>
              </w:rPr>
              <w:fldChar w:fldCharType="begin"/>
            </w:r>
            <w:r>
              <w:rPr>
                <w:noProof/>
                <w:webHidden/>
              </w:rPr>
              <w:instrText xml:space="preserve"> PAGEREF _Toc422852164 \h </w:instrText>
            </w:r>
            <w:r>
              <w:rPr>
                <w:noProof/>
                <w:webHidden/>
              </w:rPr>
            </w:r>
            <w:r>
              <w:rPr>
                <w:noProof/>
                <w:webHidden/>
              </w:rPr>
              <w:fldChar w:fldCharType="separate"/>
            </w:r>
            <w:r>
              <w:rPr>
                <w:noProof/>
                <w:webHidden/>
              </w:rPr>
              <w:t>98</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5" w:history="1">
            <w:r w:rsidRPr="005B2BEA">
              <w:rPr>
                <w:rStyle w:val="Hyperlink"/>
                <w:noProof/>
              </w:rPr>
              <w:t>8.4.</w:t>
            </w:r>
            <w:r>
              <w:rPr>
                <w:rFonts w:asciiTheme="minorHAnsi" w:eastAsiaTheme="minorEastAsia" w:hAnsiTheme="minorHAnsi" w:cstheme="minorBidi"/>
                <w:noProof/>
                <w:lang w:eastAsia="en-AU"/>
              </w:rPr>
              <w:tab/>
            </w:r>
            <w:r w:rsidRPr="005B2BEA">
              <w:rPr>
                <w:rStyle w:val="Hyperlink"/>
                <w:noProof/>
              </w:rPr>
              <w:t>Adverse events</w:t>
            </w:r>
            <w:r>
              <w:rPr>
                <w:noProof/>
                <w:webHidden/>
              </w:rPr>
              <w:tab/>
            </w:r>
            <w:r>
              <w:rPr>
                <w:noProof/>
                <w:webHidden/>
              </w:rPr>
              <w:fldChar w:fldCharType="begin"/>
            </w:r>
            <w:r>
              <w:rPr>
                <w:noProof/>
                <w:webHidden/>
              </w:rPr>
              <w:instrText xml:space="preserve"> PAGEREF _Toc422852165 \h </w:instrText>
            </w:r>
            <w:r>
              <w:rPr>
                <w:noProof/>
                <w:webHidden/>
              </w:rPr>
            </w:r>
            <w:r>
              <w:rPr>
                <w:noProof/>
                <w:webHidden/>
              </w:rPr>
              <w:fldChar w:fldCharType="separate"/>
            </w:r>
            <w:r>
              <w:rPr>
                <w:noProof/>
                <w:webHidden/>
              </w:rPr>
              <w:t>99</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6" w:history="1">
            <w:r w:rsidRPr="005B2BEA">
              <w:rPr>
                <w:rStyle w:val="Hyperlink"/>
                <w:noProof/>
              </w:rPr>
              <w:t>8.5.</w:t>
            </w:r>
            <w:r>
              <w:rPr>
                <w:rFonts w:asciiTheme="minorHAnsi" w:eastAsiaTheme="minorEastAsia" w:hAnsiTheme="minorHAnsi" w:cstheme="minorBidi"/>
                <w:noProof/>
                <w:lang w:eastAsia="en-AU"/>
              </w:rPr>
              <w:tab/>
            </w:r>
            <w:r w:rsidRPr="005B2BEA">
              <w:rPr>
                <w:rStyle w:val="Hyperlink"/>
                <w:noProof/>
              </w:rPr>
              <w:t>Laboratory tests</w:t>
            </w:r>
            <w:r>
              <w:rPr>
                <w:noProof/>
                <w:webHidden/>
              </w:rPr>
              <w:tab/>
            </w:r>
            <w:r>
              <w:rPr>
                <w:noProof/>
                <w:webHidden/>
              </w:rPr>
              <w:fldChar w:fldCharType="begin"/>
            </w:r>
            <w:r>
              <w:rPr>
                <w:noProof/>
                <w:webHidden/>
              </w:rPr>
              <w:instrText xml:space="preserve"> PAGEREF _Toc422852166 \h </w:instrText>
            </w:r>
            <w:r>
              <w:rPr>
                <w:noProof/>
                <w:webHidden/>
              </w:rPr>
            </w:r>
            <w:r>
              <w:rPr>
                <w:noProof/>
                <w:webHidden/>
              </w:rPr>
              <w:fldChar w:fldCharType="separate"/>
            </w:r>
            <w:r>
              <w:rPr>
                <w:noProof/>
                <w:webHidden/>
              </w:rPr>
              <w:t>102</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7" w:history="1">
            <w:r w:rsidRPr="005B2BEA">
              <w:rPr>
                <w:rStyle w:val="Hyperlink"/>
                <w:noProof/>
              </w:rPr>
              <w:t>8.6.</w:t>
            </w:r>
            <w:r>
              <w:rPr>
                <w:rFonts w:asciiTheme="minorHAnsi" w:eastAsiaTheme="minorEastAsia" w:hAnsiTheme="minorHAnsi" w:cstheme="minorBidi"/>
                <w:noProof/>
                <w:lang w:eastAsia="en-AU"/>
              </w:rPr>
              <w:tab/>
            </w:r>
            <w:r w:rsidRPr="005B2BEA">
              <w:rPr>
                <w:rStyle w:val="Hyperlink"/>
                <w:noProof/>
              </w:rPr>
              <w:t>Post-marketing experience</w:t>
            </w:r>
            <w:r>
              <w:rPr>
                <w:noProof/>
                <w:webHidden/>
              </w:rPr>
              <w:tab/>
            </w:r>
            <w:r>
              <w:rPr>
                <w:noProof/>
                <w:webHidden/>
              </w:rPr>
              <w:fldChar w:fldCharType="begin"/>
            </w:r>
            <w:r>
              <w:rPr>
                <w:noProof/>
                <w:webHidden/>
              </w:rPr>
              <w:instrText xml:space="preserve"> PAGEREF _Toc422852167 \h </w:instrText>
            </w:r>
            <w:r>
              <w:rPr>
                <w:noProof/>
                <w:webHidden/>
              </w:rPr>
            </w:r>
            <w:r>
              <w:rPr>
                <w:noProof/>
                <w:webHidden/>
              </w:rPr>
              <w:fldChar w:fldCharType="separate"/>
            </w:r>
            <w:r>
              <w:rPr>
                <w:noProof/>
                <w:webHidden/>
              </w:rPr>
              <w:t>107</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8" w:history="1">
            <w:r w:rsidRPr="005B2BEA">
              <w:rPr>
                <w:rStyle w:val="Hyperlink"/>
                <w:noProof/>
              </w:rPr>
              <w:t>8.7.</w:t>
            </w:r>
            <w:r>
              <w:rPr>
                <w:rFonts w:asciiTheme="minorHAnsi" w:eastAsiaTheme="minorEastAsia" w:hAnsiTheme="minorHAnsi" w:cstheme="minorBidi"/>
                <w:noProof/>
                <w:lang w:eastAsia="en-AU"/>
              </w:rPr>
              <w:tab/>
            </w:r>
            <w:r w:rsidRPr="005B2BEA">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_Toc422852168 \h </w:instrText>
            </w:r>
            <w:r>
              <w:rPr>
                <w:noProof/>
                <w:webHidden/>
              </w:rPr>
            </w:r>
            <w:r>
              <w:rPr>
                <w:noProof/>
                <w:webHidden/>
              </w:rPr>
              <w:fldChar w:fldCharType="separate"/>
            </w:r>
            <w:r>
              <w:rPr>
                <w:noProof/>
                <w:webHidden/>
              </w:rPr>
              <w:t>108</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69" w:history="1">
            <w:r w:rsidRPr="005B2BEA">
              <w:rPr>
                <w:rStyle w:val="Hyperlink"/>
                <w:noProof/>
              </w:rPr>
              <w:t>8.8.</w:t>
            </w:r>
            <w:r>
              <w:rPr>
                <w:rFonts w:asciiTheme="minorHAnsi" w:eastAsiaTheme="minorEastAsia" w:hAnsiTheme="minorHAnsi" w:cstheme="minorBidi"/>
                <w:noProof/>
                <w:lang w:eastAsia="en-AU"/>
              </w:rPr>
              <w:tab/>
            </w:r>
            <w:r w:rsidRPr="005B2BEA">
              <w:rPr>
                <w:rStyle w:val="Hyperlink"/>
                <w:noProof/>
              </w:rPr>
              <w:t>Other safety issues</w:t>
            </w:r>
            <w:r>
              <w:rPr>
                <w:noProof/>
                <w:webHidden/>
              </w:rPr>
              <w:tab/>
            </w:r>
            <w:r>
              <w:rPr>
                <w:noProof/>
                <w:webHidden/>
              </w:rPr>
              <w:fldChar w:fldCharType="begin"/>
            </w:r>
            <w:r>
              <w:rPr>
                <w:noProof/>
                <w:webHidden/>
              </w:rPr>
              <w:instrText xml:space="preserve"> PAGEREF _Toc422852169 \h </w:instrText>
            </w:r>
            <w:r>
              <w:rPr>
                <w:noProof/>
                <w:webHidden/>
              </w:rPr>
            </w:r>
            <w:r>
              <w:rPr>
                <w:noProof/>
                <w:webHidden/>
              </w:rPr>
              <w:fldChar w:fldCharType="separate"/>
            </w:r>
            <w:r>
              <w:rPr>
                <w:noProof/>
                <w:webHidden/>
              </w:rPr>
              <w:t>108</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70" w:history="1">
            <w:r w:rsidRPr="005B2BEA">
              <w:rPr>
                <w:rStyle w:val="Hyperlink"/>
                <w:noProof/>
              </w:rPr>
              <w:t>8.9.</w:t>
            </w:r>
            <w:r>
              <w:rPr>
                <w:rFonts w:asciiTheme="minorHAnsi" w:eastAsiaTheme="minorEastAsia" w:hAnsiTheme="minorHAnsi" w:cstheme="minorBidi"/>
                <w:noProof/>
                <w:lang w:eastAsia="en-AU"/>
              </w:rPr>
              <w:tab/>
            </w:r>
            <w:r w:rsidRPr="005B2BEA">
              <w:rPr>
                <w:rStyle w:val="Hyperlink"/>
                <w:noProof/>
              </w:rPr>
              <w:t>Evaluator’s overall conclusions on clinical safety</w:t>
            </w:r>
            <w:r>
              <w:rPr>
                <w:noProof/>
                <w:webHidden/>
              </w:rPr>
              <w:tab/>
            </w:r>
            <w:r>
              <w:rPr>
                <w:noProof/>
                <w:webHidden/>
              </w:rPr>
              <w:fldChar w:fldCharType="begin"/>
            </w:r>
            <w:r>
              <w:rPr>
                <w:noProof/>
                <w:webHidden/>
              </w:rPr>
              <w:instrText xml:space="preserve"> PAGEREF _Toc422852170 \h </w:instrText>
            </w:r>
            <w:r>
              <w:rPr>
                <w:noProof/>
                <w:webHidden/>
              </w:rPr>
            </w:r>
            <w:r>
              <w:rPr>
                <w:noProof/>
                <w:webHidden/>
              </w:rPr>
              <w:fldChar w:fldCharType="separate"/>
            </w:r>
            <w:r>
              <w:rPr>
                <w:noProof/>
                <w:webHidden/>
              </w:rPr>
              <w:t>108</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71" w:history="1">
            <w:r w:rsidRPr="005B2BEA">
              <w:rPr>
                <w:rStyle w:val="Hyperlink"/>
                <w:noProof/>
              </w:rPr>
              <w:t>9.</w:t>
            </w:r>
            <w:r>
              <w:rPr>
                <w:rFonts w:asciiTheme="minorHAnsi" w:eastAsiaTheme="minorEastAsia" w:hAnsiTheme="minorHAnsi" w:cstheme="minorBidi"/>
                <w:b w:val="0"/>
                <w:noProof/>
                <w:sz w:val="22"/>
                <w:lang w:eastAsia="en-AU"/>
              </w:rPr>
              <w:tab/>
            </w:r>
            <w:r w:rsidRPr="005B2BEA">
              <w:rPr>
                <w:rStyle w:val="Hyperlink"/>
                <w:noProof/>
              </w:rPr>
              <w:t>First round benefit-risk assessment</w:t>
            </w:r>
            <w:r>
              <w:rPr>
                <w:noProof/>
                <w:webHidden/>
              </w:rPr>
              <w:tab/>
            </w:r>
            <w:r>
              <w:rPr>
                <w:noProof/>
                <w:webHidden/>
              </w:rPr>
              <w:fldChar w:fldCharType="begin"/>
            </w:r>
            <w:r>
              <w:rPr>
                <w:noProof/>
                <w:webHidden/>
              </w:rPr>
              <w:instrText xml:space="preserve"> PAGEREF _Toc422852171 \h </w:instrText>
            </w:r>
            <w:r>
              <w:rPr>
                <w:noProof/>
                <w:webHidden/>
              </w:rPr>
            </w:r>
            <w:r>
              <w:rPr>
                <w:noProof/>
                <w:webHidden/>
              </w:rPr>
              <w:fldChar w:fldCharType="separate"/>
            </w:r>
            <w:r>
              <w:rPr>
                <w:noProof/>
                <w:webHidden/>
              </w:rPr>
              <w:t>109</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72" w:history="1">
            <w:r w:rsidRPr="005B2BEA">
              <w:rPr>
                <w:rStyle w:val="Hyperlink"/>
                <w:noProof/>
              </w:rPr>
              <w:t>9.1.</w:t>
            </w:r>
            <w:r>
              <w:rPr>
                <w:rFonts w:asciiTheme="minorHAnsi" w:eastAsiaTheme="minorEastAsia" w:hAnsiTheme="minorHAnsi" w:cstheme="minorBidi"/>
                <w:noProof/>
                <w:lang w:eastAsia="en-AU"/>
              </w:rPr>
              <w:tab/>
            </w:r>
            <w:r w:rsidRPr="005B2BEA">
              <w:rPr>
                <w:rStyle w:val="Hyperlink"/>
                <w:noProof/>
              </w:rPr>
              <w:t>First round assessment of benefits</w:t>
            </w:r>
            <w:r>
              <w:rPr>
                <w:noProof/>
                <w:webHidden/>
              </w:rPr>
              <w:tab/>
            </w:r>
            <w:r>
              <w:rPr>
                <w:noProof/>
                <w:webHidden/>
              </w:rPr>
              <w:fldChar w:fldCharType="begin"/>
            </w:r>
            <w:r>
              <w:rPr>
                <w:noProof/>
                <w:webHidden/>
              </w:rPr>
              <w:instrText xml:space="preserve"> PAGEREF _Toc422852172 \h </w:instrText>
            </w:r>
            <w:r>
              <w:rPr>
                <w:noProof/>
                <w:webHidden/>
              </w:rPr>
            </w:r>
            <w:r>
              <w:rPr>
                <w:noProof/>
                <w:webHidden/>
              </w:rPr>
              <w:fldChar w:fldCharType="separate"/>
            </w:r>
            <w:r>
              <w:rPr>
                <w:noProof/>
                <w:webHidden/>
              </w:rPr>
              <w:t>109</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73" w:history="1">
            <w:r w:rsidRPr="005B2BEA">
              <w:rPr>
                <w:rStyle w:val="Hyperlink"/>
                <w:noProof/>
              </w:rPr>
              <w:t>9.2.</w:t>
            </w:r>
            <w:r>
              <w:rPr>
                <w:rFonts w:asciiTheme="minorHAnsi" w:eastAsiaTheme="minorEastAsia" w:hAnsiTheme="minorHAnsi" w:cstheme="minorBidi"/>
                <w:noProof/>
                <w:lang w:eastAsia="en-AU"/>
              </w:rPr>
              <w:tab/>
            </w:r>
            <w:r w:rsidRPr="005B2BEA">
              <w:rPr>
                <w:rStyle w:val="Hyperlink"/>
                <w:noProof/>
              </w:rPr>
              <w:t>First round assessment of risks</w:t>
            </w:r>
            <w:r>
              <w:rPr>
                <w:noProof/>
                <w:webHidden/>
              </w:rPr>
              <w:tab/>
            </w:r>
            <w:r>
              <w:rPr>
                <w:noProof/>
                <w:webHidden/>
              </w:rPr>
              <w:fldChar w:fldCharType="begin"/>
            </w:r>
            <w:r>
              <w:rPr>
                <w:noProof/>
                <w:webHidden/>
              </w:rPr>
              <w:instrText xml:space="preserve"> PAGEREF _Toc422852173 \h </w:instrText>
            </w:r>
            <w:r>
              <w:rPr>
                <w:noProof/>
                <w:webHidden/>
              </w:rPr>
            </w:r>
            <w:r>
              <w:rPr>
                <w:noProof/>
                <w:webHidden/>
              </w:rPr>
              <w:fldChar w:fldCharType="separate"/>
            </w:r>
            <w:r>
              <w:rPr>
                <w:noProof/>
                <w:webHidden/>
              </w:rPr>
              <w:t>110</w:t>
            </w:r>
            <w:r>
              <w:rPr>
                <w:noProof/>
                <w:webHidden/>
              </w:rPr>
              <w:fldChar w:fldCharType="end"/>
            </w:r>
          </w:hyperlink>
        </w:p>
        <w:p w:rsidR="0011268C" w:rsidRDefault="0011268C">
          <w:pPr>
            <w:pStyle w:val="TOC3"/>
            <w:tabs>
              <w:tab w:val="left" w:pos="1575"/>
            </w:tabs>
            <w:rPr>
              <w:rFonts w:asciiTheme="minorHAnsi" w:eastAsiaTheme="minorEastAsia" w:hAnsiTheme="minorHAnsi" w:cstheme="minorBidi"/>
              <w:noProof/>
              <w:lang w:eastAsia="en-AU"/>
            </w:rPr>
          </w:pPr>
          <w:hyperlink w:anchor="_Toc422852174" w:history="1">
            <w:r w:rsidRPr="005B2BEA">
              <w:rPr>
                <w:rStyle w:val="Hyperlink"/>
                <w:noProof/>
              </w:rPr>
              <w:t>9.3.</w:t>
            </w:r>
            <w:r>
              <w:rPr>
                <w:rFonts w:asciiTheme="minorHAnsi" w:eastAsiaTheme="minorEastAsia" w:hAnsiTheme="minorHAnsi" w:cstheme="minorBidi"/>
                <w:noProof/>
                <w:lang w:eastAsia="en-AU"/>
              </w:rPr>
              <w:tab/>
            </w:r>
            <w:r w:rsidRPr="005B2BEA">
              <w:rPr>
                <w:rStyle w:val="Hyperlink"/>
                <w:noProof/>
              </w:rPr>
              <w:t>First round assessment of benefit-risk balance</w:t>
            </w:r>
            <w:r>
              <w:rPr>
                <w:noProof/>
                <w:webHidden/>
              </w:rPr>
              <w:tab/>
            </w:r>
            <w:r>
              <w:rPr>
                <w:noProof/>
                <w:webHidden/>
              </w:rPr>
              <w:fldChar w:fldCharType="begin"/>
            </w:r>
            <w:r>
              <w:rPr>
                <w:noProof/>
                <w:webHidden/>
              </w:rPr>
              <w:instrText xml:space="preserve"> PAGEREF _Toc422852174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75" w:history="1">
            <w:r w:rsidRPr="005B2BEA">
              <w:rPr>
                <w:rStyle w:val="Hyperlink"/>
                <w:noProof/>
              </w:rPr>
              <w:t>10.</w:t>
            </w:r>
            <w:r>
              <w:rPr>
                <w:rFonts w:asciiTheme="minorHAnsi" w:eastAsiaTheme="minorEastAsia" w:hAnsiTheme="minorHAnsi" w:cstheme="minorBidi"/>
                <w:b w:val="0"/>
                <w:noProof/>
                <w:sz w:val="22"/>
                <w:lang w:eastAsia="en-AU"/>
              </w:rPr>
              <w:tab/>
            </w:r>
            <w:r w:rsidRPr="005B2BEA">
              <w:rPr>
                <w:rStyle w:val="Hyperlink"/>
                <w:noProof/>
              </w:rPr>
              <w:t>First round recommendation regarding authorisation</w:t>
            </w:r>
            <w:r>
              <w:rPr>
                <w:noProof/>
                <w:webHidden/>
              </w:rPr>
              <w:tab/>
            </w:r>
            <w:r>
              <w:rPr>
                <w:noProof/>
                <w:webHidden/>
              </w:rPr>
              <w:fldChar w:fldCharType="begin"/>
            </w:r>
            <w:r>
              <w:rPr>
                <w:noProof/>
                <w:webHidden/>
              </w:rPr>
              <w:instrText xml:space="preserve"> PAGEREF _Toc422852175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76" w:history="1">
            <w:r w:rsidRPr="005B2BEA">
              <w:rPr>
                <w:rStyle w:val="Hyperlink"/>
                <w:noProof/>
              </w:rPr>
              <w:t>11.</w:t>
            </w:r>
            <w:r>
              <w:rPr>
                <w:rFonts w:asciiTheme="minorHAnsi" w:eastAsiaTheme="minorEastAsia" w:hAnsiTheme="minorHAnsi" w:cstheme="minorBidi"/>
                <w:b w:val="0"/>
                <w:noProof/>
                <w:sz w:val="22"/>
                <w:lang w:eastAsia="en-AU"/>
              </w:rPr>
              <w:tab/>
            </w:r>
            <w:r w:rsidRPr="005B2BEA">
              <w:rPr>
                <w:rStyle w:val="Hyperlink"/>
                <w:noProof/>
              </w:rPr>
              <w:t>Clinical questions</w:t>
            </w:r>
            <w:r>
              <w:rPr>
                <w:noProof/>
                <w:webHidden/>
              </w:rPr>
              <w:tab/>
            </w:r>
            <w:r>
              <w:rPr>
                <w:noProof/>
                <w:webHidden/>
              </w:rPr>
              <w:fldChar w:fldCharType="begin"/>
            </w:r>
            <w:r>
              <w:rPr>
                <w:noProof/>
                <w:webHidden/>
              </w:rPr>
              <w:instrText xml:space="preserve"> PAGEREF _Toc422852176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77" w:history="1">
            <w:r w:rsidRPr="005B2BEA">
              <w:rPr>
                <w:rStyle w:val="Hyperlink"/>
                <w:noProof/>
              </w:rPr>
              <w:t>11.1.</w:t>
            </w:r>
            <w:r>
              <w:rPr>
                <w:rFonts w:asciiTheme="minorHAnsi" w:eastAsiaTheme="minorEastAsia" w:hAnsiTheme="minorHAnsi" w:cstheme="minorBidi"/>
                <w:noProof/>
                <w:lang w:eastAsia="en-AU"/>
              </w:rPr>
              <w:tab/>
            </w:r>
            <w:r w:rsidRPr="005B2BEA">
              <w:rPr>
                <w:rStyle w:val="Hyperlink"/>
                <w:noProof/>
              </w:rPr>
              <w:t>Pharmacokinetics</w:t>
            </w:r>
            <w:r>
              <w:rPr>
                <w:noProof/>
                <w:webHidden/>
              </w:rPr>
              <w:tab/>
            </w:r>
            <w:r>
              <w:rPr>
                <w:noProof/>
                <w:webHidden/>
              </w:rPr>
              <w:fldChar w:fldCharType="begin"/>
            </w:r>
            <w:r>
              <w:rPr>
                <w:noProof/>
                <w:webHidden/>
              </w:rPr>
              <w:instrText xml:space="preserve"> PAGEREF _Toc422852177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78" w:history="1">
            <w:r w:rsidRPr="005B2BEA">
              <w:rPr>
                <w:rStyle w:val="Hyperlink"/>
                <w:noProof/>
              </w:rPr>
              <w:t>11.2.</w:t>
            </w:r>
            <w:r>
              <w:rPr>
                <w:rFonts w:asciiTheme="minorHAnsi" w:eastAsiaTheme="minorEastAsia" w:hAnsiTheme="minorHAnsi" w:cstheme="minorBidi"/>
                <w:noProof/>
                <w:lang w:eastAsia="en-AU"/>
              </w:rPr>
              <w:tab/>
            </w:r>
            <w:r w:rsidRPr="005B2BEA">
              <w:rPr>
                <w:rStyle w:val="Hyperlink"/>
                <w:noProof/>
              </w:rPr>
              <w:t>Pharmacodynamics</w:t>
            </w:r>
            <w:r>
              <w:rPr>
                <w:noProof/>
                <w:webHidden/>
              </w:rPr>
              <w:tab/>
            </w:r>
            <w:r>
              <w:rPr>
                <w:noProof/>
                <w:webHidden/>
              </w:rPr>
              <w:fldChar w:fldCharType="begin"/>
            </w:r>
            <w:r>
              <w:rPr>
                <w:noProof/>
                <w:webHidden/>
              </w:rPr>
              <w:instrText xml:space="preserve"> PAGEREF _Toc422852178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79" w:history="1">
            <w:r w:rsidRPr="005B2BEA">
              <w:rPr>
                <w:rStyle w:val="Hyperlink"/>
                <w:noProof/>
              </w:rPr>
              <w:t>11.3.</w:t>
            </w:r>
            <w:r>
              <w:rPr>
                <w:rFonts w:asciiTheme="minorHAnsi" w:eastAsiaTheme="minorEastAsia" w:hAnsiTheme="minorHAnsi" w:cstheme="minorBidi"/>
                <w:noProof/>
                <w:lang w:eastAsia="en-AU"/>
              </w:rPr>
              <w:tab/>
            </w:r>
            <w:r w:rsidRPr="005B2BEA">
              <w:rPr>
                <w:rStyle w:val="Hyperlink"/>
                <w:noProof/>
              </w:rPr>
              <w:t>Efficacy</w:t>
            </w:r>
            <w:r>
              <w:rPr>
                <w:noProof/>
                <w:webHidden/>
              </w:rPr>
              <w:tab/>
            </w:r>
            <w:r>
              <w:rPr>
                <w:noProof/>
                <w:webHidden/>
              </w:rPr>
              <w:fldChar w:fldCharType="begin"/>
            </w:r>
            <w:r>
              <w:rPr>
                <w:noProof/>
                <w:webHidden/>
              </w:rPr>
              <w:instrText xml:space="preserve"> PAGEREF _Toc422852179 \h </w:instrText>
            </w:r>
            <w:r>
              <w:rPr>
                <w:noProof/>
                <w:webHidden/>
              </w:rPr>
            </w:r>
            <w:r>
              <w:rPr>
                <w:noProof/>
                <w:webHidden/>
              </w:rPr>
              <w:fldChar w:fldCharType="separate"/>
            </w:r>
            <w:r>
              <w:rPr>
                <w:noProof/>
                <w:webHidden/>
              </w:rPr>
              <w:t>111</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80" w:history="1">
            <w:r w:rsidRPr="005B2BEA">
              <w:rPr>
                <w:rStyle w:val="Hyperlink"/>
                <w:noProof/>
              </w:rPr>
              <w:t>12.</w:t>
            </w:r>
            <w:r>
              <w:rPr>
                <w:rFonts w:asciiTheme="minorHAnsi" w:eastAsiaTheme="minorEastAsia" w:hAnsiTheme="minorHAnsi" w:cstheme="minorBidi"/>
                <w:b w:val="0"/>
                <w:noProof/>
                <w:sz w:val="22"/>
                <w:lang w:eastAsia="en-AU"/>
              </w:rPr>
              <w:tab/>
            </w:r>
            <w:r w:rsidRPr="005B2BE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_Toc422852180 \h </w:instrText>
            </w:r>
            <w:r>
              <w:rPr>
                <w:noProof/>
                <w:webHidden/>
              </w:rPr>
            </w:r>
            <w:r>
              <w:rPr>
                <w:noProof/>
                <w:webHidden/>
              </w:rPr>
              <w:fldChar w:fldCharType="separate"/>
            </w:r>
            <w:r>
              <w:rPr>
                <w:noProof/>
                <w:webHidden/>
              </w:rPr>
              <w:t>112</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81" w:history="1">
            <w:r w:rsidRPr="005B2BEA">
              <w:rPr>
                <w:rStyle w:val="Hyperlink"/>
                <w:noProof/>
              </w:rPr>
              <w:t>13.</w:t>
            </w:r>
            <w:r>
              <w:rPr>
                <w:rFonts w:asciiTheme="minorHAnsi" w:eastAsiaTheme="minorEastAsia" w:hAnsiTheme="minorHAnsi" w:cstheme="minorBidi"/>
                <w:b w:val="0"/>
                <w:noProof/>
                <w:sz w:val="22"/>
                <w:lang w:eastAsia="en-AU"/>
              </w:rPr>
              <w:tab/>
            </w:r>
            <w:r w:rsidRPr="005B2BEA">
              <w:rPr>
                <w:rStyle w:val="Hyperlink"/>
                <w:noProof/>
              </w:rPr>
              <w:t>Second round benefit-risk assessment</w:t>
            </w:r>
            <w:r>
              <w:rPr>
                <w:noProof/>
                <w:webHidden/>
              </w:rPr>
              <w:tab/>
            </w:r>
            <w:r>
              <w:rPr>
                <w:noProof/>
                <w:webHidden/>
              </w:rPr>
              <w:fldChar w:fldCharType="begin"/>
            </w:r>
            <w:r>
              <w:rPr>
                <w:noProof/>
                <w:webHidden/>
              </w:rPr>
              <w:instrText xml:space="preserve"> PAGEREF _Toc422852181 \h </w:instrText>
            </w:r>
            <w:r>
              <w:rPr>
                <w:noProof/>
                <w:webHidden/>
              </w:rPr>
            </w:r>
            <w:r>
              <w:rPr>
                <w:noProof/>
                <w:webHidden/>
              </w:rPr>
              <w:fldChar w:fldCharType="separate"/>
            </w:r>
            <w:r>
              <w:rPr>
                <w:noProof/>
                <w:webHidden/>
              </w:rPr>
              <w:t>113</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82" w:history="1">
            <w:r w:rsidRPr="005B2BEA">
              <w:rPr>
                <w:rStyle w:val="Hyperlink"/>
                <w:noProof/>
              </w:rPr>
              <w:t>13.1.</w:t>
            </w:r>
            <w:r>
              <w:rPr>
                <w:rFonts w:asciiTheme="minorHAnsi" w:eastAsiaTheme="minorEastAsia" w:hAnsiTheme="minorHAnsi" w:cstheme="minorBidi"/>
                <w:noProof/>
                <w:lang w:eastAsia="en-AU"/>
              </w:rPr>
              <w:tab/>
            </w:r>
            <w:r w:rsidRPr="005B2BEA">
              <w:rPr>
                <w:rStyle w:val="Hyperlink"/>
                <w:noProof/>
              </w:rPr>
              <w:t>Second round assessment of benefits</w:t>
            </w:r>
            <w:r>
              <w:rPr>
                <w:noProof/>
                <w:webHidden/>
              </w:rPr>
              <w:tab/>
            </w:r>
            <w:r>
              <w:rPr>
                <w:noProof/>
                <w:webHidden/>
              </w:rPr>
              <w:fldChar w:fldCharType="begin"/>
            </w:r>
            <w:r>
              <w:rPr>
                <w:noProof/>
                <w:webHidden/>
              </w:rPr>
              <w:instrText xml:space="preserve"> PAGEREF _Toc422852182 \h </w:instrText>
            </w:r>
            <w:r>
              <w:rPr>
                <w:noProof/>
                <w:webHidden/>
              </w:rPr>
            </w:r>
            <w:r>
              <w:rPr>
                <w:noProof/>
                <w:webHidden/>
              </w:rPr>
              <w:fldChar w:fldCharType="separate"/>
            </w:r>
            <w:r>
              <w:rPr>
                <w:noProof/>
                <w:webHidden/>
              </w:rPr>
              <w:t>113</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83" w:history="1">
            <w:r w:rsidRPr="005B2BEA">
              <w:rPr>
                <w:rStyle w:val="Hyperlink"/>
                <w:noProof/>
              </w:rPr>
              <w:t>13.2.</w:t>
            </w:r>
            <w:r>
              <w:rPr>
                <w:rFonts w:asciiTheme="minorHAnsi" w:eastAsiaTheme="minorEastAsia" w:hAnsiTheme="minorHAnsi" w:cstheme="minorBidi"/>
                <w:noProof/>
                <w:lang w:eastAsia="en-AU"/>
              </w:rPr>
              <w:tab/>
            </w:r>
            <w:r w:rsidRPr="005B2BEA">
              <w:rPr>
                <w:rStyle w:val="Hyperlink"/>
                <w:noProof/>
              </w:rPr>
              <w:t>Second round assessment of risks</w:t>
            </w:r>
            <w:r>
              <w:rPr>
                <w:noProof/>
                <w:webHidden/>
              </w:rPr>
              <w:tab/>
            </w:r>
            <w:r>
              <w:rPr>
                <w:noProof/>
                <w:webHidden/>
              </w:rPr>
              <w:fldChar w:fldCharType="begin"/>
            </w:r>
            <w:r>
              <w:rPr>
                <w:noProof/>
                <w:webHidden/>
              </w:rPr>
              <w:instrText xml:space="preserve"> PAGEREF _Toc422852183 \h </w:instrText>
            </w:r>
            <w:r>
              <w:rPr>
                <w:noProof/>
                <w:webHidden/>
              </w:rPr>
            </w:r>
            <w:r>
              <w:rPr>
                <w:noProof/>
                <w:webHidden/>
              </w:rPr>
              <w:fldChar w:fldCharType="separate"/>
            </w:r>
            <w:r>
              <w:rPr>
                <w:noProof/>
                <w:webHidden/>
              </w:rPr>
              <w:t>113</w:t>
            </w:r>
            <w:r>
              <w:rPr>
                <w:noProof/>
                <w:webHidden/>
              </w:rPr>
              <w:fldChar w:fldCharType="end"/>
            </w:r>
          </w:hyperlink>
        </w:p>
        <w:p w:rsidR="0011268C" w:rsidRDefault="0011268C">
          <w:pPr>
            <w:pStyle w:val="TOC3"/>
            <w:tabs>
              <w:tab w:val="left" w:pos="1697"/>
            </w:tabs>
            <w:rPr>
              <w:rFonts w:asciiTheme="minorHAnsi" w:eastAsiaTheme="minorEastAsia" w:hAnsiTheme="minorHAnsi" w:cstheme="minorBidi"/>
              <w:noProof/>
              <w:lang w:eastAsia="en-AU"/>
            </w:rPr>
          </w:pPr>
          <w:hyperlink w:anchor="_Toc422852184" w:history="1">
            <w:r w:rsidRPr="005B2BEA">
              <w:rPr>
                <w:rStyle w:val="Hyperlink"/>
                <w:noProof/>
              </w:rPr>
              <w:t>13.3.</w:t>
            </w:r>
            <w:r>
              <w:rPr>
                <w:rFonts w:asciiTheme="minorHAnsi" w:eastAsiaTheme="minorEastAsia" w:hAnsiTheme="minorHAnsi" w:cstheme="minorBidi"/>
                <w:noProof/>
                <w:lang w:eastAsia="en-AU"/>
              </w:rPr>
              <w:tab/>
            </w:r>
            <w:r w:rsidRPr="005B2BEA">
              <w:rPr>
                <w:rStyle w:val="Hyperlink"/>
                <w:noProof/>
              </w:rPr>
              <w:t>Second round assessment of benefit-risk balance</w:t>
            </w:r>
            <w:r>
              <w:rPr>
                <w:noProof/>
                <w:webHidden/>
              </w:rPr>
              <w:tab/>
            </w:r>
            <w:r>
              <w:rPr>
                <w:noProof/>
                <w:webHidden/>
              </w:rPr>
              <w:fldChar w:fldCharType="begin"/>
            </w:r>
            <w:r>
              <w:rPr>
                <w:noProof/>
                <w:webHidden/>
              </w:rPr>
              <w:instrText xml:space="preserve"> PAGEREF _Toc422852184 \h </w:instrText>
            </w:r>
            <w:r>
              <w:rPr>
                <w:noProof/>
                <w:webHidden/>
              </w:rPr>
            </w:r>
            <w:r>
              <w:rPr>
                <w:noProof/>
                <w:webHidden/>
              </w:rPr>
              <w:fldChar w:fldCharType="separate"/>
            </w:r>
            <w:r>
              <w:rPr>
                <w:noProof/>
                <w:webHidden/>
              </w:rPr>
              <w:t>113</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85" w:history="1">
            <w:r w:rsidRPr="005B2BEA">
              <w:rPr>
                <w:rStyle w:val="Hyperlink"/>
                <w:noProof/>
              </w:rPr>
              <w:t>14.</w:t>
            </w:r>
            <w:r>
              <w:rPr>
                <w:rFonts w:asciiTheme="minorHAnsi" w:eastAsiaTheme="minorEastAsia" w:hAnsiTheme="minorHAnsi" w:cstheme="minorBidi"/>
                <w:b w:val="0"/>
                <w:noProof/>
                <w:sz w:val="22"/>
                <w:lang w:eastAsia="en-AU"/>
              </w:rPr>
              <w:tab/>
            </w:r>
            <w:r w:rsidRPr="005B2BEA">
              <w:rPr>
                <w:rStyle w:val="Hyperlink"/>
                <w:noProof/>
              </w:rPr>
              <w:t>Second round recommendation regarding authorisation</w:t>
            </w:r>
            <w:r>
              <w:rPr>
                <w:noProof/>
                <w:webHidden/>
              </w:rPr>
              <w:tab/>
            </w:r>
            <w:r>
              <w:rPr>
                <w:noProof/>
                <w:webHidden/>
              </w:rPr>
              <w:fldChar w:fldCharType="begin"/>
            </w:r>
            <w:r>
              <w:rPr>
                <w:noProof/>
                <w:webHidden/>
              </w:rPr>
              <w:instrText xml:space="preserve"> PAGEREF _Toc422852185 \h </w:instrText>
            </w:r>
            <w:r>
              <w:rPr>
                <w:noProof/>
                <w:webHidden/>
              </w:rPr>
            </w:r>
            <w:r>
              <w:rPr>
                <w:noProof/>
                <w:webHidden/>
              </w:rPr>
              <w:fldChar w:fldCharType="separate"/>
            </w:r>
            <w:r>
              <w:rPr>
                <w:noProof/>
                <w:webHidden/>
              </w:rPr>
              <w:t>113</w:t>
            </w:r>
            <w:r>
              <w:rPr>
                <w:noProof/>
                <w:webHidden/>
              </w:rPr>
              <w:fldChar w:fldCharType="end"/>
            </w:r>
          </w:hyperlink>
        </w:p>
        <w:p w:rsidR="0011268C" w:rsidRDefault="0011268C">
          <w:pPr>
            <w:pStyle w:val="TOC2"/>
            <w:tabs>
              <w:tab w:val="left" w:pos="1247"/>
            </w:tabs>
            <w:rPr>
              <w:rFonts w:asciiTheme="minorHAnsi" w:eastAsiaTheme="minorEastAsia" w:hAnsiTheme="minorHAnsi" w:cstheme="minorBidi"/>
              <w:b w:val="0"/>
              <w:noProof/>
              <w:sz w:val="22"/>
              <w:lang w:eastAsia="en-AU"/>
            </w:rPr>
          </w:pPr>
          <w:hyperlink w:anchor="_Toc422852186" w:history="1">
            <w:r w:rsidRPr="005B2BEA">
              <w:rPr>
                <w:rStyle w:val="Hyperlink"/>
                <w:noProof/>
              </w:rPr>
              <w:t>15.</w:t>
            </w:r>
            <w:r>
              <w:rPr>
                <w:rFonts w:asciiTheme="minorHAnsi" w:eastAsiaTheme="minorEastAsia" w:hAnsiTheme="minorHAnsi" w:cstheme="minorBidi"/>
                <w:b w:val="0"/>
                <w:noProof/>
                <w:sz w:val="22"/>
                <w:lang w:eastAsia="en-AU"/>
              </w:rPr>
              <w:tab/>
            </w:r>
            <w:r w:rsidRPr="005B2BEA">
              <w:rPr>
                <w:rStyle w:val="Hyperlink"/>
                <w:noProof/>
              </w:rPr>
              <w:t>References</w:t>
            </w:r>
            <w:r>
              <w:rPr>
                <w:noProof/>
                <w:webHidden/>
              </w:rPr>
              <w:tab/>
            </w:r>
            <w:r>
              <w:rPr>
                <w:noProof/>
                <w:webHidden/>
              </w:rPr>
              <w:fldChar w:fldCharType="begin"/>
            </w:r>
            <w:r>
              <w:rPr>
                <w:noProof/>
                <w:webHidden/>
              </w:rPr>
              <w:instrText xml:space="preserve"> PAGEREF _Toc422852186 \h </w:instrText>
            </w:r>
            <w:r>
              <w:rPr>
                <w:noProof/>
                <w:webHidden/>
              </w:rPr>
            </w:r>
            <w:r>
              <w:rPr>
                <w:noProof/>
                <w:webHidden/>
              </w:rPr>
              <w:fldChar w:fldCharType="separate"/>
            </w:r>
            <w:r>
              <w:rPr>
                <w:noProof/>
                <w:webHidden/>
              </w:rPr>
              <w:t>113</w:t>
            </w:r>
            <w:r>
              <w:rPr>
                <w:noProof/>
                <w:webHidden/>
              </w:rPr>
              <w:fldChar w:fldCharType="end"/>
            </w:r>
          </w:hyperlink>
        </w:p>
        <w:p w:rsidR="00B13321" w:rsidRPr="00B811C6" w:rsidRDefault="00B13321" w:rsidP="00B13321">
          <w:pPr>
            <w:pStyle w:val="TOC2"/>
          </w:pPr>
          <w:r>
            <w:fldChar w:fldCharType="end"/>
          </w:r>
        </w:p>
      </w:sdtContent>
    </w:sdt>
    <w:bookmarkStart w:id="3" w:name="_Toc314842482" w:displacedByCustomXml="prev"/>
    <w:p w:rsidR="00B13321" w:rsidRDefault="00B13321" w:rsidP="00B74897">
      <w:pPr>
        <w:pStyle w:val="Heading2"/>
        <w:pageBreakBefore/>
        <w:numPr>
          <w:ilvl w:val="0"/>
          <w:numId w:val="0"/>
        </w:numPr>
      </w:pPr>
      <w:bookmarkStart w:id="4" w:name="_Toc351716269"/>
      <w:bookmarkStart w:id="5" w:name="_Toc351718881"/>
      <w:bookmarkStart w:id="6" w:name="_Toc355338616"/>
      <w:bookmarkStart w:id="7" w:name="_Toc42285214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B13321" w:rsidTr="004D6EC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Abbreviation</w:t>
            </w:r>
          </w:p>
        </w:tc>
        <w:tc>
          <w:tcPr>
            <w:tcW w:w="6911" w:type="dxa"/>
          </w:tcPr>
          <w:p w:rsidR="00B13321" w:rsidRDefault="00B13321" w:rsidP="004D6ECD">
            <w:pPr>
              <w:cnfStyle w:val="100000000000" w:firstRow="1" w:lastRow="0" w:firstColumn="0" w:lastColumn="0" w:oddVBand="0" w:evenVBand="0" w:oddHBand="0" w:evenHBand="0" w:firstRowFirstColumn="0" w:firstRowLastColumn="0" w:lastRowFirstColumn="0" w:lastRowLastColumn="0"/>
            </w:pPr>
            <w:r>
              <w:t>Meaning</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At or greater than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At or less than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&lt;</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Less than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&gt;</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Greater than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AE</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adverse event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Ae</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amount of drug excreted unchanged in urine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ALT</w:t>
            </w:r>
          </w:p>
        </w:tc>
        <w:tc>
          <w:tcPr>
            <w:tcW w:w="6911" w:type="dxa"/>
          </w:tcPr>
          <w:p w:rsidR="00B13321" w:rsidRPr="00AC57E5" w:rsidRDefault="00B13321" w:rsidP="004D6ECD">
            <w:pPr>
              <w:cnfStyle w:val="000000000000" w:firstRow="0" w:lastRow="0" w:firstColumn="0" w:lastColumn="0" w:oddVBand="0" w:evenVBand="0" w:oddHBand="0" w:evenHBand="0" w:firstRowFirstColumn="0" w:firstRowLastColumn="0" w:lastRowFirstColumn="0" w:lastRowLastColumn="0"/>
            </w:pPr>
            <w:r w:rsidRPr="00AC57E5">
              <w:t>Alanine transaminase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ANCOVA</w:t>
            </w:r>
          </w:p>
        </w:tc>
        <w:tc>
          <w:tcPr>
            <w:tcW w:w="6911" w:type="dxa"/>
          </w:tcPr>
          <w:p w:rsidR="00B13321" w:rsidRPr="00AC57E5" w:rsidRDefault="00B13321" w:rsidP="004D6ECD">
            <w:pPr>
              <w:cnfStyle w:val="000000000000" w:firstRow="0" w:lastRow="0" w:firstColumn="0" w:lastColumn="0" w:oddVBand="0" w:evenVBand="0" w:oddHBand="0" w:evenHBand="0" w:firstRowFirstColumn="0" w:firstRowLastColumn="0" w:lastRowFirstColumn="0" w:lastRowLastColumn="0"/>
            </w:pPr>
            <w:r w:rsidRPr="00AC57E5">
              <w:t>analysis of covariance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ANOVA</w:t>
            </w:r>
          </w:p>
        </w:tc>
        <w:tc>
          <w:tcPr>
            <w:tcW w:w="6911" w:type="dxa"/>
          </w:tcPr>
          <w:p w:rsidR="00B13321" w:rsidRPr="00AC57E5" w:rsidRDefault="00B13321" w:rsidP="004D6ECD">
            <w:pPr>
              <w:cnfStyle w:val="000000000000" w:firstRow="0" w:lastRow="0" w:firstColumn="0" w:lastColumn="0" w:oddVBand="0" w:evenVBand="0" w:oddHBand="0" w:evenHBand="0" w:firstRowFirstColumn="0" w:firstRowLastColumn="0" w:lastRowFirstColumn="0" w:lastRowLastColumn="0"/>
            </w:pPr>
            <w:r w:rsidRPr="00AC57E5">
              <w:t>analysis of variance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A202F7">
              <w:t>AUC</w:t>
            </w:r>
            <w:r w:rsidRPr="00AC57E5">
              <w:rPr>
                <w:vertAlign w:val="subscript"/>
              </w:rPr>
              <w:t>(0-∞)</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t>area under the concentration-time curve from time zero (</w:t>
            </w:r>
            <w:proofErr w:type="spellStart"/>
            <w:r w:rsidRPr="00AC57E5">
              <w:t>predose</w:t>
            </w:r>
            <w:proofErr w:type="spellEnd"/>
            <w:r w:rsidRPr="00AC57E5">
              <w:t>) extrapolated to infinite time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AUC</w:t>
            </w:r>
            <w:r w:rsidRPr="00494CFA">
              <w:rPr>
                <w:vertAlign w:val="subscript"/>
              </w:rPr>
              <w:t>(0</w:t>
            </w:r>
            <w:r>
              <w:rPr>
                <w:vertAlign w:val="subscript"/>
              </w:rPr>
              <w:t>-</w:t>
            </w:r>
            <w:r w:rsidRPr="00494CFA">
              <w:rPr>
                <w:vertAlign w:val="subscript"/>
              </w:rPr>
              <w:t>t)</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area under the concentration</w:t>
            </w:r>
            <w:r>
              <w:t>-</w:t>
            </w:r>
            <w:r w:rsidRPr="006E4912">
              <w:t>time curve from time zero (</w:t>
            </w:r>
            <w:proofErr w:type="spellStart"/>
            <w:r w:rsidRPr="006E4912">
              <w:t>predose</w:t>
            </w:r>
            <w:proofErr w:type="spellEnd"/>
            <w:r w:rsidRPr="006E4912">
              <w:t>) to last time of</w:t>
            </w:r>
            <w:r>
              <w:t xml:space="preserve"> </w:t>
            </w:r>
            <w:r w:rsidRPr="006E4912">
              <w:t>quantifiable concentration within a subject across all treatments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AUC</w:t>
            </w:r>
            <w:r w:rsidRPr="00494CFA">
              <w:rPr>
                <w:vertAlign w:val="subscript"/>
              </w:rPr>
              <w:t>(0</w:t>
            </w:r>
            <w:r>
              <w:rPr>
                <w:vertAlign w:val="subscript"/>
              </w:rPr>
              <w:t>-</w:t>
            </w:r>
            <w:r w:rsidRPr="00494CFA">
              <w:rPr>
                <w:vertAlign w:val="subscript"/>
              </w:rPr>
              <w:t>x)</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area under the concentration</w:t>
            </w:r>
            <w:r>
              <w:t>-</w:t>
            </w:r>
            <w:r w:rsidRPr="006E4912">
              <w:t>time curve from time zero (</w:t>
            </w:r>
            <w:proofErr w:type="spellStart"/>
            <w:r w:rsidRPr="006E4912">
              <w:t>predose</w:t>
            </w:r>
            <w:proofErr w:type="spellEnd"/>
            <w:r w:rsidRPr="006E4912">
              <w:t xml:space="preserve">) to x hours </w:t>
            </w:r>
            <w:r w:rsidR="00486EA4">
              <w:t>post dose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BD</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twice daily</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bid</w:t>
            </w:r>
          </w:p>
        </w:tc>
        <w:tc>
          <w:tcPr>
            <w:tcW w:w="6911" w:type="dxa"/>
          </w:tcPr>
          <w:p w:rsidR="00B13321" w:rsidRDefault="00B13321" w:rsidP="004D6ECD">
            <w:pPr>
              <w:cnfStyle w:val="000000000000" w:firstRow="0" w:lastRow="0" w:firstColumn="0" w:lastColumn="0" w:oddVBand="0" w:evenVBand="0" w:oddHBand="0" w:evenHBand="0" w:firstRowFirstColumn="0" w:firstRowLastColumn="0" w:lastRowFirstColumn="0" w:lastRowLastColumn="0"/>
            </w:pPr>
            <w:r w:rsidRPr="00AC57E5">
              <w:t>Twice daily</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BMI</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body mass index</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CI</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confidence interval</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CLcr</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creatinine clearance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t>CLr</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t>renal clearance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C</w:t>
            </w:r>
            <w:r w:rsidRPr="00313817">
              <w:rPr>
                <w:vertAlign w:val="subscript"/>
              </w:rPr>
              <w:t>max</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maximum concentration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COPD</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chronic obstructive pulmonary disease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CSR</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Clinical Study Report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CV</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t>between-subject coefficient of variation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lastRenderedPageBreak/>
              <w:t>CYP</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cytochrome P450</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AC57E5">
              <w:rPr>
                <w:bCs/>
                <w:lang w:val="en-GB"/>
              </w:rPr>
              <w:t>e.g.</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rPr>
                <w:lang w:val="en-GB"/>
              </w:rPr>
              <w:t>Exempli gratia; for example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E</w:t>
            </w:r>
            <w:r w:rsidRPr="00F429FC">
              <w:rPr>
                <w:vertAlign w:val="subscript"/>
              </w:rPr>
              <w:t>max</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maximum effect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EU</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rPr>
                <w:lang w:val="en-GB"/>
              </w:rPr>
              <w:t>European Union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FDA</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Food and Drug Administration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Fe</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t>fraction of dose excreted unchanged in urine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FEV</w:t>
            </w:r>
            <w:r w:rsidRPr="00AC57E5">
              <w:rPr>
                <w:vertAlign w:val="subscript"/>
              </w:rPr>
              <w:t>1</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AC57E5">
              <w:rPr>
                <w:lang w:val="en-GB"/>
              </w:rPr>
              <w:t>Forced Expiratory Volume in One Second</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FF</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 xml:space="preserve">fluticasone </w:t>
            </w:r>
            <w:proofErr w:type="spellStart"/>
            <w:r w:rsidRPr="006E4912">
              <w:t>furoate</w:t>
            </w:r>
            <w:proofErr w:type="spellEnd"/>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FP</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t>fluticasone propionate</w:t>
            </w:r>
          </w:p>
        </w:tc>
      </w:tr>
      <w:tr w:rsidR="00B13321" w:rsidRPr="00002089"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FVC</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rPr>
                <w:color w:val="auto"/>
              </w:rPr>
            </w:pPr>
            <w:r w:rsidRPr="00002089">
              <w:rPr>
                <w:color w:val="auto"/>
              </w:rPr>
              <w:t xml:space="preserve">forced vital capacity </w:t>
            </w:r>
          </w:p>
        </w:tc>
      </w:tr>
      <w:tr w:rsidR="00B13321" w:rsidRPr="00002089"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FVC</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pPr>
            <w:r w:rsidRPr="00002089">
              <w:rPr>
                <w:lang w:val="en-GB"/>
              </w:rPr>
              <w:t>Forced Vital Capacity</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GCP</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G</w:t>
            </w:r>
            <w:r w:rsidRPr="006E4912">
              <w:t>ood Clinical Practice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02089">
              <w:t>HPLC-MS/MS</w:t>
            </w:r>
          </w:p>
        </w:tc>
        <w:tc>
          <w:tcPr>
            <w:tcW w:w="6911" w:type="dxa"/>
          </w:tcPr>
          <w:p w:rsidR="00B13321" w:rsidRDefault="00B13321" w:rsidP="004D6ECD">
            <w:pPr>
              <w:cnfStyle w:val="000000000000" w:firstRow="0" w:lastRow="0" w:firstColumn="0" w:lastColumn="0" w:oddVBand="0" w:evenVBand="0" w:oddHBand="0" w:evenHBand="0" w:firstRowFirstColumn="0" w:firstRowLastColumn="0" w:lastRowFirstColumn="0" w:lastRowLastColumn="0"/>
            </w:pPr>
            <w:r w:rsidRPr="00002089">
              <w:t>high pressure liquid chromatography with tandem mass spectrometric detection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002089" w:rsidRDefault="00B13321" w:rsidP="004D6ECD">
            <w:r>
              <w:t>HR</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pPr>
            <w:r w:rsidRPr="00002089">
              <w:rPr>
                <w:bCs/>
                <w:lang w:val="en-GB"/>
              </w:rPr>
              <w:t>Heart rate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i.e.</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rPr>
                <w:bCs/>
                <w:lang w:val="en-GB"/>
              </w:rPr>
            </w:pPr>
            <w:r w:rsidRPr="00002089">
              <w:rPr>
                <w:bCs/>
                <w:lang w:val="en-GB"/>
              </w:rPr>
              <w:t xml:space="preserve">Id </w:t>
            </w:r>
            <w:proofErr w:type="spellStart"/>
            <w:r w:rsidRPr="00002089">
              <w:rPr>
                <w:bCs/>
                <w:lang w:val="en-GB"/>
              </w:rPr>
              <w:t>est</w:t>
            </w:r>
            <w:proofErr w:type="spellEnd"/>
            <w:r w:rsidRPr="00002089">
              <w:rPr>
                <w:bCs/>
                <w:lang w:val="en-GB"/>
              </w:rPr>
              <w:t>; that is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A97182" w:rsidRDefault="00B13321" w:rsidP="004D6ECD">
            <w:r w:rsidRPr="006E4912">
              <w:t>IC</w:t>
            </w:r>
            <w:r w:rsidRPr="00A97182">
              <w:t>50</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half maximal inhibitory concentration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ICS</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inhaled corticosteroid</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IH</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inhaled</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IV</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intravenous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02089">
              <w:rPr>
                <w:bCs/>
                <w:lang w:val="en-GB"/>
              </w:rPr>
              <w:t>IVRS</w:t>
            </w:r>
          </w:p>
        </w:tc>
        <w:tc>
          <w:tcPr>
            <w:tcW w:w="6911" w:type="dxa"/>
          </w:tcPr>
          <w:p w:rsidR="00B13321" w:rsidRDefault="00B13321" w:rsidP="004D6ECD">
            <w:pPr>
              <w:cnfStyle w:val="000000000000" w:firstRow="0" w:lastRow="0" w:firstColumn="0" w:lastColumn="0" w:oddVBand="0" w:evenVBand="0" w:oddHBand="0" w:evenHBand="0" w:firstRowFirstColumn="0" w:firstRowLastColumn="0" w:lastRowFirstColumn="0" w:lastRowLastColumn="0"/>
            </w:pPr>
            <w:r w:rsidRPr="00002089">
              <w:t>interactive voice response system</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L</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Litre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LABA</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t>long-acting beta2-adrenergic agonist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LAMA</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t>Long-acting muscarinic receptor antagonist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02089">
              <w:t>LLQ</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t>lower limit of quantification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LS</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least squares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lastRenderedPageBreak/>
              <w:t>mcg</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microgram</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rsidRPr="00002089">
              <w:rPr>
                <w:bCs/>
                <w:lang w:val="en-GB"/>
              </w:rPr>
              <w:t>mg</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rPr>
                <w:bCs/>
                <w:lang w:val="en-GB"/>
              </w:rPr>
              <w:t>Milligram</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proofErr w:type="spellStart"/>
            <w:r w:rsidRPr="00002089">
              <w:t>MgSt</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02089">
              <w:t>magnesium stearate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mL</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proofErr w:type="spellStart"/>
            <w:r>
              <w:t>M</w:t>
            </w:r>
            <w:r w:rsidRPr="006E4912">
              <w:t>illiliter</w:t>
            </w:r>
            <w:proofErr w:type="spellEnd"/>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02089">
              <w:t>N</w:t>
            </w:r>
          </w:p>
        </w:tc>
        <w:tc>
          <w:tcPr>
            <w:tcW w:w="6911" w:type="dxa"/>
          </w:tcPr>
          <w:p w:rsidR="00B13321" w:rsidRDefault="00B13321" w:rsidP="004D6ECD">
            <w:pPr>
              <w:cnfStyle w:val="000000000000" w:firstRow="0" w:lastRow="0" w:firstColumn="0" w:lastColumn="0" w:oddVBand="0" w:evenVBand="0" w:oddHBand="0" w:evenHBand="0" w:firstRowFirstColumn="0" w:firstRowLastColumn="0" w:lastRowFirstColumn="0" w:lastRowLastColumn="0"/>
            </w:pPr>
            <w:r w:rsidRPr="00002089">
              <w:t>number of subjects who received a specific treatment</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002089" w:rsidRDefault="00B13321" w:rsidP="004D6ECD">
            <w:r w:rsidRPr="00002089">
              <w:t>n</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pPr>
            <w:r w:rsidRPr="00002089">
              <w:t>number of subjects with non-missing values (including not calculable where applicable)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002089" w:rsidRDefault="00B13321" w:rsidP="004D6ECD">
            <w:r w:rsidRPr="00002089">
              <w:t>n*</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pPr>
            <w:r w:rsidRPr="00002089">
              <w:t>number of subjects for whom parameter could not be derived because of not quantifiable concentration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002089" w:rsidRDefault="00B13321" w:rsidP="004D6ECD">
            <w:r w:rsidRPr="00002089">
              <w:t>NA</w:t>
            </w:r>
          </w:p>
        </w:tc>
        <w:tc>
          <w:tcPr>
            <w:tcW w:w="6911" w:type="dxa"/>
          </w:tcPr>
          <w:p w:rsidR="00B13321" w:rsidRPr="00002089" w:rsidRDefault="00B13321" w:rsidP="004D6ECD">
            <w:pPr>
              <w:cnfStyle w:val="000000000000" w:firstRow="0" w:lastRow="0" w:firstColumn="0" w:lastColumn="0" w:oddVBand="0" w:evenVBand="0" w:oddHBand="0" w:evenHBand="0" w:firstRowFirstColumn="0" w:firstRowLastColumn="0" w:lastRowFirstColumn="0" w:lastRowLastColumn="0"/>
            </w:pPr>
            <w:r w:rsidRPr="00002089">
              <w:t>not applicable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NDPI</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Novel Dry Powder Inhaler</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91339">
              <w:t>NQ</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91339">
              <w:t>not quantifiable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PD</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pharmacodynamic</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PEF</w:t>
            </w:r>
            <w:r>
              <w:t>R</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peak expiratory flow</w:t>
            </w:r>
            <w:r>
              <w:t xml:space="preserve"> rate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w:t>
            </w:r>
            <w:r>
              <w:t>-</w:t>
            </w:r>
            <w:proofErr w:type="spellStart"/>
            <w:r w:rsidRPr="006E4912">
              <w:t>gp</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P</w:t>
            </w:r>
            <w:r>
              <w:t>-</w:t>
            </w:r>
            <w:r w:rsidRPr="006E4912">
              <w:t>glycoprotein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PK</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pharmacokinetic(s)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PM</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poor metabolis</w:t>
            </w:r>
            <w:r w:rsidRPr="006E4912">
              <w:t>er</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PO</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oral</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t>qd</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O</w:t>
            </w:r>
            <w:r w:rsidRPr="006E4912">
              <w:t>nce</w:t>
            </w:r>
            <w:r>
              <w:t xml:space="preserve"> </w:t>
            </w:r>
            <w:r w:rsidRPr="006E4912">
              <w:t>daily</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QTc</w:t>
            </w:r>
            <w:proofErr w:type="spellEnd"/>
            <w:r w:rsidRPr="006E4912">
              <w:t>(F)</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 xml:space="preserve">QT interval corrected for heart rate using </w:t>
            </w:r>
            <w:proofErr w:type="spellStart"/>
            <w:r w:rsidRPr="006E4912">
              <w:t>Fridericia's</w:t>
            </w:r>
            <w:proofErr w:type="spellEnd"/>
            <w:r w:rsidRPr="006E4912">
              <w:t xml:space="preserve"> formula</w:t>
            </w:r>
            <w:r>
              <w:t xml:space="preserve"> </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SD</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Standard D</w:t>
            </w:r>
            <w:r w:rsidRPr="006E4912">
              <w:t>eviation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SE</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S</w:t>
            </w:r>
            <w:r w:rsidRPr="006E4912">
              <w:t>tan</w:t>
            </w:r>
            <w:r>
              <w:t>dard E</w:t>
            </w:r>
            <w:r w:rsidRPr="006E4912">
              <w:t>rror</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sGaw</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specific airway conductance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SGRQ</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St. George’s Respiratory Questionnaire</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91339">
              <w:t>SOC</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91339">
              <w:t>System Organ Class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t</w:t>
            </w:r>
            <w:r>
              <w:t>½</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91339">
              <w:t>Half-life associated with the terminal slope</w:t>
            </w:r>
          </w:p>
        </w:tc>
      </w:tr>
      <w:tr w:rsidR="00C3117B" w:rsidTr="004D6ECD">
        <w:tc>
          <w:tcPr>
            <w:cnfStyle w:val="001000000000" w:firstRow="0" w:lastRow="0" w:firstColumn="1" w:lastColumn="0" w:oddVBand="0" w:evenVBand="0" w:oddHBand="0" w:evenHBand="0" w:firstRowFirstColumn="0" w:firstRowLastColumn="0" w:lastRowFirstColumn="0" w:lastRowLastColumn="0"/>
            <w:tcW w:w="1890" w:type="dxa"/>
          </w:tcPr>
          <w:p w:rsidR="00C3117B" w:rsidRPr="006E4912" w:rsidRDefault="00C3117B" w:rsidP="004D6ECD">
            <w:r>
              <w:lastRenderedPageBreak/>
              <w:t>TDI</w:t>
            </w:r>
          </w:p>
        </w:tc>
        <w:tc>
          <w:tcPr>
            <w:tcW w:w="6911" w:type="dxa"/>
          </w:tcPr>
          <w:p w:rsidR="00C3117B" w:rsidRPr="00091339" w:rsidRDefault="00C3117B" w:rsidP="004D6ECD">
            <w:pPr>
              <w:cnfStyle w:val="000000000000" w:firstRow="0" w:lastRow="0" w:firstColumn="0" w:lastColumn="0" w:oddVBand="0" w:evenVBand="0" w:oddHBand="0" w:evenHBand="0" w:firstRowFirstColumn="0" w:firstRowLastColumn="0" w:lastRowFirstColumn="0" w:lastRowLastColumn="0"/>
            </w:pPr>
            <w:r>
              <w:t>Transition Dyspnoea Index</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TGA</w:t>
            </w:r>
          </w:p>
        </w:tc>
        <w:tc>
          <w:tcPr>
            <w:tcW w:w="6911" w:type="dxa"/>
          </w:tcPr>
          <w:p w:rsidR="00B13321" w:rsidRPr="00091339" w:rsidRDefault="00B13321" w:rsidP="004D6ECD">
            <w:pPr>
              <w:cnfStyle w:val="000000000000" w:firstRow="0" w:lastRow="0" w:firstColumn="0" w:lastColumn="0" w:oddVBand="0" w:evenVBand="0" w:oddHBand="0" w:evenHBand="0" w:firstRowFirstColumn="0" w:firstRowLastColumn="0" w:lastRowFirstColumn="0" w:lastRowLastColumn="0"/>
            </w:pPr>
            <w:r w:rsidRPr="00091339">
              <w:rPr>
                <w:lang w:val="en-GB"/>
              </w:rPr>
              <w:t>Therapeutic Goods Administration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tlast</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time to last quantifiable plasma concentration</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proofErr w:type="spellStart"/>
            <w:r w:rsidRPr="006E4912">
              <w:t>tmax</w:t>
            </w:r>
            <w:proofErr w:type="spellEnd"/>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 xml:space="preserve">time of occurrence of </w:t>
            </w:r>
            <w:proofErr w:type="spellStart"/>
            <w:r w:rsidRPr="000910B6">
              <w:t>C</w:t>
            </w:r>
            <w:r w:rsidRPr="000910B6">
              <w:rPr>
                <w:vertAlign w:val="subscript"/>
              </w:rPr>
              <w:t>max</w:t>
            </w:r>
            <w:proofErr w:type="spellEnd"/>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091339">
              <w:rPr>
                <w:bCs/>
                <w:lang w:val="en-GB"/>
              </w:rPr>
              <w:t>ULN</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91339">
              <w:rPr>
                <w:lang w:val="en-GB"/>
              </w:rPr>
              <w:t>Upper limit normal</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UMEC</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umeclidinium</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US</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6E4912">
              <w:t>United States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rsidRPr="006E4912">
              <w:t>VI</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t>vilanterol</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Pr="006E4912" w:rsidRDefault="00B13321" w:rsidP="004D6ECD">
            <w:r>
              <w:t>vs.</w:t>
            </w:r>
          </w:p>
        </w:tc>
        <w:tc>
          <w:tcPr>
            <w:tcW w:w="6911" w:type="dxa"/>
          </w:tcPr>
          <w:p w:rsidR="00B13321" w:rsidRPr="006E4912" w:rsidRDefault="00B13321" w:rsidP="004D6ECD">
            <w:pPr>
              <w:cnfStyle w:val="000000000000" w:firstRow="0" w:lastRow="0" w:firstColumn="0" w:lastColumn="0" w:oddVBand="0" w:evenVBand="0" w:oddHBand="0" w:evenHBand="0" w:firstRowFirstColumn="0" w:firstRowLastColumn="0" w:lastRowFirstColumn="0" w:lastRowLastColumn="0"/>
            </w:pPr>
            <w:r w:rsidRPr="00091339">
              <w:rPr>
                <w:lang w:val="en-GB"/>
              </w:rPr>
              <w:t>versus</w:t>
            </w:r>
          </w:p>
        </w:tc>
      </w:tr>
      <w:tr w:rsidR="00B13321" w:rsidTr="004D6ECD">
        <w:tc>
          <w:tcPr>
            <w:cnfStyle w:val="001000000000" w:firstRow="0" w:lastRow="0" w:firstColumn="1" w:lastColumn="0" w:oddVBand="0" w:evenVBand="0" w:oddHBand="0" w:evenHBand="0" w:firstRowFirstColumn="0" w:firstRowLastColumn="0" w:lastRowFirstColumn="0" w:lastRowLastColumn="0"/>
            <w:tcW w:w="1890" w:type="dxa"/>
          </w:tcPr>
          <w:p w:rsidR="00B13321" w:rsidRDefault="00B13321" w:rsidP="004D6ECD">
            <w:r>
              <w:t>µg</w:t>
            </w:r>
          </w:p>
        </w:tc>
        <w:tc>
          <w:tcPr>
            <w:tcW w:w="6911" w:type="dxa"/>
          </w:tcPr>
          <w:p w:rsidR="00B13321" w:rsidRPr="00091339" w:rsidRDefault="00B13321" w:rsidP="004D6ECD">
            <w:pPr>
              <w:cnfStyle w:val="000000000000" w:firstRow="0" w:lastRow="0" w:firstColumn="0" w:lastColumn="0" w:oddVBand="0" w:evenVBand="0" w:oddHBand="0" w:evenHBand="0" w:firstRowFirstColumn="0" w:firstRowLastColumn="0" w:lastRowFirstColumn="0" w:lastRowLastColumn="0"/>
              <w:rPr>
                <w:lang w:val="en-GB"/>
              </w:rPr>
            </w:pPr>
            <w:r>
              <w:rPr>
                <w:lang w:val="en-GB"/>
              </w:rPr>
              <w:t>microgram</w:t>
            </w:r>
          </w:p>
        </w:tc>
      </w:tr>
    </w:tbl>
    <w:p w:rsidR="00B13321" w:rsidRDefault="00B13321" w:rsidP="00B74897">
      <w:pPr>
        <w:pStyle w:val="Heading2"/>
        <w:pageBreakBefore/>
        <w:rPr>
          <w:lang w:eastAsia="en-AU"/>
        </w:rPr>
      </w:pPr>
      <w:bookmarkStart w:id="8" w:name="_Toc351718900"/>
      <w:bookmarkStart w:id="9" w:name="_Toc355338635"/>
      <w:bookmarkStart w:id="10" w:name="_Toc422852141"/>
      <w:r>
        <w:rPr>
          <w:lang w:eastAsia="en-AU"/>
        </w:rPr>
        <w:lastRenderedPageBreak/>
        <w:t>Introduction</w:t>
      </w:r>
      <w:bookmarkEnd w:id="10"/>
    </w:p>
    <w:p w:rsidR="00B13321" w:rsidRPr="00301DD5" w:rsidRDefault="00B13321" w:rsidP="00B74897">
      <w:r w:rsidRPr="00301DD5">
        <w:t>This is a submission to</w:t>
      </w:r>
      <w:r>
        <w:t xml:space="preserve"> register </w:t>
      </w:r>
      <w:r w:rsidRPr="00301DD5">
        <w:t>umeclidinium (as bromide)</w:t>
      </w:r>
      <w:r>
        <w:t xml:space="preserve"> in combination with</w:t>
      </w:r>
      <w:r w:rsidRPr="00301DD5">
        <w:t xml:space="preserve"> vilanterol (as trifenatate).</w:t>
      </w:r>
      <w:r>
        <w:t xml:space="preserve"> The proposed indication is:</w:t>
      </w:r>
    </w:p>
    <w:p w:rsidR="00B13321" w:rsidRPr="00301DD5" w:rsidRDefault="00B13321" w:rsidP="00B13321">
      <w:pPr>
        <w:ind w:left="567"/>
        <w:rPr>
          <w:i/>
          <w:lang w:eastAsia="en-AU"/>
        </w:rPr>
      </w:pPr>
      <w:proofErr w:type="spellStart"/>
      <w:r w:rsidRPr="00301DD5">
        <w:rPr>
          <w:rFonts w:cs="Arial"/>
          <w:i/>
        </w:rPr>
        <w:t>Anoro</w:t>
      </w:r>
      <w:proofErr w:type="spellEnd"/>
      <w:r w:rsidRPr="00301DD5">
        <w:rPr>
          <w:rFonts w:cs="Arial"/>
          <w:i/>
        </w:rPr>
        <w:t xml:space="preserve"> </w:t>
      </w:r>
      <w:proofErr w:type="spellStart"/>
      <w:r w:rsidRPr="00301DD5">
        <w:rPr>
          <w:rFonts w:cs="Arial"/>
          <w:i/>
        </w:rPr>
        <w:t>Ellipta</w:t>
      </w:r>
      <w:proofErr w:type="spellEnd"/>
      <w:r>
        <w:rPr>
          <w:i/>
        </w:rPr>
        <w:t xml:space="preserve"> is</w:t>
      </w:r>
      <w:r w:rsidRPr="00301DD5">
        <w:rPr>
          <w:i/>
        </w:rPr>
        <w:t xml:space="preserve"> a </w:t>
      </w:r>
      <w:r>
        <w:rPr>
          <w:i/>
        </w:rPr>
        <w:t>long term</w:t>
      </w:r>
      <w:r w:rsidRPr="00301DD5">
        <w:rPr>
          <w:i/>
        </w:rPr>
        <w:t xml:space="preserve"> once daily maintenance bronchodilator treatment to relieve symptoms in adult patients with chronic obstr</w:t>
      </w:r>
      <w:r>
        <w:rPr>
          <w:i/>
        </w:rPr>
        <w:t>uctive pulmonary disease (COPD).</w:t>
      </w:r>
    </w:p>
    <w:p w:rsidR="00B13321" w:rsidRDefault="00B13321" w:rsidP="00B74897">
      <w:pPr>
        <w:pStyle w:val="Heading2"/>
        <w:rPr>
          <w:lang w:eastAsia="en-AU"/>
        </w:rPr>
      </w:pPr>
      <w:bookmarkStart w:id="11" w:name="_Toc422852142"/>
      <w:r w:rsidRPr="00301DD5">
        <w:t>Clinical</w:t>
      </w:r>
      <w:r>
        <w:rPr>
          <w:lang w:eastAsia="en-AU"/>
        </w:rPr>
        <w:t xml:space="preserve"> </w:t>
      </w:r>
      <w:r w:rsidRPr="00B74897">
        <w:t>rationale</w:t>
      </w:r>
      <w:bookmarkEnd w:id="11"/>
    </w:p>
    <w:p w:rsidR="00B13321" w:rsidRPr="0022119E" w:rsidRDefault="00B13321" w:rsidP="00BF1584">
      <w:r w:rsidRPr="0022119E">
        <w:t>The sponsor had stated that chronic obstructive pulmonary disease (COPD) is a major cause of poor health, resulting in millions of deaths annually worldwide and contributing significantly to health care costs and morbidity. Current pharmacological treatment of COPD includes 2 classes of inhaled bronchodilators: beta</w:t>
      </w:r>
      <w:r w:rsidRPr="0037494D">
        <w:rPr>
          <w:vertAlign w:val="subscript"/>
        </w:rPr>
        <w:t>2</w:t>
      </w:r>
      <w:r w:rsidRPr="0022119E">
        <w:t>-agonists and muscarinic antagonist (</w:t>
      </w:r>
      <w:r>
        <w:t>that is,</w:t>
      </w:r>
      <w:r w:rsidRPr="0022119E">
        <w:t xml:space="preserve"> anticholinergics).</w:t>
      </w:r>
      <w:r>
        <w:t xml:space="preserve"> </w:t>
      </w:r>
      <w:r w:rsidRPr="0022119E">
        <w:t xml:space="preserve">Inhaled </w:t>
      </w:r>
      <w:r w:rsidRPr="00F55DCF">
        <w:t>long acting beta</w:t>
      </w:r>
      <w:r w:rsidRPr="00F55DCF">
        <w:rPr>
          <w:vertAlign w:val="subscript"/>
        </w:rPr>
        <w:t>2</w:t>
      </w:r>
      <w:r>
        <w:t>-</w:t>
      </w:r>
      <w:r w:rsidRPr="00F55DCF">
        <w:t>agonist</w:t>
      </w:r>
      <w:r>
        <w:t>s</w:t>
      </w:r>
      <w:r w:rsidRPr="00F55DCF">
        <w:t xml:space="preserve"> </w:t>
      </w:r>
      <w:r w:rsidRPr="0022119E">
        <w:t xml:space="preserve">(LABA) (e.g. </w:t>
      </w:r>
      <w:proofErr w:type="spellStart"/>
      <w:r w:rsidRPr="0022119E">
        <w:t>salmeterol</w:t>
      </w:r>
      <w:proofErr w:type="spellEnd"/>
      <w:r w:rsidRPr="0022119E">
        <w:t xml:space="preserve"> and </w:t>
      </w:r>
      <w:proofErr w:type="spellStart"/>
      <w:r w:rsidRPr="0022119E">
        <w:t>indacaterol</w:t>
      </w:r>
      <w:proofErr w:type="spellEnd"/>
      <w:r w:rsidRPr="0022119E">
        <w:t xml:space="preserve">) and </w:t>
      </w:r>
      <w:r>
        <w:t>long acting</w:t>
      </w:r>
      <w:r w:rsidRPr="0022119E">
        <w:t xml:space="preserve"> muscarinic antagonists (LAMA) (e.g. </w:t>
      </w:r>
      <w:proofErr w:type="spellStart"/>
      <w:r w:rsidRPr="0022119E">
        <w:t>tiotropium</w:t>
      </w:r>
      <w:proofErr w:type="spellEnd"/>
      <w:r w:rsidRPr="0022119E">
        <w:t xml:space="preserve"> and </w:t>
      </w:r>
      <w:proofErr w:type="spellStart"/>
      <w:r w:rsidRPr="0022119E">
        <w:t>aclidinium</w:t>
      </w:r>
      <w:proofErr w:type="spellEnd"/>
      <w:r w:rsidRPr="0022119E">
        <w:t>), are currently recommended for the treatment of symptomatic patients with moderate to very severe COPD and are considered to</w:t>
      </w:r>
      <w:r>
        <w:t xml:space="preserve"> be more efficacious than short </w:t>
      </w:r>
      <w:r w:rsidRPr="0022119E">
        <w:t>acting bronchodilators. According to the sponsor, there are no prescribing information restrictions on the concomitant use of a LABA and a LAMA in the COPD population, and co-administration of LAMAs and LABAs is considered in clinical practice to be more effective than either drug class alone in managing stable COPD.</w:t>
      </w:r>
      <w:r>
        <w:t xml:space="preserve"> </w:t>
      </w:r>
      <w:r w:rsidR="00BB034C">
        <w:t>At the time of this submission n</w:t>
      </w:r>
      <w:r w:rsidRPr="0022119E">
        <w:t xml:space="preserve">o LAMA/LABA combination products </w:t>
      </w:r>
      <w:r w:rsidR="00BB034C">
        <w:t>were</w:t>
      </w:r>
      <w:r w:rsidR="00BB034C" w:rsidRPr="0022119E">
        <w:t xml:space="preserve"> </w:t>
      </w:r>
      <w:r w:rsidRPr="0022119E">
        <w:t>currently licensed for COPD treatment</w:t>
      </w:r>
      <w:r w:rsidR="00BB034C">
        <w:rPr>
          <w:rStyle w:val="FootnoteReference"/>
        </w:rPr>
        <w:footnoteReference w:id="1"/>
      </w:r>
      <w:r w:rsidRPr="0022119E">
        <w:t>. The sponsor had postulated that by targeting 2 different pharmacologic mechanisms, a LAMA/LABA combination product could potentially optimise bronchodilator therapy of COPD while avoiding the risk of side effects associated with increasing the dose of a single bronchodilator class. The sponsor was therefore of the opinion that the development of a LAMA/LABA combination product could be a beneficial addition to</w:t>
      </w:r>
      <w:r>
        <w:t xml:space="preserve"> the treatment options in COPD.</w:t>
      </w:r>
    </w:p>
    <w:p w:rsidR="00B13321" w:rsidRDefault="00B13321" w:rsidP="00B74897">
      <w:r>
        <w:rPr>
          <w:b/>
        </w:rPr>
        <w:t xml:space="preserve">Evaluator’s comments: </w:t>
      </w:r>
      <w:r w:rsidRPr="0022119E">
        <w:t xml:space="preserve">The clinical </w:t>
      </w:r>
      <w:r>
        <w:t>rationale is sound and logical.</w:t>
      </w:r>
    </w:p>
    <w:p w:rsidR="00B13321" w:rsidRPr="00454278" w:rsidRDefault="00B13321" w:rsidP="00BF1584">
      <w:pPr>
        <w:pStyle w:val="Heading3"/>
      </w:pPr>
      <w:bookmarkStart w:id="12" w:name="_Toc272414609"/>
      <w:bookmarkStart w:id="13" w:name="_Toc290846231"/>
      <w:bookmarkStart w:id="14" w:name="_Toc376461109"/>
      <w:bookmarkStart w:id="15" w:name="_Toc422852143"/>
      <w:r w:rsidRPr="00454278">
        <w:t>Guidance</w:t>
      </w:r>
      <w:bookmarkEnd w:id="12"/>
      <w:bookmarkEnd w:id="13"/>
      <w:bookmarkEnd w:id="14"/>
      <w:bookmarkEnd w:id="15"/>
    </w:p>
    <w:p w:rsidR="00B13321" w:rsidRPr="00454278" w:rsidRDefault="00B13321" w:rsidP="00BF1584">
      <w:r w:rsidRPr="00454278">
        <w:t>The sponsor had confirmed in Module 1.8 that the issues identified in the TGA Planning Letter issued on 14 March 2013 had been addressed in the dossier submission.</w:t>
      </w:r>
    </w:p>
    <w:p w:rsidR="00B13321" w:rsidRPr="00454278" w:rsidRDefault="00B13321" w:rsidP="00BF1584">
      <w:r w:rsidRPr="00454278">
        <w:t xml:space="preserve">According to the sponsor, the development program of </w:t>
      </w:r>
      <w:proofErr w:type="spellStart"/>
      <w:r w:rsidRPr="00454278">
        <w:t>Anoro</w:t>
      </w:r>
      <w:proofErr w:type="spellEnd"/>
      <w:r w:rsidRPr="00454278">
        <w:t xml:space="preserve"> </w:t>
      </w:r>
      <w:proofErr w:type="spellStart"/>
      <w:r w:rsidRPr="00454278">
        <w:t>Ellipta</w:t>
      </w:r>
      <w:proofErr w:type="spellEnd"/>
      <w:r w:rsidRPr="00454278">
        <w:t xml:space="preserve"> compl</w:t>
      </w:r>
      <w:r>
        <w:t>ied with the following guidance</w:t>
      </w:r>
      <w:r w:rsidRPr="00454278">
        <w:t xml:space="preserve"> and regulations:</w:t>
      </w:r>
    </w:p>
    <w:p w:rsidR="00B13321" w:rsidRPr="00B74897" w:rsidRDefault="00B13321" w:rsidP="00B74897">
      <w:pPr>
        <w:pStyle w:val="ListBullet"/>
      </w:pPr>
      <w:r w:rsidRPr="00454278">
        <w:t xml:space="preserve">European </w:t>
      </w:r>
      <w:r w:rsidRPr="00B74897">
        <w:t>Medicines Agency, Note for Guidance on Fixed Dose Combination Medicinal Products. 19 February 2009</w:t>
      </w:r>
    </w:p>
    <w:p w:rsidR="00B13321" w:rsidRPr="00B74897" w:rsidRDefault="00B13321" w:rsidP="00B74897">
      <w:pPr>
        <w:pStyle w:val="ListBullet"/>
      </w:pPr>
      <w:r w:rsidRPr="00B74897">
        <w:t>European Medicines Agency, Points to consider on the clinical investigation of medicinal products in the treatment of chronic obstructive pulmonary disease (COPD). 19 May 1999</w:t>
      </w:r>
    </w:p>
    <w:p w:rsidR="00B13321" w:rsidRPr="00B74897" w:rsidRDefault="00B13321" w:rsidP="00B74897">
      <w:pPr>
        <w:pStyle w:val="ListBullet"/>
      </w:pPr>
      <w:r w:rsidRPr="00B74897">
        <w:t>Food and Drug Administration, Guidance for Industry- Chronic Obstructive Pulmonary Disease: Developing Drugs for Treatment. November 2007</w:t>
      </w:r>
    </w:p>
    <w:p w:rsidR="00B13321" w:rsidRPr="0022119E" w:rsidRDefault="00B13321" w:rsidP="00B74897">
      <w:pPr>
        <w:pStyle w:val="ListBullet"/>
      </w:pPr>
      <w:r w:rsidRPr="00B74897">
        <w:t>Food and Drug Administration, CFR300.50 regulations on Fixed Dose Combination Prescription Drugs for Human</w:t>
      </w:r>
      <w:r>
        <w:t xml:space="preserve"> Use. 1999.</w:t>
      </w:r>
    </w:p>
    <w:p w:rsidR="00B13321" w:rsidRDefault="00B13321" w:rsidP="00BF1584">
      <w:pPr>
        <w:pStyle w:val="Heading2"/>
        <w:rPr>
          <w:lang w:eastAsia="en-AU"/>
        </w:rPr>
      </w:pPr>
      <w:bookmarkStart w:id="16" w:name="_Toc422852144"/>
      <w:r>
        <w:rPr>
          <w:lang w:eastAsia="en-AU"/>
        </w:rPr>
        <w:lastRenderedPageBreak/>
        <w:t>Contents of the clinical dossier</w:t>
      </w:r>
      <w:bookmarkEnd w:id="8"/>
      <w:bookmarkEnd w:id="9"/>
      <w:bookmarkEnd w:id="16"/>
    </w:p>
    <w:p w:rsidR="00B13321" w:rsidRDefault="00B13321" w:rsidP="00BF1584">
      <w:pPr>
        <w:pStyle w:val="Heading3"/>
      </w:pPr>
      <w:bookmarkStart w:id="17" w:name="_Toc422852145"/>
      <w:r>
        <w:t>Scope of the clinical dossier</w:t>
      </w:r>
      <w:bookmarkEnd w:id="17"/>
    </w:p>
    <w:p w:rsidR="00B13321" w:rsidRPr="0022119E" w:rsidRDefault="00B13321" w:rsidP="00BF1584">
      <w:r w:rsidRPr="0022119E">
        <w:t>The submission contained the following clinical information:</w:t>
      </w:r>
    </w:p>
    <w:p w:rsidR="00B13321" w:rsidRPr="0022119E" w:rsidRDefault="00B13321" w:rsidP="00BF1584">
      <w:r>
        <w:t>Module 5:</w:t>
      </w:r>
    </w:p>
    <w:p w:rsidR="00B13321" w:rsidRPr="0022119E" w:rsidRDefault="00B13321" w:rsidP="00BF1584">
      <w:pPr>
        <w:pStyle w:val="ListBullet"/>
      </w:pPr>
      <w:r w:rsidRPr="0022119E">
        <w:t>39 clinical pharmacology studies, including 27 that provided pharmacokinetic</w:t>
      </w:r>
      <w:r>
        <w:t xml:space="preserve"> (PK)</w:t>
      </w:r>
      <w:r w:rsidRPr="0022119E">
        <w:t xml:space="preserve"> data and 5 that provided </w:t>
      </w:r>
      <w:proofErr w:type="spellStart"/>
      <w:r w:rsidRPr="0022119E">
        <w:t>pharmacodynamic</w:t>
      </w:r>
      <w:proofErr w:type="spellEnd"/>
      <w:r>
        <w:t xml:space="preserve"> (PD)</w:t>
      </w:r>
      <w:r w:rsidR="006D1FCE">
        <w:t xml:space="preserve"> data.</w:t>
      </w:r>
    </w:p>
    <w:p w:rsidR="00B13321" w:rsidRPr="0022119E" w:rsidRDefault="00B13321" w:rsidP="00BF1584">
      <w:pPr>
        <w:pStyle w:val="ListBullet"/>
      </w:pPr>
      <w:r w:rsidRPr="0022119E">
        <w:t xml:space="preserve">3 population </w:t>
      </w:r>
      <w:r w:rsidRPr="00D96323">
        <w:t>PK</w:t>
      </w:r>
      <w:r w:rsidRPr="0022119E">
        <w:t xml:space="preserve"> analyses.</w:t>
      </w:r>
    </w:p>
    <w:p w:rsidR="00B13321" w:rsidRPr="0022119E" w:rsidRDefault="00B13321" w:rsidP="00BF1584">
      <w:pPr>
        <w:pStyle w:val="ListBullet"/>
      </w:pPr>
      <w:r w:rsidRPr="0022119E">
        <w:t xml:space="preserve">7 </w:t>
      </w:r>
      <w:r>
        <w:t xml:space="preserve">dose </w:t>
      </w:r>
      <w:r w:rsidRPr="0022119E">
        <w:t>finding studies</w:t>
      </w:r>
      <w:r>
        <w:t xml:space="preserve">. </w:t>
      </w:r>
      <w:r w:rsidRPr="0022119E">
        <w:t xml:space="preserve">These included 4 </w:t>
      </w:r>
      <w:r>
        <w:t xml:space="preserve">dose </w:t>
      </w:r>
      <w:r w:rsidRPr="0022119E">
        <w:t xml:space="preserve">ranging studies on UMEC in COPD patients (3 Phase II studies </w:t>
      </w:r>
      <w:r>
        <w:t>(</w:t>
      </w:r>
      <w:r w:rsidRPr="0022119E">
        <w:t>AC4113589, AC4113073 and AC4115321</w:t>
      </w:r>
      <w:r>
        <w:t>)</w:t>
      </w:r>
      <w:r w:rsidRPr="0022119E">
        <w:t xml:space="preserve"> and 1 Phase </w:t>
      </w:r>
      <w:proofErr w:type="spellStart"/>
      <w:r w:rsidRPr="0022119E">
        <w:t>IIIa</w:t>
      </w:r>
      <w:proofErr w:type="spellEnd"/>
      <w:r w:rsidRPr="0022119E">
        <w:t xml:space="preserve"> study </w:t>
      </w:r>
      <w:r>
        <w:t>(</w:t>
      </w:r>
      <w:r w:rsidRPr="0022119E">
        <w:t>AC4115408</w:t>
      </w:r>
      <w:r>
        <w:t>)</w:t>
      </w:r>
      <w:r w:rsidRPr="0022119E">
        <w:t xml:space="preserve">), and 3 </w:t>
      </w:r>
      <w:r>
        <w:t xml:space="preserve">dose </w:t>
      </w:r>
      <w:r w:rsidRPr="0022119E">
        <w:t xml:space="preserve">ranging studies on VI (1 in COPD patients </w:t>
      </w:r>
      <w:r>
        <w:t>(</w:t>
      </w:r>
      <w:r w:rsidRPr="0022119E">
        <w:t>B2C111045</w:t>
      </w:r>
      <w:r>
        <w:t>)</w:t>
      </w:r>
      <w:r w:rsidRPr="0022119E">
        <w:t xml:space="preserve"> and 2 on asthma patients </w:t>
      </w:r>
      <w:r>
        <w:t>(</w:t>
      </w:r>
      <w:r w:rsidRPr="0022119E">
        <w:t>B2C109575 and HZA113310</w:t>
      </w:r>
      <w:r>
        <w:t>)</w:t>
      </w:r>
      <w:r w:rsidRPr="0022119E">
        <w:t>).</w:t>
      </w:r>
    </w:p>
    <w:p w:rsidR="00B13321" w:rsidRPr="0022119E" w:rsidRDefault="00B13321" w:rsidP="00BF1584">
      <w:pPr>
        <w:pStyle w:val="ListBullet"/>
      </w:pPr>
      <w:r w:rsidRPr="0022119E">
        <w:t>4 pivotal efficacy/safety studies</w:t>
      </w:r>
      <w:r>
        <w:t xml:space="preserve">. </w:t>
      </w:r>
      <w:r w:rsidRPr="0022119E">
        <w:t xml:space="preserve">These 4 pivotal Phase III studies consisted of 2 sets of randomised, </w:t>
      </w:r>
      <w:r>
        <w:t>double blind</w:t>
      </w:r>
      <w:r w:rsidRPr="0022119E">
        <w:t xml:space="preserve">, parallel group studies, each with </w:t>
      </w:r>
      <w:proofErr w:type="gramStart"/>
      <w:r w:rsidRPr="0022119E">
        <w:t xml:space="preserve">a </w:t>
      </w:r>
      <w:r>
        <w:t>24</w:t>
      </w:r>
      <w:proofErr w:type="gramEnd"/>
      <w:r>
        <w:t xml:space="preserve"> week</w:t>
      </w:r>
      <w:r w:rsidRPr="0022119E">
        <w:t xml:space="preserve"> treatment duration. One set of studies (DB2113361 and DB2113373) was </w:t>
      </w:r>
      <w:r>
        <w:t>placebo (</w:t>
      </w:r>
      <w:r w:rsidRPr="00D96323">
        <w:t>PLA</w:t>
      </w:r>
      <w:r>
        <w:t>) controlled</w:t>
      </w:r>
      <w:r w:rsidRPr="0022119E">
        <w:t>, while the other set (DB21</w:t>
      </w:r>
      <w:r>
        <w:t xml:space="preserve">13360 and DB2113374) was active </w:t>
      </w:r>
      <w:r w:rsidRPr="0022119E">
        <w:t xml:space="preserve">controlled (active control: </w:t>
      </w:r>
      <w:proofErr w:type="spellStart"/>
      <w:r w:rsidRPr="0022119E">
        <w:t>tiotropium</w:t>
      </w:r>
      <w:proofErr w:type="spellEnd"/>
      <w:r w:rsidRPr="0022119E">
        <w:t xml:space="preserve"> </w:t>
      </w:r>
      <w:r>
        <w:t>(</w:t>
      </w:r>
      <w:r w:rsidRPr="0022119E">
        <w:t>TIO</w:t>
      </w:r>
      <w:r>
        <w:t>)</w:t>
      </w:r>
      <w:r w:rsidRPr="0022119E">
        <w:t xml:space="preserve">). Studies DB2113361 and DB2113373 were identical except for the doses of UMEC/VI and UMEC investigated. Study DB2113361 evaluated UMEC/VI, UMEC and VI doses of 125/25 </w:t>
      </w:r>
      <w:r>
        <w:t>µg</w:t>
      </w:r>
      <w:r w:rsidRPr="0022119E">
        <w:t xml:space="preserve">, 125 </w:t>
      </w:r>
      <w:r>
        <w:t>µg</w:t>
      </w:r>
      <w:r w:rsidRPr="0022119E">
        <w:t xml:space="preserve"> and 25 </w:t>
      </w:r>
      <w:r>
        <w:t>µg</w:t>
      </w:r>
      <w:r w:rsidRPr="0022119E">
        <w:t xml:space="preserve"> </w:t>
      </w:r>
      <w:r>
        <w:t>once daily</w:t>
      </w:r>
      <w:r w:rsidRPr="0022119E">
        <w:t xml:space="preserve"> </w:t>
      </w:r>
      <w:r>
        <w:t xml:space="preserve">(QD) </w:t>
      </w:r>
      <w:r w:rsidRPr="0022119E">
        <w:t xml:space="preserve">respectively, while study DB2113373 evaluated doses of 62.5/25 </w:t>
      </w:r>
      <w:r>
        <w:t>µg</w:t>
      </w:r>
      <w:r w:rsidRPr="0022119E">
        <w:t xml:space="preserve">, 62.5 </w:t>
      </w:r>
      <w:r>
        <w:t>µg</w:t>
      </w:r>
      <w:r w:rsidRPr="0022119E">
        <w:t xml:space="preserve"> and 25 </w:t>
      </w:r>
      <w:r>
        <w:t>µg</w:t>
      </w:r>
      <w:r w:rsidRPr="0022119E">
        <w:t xml:space="preserve">, </w:t>
      </w:r>
      <w:r w:rsidRPr="0037494D">
        <w:t>QD</w:t>
      </w:r>
      <w:r w:rsidRPr="0022119E">
        <w:t xml:space="preserve">, respectively. Studies DB2113360 and DB2113374 were also identical except for the study drugs used. Study DB2113360 evaluated </w:t>
      </w:r>
      <w:r w:rsidRPr="0037494D">
        <w:t>QD</w:t>
      </w:r>
      <w:r w:rsidRPr="0022119E">
        <w:t xml:space="preserve"> doses of UMEC/VI 125/25 </w:t>
      </w:r>
      <w:r>
        <w:t>µg</w:t>
      </w:r>
      <w:r w:rsidRPr="0022119E">
        <w:t xml:space="preserve">, UMEC/VI 62.5/25 </w:t>
      </w:r>
      <w:r>
        <w:t>µg</w:t>
      </w:r>
      <w:r w:rsidRPr="0022119E">
        <w:t xml:space="preserve">, and VI 25 </w:t>
      </w:r>
      <w:r>
        <w:t>µg</w:t>
      </w:r>
      <w:r w:rsidRPr="0022119E">
        <w:t xml:space="preserve">, while study DB2113374 evaluated </w:t>
      </w:r>
      <w:r>
        <w:t>QD</w:t>
      </w:r>
      <w:r w:rsidRPr="0022119E">
        <w:t xml:space="preserve"> doses of UMEC/VI 125/25 </w:t>
      </w:r>
      <w:r>
        <w:t>µg</w:t>
      </w:r>
      <w:r w:rsidRPr="0022119E">
        <w:t xml:space="preserve">, UMEC/VI 62.5/25 </w:t>
      </w:r>
      <w:r>
        <w:t>µg</w:t>
      </w:r>
      <w:r w:rsidRPr="0022119E">
        <w:t xml:space="preserve">, and UMEC 125 </w:t>
      </w:r>
      <w:r>
        <w:t>µg</w:t>
      </w:r>
      <w:r w:rsidRPr="0022119E">
        <w:t>.</w:t>
      </w:r>
    </w:p>
    <w:p w:rsidR="00B13321" w:rsidRPr="0022119E" w:rsidRDefault="00B13321" w:rsidP="00BF1584">
      <w:pPr>
        <w:pStyle w:val="ListBullet"/>
      </w:pPr>
      <w:r w:rsidRPr="0022119E">
        <w:t>3 other efficacy/safety studies</w:t>
      </w:r>
      <w:r>
        <w:t xml:space="preserve">. </w:t>
      </w:r>
      <w:r w:rsidRPr="0022119E">
        <w:t xml:space="preserve">These included two 12-week exercise tolerance studies (DB2114417 and DB2114418) and one </w:t>
      </w:r>
      <w:r>
        <w:t>12 month</w:t>
      </w:r>
      <w:r w:rsidRPr="0022119E">
        <w:t xml:space="preserve"> </w:t>
      </w:r>
      <w:r>
        <w:t>long term</w:t>
      </w:r>
      <w:r w:rsidRPr="0022119E">
        <w:t xml:space="preserve"> safety study (DB2113359)</w:t>
      </w:r>
      <w:r>
        <w:t>.</w:t>
      </w:r>
    </w:p>
    <w:p w:rsidR="00B13321" w:rsidRPr="0022119E" w:rsidRDefault="00B13321" w:rsidP="00BF1584">
      <w:pPr>
        <w:pStyle w:val="ListBullet"/>
      </w:pPr>
      <w:r w:rsidRPr="0022119E">
        <w:t>Other reports</w:t>
      </w:r>
      <w:r>
        <w:t xml:space="preserve">. </w:t>
      </w:r>
      <w:r w:rsidRPr="0022119E">
        <w:t xml:space="preserve">These included 1 Phase </w:t>
      </w:r>
      <w:proofErr w:type="spellStart"/>
      <w:r w:rsidRPr="0022119E">
        <w:t>IIa</w:t>
      </w:r>
      <w:proofErr w:type="spellEnd"/>
      <w:r w:rsidRPr="0022119E">
        <w:t xml:space="preserve"> safety/tolerability study of UMEC/VI (500/25 </w:t>
      </w:r>
      <w:r>
        <w:t>µg</w:t>
      </w:r>
      <w:r w:rsidRPr="0022119E">
        <w:t xml:space="preserve">) in COPD patients (DB2113120), and 2 combined/pooled analyses reports. These 2 reports consisted of the meta-analyses of 2 of the pivotal efficacy studies DB2113360 and DB2113374 (report DB2116844), and of 2 of the </w:t>
      </w:r>
      <w:r>
        <w:t xml:space="preserve">dose </w:t>
      </w:r>
      <w:r w:rsidRPr="0022119E">
        <w:t xml:space="preserve">ranging studies AC4113073 and AC4115321 (report AC4116689). In addition, the sponsor had submitted six other studies in COPD patients evaluating a </w:t>
      </w:r>
      <w:r w:rsidRPr="00FF35FB">
        <w:t xml:space="preserve">fluticasone </w:t>
      </w:r>
      <w:proofErr w:type="spellStart"/>
      <w:r w:rsidRPr="00FF35FB">
        <w:t>furoate</w:t>
      </w:r>
      <w:proofErr w:type="spellEnd"/>
      <w:r>
        <w:t xml:space="preserve"> (FF) </w:t>
      </w:r>
      <w:r w:rsidRPr="0022119E">
        <w:t>/VI (FF/VI) combined product and VI, 10 studies in asthma patients evaluating FF/VI and VI, 7 ongoing studies, and 2 reports on the development and validation of the Shortness of Breath with Daily Activities (SOBDA) questionnaire.</w:t>
      </w:r>
    </w:p>
    <w:p w:rsidR="00B13321" w:rsidRPr="00454278" w:rsidRDefault="00B13321" w:rsidP="00BF1584">
      <w:r w:rsidRPr="00454278">
        <w:t>Module 1</w:t>
      </w:r>
      <w:r>
        <w:t>:</w:t>
      </w:r>
    </w:p>
    <w:p w:rsidR="00B13321" w:rsidRDefault="00B13321" w:rsidP="00BF1584">
      <w:pPr>
        <w:pStyle w:val="ListBullet"/>
      </w:pPr>
      <w:r w:rsidRPr="00454278">
        <w:t>Application letter, application form, draft Australian PI and CMI, proposed FDA product label, proposed European Summary of Product Characteristics</w:t>
      </w:r>
      <w:r>
        <w:t>.</w:t>
      </w:r>
    </w:p>
    <w:p w:rsidR="00B13321" w:rsidRPr="0022119E" w:rsidRDefault="00B13321" w:rsidP="00BF1584">
      <w:r w:rsidRPr="0022119E">
        <w:t>Module 2</w:t>
      </w:r>
      <w:r>
        <w:t>:</w:t>
      </w:r>
    </w:p>
    <w:p w:rsidR="00B13321" w:rsidRPr="00454278" w:rsidRDefault="00B13321" w:rsidP="00BF1584">
      <w:pPr>
        <w:pStyle w:val="ListBullet"/>
      </w:pPr>
      <w:r w:rsidRPr="00454278">
        <w:t>Clinical Overview, Summary of Clinical Efficacy, Summary of Clinical Safety and literature references.</w:t>
      </w:r>
    </w:p>
    <w:p w:rsidR="00B13321" w:rsidRDefault="00B13321" w:rsidP="00BF1584">
      <w:r>
        <w:t>In this evaluation report:</w:t>
      </w:r>
    </w:p>
    <w:p w:rsidR="00B13321" w:rsidRDefault="00B13321" w:rsidP="00BF1584">
      <w:pPr>
        <w:pStyle w:val="ListBullet"/>
      </w:pPr>
      <w:r>
        <w:t>T</w:t>
      </w:r>
      <w:r w:rsidRPr="0022119E">
        <w:t xml:space="preserve">he four </w:t>
      </w:r>
      <w:r>
        <w:t>24 week</w:t>
      </w:r>
      <w:r w:rsidRPr="0022119E">
        <w:t xml:space="preserve"> Phase III studies (studies DB2113361/DB2113373 and DB2113360/DB2113374) will be evaluated as </w:t>
      </w:r>
      <w:r>
        <w:t>pivotal efficacy/safety studies.</w:t>
      </w:r>
    </w:p>
    <w:p w:rsidR="00B13321" w:rsidRDefault="00B13321" w:rsidP="00BF1584">
      <w:pPr>
        <w:pStyle w:val="ListBullet"/>
      </w:pPr>
      <w:r>
        <w:lastRenderedPageBreak/>
        <w:t>With t</w:t>
      </w:r>
      <w:r w:rsidRPr="0022119E">
        <w:t>he other 3 Phase III studies (studies DB2114417/DB2114418, and DB2113359)</w:t>
      </w:r>
      <w:r w:rsidRPr="0031009C">
        <w:rPr>
          <w:vertAlign w:val="superscript"/>
        </w:rPr>
        <w:footnoteReference w:id="2"/>
      </w:r>
      <w:r w:rsidRPr="0031009C">
        <w:rPr>
          <w:vertAlign w:val="superscript"/>
        </w:rPr>
        <w:t xml:space="preserve"> </w:t>
      </w:r>
      <w:r w:rsidRPr="0022119E">
        <w:t>evaluated as supporting</w:t>
      </w:r>
      <w:r>
        <w:t xml:space="preserve"> efficacy/safety studies.</w:t>
      </w:r>
    </w:p>
    <w:p w:rsidR="00B13321" w:rsidRDefault="00B13321" w:rsidP="00BF1584">
      <w:pPr>
        <w:pStyle w:val="ListBullet"/>
      </w:pPr>
      <w:r w:rsidRPr="0022119E">
        <w:t xml:space="preserve">The 5 </w:t>
      </w:r>
      <w:r>
        <w:t xml:space="preserve">dose </w:t>
      </w:r>
      <w:r w:rsidRPr="0022119E">
        <w:t>finding studies in COPD patients (4 for UMEC and 1 for VI) will be evaluated with regards to the rationale for the selected dosing regimen in</w:t>
      </w:r>
      <w:r>
        <w:t xml:space="preserve"> the pivotal Phase III studies.</w:t>
      </w:r>
    </w:p>
    <w:p w:rsidR="00B13321" w:rsidRDefault="00B13321" w:rsidP="00BF1584">
      <w:pPr>
        <w:pStyle w:val="ListBullet"/>
      </w:pPr>
      <w:r w:rsidRPr="0022119E">
        <w:t xml:space="preserve">As this submission is for the indication for use of </w:t>
      </w:r>
      <w:proofErr w:type="spellStart"/>
      <w:r w:rsidRPr="0022119E">
        <w:t>Anoro</w:t>
      </w:r>
      <w:proofErr w:type="spellEnd"/>
      <w:r w:rsidRPr="0022119E">
        <w:t xml:space="preserve"> </w:t>
      </w:r>
      <w:proofErr w:type="spellStart"/>
      <w:r w:rsidRPr="0022119E">
        <w:t>Ellipta</w:t>
      </w:r>
      <w:proofErr w:type="spellEnd"/>
      <w:r w:rsidRPr="0022119E">
        <w:t xml:space="preserve"> (UMEC/VI) in COPD patients, the 2 </w:t>
      </w:r>
      <w:r>
        <w:t xml:space="preserve">dose </w:t>
      </w:r>
      <w:r w:rsidRPr="0022119E">
        <w:t>finding studies in asthma patients, the 10 studies in asthma patients evaluating FF/VI and VI, and the 6 studies in COPD patients evaluating FF/VI and VI will not be formally evaluated. The study reports submitted will be looked through and will only be commented on in this report if additional safety or other concerns relevant to</w:t>
      </w:r>
      <w:r>
        <w:t xml:space="preserve"> this submission are triggered.</w:t>
      </w:r>
    </w:p>
    <w:p w:rsidR="00B13321" w:rsidRDefault="00B13321" w:rsidP="00BF1584">
      <w:pPr>
        <w:pStyle w:val="ListBullet"/>
      </w:pPr>
      <w:r w:rsidRPr="00454278">
        <w:t xml:space="preserve">As per </w:t>
      </w:r>
      <w:r>
        <w:t xml:space="preserve">TGA </w:t>
      </w:r>
      <w:r w:rsidRPr="00454278">
        <w:t>instructions the 7 ongoing studies submitted in Module 5.3.5.3 are not expected to be part of the dossier, and will not be evaluated in this report.</w:t>
      </w:r>
    </w:p>
    <w:p w:rsidR="00B13321" w:rsidRDefault="00B13321" w:rsidP="00BF1584">
      <w:pPr>
        <w:pStyle w:val="ListBullet"/>
      </w:pPr>
      <w:r w:rsidRPr="0022119E">
        <w:t xml:space="preserve">The Phase </w:t>
      </w:r>
      <w:proofErr w:type="spellStart"/>
      <w:r w:rsidRPr="0022119E">
        <w:t>IIa</w:t>
      </w:r>
      <w:proofErr w:type="spellEnd"/>
      <w:r w:rsidRPr="0022119E">
        <w:t xml:space="preserve"> safety/tolerability study of UMEC/VI in COPD patients (DB2113120) will be evaluated in the </w:t>
      </w:r>
      <w:r>
        <w:t>Safety Section</w:t>
      </w:r>
      <w:r w:rsidRPr="0022119E">
        <w:t xml:space="preserve"> of this report, with regards to whether the safety results were consistent wit</w:t>
      </w:r>
      <w:r>
        <w:t>h those of the pivotal studies.</w:t>
      </w:r>
    </w:p>
    <w:p w:rsidR="00B13321" w:rsidRPr="0022119E" w:rsidRDefault="00B13321" w:rsidP="00BF1584">
      <w:pPr>
        <w:pStyle w:val="ListBullet"/>
      </w:pPr>
      <w:r w:rsidRPr="0022119E">
        <w:t xml:space="preserve">With regards to the combined/pooled analyses reports submitted, the meta-analysis of the pivotal efficacy studies DB2113360 and DB2113374 will be evaluated </w:t>
      </w:r>
      <w:r>
        <w:t xml:space="preserve">in the Efficacy section </w:t>
      </w:r>
      <w:r w:rsidRPr="0022119E">
        <w:t xml:space="preserve">together with the individual studies, while that of the </w:t>
      </w:r>
      <w:r>
        <w:t xml:space="preserve">dose </w:t>
      </w:r>
      <w:r w:rsidRPr="0022119E">
        <w:t>ranging studies AC4113073 and AC4115321 will be evaluated with regards to the rationale for the selected dosing regimen in the pivotal Phase III studies.</w:t>
      </w:r>
    </w:p>
    <w:p w:rsidR="00B13321" w:rsidRDefault="00B13321" w:rsidP="00BF1584">
      <w:pPr>
        <w:pStyle w:val="Heading3"/>
      </w:pPr>
      <w:bookmarkStart w:id="18" w:name="_Toc422852146"/>
      <w:r>
        <w:t>Paediatric data</w:t>
      </w:r>
      <w:bookmarkEnd w:id="18"/>
    </w:p>
    <w:p w:rsidR="00B13321" w:rsidRDefault="00B13321" w:rsidP="00BF1584">
      <w:r w:rsidRPr="00105BA8">
        <w:t xml:space="preserve">The submission did not include paediatric data. As COPD is not a disease affecting paediatric patients, the use of </w:t>
      </w:r>
      <w:proofErr w:type="spellStart"/>
      <w:r w:rsidRPr="00105BA8">
        <w:t>Anoro</w:t>
      </w:r>
      <w:proofErr w:type="spellEnd"/>
      <w:r w:rsidRPr="00105BA8">
        <w:t xml:space="preserve"> </w:t>
      </w:r>
      <w:proofErr w:type="spellStart"/>
      <w:r w:rsidRPr="00105BA8">
        <w:t>Ellipta</w:t>
      </w:r>
      <w:proofErr w:type="spellEnd"/>
      <w:r w:rsidRPr="00105BA8">
        <w:t xml:space="preserve"> in the treatment of COPD is not considered relevant in the paediatric population.</w:t>
      </w:r>
    </w:p>
    <w:p w:rsidR="00B13321" w:rsidRDefault="00B13321" w:rsidP="00BF1584">
      <w:pPr>
        <w:pStyle w:val="Heading3"/>
      </w:pPr>
      <w:bookmarkStart w:id="19" w:name="_Toc422852147"/>
      <w:r>
        <w:t>Good clinical practice</w:t>
      </w:r>
      <w:bookmarkEnd w:id="19"/>
    </w:p>
    <w:p w:rsidR="00B13321" w:rsidRPr="00105BA8" w:rsidRDefault="00B13321" w:rsidP="00BF1584">
      <w:bookmarkStart w:id="20" w:name="_Toc241374282"/>
      <w:bookmarkStart w:id="21" w:name="_Toc355338639"/>
      <w:r w:rsidRPr="00105BA8">
        <w:t>The clinical studies reviewed in this evaluation were in compliance with CPMP/ICH/135/95 Note for Guid</w:t>
      </w:r>
      <w:r w:rsidR="006D1FCE">
        <w:t>ance on Good Clinical Practice.</w:t>
      </w:r>
    </w:p>
    <w:p w:rsidR="00B13321" w:rsidRDefault="00B13321" w:rsidP="00D90C7C">
      <w:pPr>
        <w:pStyle w:val="Heading2"/>
        <w:pageBreakBefore/>
      </w:pPr>
      <w:bookmarkStart w:id="22" w:name="_Toc422852148"/>
      <w:bookmarkEnd w:id="20"/>
      <w:r>
        <w:lastRenderedPageBreak/>
        <w:t>Pharmacokinetics</w:t>
      </w:r>
      <w:bookmarkEnd w:id="21"/>
      <w:bookmarkEnd w:id="22"/>
    </w:p>
    <w:p w:rsidR="00B13321" w:rsidRDefault="00B13321" w:rsidP="00BF1584">
      <w:pPr>
        <w:pStyle w:val="Heading3"/>
      </w:pPr>
      <w:bookmarkStart w:id="23" w:name="_Ref271017296"/>
      <w:bookmarkStart w:id="24" w:name="_Ref271018924"/>
      <w:bookmarkStart w:id="25" w:name="_Ref271018934"/>
      <w:bookmarkStart w:id="26" w:name="_Toc272414614"/>
      <w:bookmarkStart w:id="27" w:name="_Toc290846238"/>
      <w:bookmarkStart w:id="28" w:name="_Toc376461116"/>
      <w:bookmarkStart w:id="29" w:name="_Toc422852149"/>
      <w:r w:rsidRPr="005C7B2C">
        <w:t>Studies</w:t>
      </w:r>
      <w:bookmarkEnd w:id="23"/>
      <w:bookmarkEnd w:id="24"/>
      <w:bookmarkEnd w:id="25"/>
      <w:r w:rsidRPr="005C7B2C">
        <w:t xml:space="preserve"> providing pharmacokinetic </w:t>
      </w:r>
      <w:r>
        <w:t>(</w:t>
      </w:r>
      <w:r w:rsidRPr="00D96323">
        <w:t>PK</w:t>
      </w:r>
      <w:r>
        <w:t xml:space="preserve">) </w:t>
      </w:r>
      <w:r w:rsidRPr="005C7B2C">
        <w:t>data</w:t>
      </w:r>
      <w:bookmarkEnd w:id="26"/>
      <w:bookmarkEnd w:id="27"/>
      <w:bookmarkEnd w:id="28"/>
      <w:bookmarkEnd w:id="29"/>
    </w:p>
    <w:p w:rsidR="00B13321" w:rsidRPr="00105BA8" w:rsidRDefault="00B13321" w:rsidP="00BF1584">
      <w:r w:rsidRPr="00105BA8">
        <w:t xml:space="preserve">Table </w:t>
      </w:r>
      <w:r>
        <w:t>1</w:t>
      </w:r>
      <w:r w:rsidRPr="00105BA8">
        <w:t xml:space="preserve"> below shows the studies relating to each </w:t>
      </w:r>
      <w:r w:rsidRPr="00D96323">
        <w:t>PK</w:t>
      </w:r>
      <w:r w:rsidRPr="00105BA8">
        <w:t xml:space="preserve"> topic.</w:t>
      </w:r>
    </w:p>
    <w:p w:rsidR="00B13321" w:rsidRDefault="00B13321" w:rsidP="00B13321">
      <w:pPr>
        <w:pStyle w:val="Tabletitle"/>
      </w:pPr>
      <w:proofErr w:type="gramStart"/>
      <w:r>
        <w:t>Table 1.</w:t>
      </w:r>
      <w:proofErr w:type="gramEnd"/>
      <w:r>
        <w:t xml:space="preserve"> </w:t>
      </w:r>
      <w:proofErr w:type="gramStart"/>
      <w:r>
        <w:t>Submitted pharmacokinetic studies.</w:t>
      </w:r>
      <w:proofErr w:type="gramEnd"/>
    </w:p>
    <w:tbl>
      <w:tblPr>
        <w:tblStyle w:val="TableTGAblue"/>
        <w:tblW w:w="0" w:type="auto"/>
        <w:tblLook w:val="04A0" w:firstRow="1" w:lastRow="0" w:firstColumn="1" w:lastColumn="0" w:noHBand="0" w:noVBand="1"/>
      </w:tblPr>
      <w:tblGrid>
        <w:gridCol w:w="3426"/>
        <w:gridCol w:w="1911"/>
        <w:gridCol w:w="1981"/>
        <w:gridCol w:w="1924"/>
      </w:tblGrid>
      <w:tr w:rsidR="00B13321" w:rsidTr="00BF1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r w:rsidRPr="00412A12">
              <w:t>PK topic</w:t>
            </w:r>
          </w:p>
        </w:tc>
        <w:tc>
          <w:tcPr>
            <w:tcW w:w="3761" w:type="dxa"/>
            <w:gridSpan w:val="2"/>
          </w:tcPr>
          <w:p w:rsidR="00B13321" w:rsidRDefault="00B13321" w:rsidP="00BF1584">
            <w:pPr>
              <w:cnfStyle w:val="100000000000" w:firstRow="1" w:lastRow="0" w:firstColumn="0" w:lastColumn="0" w:oddVBand="0" w:evenVBand="0" w:oddHBand="0" w:evenHBand="0" w:firstRowFirstColumn="0" w:firstRowLastColumn="0" w:lastRowFirstColumn="0" w:lastRowLastColumn="0"/>
            </w:pPr>
            <w:r w:rsidRPr="00412A12">
              <w:t>Subtopic</w:t>
            </w:r>
          </w:p>
        </w:tc>
        <w:tc>
          <w:tcPr>
            <w:tcW w:w="1924" w:type="dxa"/>
          </w:tcPr>
          <w:p w:rsidR="00B13321" w:rsidRDefault="00B13321" w:rsidP="00BF1584">
            <w:pPr>
              <w:cnfStyle w:val="100000000000" w:firstRow="1" w:lastRow="0" w:firstColumn="0" w:lastColumn="0" w:oddVBand="0" w:evenVBand="0" w:oddHBand="0" w:evenHBand="0" w:firstRowFirstColumn="0" w:firstRowLastColumn="0" w:lastRowFirstColumn="0" w:lastRowLastColumn="0"/>
            </w:pPr>
            <w:r w:rsidRPr="00412A12">
              <w:t>Study ID</w:t>
            </w:r>
          </w:p>
        </w:tc>
      </w:tr>
      <w:tr w:rsidR="00B13321" w:rsidTr="00BF1584">
        <w:trPr>
          <w:trHeight w:val="1016"/>
        </w:trPr>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Default="00B13321" w:rsidP="00BF1584">
            <w:r w:rsidRPr="00412A12">
              <w:t>PK in healthy adults</w:t>
            </w:r>
          </w:p>
        </w:tc>
        <w:tc>
          <w:tcPr>
            <w:tcW w:w="3761" w:type="dxa"/>
            <w:gridSpan w:val="2"/>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General PK</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Single dose</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AC4112008</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B2C106180</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AC4115487</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AC4106889</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AC4105209</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VI/GSK233705</w:t>
            </w:r>
          </w:p>
        </w:tc>
        <w:tc>
          <w:tcPr>
            <w:tcW w:w="1924" w:type="dxa"/>
          </w:tcPr>
          <w:p w:rsidR="00B13321" w:rsidRPr="00412A12" w:rsidRDefault="00B13321" w:rsidP="00BF1584">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DB1111509</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B2C10001</w:t>
            </w:r>
          </w:p>
        </w:tc>
      </w:tr>
      <w:tr w:rsidR="00B13321" w:rsidTr="00BF1584">
        <w:trPr>
          <w:trHeight w:val="515"/>
        </w:trPr>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VI/GW85698X</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HZA105871</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Multi-dose</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B2CC10878</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Absolute Bioavailability</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 xml:space="preserve">Single dose </w:t>
            </w:r>
            <w:r w:rsidRPr="00412A12">
              <w:t>FF/VI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HZA102934</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Food effect</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No studies conducted</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Default="00B13321" w:rsidP="00BF1584"/>
        </w:tc>
        <w:tc>
          <w:tcPr>
            <w:tcW w:w="182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Mass Balance Study</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12A12">
              <w:t>AC4112014</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Pr="00412A12"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412A12" w:rsidRDefault="00B13321" w:rsidP="00BF1584">
            <w:pPr>
              <w:cnfStyle w:val="000000000000" w:firstRow="0" w:lastRow="0" w:firstColumn="0" w:lastColumn="0" w:oddVBand="0" w:evenVBand="0" w:oddHBand="0" w:evenHBand="0" w:firstRowFirstColumn="0" w:firstRowLastColumn="0" w:lastRowFirstColumn="0" w:lastRowLastColumn="0"/>
            </w:pPr>
            <w:r>
              <w:t>VI</w:t>
            </w:r>
          </w:p>
        </w:tc>
        <w:tc>
          <w:tcPr>
            <w:tcW w:w="1924" w:type="dxa"/>
          </w:tcPr>
          <w:p w:rsidR="00B13321" w:rsidRPr="00412A12" w:rsidRDefault="00B13321" w:rsidP="00BF1584">
            <w:pPr>
              <w:cnfStyle w:val="000000000000" w:firstRow="0" w:lastRow="0" w:firstColumn="0" w:lastColumn="0" w:oddVBand="0" w:evenVBand="0" w:oddHBand="0" w:evenHBand="0" w:firstRowFirstColumn="0" w:firstRowLastColumn="0" w:lastRowFirstColumn="0" w:lastRowLastColumn="0"/>
            </w:pPr>
            <w:r>
              <w:t>B2C106181</w:t>
            </w:r>
          </w:p>
        </w:tc>
      </w:tr>
      <w:tr w:rsidR="00B13321" w:rsidTr="00BF1584">
        <w:tc>
          <w:tcPr>
            <w:cnfStyle w:val="001000000000" w:firstRow="0" w:lastRow="0" w:firstColumn="1" w:lastColumn="0" w:oddVBand="0" w:evenVBand="0" w:oddHBand="0" w:evenHBand="0" w:firstRowFirstColumn="0" w:firstRowLastColumn="0" w:lastRowFirstColumn="0" w:lastRowLastColumn="0"/>
            <w:tcW w:w="9242" w:type="dxa"/>
            <w:gridSpan w:val="4"/>
          </w:tcPr>
          <w:p w:rsidR="00B13321" w:rsidRPr="00ED4A24" w:rsidRDefault="00B13321" w:rsidP="00BF1584">
            <w:r w:rsidRPr="00ED4A24">
              <w:t>PK in special populations</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Pr="00BF5B1B" w:rsidRDefault="00B13321" w:rsidP="00BF1584">
            <w:r w:rsidRPr="00B1117E">
              <w:t>Target population §</w:t>
            </w:r>
          </w:p>
        </w:tc>
        <w:tc>
          <w:tcPr>
            <w:tcW w:w="1821" w:type="dxa"/>
            <w:vMerge w:val="restart"/>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Single dose</w:t>
            </w: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AC4108123</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B2C110165</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val="restart"/>
          </w:tcPr>
          <w:p w:rsidR="00B13321" w:rsidRPr="00ED4A24" w:rsidRDefault="00B13321" w:rsidP="00BF1584">
            <w:pPr>
              <w:cnfStyle w:val="000000000000" w:firstRow="0" w:lastRow="0" w:firstColumn="0" w:lastColumn="0" w:oddVBand="0" w:evenVBand="0" w:oddHBand="0" w:evenHBand="0" w:firstRowFirstColumn="0" w:firstRowLastColumn="0" w:lastRowFirstColumn="0" w:lastRowLastColumn="0"/>
            </w:pPr>
            <w:r w:rsidRPr="00ED4A24">
              <w:t>Multi-dose</w:t>
            </w: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AC4105211</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AC4113589</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AC4115321</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AC4113073</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AC4115408</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DB2113361</w:t>
            </w:r>
          </w:p>
        </w:tc>
      </w:tr>
      <w:tr w:rsidR="00B13321" w:rsidRPr="00BF5B1B"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Pr="00BF5B1B" w:rsidRDefault="00B13321" w:rsidP="00BF1584"/>
        </w:tc>
        <w:tc>
          <w:tcPr>
            <w:tcW w:w="1821" w:type="dxa"/>
            <w:vMerge/>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UMEC/VI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BF5B1B">
              <w:t>DB2113373</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F5B1B">
              <w:t>FF/VI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HZC111348</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F5B1B">
              <w:t>FF/VI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HZC110946</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F5B1B">
              <w:t>UMEC/VI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F5B1B">
              <w:t>DB2113120</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ED4A24">
              <w:t>VI</w:t>
            </w:r>
          </w:p>
        </w:tc>
        <w:tc>
          <w:tcPr>
            <w:tcW w:w="1924" w:type="dxa"/>
          </w:tcPr>
          <w:p w:rsidR="00B13321" w:rsidRPr="00ED4A24" w:rsidRDefault="00B13321" w:rsidP="00BF1584">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5C7B2C">
              <w:rPr>
                <w:rFonts w:ascii="Calibri" w:hAnsi="Calibri"/>
                <w:sz w:val="20"/>
                <w:szCs w:val="20"/>
              </w:rPr>
              <w:t>B2C111045</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ED4A24">
              <w:t>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ED4A24">
              <w:t>B2C108562</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Default="00B13321" w:rsidP="00BF1584">
            <w:r w:rsidRPr="00B1117E">
              <w:t>Hepatic impairment</w:t>
            </w:r>
          </w:p>
        </w:tc>
        <w:tc>
          <w:tcPr>
            <w:tcW w:w="182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480D66">
              <w:t>UMEC/VI; UMEC</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480D66">
              <w:t>DB2114637</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480D66">
              <w:t>FF/VI</w:t>
            </w:r>
          </w:p>
        </w:tc>
        <w:tc>
          <w:tcPr>
            <w:tcW w:w="1924" w:type="dxa"/>
          </w:tcPr>
          <w:p w:rsidR="00B13321" w:rsidRPr="00BF5B1B" w:rsidRDefault="00B13321" w:rsidP="00BF1584">
            <w:pPr>
              <w:cnfStyle w:val="000000000000" w:firstRow="0" w:lastRow="0" w:firstColumn="0" w:lastColumn="0" w:oddVBand="0" w:evenVBand="0" w:oddHBand="0" w:evenHBand="0" w:firstRowFirstColumn="0" w:firstRowLastColumn="0" w:lastRowFirstColumn="0" w:lastRowLastColumn="0"/>
            </w:pPr>
            <w:r w:rsidRPr="00480D66">
              <w:t>H2A111789</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Pr="00B1117E" w:rsidRDefault="00B13321" w:rsidP="00BF1584">
            <w:r w:rsidRPr="00B1117E">
              <w:t>Renal impairment</w:t>
            </w:r>
          </w:p>
        </w:tc>
        <w:tc>
          <w:tcPr>
            <w:tcW w:w="182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UMEC/VI; 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DB2114636</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FF/VI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H2A111789</w:t>
            </w:r>
          </w:p>
        </w:tc>
      </w:tr>
      <w:tr w:rsidR="00B13321" w:rsidTr="00BF1584">
        <w:tc>
          <w:tcPr>
            <w:cnfStyle w:val="001000000000" w:firstRow="0" w:lastRow="0" w:firstColumn="1" w:lastColumn="0" w:oddVBand="0" w:evenVBand="0" w:oddHBand="0" w:evenHBand="0" w:firstRowFirstColumn="0" w:firstRowLastColumn="0" w:lastRowFirstColumn="0" w:lastRowLastColumn="0"/>
            <w:tcW w:w="7318" w:type="dxa"/>
            <w:gridSpan w:val="3"/>
          </w:tcPr>
          <w:p w:rsidR="00B13321" w:rsidRDefault="00B13321" w:rsidP="00BF1584">
            <w:r w:rsidRPr="00B1117E">
              <w:t>Neonates/infants/children/adolescents</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No studies</w:t>
            </w:r>
          </w:p>
        </w:tc>
      </w:tr>
      <w:tr w:rsidR="00B13321" w:rsidTr="00BF1584">
        <w:tc>
          <w:tcPr>
            <w:cnfStyle w:val="001000000000" w:firstRow="0" w:lastRow="0" w:firstColumn="1" w:lastColumn="0" w:oddVBand="0" w:evenVBand="0" w:oddHBand="0" w:evenHBand="0" w:firstRowFirstColumn="0" w:firstRowLastColumn="0" w:lastRowFirstColumn="0" w:lastRowLastColumn="0"/>
            <w:tcW w:w="7318" w:type="dxa"/>
            <w:gridSpan w:val="3"/>
          </w:tcPr>
          <w:p w:rsidR="00B13321" w:rsidRDefault="00B13321" w:rsidP="00BF1584">
            <w:r w:rsidRPr="00B1117E">
              <w:t>Elderly</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480D66">
              <w:t>No studies</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val="restart"/>
          </w:tcPr>
          <w:p w:rsidR="00B13321" w:rsidRDefault="00B13321" w:rsidP="00BF1584">
            <w:r w:rsidRPr="00B1117E">
              <w:t>Japanese Subjects</w:t>
            </w:r>
          </w:p>
        </w:tc>
        <w:tc>
          <w:tcPr>
            <w:tcW w:w="182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UMEC, UMEC/VI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DB2113208</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AC4113377</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DB1112146</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VI</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DB1112017</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vMerge/>
          </w:tcPr>
          <w:p w:rsidR="00B13321" w:rsidRDefault="00B13321" w:rsidP="00BF1584"/>
        </w:tc>
        <w:tc>
          <w:tcPr>
            <w:tcW w:w="182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VI/GW85698X</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HZA102940</w:t>
            </w:r>
          </w:p>
        </w:tc>
      </w:tr>
      <w:tr w:rsidR="00B13321" w:rsidTr="00BF1584">
        <w:tc>
          <w:tcPr>
            <w:cnfStyle w:val="001000000000" w:firstRow="0" w:lastRow="0" w:firstColumn="1" w:lastColumn="0" w:oddVBand="0" w:evenVBand="0" w:oddHBand="0" w:evenHBand="0" w:firstRowFirstColumn="0" w:firstRowLastColumn="0" w:lastRowFirstColumn="0" w:lastRowLastColumn="0"/>
            <w:tcW w:w="9242" w:type="dxa"/>
            <w:gridSpan w:val="4"/>
          </w:tcPr>
          <w:p w:rsidR="00B13321" w:rsidRDefault="00B13321" w:rsidP="00BF1584">
            <w:r w:rsidRPr="00B1117E">
              <w:t>Genetic/gender-related PK</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Males vs. females</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No studies</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CYP2D6</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UMEC</w:t>
            </w: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AC4110106</w:t>
            </w:r>
          </w:p>
        </w:tc>
      </w:tr>
      <w:tr w:rsidR="00B13321" w:rsidTr="00BF1584">
        <w:tc>
          <w:tcPr>
            <w:cnfStyle w:val="001000000000" w:firstRow="0" w:lastRow="0" w:firstColumn="1" w:lastColumn="0" w:oddVBand="0" w:evenVBand="0" w:oddHBand="0" w:evenHBand="0" w:firstRowFirstColumn="0" w:firstRowLastColumn="0" w:lastRowFirstColumn="0" w:lastRowLastColumn="0"/>
            <w:tcW w:w="9242" w:type="dxa"/>
            <w:gridSpan w:val="4"/>
          </w:tcPr>
          <w:p w:rsidR="00B13321" w:rsidRDefault="00B13321" w:rsidP="00BF1584">
            <w:r w:rsidRPr="00B1117E">
              <w:t>PK interactions</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Verapamil</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DB2113950</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Ketoconazole</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B2C112205</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Ketoconazole</w:t>
            </w: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B1117E">
              <w:t>H2A105548</w:t>
            </w:r>
          </w:p>
        </w:tc>
      </w:tr>
      <w:tr w:rsidR="00B13321" w:rsidTr="00BF1584">
        <w:tc>
          <w:tcPr>
            <w:cnfStyle w:val="001000000000" w:firstRow="0" w:lastRow="0" w:firstColumn="1" w:lastColumn="0" w:oddVBand="0" w:evenVBand="0" w:oddHBand="0" w:evenHBand="0" w:firstRowFirstColumn="0" w:firstRowLastColumn="0" w:lastRowFirstColumn="0" w:lastRowLastColumn="0"/>
            <w:tcW w:w="9242" w:type="dxa"/>
            <w:gridSpan w:val="4"/>
          </w:tcPr>
          <w:p w:rsidR="00B13321" w:rsidRDefault="00B13321" w:rsidP="00BF1584">
            <w:r w:rsidRPr="00B1117E">
              <w:t>Population PK analyses</w:t>
            </w:r>
          </w:p>
        </w:tc>
      </w:tr>
      <w:tr w:rsidR="00B13321" w:rsidTr="00BF1584">
        <w:tc>
          <w:tcPr>
            <w:cnfStyle w:val="001000000000" w:firstRow="0" w:lastRow="0" w:firstColumn="1" w:lastColumn="0" w:oddVBand="0" w:evenVBand="0" w:oddHBand="0" w:evenHBand="0" w:firstRowFirstColumn="0" w:firstRowLastColumn="0" w:lastRowFirstColumn="0" w:lastRowLastColumn="0"/>
            <w:tcW w:w="3557" w:type="dxa"/>
          </w:tcPr>
          <w:p w:rsidR="00B13321" w:rsidRDefault="00B13321" w:rsidP="00BF1584"/>
        </w:tc>
        <w:tc>
          <w:tcPr>
            <w:tcW w:w="182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40"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92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rsidRPr="00362FE8">
              <w:t>DB2116975</w:t>
            </w:r>
            <w:r w:rsidR="00BF1584">
              <w:t xml:space="preserve"> </w:t>
            </w:r>
            <w:r w:rsidRPr="00362FE8">
              <w:t>2011N122282</w:t>
            </w:r>
            <w:r w:rsidR="00BF1584">
              <w:t xml:space="preserve"> </w:t>
            </w:r>
            <w:r w:rsidRPr="00362FE8">
              <w:t>2011N130718</w:t>
            </w:r>
          </w:p>
        </w:tc>
      </w:tr>
    </w:tbl>
    <w:p w:rsidR="00B13321" w:rsidRDefault="00B13321" w:rsidP="00B13321">
      <w:r w:rsidRPr="00105BA8">
        <w:t xml:space="preserve">None of the </w:t>
      </w:r>
      <w:r w:rsidRPr="00D96323">
        <w:t>PK</w:t>
      </w:r>
      <w:r w:rsidRPr="00105BA8">
        <w:t xml:space="preserve"> studies had deficiencies that excluded their results from consideration.</w:t>
      </w:r>
    </w:p>
    <w:p w:rsidR="00B13321" w:rsidRPr="00105BA8" w:rsidRDefault="00B13321" w:rsidP="00BF1584">
      <w:pPr>
        <w:pStyle w:val="Heading3"/>
      </w:pPr>
      <w:bookmarkStart w:id="30" w:name="_Ref269118175"/>
      <w:bookmarkStart w:id="31" w:name="_Toc272414616"/>
      <w:bookmarkStart w:id="32" w:name="_Toc290846239"/>
      <w:bookmarkStart w:id="33" w:name="_Toc376461117"/>
      <w:bookmarkStart w:id="34" w:name="_Toc422852150"/>
      <w:r w:rsidRPr="00105BA8">
        <w:t>Summary of pharmacokinetics</w:t>
      </w:r>
      <w:bookmarkEnd w:id="30"/>
      <w:bookmarkEnd w:id="31"/>
      <w:bookmarkEnd w:id="32"/>
      <w:bookmarkEnd w:id="33"/>
      <w:bookmarkEnd w:id="34"/>
    </w:p>
    <w:p w:rsidR="00B13321" w:rsidRPr="0053089D" w:rsidRDefault="00B13321" w:rsidP="00BF1584">
      <w:r w:rsidRPr="0053089D">
        <w:t xml:space="preserve">The information in the following summary is derived from conventional </w:t>
      </w:r>
      <w:r w:rsidRPr="00D96323">
        <w:t>PK</w:t>
      </w:r>
      <w:r w:rsidRPr="0053089D">
        <w:t xml:space="preserve"> studies unless otherwise stated.</w:t>
      </w:r>
    </w:p>
    <w:p w:rsidR="00B13321" w:rsidRPr="0053089D" w:rsidRDefault="00B13321" w:rsidP="00BF1584">
      <w:pPr>
        <w:pStyle w:val="Heading4"/>
      </w:pPr>
      <w:bookmarkStart w:id="35" w:name="_Ref271189106"/>
      <w:bookmarkStart w:id="36" w:name="_Ref271189143"/>
      <w:bookmarkStart w:id="37" w:name="_Toc272414618"/>
      <w:bookmarkStart w:id="38" w:name="_Toc290846241"/>
      <w:bookmarkStart w:id="39" w:name="_Toc376461119"/>
      <w:r w:rsidRPr="0053089D">
        <w:t>Pharmacokinetics in healthy subjects</w:t>
      </w:r>
      <w:bookmarkEnd w:id="35"/>
      <w:bookmarkEnd w:id="36"/>
      <w:bookmarkEnd w:id="37"/>
      <w:bookmarkEnd w:id="38"/>
      <w:bookmarkEnd w:id="39"/>
    </w:p>
    <w:p w:rsidR="00B13321" w:rsidRPr="0053089D" w:rsidRDefault="00B13321" w:rsidP="00BF1584">
      <w:pPr>
        <w:pStyle w:val="Heading5"/>
      </w:pPr>
      <w:bookmarkStart w:id="40" w:name="_Toc272414619"/>
      <w:bookmarkStart w:id="41" w:name="_Toc290846242"/>
      <w:bookmarkStart w:id="42" w:name="_Toc376461120"/>
      <w:r w:rsidRPr="0053089D">
        <w:t>Absorption</w:t>
      </w:r>
      <w:bookmarkEnd w:id="40"/>
      <w:bookmarkEnd w:id="41"/>
      <w:bookmarkEnd w:id="42"/>
    </w:p>
    <w:p w:rsidR="00B13321" w:rsidRPr="00D90C7C" w:rsidRDefault="00B13321" w:rsidP="00D90C7C">
      <w:pPr>
        <w:pStyle w:val="Heading7"/>
      </w:pPr>
      <w:r w:rsidRPr="00D90C7C">
        <w:t>UMEC</w:t>
      </w:r>
    </w:p>
    <w:p w:rsidR="00B13321" w:rsidRPr="0053089D" w:rsidRDefault="00B13321" w:rsidP="00BF1584">
      <w:r w:rsidRPr="0053089D">
        <w:t>Plasma UMEC concentrations were all below the limit of quantification in all subjects following oral administration of UMEC</w:t>
      </w:r>
      <w:r>
        <w:t xml:space="preserve"> 1000 µg (AC4112008). Using radioactivity (</w:t>
      </w:r>
      <w:proofErr w:type="gramStart"/>
      <w:r>
        <w:t>AUC</w:t>
      </w:r>
      <w:r w:rsidRPr="003D7D21">
        <w:rPr>
          <w:vertAlign w:val="subscript"/>
        </w:rPr>
        <w:t>(</w:t>
      </w:r>
      <w:proofErr w:type="gramEnd"/>
      <w:r w:rsidRPr="00E95F50">
        <w:rPr>
          <w:vertAlign w:val="subscript"/>
        </w:rPr>
        <w:t>0-t</w:t>
      </w:r>
      <w:r>
        <w:rPr>
          <w:vertAlign w:val="subscript"/>
        </w:rPr>
        <w:t>)</w:t>
      </w:r>
      <w:r>
        <w:t>)</w:t>
      </w:r>
      <w:r w:rsidRPr="0053089D">
        <w:t xml:space="preserve"> values following oral (1000</w:t>
      </w:r>
      <w:r>
        <w:t xml:space="preserve"> </w:t>
      </w:r>
      <w:r w:rsidRPr="0053089D">
        <w:t xml:space="preserve">µg) and intravenous </w:t>
      </w:r>
      <w:r>
        <w:t>(</w:t>
      </w:r>
      <w:r w:rsidRPr="00A97182">
        <w:t>IV</w:t>
      </w:r>
      <w:r>
        <w:t>)</w:t>
      </w:r>
      <w:r w:rsidRPr="00A97182">
        <w:t xml:space="preserve"> </w:t>
      </w:r>
      <w:r w:rsidRPr="0053089D">
        <w:t>administration of (</w:t>
      </w:r>
      <w:r w:rsidRPr="00E95F50">
        <w:rPr>
          <w:vertAlign w:val="superscript"/>
        </w:rPr>
        <w:t>14</w:t>
      </w:r>
      <w:r w:rsidRPr="0053089D">
        <w:t>C)-UMEC s</w:t>
      </w:r>
      <w:r>
        <w:t>olution (AC4112014</w:t>
      </w:r>
      <w:r w:rsidRPr="0053089D">
        <w:t>), estimated oral bioavailability of total radioactivity was low (4.7% to 5.4%). Since oral bioavailability of unchanged UMEC was negligible, these data suggested that the majority of the dose was not absorbed</w:t>
      </w:r>
      <w:r w:rsidRPr="002F7BF8">
        <w:t>. Low levels of metabolites in the systemic circulation were indicative of first pass metabolism of orally absorbed UMEC.</w:t>
      </w:r>
      <w:r w:rsidRPr="0053089D">
        <w:t xml:space="preserve"> Following oral administration, maximum total radioactivity plasma concentrations were achieved at a median time of 4 hours post</w:t>
      </w:r>
      <w:r>
        <w:t xml:space="preserve"> </w:t>
      </w:r>
      <w:r w:rsidRPr="0053089D">
        <w:t>dose (AC4112014). The low estimate of UMEC oral bioavailability (&lt;</w:t>
      </w:r>
      <w:r>
        <w:t xml:space="preserve"> </w:t>
      </w:r>
      <w:r w:rsidRPr="0053089D">
        <w:t xml:space="preserve">1%) suggested a minimal oral contribution to the overall </w:t>
      </w:r>
      <w:r w:rsidRPr="00A97182">
        <w:t xml:space="preserve">inhalation </w:t>
      </w:r>
      <w:r>
        <w:t>(</w:t>
      </w:r>
      <w:r w:rsidRPr="0053089D">
        <w:t>IH</w:t>
      </w:r>
      <w:r>
        <w:t>)</w:t>
      </w:r>
      <w:r w:rsidRPr="0053089D">
        <w:t xml:space="preserve"> </w:t>
      </w:r>
      <w:r w:rsidRPr="00D96323">
        <w:t xml:space="preserve">PK </w:t>
      </w:r>
      <w:r w:rsidRPr="0053089D">
        <w:t>profile in healthy subjects. The absolute bioavailability of UMEC following IH administration was calculated using plasma data following 1000</w:t>
      </w:r>
      <w:r>
        <w:t xml:space="preserve"> </w:t>
      </w:r>
      <w:r w:rsidRPr="0053089D">
        <w:t xml:space="preserve">µg IH which averaged 12.8%. Results were similar for urine data, with absolute bioavailability averaging 13.1% (95% </w:t>
      </w:r>
      <w:r w:rsidRPr="000F1444">
        <w:t xml:space="preserve">confidence interval </w:t>
      </w:r>
      <w:r>
        <w:t>(</w:t>
      </w:r>
      <w:r w:rsidRPr="0053089D">
        <w:t>CI</w:t>
      </w:r>
      <w:r>
        <w:t>): 10.5%, 16.3%) (AC4112008).</w:t>
      </w:r>
    </w:p>
    <w:p w:rsidR="00B13321" w:rsidRPr="002F7BF8" w:rsidRDefault="00B13321" w:rsidP="00D90C7C">
      <w:pPr>
        <w:pStyle w:val="Heading7"/>
      </w:pPr>
      <w:r w:rsidRPr="002F7BF8">
        <w:t>VI</w:t>
      </w:r>
    </w:p>
    <w:p w:rsidR="00B13321" w:rsidRPr="0053089D" w:rsidRDefault="00B13321" w:rsidP="00BF1584">
      <w:r w:rsidRPr="0053089D">
        <w:t>Based on urinary recovery of radioactivity, at least 50.4% of the VI solution oral dose was absorbed via the gut, resulting in exposure to drug-related m</w:t>
      </w:r>
      <w:r>
        <w:t>aterial (B2C106181</w:t>
      </w:r>
      <w:r w:rsidRPr="0053089D">
        <w:t xml:space="preserve">). Based on the proportion of unchanged VI in human faeces (5% of the recovered dose) oral absorption is likely to be greater than this estimate. Exposure to parent VI represented a small percentage (in the region of </w:t>
      </w:r>
      <w:r>
        <w:t xml:space="preserve">&lt; </w:t>
      </w:r>
      <w:r w:rsidRPr="0053089D">
        <w:t xml:space="preserve">0.5%) of the total drug-related material in plasma, indicative of extensive first pass metabolism of orally absorbed VI and the presence of one or more circulating VI metabolites. Following oral administration, maximum VI plasma concentrations were achieved at a median time of </w:t>
      </w:r>
      <w:r>
        <w:t>30 minutes post dose (B2C106180</w:t>
      </w:r>
      <w:r w:rsidRPr="0053089D">
        <w:t>). The low estimate of VI oral bioavailability (</w:t>
      </w:r>
      <w:r>
        <w:t xml:space="preserve">&lt; </w:t>
      </w:r>
      <w:r w:rsidRPr="0053089D">
        <w:t xml:space="preserve">2%) was consistent with high first pass metabolism. Consequently, following </w:t>
      </w:r>
      <w:r w:rsidRPr="0053089D">
        <w:lastRenderedPageBreak/>
        <w:t>IH administration, systemic VI exposure is primarily due to absorption of the inhaled portion of the dose delivered to the lu</w:t>
      </w:r>
      <w:r>
        <w:t>ng.</w:t>
      </w:r>
    </w:p>
    <w:p w:rsidR="00B13321" w:rsidRPr="0053089D" w:rsidRDefault="00B13321" w:rsidP="00BF1584">
      <w:pPr>
        <w:pStyle w:val="Heading5"/>
      </w:pPr>
      <w:bookmarkStart w:id="43" w:name="_Toc241374287"/>
      <w:bookmarkStart w:id="44" w:name="_Toc272414620"/>
      <w:bookmarkStart w:id="45" w:name="_Toc290846243"/>
      <w:bookmarkStart w:id="46" w:name="_Toc376461121"/>
      <w:r w:rsidRPr="0053089D">
        <w:t>Bioavailability</w:t>
      </w:r>
      <w:bookmarkEnd w:id="43"/>
      <w:bookmarkEnd w:id="44"/>
      <w:bookmarkEnd w:id="45"/>
      <w:bookmarkEnd w:id="46"/>
    </w:p>
    <w:p w:rsidR="00B13321" w:rsidRPr="0053089D" w:rsidRDefault="00B13321" w:rsidP="00BF1584">
      <w:r w:rsidRPr="0053089D">
        <w:t xml:space="preserve">Five studies examining absolute bioavailability were conducted: one study examined the absolute bioavailability of PO and IH UMEC (AC4112008); one study that examined PO UMEC (AC4112014); one study examined the absolute bioavailability of VI when administered as the FF/VI </w:t>
      </w:r>
      <w:r w:rsidRPr="00A97182">
        <w:t>IH</w:t>
      </w:r>
      <w:r w:rsidRPr="0053089D">
        <w:t xml:space="preserve"> powder (HZA102934); one study that examined absolute bioavailability of PO and IH VI (B2C106180), and one study that examined absolute bioavailability of PO VI (B2C106181).</w:t>
      </w:r>
    </w:p>
    <w:p w:rsidR="00B13321" w:rsidRPr="0053089D" w:rsidRDefault="00B13321" w:rsidP="00BF1584">
      <w:pPr>
        <w:pStyle w:val="Heading6"/>
      </w:pPr>
      <w:r w:rsidRPr="0053089D">
        <w:t>Absolute bioavailability</w:t>
      </w:r>
    </w:p>
    <w:p w:rsidR="00B13321" w:rsidRPr="0053089D" w:rsidRDefault="00B13321" w:rsidP="00D90C7C">
      <w:pPr>
        <w:pStyle w:val="Heading7"/>
      </w:pPr>
      <w:r w:rsidRPr="0053089D">
        <w:t>UMEC</w:t>
      </w:r>
    </w:p>
    <w:p w:rsidR="00B13321" w:rsidRDefault="00B13321" w:rsidP="00BF1584">
      <w:r w:rsidRPr="0053089D">
        <w:t>PK parameters for UMEC were compared in 10 healthy male volunteers who received three ascending single IV doses (20, 50, and 65</w:t>
      </w:r>
      <w:r>
        <w:t xml:space="preserve"> µ</w:t>
      </w:r>
      <w:r w:rsidRPr="0053089D">
        <w:t>g), a single oral dose (1000</w:t>
      </w:r>
      <w:r>
        <w:t xml:space="preserve"> µg), and a single inhaled (IH)</w:t>
      </w:r>
      <w:r w:rsidRPr="0053089D">
        <w:t xml:space="preserve"> dose (1000</w:t>
      </w:r>
      <w:r>
        <w:t xml:space="preserve"> µg) of UMEC (AC4112008</w:t>
      </w:r>
      <w:r w:rsidRPr="0053089D">
        <w:t xml:space="preserve">). This study serves as the primary study for defining bioavailability of the inhaled product. Following a single inhaled dose administration, UMEC was rapidly absorbed with the </w:t>
      </w:r>
      <w:proofErr w:type="spellStart"/>
      <w:r w:rsidRPr="0053089D">
        <w:t>C</w:t>
      </w:r>
      <w:r w:rsidRPr="000F1444">
        <w:rPr>
          <w:vertAlign w:val="subscript"/>
        </w:rPr>
        <w:t>max</w:t>
      </w:r>
      <w:proofErr w:type="spellEnd"/>
      <w:r w:rsidRPr="0053089D">
        <w:t xml:space="preserve"> values occurring at approximately 5 to 15 minutes </w:t>
      </w:r>
      <w:r w:rsidR="00486EA4">
        <w:t>post dose</w:t>
      </w:r>
      <w:r w:rsidRPr="0053089D">
        <w:t xml:space="preserve">. Plasma concentrations declined rapidly following the occurrence of </w:t>
      </w:r>
      <w:proofErr w:type="spellStart"/>
      <w:r w:rsidRPr="0053089D">
        <w:t>C</w:t>
      </w:r>
      <w:r w:rsidRPr="000F1444">
        <w:rPr>
          <w:vertAlign w:val="subscript"/>
        </w:rPr>
        <w:t>max</w:t>
      </w:r>
      <w:proofErr w:type="spellEnd"/>
      <w:r w:rsidRPr="0053089D">
        <w:t xml:space="preserve">. Plasma concentrations of UMEC following single oral dose administration of </w:t>
      </w:r>
      <w:r>
        <w:t xml:space="preserve">UMEC were all </w:t>
      </w:r>
      <w:proofErr w:type="spellStart"/>
      <w:r>
        <w:t>non quantifiable</w:t>
      </w:r>
      <w:proofErr w:type="spellEnd"/>
      <w:r w:rsidRPr="0053089D">
        <w:t xml:space="preserve"> </w:t>
      </w:r>
      <w:r>
        <w:t xml:space="preserve">(NQ) </w:t>
      </w:r>
      <w:r w:rsidRPr="0053089D">
        <w:t>(</w:t>
      </w:r>
      <w:r>
        <w:t>bio</w:t>
      </w:r>
      <w:r w:rsidRPr="0053089D">
        <w:t xml:space="preserve">analytical assay </w:t>
      </w:r>
      <w:r>
        <w:t>LLQ</w:t>
      </w:r>
      <w:r w:rsidRPr="00F55DCF">
        <w:t xml:space="preserve"> </w:t>
      </w:r>
      <w:r w:rsidRPr="0053089D">
        <w:t xml:space="preserve">was </w:t>
      </w:r>
      <w:proofErr w:type="gramStart"/>
      <w:r w:rsidRPr="0053089D">
        <w:t>0.02</w:t>
      </w:r>
      <w:r>
        <w:t xml:space="preserve"> ng/mL</w:t>
      </w:r>
      <w:proofErr w:type="gramEnd"/>
      <w:r>
        <w:t>)</w:t>
      </w:r>
      <w:r w:rsidRPr="0053089D">
        <w:t>. Absolute bioavailability of UMEC following inhaled administration calculated using plasma data following 1000µg IH which averaged 12.8% (95% CI: 9.0%, 18.2%). Results were similar for urine data, with F averaging 13.1% (95% CI: 10.5%, 16.3%). Absolute bioavailability of UMEC following PO administration using plasma data was reported as negligible (&lt;1%) since all plasma concentrations of UMEC were not quantifiable following PO administration.</w:t>
      </w:r>
    </w:p>
    <w:p w:rsidR="00B13321" w:rsidRPr="0053089D" w:rsidRDefault="00B13321" w:rsidP="00BF1584">
      <w:r w:rsidRPr="0053089D">
        <w:t>Healthy male volunteers received a single dose of a</w:t>
      </w:r>
      <w:r w:rsidR="00486EA4">
        <w:t>n</w:t>
      </w:r>
      <w:r w:rsidRPr="0053089D">
        <w:t xml:space="preserve"> oral solution (1000</w:t>
      </w:r>
      <w:r>
        <w:t xml:space="preserve"> </w:t>
      </w:r>
      <w:r w:rsidRPr="0053089D">
        <w:t>µg containing 50</w:t>
      </w:r>
      <w:r>
        <w:t xml:space="preserve"> </w:t>
      </w:r>
      <w:r w:rsidRPr="0053089D">
        <w:t xml:space="preserve">µCi (approximately 2 </w:t>
      </w:r>
      <w:proofErr w:type="spellStart"/>
      <w:r w:rsidRPr="0053089D">
        <w:t>MBq</w:t>
      </w:r>
      <w:proofErr w:type="spellEnd"/>
      <w:r w:rsidRPr="0053089D">
        <w:t xml:space="preserve">) of </w:t>
      </w:r>
      <w:r>
        <w:t>(</w:t>
      </w:r>
      <w:r w:rsidRPr="00F42986">
        <w:rPr>
          <w:vertAlign w:val="superscript"/>
        </w:rPr>
        <w:t>14</w:t>
      </w:r>
      <w:r w:rsidRPr="0053089D">
        <w:t>C</w:t>
      </w:r>
      <w:r>
        <w:t>)</w:t>
      </w:r>
      <w:r w:rsidRPr="0053089D">
        <w:t>-UMEC in a volume of 50 mL) and an IV infusion (65</w:t>
      </w:r>
      <w:r>
        <w:t xml:space="preserve"> </w:t>
      </w:r>
      <w:r w:rsidRPr="0053089D">
        <w:t>µg in a volume of 20 mL/IV containing 7.1</w:t>
      </w:r>
      <w:r>
        <w:t xml:space="preserve"> </w:t>
      </w:r>
      <w:r w:rsidRPr="0053089D">
        <w:t xml:space="preserve">µCi (approximately 0.3 </w:t>
      </w:r>
      <w:proofErr w:type="spellStart"/>
      <w:r w:rsidRPr="0053089D">
        <w:t>MBq</w:t>
      </w:r>
      <w:proofErr w:type="spellEnd"/>
      <w:r w:rsidRPr="0053089D">
        <w:t xml:space="preserve">) of </w:t>
      </w:r>
      <w:r>
        <w:t>(</w:t>
      </w:r>
      <w:r w:rsidRPr="00F42986">
        <w:rPr>
          <w:vertAlign w:val="superscript"/>
        </w:rPr>
        <w:t>14</w:t>
      </w:r>
      <w:r w:rsidRPr="00F42986">
        <w:t>C</w:t>
      </w:r>
      <w:r>
        <w:t>)-UMEC) (AC4112014)</w:t>
      </w:r>
      <w:r w:rsidRPr="0053089D">
        <w:t xml:space="preserve">. Mean oral bioavailability estimates of plasma </w:t>
      </w:r>
      <w:r w:rsidRPr="00F42986">
        <w:rPr>
          <w:vertAlign w:val="superscript"/>
        </w:rPr>
        <w:t>14</w:t>
      </w:r>
      <w:r w:rsidRPr="0053089D">
        <w:t>C-radioactivity following oral adminis</w:t>
      </w:r>
      <w:r>
        <w:t>tration calculated based on AUC</w:t>
      </w:r>
      <w:r w:rsidRPr="003D7D21">
        <w:rPr>
          <w:vertAlign w:val="subscript"/>
        </w:rPr>
        <w:t>(</w:t>
      </w:r>
      <w:r w:rsidRPr="003725AA">
        <w:rPr>
          <w:vertAlign w:val="subscript"/>
        </w:rPr>
        <w:t>0-∞</w:t>
      </w:r>
      <w:r>
        <w:rPr>
          <w:vertAlign w:val="subscript"/>
        </w:rPr>
        <w:t>)</w:t>
      </w:r>
      <w:r w:rsidRPr="0053089D">
        <w:t xml:space="preserve"> were similar t</w:t>
      </w:r>
      <w:r>
        <w:t xml:space="preserve">o those calculated based on </w:t>
      </w:r>
      <w:r w:rsidRPr="003D7D21">
        <w:t>AUC</w:t>
      </w:r>
      <w:r w:rsidRPr="003D7D21">
        <w:rPr>
          <w:vertAlign w:val="subscript"/>
        </w:rPr>
        <w:t>(0-t)</w:t>
      </w:r>
      <w:r w:rsidRPr="0053089D">
        <w:t xml:space="preserve"> and were approximately 5.4% (95% CI: 1.8%, 15.9%) and 4.7% (95% CI: 2.1%, 10.3</w:t>
      </w:r>
      <w:r>
        <w:t>%), respectively</w:t>
      </w:r>
      <w:r w:rsidRPr="0053089D">
        <w:t>.</w:t>
      </w:r>
    </w:p>
    <w:p w:rsidR="00B13321" w:rsidRPr="0016055B" w:rsidRDefault="00B13321" w:rsidP="00D90C7C">
      <w:pPr>
        <w:pStyle w:val="Heading7"/>
      </w:pPr>
      <w:r w:rsidRPr="0016055B">
        <w:t>VI</w:t>
      </w:r>
    </w:p>
    <w:p w:rsidR="00B13321" w:rsidRPr="0053089D" w:rsidRDefault="00B13321" w:rsidP="00BF1584">
      <w:r w:rsidRPr="0053089D">
        <w:t xml:space="preserve">A three way </w:t>
      </w:r>
      <w:r>
        <w:t>cross over</w:t>
      </w:r>
      <w:r w:rsidRPr="0053089D">
        <w:t xml:space="preserve"> study was conducted in healthy subjects to estimate the absolute bioavailability of a single dose of FF (800</w:t>
      </w:r>
      <w:r>
        <w:t xml:space="preserve"> </w:t>
      </w:r>
      <w:r w:rsidRPr="0053089D">
        <w:t>µg) and VI (100</w:t>
      </w:r>
      <w:r>
        <w:t xml:space="preserve"> </w:t>
      </w:r>
      <w:r w:rsidRPr="0053089D">
        <w:t xml:space="preserve">µg) when administered as the FF/VI </w:t>
      </w:r>
      <w:r w:rsidRPr="0016055B">
        <w:t>inhalation</w:t>
      </w:r>
      <w:r>
        <w:t xml:space="preserve"> powder (HZA102934</w:t>
      </w:r>
      <w:r w:rsidRPr="0053089D">
        <w:t xml:space="preserve">). In order to produce measurable concentrations of </w:t>
      </w:r>
      <w:r>
        <w:t>VI following IH dosing, a supra-</w:t>
      </w:r>
      <w:r w:rsidRPr="0053089D">
        <w:t>therapeutic dose of 100</w:t>
      </w:r>
      <w:r>
        <w:t xml:space="preserve"> µg (4-</w:t>
      </w:r>
      <w:r w:rsidRPr="0053089D">
        <w:t>times higher than the highest clinical dose) was necessary. This serves as the primary study for defining bioavailability of the inhaled product. For IH VI, the estimate of absolute bioavailability was 27.2% (95% C</w:t>
      </w:r>
      <w:r>
        <w:t>I: 20.4%, 36.2%)</w:t>
      </w:r>
      <w:r w:rsidRPr="0053089D">
        <w:t>.</w:t>
      </w:r>
    </w:p>
    <w:p w:rsidR="00B13321" w:rsidRPr="0053089D" w:rsidRDefault="00B13321" w:rsidP="00B13321">
      <w:r w:rsidRPr="0053089D">
        <w:t xml:space="preserve">A sequential, </w:t>
      </w:r>
      <w:r>
        <w:t>dose-</w:t>
      </w:r>
      <w:r w:rsidRPr="0053089D">
        <w:t>ascending study in healthy male subjects evaluated PK of single IV and oral doses of V</w:t>
      </w:r>
      <w:r>
        <w:t>I (Study B2C106180</w:t>
      </w:r>
      <w:r w:rsidRPr="0053089D">
        <w:t xml:space="preserve">). Accurate estimates of oral and inhaled bioavailability could not be determined from plasma due to the low number of subjects with measurable </w:t>
      </w:r>
      <w:r>
        <w:t>post-dose</w:t>
      </w:r>
      <w:r w:rsidRPr="0053089D">
        <w:t xml:space="preserve"> plasma V</w:t>
      </w:r>
      <w:r>
        <w:t>I concentrations</w:t>
      </w:r>
      <w:r w:rsidRPr="0053089D">
        <w:t>. However, results from 100</w:t>
      </w:r>
      <w:r>
        <w:t xml:space="preserve"> </w:t>
      </w:r>
      <w:r w:rsidRPr="0053089D">
        <w:t>µg IH VI and 55</w:t>
      </w:r>
      <w:r>
        <w:t xml:space="preserve"> </w:t>
      </w:r>
      <w:r w:rsidRPr="0053089D">
        <w:t>µg IV VI suggested approximately 30% IH bioavailability calculated from the ratio of AUCs to a common time point. Consistent results were obtained from urinary excretion data which indicated approximately 26% IH bioavailability. Following 500</w:t>
      </w:r>
      <w:r>
        <w:t xml:space="preserve"> </w:t>
      </w:r>
      <w:r w:rsidRPr="0053089D">
        <w:t xml:space="preserve">µg PO VI administrations, maximum plasma concentrations were achieved at a median time of 0.5 hours </w:t>
      </w:r>
      <w:r w:rsidR="00486EA4">
        <w:t>post dose</w:t>
      </w:r>
      <w:r w:rsidRPr="0053089D">
        <w:t xml:space="preserve">. The approximate estimate of PO bioavailability was </w:t>
      </w:r>
      <w:r>
        <w:t xml:space="preserve">&lt; </w:t>
      </w:r>
      <w:r w:rsidRPr="0053089D">
        <w:t xml:space="preserve">2%, calculated from the ratio of AUCs to a common time point </w:t>
      </w:r>
      <w:r>
        <w:t>after PO and IV administrations.</w:t>
      </w:r>
    </w:p>
    <w:p w:rsidR="00B13321" w:rsidRPr="0053089D" w:rsidRDefault="00B13321" w:rsidP="00BF1584">
      <w:r w:rsidRPr="0053089D">
        <w:t xml:space="preserve">The excretion balance and metabolic disposition of </w:t>
      </w:r>
      <w:r>
        <w:t>(</w:t>
      </w:r>
      <w:r w:rsidRPr="00AA6979">
        <w:rPr>
          <w:vertAlign w:val="superscript"/>
        </w:rPr>
        <w:t>14</w:t>
      </w:r>
      <w:r w:rsidRPr="0053089D">
        <w:t>C</w:t>
      </w:r>
      <w:r>
        <w:t>)</w:t>
      </w:r>
      <w:r w:rsidRPr="0053089D">
        <w:t xml:space="preserve">-VI administered as a single oral dose was examined in an open label study </w:t>
      </w:r>
      <w:r>
        <w:t>(B2C106181</w:t>
      </w:r>
      <w:r w:rsidRPr="0053089D">
        <w:t xml:space="preserve">). Data for parent VI in 5 out of 6 subjects was </w:t>
      </w:r>
      <w:r w:rsidRPr="0053089D">
        <w:lastRenderedPageBreak/>
        <w:t xml:space="preserve">not quantifiable and from the remaining subject was sparse, it was estimated that VI only represented </w:t>
      </w:r>
      <w:r>
        <w:t>&lt; 0.5% of the circulating drug-</w:t>
      </w:r>
      <w:r w:rsidRPr="0053089D">
        <w:t>related material in plasma.</w:t>
      </w:r>
    </w:p>
    <w:p w:rsidR="00B13321" w:rsidRPr="004D1A04" w:rsidRDefault="00B13321" w:rsidP="00BF1584">
      <w:pPr>
        <w:pStyle w:val="Heading6"/>
      </w:pPr>
      <w:r w:rsidRPr="004D1A04">
        <w:t>Bioequivalence of different dosage forms and strengths</w:t>
      </w:r>
    </w:p>
    <w:p w:rsidR="00B13321" w:rsidRPr="004D5347" w:rsidRDefault="00B13321" w:rsidP="00BF1584">
      <w:pPr>
        <w:pStyle w:val="ListBullet"/>
      </w:pPr>
      <w:r w:rsidRPr="004D5347">
        <w:t>Comparison of 1 strip to 2 strip Configurations of dry powder inhaler (DPI)</w:t>
      </w:r>
    </w:p>
    <w:p w:rsidR="00B13321" w:rsidRPr="004D1A04" w:rsidRDefault="00B13321" w:rsidP="00BF1584">
      <w:r>
        <w:t>A single-</w:t>
      </w:r>
      <w:r w:rsidRPr="004D1A04">
        <w:t xml:space="preserve">centre, randomized, </w:t>
      </w:r>
      <w:r>
        <w:t>cross-over</w:t>
      </w:r>
      <w:r w:rsidRPr="004D1A04">
        <w:t xml:space="preserve"> study in healthy ipratropium responsive subjects was conducted to characterize the PK and </w:t>
      </w:r>
      <w:r>
        <w:t>PD</w:t>
      </w:r>
      <w:r w:rsidRPr="004D1A04">
        <w:t xml:space="preserve"> effects of single </w:t>
      </w:r>
      <w:r w:rsidRPr="0016055B">
        <w:t>inhalations</w:t>
      </w:r>
      <w:r w:rsidRPr="004D1A04">
        <w:t xml:space="preserve"> of 2 doses of UMEC (62.5 and 125</w:t>
      </w:r>
      <w:r>
        <w:t> </w:t>
      </w:r>
      <w:r w:rsidRPr="004D1A04">
        <w:t xml:space="preserve">µg) and </w:t>
      </w:r>
      <w:r>
        <w:t>placebo</w:t>
      </w:r>
      <w:r w:rsidRPr="004D1A04">
        <w:t xml:space="preserve"> when admini</w:t>
      </w:r>
      <w:r>
        <w:t>stered from 2 configurations (1-strip or 2-strip) of the DPI (AC4115487</w:t>
      </w:r>
      <w:r w:rsidRPr="004D1A04">
        <w:t>). The doses selected were those investigated in the Phase III clinical trials.</w:t>
      </w:r>
    </w:p>
    <w:p w:rsidR="00B13321" w:rsidRPr="004D1A04" w:rsidRDefault="00B13321" w:rsidP="00BF1584">
      <w:r>
        <w:t xml:space="preserve">Analysis of plasma UMEC </w:t>
      </w:r>
      <w:r w:rsidRPr="003D7D21">
        <w:t>AUC</w:t>
      </w:r>
      <w:r>
        <w:rPr>
          <w:vertAlign w:val="subscript"/>
        </w:rPr>
        <w:t>(0-1</w:t>
      </w:r>
      <w:r w:rsidRPr="003D7D21">
        <w:rPr>
          <w:vertAlign w:val="subscript"/>
        </w:rPr>
        <w:t>)</w:t>
      </w:r>
      <w:r>
        <w:t xml:space="preserve"> and </w:t>
      </w:r>
      <w:r w:rsidRPr="003D7D21">
        <w:t>AUC</w:t>
      </w:r>
      <w:r>
        <w:rPr>
          <w:vertAlign w:val="subscript"/>
        </w:rPr>
        <w:t>(0-2</w:t>
      </w:r>
      <w:r w:rsidRPr="003D7D21">
        <w:rPr>
          <w:vertAlign w:val="subscript"/>
        </w:rPr>
        <w:t>)</w:t>
      </w:r>
      <w:r w:rsidRPr="004D1A04">
        <w:t xml:space="preserve"> showed on avera</w:t>
      </w:r>
      <w:r>
        <w:t>ge lower AUC values following 1-</w:t>
      </w:r>
      <w:r w:rsidRPr="004D1A04">
        <w:t>strip configuration</w:t>
      </w:r>
      <w:r>
        <w:t xml:space="preserve"> compared with that following 2-</w:t>
      </w:r>
      <w:r w:rsidRPr="004D1A04">
        <w:t>strip configuration for both dose levels: 9% lower (CI: 26% lower, 12% higher) for 62.5</w:t>
      </w:r>
      <w:r>
        <w:t xml:space="preserve"> </w:t>
      </w:r>
      <w:r w:rsidRPr="004D1A04">
        <w:t>µg and 7% lower (CI: 16% lower, 4% higher) for 125</w:t>
      </w:r>
      <w:r>
        <w:t xml:space="preserve"> µg</w:t>
      </w:r>
      <w:r w:rsidRPr="004D1A04">
        <w:t>. Results were similarly lo</w:t>
      </w:r>
      <w:r>
        <w:t xml:space="preserve">wer for </w:t>
      </w:r>
      <w:proofErr w:type="spellStart"/>
      <w:r w:rsidRPr="000F1444">
        <w:t>C</w:t>
      </w:r>
      <w:r w:rsidRPr="000F1444">
        <w:rPr>
          <w:vertAlign w:val="subscript"/>
        </w:rPr>
        <w:t>max</w:t>
      </w:r>
      <w:proofErr w:type="spellEnd"/>
      <w:r>
        <w:t xml:space="preserve"> comparisons with 1-</w:t>
      </w:r>
      <w:r w:rsidRPr="004D1A04">
        <w:t>strip configuration being on average 14% lower (CI: 32% lower, 7% higher) for 62.5</w:t>
      </w:r>
      <w:r>
        <w:t xml:space="preserve"> </w:t>
      </w:r>
      <w:r w:rsidRPr="004D1A04">
        <w:t>µg and on average 12% lower (CI: 30% lower, 11% higher) for 125</w:t>
      </w:r>
      <w:r>
        <w:t xml:space="preserve"> µg compared with 2-</w:t>
      </w:r>
      <w:r w:rsidRPr="004D1A04">
        <w:t>strip configuration. Overall plasma systemic exposures were dose proportional with small differences between the 2 configurations within each dose, which are considered unlikely to be clinically relevant. In addition, urine exposure was dose proportional with small differences between the 2 configurations which are also considered unlikely to be clinically relevant.</w:t>
      </w:r>
    </w:p>
    <w:p w:rsidR="00B13321" w:rsidRPr="004D1A04" w:rsidRDefault="00B13321" w:rsidP="00BF1584">
      <w:r w:rsidRPr="004D1A04">
        <w:t>There was no evidence of a clinically relevant difference in bronchodilation when comparing the same doses of U</w:t>
      </w:r>
      <w:r>
        <w:t>MEC administered via either a 1-strip or 2-</w:t>
      </w:r>
      <w:r w:rsidRPr="004D1A04">
        <w:t xml:space="preserve">strip </w:t>
      </w:r>
      <w:r>
        <w:t>configuration</w:t>
      </w:r>
      <w:r w:rsidRPr="004D1A04">
        <w:t xml:space="preserve"> of the UMEC monotherapy products. However, there was statistical evidence</w:t>
      </w:r>
      <w:r>
        <w:t xml:space="preserve"> of an increase in </w:t>
      </w:r>
      <w:proofErr w:type="spellStart"/>
      <w:r>
        <w:t>sGaw</w:t>
      </w:r>
      <w:proofErr w:type="spellEnd"/>
      <w:r>
        <w:t xml:space="preserve"> and FEV1</w:t>
      </w:r>
      <w:r w:rsidRPr="004D1A04">
        <w:t xml:space="preserve"> for UMEC when compared with </w:t>
      </w:r>
      <w:r>
        <w:t>placebo</w:t>
      </w:r>
      <w:r w:rsidRPr="004D1A04">
        <w:t xml:space="preserve">. The inability to detect a PD dose response in this study could reflect lower overall bronchodilation as reflected in </w:t>
      </w:r>
      <w:proofErr w:type="spellStart"/>
      <w:r w:rsidRPr="004D1A04">
        <w:t>sGaw</w:t>
      </w:r>
      <w:proofErr w:type="spellEnd"/>
      <w:r w:rsidRPr="004D1A04">
        <w:t xml:space="preserve"> in ipratropium responsive healthy volunteers, or that the 2 doses selected were near maximal response.</w:t>
      </w:r>
    </w:p>
    <w:p w:rsidR="00B13321" w:rsidRPr="004D1A04" w:rsidRDefault="00B13321" w:rsidP="00BF1584">
      <w:pPr>
        <w:pStyle w:val="Heading6"/>
      </w:pPr>
      <w:r w:rsidRPr="004D1A04">
        <w:t>Bioequivalence to relevant registered products</w:t>
      </w:r>
    </w:p>
    <w:p w:rsidR="00B13321" w:rsidRPr="004D1A04" w:rsidRDefault="00B13321" w:rsidP="00BF1584">
      <w:r w:rsidRPr="004D1A04">
        <w:t>UMEC/VI is not registered in Australia.</w:t>
      </w:r>
    </w:p>
    <w:p w:rsidR="00B13321" w:rsidRPr="004D1A04" w:rsidRDefault="00B13321" w:rsidP="00BF1584">
      <w:pPr>
        <w:pStyle w:val="Heading6"/>
      </w:pPr>
      <w:r w:rsidRPr="004D1A04">
        <w:t>Influence of food</w:t>
      </w:r>
    </w:p>
    <w:p w:rsidR="00B13321" w:rsidRPr="004D1A04" w:rsidRDefault="00B13321" w:rsidP="00BF1584">
      <w:r w:rsidRPr="004D1A04">
        <w:t>As oral bioavailability of UMEC is negligible (</w:t>
      </w:r>
      <w:r>
        <w:t>&lt;</w:t>
      </w:r>
      <w:r w:rsidRPr="004D1A04">
        <w:t>1%) and VI from the swallowed portion undergoes extensive first pass metabolism a food interaction study was not conducted.</w:t>
      </w:r>
    </w:p>
    <w:p w:rsidR="00B13321" w:rsidRPr="004D1A04" w:rsidRDefault="00B13321" w:rsidP="00BF1584">
      <w:pPr>
        <w:pStyle w:val="Heading6"/>
      </w:pPr>
      <w:r w:rsidRPr="004D1A04">
        <w:t>Dose proportionality</w:t>
      </w:r>
    </w:p>
    <w:p w:rsidR="00B13321" w:rsidRPr="004D1A04" w:rsidRDefault="00B13321" w:rsidP="00D90C7C">
      <w:pPr>
        <w:pStyle w:val="Heading7"/>
      </w:pPr>
      <w:r w:rsidRPr="004D1A04">
        <w:t>UMEC</w:t>
      </w:r>
    </w:p>
    <w:p w:rsidR="00B13321" w:rsidRPr="004D1A04" w:rsidRDefault="00B13321" w:rsidP="00BF1584">
      <w:r w:rsidRPr="004D1A04">
        <w:t>Over the dose range studied in healthy subjects and in subjects with COPD, UMEC systemic exposure showed dose proportionality.</w:t>
      </w:r>
      <w:r>
        <w:t xml:space="preserve"> In healthy subjects (DB2114635</w:t>
      </w:r>
      <w:r w:rsidRPr="004D1A04">
        <w:t>) administration of UMEC/VI 125/25</w:t>
      </w:r>
      <w:r>
        <w:t xml:space="preserve"> </w:t>
      </w:r>
      <w:r w:rsidRPr="004D1A04">
        <w:t>µg, UMEC 500</w:t>
      </w:r>
      <w:r>
        <w:t xml:space="preserve"> </w:t>
      </w:r>
      <w:r w:rsidRPr="004D1A04">
        <w:t>µg, and UMEC/VI 500/100</w:t>
      </w:r>
      <w:r>
        <w:t xml:space="preserve"> </w:t>
      </w:r>
      <w:r w:rsidRPr="004D1A04">
        <w:t>µg, UMEC systemic exposure was approximately dose p</w:t>
      </w:r>
      <w:r>
        <w:t>roportional, in line with the 4-</w:t>
      </w:r>
      <w:r w:rsidRPr="004D1A04">
        <w:t>fold difference in UMEC dosing. At steady state following administration of UMEC 62.5 and 125</w:t>
      </w:r>
      <w:r>
        <w:t xml:space="preserve"> </w:t>
      </w:r>
      <w:r w:rsidRPr="004D1A04">
        <w:t xml:space="preserve">µg, both </w:t>
      </w:r>
      <w:proofErr w:type="spellStart"/>
      <w:r w:rsidRPr="000F1444">
        <w:t>C</w:t>
      </w:r>
      <w:r w:rsidRPr="000F1444">
        <w:rPr>
          <w:vertAlign w:val="subscript"/>
        </w:rPr>
        <w:t>max</w:t>
      </w:r>
      <w:proofErr w:type="spellEnd"/>
      <w:r w:rsidRPr="004D1A04">
        <w:t xml:space="preserve"> and AUC increased in an approximate dose proportional manner in</w:t>
      </w:r>
      <w:r>
        <w:t xml:space="preserve"> subjects with COPD, (AC4115321; AC4113073</w:t>
      </w:r>
      <w:r w:rsidRPr="004D1A04">
        <w:t>). Multiple studies show that systemic exposure at 125</w:t>
      </w:r>
      <w:r>
        <w:t xml:space="preserve"> µg was approximately 2-</w:t>
      </w:r>
      <w:r w:rsidRPr="004D1A04">
        <w:t>fold higher compared with 62.5</w:t>
      </w:r>
      <w:r>
        <w:t xml:space="preserve"> </w:t>
      </w:r>
      <w:r w:rsidRPr="004D1A04">
        <w:t>µg, and the relationship became more th</w:t>
      </w:r>
      <w:r>
        <w:t>an dose proportional at doses 4-fold or 8-</w:t>
      </w:r>
      <w:r w:rsidRPr="004D1A04">
        <w:t>fold higher than proposed clinical doses. Dose proportionality assessments based on urine excretion in both healthy subjects and subjects with COPD were on average consistent with plasma. Two studies (AC4113</w:t>
      </w:r>
      <w:r>
        <w:t>073; AC4115321) compared a once-daily</w:t>
      </w:r>
      <w:r w:rsidRPr="004D1A04">
        <w:t xml:space="preserve"> wit</w:t>
      </w:r>
      <w:r>
        <w:t>h a twice-</w:t>
      </w:r>
      <w:r w:rsidRPr="004D1A04">
        <w:t>daily regimen in subjects with COPD. UMEC systemic exposure in terms of AUC an</w:t>
      </w:r>
      <w:r>
        <w:t xml:space="preserve">d </w:t>
      </w:r>
      <w:proofErr w:type="spellStart"/>
      <w:r w:rsidRPr="000F1444">
        <w:t>C</w:t>
      </w:r>
      <w:r w:rsidRPr="000F1444">
        <w:rPr>
          <w:vertAlign w:val="subscript"/>
        </w:rPr>
        <w:t>max</w:t>
      </w:r>
      <w:proofErr w:type="spellEnd"/>
      <w:r>
        <w:t xml:space="preserve"> was lower with the twice-</w:t>
      </w:r>
      <w:r w:rsidRPr="004D1A04">
        <w:t>daily</w:t>
      </w:r>
      <w:r>
        <w:t xml:space="preserve"> regimen compared with the once-daily</w:t>
      </w:r>
      <w:r w:rsidRPr="004D1A04">
        <w:t xml:space="preserve"> regimen</w:t>
      </w:r>
      <w:r>
        <w:t xml:space="preserve"> for the same total daily dose.</w:t>
      </w:r>
    </w:p>
    <w:p w:rsidR="00B13321" w:rsidRPr="004D1A04" w:rsidRDefault="00B13321" w:rsidP="00D90C7C">
      <w:pPr>
        <w:pStyle w:val="Heading7"/>
      </w:pPr>
      <w:r w:rsidRPr="004D1A04">
        <w:lastRenderedPageBreak/>
        <w:t>VI</w:t>
      </w:r>
    </w:p>
    <w:p w:rsidR="00B13321" w:rsidRPr="004D1A04" w:rsidRDefault="00B13321" w:rsidP="00BF1584">
      <w:r w:rsidRPr="004D1A04">
        <w:t>Due to the large percentage of samples with concentrations below the limit of quantitation following the 25</w:t>
      </w:r>
      <w:r>
        <w:t xml:space="preserve"> </w:t>
      </w:r>
      <w:r w:rsidRPr="004D1A04">
        <w:t xml:space="preserve">µg VI dose, dose proportionality for AUC was difficult to estimate; however, within studies, </w:t>
      </w:r>
      <w:proofErr w:type="spellStart"/>
      <w:r w:rsidRPr="000F1444">
        <w:t>C</w:t>
      </w:r>
      <w:r w:rsidRPr="000F1444">
        <w:rPr>
          <w:vertAlign w:val="subscript"/>
        </w:rPr>
        <w:t>max</w:t>
      </w:r>
      <w:proofErr w:type="spellEnd"/>
      <w:r w:rsidRPr="004D1A04">
        <w:t xml:space="preserve"> appeared to increase in an approximate dose proportional manner (HZA102936</w:t>
      </w:r>
      <w:r>
        <w:t xml:space="preserve">; DB1112017; </w:t>
      </w:r>
      <w:r w:rsidRPr="00EA5E9D">
        <w:t>HZC110946)</w:t>
      </w:r>
      <w:r>
        <w:t>.</w:t>
      </w:r>
    </w:p>
    <w:p w:rsidR="00B13321" w:rsidRPr="004D1A04" w:rsidRDefault="00B13321" w:rsidP="00BF1584">
      <w:pPr>
        <w:pStyle w:val="Heading6"/>
      </w:pPr>
      <w:r w:rsidRPr="004D1A04">
        <w:t>Effect of administration timing</w:t>
      </w:r>
    </w:p>
    <w:p w:rsidR="00B13321" w:rsidRPr="004D1A04" w:rsidRDefault="00B13321" w:rsidP="00BF1584">
      <w:r w:rsidRPr="004D1A04">
        <w:t xml:space="preserve">In the majority of studies the drug was administered </w:t>
      </w:r>
      <w:r>
        <w:t>once daily</w:t>
      </w:r>
      <w:r w:rsidRPr="004D1A04">
        <w:t xml:space="preserve"> in the morning. There were no specific studies designed to evaluate evening versus morning dose PK.</w:t>
      </w:r>
    </w:p>
    <w:p w:rsidR="00B13321" w:rsidRPr="004D1A04" w:rsidRDefault="00B13321" w:rsidP="00BF1584">
      <w:pPr>
        <w:pStyle w:val="Heading5"/>
      </w:pPr>
      <w:bookmarkStart w:id="47" w:name="_Toc241374288"/>
      <w:bookmarkStart w:id="48" w:name="_Toc272414621"/>
      <w:bookmarkStart w:id="49" w:name="_Toc290846244"/>
      <w:bookmarkStart w:id="50" w:name="_Toc376461122"/>
      <w:r w:rsidRPr="004D1A04">
        <w:t>Distribution</w:t>
      </w:r>
      <w:bookmarkEnd w:id="47"/>
      <w:bookmarkEnd w:id="48"/>
      <w:bookmarkEnd w:id="49"/>
      <w:bookmarkEnd w:id="50"/>
    </w:p>
    <w:p w:rsidR="00B13321" w:rsidRPr="004D1A04" w:rsidRDefault="00B13321" w:rsidP="00BF1584">
      <w:pPr>
        <w:pStyle w:val="Heading6"/>
      </w:pPr>
      <w:r w:rsidRPr="004D1A04">
        <w:t>Volume of distribution</w:t>
      </w:r>
    </w:p>
    <w:p w:rsidR="00B13321" w:rsidRPr="00BD56D7" w:rsidRDefault="00B13321" w:rsidP="00D90C7C">
      <w:pPr>
        <w:pStyle w:val="Heading7"/>
      </w:pPr>
      <w:r w:rsidRPr="00BD56D7">
        <w:t>UMEC</w:t>
      </w:r>
    </w:p>
    <w:p w:rsidR="00B13321" w:rsidRPr="004D1A04" w:rsidRDefault="00B13321" w:rsidP="00BF1584">
      <w:r w:rsidRPr="004D1A04">
        <w:t xml:space="preserve">Following </w:t>
      </w:r>
      <w:r w:rsidRPr="00A97182">
        <w:t>IV</w:t>
      </w:r>
      <w:r w:rsidRPr="004D1A04">
        <w:t xml:space="preserve"> dosing, UMEC was rapidly and extensively distributed with an average </w:t>
      </w:r>
      <w:proofErr w:type="spellStart"/>
      <w:r w:rsidRPr="004D1A04">
        <w:t>t</w:t>
      </w:r>
      <w:r w:rsidRPr="00061440">
        <w:rPr>
          <w:vertAlign w:val="subscript"/>
        </w:rPr>
        <w:t>last</w:t>
      </w:r>
      <w:proofErr w:type="spellEnd"/>
      <w:r w:rsidRPr="004D1A04">
        <w:t xml:space="preserve"> of 1 hour (AC4112014). The average volume of distribution at steady state was 86.2 L, which is greater than the total body water for a 70 kg man (42 L).</w:t>
      </w:r>
    </w:p>
    <w:p w:rsidR="00B13321" w:rsidRPr="00BF1584" w:rsidRDefault="00B13321" w:rsidP="00D90C7C">
      <w:pPr>
        <w:pStyle w:val="Heading7"/>
      </w:pPr>
      <w:r w:rsidRPr="00BF1584">
        <w:t>VI</w:t>
      </w:r>
    </w:p>
    <w:p w:rsidR="00B13321" w:rsidRPr="004D1A04" w:rsidRDefault="00B13321" w:rsidP="00BF1584">
      <w:r w:rsidRPr="004D1A04">
        <w:t xml:space="preserve">Following </w:t>
      </w:r>
      <w:r>
        <w:t>intravenous</w:t>
      </w:r>
      <w:r w:rsidRPr="004D1A04">
        <w:t xml:space="preserve"> dosing, VI was ext</w:t>
      </w:r>
      <w:r>
        <w:t>ensively distributed (HZA102934</w:t>
      </w:r>
      <w:r w:rsidRPr="004D1A04">
        <w:t>). The average volume of distribution at steady state was 165 L, which is greater than the total body water for a 70 kg man (42 L).</w:t>
      </w:r>
    </w:p>
    <w:p w:rsidR="00B13321" w:rsidRPr="004D1A04" w:rsidRDefault="00B13321" w:rsidP="00BF1584">
      <w:pPr>
        <w:pStyle w:val="Heading6"/>
      </w:pPr>
      <w:r w:rsidRPr="004D1A04">
        <w:t>Plasma protein binding</w:t>
      </w:r>
    </w:p>
    <w:p w:rsidR="00B13321" w:rsidRPr="004D1A04" w:rsidRDefault="00B13321" w:rsidP="00BF1584">
      <w:r w:rsidRPr="004D1A04">
        <w:t>In vitro plasma protein binding of UMEC in human plasma was moderate with an average value of 88.9% and was similar in plasma from either males or females (07DMW030; QBR113236). Both plasma protein binding and blood cell binding for UMEC were independent of concentration (07DMW030).</w:t>
      </w:r>
    </w:p>
    <w:p w:rsidR="00B13321" w:rsidRPr="004D1A04" w:rsidRDefault="00B13321" w:rsidP="00BF1584">
      <w:r w:rsidRPr="004D1A04">
        <w:t>In vitro plasma protein binding of VI in human plasma was moderately high with an average value of 93.9% (05DMW138; QBR106268/1). Both plasma protein binding and blood cell binding for VI were independent of concentration (05DMW138).</w:t>
      </w:r>
    </w:p>
    <w:p w:rsidR="00B13321" w:rsidRPr="004D1A04" w:rsidRDefault="00B13321" w:rsidP="00BF1584">
      <w:pPr>
        <w:pStyle w:val="Heading6"/>
      </w:pPr>
      <w:r w:rsidRPr="004D1A04">
        <w:t>Erythrocyte distribution</w:t>
      </w:r>
    </w:p>
    <w:p w:rsidR="00B13321" w:rsidRPr="004D1A04" w:rsidRDefault="00B13321" w:rsidP="00BF1584">
      <w:r w:rsidRPr="004D1A04">
        <w:t>Blood cell association of UMEC was low in humans wi</w:t>
      </w:r>
      <w:r>
        <w:t>th a blood-to-</w:t>
      </w:r>
      <w:r w:rsidRPr="004D1A04">
        <w:t>plasma ratio ranging from 0.67 at 45 minutes post</w:t>
      </w:r>
      <w:r w:rsidR="00486EA4">
        <w:t xml:space="preserve"> </w:t>
      </w:r>
      <w:r w:rsidRPr="004D1A04">
        <w:t>dose to 0.82 up to 24 hours post</w:t>
      </w:r>
      <w:r>
        <w:t xml:space="preserve"> dose (AC4112014</w:t>
      </w:r>
      <w:r w:rsidRPr="004D1A04">
        <w:t xml:space="preserve">). </w:t>
      </w:r>
    </w:p>
    <w:p w:rsidR="00B13321" w:rsidRPr="004D1A04" w:rsidRDefault="00B13321" w:rsidP="00BF1584">
      <w:r w:rsidRPr="004D1A04">
        <w:t>Blood cell association of VI was low with a blood-to-plasma ratio of 0.8 in humans (05DMW138).</w:t>
      </w:r>
    </w:p>
    <w:p w:rsidR="00B13321" w:rsidRPr="004D1A04" w:rsidRDefault="00B13321" w:rsidP="00BF1584">
      <w:pPr>
        <w:pStyle w:val="Heading6"/>
      </w:pPr>
      <w:r w:rsidRPr="004D1A04">
        <w:t>Tissue distribution</w:t>
      </w:r>
    </w:p>
    <w:p w:rsidR="00B13321" w:rsidRPr="004D1A04" w:rsidRDefault="00B13321" w:rsidP="00BF1584">
      <w:r w:rsidRPr="004D1A04">
        <w:t>The high volume of distribution would suggest extensive distribution to the tissues.</w:t>
      </w:r>
    </w:p>
    <w:p w:rsidR="00B13321" w:rsidRPr="004D1A04" w:rsidRDefault="00B13321" w:rsidP="00BF1584">
      <w:pPr>
        <w:pStyle w:val="Heading5"/>
      </w:pPr>
      <w:bookmarkStart w:id="51" w:name="_Toc272414622"/>
      <w:bookmarkStart w:id="52" w:name="_Toc290846245"/>
      <w:bookmarkStart w:id="53" w:name="_Toc376461123"/>
      <w:r w:rsidRPr="004D1A04">
        <w:t>Metabolism</w:t>
      </w:r>
      <w:bookmarkEnd w:id="51"/>
      <w:bookmarkEnd w:id="52"/>
      <w:bookmarkEnd w:id="53"/>
    </w:p>
    <w:p w:rsidR="00B13321" w:rsidRPr="004D1A04" w:rsidRDefault="00B13321" w:rsidP="00BF1584">
      <w:pPr>
        <w:pStyle w:val="Heading6"/>
      </w:pPr>
      <w:proofErr w:type="spellStart"/>
      <w:r w:rsidRPr="004D1A04">
        <w:t>Interconversion</w:t>
      </w:r>
      <w:proofErr w:type="spellEnd"/>
      <w:r w:rsidRPr="004D1A04">
        <w:t xml:space="preserve"> between enantiomers</w:t>
      </w:r>
    </w:p>
    <w:p w:rsidR="00B13321" w:rsidRPr="004D1A04" w:rsidRDefault="00B13321" w:rsidP="00BF1584">
      <w:r w:rsidRPr="004D1A04">
        <w:t xml:space="preserve">Vilanterol is formulated as </w:t>
      </w:r>
      <w:proofErr w:type="gramStart"/>
      <w:r w:rsidRPr="004D1A04">
        <w:t>a</w:t>
      </w:r>
      <w:proofErr w:type="gramEnd"/>
      <w:r w:rsidRPr="004D1A04">
        <w:t xml:space="preserve"> R-enantiomer</w:t>
      </w:r>
      <w:r>
        <w:t xml:space="preserve">. </w:t>
      </w:r>
      <w:r w:rsidRPr="004D1A04">
        <w:t>The beta agonist activity of the S-enantiomer of vilanterol was tested in vivo and found to be 60 times less potent than the R-enantiomer (HR2008/00016). There was no evidence of chiral conversion of vilanterol (R-enantiomer) to its S-enantiomer (GSK907117) in plasma following inhaled administration to the rat and dog or during incubations with control human plasma (WD2008/00181).</w:t>
      </w:r>
    </w:p>
    <w:p w:rsidR="00B13321" w:rsidRPr="004D1A04" w:rsidRDefault="00B13321" w:rsidP="00BF1584">
      <w:r w:rsidRPr="004D1A04">
        <w:t>Potential inter-conversion of enantiomers was not investigated in the human PK studies.</w:t>
      </w:r>
    </w:p>
    <w:p w:rsidR="00B13321" w:rsidRPr="004D1A04" w:rsidRDefault="00B13321" w:rsidP="00BF1584">
      <w:pPr>
        <w:pStyle w:val="Heading6"/>
      </w:pPr>
      <w:r w:rsidRPr="004D1A04">
        <w:lastRenderedPageBreak/>
        <w:t>Sites of metabolism and mechanisms / enzyme systems involved</w:t>
      </w:r>
    </w:p>
    <w:p w:rsidR="00B13321" w:rsidRPr="004D1A04" w:rsidRDefault="00B13321" w:rsidP="00D90C7C">
      <w:pPr>
        <w:pStyle w:val="Heading7"/>
      </w:pPr>
      <w:r w:rsidRPr="004D1A04">
        <w:t>UMEC</w:t>
      </w:r>
    </w:p>
    <w:p w:rsidR="00B13321" w:rsidRPr="004D1A04" w:rsidRDefault="00B13321" w:rsidP="00BF1584">
      <w:r w:rsidRPr="004D1A04">
        <w:t>In vitro studies showed that umeclidinium is metabolised principally by the enzyme P450 CYP2</w:t>
      </w:r>
      <w:r>
        <w:t>D6 and is a substrate for the P-</w:t>
      </w:r>
      <w:r w:rsidRPr="004D1A04">
        <w:t>glycoprotein (P-</w:t>
      </w:r>
      <w:proofErr w:type="spellStart"/>
      <w:r w:rsidRPr="004D1A04">
        <w:t>gp</w:t>
      </w:r>
      <w:proofErr w:type="spellEnd"/>
      <w:r w:rsidRPr="004D1A04">
        <w:t xml:space="preserve">) transporter. The metabolism of UMEC was investigated using faecal, urine, plasma, and bile samples collected following </w:t>
      </w:r>
      <w:r w:rsidRPr="00BD56D7">
        <w:t>intravenous</w:t>
      </w:r>
      <w:r w:rsidRPr="004D1A04">
        <w:t xml:space="preserve"> (65</w:t>
      </w:r>
      <w:r>
        <w:t xml:space="preserve"> </w:t>
      </w:r>
      <w:r w:rsidRPr="004D1A04">
        <w:t>µg) and oral (1000</w:t>
      </w:r>
      <w:r>
        <w:t xml:space="preserve"> </w:t>
      </w:r>
      <w:r w:rsidRPr="004D1A04">
        <w:t>µg) administration of (</w:t>
      </w:r>
      <w:r w:rsidRPr="00061440">
        <w:rPr>
          <w:vertAlign w:val="superscript"/>
        </w:rPr>
        <w:t>14</w:t>
      </w:r>
      <w:r>
        <w:t>C)-UMEC (AC4112014</w:t>
      </w:r>
      <w:r w:rsidRPr="004D1A04">
        <w:t xml:space="preserve">). Disposition of UMEC following </w:t>
      </w:r>
      <w:r w:rsidRPr="00BD56D7">
        <w:t>intravenous</w:t>
      </w:r>
      <w:r w:rsidRPr="004D1A04">
        <w:t xml:space="preserve"> administration was by a combination of biliary and renal secretion of unchanged UMEC and metabolism. The major routes of metabolism were via hydroxylation (M33) and O-</w:t>
      </w:r>
      <w:proofErr w:type="spellStart"/>
      <w:r w:rsidRPr="004D1A04">
        <w:t>dealkylation</w:t>
      </w:r>
      <w:proofErr w:type="spellEnd"/>
      <w:r w:rsidRPr="004D1A04">
        <w:t xml:space="preserve"> (M14) with metabolites being excreted in both the urine and faeces. There were low amounts of drug related material in plasma with the major component being parent. There were 3 other components: GSK339067 (M14, an O-</w:t>
      </w:r>
      <w:proofErr w:type="spellStart"/>
      <w:r w:rsidRPr="004D1A04">
        <w:t>dealkylated</w:t>
      </w:r>
      <w:proofErr w:type="spellEnd"/>
      <w:r w:rsidRPr="004D1A04">
        <w:t xml:space="preserve"> metabolite), GSK1761002 (M33; a </w:t>
      </w:r>
      <w:proofErr w:type="spellStart"/>
      <w:r w:rsidRPr="004D1A04">
        <w:t>hydroxylated</w:t>
      </w:r>
      <w:proofErr w:type="spellEnd"/>
      <w:r w:rsidRPr="004D1A04">
        <w:t xml:space="preserve"> metabolite) and a further metabolite which could not be fully c</w:t>
      </w:r>
      <w:r>
        <w:t>haracterized but assigned as di-</w:t>
      </w:r>
      <w:proofErr w:type="spellStart"/>
      <w:r w:rsidRPr="004D1A04">
        <w:t>hydroxy</w:t>
      </w:r>
      <w:proofErr w:type="spellEnd"/>
      <w:r w:rsidRPr="004D1A04">
        <w:t xml:space="preserve"> metabolite. All metabolites were less than 20% of radioactivity present. Following </w:t>
      </w:r>
      <w:r w:rsidRPr="00BD56D7">
        <w:t>intravenous</w:t>
      </w:r>
      <w:r w:rsidRPr="004D1A04">
        <w:t xml:space="preserve"> administration, UMEC, GSK339067 (M14), GS</w:t>
      </w:r>
      <w:r>
        <w:t>K1761002 (M33), and putative di-</w:t>
      </w:r>
      <w:proofErr w:type="spellStart"/>
      <w:r w:rsidRPr="004D1A04">
        <w:t>hydroxy</w:t>
      </w:r>
      <w:proofErr w:type="spellEnd"/>
      <w:r w:rsidRPr="004D1A04">
        <w:t xml:space="preserve"> metabolite were excreted in faeces and urine. The major drug-related component in a bile extract sample (collected usin</w:t>
      </w:r>
      <w:r>
        <w:t xml:space="preserve">g </w:t>
      </w:r>
      <w:proofErr w:type="spellStart"/>
      <w:r>
        <w:t>Entero</w:t>
      </w:r>
      <w:proofErr w:type="spellEnd"/>
      <w:r>
        <w:t>-Test device over a 2.5-</w:t>
      </w:r>
      <w:r w:rsidRPr="004D1A04">
        <w:t xml:space="preserve">hour period </w:t>
      </w:r>
      <w:r w:rsidR="00486EA4">
        <w:t>post dose</w:t>
      </w:r>
      <w:r w:rsidRPr="004D1A04">
        <w:t xml:space="preserve">) was unchanged UMEC along with the metabolite, GSK1761002 (M33). Following oral dosing, consistent with low oral absorption, very little drug related material was observed in the plasma or urine, with the vast majority in the faeces being unchanged parent (presumed unabsorbed) UMEC. Unchanged UMEC, GSK339067 (M14), and GSK1761002 (M33, formed by hydroxylation) were also detected in plasma after oral dosing. The major drug-related component in a concentrated pooled human bile extract sample was unchanged UMEC which represented approximately 37% of the radioactivity present in this sample. Unchanged UMEC was also the major peak observed in human faeces following </w:t>
      </w:r>
      <w:r w:rsidRPr="00036B95">
        <w:t>intravenous</w:t>
      </w:r>
      <w:r w:rsidRPr="004D1A04">
        <w:t xml:space="preserve"> administration. Direct secretion of unchanged UMEC was, therefore, a major route of elimination of UMEC following </w:t>
      </w:r>
      <w:r w:rsidRPr="00036B95">
        <w:t>intravenous</w:t>
      </w:r>
      <w:r w:rsidRPr="004D1A04">
        <w:t xml:space="preserve"> administration. GSK1761002 (M33) was also detected in human bile; GSK339067 (M14) and GSK1761002 (M33) were detected in human faeces. Based on the proposed dose for UMEC (62.5 or 125</w:t>
      </w:r>
      <w:r>
        <w:t xml:space="preserve"> </w:t>
      </w:r>
      <w:r w:rsidRPr="004D1A04">
        <w:t xml:space="preserve">µg) by the IH route, the chemical mass of drug-related material in the circulation </w:t>
      </w:r>
      <w:r>
        <w:t>and excreta will be low.</w:t>
      </w:r>
    </w:p>
    <w:p w:rsidR="00B13321" w:rsidRPr="004D1A04" w:rsidRDefault="00B13321" w:rsidP="00D90C7C">
      <w:pPr>
        <w:pStyle w:val="Heading7"/>
      </w:pPr>
      <w:r w:rsidRPr="004D1A04">
        <w:t>VI</w:t>
      </w:r>
    </w:p>
    <w:p w:rsidR="00B13321" w:rsidRPr="004D1A04" w:rsidRDefault="00B13321" w:rsidP="00BF1584">
      <w:r w:rsidRPr="004D1A04">
        <w:t>In vitro studies showed that vilanterol is metabolised principally via CYP3A4 and is a substrate for the P-</w:t>
      </w:r>
      <w:proofErr w:type="spellStart"/>
      <w:r w:rsidRPr="004D1A04">
        <w:t>gp</w:t>
      </w:r>
      <w:proofErr w:type="spellEnd"/>
      <w:r w:rsidRPr="004D1A04">
        <w:t xml:space="preserve"> transporter. The metabolism of VI was investigated using faecal, urine, plasma, and bile samples collected following oral administration of (</w:t>
      </w:r>
      <w:r w:rsidRPr="002427C2">
        <w:rPr>
          <w:vertAlign w:val="superscript"/>
        </w:rPr>
        <w:t>14</w:t>
      </w:r>
      <w:r w:rsidRPr="004D1A04">
        <w:t>C)-VI to h</w:t>
      </w:r>
      <w:r>
        <w:t>ealthy male subjects (B2C106181</w:t>
      </w:r>
      <w:r w:rsidRPr="004D1A04">
        <w:t>). Following oral administration, VI was absorbed then eliminated mainly by metabolism followed by excretion of metabolites in urine and faeces. The main route of metabolism was by O-</w:t>
      </w:r>
      <w:proofErr w:type="spellStart"/>
      <w:r w:rsidRPr="004D1A04">
        <w:t>dealkylation</w:t>
      </w:r>
      <w:proofErr w:type="spellEnd"/>
      <w:r w:rsidRPr="004D1A04">
        <w:t xml:space="preserve"> resulting in a range of metabolites which included GW630200 and GSK932009. The majority of the recovered radioactivity in the excreta was potentially associated with O-</w:t>
      </w:r>
      <w:proofErr w:type="spellStart"/>
      <w:r w:rsidRPr="004D1A04">
        <w:t>dealkylated</w:t>
      </w:r>
      <w:proofErr w:type="spellEnd"/>
      <w:r w:rsidRPr="004D1A04">
        <w:t xml:space="preserve"> metabolites. N-</w:t>
      </w:r>
      <w:proofErr w:type="spellStart"/>
      <w:r w:rsidRPr="004D1A04">
        <w:t>dealkylation</w:t>
      </w:r>
      <w:proofErr w:type="spellEnd"/>
      <w:r w:rsidRPr="004D1A04">
        <w:t xml:space="preserve"> (M20) and C-</w:t>
      </w:r>
      <w:proofErr w:type="spellStart"/>
      <w:r w:rsidRPr="004D1A04">
        <w:t>dealkylation</w:t>
      </w:r>
      <w:proofErr w:type="spellEnd"/>
      <w:r w:rsidRPr="004D1A04">
        <w:t xml:space="preserve"> (GW630200, M26) were minor pathways. Less than 5% of the recovered dose in the faeces was parent which was either unabsorbed secreted directly into the gastrointestinal tract or via bile. The metabolites in plasma were also mainly the products of O- or C-</w:t>
      </w:r>
      <w:proofErr w:type="spellStart"/>
      <w:r w:rsidRPr="004D1A04">
        <w:t>dealkylation</w:t>
      </w:r>
      <w:proofErr w:type="spellEnd"/>
      <w:r w:rsidRPr="004D1A04">
        <w:t xml:space="preserve"> the most notable was GW630200, with other components including GSK932009 being present. Data supports the hypothesis that metabolites of VI make a negligible contribution to its</w:t>
      </w:r>
      <w:r>
        <w:t xml:space="preserve"> pharmacological effect in man.</w:t>
      </w:r>
    </w:p>
    <w:p w:rsidR="00B13321" w:rsidRPr="004D1A04" w:rsidRDefault="00B13321" w:rsidP="00BF1584">
      <w:pPr>
        <w:pStyle w:val="Heading6"/>
      </w:pPr>
      <w:r w:rsidRPr="004D1A04">
        <w:t>Metabolites identified in humans</w:t>
      </w:r>
    </w:p>
    <w:p w:rsidR="00B13321" w:rsidRPr="001340E9" w:rsidRDefault="00B13321" w:rsidP="00D90C7C">
      <w:pPr>
        <w:pStyle w:val="Heading7"/>
      </w:pPr>
      <w:r w:rsidRPr="001340E9">
        <w:t>UMEC</w:t>
      </w:r>
    </w:p>
    <w:p w:rsidR="00B13321" w:rsidRDefault="00B13321" w:rsidP="00BF1584">
      <w:r w:rsidRPr="004D1A04">
        <w:t xml:space="preserve">The inhibitory potency and direct agonist or antagonist potential of the UMEC human metabolites GSK1761002 (M33) and GSK339067 (M14), was evaluated against muscarinic cholinergic receptors (M1, M2, M3). Although GSK1761002 is pharmacologically active, as a consequence of the low inhaled dose, plasma concentrations of metabolites are low. Therefore, </w:t>
      </w:r>
      <w:r w:rsidRPr="004D1A04">
        <w:lastRenderedPageBreak/>
        <w:t>it is unlikely that either metabolite would possess pharmacological</w:t>
      </w:r>
      <w:r>
        <w:t xml:space="preserve"> activity at pulmonary or extra-</w:t>
      </w:r>
      <w:r w:rsidRPr="004D1A04">
        <w:t>pulmonary muscarinic receptors following the proposed commercial inhaled dose of 62.5 or 125</w:t>
      </w:r>
      <w:r>
        <w:t xml:space="preserve"> </w:t>
      </w:r>
      <w:r w:rsidRPr="004D1A04">
        <w:t>µg</w:t>
      </w:r>
      <w:r>
        <w:t xml:space="preserve"> </w:t>
      </w:r>
      <w:r w:rsidRPr="004D1A04">
        <w:t>/day.</w:t>
      </w:r>
    </w:p>
    <w:p w:rsidR="00B13321" w:rsidRPr="001340E9" w:rsidRDefault="00B13321" w:rsidP="00D90C7C">
      <w:pPr>
        <w:pStyle w:val="Heading7"/>
      </w:pPr>
      <w:r w:rsidRPr="001340E9">
        <w:t>VI</w:t>
      </w:r>
    </w:p>
    <w:p w:rsidR="00B13321" w:rsidRPr="004D1A04" w:rsidRDefault="00B13321" w:rsidP="00BF1584">
      <w:r w:rsidRPr="004D1A04">
        <w:t>All major VI human metabolites GW6</w:t>
      </w:r>
      <w:r>
        <w:t>30200 (M29) and GSK932009 (M33)</w:t>
      </w:r>
      <w:r w:rsidRPr="004D1A04">
        <w:t xml:space="preserve"> were </w:t>
      </w:r>
      <w:r>
        <w:t xml:space="preserve">&gt; </w:t>
      </w:r>
      <w:r w:rsidRPr="004D1A04">
        <w:t xml:space="preserve">2500 times less potent compared with </w:t>
      </w:r>
      <w:r>
        <w:t>VI</w:t>
      </w:r>
      <w:r w:rsidRPr="004D1A04">
        <w:t>. None of the compounds demonstrated any detectable beta</w:t>
      </w:r>
      <w:r w:rsidRPr="008E1C8C">
        <w:rPr>
          <w:vertAlign w:val="subscript"/>
        </w:rPr>
        <w:t>2</w:t>
      </w:r>
      <w:r w:rsidRPr="004D1A04">
        <w:t xml:space="preserve">- antagonist activity when tested against a submaximal concentration of </w:t>
      </w:r>
      <w:proofErr w:type="spellStart"/>
      <w:r w:rsidRPr="004D1A04">
        <w:t>isoprenaline</w:t>
      </w:r>
      <w:proofErr w:type="spellEnd"/>
      <w:r w:rsidRPr="004D1A04">
        <w:t xml:space="preserve"> as the agonist in the assay. All metabolites were either inactive in the assay or of such low potency that no beta-related effects would be seen in humans following administration of vilanterol at the proposed commercial dose (25</w:t>
      </w:r>
      <w:r>
        <w:t xml:space="preserve"> </w:t>
      </w:r>
      <w:r w:rsidRPr="004D1A04">
        <w:t>µg/day). Considering the low concentrations of metabolites present in human plasma, these results indicate that the pharmacological actions will predominantly be driven by vilanterol and not by the metabolites.</w:t>
      </w:r>
    </w:p>
    <w:p w:rsidR="00B13321" w:rsidRPr="004D1A04" w:rsidRDefault="00B13321" w:rsidP="00BF1584">
      <w:pPr>
        <w:pStyle w:val="Heading6"/>
      </w:pPr>
      <w:r w:rsidRPr="004D1A04">
        <w:t>Pharmacokinetics of metabolites</w:t>
      </w:r>
    </w:p>
    <w:p w:rsidR="00B13321" w:rsidRPr="004D1A04" w:rsidRDefault="00B13321" w:rsidP="00BF1584">
      <w:r w:rsidRPr="004D1A04">
        <w:t>In the majority of studies metabolite concentrations were below the limits of quantitation and so PK parameters were not evaluable.</w:t>
      </w:r>
    </w:p>
    <w:p w:rsidR="00B13321" w:rsidRPr="004D1A04" w:rsidRDefault="00B13321" w:rsidP="00BF1584">
      <w:pPr>
        <w:pStyle w:val="Heading5"/>
      </w:pPr>
      <w:bookmarkStart w:id="54" w:name="_Toc241374289"/>
      <w:bookmarkStart w:id="55" w:name="_Toc272414623"/>
      <w:bookmarkStart w:id="56" w:name="_Toc290846246"/>
      <w:bookmarkStart w:id="57" w:name="_Toc376461124"/>
      <w:r w:rsidRPr="004D1A04">
        <w:t>E</w:t>
      </w:r>
      <w:bookmarkEnd w:id="54"/>
      <w:r w:rsidRPr="004D1A04">
        <w:t>xcretion</w:t>
      </w:r>
      <w:bookmarkEnd w:id="55"/>
      <w:bookmarkEnd w:id="56"/>
      <w:bookmarkEnd w:id="57"/>
    </w:p>
    <w:p w:rsidR="00B13321" w:rsidRPr="004D1A04" w:rsidRDefault="00B13321" w:rsidP="00BF1584">
      <w:pPr>
        <w:pStyle w:val="Heading6"/>
      </w:pPr>
      <w:r w:rsidRPr="004D1A04">
        <w:t>Routes and mechanisms of excretion</w:t>
      </w:r>
    </w:p>
    <w:p w:rsidR="00B13321" w:rsidRPr="004D1A04" w:rsidRDefault="00B13321" w:rsidP="00D90C7C">
      <w:pPr>
        <w:pStyle w:val="Heading7"/>
      </w:pPr>
      <w:r w:rsidRPr="004D1A04">
        <w:t>UMEC</w:t>
      </w:r>
    </w:p>
    <w:p w:rsidR="00B13321" w:rsidRPr="004D1A04" w:rsidRDefault="00B13321" w:rsidP="00BF1584">
      <w:r w:rsidRPr="004D1A04">
        <w:t xml:space="preserve">Plasma clearance following </w:t>
      </w:r>
      <w:r w:rsidRPr="00A97182">
        <w:t>IV</w:t>
      </w:r>
      <w:r w:rsidRPr="004D1A04">
        <w:t xml:space="preserve"> administration was on average 151</w:t>
      </w:r>
      <w:r>
        <w:t xml:space="preserve"> L/hour (AC4112014</w:t>
      </w:r>
      <w:r w:rsidRPr="004D1A04">
        <w:t xml:space="preserve">). Following discontinuation of infusion at 30 minutes unchanged UMEC showed rapid disappearance from systemic circulation (median </w:t>
      </w:r>
      <w:proofErr w:type="spellStart"/>
      <w:r w:rsidRPr="004D1A04">
        <w:t>t</w:t>
      </w:r>
      <w:r w:rsidRPr="002427C2">
        <w:rPr>
          <w:vertAlign w:val="subscript"/>
        </w:rPr>
        <w:t>last</w:t>
      </w:r>
      <w:proofErr w:type="spellEnd"/>
      <w:r>
        <w:t xml:space="preserve"> = </w:t>
      </w:r>
      <w:r w:rsidRPr="004D1A04">
        <w:t xml:space="preserve">1 hour) and an elimination half-life following </w:t>
      </w:r>
      <w:r w:rsidRPr="00036B95">
        <w:t>intravenous</w:t>
      </w:r>
      <w:r w:rsidRPr="004D1A04">
        <w:t xml:space="preserve"> administration could not be estim</w:t>
      </w:r>
      <w:r>
        <w:t xml:space="preserve">ated. The excretion of the drug </w:t>
      </w:r>
      <w:r w:rsidRPr="004D1A04">
        <w:t xml:space="preserve">related material in the faeces following </w:t>
      </w:r>
      <w:r w:rsidRPr="00036B95">
        <w:t>intravenous</w:t>
      </w:r>
      <w:r w:rsidRPr="004D1A04">
        <w:t xml:space="preserve"> dosing suggests evidence for biliary secretion. This was further confirmed by detection of </w:t>
      </w:r>
      <w:r w:rsidRPr="002427C2">
        <w:rPr>
          <w:vertAlign w:val="superscript"/>
        </w:rPr>
        <w:t>14</w:t>
      </w:r>
      <w:r>
        <w:t xml:space="preserve">C-drug </w:t>
      </w:r>
      <w:r w:rsidRPr="004D1A04">
        <w:t>rela</w:t>
      </w:r>
      <w:r>
        <w:t>ted material following IV radio-</w:t>
      </w:r>
      <w:r w:rsidRPr="004D1A04">
        <w:t>labelled dosing in duodenal bile samples (37% of the radioactivity in duodenal bile samples was unchanged UMEC (11DMW019). UMEC plasma elimination half-life following IH dosing for 10 da</w:t>
      </w:r>
      <w:r>
        <w:t>ys averaged 19 hours (DB2114635</w:t>
      </w:r>
      <w:r w:rsidRPr="004D1A04">
        <w:t>). Following IH UMEC, approximately 1% to 2% and 3% to 4% of the drug following single and repeat dosing, respectively, w</w:t>
      </w:r>
      <w:r>
        <w:t>as excreted unchanged in urine.</w:t>
      </w:r>
    </w:p>
    <w:p w:rsidR="00B13321" w:rsidRPr="004D1A04" w:rsidRDefault="00B13321" w:rsidP="00D90C7C">
      <w:pPr>
        <w:pStyle w:val="Heading7"/>
      </w:pPr>
      <w:r w:rsidRPr="004D1A04">
        <w:t>VI</w:t>
      </w:r>
    </w:p>
    <w:p w:rsidR="00B13321" w:rsidRPr="004D1A04" w:rsidRDefault="00B13321" w:rsidP="00BF1584">
      <w:r w:rsidRPr="004D1A04">
        <w:t xml:space="preserve">The </w:t>
      </w:r>
      <w:r w:rsidRPr="00036B95">
        <w:t>intravenous</w:t>
      </w:r>
      <w:r w:rsidRPr="004D1A04">
        <w:t xml:space="preserve"> PK of VI showed high plasma clearance (geometric mean: 108</w:t>
      </w:r>
      <w:r>
        <w:t xml:space="preserve"> </w:t>
      </w:r>
      <w:r w:rsidRPr="004D1A04">
        <w:t>L/h) with an elimination half-life of on average 2.4 hours (HZA102934). Following single dose IH administration, the plasma elimination phase half-life averaged 2.</w:t>
      </w:r>
      <w:r>
        <w:t>5 hours (HZA102934</w:t>
      </w:r>
      <w:r w:rsidRPr="004D1A04">
        <w:t>). Vilanterol plasma elimination half-life following inhaled dosing</w:t>
      </w:r>
      <w:r>
        <w:t xml:space="preserve"> for 10 days averaged 11 hours.</w:t>
      </w:r>
    </w:p>
    <w:p w:rsidR="00B13321" w:rsidRPr="004D1A04" w:rsidRDefault="00B13321" w:rsidP="00BF1584">
      <w:pPr>
        <w:pStyle w:val="Heading6"/>
      </w:pPr>
      <w:r w:rsidRPr="004D1A04">
        <w:t>Mass balance studies</w:t>
      </w:r>
    </w:p>
    <w:p w:rsidR="00B13321" w:rsidRPr="004D1A04" w:rsidRDefault="00B13321" w:rsidP="00D90C7C">
      <w:pPr>
        <w:pStyle w:val="Heading7"/>
      </w:pPr>
      <w:r w:rsidRPr="004D1A04">
        <w:t>UMEC</w:t>
      </w:r>
    </w:p>
    <w:p w:rsidR="00B13321" w:rsidRPr="004D1A04" w:rsidRDefault="00B13321" w:rsidP="00BF1584">
      <w:r w:rsidRPr="004D1A04">
        <w:t>Following oral administration of (</w:t>
      </w:r>
      <w:r w:rsidRPr="002427C2">
        <w:rPr>
          <w:vertAlign w:val="superscript"/>
        </w:rPr>
        <w:t>14</w:t>
      </w:r>
      <w:r w:rsidRPr="004D1A04">
        <w:t>C)-UMEC to healthy male subjects, total radioactivity was excreted primarily in faeces (92% of the administered radiolabeled dose or 99% of the recovered radioactivity)</w:t>
      </w:r>
      <w:proofErr w:type="gramStart"/>
      <w:r w:rsidRPr="004D1A04">
        <w:t>,</w:t>
      </w:r>
      <w:proofErr w:type="gramEnd"/>
      <w:r w:rsidRPr="004D1A04">
        <w:t xml:space="preserve"> by 168 hours </w:t>
      </w:r>
      <w:r w:rsidR="00486EA4">
        <w:t>post dose</w:t>
      </w:r>
      <w:r>
        <w:t xml:space="preserve"> (AC4112014</w:t>
      </w:r>
      <w:r w:rsidRPr="004D1A04">
        <w:t xml:space="preserve">). Less than 1% of the orally administered dose (1% of recovered radioactivity) was excreted in urine in, suggesting negligible absorption following an oral dose. Following </w:t>
      </w:r>
      <w:r w:rsidRPr="00340D46">
        <w:t>intravenous</w:t>
      </w:r>
      <w:r w:rsidRPr="004D1A04">
        <w:t xml:space="preserve"> administration, approximately 58% of the administered radiolabeled dose (or 73% of the recovered radioactivity) was excreted in faeces by 192 hours </w:t>
      </w:r>
      <w:r w:rsidR="00486EA4">
        <w:t>post dose</w:t>
      </w:r>
      <w:r w:rsidRPr="004D1A04">
        <w:t>. Urinary elimination accounted for 22% of the administered radiolabeled dose by 168 hours (2</w:t>
      </w:r>
      <w:r>
        <w:t>7% of recovered radioactivity).</w:t>
      </w:r>
    </w:p>
    <w:p w:rsidR="00B13321" w:rsidRPr="004D1A04" w:rsidRDefault="00B13321" w:rsidP="00D90C7C">
      <w:pPr>
        <w:pStyle w:val="Heading7"/>
      </w:pPr>
      <w:r w:rsidRPr="004D1A04">
        <w:lastRenderedPageBreak/>
        <w:t>VI</w:t>
      </w:r>
    </w:p>
    <w:p w:rsidR="00B13321" w:rsidRPr="004D1A04" w:rsidRDefault="00B13321" w:rsidP="00BF1584">
      <w:r w:rsidRPr="004D1A04">
        <w:t xml:space="preserve">Following oral administration of </w:t>
      </w:r>
      <w:r>
        <w:t>(</w:t>
      </w:r>
      <w:r w:rsidRPr="002427C2">
        <w:rPr>
          <w:vertAlign w:val="superscript"/>
        </w:rPr>
        <w:t>14</w:t>
      </w:r>
      <w:r w:rsidRPr="004D1A04">
        <w:t>C</w:t>
      </w:r>
      <w:r>
        <w:t>)</w:t>
      </w:r>
      <w:r w:rsidRPr="004D1A04">
        <w:t>-VI to h</w:t>
      </w:r>
      <w:r>
        <w:t>ealthy male subjects (B2C10618</w:t>
      </w:r>
      <w:r w:rsidRPr="004D1A04">
        <w:t xml:space="preserve">) total radioactivity was excreted primarily in urine (50.4% of the administered radiolabeled dose or 70% of the recovered radioactivity). Faecal elimination accounted for </w:t>
      </w:r>
      <w:r>
        <w:t>21.2% of the administered radio-</w:t>
      </w:r>
      <w:r w:rsidRPr="004D1A04">
        <w:t xml:space="preserve">labelled dose over the 168 </w:t>
      </w:r>
      <w:r>
        <w:t xml:space="preserve">hour </w:t>
      </w:r>
      <w:r w:rsidRPr="004D1A04">
        <w:t>post</w:t>
      </w:r>
      <w:r>
        <w:t xml:space="preserve"> </w:t>
      </w:r>
      <w:r w:rsidRPr="004D1A04">
        <w:t>dose period (corresponding to 30% of the recovered radioactivity). Most of the urinary radioactivity (48.4% of the administered radio</w:t>
      </w:r>
      <w:r>
        <w:t>la</w:t>
      </w:r>
      <w:r w:rsidRPr="004D1A04">
        <w:t xml:space="preserve">belled dose) was excreted within 24 hours </w:t>
      </w:r>
      <w:r w:rsidR="00486EA4">
        <w:t>post dose</w:t>
      </w:r>
      <w:r w:rsidRPr="004D1A04">
        <w:t xml:space="preserve"> and most of the faecal radioactivity (20.6% of the administered radiolabeled dose) was excreted within 96 hour </w:t>
      </w:r>
      <w:r w:rsidR="00486EA4">
        <w:t>post dose</w:t>
      </w:r>
      <w:r w:rsidRPr="004D1A04">
        <w:t xml:space="preserve">. Although only 72% of the administered radiolabeled dose was recovered in urine and faeces collected over 7 days </w:t>
      </w:r>
      <w:r w:rsidR="00486EA4">
        <w:t>post dose</w:t>
      </w:r>
      <w:r>
        <w:t>, the elimination of VI drug-</w:t>
      </w:r>
      <w:r w:rsidRPr="004D1A04">
        <w:t xml:space="preserve">related material was essentially complete within 120 hours of dosing with less than 0.2% of the administered oral radiolabeled dose being recovered in the </w:t>
      </w:r>
      <w:r>
        <w:t xml:space="preserve">120 to 144 hour and 144- to 168- </w:t>
      </w:r>
      <w:r w:rsidRPr="004D1A04">
        <w:t>hour urine and faecal post</w:t>
      </w:r>
      <w:r>
        <w:t xml:space="preserve"> dose collections.</w:t>
      </w:r>
    </w:p>
    <w:p w:rsidR="00B13321" w:rsidRPr="00B31134" w:rsidRDefault="00B13321" w:rsidP="00BF1584">
      <w:pPr>
        <w:pStyle w:val="Heading6"/>
      </w:pPr>
      <w:r w:rsidRPr="00B31134">
        <w:t>Renal clearance</w:t>
      </w:r>
    </w:p>
    <w:p w:rsidR="00B13321" w:rsidRPr="00B31134" w:rsidRDefault="00B13321" w:rsidP="00D90C7C">
      <w:pPr>
        <w:pStyle w:val="Heading7"/>
      </w:pPr>
      <w:r w:rsidRPr="00B31134">
        <w:t>UMEC</w:t>
      </w:r>
    </w:p>
    <w:p w:rsidR="00B13321" w:rsidRPr="00B31134" w:rsidRDefault="00B13321" w:rsidP="00BF1584">
      <w:r w:rsidRPr="00B31134">
        <w:t>Renal clearance was on average 6 to 20 L/</w:t>
      </w:r>
      <w:r>
        <w:t xml:space="preserve">h </w:t>
      </w:r>
      <w:r w:rsidRPr="00B31134">
        <w:t>suggesting elimination via glomerular filtration and possible renal tubular secretion. Urine half-life of UMEC was on average approximately 9 to 35 hours and is consistent with UME</w:t>
      </w:r>
      <w:r>
        <w:t>C half-life observed in plasma.</w:t>
      </w:r>
    </w:p>
    <w:p w:rsidR="00B13321" w:rsidRPr="00B31134" w:rsidRDefault="00B13321" w:rsidP="00BF1584">
      <w:pPr>
        <w:pStyle w:val="Heading5"/>
      </w:pPr>
      <w:bookmarkStart w:id="58" w:name="_Toc241374291"/>
      <w:bookmarkStart w:id="59" w:name="_Toc272414624"/>
      <w:bookmarkStart w:id="60" w:name="_Toc290846247"/>
      <w:bookmarkStart w:id="61" w:name="_Toc376461125"/>
      <w:r w:rsidRPr="00B31134">
        <w:t>Intra- and inter-individual variability</w:t>
      </w:r>
      <w:bookmarkEnd w:id="58"/>
      <w:r w:rsidRPr="00B31134">
        <w:t xml:space="preserve"> of pharmacokinetics</w:t>
      </w:r>
      <w:bookmarkEnd w:id="59"/>
      <w:bookmarkEnd w:id="60"/>
      <w:bookmarkEnd w:id="61"/>
    </w:p>
    <w:p w:rsidR="00B13321" w:rsidRPr="00B31134" w:rsidRDefault="00B13321" w:rsidP="00BF1584">
      <w:r>
        <w:t>Inter-</w:t>
      </w:r>
      <w:r w:rsidRPr="00B31134">
        <w:t xml:space="preserve">individual variability in calculated PK parameters was expressed as CV% for most studies. Thus in healthy volunteers </w:t>
      </w:r>
      <w:proofErr w:type="gramStart"/>
      <w:r w:rsidRPr="003D7D21">
        <w:t>AUC</w:t>
      </w:r>
      <w:r w:rsidRPr="003D7D21">
        <w:rPr>
          <w:vertAlign w:val="subscript"/>
        </w:rPr>
        <w:t>(</w:t>
      </w:r>
      <w:proofErr w:type="gramEnd"/>
      <w:r w:rsidRPr="003D7D21">
        <w:rPr>
          <w:vertAlign w:val="subscript"/>
        </w:rPr>
        <w:t>0-∞)</w:t>
      </w:r>
      <w:r>
        <w:rPr>
          <w:vertAlign w:val="subscript"/>
        </w:rPr>
        <w:t xml:space="preserve"> </w:t>
      </w:r>
      <w:r w:rsidRPr="00B31134">
        <w:t>values ranged from 28 to 108% after doses of 20 to 65</w:t>
      </w:r>
      <w:r>
        <w:t xml:space="preserve"> </w:t>
      </w:r>
      <w:r w:rsidRPr="00B31134">
        <w:t>µg IV and 28% after 1000</w:t>
      </w:r>
      <w:r>
        <w:t xml:space="preserve"> </w:t>
      </w:r>
      <w:r w:rsidRPr="00B31134">
        <w:t xml:space="preserve">µg IH of UMEC. Similar variation was observed for other PK parameters in this </w:t>
      </w:r>
      <w:r>
        <w:t>study (AC4112008</w:t>
      </w:r>
      <w:r w:rsidRPr="00B31134">
        <w:t xml:space="preserve">) After a single inhaled </w:t>
      </w:r>
      <w:r w:rsidRPr="003F2263">
        <w:rPr>
          <w:bCs/>
        </w:rPr>
        <w:t xml:space="preserve">fluticasone </w:t>
      </w:r>
      <w:proofErr w:type="spellStart"/>
      <w:r w:rsidRPr="003F2263">
        <w:rPr>
          <w:bCs/>
        </w:rPr>
        <w:t>furoate</w:t>
      </w:r>
      <w:proofErr w:type="spellEnd"/>
      <w:r w:rsidRPr="003F2263">
        <w:rPr>
          <w:bCs/>
        </w:rPr>
        <w:t>/</w:t>
      </w:r>
      <w:proofErr w:type="spellStart"/>
      <w:r w:rsidRPr="003F2263">
        <w:rPr>
          <w:bCs/>
        </w:rPr>
        <w:t>vilanterol</w:t>
      </w:r>
      <w:proofErr w:type="spellEnd"/>
      <w:r w:rsidRPr="003F2263">
        <w:rPr>
          <w:bCs/>
        </w:rPr>
        <w:t xml:space="preserve"> </w:t>
      </w:r>
      <w:r w:rsidRPr="00B31134">
        <w:t>(800/100</w:t>
      </w:r>
      <w:r>
        <w:t xml:space="preserve"> </w:t>
      </w:r>
      <w:r w:rsidRPr="00B31134">
        <w:t>µg) or a single IV dose of vilanterol (55</w:t>
      </w:r>
      <w:r>
        <w:t xml:space="preserve"> </w:t>
      </w:r>
      <w:r w:rsidRPr="00B31134">
        <w:t xml:space="preserve">µg) the variance in </w:t>
      </w:r>
      <w:proofErr w:type="gramStart"/>
      <w:r w:rsidRPr="003D7D21">
        <w:t>AUC</w:t>
      </w:r>
      <w:r w:rsidRPr="003D7D21">
        <w:rPr>
          <w:vertAlign w:val="subscript"/>
        </w:rPr>
        <w:t>(</w:t>
      </w:r>
      <w:proofErr w:type="gramEnd"/>
      <w:r w:rsidRPr="003D7D21">
        <w:rPr>
          <w:vertAlign w:val="subscript"/>
        </w:rPr>
        <w:t>0-∞)</w:t>
      </w:r>
      <w:r w:rsidRPr="00B31134">
        <w:t xml:space="preserve"> was 28 </w:t>
      </w:r>
      <w:r>
        <w:t>and 42% respectively (HZA102934).</w:t>
      </w:r>
    </w:p>
    <w:p w:rsidR="00B13321" w:rsidRPr="00B31134" w:rsidRDefault="00B13321" w:rsidP="00BF1584">
      <w:r w:rsidRPr="00B31134">
        <w:t>After repeated IH doses of 1000</w:t>
      </w:r>
      <w:r>
        <w:t xml:space="preserve"> </w:t>
      </w:r>
      <w:r w:rsidRPr="00B31134">
        <w:t>µg UMEC in patients with COPD</w:t>
      </w:r>
      <w:r>
        <w:t xml:space="preserve"> for 7 days the variance in </w:t>
      </w:r>
      <w:proofErr w:type="gramStart"/>
      <w:r w:rsidRPr="003D7D21">
        <w:t>AUC</w:t>
      </w:r>
      <w:r w:rsidRPr="003D7D21">
        <w:rPr>
          <w:vertAlign w:val="subscript"/>
        </w:rPr>
        <w:t>(</w:t>
      </w:r>
      <w:proofErr w:type="gramEnd"/>
      <w:r w:rsidRPr="003D7D21">
        <w:rPr>
          <w:vertAlign w:val="subscript"/>
        </w:rPr>
        <w:t>0-t)</w:t>
      </w:r>
      <w:r w:rsidRPr="00B31134">
        <w:t xml:space="preserve"> was 42 to 134% (AC41</w:t>
      </w:r>
      <w:r>
        <w:t>05211</w:t>
      </w:r>
      <w:r w:rsidRPr="00B31134">
        <w:t xml:space="preserve">). After repeated IH doses </w:t>
      </w:r>
      <w:r w:rsidRPr="003F2263">
        <w:t xml:space="preserve">of </w:t>
      </w:r>
      <w:r w:rsidRPr="003F2263">
        <w:rPr>
          <w:bCs/>
        </w:rPr>
        <w:t xml:space="preserve">fluticasone </w:t>
      </w:r>
      <w:proofErr w:type="spellStart"/>
      <w:r w:rsidRPr="003F2263">
        <w:rPr>
          <w:bCs/>
        </w:rPr>
        <w:t>furoate</w:t>
      </w:r>
      <w:proofErr w:type="spellEnd"/>
      <w:r w:rsidRPr="003F2263">
        <w:rPr>
          <w:bCs/>
        </w:rPr>
        <w:t>/</w:t>
      </w:r>
      <w:proofErr w:type="spellStart"/>
      <w:r w:rsidRPr="003F2263">
        <w:rPr>
          <w:bCs/>
        </w:rPr>
        <w:t>vilanterol</w:t>
      </w:r>
      <w:proofErr w:type="spellEnd"/>
      <w:r w:rsidRPr="003F2263">
        <w:rPr>
          <w:bCs/>
        </w:rPr>
        <w:t xml:space="preserve"> </w:t>
      </w:r>
      <w:r w:rsidRPr="003F2263">
        <w:t>Inhalation Powder</w:t>
      </w:r>
      <w:r>
        <w:t xml:space="preserve"> 400/25µg </w:t>
      </w:r>
      <w:r w:rsidRPr="003F2263">
        <w:t>once daily</w:t>
      </w:r>
      <w:r>
        <w:t xml:space="preserve"> </w:t>
      </w:r>
      <w:r w:rsidRPr="00B31134">
        <w:t>for 28</w:t>
      </w:r>
      <w:r>
        <w:t xml:space="preserve"> </w:t>
      </w:r>
      <w:r w:rsidRPr="00B31134">
        <w:t xml:space="preserve">days the variance in </w:t>
      </w:r>
      <w:r w:rsidRPr="003D7D21">
        <w:t>AUC</w:t>
      </w:r>
      <w:r w:rsidRPr="003D7D21">
        <w:rPr>
          <w:vertAlign w:val="subscript"/>
        </w:rPr>
        <w:t>(0-t)</w:t>
      </w:r>
      <w:r w:rsidRPr="003725AA">
        <w:t xml:space="preserve"> </w:t>
      </w:r>
      <w:r w:rsidRPr="00B31134">
        <w:t xml:space="preserve">was 21% at day </w:t>
      </w:r>
      <w:r>
        <w:t>14 and 24% at day 28 (HZC111348</w:t>
      </w:r>
      <w:r w:rsidRPr="00B31134">
        <w:t>).</w:t>
      </w:r>
    </w:p>
    <w:p w:rsidR="00B13321" w:rsidRPr="00B31134" w:rsidRDefault="00B13321" w:rsidP="00BF1584">
      <w:pPr>
        <w:pStyle w:val="Heading4"/>
      </w:pPr>
      <w:bookmarkStart w:id="62" w:name="_Toc241374292"/>
      <w:bookmarkStart w:id="63" w:name="_Ref271189131"/>
      <w:bookmarkStart w:id="64" w:name="_Ref271189136"/>
      <w:bookmarkStart w:id="65" w:name="_Toc272414625"/>
      <w:bookmarkStart w:id="66" w:name="_Toc290846248"/>
      <w:bookmarkStart w:id="67" w:name="_Toc376461126"/>
      <w:r w:rsidRPr="00B31134">
        <w:t>Pharmacokinetics in the target population</w:t>
      </w:r>
      <w:bookmarkEnd w:id="62"/>
      <w:bookmarkEnd w:id="63"/>
      <w:bookmarkEnd w:id="64"/>
      <w:bookmarkEnd w:id="65"/>
      <w:bookmarkEnd w:id="66"/>
      <w:bookmarkEnd w:id="67"/>
    </w:p>
    <w:p w:rsidR="00B13321" w:rsidRPr="00BF1584" w:rsidRDefault="00B13321" w:rsidP="00D90C7C">
      <w:pPr>
        <w:pStyle w:val="Heading7"/>
      </w:pPr>
      <w:r w:rsidRPr="00BF1584">
        <w:t>UMEC</w:t>
      </w:r>
    </w:p>
    <w:p w:rsidR="00B13321" w:rsidRPr="00B31134" w:rsidRDefault="00B13321" w:rsidP="00BF1584">
      <w:r w:rsidRPr="00B31134">
        <w:t>The PK profile of UMEC in subjects with COPD has been establis</w:t>
      </w:r>
      <w:r>
        <w:t>hed in eight studies (AC4108123; AC4105211; AC4115321; AC4113073; AC4113589; AC4115408; DB2113361; DB2113373</w:t>
      </w:r>
      <w:r w:rsidRPr="00B31134">
        <w:t>). The most relevant estimates of selected PK parameters in subjects with COPD for UMEC, VI, and UMEC/VI were obtained from a population PK meta-analysis (DB2116975) of data from tw</w:t>
      </w:r>
      <w:r>
        <w:t xml:space="preserve">o Phase </w:t>
      </w:r>
      <w:proofErr w:type="spellStart"/>
      <w:r>
        <w:t>IIIa</w:t>
      </w:r>
      <w:proofErr w:type="spellEnd"/>
      <w:r>
        <w:t xml:space="preserve"> studies (DB2113361; DB2113373</w:t>
      </w:r>
      <w:r w:rsidRPr="00B31134">
        <w:t>). Subjects with COPD received UMEC (62.5 or 125 µg), VI (25</w:t>
      </w:r>
      <w:r>
        <w:t xml:space="preserve"> </w:t>
      </w:r>
      <w:r w:rsidRPr="00B31134">
        <w:t>µg) or UMEC/VI (62.5/25</w:t>
      </w:r>
      <w:r>
        <w:t xml:space="preserve"> </w:t>
      </w:r>
      <w:r w:rsidRPr="00B31134">
        <w:t>µg or 125/25</w:t>
      </w:r>
      <w:r>
        <w:t xml:space="preserve"> </w:t>
      </w:r>
      <w:r w:rsidRPr="00B31134">
        <w:t>µg). In addition to the population PK analysis, data on the PK profile of UMEC in subjects with COPD w</w:t>
      </w:r>
      <w:r>
        <w:t>as also collected in AC4105211</w:t>
      </w:r>
      <w:r w:rsidRPr="00B31134">
        <w:t>. The UMEC time concentration pro</w:t>
      </w:r>
      <w:r>
        <w:t>file over 24 hours suggests a 2-</w:t>
      </w:r>
      <w:r w:rsidRPr="00B31134">
        <w:t>compartmental PK model for UMEC at lower doses. Absorption following singl</w:t>
      </w:r>
      <w:r>
        <w:t>e- and repeat-</w:t>
      </w:r>
      <w:r w:rsidRPr="00B31134">
        <w:t xml:space="preserve">doses of inhaled UMEC was rapid, with a median </w:t>
      </w:r>
      <w:proofErr w:type="spellStart"/>
      <w:r w:rsidRPr="00B31134">
        <w:t>t</w:t>
      </w:r>
      <w:r w:rsidRPr="00A63454">
        <w:rPr>
          <w:vertAlign w:val="subscript"/>
        </w:rPr>
        <w:t>max</w:t>
      </w:r>
      <w:proofErr w:type="spellEnd"/>
      <w:r w:rsidRPr="00B31134">
        <w:t xml:space="preserve"> of 5 to 15 minu</w:t>
      </w:r>
      <w:r>
        <w:t>tes across all doses (AC4105211</w:t>
      </w:r>
      <w:r w:rsidRPr="00B31134">
        <w:t>).</w:t>
      </w:r>
    </w:p>
    <w:p w:rsidR="00B13321" w:rsidRPr="00B31134" w:rsidRDefault="00B13321" w:rsidP="00B13321">
      <w:r w:rsidRPr="00B31134">
        <w:t>Analy</w:t>
      </w:r>
      <w:r>
        <w:t xml:space="preserve">sis of UMEC PK following repeat </w:t>
      </w:r>
      <w:r w:rsidRPr="00B31134">
        <w:t xml:space="preserve">dose administration </w:t>
      </w:r>
      <w:r>
        <w:t>with UMEC for 7 days showed 1.5 -to 1.9-</w:t>
      </w:r>
      <w:r w:rsidRPr="00B31134">
        <w:t>fold higher systemic exposure compared with Day 1. The elimination t</w:t>
      </w:r>
      <w:r w:rsidRPr="00A63454">
        <w:rPr>
          <w:vertAlign w:val="subscript"/>
        </w:rPr>
        <w:t>½</w:t>
      </w:r>
      <w:r w:rsidRPr="00B31134">
        <w:t xml:space="preserve"> could only be calculated in 4 subjects at Day 7 in the 1000</w:t>
      </w:r>
      <w:r>
        <w:t xml:space="preserve"> </w:t>
      </w:r>
      <w:r w:rsidRPr="00B31134">
        <w:t xml:space="preserve">µg group due to the large number of unquantifiable samples. The elimination </w:t>
      </w:r>
      <w:r w:rsidRPr="00083DDF">
        <w:t>t</w:t>
      </w:r>
      <w:r w:rsidRPr="00083DDF">
        <w:rPr>
          <w:vertAlign w:val="subscript"/>
        </w:rPr>
        <w:t>½</w:t>
      </w:r>
      <w:r>
        <w:rPr>
          <w:vertAlign w:val="subscript"/>
        </w:rPr>
        <w:t xml:space="preserve"> </w:t>
      </w:r>
      <w:r w:rsidRPr="00B31134">
        <w:t>ranged b</w:t>
      </w:r>
      <w:r>
        <w:t>etween 8 to 17 hours (AC4105211</w:t>
      </w:r>
      <w:r w:rsidRPr="00B31134">
        <w:t xml:space="preserve">). This range in elimination </w:t>
      </w:r>
      <w:r w:rsidRPr="00083DDF">
        <w:t>t</w:t>
      </w:r>
      <w:r w:rsidRPr="00083DDF">
        <w:rPr>
          <w:vertAlign w:val="subscript"/>
        </w:rPr>
        <w:t>½</w:t>
      </w:r>
      <w:r>
        <w:rPr>
          <w:vertAlign w:val="subscript"/>
        </w:rPr>
        <w:t xml:space="preserve"> </w:t>
      </w:r>
      <w:r w:rsidRPr="00B31134">
        <w:t>is consis</w:t>
      </w:r>
      <w:r>
        <w:t xml:space="preserve">tent with the expected 1.5 to 2 </w:t>
      </w:r>
      <w:r w:rsidRPr="00B31134">
        <w:t>f</w:t>
      </w:r>
      <w:r>
        <w:t>old accumulation following QD</w:t>
      </w:r>
      <w:r w:rsidRPr="00B31134">
        <w:t xml:space="preserve"> dosing. PK analysis of urine UMEC data showed that renal excretion is a minor disposition pathway for UMEC. Approximately 1% to 2% of the total dose following single dose administration and 2% to 3% of the</w:t>
      </w:r>
      <w:r>
        <w:t xml:space="preserve"> total dose following repeat </w:t>
      </w:r>
      <w:r w:rsidRPr="00B31134">
        <w:t>dose administration was excrete</w:t>
      </w:r>
      <w:r>
        <w:t xml:space="preserve">d unchanged in urine </w:t>
      </w:r>
      <w:r>
        <w:lastRenderedPageBreak/>
        <w:t>(AC4105211</w:t>
      </w:r>
      <w:r w:rsidRPr="00B31134">
        <w:t xml:space="preserve">). Urine data suggested </w:t>
      </w:r>
      <w:r>
        <w:t xml:space="preserve">an approximate 2 </w:t>
      </w:r>
      <w:r w:rsidRPr="00B31134">
        <w:t xml:space="preserve">fold accumulation of </w:t>
      </w:r>
      <w:r>
        <w:t xml:space="preserve">unchanged UMEC following repeat </w:t>
      </w:r>
      <w:r w:rsidRPr="00B31134">
        <w:t>dose administration for 7</w:t>
      </w:r>
      <w:r>
        <w:t xml:space="preserve"> days. Other studies (AC4115321; AC4113073; AC4113589; AC4115408; AC4108123</w:t>
      </w:r>
      <w:r w:rsidRPr="00B31134">
        <w:t>) generally support the estimates of PK parameters for UMEC in subjects with COPD.</w:t>
      </w:r>
    </w:p>
    <w:p w:rsidR="00B13321" w:rsidRPr="00BF1584" w:rsidRDefault="00B13321" w:rsidP="00D90C7C">
      <w:pPr>
        <w:pStyle w:val="Heading7"/>
      </w:pPr>
      <w:r w:rsidRPr="00BF1584">
        <w:t>VI</w:t>
      </w:r>
    </w:p>
    <w:p w:rsidR="00B13321" w:rsidRPr="00B31134" w:rsidRDefault="00B13321" w:rsidP="00BF1584">
      <w:r w:rsidRPr="00B31134">
        <w:t>The PK profile of VI in subjects with COPD has been establi</w:t>
      </w:r>
      <w:r>
        <w:t>shed in five studies (B2C110165; HZC111348; HZC110946; DB2113361; DB2113373</w:t>
      </w:r>
      <w:r w:rsidRPr="00B31134">
        <w:t>). The VI PK dataset had a total of 1637 subjects who provided 8405 observations for population PK analyses, either alone or in combination with UMEC (DB21169</w:t>
      </w:r>
      <w:r>
        <w:t>75 combined data from DB2113361 and DB2113373. VI plasma concentration-</w:t>
      </w:r>
      <w:r w:rsidRPr="00B31134">
        <w:t xml:space="preserve">time data were used for population PK analyses using non-linear mixed effects modelling with NONMEM program. VI </w:t>
      </w:r>
      <w:r>
        <w:t>data were best described by a 2-</w:t>
      </w:r>
      <w:r w:rsidRPr="00B31134">
        <w:t>compartment PK model with first order absorption. Weight and age were statistically significant predictors (covariates) of apparent inhaled clearance of VI. Model predicted VI apparent clearance (CL/F) was 41 L/</w:t>
      </w:r>
      <w:r>
        <w:t xml:space="preserve">hour </w:t>
      </w:r>
      <w:r w:rsidRPr="00B31134">
        <w:t>(approximate to liver blood flow), suggesting hepatic metabolism as one of the primary disposition pathways. Apparent volume of distribution of 268 L for the central compartment (V2/F) suggested extensive distribution. The predicted absorption rate constant (</w:t>
      </w:r>
      <w:proofErr w:type="spellStart"/>
      <w:r w:rsidRPr="00B31134">
        <w:t>Ka</w:t>
      </w:r>
      <w:proofErr w:type="spellEnd"/>
      <w:r w:rsidRPr="00B31134">
        <w:t>) was also large, indicating rapid absorption. Model predicted geometric means (and 95% C</w:t>
      </w:r>
      <w:r>
        <w:t>I) were: CL/F = 41 (40, 42) L/h</w:t>
      </w:r>
      <w:r w:rsidRPr="00B31134">
        <w:t>; V2/F</w:t>
      </w:r>
      <w:r>
        <w:t xml:space="preserve"> = </w:t>
      </w:r>
      <w:r w:rsidRPr="00B31134">
        <w:t xml:space="preserve">268 (258, 278) L; </w:t>
      </w:r>
      <w:proofErr w:type="spellStart"/>
      <w:r w:rsidRPr="00B31134">
        <w:t>Ka</w:t>
      </w:r>
      <w:proofErr w:type="spellEnd"/>
      <w:r>
        <w:t xml:space="preserve"> = </w:t>
      </w:r>
      <w:r w:rsidRPr="00B31134">
        <w:t>19 (14, 24) h-1. The final model parameters were used to estimate the typical PK parameters for an individual. No dose adjustment was warranted based on these covariates as their effect on VI PK was marginal. Population PK analysis also showed no difference in PK parameters when VI w</w:t>
      </w:r>
      <w:r>
        <w:t>as administered as mono-</w:t>
      </w:r>
      <w:r w:rsidRPr="00B31134">
        <w:t>therapy compared with when adminis</w:t>
      </w:r>
      <w:r>
        <w:t>tered in combination with UMEC.</w:t>
      </w:r>
    </w:p>
    <w:p w:rsidR="00B13321" w:rsidRPr="00B31134" w:rsidRDefault="00B13321" w:rsidP="00BF1584">
      <w:r w:rsidRPr="00B31134">
        <w:t xml:space="preserve">In addition to the population PK analysis data on the PK profile of VI in subjects with COPD was available in Study HZC111348. Median VI PK profiles at Day 1, Day 14, and </w:t>
      </w:r>
      <w:r>
        <w:t>Day 28 over 4 hours suggest a 2-</w:t>
      </w:r>
      <w:r w:rsidRPr="00B31134">
        <w:t>compartmental PK model for VI at stea</w:t>
      </w:r>
      <w:r>
        <w:t>dy state. Following both single- and repeat-</w:t>
      </w:r>
      <w:r w:rsidRPr="00B31134">
        <w:t xml:space="preserve">dose administration, VI was rapidly absorbed, with median </w:t>
      </w:r>
      <w:proofErr w:type="spellStart"/>
      <w:r w:rsidRPr="00B31134">
        <w:t>t</w:t>
      </w:r>
      <w:r w:rsidRPr="00083DDF">
        <w:rPr>
          <w:vertAlign w:val="subscript"/>
        </w:rPr>
        <w:t>max</w:t>
      </w:r>
      <w:proofErr w:type="spellEnd"/>
      <w:r>
        <w:t xml:space="preserve"> values of 7 to 10 minutes post-</w:t>
      </w:r>
      <w:r w:rsidRPr="00B31134">
        <w:t>dose, after which plasma concentrations decl</w:t>
      </w:r>
      <w:r>
        <w:t>ined rapidly (HZC111348). Repeat-</w:t>
      </w:r>
      <w:r w:rsidRPr="00B31134">
        <w:t>dose administration w</w:t>
      </w:r>
      <w:r>
        <w:t>ith VI for 14 days showed a 1.3- to 1.7-</w:t>
      </w:r>
      <w:r w:rsidRPr="00B31134">
        <w:t>fold high</w:t>
      </w:r>
      <w:r>
        <w:t>er systemic exposure and repeat-</w:t>
      </w:r>
      <w:r w:rsidRPr="00B31134">
        <w:t>dose administ</w:t>
      </w:r>
      <w:r>
        <w:t>ration for 28 days showed a 1.7- to 2.0-</w:t>
      </w:r>
      <w:r w:rsidRPr="00B31134">
        <w:t>fold higher systemic exposure compared with Day 1, as indicated by estimated accumulation ratios for plasma parameters (</w:t>
      </w:r>
      <w:proofErr w:type="spellStart"/>
      <w:r w:rsidRPr="000F1444">
        <w:t>C</w:t>
      </w:r>
      <w:r w:rsidRPr="000F1444">
        <w:rPr>
          <w:vertAlign w:val="subscript"/>
        </w:rPr>
        <w:t>max</w:t>
      </w:r>
      <w:proofErr w:type="spellEnd"/>
      <w:r w:rsidRPr="00B31134">
        <w:t xml:space="preserve"> and </w:t>
      </w:r>
      <w:proofErr w:type="gramStart"/>
      <w:r w:rsidRPr="003D7D21">
        <w:t>AUC</w:t>
      </w:r>
      <w:r w:rsidRPr="003D7D21">
        <w:rPr>
          <w:vertAlign w:val="subscript"/>
        </w:rPr>
        <w:t>(</w:t>
      </w:r>
      <w:proofErr w:type="gramEnd"/>
      <w:r w:rsidRPr="003D7D21">
        <w:rPr>
          <w:vertAlign w:val="subscript"/>
        </w:rPr>
        <w:t>0-t)</w:t>
      </w:r>
      <w:r w:rsidRPr="00B31134">
        <w:t>). Lower accumulation ratios between Day 28 and Day 14 suggest achievement of steady state by Day 14.</w:t>
      </w:r>
    </w:p>
    <w:p w:rsidR="00B13321" w:rsidRPr="00B31134" w:rsidRDefault="00B13321" w:rsidP="00D90C7C">
      <w:pPr>
        <w:pStyle w:val="Heading7"/>
      </w:pPr>
      <w:r w:rsidRPr="00B31134">
        <w:t>UMEC/VI</w:t>
      </w:r>
    </w:p>
    <w:p w:rsidR="00B13321" w:rsidRDefault="00B13321" w:rsidP="00BF1584">
      <w:r w:rsidRPr="00B31134">
        <w:t>The primary PK in subjects with COPD for UMEC/VI was established from a population PK meta-analysis. Additionally, the PK profile of UMEC and VI in subjects with COPD when administered in combination has been established in Study DB2113120. Study DB2113120 was a study that evaluated the combination of UMEC (500</w:t>
      </w:r>
      <w:r>
        <w:t xml:space="preserve"> </w:t>
      </w:r>
      <w:r w:rsidRPr="00B31134">
        <w:t>µg) and VI (25</w:t>
      </w:r>
      <w:r>
        <w:t xml:space="preserve"> µg) administered once-</w:t>
      </w:r>
      <w:r w:rsidRPr="001D1DD0">
        <w:t>daily</w:t>
      </w:r>
      <w:r w:rsidRPr="00B31134">
        <w:t xml:space="preserve"> for 4 weeks in subjects w</w:t>
      </w:r>
      <w:r>
        <w:t>ith COPD. Following both single- and repeat-</w:t>
      </w:r>
      <w:r w:rsidRPr="00B31134">
        <w:t xml:space="preserve">dose administration UMEC was rapidly absorbed, with median </w:t>
      </w:r>
      <w:proofErr w:type="spellStart"/>
      <w:r w:rsidRPr="00B31134">
        <w:t>t</w:t>
      </w:r>
      <w:r w:rsidRPr="00992AC0">
        <w:rPr>
          <w:vertAlign w:val="subscript"/>
        </w:rPr>
        <w:t>max</w:t>
      </w:r>
      <w:proofErr w:type="spellEnd"/>
      <w:r w:rsidRPr="00B31134">
        <w:t xml:space="preserve"> values of approximately 5 minutes </w:t>
      </w:r>
      <w:r w:rsidR="00486EA4">
        <w:t>post dose</w:t>
      </w:r>
      <w:r w:rsidRPr="00B31134">
        <w:t>, after which plasma concentrati</w:t>
      </w:r>
      <w:r>
        <w:t>ons declined rapidly (DB2113120). Repeat-</w:t>
      </w:r>
      <w:r w:rsidRPr="00B31134">
        <w:t>dose administ</w:t>
      </w:r>
      <w:r>
        <w:t>ration for 14 days showed a 1.4-</w:t>
      </w:r>
      <w:r w:rsidRPr="00B31134">
        <w:t xml:space="preserve">fold higher systemic exposure (based on </w:t>
      </w:r>
      <w:proofErr w:type="spellStart"/>
      <w:r w:rsidRPr="00B31134">
        <w:t>C</w:t>
      </w:r>
      <w:r w:rsidRPr="00992AC0">
        <w:rPr>
          <w:vertAlign w:val="subscript"/>
        </w:rPr>
        <w:t>max</w:t>
      </w:r>
      <w:proofErr w:type="spellEnd"/>
      <w:r w:rsidRPr="00B31134">
        <w:t>), and administ</w:t>
      </w:r>
      <w:r>
        <w:t>ration for 28 days showed a 1.1- to 1.3-</w:t>
      </w:r>
      <w:r w:rsidRPr="00B31134">
        <w:t>fold higher system</w:t>
      </w:r>
      <w:r>
        <w:t xml:space="preserve">ic exposure (based on </w:t>
      </w:r>
      <w:proofErr w:type="spellStart"/>
      <w:r>
        <w:t>C</w:t>
      </w:r>
      <w:r w:rsidRPr="00992AC0">
        <w:rPr>
          <w:vertAlign w:val="subscript"/>
        </w:rPr>
        <w:t>max</w:t>
      </w:r>
      <w:proofErr w:type="spellEnd"/>
      <w:r>
        <w:t xml:space="preserve">, </w:t>
      </w:r>
      <w:proofErr w:type="gramStart"/>
      <w:r w:rsidRPr="003D7D21">
        <w:t>AUC</w:t>
      </w:r>
      <w:r>
        <w:rPr>
          <w:vertAlign w:val="subscript"/>
        </w:rPr>
        <w:t>(</w:t>
      </w:r>
      <w:proofErr w:type="gramEnd"/>
      <w:r>
        <w:rPr>
          <w:vertAlign w:val="subscript"/>
        </w:rPr>
        <w:t>0-2</w:t>
      </w:r>
      <w:r w:rsidRPr="003D7D21">
        <w:rPr>
          <w:vertAlign w:val="subscript"/>
        </w:rPr>
        <w:t>)</w:t>
      </w:r>
      <w:r>
        <w:t xml:space="preserve">, and </w:t>
      </w:r>
      <w:r w:rsidRPr="003D7D21">
        <w:t>AUC</w:t>
      </w:r>
      <w:r>
        <w:rPr>
          <w:vertAlign w:val="subscript"/>
        </w:rPr>
        <w:t>(0-3</w:t>
      </w:r>
      <w:r w:rsidRPr="003D7D21">
        <w:rPr>
          <w:vertAlign w:val="subscript"/>
        </w:rPr>
        <w:t>)</w:t>
      </w:r>
      <w:r w:rsidRPr="00B31134">
        <w:t>) compared wi</w:t>
      </w:r>
      <w:r>
        <w:t>th Day 1. Following both single- and repeat-</w:t>
      </w:r>
      <w:r w:rsidRPr="00B31134">
        <w:t xml:space="preserve">dose administration of VI in combination with UMEC, VI was rapidly absorbed, with median </w:t>
      </w:r>
      <w:proofErr w:type="spellStart"/>
      <w:r w:rsidRPr="00B31134">
        <w:t>t</w:t>
      </w:r>
      <w:r w:rsidRPr="00992AC0">
        <w:rPr>
          <w:vertAlign w:val="subscript"/>
        </w:rPr>
        <w:t>max</w:t>
      </w:r>
      <w:proofErr w:type="spellEnd"/>
      <w:r w:rsidRPr="00B31134">
        <w:t xml:space="preserve"> values oc</w:t>
      </w:r>
      <w:r>
        <w:t>curring at 5 to 15 minutes post-</w:t>
      </w:r>
      <w:r w:rsidRPr="00B31134">
        <w:t xml:space="preserve">dose. Except for the </w:t>
      </w:r>
      <w:proofErr w:type="spellStart"/>
      <w:r w:rsidRPr="00B31134">
        <w:t>C</w:t>
      </w:r>
      <w:r w:rsidRPr="00992AC0">
        <w:rPr>
          <w:vertAlign w:val="subscript"/>
        </w:rPr>
        <w:t>max</w:t>
      </w:r>
      <w:proofErr w:type="spellEnd"/>
      <w:r w:rsidRPr="00992AC0">
        <w:rPr>
          <w:vertAlign w:val="subscript"/>
        </w:rPr>
        <w:t xml:space="preserve"> </w:t>
      </w:r>
      <w:r w:rsidRPr="00B31134">
        <w:t>compari</w:t>
      </w:r>
      <w:r>
        <w:t>son at Day 14 versus Day 1 (1.3-</w:t>
      </w:r>
      <w:r w:rsidRPr="00B31134">
        <w:t xml:space="preserve">fold), there was no consistent evidence of accumulation of VI based estimated accumulation ratios for </w:t>
      </w:r>
      <w:r>
        <w:t>VI plasma parameters (</w:t>
      </w:r>
      <w:proofErr w:type="spellStart"/>
      <w:r>
        <w:t>C</w:t>
      </w:r>
      <w:r w:rsidRPr="00992AC0">
        <w:rPr>
          <w:vertAlign w:val="subscript"/>
        </w:rPr>
        <w:t>max</w:t>
      </w:r>
      <w:proofErr w:type="spellEnd"/>
      <w:r w:rsidRPr="00B43030">
        <w:t>,</w:t>
      </w:r>
      <w:r>
        <w:t xml:space="preserve"> </w:t>
      </w:r>
      <w:proofErr w:type="gramStart"/>
      <w:r w:rsidRPr="003D7D21">
        <w:t>AUC</w:t>
      </w:r>
      <w:r w:rsidRPr="003D7D21">
        <w:rPr>
          <w:vertAlign w:val="subscript"/>
        </w:rPr>
        <w:t>(</w:t>
      </w:r>
      <w:proofErr w:type="gramEnd"/>
      <w:r w:rsidRPr="003D7D21">
        <w:rPr>
          <w:vertAlign w:val="subscript"/>
        </w:rPr>
        <w:t>0-0.25)</w:t>
      </w:r>
      <w:r>
        <w:t>, and AUC</w:t>
      </w:r>
      <w:r w:rsidRPr="003D7D21">
        <w:rPr>
          <w:vertAlign w:val="subscript"/>
        </w:rPr>
        <w:t>(</w:t>
      </w:r>
      <w:r w:rsidRPr="003725AA">
        <w:rPr>
          <w:vertAlign w:val="subscript"/>
        </w:rPr>
        <w:t>0-0.5</w:t>
      </w:r>
      <w:r>
        <w:rPr>
          <w:vertAlign w:val="subscript"/>
        </w:rPr>
        <w:t>)</w:t>
      </w:r>
      <w:r w:rsidRPr="00B31134">
        <w:t>).</w:t>
      </w:r>
    </w:p>
    <w:p w:rsidR="00B13321" w:rsidRPr="00B31134" w:rsidRDefault="00B13321" w:rsidP="00BF1584">
      <w:pPr>
        <w:pStyle w:val="Heading4"/>
      </w:pPr>
      <w:bookmarkStart w:id="68" w:name="_Toc272414626"/>
      <w:bookmarkStart w:id="69" w:name="_Toc290846249"/>
      <w:bookmarkStart w:id="70" w:name="_Toc376461127"/>
      <w:r w:rsidRPr="00B31134">
        <w:lastRenderedPageBreak/>
        <w:t>Pharmacokinetics in other special populations</w:t>
      </w:r>
      <w:bookmarkEnd w:id="68"/>
      <w:bookmarkEnd w:id="69"/>
      <w:bookmarkEnd w:id="70"/>
    </w:p>
    <w:p w:rsidR="00B13321" w:rsidRPr="00B31134" w:rsidRDefault="00B13321" w:rsidP="00BF1584">
      <w:pPr>
        <w:pStyle w:val="Heading5"/>
      </w:pPr>
      <w:bookmarkStart w:id="71" w:name="_Toc272414627"/>
      <w:bookmarkStart w:id="72" w:name="_Toc290846250"/>
      <w:bookmarkStart w:id="73" w:name="_Toc376461128"/>
      <w:r w:rsidRPr="00B31134">
        <w:t>Pharmacokinetics in subjects with impaired hepatic function</w:t>
      </w:r>
      <w:bookmarkEnd w:id="71"/>
      <w:bookmarkEnd w:id="72"/>
      <w:bookmarkEnd w:id="73"/>
    </w:p>
    <w:p w:rsidR="00B13321" w:rsidRPr="00B31134" w:rsidRDefault="00B13321" w:rsidP="00BF1584">
      <w:r w:rsidRPr="00B31134">
        <w:t>The hepatic route has been determined as the major route of elimination of UMEC. Therefore, the effect of hepatic impairment on the PK of UMEC and VI was assessed in two studies comparing healthy subjects to subjects with varying degrees of</w:t>
      </w:r>
      <w:r>
        <w:t xml:space="preserve"> hepatic impairment (DB2114637 and HZA111789</w:t>
      </w:r>
      <w:r w:rsidRPr="00B31134">
        <w:t>).</w:t>
      </w:r>
    </w:p>
    <w:p w:rsidR="00B13321" w:rsidRPr="00B31134" w:rsidRDefault="00B13321" w:rsidP="00BF1584">
      <w:r>
        <w:t>Single-</w:t>
      </w:r>
      <w:r w:rsidRPr="00B31134">
        <w:t xml:space="preserve"> and r</w:t>
      </w:r>
      <w:r>
        <w:t>epeat-</w:t>
      </w:r>
      <w:r w:rsidRPr="00B31134">
        <w:t>doses of UMEC alone (125</w:t>
      </w:r>
      <w:r>
        <w:t xml:space="preserve"> </w:t>
      </w:r>
      <w:r w:rsidRPr="00B31134">
        <w:t>µg) and a single dose of UMEC/VI (125/25</w:t>
      </w:r>
      <w:r>
        <w:t xml:space="preserve"> </w:t>
      </w:r>
      <w:r w:rsidRPr="00B31134">
        <w:t xml:space="preserve">µg) in subjects with moderate hepatic impairment were compared to healthy subjects. </w:t>
      </w:r>
      <w:proofErr w:type="spellStart"/>
      <w:r w:rsidRPr="00B31134">
        <w:t>Hepatically</w:t>
      </w:r>
      <w:proofErr w:type="spellEnd"/>
      <w:r w:rsidRPr="00B31134">
        <w:t xml:space="preserve"> impaired subjects were classified using the Child-Pugh moderate: Child-Pugh B (7 to 9 poin</w:t>
      </w:r>
      <w:r>
        <w:t>ts) (DB2114637)</w:t>
      </w:r>
      <w:r w:rsidRPr="00B31134">
        <w:t>. Patients with mild or moderate hepatic impairment showed no evidence of an increase in systemic exposure to UMEC and VI (</w:t>
      </w:r>
      <w:proofErr w:type="spellStart"/>
      <w:r w:rsidRPr="00B31134">
        <w:t>C</w:t>
      </w:r>
      <w:r w:rsidRPr="00992AC0">
        <w:rPr>
          <w:vertAlign w:val="subscript"/>
        </w:rPr>
        <w:t>max</w:t>
      </w:r>
      <w:proofErr w:type="spellEnd"/>
      <w:r w:rsidRPr="00B31134">
        <w:t xml:space="preserve"> and AUC), and no evide</w:t>
      </w:r>
      <w:r>
        <w:t>nce of altered protein binding.</w:t>
      </w:r>
    </w:p>
    <w:p w:rsidR="00B13321" w:rsidRPr="00B31134" w:rsidRDefault="00B13321" w:rsidP="00BF1584">
      <w:r>
        <w:t xml:space="preserve">An open-label study of repeat </w:t>
      </w:r>
      <w:r w:rsidRPr="00B31134">
        <w:t>doses of FF/VI (</w:t>
      </w:r>
      <w:r>
        <w:t>once-</w:t>
      </w:r>
      <w:r w:rsidRPr="00CF40B4">
        <w:t>daily</w:t>
      </w:r>
      <w:r w:rsidRPr="00B31134">
        <w:t xml:space="preserve"> for 7 days) was conducted in subjects with mild, moderate, or severe hepatic impairment and healthy co</w:t>
      </w:r>
      <w:r>
        <w:t>ntrols (HZA111789</w:t>
      </w:r>
      <w:r w:rsidRPr="00B31134">
        <w:t xml:space="preserve">). </w:t>
      </w:r>
      <w:proofErr w:type="spellStart"/>
      <w:r w:rsidRPr="00B31134">
        <w:t>Hepatically</w:t>
      </w:r>
      <w:proofErr w:type="spellEnd"/>
      <w:r w:rsidRPr="00B31134">
        <w:t xml:space="preserve"> impaired subjects were classified into groups using </w:t>
      </w:r>
      <w:r>
        <w:t>the Child-Pugh classification;-</w:t>
      </w:r>
      <w:r w:rsidRPr="00B31134">
        <w:t>mild: Child-Pugh A (5 to 6 points); moderate: Child-Pugh B (7 to 9 points); severe: Child-Pugh C (10 to 15 points). There was no indication of an effect of hepatic impairment on VI systemic exposure (dose normalis</w:t>
      </w:r>
      <w:r>
        <w:t xml:space="preserve">ed </w:t>
      </w:r>
      <w:proofErr w:type="spellStart"/>
      <w:r>
        <w:t>C</w:t>
      </w:r>
      <w:r w:rsidRPr="00FF4081">
        <w:rPr>
          <w:vertAlign w:val="subscript"/>
        </w:rPr>
        <w:t>max</w:t>
      </w:r>
      <w:proofErr w:type="spellEnd"/>
      <w:r>
        <w:t xml:space="preserve"> and dose normalised </w:t>
      </w:r>
      <w:proofErr w:type="gramStart"/>
      <w:r w:rsidRPr="003D7D21">
        <w:t>AUC</w:t>
      </w:r>
      <w:r>
        <w:rPr>
          <w:vertAlign w:val="subscript"/>
        </w:rPr>
        <w:t>(</w:t>
      </w:r>
      <w:proofErr w:type="gramEnd"/>
      <w:r>
        <w:rPr>
          <w:vertAlign w:val="subscript"/>
        </w:rPr>
        <w:t>0-24</w:t>
      </w:r>
      <w:r w:rsidRPr="003D7D21">
        <w:rPr>
          <w:vertAlign w:val="subscript"/>
        </w:rPr>
        <w:t>)</w:t>
      </w:r>
      <w:r>
        <w:t xml:space="preserve"> on Day 7)</w:t>
      </w:r>
      <w:r w:rsidRPr="00B31134">
        <w:t>.</w:t>
      </w:r>
    </w:p>
    <w:p w:rsidR="00B13321" w:rsidRPr="00B31134" w:rsidRDefault="00B13321" w:rsidP="00BF1584">
      <w:r w:rsidRPr="00B31134">
        <w:t>The PK of UMEC/VI, UMEC and VI in subjects with moderate hepatic impairment were similar to those in healthy subjects. As UMEC/VI was not studied in subjects with severe hepatic impairment caution will be recommended for use of UMEC/VI in patients with severe hepatic impairment.</w:t>
      </w:r>
    </w:p>
    <w:p w:rsidR="00B13321" w:rsidRPr="00B31134" w:rsidRDefault="00B13321" w:rsidP="00BF1584">
      <w:pPr>
        <w:pStyle w:val="Heading5"/>
      </w:pPr>
      <w:bookmarkStart w:id="74" w:name="_Toc272414628"/>
      <w:bookmarkStart w:id="75" w:name="_Toc290846251"/>
      <w:bookmarkStart w:id="76" w:name="_Toc376461129"/>
      <w:r w:rsidRPr="00B31134">
        <w:t>Pharmacokinetics in subjects with impaired renal function</w:t>
      </w:r>
      <w:bookmarkEnd w:id="74"/>
      <w:bookmarkEnd w:id="75"/>
      <w:bookmarkEnd w:id="76"/>
    </w:p>
    <w:p w:rsidR="00B13321" w:rsidRPr="00B31134" w:rsidRDefault="00B13321" w:rsidP="00BF1584">
      <w:r w:rsidRPr="00B31134">
        <w:t>The effect of renal impairment on the PK of UMEC and VI was directly assessed in two studies in subjects with severe renal impairment and matched healthy co</w:t>
      </w:r>
      <w:r>
        <w:t>ntrols (DB2114636 and HZA113970</w:t>
      </w:r>
      <w:r w:rsidRPr="00B31134">
        <w:t>).</w:t>
      </w:r>
    </w:p>
    <w:p w:rsidR="00B13321" w:rsidRPr="00B31134" w:rsidRDefault="00B13321" w:rsidP="00BF1584">
      <w:r>
        <w:t>A single-blind, single-</w:t>
      </w:r>
      <w:r w:rsidRPr="00B31134">
        <w:t>dose study investigated the PK of UMEC alone (125</w:t>
      </w:r>
      <w:r>
        <w:t xml:space="preserve"> </w:t>
      </w:r>
      <w:r w:rsidRPr="00B31134">
        <w:t>µg) and UMEC/VI (125/25</w:t>
      </w:r>
      <w:r>
        <w:t xml:space="preserve"> </w:t>
      </w:r>
      <w:r w:rsidRPr="00B31134">
        <w:t>µg) in subjects with severe renal impairment compared with healthy subjects (DB2114636). There was no evidence of a clinically relevant increase in UMEC plasma exposure (</w:t>
      </w:r>
      <w:proofErr w:type="gramStart"/>
      <w:r w:rsidRPr="003D7D21">
        <w:t>AUC</w:t>
      </w:r>
      <w:r>
        <w:rPr>
          <w:vertAlign w:val="subscript"/>
        </w:rPr>
        <w:t>(</w:t>
      </w:r>
      <w:proofErr w:type="gramEnd"/>
      <w:r>
        <w:rPr>
          <w:vertAlign w:val="subscript"/>
        </w:rPr>
        <w:t>0-2</w:t>
      </w:r>
      <w:r w:rsidRPr="003D7D21">
        <w:rPr>
          <w:vertAlign w:val="subscript"/>
        </w:rPr>
        <w:t>)</w:t>
      </w:r>
      <w:r>
        <w:rPr>
          <w:vertAlign w:val="subscript"/>
        </w:rPr>
        <w:t xml:space="preserve"> </w:t>
      </w:r>
      <w:r w:rsidRPr="00B31134">
        <w:t xml:space="preserve">or </w:t>
      </w:r>
      <w:proofErr w:type="spellStart"/>
      <w:r w:rsidRPr="00B31134">
        <w:t>C</w:t>
      </w:r>
      <w:r w:rsidRPr="00FF4081">
        <w:rPr>
          <w:vertAlign w:val="subscript"/>
        </w:rPr>
        <w:t>max</w:t>
      </w:r>
      <w:proofErr w:type="spellEnd"/>
      <w:r w:rsidRPr="00B31134">
        <w:t>) for subjects with severe renal impairment compared to healthy controls. There was no difference in the in vitro plasma prot</w:t>
      </w:r>
      <w:r>
        <w:t>ein binding of UMEC. On average</w:t>
      </w:r>
      <w:r w:rsidRPr="00CC1DF7">
        <w:t xml:space="preserve"> </w:t>
      </w:r>
      <w:proofErr w:type="gramStart"/>
      <w:r w:rsidRPr="00B31134">
        <w:t>Ae</w:t>
      </w:r>
      <w:r w:rsidRPr="00CF40B4">
        <w:rPr>
          <w:vertAlign w:val="subscript"/>
        </w:rPr>
        <w:t>(</w:t>
      </w:r>
      <w:proofErr w:type="gramEnd"/>
      <w:r w:rsidRPr="00CF40B4">
        <w:rPr>
          <w:vertAlign w:val="subscript"/>
        </w:rPr>
        <w:t>0–24)</w:t>
      </w:r>
      <w:r w:rsidRPr="00B31134">
        <w:t xml:space="preserve"> was 88% (90% CI: 81%, 93%) lower in subjects with severe renal impairment compared with healthy subjects for UMEC 125</w:t>
      </w:r>
      <w:r>
        <w:t xml:space="preserve"> </w:t>
      </w:r>
      <w:r w:rsidRPr="00B31134">
        <w:t xml:space="preserve">µg. There was no effect of renal impairment on urine </w:t>
      </w:r>
      <w:r w:rsidRPr="00FF4081">
        <w:t>t</w:t>
      </w:r>
      <w:r w:rsidRPr="00FF4081">
        <w:rPr>
          <w:vertAlign w:val="subscript"/>
        </w:rPr>
        <w:t>½</w:t>
      </w:r>
      <w:r w:rsidRPr="00FF4081">
        <w:t xml:space="preserve"> </w:t>
      </w:r>
      <w:r w:rsidRPr="00B31134">
        <w:t>(healthy subjects: 9.66 hours (95% CI 4.44, 20.99); subjects with severe renal impairment: 8.03 hours (95% CI: 6.49, 9.94)). Following administration of UMEC/VI 125/25</w:t>
      </w:r>
      <w:r>
        <w:t xml:space="preserve"> </w:t>
      </w:r>
      <w:r w:rsidRPr="00B31134">
        <w:t>µg, there was no evidence of an increase in UMEC plasma exposure (</w:t>
      </w:r>
      <w:proofErr w:type="gramStart"/>
      <w:r w:rsidRPr="003D7D21">
        <w:t>AUC</w:t>
      </w:r>
      <w:r>
        <w:rPr>
          <w:vertAlign w:val="subscript"/>
        </w:rPr>
        <w:t>(</w:t>
      </w:r>
      <w:proofErr w:type="gramEnd"/>
      <w:r>
        <w:rPr>
          <w:vertAlign w:val="subscript"/>
        </w:rPr>
        <w:t>0-2</w:t>
      </w:r>
      <w:r w:rsidRPr="003D7D21">
        <w:rPr>
          <w:vertAlign w:val="subscript"/>
        </w:rPr>
        <w:t>)</w:t>
      </w:r>
      <w:r w:rsidRPr="00B31134">
        <w:t xml:space="preserve"> or </w:t>
      </w:r>
      <w:proofErr w:type="spellStart"/>
      <w:r w:rsidRPr="00B31134">
        <w:t>C</w:t>
      </w:r>
      <w:r w:rsidRPr="00FF4081">
        <w:rPr>
          <w:vertAlign w:val="subscript"/>
        </w:rPr>
        <w:t>max</w:t>
      </w:r>
      <w:proofErr w:type="spellEnd"/>
      <w:r w:rsidRPr="00B31134">
        <w:t>) for subjects with severe renal impairment compared with healthy controls. Following dosing with UMEC/VI 125/25</w:t>
      </w:r>
      <w:r>
        <w:t xml:space="preserve"> </w:t>
      </w:r>
      <w:r w:rsidRPr="00B31134">
        <w:t>µg, there was no evidence of a clinically relevant increase in VI plasma exposure for subjects with severe renal impairment compared with h</w:t>
      </w:r>
      <w:r>
        <w:t>ealthy subjects</w:t>
      </w:r>
      <w:r w:rsidRPr="00B31134">
        <w:t>.</w:t>
      </w:r>
    </w:p>
    <w:p w:rsidR="00B13321" w:rsidRDefault="00B13321" w:rsidP="00BF1584">
      <w:r>
        <w:t>Similarly an open-</w:t>
      </w:r>
      <w:r w:rsidRPr="00B31134">
        <w:t xml:space="preserve">label </w:t>
      </w:r>
      <w:r>
        <w:t>study examined the PK of repeat-dose once-</w:t>
      </w:r>
      <w:r w:rsidRPr="00593EF4">
        <w:t>daily</w:t>
      </w:r>
      <w:r w:rsidRPr="00B31134">
        <w:t xml:space="preserve"> FF/VI 200/25</w:t>
      </w:r>
      <w:r>
        <w:t xml:space="preserve"> </w:t>
      </w:r>
      <w:r w:rsidRPr="00B31134">
        <w:t xml:space="preserve">µg (7 days) in subjects with severe renal impairment </w:t>
      </w:r>
      <w:r>
        <w:t>(creatinine clearance rate (</w:t>
      </w:r>
      <w:proofErr w:type="spellStart"/>
      <w:r w:rsidRPr="000F1444">
        <w:t>CLcr</w:t>
      </w:r>
      <w:proofErr w:type="spellEnd"/>
      <w:r w:rsidRPr="00B31134">
        <w:t>)</w:t>
      </w:r>
      <w:r>
        <w:t xml:space="preserve"> &lt; </w:t>
      </w:r>
      <w:r w:rsidRPr="00B31134">
        <w:t>30 mL/min) and matched controls (HZA113970</w:t>
      </w:r>
      <w:r>
        <w:t>). Following 7 days’ repeat-dosing non-</w:t>
      </w:r>
      <w:r w:rsidRPr="00B31134">
        <w:t xml:space="preserve">inferiority was demonstrated for VI exposure as measured by </w:t>
      </w:r>
      <w:r>
        <w:t>AUC</w:t>
      </w:r>
      <w:r w:rsidRPr="003725AA">
        <w:rPr>
          <w:vertAlign w:val="subscript"/>
        </w:rPr>
        <w:t>0–24</w:t>
      </w:r>
      <w:r w:rsidRPr="00B31134">
        <w:t xml:space="preserve"> as the upper 90% CI limit for the adjusted geometric mean ratio </w:t>
      </w:r>
      <w:proofErr w:type="gramStart"/>
      <w:r w:rsidRPr="00B31134">
        <w:t>was</w:t>
      </w:r>
      <w:proofErr w:type="gramEnd"/>
      <w:r w:rsidRPr="00B31134">
        <w:t xml:space="preserve"> less than 2, which was the protocol specified fold exposure defining a clinically sig</w:t>
      </w:r>
      <w:r>
        <w:t>nificant increase. Non-</w:t>
      </w:r>
      <w:r w:rsidRPr="00B31134">
        <w:t xml:space="preserve">inferiority was not demonstrated for </w:t>
      </w:r>
      <w:proofErr w:type="spellStart"/>
      <w:r w:rsidRPr="00B31134">
        <w:t>C</w:t>
      </w:r>
      <w:r w:rsidRPr="00FF4081">
        <w:rPr>
          <w:vertAlign w:val="subscript"/>
        </w:rPr>
        <w:t>max</w:t>
      </w:r>
      <w:proofErr w:type="spellEnd"/>
      <w:r w:rsidRPr="00B31134">
        <w:t xml:space="preserve"> on Day 7 as the upper 90% CI limit for the adjusted geometric mean ratio was </w:t>
      </w:r>
      <w:r>
        <w:t xml:space="preserve">greater than 2. Results for </w:t>
      </w:r>
      <w:proofErr w:type="gramStart"/>
      <w:r w:rsidRPr="003D7D21">
        <w:t>AUC</w:t>
      </w:r>
      <w:r>
        <w:rPr>
          <w:vertAlign w:val="subscript"/>
        </w:rPr>
        <w:t>(</w:t>
      </w:r>
      <w:proofErr w:type="gramEnd"/>
      <w:r>
        <w:rPr>
          <w:vertAlign w:val="subscript"/>
        </w:rPr>
        <w:t>0-8)</w:t>
      </w:r>
      <w:r w:rsidRPr="00B31134">
        <w:t xml:space="preserve"> and </w:t>
      </w:r>
      <w:proofErr w:type="spellStart"/>
      <w:r w:rsidRPr="00B31134">
        <w:t>C</w:t>
      </w:r>
      <w:r w:rsidRPr="00FF4081">
        <w:rPr>
          <w:vertAlign w:val="subscript"/>
        </w:rPr>
        <w:t>max</w:t>
      </w:r>
      <w:proofErr w:type="spellEnd"/>
      <w:r w:rsidRPr="00B31134">
        <w:t xml:space="preserve"> on Day 1 indicated increased exposure for subjects with severe renal impairment compared with healthy subjects. However, again, with exclusion of the outlier, there was a change in inference for </w:t>
      </w:r>
      <w:proofErr w:type="spellStart"/>
      <w:r w:rsidRPr="00B31134">
        <w:t>C</w:t>
      </w:r>
      <w:r w:rsidRPr="00595A93">
        <w:rPr>
          <w:vertAlign w:val="subscript"/>
        </w:rPr>
        <w:t>max</w:t>
      </w:r>
      <w:proofErr w:type="spellEnd"/>
      <w:r w:rsidRPr="00B31134">
        <w:t xml:space="preserve"> but not </w:t>
      </w:r>
      <w:proofErr w:type="gramStart"/>
      <w:r w:rsidRPr="003D7D21">
        <w:t>AUC</w:t>
      </w:r>
      <w:r w:rsidRPr="003D7D21">
        <w:rPr>
          <w:vertAlign w:val="subscript"/>
        </w:rPr>
        <w:t>(</w:t>
      </w:r>
      <w:proofErr w:type="gramEnd"/>
      <w:r w:rsidRPr="003D7D21">
        <w:rPr>
          <w:vertAlign w:val="subscript"/>
        </w:rPr>
        <w:t>0-8)</w:t>
      </w:r>
      <w:r w:rsidRPr="003725AA">
        <w:t xml:space="preserve"> </w:t>
      </w:r>
      <w:r w:rsidRPr="00B31134">
        <w:t>on Day 1.</w:t>
      </w:r>
    </w:p>
    <w:p w:rsidR="00B13321" w:rsidRPr="00B31134" w:rsidRDefault="00B13321" w:rsidP="00BF1584">
      <w:r w:rsidRPr="00B31134">
        <w:lastRenderedPageBreak/>
        <w:t>In the population PK analysis (DB2116975) conducted across two Phase III clinical efficac</w:t>
      </w:r>
      <w:r>
        <w:t>y and safety studies (DB2113361; DB2113373</w:t>
      </w:r>
      <w:r w:rsidRPr="00B31134">
        <w:t xml:space="preserve">), a wide range of baseline </w:t>
      </w:r>
      <w:r>
        <w:t>(</w:t>
      </w:r>
      <w:proofErr w:type="spellStart"/>
      <w:r w:rsidRPr="000F1444">
        <w:t>CLcr</w:t>
      </w:r>
      <w:proofErr w:type="spellEnd"/>
      <w:r w:rsidRPr="00B31134">
        <w:t xml:space="preserve">: 15 mL/min to &gt; 90 mL/min) was available and was therefore evaluated as a covariate in this pooled analysis. Baseline </w:t>
      </w:r>
      <w:r w:rsidRPr="00593EF4">
        <w:t>creatinine clearance</w:t>
      </w:r>
      <w:r w:rsidRPr="00B31134">
        <w:t xml:space="preserve"> was identified as a statistically significant covariate on apparent inhaled clearance (CL/F) of UMEC. However, the magnitude of effect of baseline </w:t>
      </w:r>
      <w:r w:rsidRPr="00593EF4">
        <w:t>creatinine clearance</w:t>
      </w:r>
      <w:r w:rsidRPr="00B31134">
        <w:t xml:space="preserve"> on UMEC PK was marginal and therefore does not warrant any dose adjustment based on this covariate.</w:t>
      </w:r>
    </w:p>
    <w:p w:rsidR="00B13321" w:rsidRPr="00B31134" w:rsidRDefault="00B13321" w:rsidP="00BF1584">
      <w:pPr>
        <w:pStyle w:val="Heading5"/>
      </w:pPr>
      <w:bookmarkStart w:id="77" w:name="_Toc272414629"/>
      <w:bookmarkStart w:id="78" w:name="_Toc290846252"/>
      <w:bookmarkStart w:id="79" w:name="_Toc376461130"/>
      <w:r w:rsidRPr="00B31134">
        <w:t>Pharmacokinetics according to age</w:t>
      </w:r>
      <w:bookmarkEnd w:id="77"/>
      <w:bookmarkEnd w:id="78"/>
      <w:r w:rsidRPr="00B31134">
        <w:t>, weight and gender</w:t>
      </w:r>
      <w:bookmarkEnd w:id="79"/>
    </w:p>
    <w:p w:rsidR="00B13321" w:rsidRPr="00B31134" w:rsidRDefault="00B13321" w:rsidP="00BF1584">
      <w:r w:rsidRPr="00B31134">
        <w:t xml:space="preserve">The effects of age, weight, gender, and race were assessed in the population PK analysis of data across 2 Phase III clinical efficacy and safety studies (DB2116975). Weight and age were statistically significant covariates on apparent inhaled clearance (CL/F) of UMEC and weight was a significant covariate on UMEC apparent volume of distribution (V2/F). Weight and age were statistically significant covariates on VI apparent inhaled clearance (CL/F). The magnitude of effect of these covariates on UMEC and VI PK was small and not clinically relevant. No other covariates such as gender, post </w:t>
      </w:r>
      <w:proofErr w:type="spellStart"/>
      <w:r w:rsidRPr="00B31134">
        <w:t>albuterol</w:t>
      </w:r>
      <w:proofErr w:type="spellEnd"/>
      <w:r w:rsidRPr="00B31134">
        <w:t xml:space="preserve">/salbutamol reversibility, post </w:t>
      </w:r>
      <w:proofErr w:type="spellStart"/>
      <w:r w:rsidRPr="00B31134">
        <w:t>albuterol</w:t>
      </w:r>
      <w:proofErr w:type="spellEnd"/>
      <w:r w:rsidRPr="00B31134">
        <w:t>/salbutamol and ipratropium reversibility,</w:t>
      </w:r>
      <w:r>
        <w:t xml:space="preserve"> use of inhaled corticosteroids </w:t>
      </w:r>
      <w:r w:rsidRPr="00B31134">
        <w:t>at screening, smoking status, race, and percent predicted baseline FEV1 had a significant effec</w:t>
      </w:r>
      <w:r>
        <w:t>t on UMEC and VI PK parameters.</w:t>
      </w:r>
    </w:p>
    <w:p w:rsidR="00B13321" w:rsidRPr="00B31134" w:rsidRDefault="00B13321" w:rsidP="00BF1584">
      <w:pPr>
        <w:pStyle w:val="Heading5"/>
      </w:pPr>
      <w:bookmarkStart w:id="80" w:name="_Toc272414630"/>
      <w:bookmarkStart w:id="81" w:name="_Toc290846253"/>
      <w:bookmarkStart w:id="82" w:name="_Toc376461131"/>
      <w:r w:rsidRPr="00B31134">
        <w:t>Pharmacokinetics related to race</w:t>
      </w:r>
      <w:bookmarkEnd w:id="80"/>
      <w:bookmarkEnd w:id="81"/>
      <w:bookmarkEnd w:id="82"/>
    </w:p>
    <w:p w:rsidR="00B13321" w:rsidRPr="00B31134" w:rsidRDefault="00B13321" w:rsidP="00BF1584">
      <w:r w:rsidRPr="00B31134">
        <w:t>No specific studies were conducted to evaluate the effect of race on PK parameters. Several studies were conducted solely in Japanese healthy subjects however these did not include direct comparisons with other racial groups. Population PK datasets for both UMEC (n</w:t>
      </w:r>
      <w:r>
        <w:t xml:space="preserve"> = </w:t>
      </w:r>
      <w:r w:rsidRPr="00B31134">
        <w:t>1635) and VI (n</w:t>
      </w:r>
      <w:r>
        <w:t xml:space="preserve"> = </w:t>
      </w:r>
      <w:r w:rsidRPr="00B31134">
        <w:t>1637) were evaluated for an effect of race on the PK of UMEC and VI. There were no racial differences in apparent clearance or apparent volume of distribution for UMEC or VI.</w:t>
      </w:r>
    </w:p>
    <w:p w:rsidR="00B13321" w:rsidRPr="00B31134" w:rsidRDefault="00B13321" w:rsidP="00BF1584">
      <w:pPr>
        <w:pStyle w:val="Heading6"/>
      </w:pPr>
      <w:r w:rsidRPr="00B31134">
        <w:t>Studies in Japanese subjects</w:t>
      </w:r>
    </w:p>
    <w:p w:rsidR="00B13321" w:rsidRPr="00B31134" w:rsidRDefault="00B13321" w:rsidP="00D90C7C">
      <w:pPr>
        <w:pStyle w:val="Heading7"/>
      </w:pPr>
      <w:r w:rsidRPr="00B31134">
        <w:t>UMEC</w:t>
      </w:r>
    </w:p>
    <w:p w:rsidR="00B13321" w:rsidRDefault="00B13321" w:rsidP="00BF1584">
      <w:r w:rsidRPr="00B31134">
        <w:t>The PK profile of UMEC in Japanese subjects was evaluated in tw</w:t>
      </w:r>
      <w:r>
        <w:t>o studies (DB2113208; AC4113377</w:t>
      </w:r>
      <w:r w:rsidRPr="00B31134">
        <w:t>). Single and repeat IH doses of 250, 500, and 1000</w:t>
      </w:r>
      <w:r>
        <w:t xml:space="preserve"> </w:t>
      </w:r>
      <w:r w:rsidRPr="00B31134">
        <w:t>µg UMEC were administered via NDPI to healthy Ja</w:t>
      </w:r>
      <w:r>
        <w:t>panese male subjects (AC4113377</w:t>
      </w:r>
      <w:r w:rsidRPr="00B31134">
        <w:t xml:space="preserve">). After repeated doses, UMEC was rapidly absorbed with median </w:t>
      </w:r>
      <w:proofErr w:type="spellStart"/>
      <w:r w:rsidRPr="00B31134">
        <w:t>t</w:t>
      </w:r>
      <w:r w:rsidRPr="001C643E">
        <w:rPr>
          <w:vertAlign w:val="subscript"/>
        </w:rPr>
        <w:t>max</w:t>
      </w:r>
      <w:proofErr w:type="spellEnd"/>
      <w:r w:rsidRPr="00B31134">
        <w:t xml:space="preserve"> values of 5 minutes </w:t>
      </w:r>
      <w:r w:rsidR="00486EA4">
        <w:t>post dose</w:t>
      </w:r>
      <w:r w:rsidRPr="00B31134">
        <w:t xml:space="preserve"> at all dose levels, following which plasma concentrations declined rapidly. The analysis of </w:t>
      </w:r>
      <w:proofErr w:type="spellStart"/>
      <w:r w:rsidRPr="00B31134">
        <w:t>C</w:t>
      </w:r>
      <w:r w:rsidRPr="001C643E">
        <w:rPr>
          <w:vertAlign w:val="subscript"/>
        </w:rPr>
        <w:t>max</w:t>
      </w:r>
      <w:proofErr w:type="spellEnd"/>
      <w:r w:rsidRPr="00B31134">
        <w:t xml:space="preserve"> suggested a more than dose proportional increase on both at Day 1 and after 7 days of dosing. The resu</w:t>
      </w:r>
      <w:r>
        <w:t xml:space="preserve">lts of the analysis for the </w:t>
      </w:r>
      <w:proofErr w:type="gramStart"/>
      <w:r w:rsidRPr="003D7D21">
        <w:t>AUC</w:t>
      </w:r>
      <w:r>
        <w:rPr>
          <w:vertAlign w:val="subscript"/>
        </w:rPr>
        <w:t>(</w:t>
      </w:r>
      <w:proofErr w:type="gramEnd"/>
      <w:r>
        <w:rPr>
          <w:vertAlign w:val="subscript"/>
        </w:rPr>
        <w:t>0-1.5</w:t>
      </w:r>
      <w:r w:rsidRPr="003D7D21">
        <w:rPr>
          <w:vertAlign w:val="subscript"/>
        </w:rPr>
        <w:t>)</w:t>
      </w:r>
      <w:r w:rsidRPr="00B31134">
        <w:t xml:space="preserve"> parameter on Day 1 suggested a slightly higher than dose proportional increase over the dose range from 250 to 1000</w:t>
      </w:r>
      <w:r>
        <w:t xml:space="preserve"> </w:t>
      </w:r>
      <w:r w:rsidRPr="00B31134">
        <w:t xml:space="preserve">µg. There was no evidence against the assumption of dose proportionality for the </w:t>
      </w:r>
      <w:proofErr w:type="gramStart"/>
      <w:r w:rsidRPr="003D7D21">
        <w:t>AUC</w:t>
      </w:r>
      <w:r w:rsidRPr="003D7D21">
        <w:rPr>
          <w:vertAlign w:val="subscript"/>
        </w:rPr>
        <w:t>(</w:t>
      </w:r>
      <w:proofErr w:type="gramEnd"/>
      <w:r w:rsidRPr="003D7D21">
        <w:rPr>
          <w:vertAlign w:val="subscript"/>
        </w:rPr>
        <w:t>0-t)</w:t>
      </w:r>
      <w:r w:rsidRPr="00B31134">
        <w:t xml:space="preserve"> parameter after 7 days of dosing. For </w:t>
      </w:r>
      <w:proofErr w:type="spellStart"/>
      <w:r w:rsidRPr="00B31134">
        <w:t>C</w:t>
      </w:r>
      <w:r w:rsidRPr="00572593">
        <w:rPr>
          <w:vertAlign w:val="subscript"/>
        </w:rPr>
        <w:t>max</w:t>
      </w:r>
      <w:proofErr w:type="spellEnd"/>
      <w:r w:rsidRPr="00B31134">
        <w:t xml:space="preserve"> and AUC the ratio of adjusted geometric mean for all doses was approximately 1.4 to 2.0. Hence, there was evidence of accumulation after 7 days of dosing for </w:t>
      </w:r>
      <w:proofErr w:type="spellStart"/>
      <w:r w:rsidRPr="00B31134">
        <w:t>C</w:t>
      </w:r>
      <w:r w:rsidRPr="00572593">
        <w:rPr>
          <w:vertAlign w:val="subscript"/>
        </w:rPr>
        <w:t>max</w:t>
      </w:r>
      <w:proofErr w:type="spellEnd"/>
      <w:r w:rsidRPr="00B31134">
        <w:t xml:space="preserve"> and AUC when compared with Day 1. UMEC urine PK was also evaluated in this study. Overall, urine excretion data indicated that a small amount of total inhaled dose of UMEC was excreted unchanged in urine (</w:t>
      </w:r>
      <w:r w:rsidR="00C3117B">
        <w:t xml:space="preserve">approximately </w:t>
      </w:r>
      <w:r>
        <w:t>5.0% for repeat-dose).</w:t>
      </w:r>
    </w:p>
    <w:p w:rsidR="00B13321" w:rsidRPr="00B31134" w:rsidRDefault="00B13321" w:rsidP="00D90C7C">
      <w:pPr>
        <w:pStyle w:val="Heading7"/>
      </w:pPr>
      <w:r w:rsidRPr="00B31134">
        <w:t>VI</w:t>
      </w:r>
    </w:p>
    <w:p w:rsidR="00B13321" w:rsidRPr="00B31134" w:rsidRDefault="00B13321" w:rsidP="00BF1584">
      <w:r w:rsidRPr="00B31134">
        <w:t>The PK profile of VI in Japanese subjects was evaluated in four s</w:t>
      </w:r>
      <w:r>
        <w:t>tudies (DB2113208; HZA102940; DB1112146; DB1112017). A 4-</w:t>
      </w:r>
      <w:r w:rsidRPr="00B31134">
        <w:t>way crossover study assessed the PK of single IH doses of UMEC (500</w:t>
      </w:r>
      <w:r>
        <w:t xml:space="preserve"> </w:t>
      </w:r>
      <w:r w:rsidRPr="00B31134">
        <w:t>µg) and VI (50</w:t>
      </w:r>
      <w:r>
        <w:t xml:space="preserve"> </w:t>
      </w:r>
      <w:r w:rsidRPr="00B31134">
        <w:t xml:space="preserve">µg) as monotherapies and administered concurrently by separate </w:t>
      </w:r>
      <w:r>
        <w:t>NDPI inhalers with lactose and magnesium stearate</w:t>
      </w:r>
      <w:r w:rsidRPr="00B31134">
        <w:t xml:space="preserve"> </w:t>
      </w:r>
      <w:r>
        <w:t>(</w:t>
      </w:r>
      <w:proofErr w:type="spellStart"/>
      <w:r>
        <w:t>MgSt</w:t>
      </w:r>
      <w:proofErr w:type="spellEnd"/>
      <w:r>
        <w:t xml:space="preserve">) </w:t>
      </w:r>
      <w:r w:rsidRPr="00B31134">
        <w:t>as excipients in healthy Japanese su</w:t>
      </w:r>
      <w:r>
        <w:t xml:space="preserve">bjects (DB2113208). Following single </w:t>
      </w:r>
      <w:r w:rsidRPr="00B31134">
        <w:t xml:space="preserve">dose administration, VI was rapidly absorbed with median </w:t>
      </w:r>
      <w:proofErr w:type="spellStart"/>
      <w:r w:rsidRPr="00B31134">
        <w:t>t</w:t>
      </w:r>
      <w:r w:rsidRPr="00572593">
        <w:rPr>
          <w:vertAlign w:val="subscript"/>
        </w:rPr>
        <w:t>max</w:t>
      </w:r>
      <w:proofErr w:type="spellEnd"/>
      <w:r w:rsidRPr="00B31134">
        <w:t xml:space="preserve"> occurring at 5 minutes, following which plasma concentrations declined rapidly. The large number of plasma samples with concentrations below the limit of quantitation at later time points indicated rapid distribution and elimination of drug from </w:t>
      </w:r>
      <w:r w:rsidRPr="00B31134">
        <w:lastRenderedPageBreak/>
        <w:t>systemic circulation. The t</w:t>
      </w:r>
      <w:r w:rsidRPr="00572593">
        <w:rPr>
          <w:vertAlign w:val="subscript"/>
        </w:rPr>
        <w:t>½</w:t>
      </w:r>
      <w:r w:rsidRPr="00B31134">
        <w:t xml:space="preserve"> for all subjects was determined using at least 3 data points (range 3 to 6 points) based on visual inspection and was on average 0.42 hours.</w:t>
      </w:r>
    </w:p>
    <w:p w:rsidR="00B13321" w:rsidRPr="00B31134" w:rsidRDefault="00B13321" w:rsidP="00D90C7C">
      <w:pPr>
        <w:pStyle w:val="Heading7"/>
      </w:pPr>
      <w:r w:rsidRPr="00B31134">
        <w:t>UMEC/VI</w:t>
      </w:r>
    </w:p>
    <w:p w:rsidR="00B13321" w:rsidRPr="00B31134" w:rsidRDefault="00B13321" w:rsidP="00BF1584">
      <w:r w:rsidRPr="00B31134">
        <w:t>The PK profile of UMEC and VI when administered in combination to Japanese subjects was evaluated i</w:t>
      </w:r>
      <w:r>
        <w:t>n Study DB2113208</w:t>
      </w:r>
      <w:r w:rsidRPr="00B31134">
        <w:t xml:space="preserve">. Following single dose administration of UMEC/VI, UMEC was rapidly absorbed with median </w:t>
      </w:r>
      <w:proofErr w:type="spellStart"/>
      <w:r w:rsidRPr="00B31134">
        <w:t>t</w:t>
      </w:r>
      <w:r w:rsidRPr="00572593">
        <w:rPr>
          <w:vertAlign w:val="subscript"/>
        </w:rPr>
        <w:t>max</w:t>
      </w:r>
      <w:proofErr w:type="spellEnd"/>
      <w:r w:rsidRPr="00B31134">
        <w:t xml:space="preserve"> occurring at 5 minutes, following which plasma concentrations declined rapidly. The t</w:t>
      </w:r>
      <w:r w:rsidRPr="00572593">
        <w:rPr>
          <w:vertAlign w:val="subscript"/>
        </w:rPr>
        <w:t>½</w:t>
      </w:r>
      <w:r w:rsidRPr="00B31134">
        <w:t xml:space="preserve"> for all subjects was determined using at least 3 data points (range 3 to 8 points) based on visual inspection and was on average 1.78 hours (95% CI: 1.17, 2.70). Following single-dose administration UMEC/VI, VI was rapidly absorbed with median </w:t>
      </w:r>
      <w:proofErr w:type="spellStart"/>
      <w:r w:rsidRPr="00B31134">
        <w:t>t</w:t>
      </w:r>
      <w:r w:rsidRPr="00572593">
        <w:rPr>
          <w:vertAlign w:val="subscript"/>
        </w:rPr>
        <w:t>max</w:t>
      </w:r>
      <w:proofErr w:type="spellEnd"/>
      <w:r w:rsidRPr="00B31134">
        <w:t xml:space="preserve"> occurring at 5 minutes, following which plasma concentrations declined rapidly. The large number of plasma samples with concentrations below the limit of quantitation at later time points indicated rapid distribution and elimination of drug from systemic circulation. The t</w:t>
      </w:r>
      <w:r w:rsidRPr="00572593">
        <w:rPr>
          <w:vertAlign w:val="subscript"/>
        </w:rPr>
        <w:t>½</w:t>
      </w:r>
      <w:r w:rsidRPr="00B31134">
        <w:t xml:space="preserve"> for all subjects was determined using at least 3 data points (range 3 to 6 points) based on visual inspection and was on average 0</w:t>
      </w:r>
      <w:r>
        <w:t>.71 hours (95% CI: 0.52, 0.97).</w:t>
      </w:r>
    </w:p>
    <w:p w:rsidR="00B13321" w:rsidRPr="00B31134" w:rsidRDefault="00B13321" w:rsidP="00BF1584">
      <w:pPr>
        <w:pStyle w:val="Heading5"/>
      </w:pPr>
      <w:bookmarkStart w:id="83" w:name="_Toc376461132"/>
      <w:r w:rsidRPr="00B31134">
        <w:t>Pharmacokinetics related to genetic factors</w:t>
      </w:r>
      <w:bookmarkEnd w:id="83"/>
    </w:p>
    <w:p w:rsidR="00B13321" w:rsidRDefault="00B13321" w:rsidP="00BF1584">
      <w:r w:rsidRPr="00B31134">
        <w:t>In vitro metabolism of UMEC is mediated primarily by CYP2D6. No clinically meaningful difference in systemic exposure to UMEC (500</w:t>
      </w:r>
      <w:r>
        <w:t xml:space="preserve"> </w:t>
      </w:r>
      <w:r w:rsidRPr="00B31134">
        <w:t>µg) was observed following repeat daily inhaled dosing to normal and CYP2D6 poor meta</w:t>
      </w:r>
      <w:r>
        <w:t>boliser subjects (AC4110106</w:t>
      </w:r>
      <w:r w:rsidRPr="00B31134">
        <w:t>). Comparison of PK parameters between poor and extensive metabolisers showed statistically significant differences. No dose adjustment is recommended in patients using concomitant CYP2D6 inhibitors or subjects with genetic polymorphisms of CYP2D6 metabolism.</w:t>
      </w:r>
    </w:p>
    <w:p w:rsidR="00B13321" w:rsidRPr="00B31134" w:rsidRDefault="00B13321" w:rsidP="00BF1584">
      <w:pPr>
        <w:pStyle w:val="Heading4"/>
      </w:pPr>
      <w:bookmarkStart w:id="84" w:name="_Toc241374294"/>
      <w:bookmarkStart w:id="85" w:name="_Toc272414632"/>
      <w:bookmarkStart w:id="86" w:name="_Toc290846255"/>
      <w:bookmarkStart w:id="87" w:name="_Toc376461133"/>
      <w:r w:rsidRPr="00B31134">
        <w:t>Pharmacokinetic interactions</w:t>
      </w:r>
      <w:bookmarkEnd w:id="84"/>
      <w:bookmarkEnd w:id="85"/>
      <w:bookmarkEnd w:id="86"/>
      <w:bookmarkEnd w:id="87"/>
    </w:p>
    <w:p w:rsidR="00B13321" w:rsidRPr="00B31134" w:rsidRDefault="00B13321" w:rsidP="00BF1584">
      <w:pPr>
        <w:pStyle w:val="Heading5"/>
      </w:pPr>
      <w:bookmarkStart w:id="88" w:name="_Toc272414633"/>
      <w:bookmarkStart w:id="89" w:name="_Toc290846256"/>
      <w:bookmarkStart w:id="90" w:name="_Toc376461134"/>
      <w:r w:rsidRPr="00B31134">
        <w:t>Pharmacokinetic interactions demonstrated in human studies</w:t>
      </w:r>
      <w:bookmarkEnd w:id="88"/>
      <w:bookmarkEnd w:id="89"/>
      <w:bookmarkEnd w:id="90"/>
    </w:p>
    <w:p w:rsidR="00B13321" w:rsidRPr="00B31134" w:rsidRDefault="00B13321" w:rsidP="00BF1584">
      <w:r w:rsidRPr="00B31134">
        <w:t>The effect of verapamil, a moderate CYP3A4 inhibitor and potent P-</w:t>
      </w:r>
      <w:proofErr w:type="spellStart"/>
      <w:r w:rsidRPr="00B31134">
        <w:t>gp</w:t>
      </w:r>
      <w:proofErr w:type="spellEnd"/>
      <w:r w:rsidRPr="00B31134">
        <w:t xml:space="preserve"> inhibitor, on the PK of UMEC (administered as UMEC/VI and as UMEC alone) and VI (administered as UMEC/VI) was studied i</w:t>
      </w:r>
      <w:r>
        <w:t>n healthy volunteers (DB2113950</w:t>
      </w:r>
      <w:r w:rsidRPr="00B31134">
        <w:t xml:space="preserve">). UMEC systemic exposure in terms of </w:t>
      </w:r>
      <w:proofErr w:type="gramStart"/>
      <w:r w:rsidRPr="003D7D21">
        <w:t>AUC</w:t>
      </w:r>
      <w:r w:rsidRPr="003D7D21">
        <w:rPr>
          <w:vertAlign w:val="subscript"/>
        </w:rPr>
        <w:t>(</w:t>
      </w:r>
      <w:proofErr w:type="gramEnd"/>
      <w:r w:rsidRPr="003D7D21">
        <w:rPr>
          <w:vertAlign w:val="subscript"/>
        </w:rPr>
        <w:t>0-t)</w:t>
      </w:r>
      <w:r w:rsidRPr="003725AA">
        <w:t xml:space="preserve"> </w:t>
      </w:r>
      <w:r w:rsidRPr="00B31134">
        <w:t xml:space="preserve">(the ratio of adjusted geometric means) was approximately 40% higher in the presence of verapamil, which was not considered clinically relevant. There was no effect of concurrent administration of repeat-dose verapamil on steady state UMEC </w:t>
      </w:r>
      <w:proofErr w:type="spellStart"/>
      <w:r w:rsidRPr="00B31134">
        <w:t>C</w:t>
      </w:r>
      <w:r w:rsidRPr="00362B7E">
        <w:rPr>
          <w:vertAlign w:val="subscript"/>
        </w:rPr>
        <w:t>max</w:t>
      </w:r>
      <w:proofErr w:type="spellEnd"/>
      <w:r w:rsidRPr="00B31134">
        <w:t xml:space="preserve"> following</w:t>
      </w:r>
      <w:r>
        <w:t xml:space="preserve"> both treatments</w:t>
      </w:r>
      <w:r w:rsidRPr="00B31134">
        <w:t>. Results from urine excretion of UMEC in 24</w:t>
      </w:r>
      <w:r>
        <w:t xml:space="preserve"> h </w:t>
      </w:r>
      <w:r w:rsidRPr="00B31134">
        <w:t>(</w:t>
      </w:r>
      <w:proofErr w:type="gramStart"/>
      <w:r w:rsidRPr="00B31134">
        <w:t>Ae</w:t>
      </w:r>
      <w:r w:rsidRPr="00D62188">
        <w:rPr>
          <w:vertAlign w:val="subscript"/>
        </w:rPr>
        <w:t>(</w:t>
      </w:r>
      <w:proofErr w:type="gramEnd"/>
      <w:r w:rsidRPr="00D62188">
        <w:rPr>
          <w:vertAlign w:val="subscript"/>
        </w:rPr>
        <w:t>0-24)</w:t>
      </w:r>
      <w:r w:rsidRPr="00B31134">
        <w:t>) at steady state were similar to plasma with on average approximately 18% to 25% higher amount of UMEC excreted in</w:t>
      </w:r>
      <w:r>
        <w:t xml:space="preserve"> presence of concomitant repeat-</w:t>
      </w:r>
      <w:r w:rsidRPr="00B31134">
        <w:t xml:space="preserve">dose verapamil. The results of the analysis showed no evidence of a difference in VI PK in the presence of </w:t>
      </w:r>
      <w:proofErr w:type="gramStart"/>
      <w:r w:rsidRPr="00B31134">
        <w:t>verapamil,</w:t>
      </w:r>
      <w:proofErr w:type="gramEnd"/>
      <w:r w:rsidRPr="00B31134">
        <w:t xml:space="preserve"> however as 71% (299 of 422) plasma samples showed no quantifiable VI concentrations this result should be regar</w:t>
      </w:r>
      <w:r>
        <w:t>ded with caution</w:t>
      </w:r>
      <w:r w:rsidRPr="00B31134">
        <w:t>.</w:t>
      </w:r>
    </w:p>
    <w:p w:rsidR="00B13321" w:rsidRPr="00B31134" w:rsidRDefault="00B13321" w:rsidP="00BF1584">
      <w:r w:rsidRPr="00B31134">
        <w:t>Vilanterol is a substrate of CYP3A4. A drug interaction study was conducted in healthy subjects to investigate the PK and PD effects of VI 25</w:t>
      </w:r>
      <w:r>
        <w:t xml:space="preserve"> </w:t>
      </w:r>
      <w:r w:rsidRPr="00B31134">
        <w:t xml:space="preserve">µg as an IH powder with oral ketoconazole, a strong </w:t>
      </w:r>
      <w:r>
        <w:t>inhibitor of CYP3A4 (B2C112205</w:t>
      </w:r>
      <w:r w:rsidRPr="00B31134">
        <w:t>). Co-administration of repeat dose ketoconazole 400</w:t>
      </w:r>
      <w:r>
        <w:t xml:space="preserve"> </w:t>
      </w:r>
      <w:r w:rsidRPr="00B31134">
        <w:t>mg and single inhaled dose VI 25</w:t>
      </w:r>
      <w:r>
        <w:t xml:space="preserve"> µg resulted in on average a 1.9-</w:t>
      </w:r>
      <w:r w:rsidRPr="00B31134">
        <w:t xml:space="preserve">fold increase in VI systemic exposure as measured by </w:t>
      </w:r>
      <w:proofErr w:type="gramStart"/>
      <w:r w:rsidRPr="003D7D21">
        <w:t>AUC</w:t>
      </w:r>
      <w:r w:rsidRPr="003D7D21">
        <w:rPr>
          <w:vertAlign w:val="subscript"/>
        </w:rPr>
        <w:t>(</w:t>
      </w:r>
      <w:proofErr w:type="gramEnd"/>
      <w:r w:rsidRPr="003D7D21">
        <w:rPr>
          <w:vertAlign w:val="subscript"/>
        </w:rPr>
        <w:t>0-t)</w:t>
      </w:r>
      <w:r w:rsidRPr="00B31134">
        <w:t xml:space="preserve">although the VI </w:t>
      </w:r>
      <w:proofErr w:type="spellStart"/>
      <w:r w:rsidRPr="00B31134">
        <w:t>C</w:t>
      </w:r>
      <w:r w:rsidRPr="00362B7E">
        <w:rPr>
          <w:vertAlign w:val="subscript"/>
        </w:rPr>
        <w:t>max</w:t>
      </w:r>
      <w:proofErr w:type="spellEnd"/>
      <w:r w:rsidRPr="00B31134">
        <w:t xml:space="preserve"> was unchanged.</w:t>
      </w:r>
    </w:p>
    <w:p w:rsidR="00B13321" w:rsidRPr="00B31134" w:rsidRDefault="00B13321" w:rsidP="00BF1584">
      <w:r w:rsidRPr="00B31134">
        <w:t>The effect of ketoconazole, a strong CYP3A4 inhibitor and a potent P-</w:t>
      </w:r>
      <w:proofErr w:type="spellStart"/>
      <w:r w:rsidRPr="00B31134">
        <w:t>gp</w:t>
      </w:r>
      <w:proofErr w:type="spellEnd"/>
      <w:r w:rsidRPr="00B31134">
        <w:t xml:space="preserve"> inhibitor, o</w:t>
      </w:r>
      <w:r>
        <w:t>n VI PK was studied in a double-</w:t>
      </w:r>
      <w:r w:rsidRPr="00B31134">
        <w:t>blind, crossover drug interaction study (HZA105548). Subjects received re</w:t>
      </w:r>
      <w:r>
        <w:t>peat-</w:t>
      </w:r>
      <w:r w:rsidRPr="00B31134">
        <w:t>dose</w:t>
      </w:r>
      <w:r>
        <w:t xml:space="preserve"> oral ketoconazole (400 mg once-</w:t>
      </w:r>
      <w:r w:rsidRPr="00D53592">
        <w:t>daily</w:t>
      </w:r>
      <w:r w:rsidRPr="00B31134">
        <w:t xml:space="preserve">) or matching </w:t>
      </w:r>
      <w:r>
        <w:t>placebo</w:t>
      </w:r>
      <w:r w:rsidRPr="00B31134">
        <w:t xml:space="preserve"> with FF/VI </w:t>
      </w:r>
      <w:r w:rsidRPr="00D53592">
        <w:t>inhalation</w:t>
      </w:r>
      <w:r w:rsidRPr="00B31134">
        <w:t xml:space="preserve"> powder (200/25</w:t>
      </w:r>
      <w:r>
        <w:t xml:space="preserve"> µg) co-</w:t>
      </w:r>
      <w:r w:rsidRPr="00B31134">
        <w:t>administered on D</w:t>
      </w:r>
      <w:r>
        <w:t>ays 5 to 11. Vilanterol (single- and repeat-</w:t>
      </w:r>
      <w:r w:rsidRPr="00B31134">
        <w:t>dose) showed higher pla</w:t>
      </w:r>
      <w:r>
        <w:t>sma concentrations following co-</w:t>
      </w:r>
      <w:r w:rsidRPr="00B31134">
        <w:t>administration of IH FF/VI 200/25</w:t>
      </w:r>
      <w:r>
        <w:t xml:space="preserve"> </w:t>
      </w:r>
      <w:r w:rsidRPr="00B31134">
        <w:t>µg with ketoconazole th</w:t>
      </w:r>
      <w:r>
        <w:t xml:space="preserve">an with </w:t>
      </w:r>
      <w:r w:rsidRPr="00D53592">
        <w:t>placebo</w:t>
      </w:r>
      <w:r>
        <w:t>. Repeat dose co-</w:t>
      </w:r>
      <w:r w:rsidRPr="00B31134">
        <w:t>administration of FF/VI (200/25</w:t>
      </w:r>
      <w:r>
        <w:t xml:space="preserve"> </w:t>
      </w:r>
      <w:r w:rsidRPr="00B31134">
        <w:t>µg) with ketoconazole in comparison with FF/VI (200/25</w:t>
      </w:r>
      <w:r>
        <w:t xml:space="preserve"> </w:t>
      </w:r>
      <w:r w:rsidRPr="00B31134">
        <w:t xml:space="preserve">µg) with </w:t>
      </w:r>
      <w:r w:rsidRPr="00D53592">
        <w:t>placebo</w:t>
      </w:r>
      <w:r w:rsidRPr="00B31134">
        <w:t xml:space="preserve"> resulted in greater VI exposure: mean VI </w:t>
      </w:r>
      <w:proofErr w:type="gramStart"/>
      <w:r w:rsidRPr="003D7D21">
        <w:t>AUC</w:t>
      </w:r>
      <w:r w:rsidRPr="003D7D21">
        <w:rPr>
          <w:vertAlign w:val="subscript"/>
        </w:rPr>
        <w:t>(</w:t>
      </w:r>
      <w:proofErr w:type="gramEnd"/>
      <w:r w:rsidRPr="003D7D21">
        <w:rPr>
          <w:vertAlign w:val="subscript"/>
        </w:rPr>
        <w:t>0-t)</w:t>
      </w:r>
      <w:r w:rsidRPr="00B31134">
        <w:t xml:space="preserve">and </w:t>
      </w:r>
      <w:proofErr w:type="spellStart"/>
      <w:r w:rsidRPr="00B31134">
        <w:t>C</w:t>
      </w:r>
      <w:r w:rsidRPr="00362B7E">
        <w:rPr>
          <w:vertAlign w:val="subscript"/>
        </w:rPr>
        <w:t>max</w:t>
      </w:r>
      <w:proofErr w:type="spellEnd"/>
      <w:r w:rsidRPr="00B31134">
        <w:t xml:space="preserve"> were increased by 65% (90% CI: 38% to 97%) and 22% (9</w:t>
      </w:r>
      <w:r>
        <w:t>0% CI: 8% to 38%), respectively.</w:t>
      </w:r>
    </w:p>
    <w:p w:rsidR="00B13321" w:rsidRPr="005C7B2C" w:rsidRDefault="00B13321" w:rsidP="00BF1584">
      <w:pPr>
        <w:rPr>
          <w:rFonts w:cs="TimesNewRoman"/>
        </w:rPr>
      </w:pPr>
      <w:r w:rsidRPr="00B31134">
        <w:lastRenderedPageBreak/>
        <w:t>Three studies were conducted which allowed for the evaluation of a potential PK interaction</w:t>
      </w:r>
      <w:r>
        <w:t xml:space="preserve"> between UMEC and VI (DB2114635; DB2113208; DB2113950</w:t>
      </w:r>
      <w:r w:rsidRPr="00B31134">
        <w:t>) although none were specifically designed for this purpose. When UMEC and VI were administered in combination by the IH route, the PK parameters for each component were similar to those observed when each active substance was administered separately. Similar results were observed in Population PK analyses (DB2116975) at the proposed therapeutic doses</w:t>
      </w:r>
      <w:r w:rsidRPr="005C7B2C">
        <w:rPr>
          <w:rFonts w:cs="TimesNewRoman"/>
        </w:rPr>
        <w:t>.</w:t>
      </w:r>
    </w:p>
    <w:p w:rsidR="00B13321" w:rsidRPr="00B31134" w:rsidRDefault="00B13321" w:rsidP="00BF1584">
      <w:pPr>
        <w:pStyle w:val="Heading5"/>
      </w:pPr>
      <w:bookmarkStart w:id="91" w:name="_Toc272414634"/>
      <w:bookmarkStart w:id="92" w:name="_Toc290846257"/>
      <w:bookmarkStart w:id="93" w:name="_Toc376461135"/>
      <w:r w:rsidRPr="00B31134">
        <w:t>Clinical implications of in vitro findings</w:t>
      </w:r>
      <w:bookmarkEnd w:id="91"/>
      <w:bookmarkEnd w:id="92"/>
      <w:bookmarkEnd w:id="93"/>
    </w:p>
    <w:p w:rsidR="00B13321" w:rsidRPr="00B31134" w:rsidRDefault="00B13321" w:rsidP="00BF1584">
      <w:r w:rsidRPr="00B31134">
        <w:t xml:space="preserve">The </w:t>
      </w:r>
      <w:r>
        <w:t>major routes of metabolism for u</w:t>
      </w:r>
      <w:r w:rsidRPr="00B31134">
        <w:t>meclidinium in vitro in human derived systems are mediated primarily by CYP2D6. Umeclidinium was shown to be a substrate of human P-</w:t>
      </w:r>
      <w:proofErr w:type="spellStart"/>
      <w:r w:rsidRPr="00B31134">
        <w:t>gp</w:t>
      </w:r>
      <w:proofErr w:type="spellEnd"/>
      <w:r w:rsidRPr="00B31134">
        <w:t xml:space="preserve"> in transfected MDCKII-MDR1 cell lines and in MDR1a/b (P-</w:t>
      </w:r>
      <w:proofErr w:type="spellStart"/>
      <w:r w:rsidRPr="00B31134">
        <w:t>gp</w:t>
      </w:r>
      <w:proofErr w:type="spellEnd"/>
      <w:r w:rsidRPr="00B31134">
        <w:t xml:space="preserve"> knockout) mice. It is an in vitro substrate for the organic cation uptake transporters OCT1 and OCT2, which are expressed in human liver and kidney. The contribution of the OCTs to the overall systemic clearance is unclear and there is no clear guidance on clinical probes to study inh</w:t>
      </w:r>
      <w:r>
        <w:t>ibition of OCTs in human.</w:t>
      </w:r>
    </w:p>
    <w:p w:rsidR="00B13321" w:rsidRPr="00B31134" w:rsidRDefault="00B13321" w:rsidP="00BF1584">
      <w:r w:rsidRPr="00B31134">
        <w:t>Umeclidinium is an in vitro inhibitor of CYP3A4 and CYP2D6. It does not inhibit P-</w:t>
      </w:r>
      <w:proofErr w:type="spellStart"/>
      <w:r w:rsidRPr="00B31134">
        <w:t>gp</w:t>
      </w:r>
      <w:proofErr w:type="spellEnd"/>
      <w:r w:rsidRPr="00B31134">
        <w:t xml:space="preserve"> at concentrations up to 100</w:t>
      </w:r>
      <w:r>
        <w:t xml:space="preserve"> </w:t>
      </w:r>
      <w:r w:rsidRPr="00B31134">
        <w:t xml:space="preserve">µM. The </w:t>
      </w:r>
      <w:proofErr w:type="spellStart"/>
      <w:r w:rsidRPr="00B31134">
        <w:t>C</w:t>
      </w:r>
      <w:r w:rsidRPr="00411DAA">
        <w:rPr>
          <w:vertAlign w:val="subscript"/>
        </w:rPr>
        <w:t>max</w:t>
      </w:r>
      <w:proofErr w:type="spellEnd"/>
      <w:r w:rsidRPr="00B31134">
        <w:t xml:space="preserve"> of </w:t>
      </w:r>
      <w:proofErr w:type="spellStart"/>
      <w:r w:rsidRPr="00B31134">
        <w:t>Umeclidinium</w:t>
      </w:r>
      <w:proofErr w:type="spellEnd"/>
      <w:r w:rsidRPr="00B31134">
        <w:t xml:space="preserve"> at its maximum proposed commercial dose of 125</w:t>
      </w:r>
      <w:r>
        <w:t xml:space="preserve"> µg/</w:t>
      </w:r>
      <w:proofErr w:type="gramStart"/>
      <w:r>
        <w:t>day,</w:t>
      </w:r>
      <w:proofErr w:type="gramEnd"/>
      <w:r>
        <w:t xml:space="preserve"> is at least 200-</w:t>
      </w:r>
      <w:r w:rsidRPr="00B31134">
        <w:t>fold lower than the lowest IC50 for CYP2D6 inhibition as a worst case. Small changes in mRNA expression for CYP1A1 and CYP4A1 were observed following inhaled administration to the rat for up to 4 weeks, at doses up to 2000</w:t>
      </w:r>
      <w:r>
        <w:t xml:space="preserve"> </w:t>
      </w:r>
      <w:r w:rsidRPr="00B31134">
        <w:t xml:space="preserve">µg/kg/day. The changes and were variable between individual animals and not thought to be biologically significant. The inhibition and induction potential of </w:t>
      </w:r>
      <w:r w:rsidRPr="00B10C8A">
        <w:t>GSK573719</w:t>
      </w:r>
      <w:r>
        <w:t xml:space="preserve"> (</w:t>
      </w:r>
      <w:r w:rsidRPr="00FF35FB">
        <w:t>umeclidinium bromide (UMEC)</w:t>
      </w:r>
      <w:r>
        <w:t>)</w:t>
      </w:r>
      <w:r w:rsidRPr="00B31134">
        <w:t xml:space="preserve"> at proposed inhaled commercial dose (125</w:t>
      </w:r>
      <w:r>
        <w:t> </w:t>
      </w:r>
      <w:r w:rsidRPr="00B31134">
        <w:t>µg/day) is considered negligible.</w:t>
      </w:r>
    </w:p>
    <w:p w:rsidR="00B13321" w:rsidRPr="00B31134" w:rsidRDefault="00B13321" w:rsidP="00BF1584">
      <w:r w:rsidRPr="00B31134">
        <w:t>The major routes of metabolism of Vilanterol in human are mediated primarily by CYP3A4. Vilanterol was also a substrate of human P-</w:t>
      </w:r>
      <w:proofErr w:type="spellStart"/>
      <w:r w:rsidRPr="00B31134">
        <w:t>gp</w:t>
      </w:r>
      <w:proofErr w:type="spellEnd"/>
      <w:r w:rsidRPr="00B31134">
        <w:t xml:space="preserve"> in transfected MDCKII-MDR1 cell lines and in vivo studies using MDR1a/b (P-</w:t>
      </w:r>
      <w:proofErr w:type="spellStart"/>
      <w:r w:rsidRPr="00B31134">
        <w:t>gp</w:t>
      </w:r>
      <w:proofErr w:type="spellEnd"/>
      <w:r w:rsidRPr="00B31134">
        <w:t xml:space="preserve"> knockout) mice. Only small increases (</w:t>
      </w:r>
      <w:r>
        <w:t>&lt; 2-</w:t>
      </w:r>
      <w:r w:rsidRPr="00B31134">
        <w:t>fold change) in systemic exposure were observed in the P-</w:t>
      </w:r>
      <w:proofErr w:type="spellStart"/>
      <w:r w:rsidRPr="00B31134">
        <w:t>gp</w:t>
      </w:r>
      <w:proofErr w:type="spellEnd"/>
      <w:r w:rsidRPr="00B31134">
        <w:t xml:space="preserve"> knockout mice. Vilanterol is not an in vitro substrate for the organic cation uptake transporters OCT1, OCT3, OCTN1 and OCTN2</w:t>
      </w:r>
      <w:r>
        <w:t>.</w:t>
      </w:r>
    </w:p>
    <w:p w:rsidR="00B13321" w:rsidRPr="00B31134" w:rsidRDefault="00B13321" w:rsidP="00BF1584">
      <w:r w:rsidRPr="00B31134">
        <w:t>Vilanterol is an in vitro inhibitor of CYP3A4 (lowest mean IC50 of 4</w:t>
      </w:r>
      <w:r>
        <w:t xml:space="preserve"> </w:t>
      </w:r>
      <w:r w:rsidRPr="00B31134">
        <w:t>µM following duplicate determinations using two different probes) and a weak in vitro inhibitor of CYP2D6 (IC50 of 12</w:t>
      </w:r>
      <w:r>
        <w:t> </w:t>
      </w:r>
      <w:r w:rsidRPr="00B31134">
        <w:t xml:space="preserve">µM. </w:t>
      </w:r>
      <w:proofErr w:type="spellStart"/>
      <w:r w:rsidRPr="00B31134">
        <w:t>Vilanterol</w:t>
      </w:r>
      <w:proofErr w:type="spellEnd"/>
      <w:r w:rsidRPr="00B31134">
        <w:t xml:space="preserve"> inhibited P-</w:t>
      </w:r>
      <w:proofErr w:type="spellStart"/>
      <w:r w:rsidRPr="00B31134">
        <w:t>gp</w:t>
      </w:r>
      <w:proofErr w:type="spellEnd"/>
      <w:r w:rsidRPr="00B31134">
        <w:t xml:space="preserve"> but only at high concentrations (100</w:t>
      </w:r>
      <w:r>
        <w:t xml:space="preserve"> </w:t>
      </w:r>
      <w:r w:rsidRPr="00B31134">
        <w:t xml:space="preserve">µM). The inhibition and induction potential at low </w:t>
      </w:r>
      <w:r w:rsidRPr="00B10C8A">
        <w:t>inhalation</w:t>
      </w:r>
      <w:r w:rsidRPr="00B31134">
        <w:t xml:space="preserve"> dose </w:t>
      </w:r>
      <w:proofErr w:type="gramStart"/>
      <w:r w:rsidRPr="00B31134">
        <w:t>(25</w:t>
      </w:r>
      <w:r>
        <w:t xml:space="preserve"> </w:t>
      </w:r>
      <w:r w:rsidRPr="00B31134">
        <w:t>µg/day)</w:t>
      </w:r>
      <w:proofErr w:type="gramEnd"/>
      <w:r>
        <w:t>,</w:t>
      </w:r>
      <w:r w:rsidRPr="00B31134">
        <w:t xml:space="preserve"> is considered negligible.</w:t>
      </w:r>
    </w:p>
    <w:p w:rsidR="00B13321" w:rsidRPr="00B31134" w:rsidRDefault="00B13321" w:rsidP="00D90C7C">
      <w:pPr>
        <w:pStyle w:val="Heading3"/>
      </w:pPr>
      <w:bookmarkStart w:id="94" w:name="_Toc241374296"/>
      <w:bookmarkStart w:id="95" w:name="_Ref269982040"/>
      <w:bookmarkStart w:id="96" w:name="_Ref271018704"/>
      <w:bookmarkStart w:id="97" w:name="_Ref271018755"/>
      <w:bookmarkStart w:id="98" w:name="_Toc272414635"/>
      <w:bookmarkStart w:id="99" w:name="_Toc290846258"/>
      <w:bookmarkStart w:id="100" w:name="_Toc376461136"/>
      <w:bookmarkStart w:id="101" w:name="_Toc422852151"/>
      <w:r w:rsidRPr="00D90C7C">
        <w:t>Evaluator’s</w:t>
      </w:r>
      <w:r w:rsidRPr="00B31134">
        <w:t xml:space="preserve"> overall conclusions on pharmacokinetics</w:t>
      </w:r>
      <w:bookmarkEnd w:id="94"/>
      <w:bookmarkEnd w:id="95"/>
      <w:bookmarkEnd w:id="96"/>
      <w:bookmarkEnd w:id="97"/>
      <w:bookmarkEnd w:id="98"/>
      <w:bookmarkEnd w:id="99"/>
      <w:bookmarkEnd w:id="100"/>
      <w:bookmarkEnd w:id="101"/>
    </w:p>
    <w:p w:rsidR="00B13321" w:rsidRPr="00B31134" w:rsidRDefault="00B13321" w:rsidP="00D90C7C">
      <w:r w:rsidRPr="00B31134">
        <w:t>PK studies presented appear to have been carefully conducted with appropriate methodological considerations using validated analytical methods. There were no specific studies conducted with respect to the effect of age on PK parameters. The sponsor has relied on a population PK study to gauge any clinically relevant effects. Similarly it is not clear that the sponsor has fulfilled the guidelines with respect to evaluating the bioequivalence requirements of the guidelines with respect to comparing each component medication alone with the values obtained with</w:t>
      </w:r>
      <w:r>
        <w:t xml:space="preserve"> administering the combination.</w:t>
      </w:r>
    </w:p>
    <w:p w:rsidR="00B13321" w:rsidRPr="00B31134" w:rsidRDefault="00B13321" w:rsidP="00BF1584">
      <w:r w:rsidRPr="00B31134">
        <w:t>Three studies were conducted which allowed for the evaluation of a potential PK interaction</w:t>
      </w:r>
      <w:r>
        <w:t xml:space="preserve"> between UMEC and VI (DB2114635; DB2113208; DB2113950</w:t>
      </w:r>
      <w:r w:rsidRPr="00B31134">
        <w:t>) although none were specifically designed for this purpose. When UMEC and VI were administered in combination by the IH route, the PK parameters for each component were similar to those observed when each active substance was administered separately. Similar results were observed in Population PK analyses (DB2116975) at the proposed therapeutic doses.</w:t>
      </w:r>
    </w:p>
    <w:p w:rsidR="00B13321" w:rsidRPr="00B31134" w:rsidRDefault="00B13321" w:rsidP="00BF1584">
      <w:r w:rsidRPr="00B31134">
        <w:t xml:space="preserve">Inhaled UMEC is rapidly absorbed, with median </w:t>
      </w:r>
      <w:proofErr w:type="spellStart"/>
      <w:r w:rsidRPr="00B31134">
        <w:t>t</w:t>
      </w:r>
      <w:r w:rsidRPr="00411DAA">
        <w:rPr>
          <w:vertAlign w:val="subscript"/>
        </w:rPr>
        <w:t>max</w:t>
      </w:r>
      <w:proofErr w:type="spellEnd"/>
      <w:r w:rsidRPr="00B31134">
        <w:t xml:space="preserve"> of 5 to 15 minutes, followed by rapid disposition from the systemic circulation. Both plasma and urine data demons</w:t>
      </w:r>
      <w:r>
        <w:t>trated approximately 2-</w:t>
      </w:r>
      <w:r w:rsidRPr="00B31134">
        <w:t>fold accumulation in UMEC systemic exposure following 7 days of dosing. At the proposed therapeutic doses of 62.5</w:t>
      </w:r>
      <w:r>
        <w:t xml:space="preserve"> </w:t>
      </w:r>
      <w:r w:rsidRPr="00B31134">
        <w:t>µg and 125</w:t>
      </w:r>
      <w:r>
        <w:t xml:space="preserve"> </w:t>
      </w:r>
      <w:r w:rsidRPr="00B31134">
        <w:t xml:space="preserve">µg, UMEC exposure was dose proportional. </w:t>
      </w:r>
      <w:r w:rsidRPr="00B31134">
        <w:lastRenderedPageBreak/>
        <w:t>Following repeat dose UMEC/VI 125/25</w:t>
      </w:r>
      <w:r>
        <w:t xml:space="preserve"> </w:t>
      </w:r>
      <w:r w:rsidRPr="00B31134">
        <w:t>µg to healthy subjects, plasma elimination half-life of UMEC averaged 19 hours (9</w:t>
      </w:r>
      <w:r>
        <w:t xml:space="preserve">5% CI: 13 – </w:t>
      </w:r>
      <w:r w:rsidRPr="00B31134">
        <w:t>29</w:t>
      </w:r>
      <w:r>
        <w:t xml:space="preserve"> </w:t>
      </w:r>
      <w:r w:rsidRPr="00B31134">
        <w:t xml:space="preserve">h), with 3% to 4% of drug excreted unchanged in urine at steady state. Inhaled VI is rapidly absorbed, with </w:t>
      </w:r>
      <w:proofErr w:type="spellStart"/>
      <w:r w:rsidRPr="00B31134">
        <w:t>t</w:t>
      </w:r>
      <w:r w:rsidRPr="00411DAA">
        <w:rPr>
          <w:vertAlign w:val="subscript"/>
        </w:rPr>
        <w:t>max</w:t>
      </w:r>
      <w:proofErr w:type="spellEnd"/>
      <w:r w:rsidRPr="00B31134">
        <w:t xml:space="preserve"> values of 7 to 10 minutes, followed by rapid disposition from the systemic circulation attributed to both moderate to high clearance and wide distribution in tissue compartments. P</w:t>
      </w:r>
      <w:r>
        <w:t>lasma data suggested an up to 2-</w:t>
      </w:r>
      <w:r w:rsidRPr="00B31134">
        <w:t>fold accumulation following 28 days of repeat dosing. Following repeat dose UMEC/VI 125/25</w:t>
      </w:r>
      <w:r>
        <w:t xml:space="preserve"> </w:t>
      </w:r>
      <w:r w:rsidRPr="00B31134">
        <w:t xml:space="preserve">µg to healthy subjects, plasma elimination half-life of </w:t>
      </w:r>
      <w:r>
        <w:t xml:space="preserve">VI averaged 11 hours (95% CI: 8 – </w:t>
      </w:r>
      <w:r w:rsidRPr="00B31134">
        <w:t>13</w:t>
      </w:r>
      <w:r>
        <w:t xml:space="preserve"> </w:t>
      </w:r>
      <w:r w:rsidRPr="00B31134">
        <w:t>h) with no detectable VI excreted in urine.</w:t>
      </w:r>
    </w:p>
    <w:p w:rsidR="00B13321" w:rsidRPr="00B31134" w:rsidRDefault="00B13321" w:rsidP="00BF1584">
      <w:r w:rsidRPr="00B31134">
        <w:t>Weight and age were statistically significant covariates on apparent clearance (CL/F) of inhaled UMEC and VI; and weight was a significant covariate on UMEC apparent volume of distribution (V2/F). The magnitude of effect of these covariates on UMEC and VI exposure was small and does not warrant dose adjustment. Gender, post salbutamol reversibility, post salbutamol and ipratropium reversibility, use of ICS at screening, smoking status, race, and percent predicted baseline FEV1 did not significantly affect UMEC and VI PK.</w:t>
      </w:r>
    </w:p>
    <w:p w:rsidR="00B13321" w:rsidRPr="00B31134" w:rsidRDefault="00B13321" w:rsidP="00BF1584">
      <w:r w:rsidRPr="00B31134">
        <w:t>Neither UMEC 125</w:t>
      </w:r>
      <w:r>
        <w:t xml:space="preserve"> </w:t>
      </w:r>
      <w:r w:rsidRPr="00B31134">
        <w:t>µg nor UMEC/VI 125/25</w:t>
      </w:r>
      <w:r>
        <w:t xml:space="preserve"> </w:t>
      </w:r>
      <w:r w:rsidRPr="00B31134">
        <w:t>µg administered to subjects with severe renal impairment resulted in clinically significant increases in either UMEC or VI systemic exposure. Therefore, no dose adjustment is recommended in patients with impaired renal function. Both UMEC 125</w:t>
      </w:r>
      <w:r>
        <w:t xml:space="preserve"> </w:t>
      </w:r>
      <w:r w:rsidRPr="00B31134">
        <w:t>µg and UMEC/VI 125/25</w:t>
      </w:r>
      <w:r>
        <w:t xml:space="preserve"> </w:t>
      </w:r>
      <w:r w:rsidRPr="00B31134">
        <w:t>µg administered to subjects with moderate hepatic impairment led to UMEC and VI systemic exposures that were on average lower in the subjects with moderate hepatic impairment compared to healthy subjects. Therefore, no dose adjustment is recommended in patients with moderate hepatic impairment. UMEC/VI has not been studied in subjects with severe hepatic impairment.</w:t>
      </w:r>
    </w:p>
    <w:p w:rsidR="00B13321" w:rsidRPr="00105BA8" w:rsidRDefault="00B13321" w:rsidP="00BF1584">
      <w:r w:rsidRPr="00B31134">
        <w:t>UMEC is metabolized</w:t>
      </w:r>
      <w:r>
        <w:t xml:space="preserve"> principally by cytochrome P450 </w:t>
      </w:r>
      <w:r w:rsidRPr="00B31134">
        <w:t>CYP2D6. There was no clinically significant difference in the systemic exposure to UMEC following 7 days of repeat inhaled dosing with UMEC doses up to 1000</w:t>
      </w:r>
      <w:r>
        <w:t xml:space="preserve"> </w:t>
      </w:r>
      <w:r w:rsidRPr="00B31134">
        <w:t>µg in a population of CYP2D6 poor metabolisers. No dose adjustment is recommended in patients using concomitant CYP2D6 inhibitors or subjects with genetic polymorphisms of CYP2D6 metabolism. The major routes of metabolism of VI in humans are mediated primarily by</w:t>
      </w:r>
      <w:r>
        <w:t xml:space="preserve"> </w:t>
      </w:r>
      <w:r w:rsidRPr="00A65F35">
        <w:t>cytochrome P450</w:t>
      </w:r>
      <w:r w:rsidRPr="00B31134">
        <w:t xml:space="preserve"> CYP3A4. Results from clinical drug interaction studies support the position that caution is advised when administering VI in the presence of strong CYP3A4 inhibitors. Both UMEC and VI are substrates of the P-</w:t>
      </w:r>
      <w:proofErr w:type="spellStart"/>
      <w:r w:rsidRPr="00B31134">
        <w:t>gp</w:t>
      </w:r>
      <w:proofErr w:type="spellEnd"/>
      <w:r w:rsidRPr="00B31134">
        <w:t xml:space="preserve"> transporter. Results from a clinical drug interaction study support the position that no dose adjustment is recommended in patients using concomita</w:t>
      </w:r>
      <w:r>
        <w:t>nt P-</w:t>
      </w:r>
      <w:proofErr w:type="spellStart"/>
      <w:r>
        <w:t>gp</w:t>
      </w:r>
      <w:proofErr w:type="spellEnd"/>
      <w:r>
        <w:t xml:space="preserve"> transporter inhibitors.</w:t>
      </w:r>
    </w:p>
    <w:p w:rsidR="00B13321" w:rsidRDefault="00B13321" w:rsidP="00D90C7C">
      <w:pPr>
        <w:pStyle w:val="Heading2"/>
        <w:pageBreakBefore/>
      </w:pPr>
      <w:bookmarkStart w:id="102" w:name="_Toc422852152"/>
      <w:r w:rsidRPr="00D90C7C">
        <w:lastRenderedPageBreak/>
        <w:t>Pharmacodynamics</w:t>
      </w:r>
      <w:bookmarkEnd w:id="102"/>
    </w:p>
    <w:p w:rsidR="00B13321" w:rsidRPr="00CB34FE" w:rsidRDefault="00B13321" w:rsidP="00BF1584">
      <w:pPr>
        <w:pStyle w:val="Heading3"/>
      </w:pPr>
      <w:bookmarkStart w:id="103" w:name="_Toc272414637"/>
      <w:bookmarkStart w:id="104" w:name="_Toc290846260"/>
      <w:bookmarkStart w:id="105" w:name="_Toc376461138"/>
      <w:bookmarkStart w:id="106" w:name="_Toc422852153"/>
      <w:r w:rsidRPr="00CB34FE">
        <w:t>Studies providing pharmacodynamic</w:t>
      </w:r>
      <w:r>
        <w:t xml:space="preserve"> (PD)</w:t>
      </w:r>
      <w:r w:rsidRPr="00CB34FE">
        <w:t xml:space="preserve"> data</w:t>
      </w:r>
      <w:bookmarkEnd w:id="103"/>
      <w:bookmarkEnd w:id="104"/>
      <w:bookmarkEnd w:id="105"/>
      <w:bookmarkEnd w:id="106"/>
    </w:p>
    <w:p w:rsidR="00B13321" w:rsidRPr="00CB34FE" w:rsidRDefault="00B13321" w:rsidP="00BF1584">
      <w:r w:rsidRPr="00CB34FE">
        <w:t>Tabl</w:t>
      </w:r>
      <w:r>
        <w:t xml:space="preserve">e </w:t>
      </w:r>
      <w:r w:rsidR="00C3117B">
        <w:t>2</w:t>
      </w:r>
      <w:r w:rsidRPr="00CB34FE">
        <w:t xml:space="preserve"> below shows the studies relating to each </w:t>
      </w:r>
      <w:r>
        <w:t>PD</w:t>
      </w:r>
      <w:r w:rsidRPr="00CB34FE">
        <w:t xml:space="preserve"> topic.</w:t>
      </w:r>
    </w:p>
    <w:p w:rsidR="00B13321" w:rsidRDefault="00B13321" w:rsidP="00BF1584">
      <w:pPr>
        <w:pStyle w:val="Tabletitle"/>
        <w:rPr>
          <w:lang w:eastAsia="ja-JP"/>
        </w:rPr>
      </w:pPr>
      <w:proofErr w:type="gramStart"/>
      <w:r>
        <w:rPr>
          <w:lang w:eastAsia="ja-JP"/>
        </w:rPr>
        <w:t xml:space="preserve">Table </w:t>
      </w:r>
      <w:r w:rsidR="00C3117B">
        <w:rPr>
          <w:lang w:eastAsia="ja-JP"/>
        </w:rPr>
        <w:t>2</w:t>
      </w:r>
      <w:r>
        <w:rPr>
          <w:lang w:eastAsia="ja-JP"/>
        </w:rPr>
        <w:t>.</w:t>
      </w:r>
      <w:proofErr w:type="gramEnd"/>
      <w:r>
        <w:rPr>
          <w:lang w:eastAsia="ja-JP"/>
        </w:rPr>
        <w:t xml:space="preserve"> </w:t>
      </w:r>
      <w:proofErr w:type="gramStart"/>
      <w:r>
        <w:rPr>
          <w:lang w:eastAsia="ja-JP"/>
        </w:rPr>
        <w:t>Submitted pharmacodynamic studies.</w:t>
      </w:r>
      <w:proofErr w:type="gramEnd"/>
    </w:p>
    <w:tbl>
      <w:tblPr>
        <w:tblStyle w:val="TableTGAblue"/>
        <w:tblW w:w="0" w:type="auto"/>
        <w:tblLook w:val="04A0" w:firstRow="1" w:lastRow="0" w:firstColumn="1" w:lastColumn="0" w:noHBand="0" w:noVBand="1"/>
      </w:tblPr>
      <w:tblGrid>
        <w:gridCol w:w="3080"/>
        <w:gridCol w:w="3081"/>
        <w:gridCol w:w="1744"/>
      </w:tblGrid>
      <w:tr w:rsidR="00B13321" w:rsidTr="007D52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B13321" w:rsidRDefault="00B13321" w:rsidP="00BF1584">
            <w:r>
              <w:t>PD Topic</w:t>
            </w:r>
          </w:p>
        </w:tc>
        <w:tc>
          <w:tcPr>
            <w:tcW w:w="3081" w:type="dxa"/>
          </w:tcPr>
          <w:p w:rsidR="00B13321" w:rsidRDefault="00B13321" w:rsidP="00BF1584">
            <w:pPr>
              <w:cnfStyle w:val="100000000000" w:firstRow="1" w:lastRow="0" w:firstColumn="0" w:lastColumn="0" w:oddVBand="0" w:evenVBand="0" w:oddHBand="0" w:evenHBand="0" w:firstRowFirstColumn="0" w:firstRowLastColumn="0" w:lastRowFirstColumn="0" w:lastRowLastColumn="0"/>
            </w:pPr>
            <w:r>
              <w:t>Subtopic</w:t>
            </w:r>
          </w:p>
        </w:tc>
        <w:tc>
          <w:tcPr>
            <w:tcW w:w="1744" w:type="dxa"/>
          </w:tcPr>
          <w:p w:rsidR="00B13321" w:rsidRDefault="00B13321" w:rsidP="00BF1584">
            <w:pPr>
              <w:cnfStyle w:val="100000000000" w:firstRow="1" w:lastRow="0" w:firstColumn="0" w:lastColumn="0" w:oddVBand="0" w:evenVBand="0" w:oddHBand="0" w:evenHBand="0" w:firstRowFirstColumn="0" w:firstRowLastColumn="0" w:lastRowFirstColumn="0" w:lastRowLastColumn="0"/>
            </w:pPr>
            <w:r>
              <w:t>Study ID</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val="restart"/>
          </w:tcPr>
          <w:p w:rsidR="00B13321" w:rsidRDefault="00B13321" w:rsidP="00BF1584">
            <w:r>
              <w:t>Primary Pharmacology</w:t>
            </w:r>
          </w:p>
        </w:tc>
        <w:tc>
          <w:tcPr>
            <w:tcW w:w="308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 xml:space="preserve">Effect on </w:t>
            </w:r>
            <w:proofErr w:type="spellStart"/>
            <w:r>
              <w:t>sGaw</w:t>
            </w:r>
            <w:proofErr w:type="spellEnd"/>
          </w:p>
        </w:tc>
        <w:tc>
          <w:tcPr>
            <w:tcW w:w="1744" w:type="dxa"/>
          </w:tcPr>
          <w:p w:rsidR="00B13321" w:rsidRDefault="00B13321" w:rsidP="007D5296">
            <w:pPr>
              <w:cnfStyle w:val="000000000000" w:firstRow="0" w:lastRow="0" w:firstColumn="0" w:lastColumn="0" w:oddVBand="0" w:evenVBand="0" w:oddHBand="0" w:evenHBand="0" w:firstRowFirstColumn="0" w:firstRowLastColumn="0" w:lastRowFirstColumn="0" w:lastRowLastColumn="0"/>
            </w:pPr>
            <w:r>
              <w:t>AC4105209</w:t>
            </w:r>
            <w:r w:rsidR="007D5296">
              <w:t xml:space="preserve"> </w:t>
            </w:r>
            <w:r>
              <w:t>AC4108123</w:t>
            </w:r>
            <w:r w:rsidR="007D5296">
              <w:t xml:space="preserve"> </w:t>
            </w:r>
            <w:r>
              <w:t>B2C10001</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Effect on FEV1</w:t>
            </w:r>
          </w:p>
        </w:tc>
        <w:tc>
          <w:tcPr>
            <w:tcW w:w="1744" w:type="dxa"/>
          </w:tcPr>
          <w:p w:rsidR="00B13321" w:rsidRDefault="00B13321" w:rsidP="007D5296">
            <w:pPr>
              <w:cnfStyle w:val="000000000000" w:firstRow="0" w:lastRow="0" w:firstColumn="0" w:lastColumn="0" w:oddVBand="0" w:evenVBand="0" w:oddHBand="0" w:evenHBand="0" w:firstRowFirstColumn="0" w:firstRowLastColumn="0" w:lastRowFirstColumn="0" w:lastRowLastColumn="0"/>
            </w:pPr>
            <w:r>
              <w:t>B2C110165</w:t>
            </w:r>
            <w:r w:rsidR="007D5296">
              <w:t xml:space="preserve"> </w:t>
            </w:r>
            <w:r>
              <w:t>DB2113361</w:t>
            </w:r>
            <w:r w:rsidR="007D5296">
              <w:t xml:space="preserve"> </w:t>
            </w:r>
            <w:r>
              <w:t>DB2113373</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val="restart"/>
          </w:tcPr>
          <w:p w:rsidR="00B13321" w:rsidRDefault="00B13321" w:rsidP="00BF1584">
            <w:r>
              <w:t>Secondary Pharmacology</w:t>
            </w:r>
          </w:p>
        </w:tc>
        <w:tc>
          <w:tcPr>
            <w:tcW w:w="308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 xml:space="preserve">Effect on </w:t>
            </w:r>
            <w:proofErr w:type="spellStart"/>
            <w:r>
              <w:t>QTc</w:t>
            </w:r>
            <w:proofErr w:type="spellEnd"/>
            <w:r>
              <w:t xml:space="preserve"> Interval</w:t>
            </w: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DB2114635</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H2A102963</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Blood Glucose</w:t>
            </w: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B2C108784</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B2C110165</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vMerge w:val="restart"/>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Blood Potassium</w:t>
            </w: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DB2113208</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vMerge/>
          </w:tcPr>
          <w:p w:rsidR="00B13321" w:rsidRDefault="00B13321" w:rsidP="00BF1584"/>
        </w:tc>
        <w:tc>
          <w:tcPr>
            <w:tcW w:w="3081" w:type="dxa"/>
            <w:vMerge/>
          </w:tcPr>
          <w:p w:rsidR="00B13321" w:rsidRDefault="00B13321" w:rsidP="00BF1584">
            <w:pPr>
              <w:cnfStyle w:val="000000000000" w:firstRow="0" w:lastRow="0" w:firstColumn="0" w:lastColumn="0" w:oddVBand="0" w:evenVBand="0" w:oddHBand="0" w:evenHBand="0" w:firstRowFirstColumn="0" w:firstRowLastColumn="0" w:lastRowFirstColumn="0" w:lastRowLastColumn="0"/>
            </w:pP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DB2113950</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tcPr>
          <w:p w:rsidR="00B13321" w:rsidRDefault="00B13321" w:rsidP="00BF1584">
            <w:r>
              <w:t>Gender, other genetic and Age related differences in PD Response</w:t>
            </w:r>
          </w:p>
        </w:tc>
        <w:tc>
          <w:tcPr>
            <w:tcW w:w="308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Effect of Gender</w:t>
            </w:r>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N/A</w:t>
            </w:r>
          </w:p>
        </w:tc>
      </w:tr>
      <w:tr w:rsidR="00B13321" w:rsidTr="007D5296">
        <w:tc>
          <w:tcPr>
            <w:cnfStyle w:val="001000000000" w:firstRow="0" w:lastRow="0" w:firstColumn="1" w:lastColumn="0" w:oddVBand="0" w:evenVBand="0" w:oddHBand="0" w:evenHBand="0" w:firstRowFirstColumn="0" w:firstRowLastColumn="0" w:lastRowFirstColumn="0" w:lastRowLastColumn="0"/>
            <w:tcW w:w="3080" w:type="dxa"/>
          </w:tcPr>
          <w:p w:rsidR="00B13321" w:rsidRDefault="00B13321" w:rsidP="00BF1584">
            <w:r>
              <w:t>PD Interactions</w:t>
            </w:r>
          </w:p>
        </w:tc>
        <w:tc>
          <w:tcPr>
            <w:tcW w:w="3081"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 xml:space="preserve">VI and </w:t>
            </w:r>
            <w:proofErr w:type="spellStart"/>
            <w:r>
              <w:t>ketaconazole</w:t>
            </w:r>
            <w:proofErr w:type="spellEnd"/>
          </w:p>
        </w:tc>
        <w:tc>
          <w:tcPr>
            <w:tcW w:w="1744" w:type="dxa"/>
          </w:tcPr>
          <w:p w:rsidR="00B13321" w:rsidRDefault="00B13321" w:rsidP="00BF1584">
            <w:pPr>
              <w:cnfStyle w:val="000000000000" w:firstRow="0" w:lastRow="0" w:firstColumn="0" w:lastColumn="0" w:oddVBand="0" w:evenVBand="0" w:oddHBand="0" w:evenHBand="0" w:firstRowFirstColumn="0" w:firstRowLastColumn="0" w:lastRowFirstColumn="0" w:lastRowLastColumn="0"/>
            </w:pPr>
            <w:r>
              <w:t>B2C112205</w:t>
            </w:r>
          </w:p>
        </w:tc>
      </w:tr>
    </w:tbl>
    <w:p w:rsidR="00B13321" w:rsidRPr="00CB34FE" w:rsidRDefault="00B13321" w:rsidP="007D5296">
      <w:pPr>
        <w:pStyle w:val="Heading3"/>
      </w:pPr>
      <w:bookmarkStart w:id="107" w:name="_Ref269119989"/>
      <w:bookmarkStart w:id="108" w:name="_Toc272414639"/>
      <w:bookmarkStart w:id="109" w:name="_Toc290846261"/>
      <w:bookmarkStart w:id="110" w:name="_Toc376461139"/>
      <w:bookmarkStart w:id="111" w:name="_Toc422852154"/>
      <w:r w:rsidRPr="00CB34FE">
        <w:t>Summary of pharmacodynamics</w:t>
      </w:r>
      <w:bookmarkEnd w:id="107"/>
      <w:bookmarkEnd w:id="108"/>
      <w:bookmarkEnd w:id="109"/>
      <w:bookmarkEnd w:id="110"/>
      <w:bookmarkEnd w:id="111"/>
    </w:p>
    <w:p w:rsidR="00B13321" w:rsidRPr="00CB34FE" w:rsidRDefault="00B13321" w:rsidP="007D5296">
      <w:r w:rsidRPr="00CB34FE">
        <w:t xml:space="preserve">The information in the following summary is derived from conventional </w:t>
      </w:r>
      <w:r w:rsidRPr="002A0476">
        <w:t>PD</w:t>
      </w:r>
      <w:r w:rsidRPr="00CB34FE">
        <w:t xml:space="preserve"> studies in humans unless otherwise stated.</w:t>
      </w:r>
    </w:p>
    <w:p w:rsidR="00B13321" w:rsidRPr="00CB34FE" w:rsidRDefault="00B13321" w:rsidP="007D5296">
      <w:pPr>
        <w:pStyle w:val="Heading4"/>
      </w:pPr>
      <w:bookmarkStart w:id="112" w:name="_Toc241374299"/>
      <w:bookmarkStart w:id="113" w:name="_Toc272414640"/>
      <w:bookmarkStart w:id="114" w:name="_Toc290846262"/>
      <w:bookmarkStart w:id="115" w:name="_Toc376461140"/>
      <w:r w:rsidRPr="00CB34FE">
        <w:t>Mechanism of action</w:t>
      </w:r>
      <w:bookmarkEnd w:id="112"/>
      <w:bookmarkEnd w:id="113"/>
      <w:bookmarkEnd w:id="114"/>
      <w:bookmarkEnd w:id="115"/>
    </w:p>
    <w:p w:rsidR="00B13321" w:rsidRPr="00CB34FE" w:rsidRDefault="00B13321" w:rsidP="007D5296">
      <w:r w:rsidRPr="00CB34FE">
        <w:t xml:space="preserve">Umeclidinium is a long acting muscarinic receptor antagonist with activity across multiple muscarinic cholinergic receptor subtypes. Umeclidinium bromide exerts its </w:t>
      </w:r>
      <w:proofErr w:type="spellStart"/>
      <w:r w:rsidRPr="00CB34FE">
        <w:t>bronchodilatory</w:t>
      </w:r>
      <w:proofErr w:type="spellEnd"/>
      <w:r w:rsidRPr="00CB34FE">
        <w:t xml:space="preserve"> activity by competitively inhibiting the binding of acetylcholine with muscarinic acetylcholine receptors on airway smooth muscle. It demonstrates slow reversibility at the human M3 muscarinic receptor subtype in vitro and a long duration of action in vivo when administered directly to the lungs in </w:t>
      </w:r>
      <w:r>
        <w:t>pre-</w:t>
      </w:r>
      <w:r w:rsidRPr="00CB34FE">
        <w:t>clinical models.</w:t>
      </w:r>
    </w:p>
    <w:p w:rsidR="00B13321" w:rsidRPr="00CB34FE" w:rsidRDefault="00B13321" w:rsidP="007D5296">
      <w:r w:rsidRPr="00CB34FE">
        <w:t xml:space="preserve">Vilanterol </w:t>
      </w:r>
      <w:r>
        <w:t>trifenatate is a selective long-</w:t>
      </w:r>
      <w:r w:rsidRPr="00CB34FE">
        <w:t>acting, beta</w:t>
      </w:r>
      <w:r w:rsidRPr="00BC2D5A">
        <w:rPr>
          <w:vertAlign w:val="subscript"/>
        </w:rPr>
        <w:t>2</w:t>
      </w:r>
      <w:r w:rsidRPr="00CB34FE">
        <w:t xml:space="preserve">-adrenergic receptor agonist. The pharmacologic effects are at least in part attributable to stimulation of intracellular </w:t>
      </w:r>
      <w:proofErr w:type="spellStart"/>
      <w:r w:rsidRPr="00CB34FE">
        <w:t>adenylate</w:t>
      </w:r>
      <w:proofErr w:type="spellEnd"/>
      <w:r w:rsidRPr="00CB34FE">
        <w:t xml:space="preserve"> </w:t>
      </w:r>
      <w:r w:rsidRPr="00CB34FE">
        <w:lastRenderedPageBreak/>
        <w:t>cyclise. Increased cyclic AMP levels cause relaxation of bronchial smooth muscle and inhibition of release of mediators of immediate hypersensitivity from cells, especially from mast cells.</w:t>
      </w:r>
    </w:p>
    <w:p w:rsidR="00B13321" w:rsidRPr="00CB34FE" w:rsidRDefault="00B13321" w:rsidP="007D5296">
      <w:pPr>
        <w:pStyle w:val="Heading4"/>
      </w:pPr>
      <w:bookmarkStart w:id="116" w:name="_Toc241374300"/>
      <w:bookmarkStart w:id="117" w:name="_Toc272414641"/>
      <w:bookmarkStart w:id="118" w:name="_Toc290846263"/>
      <w:bookmarkStart w:id="119" w:name="_Toc376461141"/>
      <w:r w:rsidRPr="00CB34FE">
        <w:t>Pharmacodynamic effects</w:t>
      </w:r>
      <w:bookmarkEnd w:id="116"/>
      <w:bookmarkEnd w:id="117"/>
      <w:bookmarkEnd w:id="118"/>
      <w:bookmarkEnd w:id="119"/>
    </w:p>
    <w:p w:rsidR="00B13321" w:rsidRPr="00CB34FE" w:rsidRDefault="00B13321" w:rsidP="007D5296">
      <w:pPr>
        <w:pStyle w:val="Heading5"/>
      </w:pPr>
      <w:bookmarkStart w:id="120" w:name="_Toc272414642"/>
      <w:bookmarkStart w:id="121" w:name="_Toc290846264"/>
      <w:bookmarkStart w:id="122" w:name="_Toc376461142"/>
      <w:r w:rsidRPr="00CB34FE">
        <w:t>Primary pharmacodynamic effects</w:t>
      </w:r>
      <w:bookmarkEnd w:id="120"/>
      <w:bookmarkEnd w:id="121"/>
      <w:bookmarkEnd w:id="122"/>
    </w:p>
    <w:p w:rsidR="00B13321" w:rsidRPr="00CB34FE" w:rsidRDefault="00B13321" w:rsidP="007D5296">
      <w:r w:rsidRPr="00CB34FE">
        <w:t xml:space="preserve">Early phase healthy subject studies and studies in subjects with COPD demonstrated a clear </w:t>
      </w:r>
      <w:proofErr w:type="spellStart"/>
      <w:r w:rsidRPr="00CB34FE">
        <w:t>bronchodilatory</w:t>
      </w:r>
      <w:proofErr w:type="spellEnd"/>
      <w:r w:rsidRPr="00CB34FE">
        <w:t xml:space="preserve"> effect of both UMEC and VI. Bronchodilation was assessed by changes in specific airway conductance and forced expiratory volume. Evidence from these studies confirms bronchodilation as the therapeutic mechanism of action for U</w:t>
      </w:r>
      <w:r>
        <w:t>MEC/VI.</w:t>
      </w:r>
    </w:p>
    <w:p w:rsidR="00B13321" w:rsidRPr="00CB34FE" w:rsidRDefault="00B13321" w:rsidP="007D5296">
      <w:r w:rsidRPr="00CB34FE">
        <w:t xml:space="preserve">Effective </w:t>
      </w:r>
      <w:proofErr w:type="spellStart"/>
      <w:r w:rsidRPr="00CB34FE">
        <w:t>bronchodilatory</w:t>
      </w:r>
      <w:proofErr w:type="spellEnd"/>
      <w:r w:rsidRPr="00CB34FE">
        <w:t xml:space="preserve"> activity was demonstrated for UMEC i</w:t>
      </w:r>
      <w:r>
        <w:t>n healthy volunteers (AC4105209</w:t>
      </w:r>
      <w:r w:rsidRPr="00CB34FE">
        <w:t xml:space="preserve">). Higher </w:t>
      </w:r>
      <w:proofErr w:type="spellStart"/>
      <w:r w:rsidRPr="00CB34FE">
        <w:t>sGaw</w:t>
      </w:r>
      <w:proofErr w:type="spellEnd"/>
      <w:r w:rsidRPr="00CB34FE">
        <w:t xml:space="preserve"> (mid) values were observed at </w:t>
      </w:r>
      <w:proofErr w:type="spellStart"/>
      <w:r w:rsidRPr="00CB34FE">
        <w:t>all time</w:t>
      </w:r>
      <w:proofErr w:type="spellEnd"/>
      <w:r w:rsidRPr="00CB34FE">
        <w:t xml:space="preserve"> points for UMEC 350</w:t>
      </w:r>
      <w:r>
        <w:t xml:space="preserve"> </w:t>
      </w:r>
      <w:r w:rsidRPr="00CB34FE">
        <w:t xml:space="preserve">µg and </w:t>
      </w:r>
      <w:proofErr w:type="spellStart"/>
      <w:r w:rsidRPr="00CB34FE">
        <w:t>tiotropium</w:t>
      </w:r>
      <w:proofErr w:type="spellEnd"/>
      <w:r w:rsidRPr="00CB34FE">
        <w:t xml:space="preserve"> compared with </w:t>
      </w:r>
      <w:r>
        <w:t>placebo</w:t>
      </w:r>
      <w:r w:rsidRPr="00CB34FE">
        <w:t xml:space="preserve">. At 12 hours, on average, values showed a 34% improvement over </w:t>
      </w:r>
      <w:r w:rsidRPr="009F45D2">
        <w:t>placebo</w:t>
      </w:r>
      <w:r w:rsidRPr="00CB34FE">
        <w:t xml:space="preserve"> and at 24 hours they showed a 13% and 17% improvement over </w:t>
      </w:r>
      <w:r w:rsidRPr="009F45D2">
        <w:t>placebo</w:t>
      </w:r>
      <w:r w:rsidRPr="00CB34FE">
        <w:t xml:space="preserve"> for UMEC 350</w:t>
      </w:r>
      <w:r>
        <w:t xml:space="preserve"> </w:t>
      </w:r>
      <w:r w:rsidRPr="00CB34FE">
        <w:t xml:space="preserve">µg and </w:t>
      </w:r>
      <w:proofErr w:type="spellStart"/>
      <w:r w:rsidRPr="00CB34FE">
        <w:t>tiotropium</w:t>
      </w:r>
      <w:proofErr w:type="spellEnd"/>
      <w:r w:rsidRPr="00CB34FE">
        <w:t>, respectively. For the UMEC 100 and 250</w:t>
      </w:r>
      <w:r>
        <w:t xml:space="preserve"> </w:t>
      </w:r>
      <w:r w:rsidRPr="00CB34FE">
        <w:t xml:space="preserve">µg groups, higher </w:t>
      </w:r>
      <w:proofErr w:type="spellStart"/>
      <w:r w:rsidRPr="00CB34FE">
        <w:t>sGaw</w:t>
      </w:r>
      <w:proofErr w:type="spellEnd"/>
      <w:r w:rsidRPr="00CB34FE">
        <w:t xml:space="preserve"> (mid) values were observed compared with </w:t>
      </w:r>
      <w:r w:rsidRPr="00D96323">
        <w:t>PLA</w:t>
      </w:r>
      <w:r w:rsidRPr="00CB34FE">
        <w:t xml:space="preserve"> at </w:t>
      </w:r>
      <w:proofErr w:type="spellStart"/>
      <w:r w:rsidRPr="00CB34FE">
        <w:t>all time</w:t>
      </w:r>
      <w:proofErr w:type="spellEnd"/>
      <w:r w:rsidRPr="00CB34FE">
        <w:t xml:space="preserve"> points except 24 hours. At 12 hours, improvements over </w:t>
      </w:r>
      <w:r w:rsidRPr="006F4F18">
        <w:t>placebo</w:t>
      </w:r>
      <w:r w:rsidRPr="00CB34FE">
        <w:t xml:space="preserve"> were 34% and 24% greater for the UMEC 100 and 250</w:t>
      </w:r>
      <w:r>
        <w:t> </w:t>
      </w:r>
      <w:r w:rsidRPr="00CB34FE">
        <w:t xml:space="preserve">µg groups, respectively. Higher FEV1 values were observed compared with </w:t>
      </w:r>
      <w:r w:rsidRPr="006F4F18">
        <w:t>placebo</w:t>
      </w:r>
      <w:r w:rsidRPr="00CB34FE">
        <w:t xml:space="preserve"> for UMEC 350</w:t>
      </w:r>
      <w:r>
        <w:t xml:space="preserve"> </w:t>
      </w:r>
      <w:r w:rsidRPr="00CB34FE">
        <w:t xml:space="preserve">µg at </w:t>
      </w:r>
      <w:proofErr w:type="spellStart"/>
      <w:r w:rsidRPr="00CB34FE">
        <w:t>all time</w:t>
      </w:r>
      <w:proofErr w:type="spellEnd"/>
      <w:r w:rsidRPr="00CB34FE">
        <w:t xml:space="preserve"> points except at 15 </w:t>
      </w:r>
      <w:proofErr w:type="gramStart"/>
      <w:r w:rsidRPr="00CB34FE">
        <w:t>minutes,</w:t>
      </w:r>
      <w:proofErr w:type="gramEnd"/>
      <w:r w:rsidRPr="00CB34FE">
        <w:t xml:space="preserve"> and at </w:t>
      </w:r>
      <w:proofErr w:type="spellStart"/>
      <w:r w:rsidRPr="00CB34FE">
        <w:t>all time</w:t>
      </w:r>
      <w:proofErr w:type="spellEnd"/>
      <w:r w:rsidRPr="00CB34FE">
        <w:t xml:space="preserve"> points except for 15 minutes and 1 hour for UMEC 100 </w:t>
      </w:r>
      <w:r>
        <w:t>mc</w:t>
      </w:r>
      <w:r w:rsidRPr="00411DAA">
        <w:t>g</w:t>
      </w:r>
      <w:r>
        <w:t>.</w:t>
      </w:r>
    </w:p>
    <w:p w:rsidR="00B13321" w:rsidRPr="00CB34FE" w:rsidRDefault="00B13321" w:rsidP="007D5296">
      <w:r w:rsidRPr="00CB34FE">
        <w:t>I</w:t>
      </w:r>
      <w:r>
        <w:t>n subjects with COPD (AC4108123</w:t>
      </w:r>
      <w:r w:rsidRPr="00CB34FE">
        <w:t xml:space="preserve">), values of </w:t>
      </w:r>
      <w:proofErr w:type="spellStart"/>
      <w:r w:rsidRPr="00CB34FE">
        <w:t>sGaw</w:t>
      </w:r>
      <w:proofErr w:type="spellEnd"/>
      <w:r w:rsidRPr="00CB34FE">
        <w:t xml:space="preserve"> were, on average, higher for all active treatment groups (UMEC 250, 500, and 1000</w:t>
      </w:r>
      <w:r>
        <w:t xml:space="preserve"> </w:t>
      </w:r>
      <w:r w:rsidRPr="00CB34FE">
        <w:t xml:space="preserve">µg, and </w:t>
      </w:r>
      <w:proofErr w:type="spellStart"/>
      <w:r w:rsidRPr="00CB34FE">
        <w:t>tiotropium</w:t>
      </w:r>
      <w:proofErr w:type="spellEnd"/>
      <w:r w:rsidRPr="00CB34FE">
        <w:t xml:space="preserve"> 18</w:t>
      </w:r>
      <w:r>
        <w:t xml:space="preserve"> </w:t>
      </w:r>
      <w:r w:rsidRPr="00CB34FE">
        <w:t>µg) co</w:t>
      </w:r>
      <w:r>
        <w:t xml:space="preserve">mpared with </w:t>
      </w:r>
      <w:r w:rsidRPr="006F4F18">
        <w:t>placebo</w:t>
      </w:r>
      <w:r>
        <w:t xml:space="preserve"> over the 24 </w:t>
      </w:r>
      <w:r w:rsidRPr="00CB34FE">
        <w:t>hou</w:t>
      </w:r>
      <w:r>
        <w:t>r assessment period</w:t>
      </w:r>
      <w:r w:rsidRPr="00CB34FE">
        <w:t>, with UMEC doses of 500 and 1000</w:t>
      </w:r>
      <w:r>
        <w:t xml:space="preserve"> </w:t>
      </w:r>
      <w:r w:rsidRPr="00CB34FE">
        <w:t xml:space="preserve">µg consistently showing the greatest differences relative to </w:t>
      </w:r>
      <w:r w:rsidRPr="006F4F18">
        <w:t>placebo</w:t>
      </w:r>
      <w:r w:rsidRPr="00CB34FE">
        <w:t xml:space="preserve">. All 3 UMEC doses resulted in higher average </w:t>
      </w:r>
      <w:proofErr w:type="spellStart"/>
      <w:r w:rsidRPr="00CB34FE">
        <w:t>sGaw</w:t>
      </w:r>
      <w:proofErr w:type="spellEnd"/>
      <w:r w:rsidRPr="00CB34FE">
        <w:t xml:space="preserve"> values compared with </w:t>
      </w:r>
      <w:proofErr w:type="spellStart"/>
      <w:r w:rsidRPr="00CB34FE">
        <w:t>tiotropium</w:t>
      </w:r>
      <w:proofErr w:type="spellEnd"/>
      <w:r w:rsidRPr="00CB34FE">
        <w:t xml:space="preserve"> 18</w:t>
      </w:r>
      <w:r>
        <w:t xml:space="preserve"> </w:t>
      </w:r>
      <w:r w:rsidRPr="00CB34FE">
        <w:t xml:space="preserve">µg. Trends in FEV1 were similar to those of </w:t>
      </w:r>
      <w:proofErr w:type="spellStart"/>
      <w:r w:rsidRPr="00CB34FE">
        <w:t>sGaw</w:t>
      </w:r>
      <w:proofErr w:type="spellEnd"/>
      <w:r w:rsidRPr="00CB34FE">
        <w:t xml:space="preserve">; higher values were seen for all active treatment groups compared with </w:t>
      </w:r>
      <w:r w:rsidRPr="006F4F18">
        <w:t>placebo</w:t>
      </w:r>
      <w:r w:rsidRPr="00CB34FE">
        <w:t>, with UMEC 500 and 1000</w:t>
      </w:r>
      <w:r>
        <w:t xml:space="preserve"> </w:t>
      </w:r>
      <w:r w:rsidRPr="00CB34FE">
        <w:t xml:space="preserve">µg showing the largest differences in adjusted means relative to </w:t>
      </w:r>
      <w:r w:rsidRPr="006F4F18">
        <w:t>placebo</w:t>
      </w:r>
      <w:r>
        <w:t>.</w:t>
      </w:r>
    </w:p>
    <w:p w:rsidR="00B13321" w:rsidRPr="00CB34FE" w:rsidRDefault="00B13321" w:rsidP="007D5296">
      <w:r w:rsidRPr="00CB34FE">
        <w:t xml:space="preserve">In healthy subjects, improvements were observed in </w:t>
      </w:r>
      <w:proofErr w:type="spellStart"/>
      <w:r w:rsidRPr="00CB34FE">
        <w:t>sGaw</w:t>
      </w:r>
      <w:proofErr w:type="spellEnd"/>
      <w:r w:rsidRPr="00CB34FE">
        <w:t xml:space="preserve"> at VI doses of 50</w:t>
      </w:r>
      <w:r>
        <w:t xml:space="preserve"> µg and higher (B2C10001</w:t>
      </w:r>
      <w:r w:rsidRPr="00CB34FE">
        <w:t xml:space="preserve">). Across the wide range of doses investigated, changes relative to </w:t>
      </w:r>
      <w:r>
        <w:t>PLA</w:t>
      </w:r>
      <w:r w:rsidRPr="00CB34FE">
        <w:t xml:space="preserve"> at 24 hours post</w:t>
      </w:r>
      <w:r>
        <w:t xml:space="preserve"> </w:t>
      </w:r>
      <w:r w:rsidRPr="00CB34FE">
        <w:t>dose ranged from 10% to 31%. In subject</w:t>
      </w:r>
      <w:r>
        <w:t>s with COPD (B2C110165</w:t>
      </w:r>
      <w:r w:rsidRPr="00CB34FE">
        <w:t xml:space="preserve">), all active doses of VI demonstrated efficacy compared with </w:t>
      </w:r>
      <w:r>
        <w:t>PLA</w:t>
      </w:r>
      <w:r w:rsidRPr="00CB34FE">
        <w:t xml:space="preserve"> as measured by FEV1. Treatment differences for FEV1 (difference in adjusted mean) 23 to 24 hours post</w:t>
      </w:r>
      <w:r>
        <w:t xml:space="preserve"> dose were at least 190 </w:t>
      </w:r>
      <w:r w:rsidRPr="00CB34FE">
        <w:t xml:space="preserve">mL greater than </w:t>
      </w:r>
      <w:r>
        <w:t>PLA</w:t>
      </w:r>
      <w:r w:rsidRPr="00CB34FE">
        <w:t xml:space="preserve"> for all doses of VI.</w:t>
      </w:r>
    </w:p>
    <w:p w:rsidR="00B13321" w:rsidRPr="00CB34FE" w:rsidRDefault="00B13321" w:rsidP="007D5296">
      <w:r w:rsidRPr="00CB34FE">
        <w:t xml:space="preserve">The </w:t>
      </w:r>
      <w:proofErr w:type="spellStart"/>
      <w:r w:rsidRPr="00CB34FE">
        <w:t>bronchodilatory</w:t>
      </w:r>
      <w:proofErr w:type="spellEnd"/>
      <w:r w:rsidRPr="00CB34FE">
        <w:t xml:space="preserve"> effects of UMEC and VI were confirmed by the significant improvements in lung function following UMEC/VI treatment observed in the Phase </w:t>
      </w:r>
      <w:proofErr w:type="spellStart"/>
      <w:r w:rsidRPr="00CB34FE">
        <w:t>IIb</w:t>
      </w:r>
      <w:proofErr w:type="spellEnd"/>
      <w:r w:rsidRPr="00CB34FE">
        <w:t xml:space="preserve"> and Phase III clinical efficacy studies.</w:t>
      </w:r>
    </w:p>
    <w:p w:rsidR="00B13321" w:rsidRPr="00CB34FE" w:rsidRDefault="00B13321" w:rsidP="007D5296">
      <w:pPr>
        <w:pStyle w:val="Heading5"/>
      </w:pPr>
      <w:bookmarkStart w:id="123" w:name="_Toc272414643"/>
      <w:bookmarkStart w:id="124" w:name="_Toc290846265"/>
      <w:bookmarkStart w:id="125" w:name="_Toc376461143"/>
      <w:r w:rsidRPr="00CB34FE">
        <w:t>Secondary pharmacodynamic effects</w:t>
      </w:r>
      <w:bookmarkEnd w:id="123"/>
      <w:bookmarkEnd w:id="124"/>
      <w:bookmarkEnd w:id="125"/>
    </w:p>
    <w:p w:rsidR="00B13321" w:rsidRPr="00CB34FE" w:rsidRDefault="00B13321" w:rsidP="007D5296">
      <w:pPr>
        <w:pStyle w:val="Heading6"/>
      </w:pPr>
      <w:r w:rsidRPr="00CB34FE">
        <w:t xml:space="preserve">Blood </w:t>
      </w:r>
      <w:r w:rsidR="007D5296">
        <w:t>p</w:t>
      </w:r>
      <w:r w:rsidRPr="00CB34FE">
        <w:t>otassium</w:t>
      </w:r>
    </w:p>
    <w:p w:rsidR="00B13321" w:rsidRPr="00CB34FE" w:rsidRDefault="00B13321" w:rsidP="007D5296">
      <w:r w:rsidRPr="00CB34FE">
        <w:t>The effect of UMEC on blood potassium levels was formally assessed as a PD endpoint</w:t>
      </w:r>
      <w:r>
        <w:t xml:space="preserve"> in two UMEC studies (DB2113208; DB2113950</w:t>
      </w:r>
      <w:r w:rsidRPr="00CB34FE">
        <w:t>)</w:t>
      </w:r>
      <w:proofErr w:type="gramStart"/>
      <w:r w:rsidRPr="00CB34FE">
        <w:t>,</w:t>
      </w:r>
      <w:proofErr w:type="gramEnd"/>
      <w:r w:rsidRPr="00CB34FE">
        <w:t xml:space="preserve"> both studies included VI either as monotherapy or in combination with UMEC. No apparent effects on blood potassium were observed.</w:t>
      </w:r>
    </w:p>
    <w:p w:rsidR="00B13321" w:rsidRPr="00CB34FE" w:rsidRDefault="00B13321" w:rsidP="007D5296">
      <w:r w:rsidRPr="00CB34FE">
        <w:t>The effect of VI on blood potassium was formally assessed as a PD endpoint in one study</w:t>
      </w:r>
      <w:r>
        <w:t xml:space="preserve"> in healthy subjects (B2C108784</w:t>
      </w:r>
      <w:r w:rsidRPr="00CB34FE">
        <w:t>) and one i</w:t>
      </w:r>
      <w:r>
        <w:t>n subjects with COPD (B2C110165</w:t>
      </w:r>
      <w:r w:rsidRPr="00CB34FE">
        <w:t>) as well as various other supportive studies. In the healthy subject study (B</w:t>
      </w:r>
      <w:r>
        <w:t>2C108784</w:t>
      </w:r>
      <w:r w:rsidRPr="00CB34FE">
        <w:t xml:space="preserve">) VI did not affect minimum </w:t>
      </w:r>
      <w:proofErr w:type="gramStart"/>
      <w:r w:rsidRPr="00CB34FE">
        <w:t>potassium,</w:t>
      </w:r>
      <w:proofErr w:type="gramEnd"/>
      <w:r w:rsidRPr="00CB34FE">
        <w:t xml:space="preserve"> and minimum potassium values were at least 3.4</w:t>
      </w:r>
      <w:r>
        <w:t xml:space="preserve"> </w:t>
      </w:r>
      <w:r w:rsidRPr="00CB34FE">
        <w:t xml:space="preserve">mmol/L for all subjects at </w:t>
      </w:r>
      <w:proofErr w:type="spellStart"/>
      <w:r w:rsidRPr="00CB34FE">
        <w:t>all time</w:t>
      </w:r>
      <w:proofErr w:type="spellEnd"/>
      <w:r w:rsidRPr="00CB34FE">
        <w:t xml:space="preserve"> points. Similarly, i</w:t>
      </w:r>
      <w:r>
        <w:t>n subjects with COPD (B2C110165</w:t>
      </w:r>
      <w:r w:rsidRPr="00CB34FE">
        <w:t xml:space="preserve">), VI did not affect minimum potassium, and minimum potassium values were </w:t>
      </w:r>
      <w:proofErr w:type="gramStart"/>
      <w:r w:rsidRPr="00CB34FE">
        <w:t>at least 3.5</w:t>
      </w:r>
      <w:r>
        <w:t xml:space="preserve"> </w:t>
      </w:r>
      <w:r w:rsidRPr="00CB34FE">
        <w:t>mmol/L</w:t>
      </w:r>
      <w:proofErr w:type="gramEnd"/>
      <w:r w:rsidRPr="00CB34FE">
        <w:t xml:space="preserve"> for all s</w:t>
      </w:r>
      <w:r>
        <w:t>ubjects across all doses of VI.</w:t>
      </w:r>
    </w:p>
    <w:p w:rsidR="00B13321" w:rsidRPr="00CB34FE" w:rsidRDefault="00B13321" w:rsidP="007D5296">
      <w:pPr>
        <w:pStyle w:val="Heading6"/>
      </w:pPr>
      <w:r w:rsidRPr="00CB34FE">
        <w:lastRenderedPageBreak/>
        <w:t xml:space="preserve">Blood </w:t>
      </w:r>
      <w:r w:rsidR="0069127F">
        <w:t>g</w:t>
      </w:r>
      <w:r w:rsidRPr="00CB34FE">
        <w:t>lucose</w:t>
      </w:r>
    </w:p>
    <w:p w:rsidR="00B13321" w:rsidRPr="00CB34FE" w:rsidRDefault="00B13321" w:rsidP="007D5296">
      <w:r w:rsidRPr="00CB34FE">
        <w:t>The effect of VI on blood glucose was formally assessed as a PD endpoint in one healthy</w:t>
      </w:r>
      <w:r>
        <w:t xml:space="preserve"> volunteer study (B2C108784</w:t>
      </w:r>
      <w:r w:rsidRPr="00CB34FE">
        <w:t>) and one study in subjects wit</w:t>
      </w:r>
      <w:r>
        <w:t>h COPD (B2C110165</w:t>
      </w:r>
      <w:r w:rsidRPr="00CB34FE">
        <w:t>) as well as various other supportive studies. In the healthy subject study (B2C10878</w:t>
      </w:r>
      <w:r>
        <w:t>4</w:t>
      </w:r>
      <w:r w:rsidRPr="00CB34FE">
        <w:t xml:space="preserve">), there were no obvious treatment differences compared with </w:t>
      </w:r>
      <w:r w:rsidRPr="0087709D">
        <w:t>placebo</w:t>
      </w:r>
      <w:r>
        <w:t xml:space="preserve"> on Day 14 for weighted mean (0 - </w:t>
      </w:r>
      <w:r w:rsidRPr="00CB34FE">
        <w:t xml:space="preserve">4 hours) glucose following the administration of VI. The only positive treatment difference from </w:t>
      </w:r>
      <w:r w:rsidRPr="0087709D">
        <w:t>placebo</w:t>
      </w:r>
      <w:r w:rsidRPr="00CB34FE">
        <w:t xml:space="preserve"> was observed following the administration of VI 100</w:t>
      </w:r>
      <w:r>
        <w:t xml:space="preserve"> </w:t>
      </w:r>
      <w:r w:rsidRPr="00CB34FE">
        <w:t xml:space="preserve">µg </w:t>
      </w:r>
      <w:proofErr w:type="gramStart"/>
      <w:r w:rsidRPr="00CB34FE">
        <w:t>(0.06</w:t>
      </w:r>
      <w:r>
        <w:t xml:space="preserve"> </w:t>
      </w:r>
      <w:r w:rsidRPr="00CB34FE">
        <w:t>mmol/L)</w:t>
      </w:r>
      <w:proofErr w:type="gramEnd"/>
      <w:r w:rsidRPr="00CB34FE">
        <w:t>. Maximum glucose values were less than or equal to 7.4</w:t>
      </w:r>
      <w:r>
        <w:t xml:space="preserve"> </w:t>
      </w:r>
      <w:r w:rsidRPr="00CB34FE">
        <w:t xml:space="preserve">mmol/L for all subjects at </w:t>
      </w:r>
      <w:proofErr w:type="spellStart"/>
      <w:r w:rsidRPr="00CB34FE">
        <w:t>all time</w:t>
      </w:r>
      <w:proofErr w:type="spellEnd"/>
      <w:r w:rsidRPr="00CB34FE">
        <w:t xml:space="preserve"> points. I</w:t>
      </w:r>
      <w:r>
        <w:t>n subjects with COPD (B2C110165</w:t>
      </w:r>
      <w:r w:rsidRPr="00CB34FE">
        <w:t xml:space="preserve">), there were no obvious treatment differences compared with </w:t>
      </w:r>
      <w:r>
        <w:t>PLA</w:t>
      </w:r>
      <w:r w:rsidRPr="00CB34FE">
        <w:t xml:space="preserve"> for weighted mean glucose following the administration of VI, although the largest treatment</w:t>
      </w:r>
      <w:r>
        <w:t xml:space="preserve"> difference in weighted mean (0 - </w:t>
      </w:r>
      <w:r w:rsidRPr="00CB34FE">
        <w:t>4 hours) glucose occurred at VI 100</w:t>
      </w:r>
      <w:r>
        <w:t xml:space="preserve"> </w:t>
      </w:r>
      <w:r w:rsidRPr="00CB34FE">
        <w:t>µg.</w:t>
      </w:r>
    </w:p>
    <w:p w:rsidR="00B13321" w:rsidRPr="00CB34FE" w:rsidRDefault="00B13321" w:rsidP="007D5296">
      <w:pPr>
        <w:pStyle w:val="Heading4"/>
      </w:pPr>
      <w:bookmarkStart w:id="126" w:name="_Toc376461144"/>
      <w:r w:rsidRPr="00CB34FE">
        <w:t xml:space="preserve">Through </w:t>
      </w:r>
      <w:proofErr w:type="spellStart"/>
      <w:r w:rsidRPr="00CB34FE">
        <w:t>QTc</w:t>
      </w:r>
      <w:proofErr w:type="spellEnd"/>
      <w:r w:rsidRPr="00CB34FE">
        <w:t xml:space="preserve"> </w:t>
      </w:r>
      <w:r w:rsidR="0069127F">
        <w:t>i</w:t>
      </w:r>
      <w:r w:rsidRPr="00CB34FE">
        <w:t>nterval study</w:t>
      </w:r>
      <w:bookmarkEnd w:id="126"/>
    </w:p>
    <w:p w:rsidR="00B13321" w:rsidRDefault="00B13321" w:rsidP="007D5296">
      <w:r w:rsidRPr="00CB34FE">
        <w:t>The effect of IH UMEC and the UMEC/VI combination on QT prolongation was investigated</w:t>
      </w:r>
      <w:r>
        <w:t xml:space="preserve"> in healthy subjects (DB2114635</w:t>
      </w:r>
      <w:r w:rsidRPr="00CB34FE">
        <w:t xml:space="preserve">). Subjects were randomized to receive 4 of 5 possible treatments: Placebo: Single </w:t>
      </w:r>
      <w:r w:rsidRPr="000E1EA3">
        <w:t>inhalation</w:t>
      </w:r>
      <w:r w:rsidRPr="00CB34FE">
        <w:t xml:space="preserve"> of </w:t>
      </w:r>
      <w:r w:rsidRPr="000E1EA3">
        <w:t>placebo</w:t>
      </w:r>
      <w:r>
        <w:t xml:space="preserve"> NDPI on Days 1 - </w:t>
      </w:r>
      <w:r w:rsidRPr="00CB34FE">
        <w:t xml:space="preserve">10; single dose of </w:t>
      </w:r>
      <w:r w:rsidRPr="000E1EA3">
        <w:t>placebo</w:t>
      </w:r>
      <w:r w:rsidRPr="00CB34FE">
        <w:t xml:space="preserve"> </w:t>
      </w:r>
      <w:proofErr w:type="spellStart"/>
      <w:r w:rsidRPr="00CB34FE">
        <w:t>moxifloxacin</w:t>
      </w:r>
      <w:proofErr w:type="spellEnd"/>
      <w:r w:rsidRPr="00CB34FE">
        <w:t xml:space="preserve"> oral tablet on Day 10; </w:t>
      </w:r>
      <w:proofErr w:type="spellStart"/>
      <w:r w:rsidRPr="00CB34FE">
        <w:t>Moxifloxacin</w:t>
      </w:r>
      <w:proofErr w:type="spellEnd"/>
      <w:r w:rsidRPr="00CB34FE">
        <w:t xml:space="preserve"> positive control: Single </w:t>
      </w:r>
      <w:r w:rsidRPr="000E1EA3">
        <w:t>inhalation</w:t>
      </w:r>
      <w:r>
        <w:t xml:space="preserve"> of </w:t>
      </w:r>
      <w:r w:rsidRPr="000E1EA3">
        <w:t>placebo</w:t>
      </w:r>
      <w:r>
        <w:t xml:space="preserve"> NDPI on Days 1 - </w:t>
      </w:r>
      <w:r w:rsidRPr="00CB34FE">
        <w:t xml:space="preserve">10; single dose of </w:t>
      </w:r>
      <w:proofErr w:type="spellStart"/>
      <w:r w:rsidRPr="00CB34FE">
        <w:t>moxifloxacin</w:t>
      </w:r>
      <w:proofErr w:type="spellEnd"/>
      <w:r w:rsidRPr="00CB34FE">
        <w:t xml:space="preserve"> 400 mg or</w:t>
      </w:r>
      <w:r>
        <w:t>al tablet on Day 10; UMEC supra-</w:t>
      </w:r>
      <w:r w:rsidRPr="00CB34FE">
        <w:t xml:space="preserve">therapeutic dose: Single </w:t>
      </w:r>
      <w:r>
        <w:t>inhalation</w:t>
      </w:r>
      <w:r w:rsidRPr="00CB34FE">
        <w:t xml:space="preserve"> of UMEC 500</w:t>
      </w:r>
      <w:r>
        <w:t xml:space="preserve"> µg NDPI on Days 1 - </w:t>
      </w:r>
      <w:r w:rsidRPr="00CB34FE">
        <w:t xml:space="preserve">10; single dose of </w:t>
      </w:r>
      <w:r w:rsidRPr="000E1EA3">
        <w:t>placebo</w:t>
      </w:r>
      <w:r w:rsidRPr="00CB34FE">
        <w:t xml:space="preserve"> </w:t>
      </w:r>
      <w:proofErr w:type="spellStart"/>
      <w:r w:rsidRPr="00CB34FE">
        <w:t>moxifloxacin</w:t>
      </w:r>
      <w:proofErr w:type="spellEnd"/>
      <w:r w:rsidRPr="00CB34FE">
        <w:t xml:space="preserve"> oral tablet on Day 10; UMEC/VI therapeutic dose: Single </w:t>
      </w:r>
      <w:r w:rsidRPr="000E1EA3">
        <w:t>inhalation</w:t>
      </w:r>
      <w:r w:rsidRPr="00CB34FE">
        <w:t xml:space="preserve"> of UMEC/VI 125/25</w:t>
      </w:r>
      <w:r>
        <w:t xml:space="preserve"> µg NDPI on Days 1 - </w:t>
      </w:r>
      <w:r w:rsidRPr="00CB34FE">
        <w:t xml:space="preserve">10; single dose of </w:t>
      </w:r>
      <w:r>
        <w:t>PLA</w:t>
      </w:r>
      <w:r w:rsidRPr="00CB34FE">
        <w:t xml:space="preserve"> </w:t>
      </w:r>
      <w:proofErr w:type="spellStart"/>
      <w:r w:rsidRPr="00CB34FE">
        <w:t>moxifloxacin</w:t>
      </w:r>
      <w:proofErr w:type="spellEnd"/>
      <w:r w:rsidRPr="00CB34FE">
        <w:t xml:space="preserve"> oral tablet on Day 10; UMEC/VI supra-therapeutic dose: Single </w:t>
      </w:r>
      <w:r w:rsidRPr="000E1EA3">
        <w:t>inhalation</w:t>
      </w:r>
      <w:r w:rsidRPr="00CB34FE">
        <w:t xml:space="preserve"> of UMEC/VI 500/100</w:t>
      </w:r>
      <w:r>
        <w:t xml:space="preserve"> µg NDPI on Days 1 - </w:t>
      </w:r>
      <w:r w:rsidRPr="00CB34FE">
        <w:t xml:space="preserve">10; single dose of </w:t>
      </w:r>
      <w:r w:rsidRPr="000E1EA3">
        <w:t>placebo</w:t>
      </w:r>
      <w:r w:rsidRPr="00CB34FE">
        <w:t xml:space="preserve"> </w:t>
      </w:r>
      <w:proofErr w:type="spellStart"/>
      <w:r w:rsidRPr="00CB34FE">
        <w:t>moxifloxacin</w:t>
      </w:r>
      <w:proofErr w:type="spellEnd"/>
      <w:r w:rsidRPr="00CB34FE">
        <w:t xml:space="preserve"> oral tablet on Day 10. A total of 103 subjects were randomized and 86 subjects completed all 4 rando</w:t>
      </w:r>
      <w:r>
        <w:t>mized treatments. A</w:t>
      </w:r>
      <w:r w:rsidRPr="00CB34FE">
        <w:t xml:space="preserve"> summary of point estimates and 90% CIs for the adjusted mean difference from </w:t>
      </w:r>
      <w:r w:rsidRPr="008520A2">
        <w:t>placebo</w:t>
      </w:r>
      <w:r w:rsidRPr="00CB34FE">
        <w:t xml:space="preserve"> in change from baseline </w:t>
      </w:r>
      <w:proofErr w:type="spellStart"/>
      <w:proofErr w:type="gramStart"/>
      <w:r w:rsidRPr="00CB34FE">
        <w:t>QTc</w:t>
      </w:r>
      <w:proofErr w:type="spellEnd"/>
      <w:r w:rsidRPr="00CB34FE">
        <w:t>(</w:t>
      </w:r>
      <w:proofErr w:type="gramEnd"/>
      <w:r w:rsidRPr="00CB34FE">
        <w:t>F) for the comparisons of interest</w:t>
      </w:r>
      <w:r>
        <w:t xml:space="preserve"> was provided</w:t>
      </w:r>
      <w:r w:rsidRPr="00CB34FE">
        <w:t xml:space="preserve">. The </w:t>
      </w:r>
      <w:proofErr w:type="spellStart"/>
      <w:r w:rsidRPr="00CB34FE">
        <w:t>Fridericia</w:t>
      </w:r>
      <w:proofErr w:type="spellEnd"/>
      <w:r w:rsidRPr="00CB34FE">
        <w:t xml:space="preserve"> correction provided the best overall correction. Single-dose oral </w:t>
      </w:r>
      <w:proofErr w:type="spellStart"/>
      <w:r w:rsidRPr="00CB34FE">
        <w:t>moxifloxacin</w:t>
      </w:r>
      <w:proofErr w:type="spellEnd"/>
      <w:r w:rsidRPr="00CB34FE">
        <w:t xml:space="preserve"> 400 mg (positive control) demonstrated assay sensitivity with mean increases in time matched </w:t>
      </w:r>
      <w:proofErr w:type="spellStart"/>
      <w:proofErr w:type="gramStart"/>
      <w:r w:rsidRPr="00CB34FE">
        <w:t>QTc</w:t>
      </w:r>
      <w:proofErr w:type="spellEnd"/>
      <w:r w:rsidRPr="00CB34FE">
        <w:t>(</w:t>
      </w:r>
      <w:proofErr w:type="gramEnd"/>
      <w:r w:rsidRPr="00CB34FE">
        <w:t xml:space="preserve">F) compared with </w:t>
      </w:r>
      <w:r w:rsidRPr="008520A2">
        <w:t>placebo</w:t>
      </w:r>
      <w:r w:rsidRPr="00CB34FE">
        <w:t xml:space="preserve"> greater than 5</w:t>
      </w:r>
      <w:r>
        <w:t xml:space="preserve"> </w:t>
      </w:r>
      <w:proofErr w:type="spellStart"/>
      <w:r w:rsidRPr="00CB34FE">
        <w:t>msec</w:t>
      </w:r>
      <w:proofErr w:type="spellEnd"/>
      <w:r w:rsidRPr="00CB34FE">
        <w:t xml:space="preserve"> from 1 to 12</w:t>
      </w:r>
      <w:r w:rsidR="0069127F">
        <w:t xml:space="preserve"> hours after dosing.</w:t>
      </w:r>
    </w:p>
    <w:p w:rsidR="00B13321" w:rsidRDefault="00B13321" w:rsidP="007D5296">
      <w:r>
        <w:t>Repeat-</w:t>
      </w:r>
      <w:r w:rsidRPr="00CB34FE">
        <w:t>dose UMEC/VI 125/25</w:t>
      </w:r>
      <w:r>
        <w:t xml:space="preserve"> </w:t>
      </w:r>
      <w:r w:rsidRPr="00CB34FE">
        <w:t xml:space="preserve">µg for 10 days showed no evidence of an effect on </w:t>
      </w:r>
      <w:proofErr w:type="spellStart"/>
      <w:proofErr w:type="gramStart"/>
      <w:r w:rsidRPr="00CB34FE">
        <w:t>QTc</w:t>
      </w:r>
      <w:proofErr w:type="spellEnd"/>
      <w:r w:rsidRPr="00CB34FE">
        <w:t>(</w:t>
      </w:r>
      <w:proofErr w:type="gramEnd"/>
      <w:r w:rsidRPr="00CB34FE">
        <w:t xml:space="preserve">F) compared with </w:t>
      </w:r>
      <w:r w:rsidRPr="008520A2">
        <w:t xml:space="preserve">placebo </w:t>
      </w:r>
      <w:r w:rsidRPr="00CB34FE">
        <w:t>as the adjusted mean treatment difference did not exceed 5</w:t>
      </w:r>
      <w:r>
        <w:t xml:space="preserve"> </w:t>
      </w:r>
      <w:proofErr w:type="spellStart"/>
      <w:r w:rsidRPr="00CB34FE">
        <w:t>msec</w:t>
      </w:r>
      <w:proofErr w:type="spellEnd"/>
      <w:r w:rsidRPr="00CB34FE">
        <w:t>, and the upper bound of the 90% CI for the estimated treatment difference did not exceed 10</w:t>
      </w:r>
      <w:r>
        <w:t xml:space="preserve"> </w:t>
      </w:r>
      <w:proofErr w:type="spellStart"/>
      <w:r w:rsidRPr="00CB34FE">
        <w:t>msec</w:t>
      </w:r>
      <w:proofErr w:type="spellEnd"/>
      <w:r w:rsidRPr="00CB34FE">
        <w:t xml:space="preserve"> at any time point out to 24 </w:t>
      </w:r>
      <w:r>
        <w:t>hours after dosing (Figure 1</w:t>
      </w:r>
      <w:r w:rsidRPr="00CB34FE">
        <w:t>). The estimated treatment difference of UMEC 500</w:t>
      </w:r>
      <w:r>
        <w:t xml:space="preserve"> </w:t>
      </w:r>
      <w:r w:rsidRPr="00CB34FE">
        <w:t xml:space="preserve">µg from </w:t>
      </w:r>
      <w:r w:rsidRPr="008520A2">
        <w:t>placebo</w:t>
      </w:r>
      <w:r w:rsidRPr="00CB34FE">
        <w:t xml:space="preserve"> of </w:t>
      </w:r>
      <w:proofErr w:type="spellStart"/>
      <w:r w:rsidRPr="00CB34FE">
        <w:t>QTc</w:t>
      </w:r>
      <w:proofErr w:type="spellEnd"/>
      <w:r w:rsidRPr="00CB34FE">
        <w:t>(F) (</w:t>
      </w:r>
      <w:proofErr w:type="spellStart"/>
      <w:r w:rsidRPr="00CB34FE">
        <w:t>msec</w:t>
      </w:r>
      <w:proofErr w:type="spellEnd"/>
      <w:r w:rsidRPr="00CB34FE">
        <w:t>) was n</w:t>
      </w:r>
      <w:r>
        <w:t xml:space="preserve">egative at </w:t>
      </w:r>
      <w:proofErr w:type="spellStart"/>
      <w:r>
        <w:t>all time</w:t>
      </w:r>
      <w:proofErr w:type="spellEnd"/>
      <w:r>
        <w:t xml:space="preserve"> points post-</w:t>
      </w:r>
      <w:r w:rsidRPr="00CB34FE">
        <w:t>last dose on Day 10, and the upper limit of the 90% CI for the estimated treatment difference was less than 10, indicating a lack of an effect of UMEC 500</w:t>
      </w:r>
      <w:r>
        <w:t xml:space="preserve"> </w:t>
      </w:r>
      <w:r w:rsidRPr="00CB34FE">
        <w:t xml:space="preserve">µg on </w:t>
      </w:r>
      <w:proofErr w:type="spellStart"/>
      <w:r w:rsidRPr="00CB34FE">
        <w:t>QTc</w:t>
      </w:r>
      <w:proofErr w:type="spellEnd"/>
      <w:r w:rsidRPr="00CB34FE">
        <w:t xml:space="preserve">(F) compared with </w:t>
      </w:r>
      <w:r w:rsidRPr="008520A2">
        <w:t>placebo</w:t>
      </w:r>
      <w:r>
        <w:t>. At a dose representing 4-</w:t>
      </w:r>
      <w:r w:rsidRPr="00CB34FE">
        <w:t>times the proposed upper therapeutic UMEC/VI dose (500/100</w:t>
      </w:r>
      <w:r>
        <w:t xml:space="preserve"> </w:t>
      </w:r>
      <w:r w:rsidRPr="00CB34FE">
        <w:t xml:space="preserve">µg for 10 days), there was evidence of an effect on </w:t>
      </w:r>
      <w:proofErr w:type="spellStart"/>
      <w:proofErr w:type="gramStart"/>
      <w:r w:rsidRPr="00CB34FE">
        <w:t>QTc</w:t>
      </w:r>
      <w:proofErr w:type="spellEnd"/>
      <w:r w:rsidRPr="00CB34FE">
        <w:t>(</w:t>
      </w:r>
      <w:proofErr w:type="gramEnd"/>
      <w:r w:rsidRPr="00CB34FE">
        <w:t>F) during the first hour after</w:t>
      </w:r>
      <w:r>
        <w:t xml:space="preserve"> dosing. The largest mean time-</w:t>
      </w:r>
      <w:r w:rsidRPr="00CB34FE">
        <w:t xml:space="preserve">matched difference from </w:t>
      </w:r>
      <w:r w:rsidRPr="008520A2">
        <w:t>placebo</w:t>
      </w:r>
      <w:r w:rsidRPr="00CB34FE">
        <w:t xml:space="preserve"> was 8.2</w:t>
      </w:r>
      <w:r>
        <w:t xml:space="preserve"> </w:t>
      </w:r>
      <w:proofErr w:type="spellStart"/>
      <w:r w:rsidRPr="00CB34FE">
        <w:t>msec</w:t>
      </w:r>
      <w:proofErr w:type="spellEnd"/>
      <w:r w:rsidRPr="00CB34FE">
        <w:t xml:space="preserve"> (90% CI: 6.2, 10.2) at 30 minutes after dosing. This was the only time point where the upper limit of the 90% CI exceeded 10 </w:t>
      </w:r>
      <w:proofErr w:type="spellStart"/>
      <w:r w:rsidRPr="00CB34FE">
        <w:t>msec</w:t>
      </w:r>
      <w:proofErr w:type="spellEnd"/>
      <w:r w:rsidRPr="00CB34FE">
        <w:t xml:space="preserve"> and </w:t>
      </w:r>
      <w:proofErr w:type="spellStart"/>
      <w:r w:rsidRPr="00CB34FE">
        <w:t>QTc</w:t>
      </w:r>
      <w:proofErr w:type="spellEnd"/>
      <w:r w:rsidRPr="00CB34FE">
        <w:t xml:space="preserve">(F) differences from </w:t>
      </w:r>
      <w:r>
        <w:t>placebo</w:t>
      </w:r>
      <w:r w:rsidRPr="00CB34FE">
        <w:t xml:space="preserve"> declined rapidly afterwards. There were no </w:t>
      </w:r>
      <w:proofErr w:type="spellStart"/>
      <w:r w:rsidRPr="00CB34FE">
        <w:t>QTc</w:t>
      </w:r>
      <w:proofErr w:type="spellEnd"/>
      <w:r w:rsidRPr="00CB34FE">
        <w:t xml:space="preserve">(F) values </w:t>
      </w:r>
      <w:r>
        <w:t>&gt; </w:t>
      </w:r>
      <w:r w:rsidRPr="00CB34FE">
        <w:t xml:space="preserve">450msec following 10 days of repeat dosing with </w:t>
      </w:r>
      <w:r w:rsidRPr="00683FD0">
        <w:t>placebo</w:t>
      </w:r>
      <w:r w:rsidRPr="00CB34FE">
        <w:t>, UMEC 500</w:t>
      </w:r>
      <w:r>
        <w:t xml:space="preserve"> </w:t>
      </w:r>
      <w:r w:rsidRPr="00CB34FE">
        <w:t>µg, or UMEC/VI 500/100</w:t>
      </w:r>
      <w:r>
        <w:t xml:space="preserve"> </w:t>
      </w:r>
      <w:r w:rsidRPr="00CB34FE">
        <w:t xml:space="preserve">µg, while 3 subjects experienced </w:t>
      </w:r>
      <w:proofErr w:type="spellStart"/>
      <w:r w:rsidRPr="00CB34FE">
        <w:t>QTc</w:t>
      </w:r>
      <w:proofErr w:type="spellEnd"/>
      <w:r w:rsidRPr="00CB34FE">
        <w:t xml:space="preserve">(F) values </w:t>
      </w:r>
      <w:r>
        <w:t xml:space="preserve">&gt; </w:t>
      </w:r>
      <w:r w:rsidRPr="00CB34FE">
        <w:t>450 to 480</w:t>
      </w:r>
      <w:r>
        <w:t xml:space="preserve"> </w:t>
      </w:r>
      <w:proofErr w:type="spellStart"/>
      <w:r>
        <w:t>msec</w:t>
      </w:r>
      <w:proofErr w:type="spellEnd"/>
      <w:r>
        <w:t xml:space="preserve"> following single-</w:t>
      </w:r>
      <w:r w:rsidRPr="00CB34FE">
        <w:t xml:space="preserve">dose </w:t>
      </w:r>
      <w:proofErr w:type="spellStart"/>
      <w:r w:rsidRPr="00CB34FE">
        <w:t>moxifloxacin</w:t>
      </w:r>
      <w:proofErr w:type="spellEnd"/>
      <w:r w:rsidRPr="00CB34FE">
        <w:t xml:space="preserve"> 400 mg and one subject following repeat dosing with UMEC/VI 125/25</w:t>
      </w:r>
      <w:r>
        <w:t xml:space="preserve"> </w:t>
      </w:r>
      <w:r w:rsidRPr="00CB34FE">
        <w:t xml:space="preserve">µg. One subject each experienced </w:t>
      </w:r>
      <w:proofErr w:type="spellStart"/>
      <w:proofErr w:type="gramStart"/>
      <w:r w:rsidRPr="00CB34FE">
        <w:t>QTc</w:t>
      </w:r>
      <w:proofErr w:type="spellEnd"/>
      <w:r w:rsidRPr="00CB34FE">
        <w:t>(</w:t>
      </w:r>
      <w:proofErr w:type="gramEnd"/>
      <w:r w:rsidRPr="00CB34FE">
        <w:t xml:space="preserve">F) changes from baseline of </w:t>
      </w:r>
      <w:r>
        <w:t xml:space="preserve">&gt; </w:t>
      </w:r>
      <w:r w:rsidRPr="00CB34FE">
        <w:t xml:space="preserve">30 to 60 </w:t>
      </w:r>
      <w:proofErr w:type="spellStart"/>
      <w:r w:rsidRPr="00CB34FE">
        <w:t>msec</w:t>
      </w:r>
      <w:proofErr w:type="spellEnd"/>
      <w:r w:rsidRPr="00CB34FE">
        <w:t xml:space="preserve"> after </w:t>
      </w:r>
      <w:r w:rsidRPr="00683FD0">
        <w:t>placebo</w:t>
      </w:r>
      <w:r w:rsidRPr="00CB34FE">
        <w:t>, UMEC/VI 125/25</w:t>
      </w:r>
      <w:r>
        <w:t xml:space="preserve"> </w:t>
      </w:r>
      <w:r w:rsidRPr="00CB34FE">
        <w:t>µg, and UMEC/VI 500/100</w:t>
      </w:r>
      <w:r>
        <w:t xml:space="preserve"> </w:t>
      </w:r>
      <w:r w:rsidRPr="00CB34FE">
        <w:t xml:space="preserve">µg compared with 2 subjects after </w:t>
      </w:r>
      <w:proofErr w:type="spellStart"/>
      <w:r w:rsidRPr="00CB34FE">
        <w:t>moxifloxacin</w:t>
      </w:r>
      <w:proofErr w:type="spellEnd"/>
      <w:r w:rsidRPr="00CB34FE">
        <w:t xml:space="preserve">. No subjects experienced </w:t>
      </w:r>
      <w:proofErr w:type="spellStart"/>
      <w:proofErr w:type="gramStart"/>
      <w:r w:rsidRPr="00CB34FE">
        <w:t>QTc</w:t>
      </w:r>
      <w:proofErr w:type="spellEnd"/>
      <w:r w:rsidRPr="00CB34FE">
        <w:t>(</w:t>
      </w:r>
      <w:proofErr w:type="gramEnd"/>
      <w:r w:rsidRPr="00CB34FE">
        <w:t xml:space="preserve">F) changes </w:t>
      </w:r>
      <w:r>
        <w:t xml:space="preserve">&gt; </w:t>
      </w:r>
      <w:r w:rsidRPr="00CB34FE">
        <w:t xml:space="preserve">60msec across all treatment groups. No categorical </w:t>
      </w:r>
      <w:proofErr w:type="spellStart"/>
      <w:proofErr w:type="gramStart"/>
      <w:r w:rsidRPr="00CB34FE">
        <w:t>QTc</w:t>
      </w:r>
      <w:proofErr w:type="spellEnd"/>
      <w:r w:rsidRPr="00CB34FE">
        <w:t>(</w:t>
      </w:r>
      <w:proofErr w:type="gramEnd"/>
      <w:r w:rsidRPr="00CB34FE">
        <w:t>F) effects were observed in the UMEC 500</w:t>
      </w:r>
      <w:r>
        <w:t xml:space="preserve"> </w:t>
      </w:r>
      <w:r w:rsidRPr="00CB34FE">
        <w:t>µg group. In addition to DB2114635, a number of other supportive studies assessed the effect of UME</w:t>
      </w:r>
      <w:r>
        <w:t>C on the QT interval (DB2113950; DB2113208; AC4106889; AC4105209; AC4108123</w:t>
      </w:r>
      <w:r w:rsidRPr="00CB34FE">
        <w:t>). Supportive studies assessed the effect of V</w:t>
      </w:r>
      <w:r>
        <w:t>I on the QT interval (B2C108784; B2C110165; HZA105548; B2C112205; DB2113208; DB1112146; DB1112017; B2C10001; DB1111509; HZA102936</w:t>
      </w:r>
      <w:r w:rsidRPr="00CB34FE">
        <w:t xml:space="preserve">). The effect of the UMEC/VI </w:t>
      </w:r>
      <w:r w:rsidRPr="00CB34FE">
        <w:lastRenderedPageBreak/>
        <w:t xml:space="preserve">combination on the QT interval was supported </w:t>
      </w:r>
      <w:r>
        <w:t>by two other studies (DB2113208 and DB2113950).</w:t>
      </w:r>
    </w:p>
    <w:p w:rsidR="00B13321" w:rsidRDefault="00B13321" w:rsidP="0069127F">
      <w:pPr>
        <w:pStyle w:val="FigureTitle"/>
      </w:pPr>
      <w:proofErr w:type="gramStart"/>
      <w:r>
        <w:t>Figure 1.</w:t>
      </w:r>
      <w:proofErr w:type="gramEnd"/>
      <w:r>
        <w:t xml:space="preserve"> </w:t>
      </w:r>
      <w:r w:rsidRPr="00995BA4">
        <w:t>Study DB2114635</w:t>
      </w:r>
      <w:r>
        <w:t>.</w:t>
      </w:r>
      <w:r w:rsidRPr="00995BA4">
        <w:t xml:space="preserve"> </w:t>
      </w:r>
      <w:proofErr w:type="gramStart"/>
      <w:r w:rsidRPr="00995BA4">
        <w:t>Electrocardiogram effects of umeclidinium/ vilanterol.</w:t>
      </w:r>
      <w:proofErr w:type="gramEnd"/>
      <w:r>
        <w:t xml:space="preserve"> </w:t>
      </w:r>
      <w:proofErr w:type="gramStart"/>
      <w:r>
        <w:t xml:space="preserve">Differences from placebo (and 90% CIs) in adjusted mean change from baseline in </w:t>
      </w:r>
      <w:proofErr w:type="spellStart"/>
      <w:r>
        <w:t>QTcF</w:t>
      </w:r>
      <w:proofErr w:type="spellEnd"/>
      <w:r>
        <w:t xml:space="preserve"> by time on day 10.</w:t>
      </w:r>
      <w:proofErr w:type="gramEnd"/>
    </w:p>
    <w:p w:rsidR="00B13321" w:rsidRPr="00CB34FE" w:rsidRDefault="00B13321" w:rsidP="0069127F">
      <w:r>
        <w:rPr>
          <w:noProof/>
          <w:lang w:eastAsia="en-AU"/>
        </w:rPr>
        <w:drawing>
          <wp:inline distT="0" distB="0" distL="0" distR="0" wp14:anchorId="7674C61D" wp14:editId="78E1502D">
            <wp:extent cx="4495800" cy="3052057"/>
            <wp:effectExtent l="0" t="0" r="0" b="0"/>
            <wp:docPr id="14" name="Picture 14" descr="Figure 1. Study DB2114635 Electrocardiogram effects of umeclidinium/ vilanterol. Differences from placebo (and 90% CIs) in adjusted mean change from baseline in QTcF by time on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495800" cy="3052057"/>
                    </a:xfrm>
                    <a:prstGeom prst="rect">
                      <a:avLst/>
                    </a:prstGeom>
                  </pic:spPr>
                </pic:pic>
              </a:graphicData>
            </a:graphic>
          </wp:inline>
        </w:drawing>
      </w:r>
    </w:p>
    <w:p w:rsidR="00B13321" w:rsidRPr="00CB34FE" w:rsidRDefault="00B13321" w:rsidP="007D5296">
      <w:r w:rsidRPr="00CB34FE">
        <w:t xml:space="preserve">There was no evidence of an effect on </w:t>
      </w:r>
      <w:proofErr w:type="spellStart"/>
      <w:r w:rsidRPr="00CB34FE">
        <w:t>QTcF</w:t>
      </w:r>
      <w:proofErr w:type="spellEnd"/>
      <w:r w:rsidRPr="00CB34FE">
        <w:t xml:space="preserve"> in a repeated dose study conducted to evaluate the effect of the inhaled FF/VI in healthy subjects (HZA1029</w:t>
      </w:r>
      <w:r>
        <w:t>36</w:t>
      </w:r>
      <w:r w:rsidRPr="00CB34FE">
        <w:t>) at the proposed upper therapeutic FF/VI dose (200/25</w:t>
      </w:r>
      <w:r>
        <w:t xml:space="preserve"> </w:t>
      </w:r>
      <w:r w:rsidRPr="00CB34FE">
        <w:t xml:space="preserve">µg for 7 </w:t>
      </w:r>
      <w:r>
        <w:t>days). At a dose representing 4-</w:t>
      </w:r>
      <w:r w:rsidRPr="00CB34FE">
        <w:t>times the proposed upper therapeutic FF/VI dose (800/100</w:t>
      </w:r>
      <w:r>
        <w:t xml:space="preserve"> </w:t>
      </w:r>
      <w:r w:rsidRPr="00CB34FE">
        <w:t xml:space="preserve">µg), there was an effect on </w:t>
      </w:r>
      <w:proofErr w:type="spellStart"/>
      <w:r w:rsidRPr="00CB34FE">
        <w:t>QTcF</w:t>
      </w:r>
      <w:proofErr w:type="spellEnd"/>
      <w:r w:rsidRPr="00CB34FE">
        <w:t xml:space="preserve"> during the first hour afte</w:t>
      </w:r>
      <w:r>
        <w:t>r dosing. The largest mean time-</w:t>
      </w:r>
      <w:r w:rsidRPr="00CB34FE">
        <w:t xml:space="preserve">matched difference from </w:t>
      </w:r>
      <w:r w:rsidRPr="00683FD0">
        <w:t>placebo</w:t>
      </w:r>
      <w:r w:rsidRPr="00CB34FE">
        <w:t xml:space="preserve"> was 9.6</w:t>
      </w:r>
      <w:r>
        <w:t xml:space="preserve"> </w:t>
      </w:r>
      <w:proofErr w:type="spellStart"/>
      <w:r w:rsidRPr="00CB34FE">
        <w:t>msec</w:t>
      </w:r>
      <w:proofErr w:type="spellEnd"/>
      <w:r w:rsidRPr="00CB34FE">
        <w:t xml:space="preserve"> at 30 minutes</w:t>
      </w:r>
      <w:r>
        <w:t>. An integrated, cross-</w:t>
      </w:r>
      <w:r w:rsidRPr="00CB34FE">
        <w:t xml:space="preserve">study analysis was undertaken to assess the effect of varying doses of UMEC and UMEC/VI on the </w:t>
      </w:r>
      <w:proofErr w:type="spellStart"/>
      <w:r w:rsidRPr="00CB34FE">
        <w:t>QTc</w:t>
      </w:r>
      <w:proofErr w:type="spellEnd"/>
      <w:r w:rsidRPr="00CB34FE">
        <w:t xml:space="preserve"> interval in volunteers and COPD patients. There did not appear to be a difference in effects of UMEC or UMEC/VI on the </w:t>
      </w:r>
      <w:proofErr w:type="spellStart"/>
      <w:r w:rsidRPr="00CB34FE">
        <w:t>QTc</w:t>
      </w:r>
      <w:proofErr w:type="spellEnd"/>
      <w:r w:rsidRPr="00CB34FE">
        <w:t xml:space="preserve"> interval between COPD and healthy subjects</w:t>
      </w:r>
      <w:r>
        <w:t xml:space="preserve">. There were no maximum </w:t>
      </w:r>
      <w:proofErr w:type="spellStart"/>
      <w:r>
        <w:t>QTcF</w:t>
      </w:r>
      <w:proofErr w:type="spellEnd"/>
      <w:r>
        <w:t xml:space="preserve"> (0 - </w:t>
      </w:r>
      <w:r w:rsidRPr="00CB34FE">
        <w:t>4 hours) values greater than 500</w:t>
      </w:r>
      <w:r>
        <w:t xml:space="preserve"> </w:t>
      </w:r>
      <w:proofErr w:type="spellStart"/>
      <w:r w:rsidRPr="00CB34FE">
        <w:t>msec</w:t>
      </w:r>
      <w:proofErr w:type="spellEnd"/>
      <w:r w:rsidRPr="00CB34FE">
        <w:t xml:space="preserve"> reported. There was no </w:t>
      </w:r>
      <w:proofErr w:type="spellStart"/>
      <w:r w:rsidRPr="00CB34FE">
        <w:t>QTc</w:t>
      </w:r>
      <w:proofErr w:type="spellEnd"/>
      <w:r w:rsidRPr="00CB34FE">
        <w:t xml:space="preserve"> effect of UMEC at any dose versus </w:t>
      </w:r>
      <w:r w:rsidRPr="00683FD0">
        <w:t>placebo</w:t>
      </w:r>
      <w:r w:rsidRPr="00CB34FE">
        <w:t>. A slight effect was observed for UMEC /VI (500/50</w:t>
      </w:r>
      <w:r>
        <w:t xml:space="preserve"> µg) in healthy subjects.</w:t>
      </w:r>
    </w:p>
    <w:p w:rsidR="00B13321" w:rsidRPr="00CB34FE" w:rsidRDefault="00B13321" w:rsidP="007D5296">
      <w:pPr>
        <w:pStyle w:val="Heading5"/>
      </w:pPr>
      <w:r w:rsidRPr="00CB34FE">
        <w:t xml:space="preserve">Concentration-QT </w:t>
      </w:r>
      <w:r w:rsidR="007D5296">
        <w:t>i</w:t>
      </w:r>
      <w:r w:rsidRPr="00CB34FE">
        <w:t xml:space="preserve">nterval </w:t>
      </w:r>
      <w:r w:rsidR="007D5296">
        <w:t>a</w:t>
      </w:r>
      <w:r w:rsidRPr="00CB34FE">
        <w:t>nalysis</w:t>
      </w:r>
    </w:p>
    <w:p w:rsidR="00B13321" w:rsidRPr="00CB34FE" w:rsidRDefault="00B13321" w:rsidP="007D5296">
      <w:r>
        <w:t>The concentration-</w:t>
      </w:r>
      <w:proofErr w:type="spellStart"/>
      <w:r>
        <w:t>QTcF</w:t>
      </w:r>
      <w:proofErr w:type="spellEnd"/>
      <w:r>
        <w:t xml:space="preserve"> mixed-effects analysis (DB2114635) developed a nonlinear mixed-</w:t>
      </w:r>
      <w:r w:rsidRPr="00CB34FE">
        <w:t>effect systemic exposure</w:t>
      </w:r>
      <w:r>
        <w:t>-</w:t>
      </w:r>
      <w:r w:rsidRPr="00CB34FE">
        <w:t>response mod</w:t>
      </w:r>
      <w:r>
        <w:t>el describing the concentration-</w:t>
      </w:r>
      <w:proofErr w:type="spellStart"/>
      <w:r w:rsidRPr="00CB34FE">
        <w:t>QTcF</w:t>
      </w:r>
      <w:proofErr w:type="spellEnd"/>
      <w:r w:rsidRPr="00CB34FE">
        <w:t xml:space="preserve"> effect of UMEC and UMEC/VI in healthy subjects. The model successfully described the relationship between </w:t>
      </w:r>
      <w:proofErr w:type="spellStart"/>
      <w:r w:rsidRPr="00CB34FE">
        <w:t>QTcF</w:t>
      </w:r>
      <w:proofErr w:type="spellEnd"/>
      <w:r w:rsidRPr="00CB34FE">
        <w:t xml:space="preserve">, UMEC, and VI, with additive drug effects of UMEC and VI. The </w:t>
      </w:r>
      <w:proofErr w:type="spellStart"/>
      <w:r w:rsidRPr="00CB34FE">
        <w:t>QTc</w:t>
      </w:r>
      <w:proofErr w:type="spellEnd"/>
      <w:r w:rsidRPr="00CB34FE">
        <w:t xml:space="preserve"> prolongation effect of VI systemic exposure was adequately described by a saturable relationship. The decreasing </w:t>
      </w:r>
      <w:proofErr w:type="spellStart"/>
      <w:r w:rsidRPr="00CB34FE">
        <w:t>QTc</w:t>
      </w:r>
      <w:proofErr w:type="spellEnd"/>
      <w:r w:rsidRPr="00CB34FE">
        <w:t xml:space="preserve"> effect of UMEC systemic exposure was adequately described by a linear model. Simulations of the model typical parameters were carried out at the geometric mean observed </w:t>
      </w:r>
      <w:proofErr w:type="spellStart"/>
      <w:r w:rsidRPr="00CB34FE">
        <w:t>C</w:t>
      </w:r>
      <w:r w:rsidRPr="004C0A5C">
        <w:rPr>
          <w:vertAlign w:val="subscript"/>
        </w:rPr>
        <w:t>max</w:t>
      </w:r>
      <w:proofErr w:type="spellEnd"/>
      <w:r w:rsidRPr="00CB34FE">
        <w:t xml:space="preserve"> fo</w:t>
      </w:r>
      <w:r>
        <w:t>r each treatment. For the supra-</w:t>
      </w:r>
      <w:r w:rsidRPr="00CB34FE">
        <w:t>therapeutic monotherapy UMEC dose (500</w:t>
      </w:r>
      <w:r>
        <w:t xml:space="preserve"> </w:t>
      </w:r>
      <w:r w:rsidRPr="00CB34FE">
        <w:t>µg), the estimated mean UMEC drug effect was -2.38</w:t>
      </w:r>
      <w:r>
        <w:t xml:space="preserve"> </w:t>
      </w:r>
      <w:proofErr w:type="spellStart"/>
      <w:r w:rsidRPr="00CB34FE">
        <w:t>msec</w:t>
      </w:r>
      <w:proofErr w:type="spellEnd"/>
      <w:r w:rsidRPr="00CB34FE">
        <w:t xml:space="preserve"> at the geometric mean observed UMEC </w:t>
      </w:r>
      <w:proofErr w:type="spellStart"/>
      <w:r w:rsidRPr="00CB34FE">
        <w:t>C</w:t>
      </w:r>
      <w:r w:rsidRPr="004C0A5C">
        <w:rPr>
          <w:vertAlign w:val="subscript"/>
        </w:rPr>
        <w:t>max</w:t>
      </w:r>
      <w:proofErr w:type="spellEnd"/>
      <w:r w:rsidRPr="00CB34FE">
        <w:t>. The combined additive drug effect was estimated to be 5.39</w:t>
      </w:r>
      <w:r>
        <w:t xml:space="preserve"> </w:t>
      </w:r>
      <w:proofErr w:type="spellStart"/>
      <w:r w:rsidRPr="00CB34FE">
        <w:t>msec</w:t>
      </w:r>
      <w:proofErr w:type="spellEnd"/>
      <w:r w:rsidRPr="00CB34FE">
        <w:t xml:space="preserve"> and 5.22</w:t>
      </w:r>
      <w:r>
        <w:t xml:space="preserve"> </w:t>
      </w:r>
      <w:proofErr w:type="spellStart"/>
      <w:r w:rsidRPr="00CB34FE">
        <w:t>msec</w:t>
      </w:r>
      <w:proofErr w:type="spellEnd"/>
      <w:r w:rsidRPr="00CB34FE">
        <w:t xml:space="preserve"> for the therapeutic (UMEC/VI 125/25</w:t>
      </w:r>
      <w:r>
        <w:t xml:space="preserve"> µg) and supra-</w:t>
      </w:r>
      <w:r w:rsidRPr="00CB34FE">
        <w:t>therapeutic (UMEC/VI 500/100</w:t>
      </w:r>
      <w:r>
        <w:t xml:space="preserve"> </w:t>
      </w:r>
      <w:r w:rsidRPr="00CB34FE">
        <w:t xml:space="preserve">µg) combinations, respectively. Decreased </w:t>
      </w:r>
      <w:proofErr w:type="spellStart"/>
      <w:r w:rsidRPr="00CB34FE">
        <w:t>QTcF</w:t>
      </w:r>
      <w:proofErr w:type="spellEnd"/>
      <w:r w:rsidRPr="00CB34FE">
        <w:t xml:space="preserve"> following UMEC monotherapy along with increased </w:t>
      </w:r>
      <w:proofErr w:type="spellStart"/>
      <w:r w:rsidRPr="00CB34FE">
        <w:t>QTcF</w:t>
      </w:r>
      <w:proofErr w:type="spellEnd"/>
      <w:r w:rsidRPr="00CB34FE">
        <w:t xml:space="preserve"> observed for the combination therapies in this study suggest the effect is possibly attributable to the VI component of the combination treatment. Additionally, the effect of UMEC/VI on cardiac rhythm in subjects diagnosed</w:t>
      </w:r>
      <w:r>
        <w:t xml:space="preserve"> with COPD as assessed using 24-</w:t>
      </w:r>
      <w:r w:rsidRPr="00CB34FE">
        <w:t xml:space="preserve">hour </w:t>
      </w:r>
      <w:r>
        <w:t>Holter</w:t>
      </w:r>
      <w:r w:rsidRPr="00CB34FE">
        <w:t xml:space="preserve"> monitoring: 53 subjects </w:t>
      </w:r>
      <w:r w:rsidRPr="00CB34FE">
        <w:lastRenderedPageBreak/>
        <w:t>received UMEC/VI 62.5/25</w:t>
      </w:r>
      <w:r>
        <w:t xml:space="preserve"> </w:t>
      </w:r>
      <w:r w:rsidRPr="00CB34FE">
        <w:t>µg for up to 6 months, 55 subjects received UMEC/VI 125/25</w:t>
      </w:r>
      <w:r>
        <w:t xml:space="preserve"> </w:t>
      </w:r>
      <w:r w:rsidRPr="00CB34FE">
        <w:t>µg for up to 6 months, 226 subjects received UMEC/VI 125/25</w:t>
      </w:r>
      <w:r>
        <w:t xml:space="preserve"> </w:t>
      </w:r>
      <w:r w:rsidRPr="00CB34FE">
        <w:t xml:space="preserve">µg for up to 12 months, and 182 subjects received </w:t>
      </w:r>
      <w:r w:rsidRPr="00C1622D">
        <w:t>placebo</w:t>
      </w:r>
      <w:r w:rsidRPr="00CB34FE">
        <w:t>. No clinically meaningful effects on cardiac rhythm were observed.</w:t>
      </w:r>
    </w:p>
    <w:p w:rsidR="00B13321" w:rsidRPr="00CB34FE" w:rsidRDefault="00B13321" w:rsidP="007D5296">
      <w:pPr>
        <w:pStyle w:val="Heading4"/>
      </w:pPr>
      <w:bookmarkStart w:id="127" w:name="_Toc272414645"/>
      <w:bookmarkStart w:id="128" w:name="_Toc290846267"/>
      <w:bookmarkStart w:id="129" w:name="_Toc376461145"/>
      <w:r w:rsidRPr="00CB34FE">
        <w:t>Relationship between drug concentration and pharmacodynamic effects</w:t>
      </w:r>
      <w:bookmarkEnd w:id="127"/>
      <w:bookmarkEnd w:id="128"/>
      <w:bookmarkEnd w:id="129"/>
    </w:p>
    <w:p w:rsidR="00B13321" w:rsidRPr="00CB34FE" w:rsidRDefault="00B13321" w:rsidP="007D5296">
      <w:r w:rsidRPr="00CB34FE">
        <w:t>At doses up to 1000</w:t>
      </w:r>
      <w:r>
        <w:t xml:space="preserve"> </w:t>
      </w:r>
      <w:r w:rsidRPr="00CB34FE">
        <w:t>µg no relationship was observed between UMEC plasma concentrations and heart rate, in subjects with COPD. The proposed dose of VI 25</w:t>
      </w:r>
      <w:r>
        <w:t xml:space="preserve"> </w:t>
      </w:r>
      <w:r w:rsidRPr="00CB34FE">
        <w:t>µg does not show any clinically relevant systemic heart rate effects. The combination of UMEC 62.5</w:t>
      </w:r>
      <w:r>
        <w:t xml:space="preserve"> </w:t>
      </w:r>
      <w:r w:rsidRPr="00CB34FE">
        <w:t>µg or 125</w:t>
      </w:r>
      <w:r>
        <w:t xml:space="preserve"> </w:t>
      </w:r>
      <w:r w:rsidRPr="00CB34FE">
        <w:t>µg and VI 25</w:t>
      </w:r>
      <w:r>
        <w:t xml:space="preserve"> </w:t>
      </w:r>
      <w:r w:rsidRPr="00CB34FE">
        <w:t xml:space="preserve">µg has not shown any clinically relevant systemic heart rate changes. Similarly, the relationship between plasma UMEC and VI concentrations and changes in </w:t>
      </w:r>
      <w:proofErr w:type="spellStart"/>
      <w:r w:rsidRPr="00CB34FE">
        <w:t>QTcF</w:t>
      </w:r>
      <w:proofErr w:type="spellEnd"/>
      <w:r w:rsidRPr="00CB34FE">
        <w:t xml:space="preserve"> was modelled. Predicted mean </w:t>
      </w:r>
      <w:proofErr w:type="spellStart"/>
      <w:r w:rsidRPr="00CB34FE">
        <w:t>QTcF</w:t>
      </w:r>
      <w:proofErr w:type="spellEnd"/>
      <w:r w:rsidRPr="00CB34FE">
        <w:t xml:space="preserve"> changes at </w:t>
      </w:r>
      <w:proofErr w:type="spellStart"/>
      <w:r w:rsidRPr="00CB34FE">
        <w:t>all time</w:t>
      </w:r>
      <w:proofErr w:type="spellEnd"/>
      <w:r w:rsidRPr="00CB34FE">
        <w:t xml:space="preserve"> points were </w:t>
      </w:r>
      <w:r>
        <w:t xml:space="preserve">&lt; </w:t>
      </w:r>
      <w:r w:rsidRPr="00CB34FE">
        <w:t xml:space="preserve">5 </w:t>
      </w:r>
      <w:proofErr w:type="spellStart"/>
      <w:r w:rsidRPr="00CB34FE">
        <w:t>msec</w:t>
      </w:r>
      <w:proofErr w:type="spellEnd"/>
      <w:r w:rsidRPr="00CB34FE">
        <w:t xml:space="preserve"> and none of the 95% CIs showed upp</w:t>
      </w:r>
      <w:r>
        <w:t>er 95% CI greater than 10 msec.</w:t>
      </w:r>
    </w:p>
    <w:p w:rsidR="00B13321" w:rsidRPr="00CB34FE" w:rsidRDefault="00B13321" w:rsidP="007D5296">
      <w:pPr>
        <w:pStyle w:val="Heading4"/>
      </w:pPr>
      <w:bookmarkStart w:id="130" w:name="_Toc376461146"/>
      <w:bookmarkStart w:id="131" w:name="_Toc241374304"/>
      <w:bookmarkStart w:id="132" w:name="_Toc272414646"/>
      <w:bookmarkStart w:id="133" w:name="_Toc290846268"/>
      <w:r w:rsidRPr="00CB34FE">
        <w:t>Relationship between drug dose and pharmacodynamic effects</w:t>
      </w:r>
      <w:bookmarkEnd w:id="130"/>
    </w:p>
    <w:p w:rsidR="00B13321" w:rsidRPr="00CB34FE" w:rsidRDefault="00B13321" w:rsidP="007D5296">
      <w:pPr>
        <w:pStyle w:val="Heading5"/>
      </w:pPr>
      <w:bookmarkStart w:id="134" w:name="_Toc376461147"/>
      <w:r w:rsidRPr="00CB34FE">
        <w:t xml:space="preserve">UMEC </w:t>
      </w:r>
      <w:r w:rsidR="00A96EA3">
        <w:t>p</w:t>
      </w:r>
      <w:r w:rsidRPr="00CB34FE">
        <w:t xml:space="preserve">ulmonary </w:t>
      </w:r>
      <w:r w:rsidR="00A96EA3">
        <w:t>d</w:t>
      </w:r>
      <w:r>
        <w:t>ose-</w:t>
      </w:r>
      <w:r w:rsidR="00A96EA3">
        <w:t>r</w:t>
      </w:r>
      <w:r w:rsidRPr="00CB34FE">
        <w:t>esponse</w:t>
      </w:r>
      <w:bookmarkEnd w:id="134"/>
    </w:p>
    <w:p w:rsidR="00B13321" w:rsidRPr="00CB34FE" w:rsidRDefault="00B13321" w:rsidP="007D5296">
      <w:r w:rsidRPr="00CB34FE">
        <w:t xml:space="preserve">A physiological </w:t>
      </w:r>
      <w:proofErr w:type="spellStart"/>
      <w:r w:rsidRPr="00CB34FE">
        <w:t>E</w:t>
      </w:r>
      <w:r w:rsidRPr="004C0A5C">
        <w:rPr>
          <w:vertAlign w:val="subscript"/>
        </w:rPr>
        <w:t>max</w:t>
      </w:r>
      <w:proofErr w:type="spellEnd"/>
      <w:r w:rsidRPr="00CB34FE">
        <w:t xml:space="preserve"> model adequately described the relationship between dose and trough FEV1 (primary e</w:t>
      </w:r>
      <w:r>
        <w:t>ndpoint) when studies AC4113073 and AC4115321</w:t>
      </w:r>
      <w:r w:rsidRPr="00CB34FE">
        <w:t xml:space="preserve"> were analysed individually and following pooled analysis (AC4116689). The model parameters of UMEC estimated from analysis of the individual studies and after analysis of the pooled data were comparable. The model from the pooled population dose response analysis was used to support the selection of Phase III doses and dosing regimen. Based on the final model simulation, the probability of achieving a target FEV1 response with different doses and dose frequencies was computed. The </w:t>
      </w:r>
      <w:r>
        <w:t>once-daily</w:t>
      </w:r>
      <w:r w:rsidRPr="00CB34FE">
        <w:t xml:space="preserve"> 62.5</w:t>
      </w:r>
      <w:r>
        <w:t xml:space="preserve"> </w:t>
      </w:r>
      <w:r w:rsidRPr="00CB34FE">
        <w:t>µg or 125</w:t>
      </w:r>
      <w:r>
        <w:t xml:space="preserve"> </w:t>
      </w:r>
      <w:r w:rsidRPr="00CB34FE">
        <w:t>µg UMEC appeared to be the optimal doses. Although lower doses of 31.25</w:t>
      </w:r>
      <w:r>
        <w:t xml:space="preserve"> </w:t>
      </w:r>
      <w:r w:rsidRPr="00CB34FE">
        <w:t>µg and 15.6</w:t>
      </w:r>
      <w:r>
        <w:t xml:space="preserve"> µg </w:t>
      </w:r>
      <w:r w:rsidRPr="00C1622D">
        <w:t>once-daily</w:t>
      </w:r>
      <w:r w:rsidRPr="00CB34FE">
        <w:t xml:space="preserve"> UMEC were better than </w:t>
      </w:r>
      <w:r w:rsidRPr="00C1622D">
        <w:t>placebo</w:t>
      </w:r>
      <w:r w:rsidRPr="00CB34FE">
        <w:t>, they showed a lower response compared with that of the 62.5</w:t>
      </w:r>
      <w:r>
        <w:t xml:space="preserve"> </w:t>
      </w:r>
      <w:r w:rsidRPr="00CB34FE">
        <w:t xml:space="preserve">µg </w:t>
      </w:r>
      <w:r w:rsidRPr="00C1622D">
        <w:t>once-daily</w:t>
      </w:r>
      <w:r w:rsidRPr="00CB34FE">
        <w:t xml:space="preserve"> </w:t>
      </w:r>
      <w:proofErr w:type="gramStart"/>
      <w:r w:rsidRPr="00CB34FE">
        <w:t>dose</w:t>
      </w:r>
      <w:proofErr w:type="gramEnd"/>
      <w:r w:rsidRPr="00CB34FE">
        <w:t xml:space="preserve"> based on both observed and model predicted trough FEV1values. Predictions from modelling further indicated lower likelihood of providing meaningful response following doses of 15.6</w:t>
      </w:r>
      <w:r>
        <w:t xml:space="preserve"> </w:t>
      </w:r>
      <w:r w:rsidRPr="00CB34FE">
        <w:t>µg and 31.25</w:t>
      </w:r>
      <w:r>
        <w:t xml:space="preserve"> </w:t>
      </w:r>
      <w:r w:rsidRPr="00CB34FE">
        <w:t>µg UMEC.</w:t>
      </w:r>
    </w:p>
    <w:p w:rsidR="00B13321" w:rsidRPr="00CB34FE" w:rsidRDefault="00B13321" w:rsidP="007D5296">
      <w:pPr>
        <w:pStyle w:val="Heading5"/>
      </w:pPr>
      <w:bookmarkStart w:id="135" w:name="_Toc376461148"/>
      <w:r w:rsidRPr="00CB34FE">
        <w:t xml:space="preserve">VI </w:t>
      </w:r>
      <w:r w:rsidR="00A96EA3">
        <w:t>p</w:t>
      </w:r>
      <w:r w:rsidRPr="00CB34FE">
        <w:t xml:space="preserve">ulmonary </w:t>
      </w:r>
      <w:r w:rsidR="00A96EA3">
        <w:t>d</w:t>
      </w:r>
      <w:r>
        <w:t>ose-</w:t>
      </w:r>
      <w:r w:rsidR="00A96EA3">
        <w:t>r</w:t>
      </w:r>
      <w:r w:rsidRPr="00CB34FE">
        <w:t>esponse</w:t>
      </w:r>
      <w:bookmarkEnd w:id="135"/>
    </w:p>
    <w:p w:rsidR="00B13321" w:rsidRPr="00CB34FE" w:rsidRDefault="00B13321" w:rsidP="007D5296">
      <w:r w:rsidRPr="00CB34FE">
        <w:t xml:space="preserve">VI dose response was modelled </w:t>
      </w:r>
      <w:r>
        <w:t>using data from Study B2C111045</w:t>
      </w:r>
      <w:r w:rsidRPr="00CB34FE">
        <w:t xml:space="preserve"> in subjects with COPD, which supports the selected dose of 25</w:t>
      </w:r>
      <w:r>
        <w:t xml:space="preserve"> </w:t>
      </w:r>
      <w:r w:rsidRPr="00CB34FE">
        <w:t>µg in UMEC/VI combination treatment.</w:t>
      </w:r>
    </w:p>
    <w:p w:rsidR="00B13321" w:rsidRPr="00CB34FE" w:rsidRDefault="00B13321" w:rsidP="007D5296">
      <w:pPr>
        <w:pStyle w:val="Heading5"/>
      </w:pPr>
      <w:bookmarkStart w:id="136" w:name="_Toc376461149"/>
      <w:r w:rsidRPr="00CB34FE">
        <w:t xml:space="preserve">UMEC-VI </w:t>
      </w:r>
      <w:r w:rsidR="00A96EA3">
        <w:t>c</w:t>
      </w:r>
      <w:r w:rsidRPr="00CB34FE">
        <w:t xml:space="preserve">ombination </w:t>
      </w:r>
      <w:r w:rsidR="00A96EA3">
        <w:t>p</w:t>
      </w:r>
      <w:r w:rsidRPr="00CB34FE">
        <w:t xml:space="preserve">ulmonary </w:t>
      </w:r>
      <w:r w:rsidR="00A96EA3">
        <w:t>d</w:t>
      </w:r>
      <w:r>
        <w:t>ose-</w:t>
      </w:r>
      <w:r w:rsidR="00A96EA3">
        <w:t>r</w:t>
      </w:r>
      <w:r w:rsidRPr="00CB34FE">
        <w:t>esponse</w:t>
      </w:r>
      <w:bookmarkEnd w:id="136"/>
    </w:p>
    <w:p w:rsidR="00B13321" w:rsidRPr="00CB34FE" w:rsidRDefault="00B13321" w:rsidP="007D5296">
      <w:r w:rsidRPr="00CB34FE">
        <w:t>No dose range studies of the combination UMEC/VI was undertaken. The UMEC doses of 62.5</w:t>
      </w:r>
      <w:r>
        <w:t xml:space="preserve"> </w:t>
      </w:r>
      <w:r w:rsidRPr="00CB34FE">
        <w:t>µg and 125</w:t>
      </w:r>
      <w:r>
        <w:t xml:space="preserve"> </w:t>
      </w:r>
      <w:r w:rsidRPr="00CB34FE">
        <w:t>µg were selected as clinically relevant doses in Phase III as monotherapy and in combination with VI 25</w:t>
      </w:r>
      <w:r>
        <w:t xml:space="preserve"> </w:t>
      </w:r>
      <w:r w:rsidRPr="00CB34FE">
        <w:t>µg. In the Phase</w:t>
      </w:r>
      <w:r>
        <w:t xml:space="preserve"> III pivotal studies (DB2113361 and DB2113373</w:t>
      </w:r>
      <w:r w:rsidRPr="00CB34FE">
        <w:t>) each combination (UMEC/VI 125/25</w:t>
      </w:r>
      <w:r>
        <w:t xml:space="preserve"> </w:t>
      </w:r>
      <w:r w:rsidRPr="00CB34FE">
        <w:t>µg and UMEC/VI 62.5/25</w:t>
      </w:r>
      <w:r>
        <w:t xml:space="preserve"> </w:t>
      </w:r>
      <w:r w:rsidRPr="00CB34FE">
        <w:t>µg) provided clinically relevant higher changes in trough FEV1 response when compared with the respective individual components. It was possible in these Phase III studies to evaluate qualitatively the potential mechanism of the PD interaction for the UMEC and VI combination using the observed lo</w:t>
      </w:r>
      <w:r>
        <w:t xml:space="preserve">ngitudinal trough FEV1 over </w:t>
      </w:r>
      <w:proofErr w:type="gramStart"/>
      <w:r>
        <w:t>a 6</w:t>
      </w:r>
      <w:proofErr w:type="gramEnd"/>
      <w:r>
        <w:t>-</w:t>
      </w:r>
      <w:r w:rsidRPr="00CB34FE">
        <w:t>month duration. The trough FEV1 responses obtained for each</w:t>
      </w:r>
      <w:r>
        <w:t xml:space="preserve"> combination appeared to be sub-</w:t>
      </w:r>
      <w:r w:rsidRPr="00CB34FE">
        <w:t>additive when compared with the addition of FEV1 responses from the individual components.</w:t>
      </w:r>
    </w:p>
    <w:p w:rsidR="00B13321" w:rsidRPr="00CB34FE" w:rsidRDefault="00B13321" w:rsidP="007D5296">
      <w:pPr>
        <w:pStyle w:val="Heading4"/>
      </w:pPr>
      <w:bookmarkStart w:id="137" w:name="_Toc241374303"/>
      <w:bookmarkStart w:id="138" w:name="_Toc272414647"/>
      <w:bookmarkStart w:id="139" w:name="_Toc290846269"/>
      <w:bookmarkStart w:id="140" w:name="_Toc376461150"/>
      <w:bookmarkEnd w:id="131"/>
      <w:bookmarkEnd w:id="132"/>
      <w:bookmarkEnd w:id="133"/>
      <w:r w:rsidRPr="00CB34FE">
        <w:t>Pharmacodynamic interactions</w:t>
      </w:r>
      <w:bookmarkEnd w:id="137"/>
      <w:bookmarkEnd w:id="138"/>
      <w:bookmarkEnd w:id="139"/>
      <w:bookmarkEnd w:id="140"/>
    </w:p>
    <w:p w:rsidR="00B13321" w:rsidRPr="00CB34FE" w:rsidRDefault="00B13321" w:rsidP="007D5296">
      <w:r>
        <w:t>The PD effect of co-</w:t>
      </w:r>
      <w:r w:rsidRPr="00CB34FE">
        <w:t>administration of repeated doses ketoconazole 400</w:t>
      </w:r>
      <w:r>
        <w:t xml:space="preserve"> </w:t>
      </w:r>
      <w:r w:rsidRPr="00CB34FE">
        <w:t>mg and single inhaled dose VI 25</w:t>
      </w:r>
      <w:r>
        <w:t xml:space="preserve"> µ</w:t>
      </w:r>
      <w:r w:rsidRPr="00CB34FE">
        <w:t>g was examined i</w:t>
      </w:r>
      <w:r>
        <w:t>n healthy volunteers (B2C112205</w:t>
      </w:r>
      <w:r w:rsidRPr="00CB34FE">
        <w:t xml:space="preserve">). Dosing with ketoconazole did not result in significant increases in systemic PD effects of VI. The 90% CIs for the treatment effects of ketoconazole with VI compared with VI alone were within predefined limits for equivalence for both heart rate (±10 </w:t>
      </w:r>
      <w:r>
        <w:t>bpm</w:t>
      </w:r>
      <w:r w:rsidRPr="00CB34FE">
        <w:t>) and blood potassium (±0.22 mmol/L). There were minor treatment effects on some secondary PD endpoints.</w:t>
      </w:r>
    </w:p>
    <w:p w:rsidR="00B13321" w:rsidRPr="00CB34FE" w:rsidRDefault="00B13321" w:rsidP="007D5296">
      <w:pPr>
        <w:pStyle w:val="Heading3"/>
      </w:pPr>
      <w:bookmarkStart w:id="141" w:name="_Ref269983272"/>
      <w:bookmarkStart w:id="142" w:name="_Toc272414648"/>
      <w:bookmarkStart w:id="143" w:name="_Toc290846270"/>
      <w:bookmarkStart w:id="144" w:name="_Toc376461151"/>
      <w:bookmarkStart w:id="145" w:name="_Toc422852155"/>
      <w:r w:rsidRPr="00CB34FE">
        <w:lastRenderedPageBreak/>
        <w:t>Evaluator’s overall conclusions on pharmacodynamics</w:t>
      </w:r>
      <w:bookmarkEnd w:id="141"/>
      <w:bookmarkEnd w:id="142"/>
      <w:bookmarkEnd w:id="143"/>
      <w:bookmarkEnd w:id="144"/>
      <w:bookmarkEnd w:id="145"/>
    </w:p>
    <w:p w:rsidR="00B13321" w:rsidRPr="00CB34FE" w:rsidRDefault="00B13321" w:rsidP="007D5296">
      <w:r w:rsidRPr="00CB34FE">
        <w:t xml:space="preserve">Early phase healthy subject studies and studies in subjects with COPD demonstrated a clear </w:t>
      </w:r>
      <w:proofErr w:type="spellStart"/>
      <w:r w:rsidRPr="00CB34FE">
        <w:t>bronchodilatory</w:t>
      </w:r>
      <w:proofErr w:type="spellEnd"/>
      <w:r w:rsidRPr="00CB34FE">
        <w:t xml:space="preserve"> effect of both UMEC and VI. Bronchodilation was assessed by changes in specific airway conductance and forced expiratory volume. Evidence from these studies confirms bronchodilation as the therapeutic mechanism of action for UMEC/VI. In healthy subjects, UMEC 100 to 350</w:t>
      </w:r>
      <w:r>
        <w:t xml:space="preserve"> µ</w:t>
      </w:r>
      <w:r w:rsidRPr="00CB34FE">
        <w:t>g significantly increased bronchodilation compa</w:t>
      </w:r>
      <w:r>
        <w:t xml:space="preserve">red with </w:t>
      </w:r>
      <w:r w:rsidRPr="00C60742">
        <w:t>placebo</w:t>
      </w:r>
      <w:r>
        <w:t xml:space="preserve"> up to 12 h post-dose, and to 24 h post-</w:t>
      </w:r>
      <w:r w:rsidRPr="00CB34FE">
        <w:t>dose with 350</w:t>
      </w:r>
      <w:r>
        <w:t xml:space="preserve"> µ</w:t>
      </w:r>
      <w:r w:rsidRPr="00CB34FE">
        <w:t>g. In COPD patients 250 to 1000</w:t>
      </w:r>
      <w:r>
        <w:t xml:space="preserve"> µ</w:t>
      </w:r>
      <w:r w:rsidRPr="00CB34FE">
        <w:t>g provided superior bronchodilation com</w:t>
      </w:r>
      <w:r>
        <w:t xml:space="preserve">pared to </w:t>
      </w:r>
      <w:r w:rsidRPr="00C60742">
        <w:t>placebo</w:t>
      </w:r>
      <w:r>
        <w:t xml:space="preserve"> up to 24 h post-</w:t>
      </w:r>
      <w:r w:rsidRPr="00CB34FE">
        <w:t>dose. For VI doses from 25 to 100</w:t>
      </w:r>
      <w:r>
        <w:t xml:space="preserve"> µ</w:t>
      </w:r>
      <w:r w:rsidRPr="00CB34FE">
        <w:t xml:space="preserve">g significantly increased bronchodilation compared with </w:t>
      </w:r>
      <w:r w:rsidRPr="00C60742">
        <w:t>placebo</w:t>
      </w:r>
      <w:r w:rsidRPr="00CB34FE">
        <w:t xml:space="preserve"> to 24 </w:t>
      </w:r>
      <w:r>
        <w:t>h post-dose</w:t>
      </w:r>
      <w:r w:rsidRPr="00CB34FE">
        <w:t xml:space="preserve"> in both healthy s</w:t>
      </w:r>
      <w:r>
        <w:t>ubjects and patients with COPD.</w:t>
      </w:r>
    </w:p>
    <w:p w:rsidR="00B13321" w:rsidRPr="00CB34FE" w:rsidRDefault="00B13321" w:rsidP="007D5296">
      <w:r w:rsidRPr="00CB34FE">
        <w:t xml:space="preserve">There was no evidence of an effect on </w:t>
      </w:r>
      <w:proofErr w:type="spellStart"/>
      <w:r w:rsidRPr="00CB34FE">
        <w:t>QTcF</w:t>
      </w:r>
      <w:proofErr w:type="spellEnd"/>
      <w:r w:rsidRPr="00CB34FE">
        <w:t xml:space="preserve"> following 10 days of IH dosing with UMEC/VI 125/25</w:t>
      </w:r>
      <w:r>
        <w:t xml:space="preserve"> </w:t>
      </w:r>
      <w:r w:rsidRPr="00CB34FE">
        <w:t>µg or UMEC 500</w:t>
      </w:r>
      <w:r>
        <w:t xml:space="preserve"> </w:t>
      </w:r>
      <w:r w:rsidRPr="00CB34FE">
        <w:t xml:space="preserve">µg compared with </w:t>
      </w:r>
      <w:r w:rsidRPr="00C60742">
        <w:t>placebo</w:t>
      </w:r>
      <w:r w:rsidRPr="00CB34FE">
        <w:t>. A dose representing 4-times the proposed upper therapeutic UMEC/VI dose (UMEC/VI 500/100</w:t>
      </w:r>
      <w:r>
        <w:t xml:space="preserve"> </w:t>
      </w:r>
      <w:r w:rsidRPr="00CB34FE">
        <w:t xml:space="preserve">µg) increased </w:t>
      </w:r>
      <w:proofErr w:type="spellStart"/>
      <w:r w:rsidRPr="00CB34FE">
        <w:t>QTcF</w:t>
      </w:r>
      <w:proofErr w:type="spellEnd"/>
      <w:r w:rsidRPr="00CB34FE">
        <w:t xml:space="preserve"> 8.2</w:t>
      </w:r>
      <w:r>
        <w:t xml:space="preserve"> </w:t>
      </w:r>
      <w:proofErr w:type="spellStart"/>
      <w:r w:rsidRPr="00CB34FE">
        <w:t>msec</w:t>
      </w:r>
      <w:proofErr w:type="spellEnd"/>
      <w:r w:rsidRPr="00CB34FE">
        <w:t xml:space="preserve"> at 30 minutes only, which was the largest increase observed. Data from clinical pharmacology studies in healthy subjects and subjects with COPD suggest that small, transient changes in SBP and DBP following both UMEC and VI. Studies in healthy subjects and subjects with COPD suggest no clinically relevant changes in blood potassium or gluc</w:t>
      </w:r>
      <w:r>
        <w:t>ose following both UMEC and VI.</w:t>
      </w:r>
    </w:p>
    <w:p w:rsidR="00B13321" w:rsidRPr="00CB34FE" w:rsidRDefault="00B13321" w:rsidP="007D5296">
      <w:r w:rsidRPr="00CB34FE">
        <w:t xml:space="preserve">A physiological </w:t>
      </w:r>
      <w:proofErr w:type="spellStart"/>
      <w:r w:rsidRPr="00CB34FE">
        <w:t>E</w:t>
      </w:r>
      <w:r w:rsidRPr="004C0A5C">
        <w:rPr>
          <w:vertAlign w:val="subscript"/>
        </w:rPr>
        <w:t>max</w:t>
      </w:r>
      <w:proofErr w:type="spellEnd"/>
      <w:r w:rsidRPr="004C0A5C">
        <w:rPr>
          <w:vertAlign w:val="subscript"/>
        </w:rPr>
        <w:t xml:space="preserve"> </w:t>
      </w:r>
      <w:r w:rsidRPr="00CB34FE">
        <w:t xml:space="preserve">model adequately characterized the </w:t>
      </w:r>
      <w:r>
        <w:t xml:space="preserve">dose </w:t>
      </w:r>
      <w:r w:rsidRPr="00CB34FE">
        <w:t xml:space="preserve">trough FEV1 </w:t>
      </w:r>
      <w:r>
        <w:t>response for UMEC over the QD</w:t>
      </w:r>
      <w:r w:rsidRPr="00CB34FE">
        <w:t xml:space="preserve"> dose range of 15.6 to 1000</w:t>
      </w:r>
      <w:r>
        <w:t xml:space="preserve"> </w:t>
      </w:r>
      <w:r w:rsidRPr="00CB34FE">
        <w:t xml:space="preserve">µg in subjects with COPD, with an </w:t>
      </w:r>
      <w:r w:rsidRPr="008942C7">
        <w:t xml:space="preserve">estimated dose that would yield 50% of </w:t>
      </w:r>
      <w:proofErr w:type="spellStart"/>
      <w:r w:rsidRPr="008942C7">
        <w:t>E</w:t>
      </w:r>
      <w:r w:rsidRPr="008942C7">
        <w:rPr>
          <w:vertAlign w:val="subscript"/>
        </w:rPr>
        <w:t>max</w:t>
      </w:r>
      <w:proofErr w:type="spellEnd"/>
      <w:r w:rsidRPr="00CB34FE">
        <w:t xml:space="preserve"> </w:t>
      </w:r>
      <w:r>
        <w:t>(</w:t>
      </w:r>
      <w:r w:rsidRPr="00CB34FE">
        <w:t>ED50</w:t>
      </w:r>
      <w:r>
        <w:t>)</w:t>
      </w:r>
      <w:r w:rsidRPr="00CB34FE">
        <w:t xml:space="preserve"> of 33</w:t>
      </w:r>
      <w:r>
        <w:t xml:space="preserve"> µg.</w:t>
      </w:r>
    </w:p>
    <w:p w:rsidR="00B13321" w:rsidRPr="00586F98" w:rsidRDefault="00B13321" w:rsidP="007D5296">
      <w:r>
        <w:t xml:space="preserve">The </w:t>
      </w:r>
      <w:r w:rsidRPr="00C60742">
        <w:t>once-daily</w:t>
      </w:r>
      <w:r w:rsidRPr="00CB34FE">
        <w:t xml:space="preserve"> proposed UMEC doses of 62.5</w:t>
      </w:r>
      <w:r>
        <w:t xml:space="preserve"> </w:t>
      </w:r>
      <w:r w:rsidRPr="00CB34FE">
        <w:t>µg and 125</w:t>
      </w:r>
      <w:r>
        <w:t xml:space="preserve"> </w:t>
      </w:r>
      <w:r w:rsidRPr="00CB34FE">
        <w:t>µg have shown dose related increases in trough FEV1. There was no mar</w:t>
      </w:r>
      <w:r>
        <w:t xml:space="preserve">ked difference between the </w:t>
      </w:r>
      <w:r w:rsidRPr="00C60742">
        <w:t>once-daily</w:t>
      </w:r>
      <w:r>
        <w:t xml:space="preserve"> versus twice-</w:t>
      </w:r>
      <w:r w:rsidRPr="00CB34FE">
        <w:t>daily regimen for UMEC. The VI dose of 25</w:t>
      </w:r>
      <w:r>
        <w:t xml:space="preserve"> </w:t>
      </w:r>
      <w:r w:rsidRPr="00CB34FE">
        <w:t>µg has also shown consistent clinically relevant changes in trough FEV1. The trough FEV1 responses obtained for each dose of the combination (UMEC/VI 62.5/25</w:t>
      </w:r>
      <w:r>
        <w:t xml:space="preserve"> </w:t>
      </w:r>
      <w:r w:rsidRPr="00CB34FE">
        <w:t>µg and 125/25</w:t>
      </w:r>
      <w:r>
        <w:t xml:space="preserve"> µg) appeared to be sub </w:t>
      </w:r>
      <w:r w:rsidRPr="00CB34FE">
        <w:t>additive when compared to the addition of FEV1 responses from the individual components. There was n</w:t>
      </w:r>
      <w:r>
        <w:t xml:space="preserve">o apparent dose- or concentration- </w:t>
      </w:r>
      <w:r w:rsidRPr="00CB34FE">
        <w:t>dependent change in cardiovascular (heart rate) effects for UMEC over t</w:t>
      </w:r>
      <w:r>
        <w:t>he dose range 15.6 to 1000 µg.</w:t>
      </w:r>
    </w:p>
    <w:p w:rsidR="00B13321" w:rsidRDefault="00B13321" w:rsidP="007D5296">
      <w:pPr>
        <w:pStyle w:val="Heading2"/>
      </w:pPr>
      <w:bookmarkStart w:id="146" w:name="_Toc422852156"/>
      <w:r>
        <w:t>Dosage selection for the pivotal studies</w:t>
      </w:r>
      <w:bookmarkEnd w:id="146"/>
    </w:p>
    <w:p w:rsidR="00B13321" w:rsidRDefault="00B13321" w:rsidP="007D5296">
      <w:r w:rsidRPr="008D2427">
        <w:t>Dose selection of UMEC for the pivotal studies was based on the results of 2 P</w:t>
      </w:r>
      <w:r>
        <w:t xml:space="preserve">hase </w:t>
      </w:r>
      <w:proofErr w:type="spellStart"/>
      <w:r>
        <w:t>IIb</w:t>
      </w:r>
      <w:proofErr w:type="spellEnd"/>
      <w:r>
        <w:t xml:space="preserve"> dose-</w:t>
      </w:r>
      <w:r w:rsidRPr="008D2427">
        <w:t xml:space="preserve">ranging studies in COPD subjects (AC4113073 and AC4113589). Two other studies, AC4115321 and AC4115408, were conducted after the commencement of the Phase III studies, and their results were used to further support the dose selection of UMEC for the pivotal studies. Dose selection of VI for the pivotal studies was based on the results of a Phase </w:t>
      </w:r>
      <w:proofErr w:type="spellStart"/>
      <w:r w:rsidRPr="008D2427">
        <w:t>IIb</w:t>
      </w:r>
      <w:proofErr w:type="spellEnd"/>
      <w:r w:rsidRPr="008D2427">
        <w:t xml:space="preserve"> </w:t>
      </w:r>
      <w:r>
        <w:t>dose-</w:t>
      </w:r>
      <w:r w:rsidRPr="008D2427">
        <w:t xml:space="preserve">ranging study in COPD subjects (B2C111045). A summary of the study design and dose tested in these studies is presented in Table </w:t>
      </w:r>
      <w:r w:rsidR="00C3117B">
        <w:t>3</w:t>
      </w:r>
      <w:r w:rsidRPr="008D2427">
        <w:t>.</w:t>
      </w:r>
    </w:p>
    <w:p w:rsidR="00B13321" w:rsidRDefault="00C3117B" w:rsidP="00C34F83">
      <w:pPr>
        <w:pStyle w:val="Tabletitle"/>
        <w:pageBreakBefore/>
      </w:pPr>
      <w:proofErr w:type="gramStart"/>
      <w:r>
        <w:lastRenderedPageBreak/>
        <w:t>Table 3</w:t>
      </w:r>
      <w:r w:rsidR="00B13321">
        <w:t>.</w:t>
      </w:r>
      <w:proofErr w:type="gramEnd"/>
      <w:r w:rsidR="00B13321">
        <w:t xml:space="preserve"> Studies to support doses and dosing interval of UMEC and VI used in the UMEC/VI Phase III COPD studies.</w:t>
      </w:r>
    </w:p>
    <w:tbl>
      <w:tblPr>
        <w:tblStyle w:val="TableTGAblue"/>
        <w:tblW w:w="7621" w:type="dxa"/>
        <w:tblLayout w:type="fixed"/>
        <w:tblLook w:val="04A0" w:firstRow="1" w:lastRow="0" w:firstColumn="1" w:lastColumn="0" w:noHBand="0" w:noVBand="1"/>
      </w:tblPr>
      <w:tblGrid>
        <w:gridCol w:w="1686"/>
        <w:gridCol w:w="1541"/>
        <w:gridCol w:w="2268"/>
        <w:gridCol w:w="2126"/>
      </w:tblGrid>
      <w:tr w:rsidR="00B13321" w:rsidTr="007D52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86" w:type="dxa"/>
          </w:tcPr>
          <w:p w:rsidR="00B13321" w:rsidRDefault="00B13321" w:rsidP="007D5296">
            <w:r>
              <w:t>Study Number</w:t>
            </w:r>
          </w:p>
        </w:tc>
        <w:tc>
          <w:tcPr>
            <w:tcW w:w="1541" w:type="dxa"/>
          </w:tcPr>
          <w:p w:rsidR="00B13321" w:rsidRDefault="00B13321" w:rsidP="007D5296">
            <w:pPr>
              <w:cnfStyle w:val="100000000000" w:firstRow="1" w:lastRow="0" w:firstColumn="0" w:lastColumn="0" w:oddVBand="0" w:evenVBand="0" w:oddHBand="0" w:evenHBand="0" w:firstRowFirstColumn="0" w:firstRowLastColumn="0" w:lastRowFirstColumn="0" w:lastRowLastColumn="0"/>
            </w:pPr>
            <w:r>
              <w:t>Study Objective</w:t>
            </w:r>
          </w:p>
        </w:tc>
        <w:tc>
          <w:tcPr>
            <w:tcW w:w="2268" w:type="dxa"/>
          </w:tcPr>
          <w:p w:rsidR="00B13321" w:rsidRDefault="00B13321" w:rsidP="007D5296">
            <w:pPr>
              <w:cnfStyle w:val="100000000000" w:firstRow="1" w:lastRow="0" w:firstColumn="0" w:lastColumn="0" w:oddVBand="0" w:evenVBand="0" w:oddHBand="0" w:evenHBand="0" w:firstRowFirstColumn="0" w:firstRowLastColumn="0" w:lastRowFirstColumn="0" w:lastRowLastColumn="0"/>
            </w:pPr>
            <w:r>
              <w:t>Study Design &amp; Duration</w:t>
            </w:r>
          </w:p>
        </w:tc>
        <w:tc>
          <w:tcPr>
            <w:tcW w:w="2126" w:type="dxa"/>
          </w:tcPr>
          <w:p w:rsidR="00B13321" w:rsidRDefault="00B13321" w:rsidP="007D5296">
            <w:pPr>
              <w:cnfStyle w:val="100000000000" w:firstRow="1" w:lastRow="0" w:firstColumn="0" w:lastColumn="0" w:oddVBand="0" w:evenVBand="0" w:oddHBand="0" w:evenHBand="0" w:firstRowFirstColumn="0" w:firstRowLastColumn="0" w:lastRowFirstColumn="0" w:lastRowLastColumn="0"/>
            </w:pPr>
            <w:r>
              <w:t xml:space="preserve">Relevant Treatment Arms (µg) </w:t>
            </w:r>
          </w:p>
        </w:tc>
      </w:tr>
      <w:tr w:rsidR="00B13321" w:rsidTr="007D5296">
        <w:tc>
          <w:tcPr>
            <w:cnfStyle w:val="001000000000" w:firstRow="0" w:lastRow="0" w:firstColumn="1" w:lastColumn="0" w:oddVBand="0" w:evenVBand="0" w:oddHBand="0" w:evenHBand="0" w:firstRowFirstColumn="0" w:firstRowLastColumn="0" w:lastRowFirstColumn="0" w:lastRowLastColumn="0"/>
            <w:tcW w:w="7621" w:type="dxa"/>
            <w:gridSpan w:val="4"/>
          </w:tcPr>
          <w:p w:rsidR="00B13321" w:rsidRPr="007D5296" w:rsidRDefault="00B13321" w:rsidP="007D5296">
            <w:pPr>
              <w:rPr>
                <w:szCs w:val="22"/>
              </w:rPr>
            </w:pPr>
            <w:r w:rsidRPr="007D5296">
              <w:rPr>
                <w:szCs w:val="22"/>
              </w:rPr>
              <w:t>UMEC Dose selection</w:t>
            </w:r>
          </w:p>
        </w:tc>
      </w:tr>
      <w:tr w:rsidR="00B13321" w:rsidTr="007D5296">
        <w:tc>
          <w:tcPr>
            <w:cnfStyle w:val="001000000000" w:firstRow="0" w:lastRow="0" w:firstColumn="1" w:lastColumn="0" w:oddVBand="0" w:evenVBand="0" w:oddHBand="0" w:evenHBand="0" w:firstRowFirstColumn="0" w:firstRowLastColumn="0" w:lastRowFirstColumn="0" w:lastRowLastColumn="0"/>
            <w:tcW w:w="1686" w:type="dxa"/>
          </w:tcPr>
          <w:p w:rsidR="00B13321" w:rsidRPr="007D5296" w:rsidRDefault="00B13321" w:rsidP="007D5296">
            <w:pPr>
              <w:rPr>
                <w:szCs w:val="22"/>
              </w:rPr>
            </w:pPr>
            <w:r w:rsidRPr="007D5296">
              <w:rPr>
                <w:szCs w:val="22"/>
              </w:rPr>
              <w:t>AC4113589</w:t>
            </w:r>
          </w:p>
        </w:tc>
        <w:tc>
          <w:tcPr>
            <w:tcW w:w="1541"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Dose ranging</w:t>
            </w:r>
          </w:p>
        </w:tc>
        <w:tc>
          <w:tcPr>
            <w:tcW w:w="2268"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R, DB, PG, PC</w:t>
            </w:r>
          </w:p>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28 Days</w:t>
            </w:r>
          </w:p>
        </w:tc>
        <w:tc>
          <w:tcPr>
            <w:tcW w:w="2126"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125 QD</w:t>
            </w:r>
          </w:p>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250 QD</w:t>
            </w:r>
          </w:p>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500 QD</w:t>
            </w:r>
          </w:p>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PLA QD</w:t>
            </w:r>
          </w:p>
        </w:tc>
      </w:tr>
      <w:tr w:rsidR="00B13321" w:rsidTr="007D5296">
        <w:tc>
          <w:tcPr>
            <w:cnfStyle w:val="001000000000" w:firstRow="0" w:lastRow="0" w:firstColumn="1" w:lastColumn="0" w:oddVBand="0" w:evenVBand="0" w:oddHBand="0" w:evenHBand="0" w:firstRowFirstColumn="0" w:firstRowLastColumn="0" w:lastRowFirstColumn="0" w:lastRowLastColumn="0"/>
            <w:tcW w:w="1686" w:type="dxa"/>
          </w:tcPr>
          <w:p w:rsidR="00B13321" w:rsidRPr="007D5296" w:rsidRDefault="00B13321" w:rsidP="007D5296">
            <w:pPr>
              <w:rPr>
                <w:szCs w:val="22"/>
              </w:rPr>
            </w:pPr>
            <w:r w:rsidRPr="007D5296">
              <w:rPr>
                <w:szCs w:val="22"/>
              </w:rPr>
              <w:t>AC4113073</w:t>
            </w:r>
          </w:p>
        </w:tc>
        <w:tc>
          <w:tcPr>
            <w:tcW w:w="1541"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 xml:space="preserve">Dose ranging, dosing interval </w:t>
            </w:r>
            <w:r w:rsidR="007D5296">
              <w:rPr>
                <w:szCs w:val="22"/>
              </w:rPr>
              <w:t>and</w:t>
            </w:r>
            <w:r w:rsidRPr="007D5296">
              <w:rPr>
                <w:szCs w:val="22"/>
              </w:rPr>
              <w:t xml:space="preserve"> PK</w:t>
            </w:r>
          </w:p>
        </w:tc>
        <w:tc>
          <w:tcPr>
            <w:tcW w:w="2268"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R, DB, XO, PC Incomplete block</w:t>
            </w:r>
            <w:r w:rsidR="007D5296">
              <w:rPr>
                <w:szCs w:val="22"/>
              </w:rPr>
              <w:t xml:space="preserve"> </w:t>
            </w:r>
            <w:r w:rsidRPr="007D5296">
              <w:rPr>
                <w:szCs w:val="22"/>
              </w:rPr>
              <w:t>3 periods per subject, 14 days per period</w:t>
            </w:r>
          </w:p>
        </w:tc>
        <w:tc>
          <w:tcPr>
            <w:tcW w:w="2126"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62.5 QD</w:t>
            </w:r>
            <w:r w:rsidR="007D5296">
              <w:rPr>
                <w:szCs w:val="22"/>
              </w:rPr>
              <w:t xml:space="preserve"> </w:t>
            </w:r>
            <w:r w:rsidRPr="007D5296">
              <w:rPr>
                <w:szCs w:val="22"/>
              </w:rPr>
              <w:t>UMEC 125 QD</w:t>
            </w:r>
            <w:r w:rsidR="007D5296">
              <w:rPr>
                <w:szCs w:val="22"/>
              </w:rPr>
              <w:t xml:space="preserve"> </w:t>
            </w:r>
            <w:r w:rsidRPr="007D5296">
              <w:rPr>
                <w:szCs w:val="22"/>
              </w:rPr>
              <w:t>UMEC 250 QD</w:t>
            </w:r>
            <w:r w:rsidR="007D5296">
              <w:rPr>
                <w:szCs w:val="22"/>
              </w:rPr>
              <w:t xml:space="preserve"> </w:t>
            </w:r>
            <w:r w:rsidRPr="007D5296">
              <w:rPr>
                <w:szCs w:val="22"/>
              </w:rPr>
              <w:t>UMEC 500 QD</w:t>
            </w:r>
            <w:r w:rsidR="007D5296">
              <w:rPr>
                <w:szCs w:val="22"/>
              </w:rPr>
              <w:t xml:space="preserve"> </w:t>
            </w:r>
            <w:r w:rsidRPr="007D5296">
              <w:rPr>
                <w:szCs w:val="22"/>
              </w:rPr>
              <w:t>UMEC 1000 QD</w:t>
            </w:r>
            <w:r w:rsidR="007D5296">
              <w:rPr>
                <w:szCs w:val="22"/>
              </w:rPr>
              <w:t xml:space="preserve"> </w:t>
            </w:r>
            <w:r w:rsidRPr="007D5296">
              <w:rPr>
                <w:szCs w:val="22"/>
              </w:rPr>
              <w:t>TIO 18 OL QD</w:t>
            </w:r>
            <w:r w:rsidR="007D5296">
              <w:rPr>
                <w:szCs w:val="22"/>
              </w:rPr>
              <w:t xml:space="preserve"> </w:t>
            </w:r>
            <w:r w:rsidRPr="007D5296">
              <w:rPr>
                <w:szCs w:val="22"/>
              </w:rPr>
              <w:t>PLA QD</w:t>
            </w:r>
            <w:r w:rsidR="007D5296">
              <w:rPr>
                <w:szCs w:val="22"/>
              </w:rPr>
              <w:t xml:space="preserve"> </w:t>
            </w:r>
            <w:r w:rsidR="007D5296">
              <w:rPr>
                <w:szCs w:val="22"/>
              </w:rPr>
              <w:br/>
            </w:r>
            <w:r w:rsidRPr="007D5296">
              <w:rPr>
                <w:szCs w:val="22"/>
              </w:rPr>
              <w:t>UMEC 62.5 BD</w:t>
            </w:r>
            <w:r w:rsidR="007D5296">
              <w:rPr>
                <w:szCs w:val="22"/>
              </w:rPr>
              <w:t xml:space="preserve"> </w:t>
            </w:r>
            <w:r w:rsidRPr="007D5296">
              <w:rPr>
                <w:szCs w:val="22"/>
              </w:rPr>
              <w:t>UMEC 125 BD</w:t>
            </w:r>
            <w:r w:rsidR="007D5296">
              <w:rPr>
                <w:szCs w:val="22"/>
              </w:rPr>
              <w:t xml:space="preserve"> </w:t>
            </w:r>
            <w:r w:rsidRPr="007D5296">
              <w:rPr>
                <w:szCs w:val="22"/>
              </w:rPr>
              <w:t>UMEC 250 BD</w:t>
            </w:r>
            <w:r w:rsidR="007D5296">
              <w:rPr>
                <w:szCs w:val="22"/>
              </w:rPr>
              <w:t xml:space="preserve"> </w:t>
            </w:r>
            <w:r w:rsidRPr="007D5296">
              <w:rPr>
                <w:szCs w:val="22"/>
              </w:rPr>
              <w:t>PLA BD</w:t>
            </w:r>
          </w:p>
        </w:tc>
      </w:tr>
      <w:tr w:rsidR="00B13321" w:rsidTr="007D5296">
        <w:tc>
          <w:tcPr>
            <w:cnfStyle w:val="001000000000" w:firstRow="0" w:lastRow="0" w:firstColumn="1" w:lastColumn="0" w:oddVBand="0" w:evenVBand="0" w:oddHBand="0" w:evenHBand="0" w:firstRowFirstColumn="0" w:firstRowLastColumn="0" w:lastRowFirstColumn="0" w:lastRowLastColumn="0"/>
            <w:tcW w:w="1686" w:type="dxa"/>
          </w:tcPr>
          <w:p w:rsidR="00B13321" w:rsidRPr="007D5296" w:rsidRDefault="00B13321" w:rsidP="007D5296">
            <w:pPr>
              <w:rPr>
                <w:szCs w:val="22"/>
              </w:rPr>
            </w:pPr>
            <w:r w:rsidRPr="007D5296">
              <w:rPr>
                <w:szCs w:val="22"/>
              </w:rPr>
              <w:t>AC4115321</w:t>
            </w:r>
          </w:p>
        </w:tc>
        <w:tc>
          <w:tcPr>
            <w:tcW w:w="1541"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Dose ranging and dosing interval</w:t>
            </w:r>
          </w:p>
        </w:tc>
        <w:tc>
          <w:tcPr>
            <w:tcW w:w="2268"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R, DB, XO, PC Incomplete block</w:t>
            </w:r>
            <w:r w:rsidR="007D5296">
              <w:rPr>
                <w:szCs w:val="22"/>
              </w:rPr>
              <w:t xml:space="preserve"> </w:t>
            </w:r>
            <w:r w:rsidRPr="007D5296">
              <w:rPr>
                <w:szCs w:val="22"/>
              </w:rPr>
              <w:t>3 periods per subject, 7 days per period</w:t>
            </w:r>
          </w:p>
        </w:tc>
        <w:tc>
          <w:tcPr>
            <w:tcW w:w="2126"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15.6 QD</w:t>
            </w:r>
            <w:r w:rsidR="007D5296">
              <w:rPr>
                <w:szCs w:val="22"/>
              </w:rPr>
              <w:t xml:space="preserve"> </w:t>
            </w:r>
            <w:r w:rsidRPr="007D5296">
              <w:rPr>
                <w:szCs w:val="22"/>
              </w:rPr>
              <w:t>UMEC 31.25 QD</w:t>
            </w:r>
            <w:r w:rsidR="007D5296">
              <w:rPr>
                <w:szCs w:val="22"/>
              </w:rPr>
              <w:t xml:space="preserve"> </w:t>
            </w:r>
            <w:r w:rsidRPr="007D5296">
              <w:rPr>
                <w:szCs w:val="22"/>
              </w:rPr>
              <w:t>UMEC 62.5 QD</w:t>
            </w:r>
            <w:r w:rsidR="007D5296">
              <w:rPr>
                <w:szCs w:val="22"/>
              </w:rPr>
              <w:t xml:space="preserve"> </w:t>
            </w:r>
            <w:r w:rsidRPr="007D5296">
              <w:rPr>
                <w:szCs w:val="22"/>
              </w:rPr>
              <w:t>UMEC 125 QD</w:t>
            </w:r>
            <w:r w:rsidR="007D5296">
              <w:rPr>
                <w:szCs w:val="22"/>
              </w:rPr>
              <w:t xml:space="preserve"> </w:t>
            </w:r>
            <w:r w:rsidRPr="007D5296">
              <w:rPr>
                <w:szCs w:val="22"/>
              </w:rPr>
              <w:t>TIO 18 OL QD</w:t>
            </w:r>
            <w:r w:rsidR="007D5296">
              <w:rPr>
                <w:szCs w:val="22"/>
              </w:rPr>
              <w:t xml:space="preserve"> </w:t>
            </w:r>
            <w:r w:rsidRPr="007D5296">
              <w:rPr>
                <w:szCs w:val="22"/>
              </w:rPr>
              <w:t>PLA QD</w:t>
            </w:r>
            <w:r w:rsidR="007D5296">
              <w:rPr>
                <w:szCs w:val="22"/>
              </w:rPr>
              <w:t xml:space="preserve"> </w:t>
            </w:r>
            <w:r w:rsidR="007D5296">
              <w:rPr>
                <w:szCs w:val="22"/>
              </w:rPr>
              <w:br/>
            </w:r>
            <w:r w:rsidRPr="007D5296">
              <w:rPr>
                <w:szCs w:val="22"/>
              </w:rPr>
              <w:t>UMEC 15.6 BD</w:t>
            </w:r>
            <w:r w:rsidR="007D5296">
              <w:rPr>
                <w:szCs w:val="22"/>
              </w:rPr>
              <w:t xml:space="preserve"> </w:t>
            </w:r>
            <w:r w:rsidRPr="007D5296">
              <w:rPr>
                <w:szCs w:val="22"/>
              </w:rPr>
              <w:t>UMEC 31.25 BD</w:t>
            </w:r>
            <w:r w:rsidR="007D5296">
              <w:rPr>
                <w:szCs w:val="22"/>
              </w:rPr>
              <w:t xml:space="preserve"> </w:t>
            </w:r>
            <w:r w:rsidRPr="007D5296">
              <w:rPr>
                <w:szCs w:val="22"/>
              </w:rPr>
              <w:t>PLA BD</w:t>
            </w:r>
          </w:p>
        </w:tc>
      </w:tr>
      <w:tr w:rsidR="00B13321" w:rsidTr="007D5296">
        <w:tc>
          <w:tcPr>
            <w:cnfStyle w:val="001000000000" w:firstRow="0" w:lastRow="0" w:firstColumn="1" w:lastColumn="0" w:oddVBand="0" w:evenVBand="0" w:oddHBand="0" w:evenHBand="0" w:firstRowFirstColumn="0" w:firstRowLastColumn="0" w:lastRowFirstColumn="0" w:lastRowLastColumn="0"/>
            <w:tcW w:w="1686" w:type="dxa"/>
          </w:tcPr>
          <w:p w:rsidR="00B13321" w:rsidRPr="007D5296" w:rsidRDefault="00B13321" w:rsidP="007D5296">
            <w:pPr>
              <w:rPr>
                <w:szCs w:val="22"/>
              </w:rPr>
            </w:pPr>
            <w:r w:rsidRPr="007D5296">
              <w:rPr>
                <w:szCs w:val="22"/>
              </w:rPr>
              <w:t>AC4115408</w:t>
            </w:r>
          </w:p>
        </w:tc>
        <w:tc>
          <w:tcPr>
            <w:tcW w:w="1541"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Efficacy &amp; Safety</w:t>
            </w:r>
          </w:p>
        </w:tc>
        <w:tc>
          <w:tcPr>
            <w:tcW w:w="2268"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R, DB, PG, PC</w:t>
            </w:r>
            <w:r w:rsidR="007D5296">
              <w:rPr>
                <w:szCs w:val="22"/>
              </w:rPr>
              <w:t xml:space="preserve"> </w:t>
            </w:r>
            <w:r w:rsidR="007D5296">
              <w:rPr>
                <w:szCs w:val="22"/>
              </w:rPr>
              <w:br/>
            </w:r>
            <w:r w:rsidRPr="007D5296">
              <w:rPr>
                <w:szCs w:val="22"/>
              </w:rPr>
              <w:t>12 weeks</w:t>
            </w:r>
          </w:p>
        </w:tc>
        <w:tc>
          <w:tcPr>
            <w:tcW w:w="2126"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UMEC 125 QD</w:t>
            </w:r>
            <w:r w:rsidR="007D5296">
              <w:rPr>
                <w:szCs w:val="22"/>
              </w:rPr>
              <w:t xml:space="preserve"> </w:t>
            </w:r>
            <w:r w:rsidRPr="007D5296">
              <w:rPr>
                <w:szCs w:val="22"/>
              </w:rPr>
              <w:t>UMEC 62.5 QD</w:t>
            </w:r>
            <w:r w:rsidR="007D5296">
              <w:rPr>
                <w:szCs w:val="22"/>
              </w:rPr>
              <w:t xml:space="preserve"> </w:t>
            </w:r>
            <w:r w:rsidRPr="007D5296">
              <w:rPr>
                <w:szCs w:val="22"/>
              </w:rPr>
              <w:t>PLA QD</w:t>
            </w:r>
          </w:p>
        </w:tc>
      </w:tr>
      <w:tr w:rsidR="00B13321" w:rsidTr="007D5296">
        <w:tc>
          <w:tcPr>
            <w:cnfStyle w:val="001000000000" w:firstRow="0" w:lastRow="0" w:firstColumn="1" w:lastColumn="0" w:oddVBand="0" w:evenVBand="0" w:oddHBand="0" w:evenHBand="0" w:firstRowFirstColumn="0" w:firstRowLastColumn="0" w:lastRowFirstColumn="0" w:lastRowLastColumn="0"/>
            <w:tcW w:w="7621" w:type="dxa"/>
            <w:gridSpan w:val="4"/>
          </w:tcPr>
          <w:p w:rsidR="00B13321" w:rsidRPr="007D5296" w:rsidRDefault="00B13321" w:rsidP="007D5296">
            <w:pPr>
              <w:rPr>
                <w:szCs w:val="22"/>
              </w:rPr>
            </w:pPr>
            <w:r w:rsidRPr="007D5296">
              <w:rPr>
                <w:szCs w:val="22"/>
              </w:rPr>
              <w:t>VI dose selection</w:t>
            </w:r>
          </w:p>
        </w:tc>
      </w:tr>
      <w:tr w:rsidR="00B13321" w:rsidTr="007D5296">
        <w:tc>
          <w:tcPr>
            <w:cnfStyle w:val="001000000000" w:firstRow="0" w:lastRow="0" w:firstColumn="1" w:lastColumn="0" w:oddVBand="0" w:evenVBand="0" w:oddHBand="0" w:evenHBand="0" w:firstRowFirstColumn="0" w:firstRowLastColumn="0" w:lastRowFirstColumn="0" w:lastRowLastColumn="0"/>
            <w:tcW w:w="1686" w:type="dxa"/>
          </w:tcPr>
          <w:p w:rsidR="00B13321" w:rsidRPr="007D5296" w:rsidRDefault="00B13321" w:rsidP="007D5296">
            <w:pPr>
              <w:rPr>
                <w:szCs w:val="22"/>
              </w:rPr>
            </w:pPr>
            <w:r w:rsidRPr="007D5296">
              <w:rPr>
                <w:szCs w:val="22"/>
              </w:rPr>
              <w:t>B2C111045</w:t>
            </w:r>
          </w:p>
        </w:tc>
        <w:tc>
          <w:tcPr>
            <w:tcW w:w="1541"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Dose ranging</w:t>
            </w:r>
          </w:p>
        </w:tc>
        <w:tc>
          <w:tcPr>
            <w:tcW w:w="2268"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R, DB, PG, PC Stratified</w:t>
            </w:r>
            <w:r w:rsidRPr="007D5296">
              <w:rPr>
                <w:szCs w:val="22"/>
                <w:vertAlign w:val="superscript"/>
              </w:rPr>
              <w:t xml:space="preserve"> a</w:t>
            </w:r>
            <w:r w:rsidR="007D5296">
              <w:rPr>
                <w:szCs w:val="22"/>
                <w:vertAlign w:val="superscript"/>
              </w:rPr>
              <w:t xml:space="preserve"> </w:t>
            </w:r>
            <w:r w:rsidR="007D5296">
              <w:rPr>
                <w:szCs w:val="22"/>
                <w:vertAlign w:val="superscript"/>
              </w:rPr>
              <w:br/>
            </w:r>
            <w:r w:rsidRPr="007D5296">
              <w:rPr>
                <w:szCs w:val="22"/>
              </w:rPr>
              <w:t>28 days</w:t>
            </w:r>
          </w:p>
        </w:tc>
        <w:tc>
          <w:tcPr>
            <w:tcW w:w="2126" w:type="dxa"/>
          </w:tcPr>
          <w:p w:rsidR="00B13321" w:rsidRPr="007D5296" w:rsidRDefault="00B13321" w:rsidP="007D5296">
            <w:pPr>
              <w:cnfStyle w:val="000000000000" w:firstRow="0" w:lastRow="0" w:firstColumn="0" w:lastColumn="0" w:oddVBand="0" w:evenVBand="0" w:oddHBand="0" w:evenHBand="0" w:firstRowFirstColumn="0" w:firstRowLastColumn="0" w:lastRowFirstColumn="0" w:lastRowLastColumn="0"/>
              <w:rPr>
                <w:szCs w:val="22"/>
              </w:rPr>
            </w:pPr>
            <w:r w:rsidRPr="007D5296">
              <w:rPr>
                <w:szCs w:val="22"/>
              </w:rPr>
              <w:t>VI 3 QD</w:t>
            </w:r>
            <w:r w:rsidR="007D5296">
              <w:rPr>
                <w:szCs w:val="22"/>
              </w:rPr>
              <w:t xml:space="preserve"> </w:t>
            </w:r>
            <w:r w:rsidR="007D5296">
              <w:rPr>
                <w:szCs w:val="22"/>
              </w:rPr>
              <w:br/>
            </w:r>
            <w:r w:rsidRPr="007D5296">
              <w:rPr>
                <w:szCs w:val="22"/>
              </w:rPr>
              <w:t>VI 6.25 QD</w:t>
            </w:r>
            <w:r w:rsidR="007D5296">
              <w:rPr>
                <w:szCs w:val="22"/>
              </w:rPr>
              <w:t xml:space="preserve"> </w:t>
            </w:r>
            <w:r w:rsidR="007D5296">
              <w:rPr>
                <w:szCs w:val="22"/>
              </w:rPr>
              <w:br/>
            </w:r>
            <w:r w:rsidRPr="007D5296">
              <w:rPr>
                <w:szCs w:val="22"/>
              </w:rPr>
              <w:t>VI 12.5 QD</w:t>
            </w:r>
            <w:r w:rsidR="007D5296">
              <w:rPr>
                <w:szCs w:val="22"/>
              </w:rPr>
              <w:t xml:space="preserve"> </w:t>
            </w:r>
            <w:r w:rsidR="007D5296">
              <w:rPr>
                <w:szCs w:val="22"/>
              </w:rPr>
              <w:br/>
            </w:r>
            <w:r w:rsidRPr="007D5296">
              <w:rPr>
                <w:szCs w:val="22"/>
              </w:rPr>
              <w:t>VI 25 QD</w:t>
            </w:r>
            <w:r w:rsidR="007D5296">
              <w:rPr>
                <w:szCs w:val="22"/>
              </w:rPr>
              <w:t xml:space="preserve"> </w:t>
            </w:r>
            <w:r w:rsidR="007D5296">
              <w:rPr>
                <w:szCs w:val="22"/>
              </w:rPr>
              <w:br/>
            </w:r>
            <w:r w:rsidRPr="007D5296">
              <w:rPr>
                <w:szCs w:val="22"/>
              </w:rPr>
              <w:t>VI 50 QD</w:t>
            </w:r>
            <w:r w:rsidR="007D5296">
              <w:rPr>
                <w:szCs w:val="22"/>
              </w:rPr>
              <w:t xml:space="preserve"> </w:t>
            </w:r>
            <w:r w:rsidR="007D5296">
              <w:rPr>
                <w:szCs w:val="22"/>
              </w:rPr>
              <w:br/>
            </w:r>
            <w:r w:rsidRPr="007D5296">
              <w:rPr>
                <w:szCs w:val="22"/>
              </w:rPr>
              <w:t>PLA QD</w:t>
            </w:r>
          </w:p>
        </w:tc>
      </w:tr>
    </w:tbl>
    <w:p w:rsidR="00B13321" w:rsidRDefault="00B13321" w:rsidP="00A96EA3">
      <w:pPr>
        <w:pStyle w:val="TableDescription"/>
      </w:pPr>
      <w:r>
        <w:t>Abbreviations DB double-blind, OL open-label, PC placebo-controlled, PG parallel-group, PLA placebo, r randomized, XO cross over.</w:t>
      </w:r>
    </w:p>
    <w:p w:rsidR="00B13321" w:rsidRPr="008D2427" w:rsidRDefault="00B13321" w:rsidP="00A96EA3">
      <w:pPr>
        <w:pStyle w:val="TableDescription"/>
        <w:numPr>
          <w:ilvl w:val="0"/>
          <w:numId w:val="42"/>
        </w:numPr>
      </w:pPr>
      <w:proofErr w:type="gramStart"/>
      <w:r>
        <w:t>Subjects</w:t>
      </w:r>
      <w:proofErr w:type="gramEnd"/>
      <w:r>
        <w:t xml:space="preserve"> reversibility to salbutamol was used to stratify the randomisation.</w:t>
      </w:r>
    </w:p>
    <w:p w:rsidR="00B13321" w:rsidRPr="008D2427" w:rsidRDefault="00B13321" w:rsidP="00C34F83">
      <w:r w:rsidRPr="008D2427">
        <w:lastRenderedPageBreak/>
        <w:t xml:space="preserve">Study AC4113073 was a </w:t>
      </w:r>
      <w:r>
        <w:t xml:space="preserve">multicentre, randomised, double-blind, double-dummy, </w:t>
      </w:r>
      <w:r w:rsidRPr="007E1106">
        <w:t>placebo</w:t>
      </w:r>
      <w:r>
        <w:t>-controlled, three-way cross-</w:t>
      </w:r>
      <w:r w:rsidRPr="008D2427">
        <w:t xml:space="preserve">over, incomplete </w:t>
      </w:r>
      <w:r>
        <w:t>block study evaluating the dose-</w:t>
      </w:r>
      <w:r w:rsidRPr="008D2427">
        <w:t>response, sa</w:t>
      </w:r>
      <w:r>
        <w:t xml:space="preserve">fety, and efficacy of five </w:t>
      </w:r>
      <w:r w:rsidRPr="007E1106">
        <w:t>once-daily</w:t>
      </w:r>
      <w:r w:rsidRPr="008D2427">
        <w:t xml:space="preserve"> doses of UMEC (62.5, 125, 250, 500, and 1000 </w:t>
      </w:r>
      <w:r>
        <w:t>µ</w:t>
      </w:r>
      <w:r w:rsidRPr="008D2427">
        <w:t>g)</w:t>
      </w:r>
      <w:r w:rsidRPr="003C69CF">
        <w:rPr>
          <w:vertAlign w:val="superscript"/>
        </w:rPr>
        <w:footnoteReference w:id="3"/>
      </w:r>
      <w:r>
        <w:t>, three twice-</w:t>
      </w:r>
      <w:r w:rsidRPr="008D2427">
        <w:t>daily doses of UMEC (62.5, 125, and 250</w:t>
      </w:r>
      <w:r>
        <w:t xml:space="preserve"> µg), and </w:t>
      </w:r>
      <w:proofErr w:type="spellStart"/>
      <w:r>
        <w:t>tiotropium</w:t>
      </w:r>
      <w:proofErr w:type="spellEnd"/>
      <w:r>
        <w:t xml:space="preserve"> 18 µg </w:t>
      </w:r>
      <w:r w:rsidRPr="007E1106">
        <w:t>once-daily</w:t>
      </w:r>
      <w:r>
        <w:t xml:space="preserve"> (open-</w:t>
      </w:r>
      <w:r w:rsidRPr="008D2427">
        <w:t xml:space="preserve">label active control) compared with </w:t>
      </w:r>
      <w:r w:rsidRPr="007E1106">
        <w:t>placebo</w:t>
      </w:r>
      <w:r w:rsidRPr="008D2427">
        <w:t xml:space="preserve"> in subjects with COPD. The primary endpoint was change from b</w:t>
      </w:r>
      <w:r>
        <w:t xml:space="preserve">aseline in morning trough </w:t>
      </w:r>
      <w:r w:rsidRPr="007E1106">
        <w:t>forced expiratory volume in 1 second (FEV</w:t>
      </w:r>
      <w:r w:rsidRPr="007E1106">
        <w:rPr>
          <w:vertAlign w:val="subscript"/>
        </w:rPr>
        <w:t>1</w:t>
      </w:r>
      <w:r w:rsidRPr="007E1106">
        <w:t>)</w:t>
      </w:r>
      <w:r>
        <w:t xml:space="preserve"> </w:t>
      </w:r>
      <w:r w:rsidRPr="008D2427">
        <w:t>at the end of each treatment period (Day 15</w:t>
      </w:r>
      <w:r>
        <w:t xml:space="preserve">). Results showed that all </w:t>
      </w:r>
      <w:r w:rsidRPr="007E1106">
        <w:t>once-daily</w:t>
      </w:r>
      <w:r w:rsidRPr="008D2427">
        <w:t xml:space="preserve"> doses of UMEC had statistically significant improvements in the primary efficacy endpoint of change from baseline in morning trough FEV1 at Day 15 compared with </w:t>
      </w:r>
      <w:r w:rsidRPr="007E1106">
        <w:t>placebo</w:t>
      </w:r>
      <w:r w:rsidRPr="008D2427">
        <w:t xml:space="preserve"> (difference over </w:t>
      </w:r>
      <w:r w:rsidRPr="007E1106">
        <w:t>placebo</w:t>
      </w:r>
      <w:r w:rsidRPr="008D2427">
        <w:t xml:space="preserve"> of 128, 147, 95, 140, and 186 mL for UMEC 62.5, </w:t>
      </w:r>
      <w:r>
        <w:t xml:space="preserve">125, 250, 500, and 1000 µg </w:t>
      </w:r>
      <w:r w:rsidRPr="007E1106">
        <w:t>once-daily</w:t>
      </w:r>
      <w:r w:rsidRPr="008D2427">
        <w:t>, respectively; p</w:t>
      </w:r>
      <w:r>
        <w:t xml:space="preserve"> ≤ 0.006)</w:t>
      </w:r>
      <w:r w:rsidRPr="008D2427">
        <w:t>. However, there was no cle</w:t>
      </w:r>
      <w:r>
        <w:t>ar linear dose-</w:t>
      </w:r>
      <w:r w:rsidRPr="008D2427">
        <w:t>respon</w:t>
      </w:r>
      <w:r>
        <w:t xml:space="preserve">se relationship across the </w:t>
      </w:r>
      <w:r w:rsidRPr="007E1106">
        <w:t>once-daily</w:t>
      </w:r>
      <w:r w:rsidRPr="008D2427">
        <w:t xml:space="preserve"> doses tested. Comparisons of the same tot</w:t>
      </w:r>
      <w:r>
        <w:t>al daily dose administered once- or twice-</w:t>
      </w:r>
      <w:r w:rsidRPr="008D2427">
        <w:t xml:space="preserve">daily did not show a clear pattern of greater benefit for either dosing regimen. In addition, evaluation of the serial FEV1 response curves over 28 hours </w:t>
      </w:r>
      <w:proofErr w:type="spellStart"/>
      <w:r w:rsidRPr="008D2427">
        <w:t>at</w:t>
      </w:r>
      <w:proofErr w:type="spellEnd"/>
      <w:r w:rsidRPr="008D2427">
        <w:t xml:space="preserve"> Day 14 did not sho</w:t>
      </w:r>
      <w:r>
        <w:t>w a clear indication that twice-</w:t>
      </w:r>
      <w:r w:rsidRPr="008D2427">
        <w:t>daily dosing of UMEC provided additional benefit in br</w:t>
      </w:r>
      <w:r>
        <w:t>onchodilator response over once-daily</w:t>
      </w:r>
      <w:r w:rsidRPr="008D2427">
        <w:t xml:space="preserve"> dosing</w:t>
      </w:r>
      <w:r>
        <w:t xml:space="preserve">. </w:t>
      </w:r>
      <w:r w:rsidRPr="008D2427">
        <w:t>Analyses of the ratios of evening (12 to 24 hours) to morning (0 to 12 hours) weighted mean FEV1 v</w:t>
      </w:r>
      <w:r>
        <w:t xml:space="preserve">alues were supportive of a </w:t>
      </w:r>
      <w:r w:rsidRPr="007E1106">
        <w:t>once-daily</w:t>
      </w:r>
      <w:r w:rsidRPr="008D2427">
        <w:t xml:space="preserve"> dosing interval, with t</w:t>
      </w:r>
      <w:r>
        <w:t xml:space="preserve">he exception of the 250 µg </w:t>
      </w:r>
      <w:r w:rsidRPr="007E1106">
        <w:t>once-daily</w:t>
      </w:r>
      <w:r>
        <w:t xml:space="preserve"> dose (ratio of FEV1 (12 - 24hours) versus FEV1 (0 - 12hours)</w:t>
      </w:r>
      <w:r w:rsidRPr="008D2427">
        <w:t xml:space="preserve"> of 0.751, compared to </w:t>
      </w:r>
      <w:r>
        <w:t>ratio of 1.125 for 125 µg twice-</w:t>
      </w:r>
      <w:r w:rsidRPr="008D2427">
        <w:t xml:space="preserve">daily dose). Safety results showed that the incidence </w:t>
      </w:r>
      <w:r>
        <w:t xml:space="preserve">of AEs at doses of 62.5 µg </w:t>
      </w:r>
      <w:r w:rsidRPr="007E1106">
        <w:t>once-daily</w:t>
      </w:r>
      <w:r>
        <w:t xml:space="preserve">, 125 µg </w:t>
      </w:r>
      <w:r w:rsidRPr="007E1106">
        <w:t>once-daily</w:t>
      </w:r>
      <w:r>
        <w:t>, 62.5 µg twice-daily, and 125 µg twice-</w:t>
      </w:r>
      <w:r w:rsidRPr="008D2427">
        <w:t xml:space="preserve">daily (18% to 23%) was similar to that of </w:t>
      </w:r>
      <w:r w:rsidRPr="007E1106">
        <w:t>placebo</w:t>
      </w:r>
      <w:r w:rsidRPr="008D2427">
        <w:t xml:space="preserve"> (16%) and </w:t>
      </w:r>
      <w:proofErr w:type="spellStart"/>
      <w:r w:rsidRPr="008D2427">
        <w:t>tiotropium</w:t>
      </w:r>
      <w:proofErr w:type="spellEnd"/>
      <w:r w:rsidRPr="008D2427">
        <w:t xml:space="preserve"> (17%), but was higher at</w:t>
      </w:r>
      <w:r>
        <w:t xml:space="preserve"> the 250, 500, and 1000 µg </w:t>
      </w:r>
      <w:r w:rsidRPr="00E95887">
        <w:t>once-daily</w:t>
      </w:r>
      <w:r>
        <w:t xml:space="preserve"> and 250 µg twice-</w:t>
      </w:r>
      <w:r w:rsidRPr="008D2427">
        <w:t>daily doses (30% to 41%), mainly due to an increased incidence of cough, dry mouth, and dysgeusia.</w:t>
      </w:r>
    </w:p>
    <w:p w:rsidR="00B13321" w:rsidRPr="008D2427" w:rsidRDefault="00B13321" w:rsidP="007D5296">
      <w:r w:rsidRPr="008D2427">
        <w:t xml:space="preserve">Study AC4113589 was a </w:t>
      </w:r>
      <w:r>
        <w:t xml:space="preserve">multicentre, randomised, double-blind, parallel-group, </w:t>
      </w:r>
      <w:r w:rsidRPr="00E95887">
        <w:t>placebo</w:t>
      </w:r>
      <w:r>
        <w:t>-</w:t>
      </w:r>
      <w:r w:rsidRPr="008D2427">
        <w:t xml:space="preserve">controlled, study evaluating the efficacy and safety of three doses of </w:t>
      </w:r>
      <w:r>
        <w:t xml:space="preserve">UMEC (125, 250, and 500 µg </w:t>
      </w:r>
      <w:r w:rsidRPr="00E95887">
        <w:t>once-daily</w:t>
      </w:r>
      <w:r w:rsidRPr="008D2427">
        <w:t xml:space="preserve">, over 28 days) compared with </w:t>
      </w:r>
      <w:r>
        <w:t>PLA</w:t>
      </w:r>
      <w:r w:rsidRPr="008D2427">
        <w:t xml:space="preserve"> in subjects with COPD. The primary endpoint was change from baseline in trough FEV1 at Day 29. Results showed that there were statistically significant improvements in the primary efficacy endpoint of trough FEV1 at Day 29 for all doses of UMEC compared with </w:t>
      </w:r>
      <w:r w:rsidRPr="00E95887">
        <w:t>placebo</w:t>
      </w:r>
      <w:r w:rsidRPr="008D2427">
        <w:t xml:space="preserve"> (difference over </w:t>
      </w:r>
      <w:r w:rsidRPr="00E95887">
        <w:t>placebo</w:t>
      </w:r>
      <w:r w:rsidRPr="008D2427">
        <w:t xml:space="preserve"> of 159, 168, and 150 mL for</w:t>
      </w:r>
      <w:r>
        <w:t xml:space="preserve"> UMEC 125, 250, and 500 µg </w:t>
      </w:r>
      <w:r w:rsidRPr="00E95887">
        <w:t>once-daily</w:t>
      </w:r>
      <w:r w:rsidRPr="008D2427">
        <w:t>, respectively, p</w:t>
      </w:r>
      <w:r>
        <w:t xml:space="preserve"> &lt; </w:t>
      </w:r>
      <w:r w:rsidRPr="008D2427">
        <w:t>0.001). However,</w:t>
      </w:r>
      <w:r>
        <w:t xml:space="preserve"> there was no clear linear dose-</w:t>
      </w:r>
      <w:r w:rsidRPr="008D2427">
        <w:t>respon</w:t>
      </w:r>
      <w:r>
        <w:t xml:space="preserve">se relationship across the </w:t>
      </w:r>
      <w:r w:rsidRPr="008E6E8E">
        <w:t>once-daily</w:t>
      </w:r>
      <w:r w:rsidRPr="008D2427">
        <w:t xml:space="preserve"> doses tested. Safety results showed that the overall incidence of AEs was higher with the 500 </w:t>
      </w:r>
      <w:r>
        <w:t>µ</w:t>
      </w:r>
      <w:r w:rsidRPr="008D2427">
        <w:t>g dose (34%) compared with lower UMEC doses (24 to 25%) a</w:t>
      </w:r>
      <w:r>
        <w:t xml:space="preserve">nd </w:t>
      </w:r>
      <w:r w:rsidRPr="008E6E8E">
        <w:t xml:space="preserve">placebo </w:t>
      </w:r>
      <w:r>
        <w:t>(23%)</w:t>
      </w:r>
      <w:r w:rsidRPr="008D2427">
        <w:t>. This was primarily related to an increased incidence of cough and headache.</w:t>
      </w:r>
    </w:p>
    <w:p w:rsidR="00B13321" w:rsidRPr="008D2427" w:rsidRDefault="00B13321" w:rsidP="007D5296">
      <w:r w:rsidRPr="008D2427">
        <w:t xml:space="preserve">According to the sponsor the efficacy and safety results from studies AC4113073 and AC4113589 indicated that the 62.5 and 125 </w:t>
      </w:r>
      <w:r>
        <w:t xml:space="preserve">µg </w:t>
      </w:r>
      <w:r w:rsidRPr="008E6E8E">
        <w:t>once-daily</w:t>
      </w:r>
      <w:r w:rsidRPr="008D2427">
        <w:t xml:space="preserve"> doses of UMEC were the most appropriate doses for further clinical development. The selection of one single dose of UMEC for Phase III clinical development was not apparent due to a lack of clear separation in FEV1 response between the two doses, and hence, both 62.5 </w:t>
      </w:r>
      <w:r>
        <w:t>µ</w:t>
      </w:r>
      <w:r w:rsidRPr="008D2427">
        <w:t xml:space="preserve">g and 125 </w:t>
      </w:r>
      <w:r>
        <w:t xml:space="preserve">µg </w:t>
      </w:r>
      <w:r w:rsidRPr="008E6E8E">
        <w:t>once-daily</w:t>
      </w:r>
      <w:r w:rsidRPr="008D2427">
        <w:t xml:space="preserve"> doses of UMEC were evaluated (as monotherapy and as a component of UME</w:t>
      </w:r>
      <w:r>
        <w:t>C/VI) in the Phase III studies.</w:t>
      </w:r>
    </w:p>
    <w:p w:rsidR="00B13321" w:rsidRDefault="00B13321" w:rsidP="000C5307">
      <w:r w:rsidRPr="008D2427">
        <w:lastRenderedPageBreak/>
        <w:t>Results of studies AC4115321 and AC4115408 were generally supportive of the dose selection of UMEC for the pivotal Phase III studies. Study AC4115321 was a multicentre, randomised, doub</w:t>
      </w:r>
      <w:r>
        <w:t xml:space="preserve">le-blind, </w:t>
      </w:r>
      <w:r w:rsidRPr="008E6E8E">
        <w:t>placebo</w:t>
      </w:r>
      <w:r>
        <w:t>-controlled, 3 way cross-</w:t>
      </w:r>
      <w:r w:rsidRPr="008D2427">
        <w:t>over, incomplete block study evaluat</w:t>
      </w:r>
      <w:r>
        <w:t xml:space="preserve">ing the dose response of 4 </w:t>
      </w:r>
      <w:r w:rsidRPr="008E6E8E">
        <w:t>once-daily</w:t>
      </w:r>
      <w:r w:rsidRPr="008D2427">
        <w:t xml:space="preserve"> dose regimens of UMEC (15.6, 31.25, 62.5 and 125 </w:t>
      </w:r>
      <w:r>
        <w:t>µg ) over a 7-</w:t>
      </w:r>
      <w:r w:rsidRPr="008D2427">
        <w:t xml:space="preserve">day treatment period in patients with COPD. The secondary objective was to explore the efficacy and safety of these 4 </w:t>
      </w:r>
      <w:r w:rsidRPr="008E6E8E">
        <w:t>once-daily</w:t>
      </w:r>
      <w:r>
        <w:t xml:space="preserve"> dose regimens of UMEC </w:t>
      </w:r>
      <w:r w:rsidRPr="008D2427">
        <w:t xml:space="preserve">and 2 </w:t>
      </w:r>
      <w:r>
        <w:t>twice-daily</w:t>
      </w:r>
      <w:r w:rsidRPr="008D2427">
        <w:t xml:space="preserve"> regimens of UMEC (15.6 and 31.25 </w:t>
      </w:r>
      <w:r>
        <w:t>µ</w:t>
      </w:r>
      <w:r w:rsidRPr="008D2427">
        <w:t xml:space="preserve">g) compared with </w:t>
      </w:r>
      <w:proofErr w:type="spellStart"/>
      <w:r w:rsidRPr="008D2427">
        <w:t>tiotropium</w:t>
      </w:r>
      <w:proofErr w:type="spellEnd"/>
      <w:r w:rsidRPr="008D2427">
        <w:t xml:space="preserve"> 18 </w:t>
      </w:r>
      <w:r>
        <w:t>µ</w:t>
      </w:r>
      <w:r w:rsidRPr="008D2427">
        <w:t xml:space="preserve">g </w:t>
      </w:r>
      <w:r w:rsidRPr="008E6E8E">
        <w:t>once-daily</w:t>
      </w:r>
      <w:r w:rsidRPr="008D2427">
        <w:t xml:space="preserve"> (open label active c</w:t>
      </w:r>
      <w:r>
        <w:t xml:space="preserve">omparator) and </w:t>
      </w:r>
      <w:r w:rsidRPr="008E6E8E">
        <w:t>placebo</w:t>
      </w:r>
      <w:r>
        <w:t xml:space="preserve"> over a 7-</w:t>
      </w:r>
      <w:r w:rsidRPr="008D2427">
        <w:t xml:space="preserve">day treatment period in patients with COPD. The primary efficacy endpoint was trough FEV1 on Day 8. Results showed that the </w:t>
      </w:r>
      <w:r w:rsidRPr="008E6E8E">
        <w:t xml:space="preserve">potency </w:t>
      </w:r>
      <w:r>
        <w:t>(ED50) estimate of UMEC was 37 µg</w:t>
      </w:r>
      <w:r w:rsidRPr="008D2427">
        <w:t xml:space="preserve"> (geometric mean ED50 of 37 </w:t>
      </w:r>
      <w:r>
        <w:t xml:space="preserve">µg; 95% </w:t>
      </w:r>
      <w:r w:rsidRPr="008E6E8E">
        <w:t>% confidence interval [CI]</w:t>
      </w:r>
      <w:r>
        <w:t xml:space="preserve">: 18, 57) after </w:t>
      </w:r>
      <w:r w:rsidRPr="008E6E8E">
        <w:t>once-daily</w:t>
      </w:r>
      <w:r w:rsidRPr="008D2427">
        <w:t xml:space="preserve"> dosing. </w:t>
      </w:r>
      <w:r>
        <w:t xml:space="preserve">The </w:t>
      </w:r>
      <w:r w:rsidRPr="008E6E8E">
        <w:t>maximum predicted response (</w:t>
      </w:r>
      <w:proofErr w:type="spellStart"/>
      <w:r w:rsidRPr="008E6E8E">
        <w:t>Emax</w:t>
      </w:r>
      <w:proofErr w:type="spellEnd"/>
      <w:r w:rsidRPr="008E6E8E">
        <w:t xml:space="preserve">) value </w:t>
      </w:r>
      <w:r w:rsidRPr="008D2427">
        <w:t>was 0.185 L (9</w:t>
      </w:r>
      <w:r>
        <w:t>5% CI: 0.154, 0.216) after once-daily</w:t>
      </w:r>
      <w:r w:rsidRPr="008D2427">
        <w:t xml:space="preserve"> dosing. There were statistically significant increases from baseline in tr</w:t>
      </w:r>
      <w:r>
        <w:t xml:space="preserve">ough FEV1 on Day 8 for all </w:t>
      </w:r>
      <w:r w:rsidRPr="009B53C8">
        <w:t>once-daily</w:t>
      </w:r>
      <w:r>
        <w:t xml:space="preserve"> and twice-</w:t>
      </w:r>
      <w:r w:rsidRPr="008D2427">
        <w:t xml:space="preserve">daily UMEC doses compared with </w:t>
      </w:r>
      <w:r w:rsidRPr="009B53C8">
        <w:t>placebo</w:t>
      </w:r>
      <w:r w:rsidRPr="008D2427">
        <w:t xml:space="preserve"> (differences over </w:t>
      </w:r>
      <w:r w:rsidRPr="009B53C8">
        <w:t>placebo</w:t>
      </w:r>
      <w:r w:rsidRPr="008D2427">
        <w:t xml:space="preserve"> of 101 to 183 mL; p</w:t>
      </w:r>
      <w:r>
        <w:t xml:space="preserve"> &lt; </w:t>
      </w:r>
      <w:r w:rsidRPr="008D2427">
        <w:t>0.001)</w:t>
      </w:r>
      <w:r>
        <w:t xml:space="preserve">. Comparison of the </w:t>
      </w:r>
      <w:r w:rsidRPr="009B53C8">
        <w:t>once-daily</w:t>
      </w:r>
      <w:r>
        <w:t xml:space="preserve"> and twice-</w:t>
      </w:r>
      <w:r w:rsidRPr="008D2427">
        <w:t xml:space="preserve">daily dosing regimens showed that mean changes from baseline for trough FEV1 on Day 8 were slightly greater with 31.25 </w:t>
      </w:r>
      <w:r>
        <w:t xml:space="preserve">µg twice </w:t>
      </w:r>
      <w:r w:rsidRPr="008D2427">
        <w:t xml:space="preserve">daily regimen compared with 62.5 </w:t>
      </w:r>
      <w:r>
        <w:t xml:space="preserve">µg </w:t>
      </w:r>
      <w:r w:rsidRPr="009B53C8">
        <w:t>once-daily</w:t>
      </w:r>
      <w:r w:rsidRPr="008D2427">
        <w:t xml:space="preserve"> regimen (difference over </w:t>
      </w:r>
      <w:r w:rsidRPr="009B53C8">
        <w:t>placebo</w:t>
      </w:r>
      <w:r w:rsidRPr="008D2427">
        <w:t xml:space="preserve"> of 139 mL </w:t>
      </w:r>
      <w:r>
        <w:t>vs</w:t>
      </w:r>
      <w:r w:rsidRPr="008D2427">
        <w:t xml:space="preserve">. 124 mL), and slightly greater with 15.6 </w:t>
      </w:r>
      <w:r>
        <w:t>µg twice-</w:t>
      </w:r>
      <w:r w:rsidRPr="008D2427">
        <w:t xml:space="preserve">daily regimen compared with 31.25 </w:t>
      </w:r>
      <w:r>
        <w:t xml:space="preserve">µg </w:t>
      </w:r>
      <w:r w:rsidRPr="009B53C8">
        <w:t>once-daily</w:t>
      </w:r>
      <w:r w:rsidRPr="008D2427">
        <w:t xml:space="preserve"> regimen (difference over </w:t>
      </w:r>
      <w:r w:rsidRPr="009B53C8">
        <w:t>placebo</w:t>
      </w:r>
      <w:r w:rsidRPr="008D2427">
        <w:t xml:space="preserve"> of 125 mL </w:t>
      </w:r>
      <w:r>
        <w:t>vs</w:t>
      </w:r>
      <w:r w:rsidRPr="008D2427">
        <w:t>. 101 m</w:t>
      </w:r>
      <w:r>
        <w:t>L). However, analyses of the 24-</w:t>
      </w:r>
      <w:r w:rsidRPr="008D2427">
        <w:t>hour serial F</w:t>
      </w:r>
      <w:r>
        <w:t>EV1 dose-response curves at Day </w:t>
      </w:r>
      <w:r w:rsidRPr="008D2427">
        <w:t>7 did not sho</w:t>
      </w:r>
      <w:r>
        <w:t>w a clear indication that twice-</w:t>
      </w:r>
      <w:r w:rsidRPr="008D2427">
        <w:t>daily dosing of UMEC provided greater benefit in br</w:t>
      </w:r>
      <w:r>
        <w:t xml:space="preserve">onchodilator response over </w:t>
      </w:r>
      <w:r w:rsidRPr="009B53C8">
        <w:t>once-daily</w:t>
      </w:r>
      <w:r w:rsidRPr="008D2427">
        <w:t xml:space="preserve"> dosing. In addition, analyses of the ratios of evening (12 to 24 hours) to morning (0 to 12 hours) weighted mean FEV1 values were supportive of a </w:t>
      </w:r>
      <w:r w:rsidRPr="009B53C8">
        <w:t>once-daily</w:t>
      </w:r>
      <w:r w:rsidRPr="008D2427">
        <w:t xml:space="preserve"> dosing interval, with the ratios</w:t>
      </w:r>
      <w:r>
        <w:t xml:space="preserve"> approximately 1.0 for all </w:t>
      </w:r>
      <w:r w:rsidRPr="009B53C8">
        <w:t>once-daily</w:t>
      </w:r>
      <w:r w:rsidRPr="008D2427">
        <w:t xml:space="preserve"> doses. The ratios were also generally comparable between both dosing regimens. Safety results showed t</w:t>
      </w:r>
      <w:r>
        <w:t xml:space="preserve">hat the overall incidence of on </w:t>
      </w:r>
      <w:r w:rsidRPr="008D2427">
        <w:t>treatment AEs</w:t>
      </w:r>
      <w:r>
        <w:t xml:space="preserve"> was comparable across the </w:t>
      </w:r>
      <w:r w:rsidRPr="009B53C8">
        <w:t>once-daily</w:t>
      </w:r>
      <w:r w:rsidRPr="008D2427">
        <w:t xml:space="preserve"> doses of UMEC 15.6, 31.25, and 62.5 </w:t>
      </w:r>
      <w:r>
        <w:t>µ</w:t>
      </w:r>
      <w:r w:rsidRPr="008D2427">
        <w:t xml:space="preserve">g (5% to10%) compared with </w:t>
      </w:r>
      <w:r w:rsidRPr="009B53C8">
        <w:t>placebo</w:t>
      </w:r>
      <w:r w:rsidRPr="008D2427">
        <w:t xml:space="preserve"> (8%), with a higher incidence (18%) reported in the UMEC 125 </w:t>
      </w:r>
      <w:r>
        <w:t xml:space="preserve">µg </w:t>
      </w:r>
      <w:r w:rsidRPr="009B53C8">
        <w:t>once-daily</w:t>
      </w:r>
      <w:r>
        <w:t xml:space="preserve"> treatment period.</w:t>
      </w:r>
    </w:p>
    <w:p w:rsidR="00B13321" w:rsidRPr="008D2427" w:rsidRDefault="00B13321" w:rsidP="007D5296">
      <w:r w:rsidRPr="008D2427">
        <w:t xml:space="preserve">Study AC4115408 was a </w:t>
      </w:r>
      <w:r>
        <w:t xml:space="preserve">multicentre, randomised, double-blind, </w:t>
      </w:r>
      <w:r w:rsidRPr="00A547A9">
        <w:t>placebo</w:t>
      </w:r>
      <w:r>
        <w:t>-controlled, parallel-</w:t>
      </w:r>
      <w:r w:rsidRPr="008D2427">
        <w:t xml:space="preserve">group, Phase </w:t>
      </w:r>
      <w:proofErr w:type="spellStart"/>
      <w:r w:rsidRPr="008D2427">
        <w:t>IIIa</w:t>
      </w:r>
      <w:proofErr w:type="spellEnd"/>
      <w:r w:rsidRPr="008D2427">
        <w:t xml:space="preserve"> study evaluating the efficacy and safety of UMEC (62.5 and 125 </w:t>
      </w:r>
      <w:r>
        <w:t>µ</w:t>
      </w:r>
      <w:r w:rsidRPr="008D2427">
        <w:t xml:space="preserve">g, </w:t>
      </w:r>
      <w:r>
        <w:t xml:space="preserve">once </w:t>
      </w:r>
      <w:r w:rsidRPr="00A547A9">
        <w:t>daily</w:t>
      </w:r>
      <w:r w:rsidRPr="008D2427">
        <w:t xml:space="preserve"> over 12 weeks) compared with </w:t>
      </w:r>
      <w:r w:rsidRPr="00A547A9">
        <w:t>placebo</w:t>
      </w:r>
      <w:r w:rsidRPr="008D2427">
        <w:t xml:space="preserve"> in subjects with COPD. The primary efficacy endpoint was trough FEV1 on Treatment Day 85. Results showed that there were statistically significant improvements in the least square</w:t>
      </w:r>
      <w:r>
        <w:t>s</w:t>
      </w:r>
      <w:r w:rsidRPr="008D2427">
        <w:t xml:space="preserve"> mean (LSM) change from baseline trough FEV1 for both doses of UMEC compared with </w:t>
      </w:r>
      <w:r w:rsidRPr="00A547A9">
        <w:t>placebo</w:t>
      </w:r>
      <w:r w:rsidRPr="008D2427">
        <w:t xml:space="preserve"> at Day 85 (differences over </w:t>
      </w:r>
      <w:r w:rsidRPr="00A547A9">
        <w:t>placebo</w:t>
      </w:r>
      <w:r w:rsidRPr="008D2427">
        <w:t xml:space="preserve"> of 127</w:t>
      </w:r>
      <w:r>
        <w:t xml:space="preserve"> </w:t>
      </w:r>
      <w:r w:rsidRPr="008D2427">
        <w:t xml:space="preserve">mL and 152 mL for UMEC 62.5 and 125 </w:t>
      </w:r>
      <w:r>
        <w:t>µ</w:t>
      </w:r>
      <w:r w:rsidRPr="008D2427">
        <w:t>g, respectively; p</w:t>
      </w:r>
      <w:r>
        <w:t xml:space="preserve"> </w:t>
      </w:r>
      <w:r w:rsidRPr="008D2427">
        <w:t>&lt;</w:t>
      </w:r>
      <w:r>
        <w:t xml:space="preserve"> </w:t>
      </w:r>
      <w:r w:rsidRPr="008D2427">
        <w:t xml:space="preserve">0.001). Safety results showed that the overall incidence of </w:t>
      </w:r>
      <w:r>
        <w:t>on-treatment</w:t>
      </w:r>
      <w:r w:rsidRPr="008D2427">
        <w:t xml:space="preserve"> AEs was comparable across treatment groups: (35%, 39% and 41% in the </w:t>
      </w:r>
      <w:r w:rsidRPr="00A547A9">
        <w:t>placebo</w:t>
      </w:r>
      <w:r w:rsidRPr="008D2427">
        <w:t xml:space="preserve">, UMEC 62.5 and 125 </w:t>
      </w:r>
      <w:r>
        <w:t>µ</w:t>
      </w:r>
      <w:r w:rsidRPr="008D2427">
        <w:t xml:space="preserve">g groups, respectively). The most commonly reported AEs were headache (10%, 7% and 14% of subjects in the </w:t>
      </w:r>
      <w:r w:rsidRPr="00A547A9">
        <w:t>placebo</w:t>
      </w:r>
      <w:r w:rsidRPr="008D2427">
        <w:t xml:space="preserve">, UMEC 62.5 and 125 </w:t>
      </w:r>
      <w:r>
        <w:t>µ</w:t>
      </w:r>
      <w:r w:rsidRPr="008D2427">
        <w:t xml:space="preserve">g groups, respectively) and </w:t>
      </w:r>
      <w:proofErr w:type="spellStart"/>
      <w:r w:rsidRPr="008D2427">
        <w:t>nasopharyngitis</w:t>
      </w:r>
      <w:proofErr w:type="spellEnd"/>
      <w:r w:rsidRPr="008D2427">
        <w:t xml:space="preserve"> (10%, 12% and 10%, respectively).</w:t>
      </w:r>
    </w:p>
    <w:p w:rsidR="00B13321" w:rsidRDefault="00B13321" w:rsidP="007D5296">
      <w:r w:rsidRPr="008D2427">
        <w:t>A summary of trough FEV1 (primary endpoint) find</w:t>
      </w:r>
      <w:r>
        <w:t>ings from the above 4 UMEC dose-</w:t>
      </w:r>
      <w:r w:rsidRPr="008D2427">
        <w:t xml:space="preserve">ranging studies </w:t>
      </w:r>
      <w:r>
        <w:t>was presented in the CSR</w:t>
      </w:r>
      <w:r w:rsidRPr="008D2427">
        <w:t>. The sponsor also did a meta-analysis of studies AC4113073 and AC4115321 (report AC4116689). The primary objective of the meta-analysis was to evaluate the dose response of s</w:t>
      </w:r>
      <w:r>
        <w:t xml:space="preserve">even </w:t>
      </w:r>
      <w:r w:rsidRPr="00C533F2">
        <w:t>once-daily</w:t>
      </w:r>
      <w:r w:rsidRPr="008D2427">
        <w:t xml:space="preserve"> doses of UMEC (15.6, 31.25, 62.5, 125, 250, 500, and 1000 </w:t>
      </w:r>
      <w:r>
        <w:t>µg) and five twice-</w:t>
      </w:r>
      <w:r w:rsidRPr="008D2427">
        <w:t xml:space="preserve">daily doses of UMEC (15.6, 31.25 62.5, 125, and 250 </w:t>
      </w:r>
      <w:r>
        <w:t>µ</w:t>
      </w:r>
      <w:r w:rsidRPr="008D2427">
        <w:t>g) in subjects with COPD. The secondary objective was to evaluate t</w:t>
      </w:r>
      <w:r>
        <w:t xml:space="preserve">he efficacy of these seven </w:t>
      </w:r>
      <w:r w:rsidRPr="00C533F2">
        <w:t>once-daily</w:t>
      </w:r>
      <w:r w:rsidRPr="008D2427">
        <w:t xml:space="preserve"> doses</w:t>
      </w:r>
      <w:r>
        <w:t xml:space="preserve"> of UMEC, five twice-daily doses of UMEC, and </w:t>
      </w:r>
      <w:r w:rsidRPr="00C533F2">
        <w:t>once-daily</w:t>
      </w:r>
      <w:r w:rsidRPr="008D2427">
        <w:t xml:space="preserve"> </w:t>
      </w:r>
      <w:proofErr w:type="spellStart"/>
      <w:r w:rsidRPr="008D2427">
        <w:t>tiotropium</w:t>
      </w:r>
      <w:proofErr w:type="spellEnd"/>
      <w:r w:rsidRPr="008D2427">
        <w:t xml:space="preserve"> 18 </w:t>
      </w:r>
      <w:r>
        <w:t>µ</w:t>
      </w:r>
      <w:r w:rsidRPr="008D2427">
        <w:t xml:space="preserve">g compared with </w:t>
      </w:r>
      <w:r w:rsidRPr="00C533F2">
        <w:t>placebo</w:t>
      </w:r>
      <w:r w:rsidRPr="008D2427">
        <w:t xml:space="preserve"> in subjects with COPD. The primary efficacy endpoint was trough FEV1 at the end of the treatment period. R</w:t>
      </w:r>
      <w:r>
        <w:t>esults showed that the potency ED50</w:t>
      </w:r>
      <w:r w:rsidRPr="008D2427">
        <w:t xml:space="preserve"> estimate of UMEC was 33 </w:t>
      </w:r>
      <w:r>
        <w:t>µ</w:t>
      </w:r>
      <w:r w:rsidRPr="008D2427">
        <w:t xml:space="preserve">g after </w:t>
      </w:r>
      <w:r w:rsidRPr="00C533F2">
        <w:t>once-daily</w:t>
      </w:r>
      <w:r w:rsidRPr="008D2427">
        <w:t xml:space="preserve"> dosing. The predicted </w:t>
      </w:r>
      <w:proofErr w:type="spellStart"/>
      <w:r w:rsidRPr="008D2427">
        <w:t>E</w:t>
      </w:r>
      <w:r w:rsidRPr="00B268FD">
        <w:rPr>
          <w:vertAlign w:val="subscript"/>
        </w:rPr>
        <w:t>max</w:t>
      </w:r>
      <w:proofErr w:type="spellEnd"/>
      <w:r w:rsidRPr="008D2427">
        <w:t xml:space="preserve"> value was 0.187 L. There were statistically significant treatment differences in favour of UMEC over </w:t>
      </w:r>
      <w:r w:rsidRPr="00C533F2">
        <w:t>placebo</w:t>
      </w:r>
      <w:r w:rsidRPr="008D2427">
        <w:t xml:space="preserve"> in the mean change from baseline in trough FEV1 at the end of the treatment period for all o</w:t>
      </w:r>
      <w:r>
        <w:t>nce- and twice-</w:t>
      </w:r>
      <w:r w:rsidRPr="008D2427">
        <w:t>daily doses of UMEC tested. Dose orde</w:t>
      </w:r>
      <w:r>
        <w:t xml:space="preserve">ring was observed over the </w:t>
      </w:r>
      <w:r w:rsidRPr="00C533F2">
        <w:t>once-daily</w:t>
      </w:r>
      <w:r w:rsidRPr="008D2427">
        <w:t xml:space="preserve"> dosing regimens of UMEC from 15.6 to </w:t>
      </w:r>
      <w:r w:rsidRPr="008D2427">
        <w:lastRenderedPageBreak/>
        <w:t xml:space="preserve">125 </w:t>
      </w:r>
      <w:r>
        <w:t>µ</w:t>
      </w:r>
      <w:r w:rsidRPr="008D2427">
        <w:t xml:space="preserve">g, after which there appeared to be a plateau in response for trough FEV1 at doses of 125 </w:t>
      </w:r>
      <w:r>
        <w:t xml:space="preserve">µg </w:t>
      </w:r>
      <w:r w:rsidRPr="00C533F2">
        <w:t>once-daily</w:t>
      </w:r>
      <w:r>
        <w:t xml:space="preserve"> and higher.</w:t>
      </w:r>
    </w:p>
    <w:p w:rsidR="00B13321" w:rsidRDefault="00B13321" w:rsidP="00B13321">
      <w:r w:rsidRPr="008D2427">
        <w:t xml:space="preserve">Dose selection of VI for the pivotal studies was based on the results of a Phase </w:t>
      </w:r>
      <w:proofErr w:type="spellStart"/>
      <w:r w:rsidRPr="008D2427">
        <w:t>IIb</w:t>
      </w:r>
      <w:proofErr w:type="spellEnd"/>
      <w:r w:rsidRPr="008D2427">
        <w:t xml:space="preserve"> </w:t>
      </w:r>
      <w:r>
        <w:t>dose-</w:t>
      </w:r>
      <w:r w:rsidRPr="008D2427">
        <w:t>ranging study in COPD subjects (B2C111045). Study B2C111045 was a mult</w:t>
      </w:r>
      <w:r>
        <w:t xml:space="preserve">icentre, randomised, </w:t>
      </w:r>
      <w:r w:rsidRPr="00C533F2">
        <w:t>placebo</w:t>
      </w:r>
      <w:r>
        <w:t xml:space="preserve">-controlled, double-blind, </w:t>
      </w:r>
      <w:proofErr w:type="gramStart"/>
      <w:r>
        <w:t>parallel</w:t>
      </w:r>
      <w:proofErr w:type="gramEnd"/>
      <w:r>
        <w:t xml:space="preserve"> </w:t>
      </w:r>
      <w:r w:rsidRPr="008D2427">
        <w:t xml:space="preserve">group study evaluating the dose response, efficacy and safety of five dosage regimens of VI (3, 6.25, 12.5, 25 and 50 </w:t>
      </w:r>
      <w:r>
        <w:t xml:space="preserve">µg once </w:t>
      </w:r>
      <w:r w:rsidRPr="00C533F2">
        <w:t>daily</w:t>
      </w:r>
      <w:r>
        <w:t>) over a 28-</w:t>
      </w:r>
      <w:r w:rsidRPr="008D2427">
        <w:t>day period in subjects with COPD. The primary efficacy endpoint was the change from baseline in t</w:t>
      </w:r>
      <w:r>
        <w:t>rough FEV1 at the end of the 28-</w:t>
      </w:r>
      <w:r w:rsidRPr="008D2427">
        <w:t>day treatment period (</w:t>
      </w:r>
      <w:r>
        <w:t>that is,</w:t>
      </w:r>
      <w:r w:rsidRPr="008D2427">
        <w:t xml:space="preserve"> trough FEV1 on Day 29). Efficacy results showed that there were statistically significant (p</w:t>
      </w:r>
      <w:r>
        <w:t xml:space="preserve"> &lt; 0.001) dose-</w:t>
      </w:r>
      <w:r w:rsidRPr="008D2427">
        <w:t xml:space="preserve">dependent differences in favour of all VI doses compared with </w:t>
      </w:r>
      <w:r w:rsidRPr="00C533F2">
        <w:t>placebo</w:t>
      </w:r>
      <w:r w:rsidRPr="008D2427">
        <w:t xml:space="preserve"> in the mean change from baseline in tro</w:t>
      </w:r>
      <w:r>
        <w:t>ugh FEV1 on Day 29</w:t>
      </w:r>
      <w:r w:rsidRPr="008D2427">
        <w:t xml:space="preserve">. Effects on trough FEV1 increased with increasing doses of VI with no plateau in the </w:t>
      </w:r>
      <w:r>
        <w:t>dose-</w:t>
      </w:r>
      <w:r w:rsidRPr="008D2427">
        <w:t xml:space="preserve">response with the doses tested in this study, indicating that maximal efficacy might not have been achieved in this study. Treatment differences of </w:t>
      </w:r>
      <w:r>
        <w:t xml:space="preserve">≥ </w:t>
      </w:r>
      <w:r w:rsidRPr="008D2427">
        <w:t xml:space="preserve">100 mL in trough FEV1 compared to </w:t>
      </w:r>
      <w:r w:rsidRPr="004C52FE">
        <w:t>placebo</w:t>
      </w:r>
      <w:r w:rsidRPr="008D2427">
        <w:t xml:space="preserve"> were observed on Day 29 only in the 12.5, 25, and 50 </w:t>
      </w:r>
      <w:r>
        <w:t>µg</w:t>
      </w:r>
      <w:r w:rsidRPr="008D2427">
        <w:t xml:space="preserve"> groups, while differences of </w:t>
      </w:r>
      <w:r>
        <w:t xml:space="preserve">≥ </w:t>
      </w:r>
      <w:r w:rsidRPr="008D2427">
        <w:t xml:space="preserve">130 mL were observed only in the 25 and 50 </w:t>
      </w:r>
      <w:r>
        <w:t>µ</w:t>
      </w:r>
      <w:r w:rsidRPr="008D2427">
        <w:t>g groups</w:t>
      </w:r>
      <w:r w:rsidRPr="00851DF8">
        <w:rPr>
          <w:vertAlign w:val="superscript"/>
        </w:rPr>
        <w:footnoteReference w:id="4"/>
      </w:r>
      <w:r w:rsidRPr="008D2427">
        <w:t xml:space="preserve">. A Bayesian analysis of the change from baseline in trough FEV1 showed that the probabilities of having a true treatment difference of </w:t>
      </w:r>
      <w:r>
        <w:t xml:space="preserve">&gt; </w:t>
      </w:r>
      <w:r w:rsidRPr="008D2427">
        <w:t xml:space="preserve">100 mL over </w:t>
      </w:r>
      <w:r w:rsidRPr="004C52FE">
        <w:t>placebo</w:t>
      </w:r>
      <w:r w:rsidRPr="008D2427">
        <w:t xml:space="preserve"> were more than 90% with both the 25 and 50 </w:t>
      </w:r>
      <w:r>
        <w:t xml:space="preserve">µg </w:t>
      </w:r>
      <w:r w:rsidRPr="004C52FE">
        <w:t>doses (99% and 92%,</w:t>
      </w:r>
      <w:r w:rsidRPr="008D2427">
        <w:t xml:space="preserve"> respectively</w:t>
      </w:r>
      <w:r>
        <w:rPr>
          <w:rStyle w:val="FootnoteReference"/>
        </w:rPr>
        <w:footnoteReference w:id="5"/>
      </w:r>
      <w:r w:rsidRPr="008D2427">
        <w:t xml:space="preserve">), but lower for the 3, 6.25, and 12.5 </w:t>
      </w:r>
      <w:r>
        <w:t>µ</w:t>
      </w:r>
      <w:r w:rsidRPr="008D2427">
        <w:t xml:space="preserve">g doses (37%, 47% and 64%, respectively). The probabilities of having a true treatment difference of </w:t>
      </w:r>
      <w:r>
        <w:t xml:space="preserve">&gt; </w:t>
      </w:r>
      <w:r w:rsidRPr="008D2427">
        <w:t xml:space="preserve">130 mL over </w:t>
      </w:r>
      <w:r w:rsidRPr="004C52FE">
        <w:t>placebo</w:t>
      </w:r>
      <w:r w:rsidRPr="008D2427">
        <w:t xml:space="preserve"> were 61% and 90% with the 25 and 50 </w:t>
      </w:r>
      <w:r>
        <w:t>µ</w:t>
      </w:r>
      <w:r w:rsidRPr="008D2427">
        <w:t xml:space="preserve">g, respectively, compared with 7%, 11% and 22% for the 3, 6.25, and 12.5 </w:t>
      </w:r>
      <w:r>
        <w:t>µ</w:t>
      </w:r>
      <w:r w:rsidRPr="008D2427">
        <w:t>g doses, respectively. The sponsor also considered other study FEV1 e</w:t>
      </w:r>
      <w:r>
        <w:t>ndpoints (e.g. weighted mean 24-</w:t>
      </w:r>
      <w:r w:rsidRPr="008D2427">
        <w:t xml:space="preserve">hour serial FEV1 on Days 1 and 28, mean changes from baseline in trough FEV1 on Days 2, 14, and 28), and results showed that improvements of </w:t>
      </w:r>
      <w:r>
        <w:t xml:space="preserve">≥ </w:t>
      </w:r>
      <w:r w:rsidRPr="008D2427">
        <w:t>130</w:t>
      </w:r>
      <w:r>
        <w:t> </w:t>
      </w:r>
      <w:r w:rsidRPr="008D2427">
        <w:t xml:space="preserve">mL FEV1 over </w:t>
      </w:r>
      <w:r w:rsidRPr="00AE6D7D">
        <w:t>placebo</w:t>
      </w:r>
      <w:r w:rsidRPr="008D2427">
        <w:t xml:space="preserve"> were consistently observed only with the 25 and 50 </w:t>
      </w:r>
      <w:r>
        <w:t>µ</w:t>
      </w:r>
      <w:r w:rsidRPr="008D2427">
        <w:t xml:space="preserve">g doses. The sponsor was also of the opinion that although the point estimate for these efficacy parameters favoured the 50 </w:t>
      </w:r>
      <w:r>
        <w:t>µ</w:t>
      </w:r>
      <w:r w:rsidRPr="008D2427">
        <w:t xml:space="preserve">g dose over the 25 </w:t>
      </w:r>
      <w:r>
        <w:t>µ</w:t>
      </w:r>
      <w:r w:rsidRPr="008D2427">
        <w:t>g dose, it was unclear whether these differences were clinically meaningful. Safety results showed that all doses were well-tolerated. The overall incidence of AEs was comparable across the treatment groups (24% to 36%)</w:t>
      </w:r>
      <w:r>
        <w:t>, with no obvious dose-</w:t>
      </w:r>
      <w:r w:rsidRPr="008D2427">
        <w:t>dependent trend</w:t>
      </w:r>
      <w:r>
        <w:t>.</w:t>
      </w:r>
    </w:p>
    <w:p w:rsidR="00B13321" w:rsidRDefault="00B13321" w:rsidP="007D5296">
      <w:r w:rsidRPr="008D2427">
        <w:t xml:space="preserve">Dosing interval or schedule of VI for the pivotal studies was based on the results of a Phase </w:t>
      </w:r>
      <w:proofErr w:type="spellStart"/>
      <w:r w:rsidRPr="008D2427">
        <w:t>IIb</w:t>
      </w:r>
      <w:proofErr w:type="spellEnd"/>
      <w:r w:rsidRPr="008D2427">
        <w:t xml:space="preserve"> study in asthma patients (HZA113310). Study HZA113310 was a multice</w:t>
      </w:r>
      <w:r>
        <w:t>ntre, double-</w:t>
      </w:r>
      <w:r w:rsidRPr="008D2427">
        <w:t xml:space="preserve">blind, </w:t>
      </w:r>
      <w:r w:rsidRPr="00AE6D7D">
        <w:t>placebo</w:t>
      </w:r>
      <w:r>
        <w:t>-controlled, five-</w:t>
      </w:r>
      <w:r w:rsidRPr="008D2427">
        <w:t xml:space="preserve">period </w:t>
      </w:r>
      <w:r>
        <w:t>cross-over</w:t>
      </w:r>
      <w:r w:rsidRPr="008D2427">
        <w:t xml:space="preserve"> study evaluating the relative effects in trough FEV1 compared with </w:t>
      </w:r>
      <w:r w:rsidRPr="00AE6D7D">
        <w:t>placebo</w:t>
      </w:r>
      <w:r w:rsidRPr="008D2427">
        <w:t xml:space="preserve"> of VI at doses of 6.25 </w:t>
      </w:r>
      <w:r>
        <w:t>µ</w:t>
      </w:r>
      <w:r w:rsidRPr="008D2427">
        <w:t xml:space="preserve">g, 12.5 </w:t>
      </w:r>
      <w:r>
        <w:t>µ</w:t>
      </w:r>
      <w:r w:rsidRPr="008D2427">
        <w:t xml:space="preserve">g and 25 </w:t>
      </w:r>
      <w:r>
        <w:t>µ</w:t>
      </w:r>
      <w:r w:rsidRPr="008D2427">
        <w:t xml:space="preserve">g </w:t>
      </w:r>
      <w:r>
        <w:t xml:space="preserve">once </w:t>
      </w:r>
      <w:r w:rsidRPr="00AE6D7D">
        <w:t>daily</w:t>
      </w:r>
      <w:r w:rsidRPr="008D2427">
        <w:t xml:space="preserve">, and 6.25 </w:t>
      </w:r>
      <w:r>
        <w:t>µg twice-</w:t>
      </w:r>
      <w:r w:rsidRPr="008D2427">
        <w:t xml:space="preserve">daily, each administered for 7 days. The primary efficacy endpoint was the mean </w:t>
      </w:r>
      <w:r>
        <w:t>trough FEV1 at the end of the 7-</w:t>
      </w:r>
      <w:r w:rsidRPr="008D2427">
        <w:t xml:space="preserve">day treatment period. Efficacy results with regards to selection of dosing interval showed that treatment difference from </w:t>
      </w:r>
      <w:r>
        <w:t>PLA</w:t>
      </w:r>
      <w:r w:rsidRPr="008D2427">
        <w:t xml:space="preserve"> in the 0 to 24 hour weighted mean FEV1 was comparable between VI 12.5 </w:t>
      </w:r>
      <w:r>
        <w:t>µ</w:t>
      </w:r>
      <w:r w:rsidRPr="008D2427">
        <w:t xml:space="preserve">g </w:t>
      </w:r>
      <w:r w:rsidRPr="00236CC4">
        <w:t>once-daily</w:t>
      </w:r>
      <w:r w:rsidRPr="008D2427">
        <w:t xml:space="preserve"> (LSM difference from </w:t>
      </w:r>
      <w:r w:rsidRPr="00236CC4">
        <w:t>placebo</w:t>
      </w:r>
      <w:r w:rsidRPr="008D2427">
        <w:t xml:space="preserve"> of 168 mL) and 6.25 </w:t>
      </w:r>
      <w:r>
        <w:t>µ</w:t>
      </w:r>
      <w:r w:rsidRPr="008D2427">
        <w:t xml:space="preserve">g </w:t>
      </w:r>
      <w:r>
        <w:t>twice-daily</w:t>
      </w:r>
      <w:r w:rsidRPr="008D2427">
        <w:t xml:space="preserve"> (LSM difference from </w:t>
      </w:r>
      <w:r>
        <w:t>PLA</w:t>
      </w:r>
      <w:r w:rsidR="00C3117B">
        <w:t xml:space="preserve"> of 166 mL).</w:t>
      </w:r>
    </w:p>
    <w:p w:rsidR="00B13321" w:rsidRPr="008D2427" w:rsidRDefault="00B13321" w:rsidP="00B13321">
      <w:r w:rsidRPr="008D2427">
        <w:t xml:space="preserve">Based upon these efficacy and safety data, 25 </w:t>
      </w:r>
      <w:r>
        <w:t>µ</w:t>
      </w:r>
      <w:r w:rsidRPr="008D2427">
        <w:t xml:space="preserve">g </w:t>
      </w:r>
      <w:r w:rsidRPr="00236CC4">
        <w:t>once-daily</w:t>
      </w:r>
      <w:r w:rsidRPr="008D2427">
        <w:t xml:space="preserve"> of VI was selected as the optimal dose to be assessed in the pivotal Phase III studies.</w:t>
      </w:r>
    </w:p>
    <w:p w:rsidR="00B13321" w:rsidRDefault="00B13321" w:rsidP="000C5307">
      <w:r>
        <w:rPr>
          <w:b/>
        </w:rPr>
        <w:t>Evaluator’s c</w:t>
      </w:r>
      <w:r w:rsidRPr="008D2427">
        <w:rPr>
          <w:b/>
        </w:rPr>
        <w:t>omments:</w:t>
      </w:r>
      <w:r>
        <w:t xml:space="preserve"> </w:t>
      </w:r>
      <w:r w:rsidRPr="008D2427">
        <w:t>The rationale for the dose selection in the Ph</w:t>
      </w:r>
      <w:r>
        <w:t>ase III studies is appropriate.</w:t>
      </w:r>
    </w:p>
    <w:p w:rsidR="00B13321" w:rsidRDefault="00B13321" w:rsidP="007D5296">
      <w:pPr>
        <w:pStyle w:val="Heading2"/>
      </w:pPr>
      <w:bookmarkStart w:id="147" w:name="_Toc422852157"/>
      <w:r>
        <w:lastRenderedPageBreak/>
        <w:t>Clinical efficacy</w:t>
      </w:r>
      <w:bookmarkEnd w:id="147"/>
    </w:p>
    <w:p w:rsidR="00B13321" w:rsidRPr="00BC259E" w:rsidRDefault="00B13321" w:rsidP="007D5296">
      <w:r w:rsidRPr="00BC259E">
        <w:t xml:space="preserve">Four pivotal Phase III studies were submitted to support clinical efficacy for the proposed indication. These consisted of 2 sets of randomised, </w:t>
      </w:r>
      <w:r>
        <w:t>double-blind</w:t>
      </w:r>
      <w:r w:rsidRPr="00BC259E">
        <w:t>, parallel group studies (studies DB2113361/DB2113373, and studies DB211</w:t>
      </w:r>
      <w:r>
        <w:t>3360/DB2113374), each with a 24-</w:t>
      </w:r>
      <w:r w:rsidRPr="00BC259E">
        <w:t xml:space="preserve">week treatment duration. Within each set, the studies were identical except for the study drugs or doses tested. In addition, the sponsor had performed a meta-analysis of studies DB2113360 and DB2113374, comparing UMEC/VI and </w:t>
      </w:r>
      <w:proofErr w:type="spellStart"/>
      <w:r w:rsidRPr="00BC259E">
        <w:t>tiotropium</w:t>
      </w:r>
      <w:proofErr w:type="spellEnd"/>
      <w:r w:rsidRPr="00BC259E">
        <w:t xml:space="preserve"> for the endpoint of the Transition Dyspnoea Index score.</w:t>
      </w:r>
    </w:p>
    <w:p w:rsidR="00B13321" w:rsidRPr="00BC259E" w:rsidRDefault="00B13321" w:rsidP="007D5296">
      <w:r w:rsidRPr="00BC259E">
        <w:t xml:space="preserve">In this efficacy section of this evaluation report, the respective sets of studies and the meta-analysis (where applicable) will be presented in the same </w:t>
      </w:r>
      <w:r>
        <w:t>sub-</w:t>
      </w:r>
      <w:r w:rsidRPr="00BC259E">
        <w:t>sections, for ease of reference.</w:t>
      </w:r>
    </w:p>
    <w:p w:rsidR="00B13321" w:rsidRPr="00585469" w:rsidRDefault="00B13321" w:rsidP="00B13321">
      <w:bookmarkStart w:id="148" w:name="_Toc376461154"/>
      <w:r>
        <w:t>The clinical efficacy has been reviewed f</w:t>
      </w:r>
      <w:r w:rsidRPr="00585469">
        <w:t>or the indication of long term, once daily bronchodilator treatment to relieve symptoms in adult patients with COPD</w:t>
      </w:r>
      <w:bookmarkEnd w:id="148"/>
      <w:r>
        <w:t>.</w:t>
      </w:r>
    </w:p>
    <w:p w:rsidR="00B13321" w:rsidRPr="00BC259E" w:rsidRDefault="00B13321" w:rsidP="007D5296">
      <w:pPr>
        <w:pStyle w:val="Heading3"/>
      </w:pPr>
      <w:bookmarkStart w:id="149" w:name="_Ref271037274"/>
      <w:bookmarkStart w:id="150" w:name="_Toc272414652"/>
      <w:bookmarkStart w:id="151" w:name="_Toc290846274"/>
      <w:bookmarkStart w:id="152" w:name="_Toc376461155"/>
      <w:bookmarkStart w:id="153" w:name="_Toc422852158"/>
      <w:r w:rsidRPr="00BC259E">
        <w:t>Pivotal efficacy studies</w:t>
      </w:r>
      <w:bookmarkEnd w:id="149"/>
      <w:bookmarkEnd w:id="150"/>
      <w:bookmarkEnd w:id="151"/>
      <w:bookmarkEnd w:id="152"/>
      <w:bookmarkEnd w:id="153"/>
    </w:p>
    <w:p w:rsidR="00B13321" w:rsidRPr="00BC259E" w:rsidRDefault="00B13321" w:rsidP="007D5296">
      <w:pPr>
        <w:pStyle w:val="Heading4"/>
      </w:pPr>
      <w:bookmarkStart w:id="154" w:name="_Ref243301615"/>
      <w:bookmarkStart w:id="155" w:name="_Ref271040927"/>
      <w:bookmarkStart w:id="156" w:name="_Ref271040932"/>
      <w:bookmarkStart w:id="157" w:name="_Toc272414653"/>
      <w:bookmarkStart w:id="158" w:name="_Toc290846275"/>
      <w:bookmarkStart w:id="159" w:name="_Toc376461156"/>
      <w:r w:rsidRPr="00BC259E">
        <w:t>Stud</w:t>
      </w:r>
      <w:bookmarkEnd w:id="154"/>
      <w:bookmarkEnd w:id="155"/>
      <w:bookmarkEnd w:id="156"/>
      <w:bookmarkEnd w:id="157"/>
      <w:bookmarkEnd w:id="158"/>
      <w:r w:rsidRPr="00BC259E">
        <w:t>ies DB2113361 and DB2113373</w:t>
      </w:r>
      <w:bookmarkEnd w:id="159"/>
    </w:p>
    <w:p w:rsidR="00B13321" w:rsidRPr="00BC259E" w:rsidRDefault="00B13321" w:rsidP="007D5296">
      <w:pPr>
        <w:pStyle w:val="Heading5"/>
      </w:pPr>
      <w:r w:rsidRPr="00BC259E">
        <w:t>Study design, objectives, locations and dates</w:t>
      </w:r>
    </w:p>
    <w:p w:rsidR="00B13321" w:rsidRPr="00BC259E" w:rsidRDefault="00B13321" w:rsidP="000C5307">
      <w:r w:rsidRPr="00BC259E">
        <w:t xml:space="preserve">Both studies DB2113361 and DB2113373 were </w:t>
      </w:r>
      <w:r>
        <w:t>multi-centre</w:t>
      </w:r>
      <w:r w:rsidRPr="00BC259E">
        <w:t xml:space="preserve">, randomised, </w:t>
      </w:r>
      <w:r>
        <w:t>double-blind</w:t>
      </w:r>
      <w:r w:rsidRPr="00BC259E">
        <w:t xml:space="preserve">, </w:t>
      </w:r>
      <w:r w:rsidRPr="00346A99">
        <w:t>placebo</w:t>
      </w:r>
      <w:r>
        <w:t>-controlled</w:t>
      </w:r>
      <w:r w:rsidRPr="00BC259E">
        <w:t xml:space="preserve">, parallel group studies evaluating the efficacy and safety of UMEC/VI </w:t>
      </w:r>
      <w:r w:rsidRPr="00A97182">
        <w:t>IH</w:t>
      </w:r>
      <w:r w:rsidRPr="00BC259E">
        <w:t xml:space="preserve"> powder and its individual components, in subjects with COPD. The primary objective of both studies was to assess the efficacy and safety of UMEC/VI, UMEC, and VI </w:t>
      </w:r>
      <w:r w:rsidRPr="00A97182">
        <w:t>IH</w:t>
      </w:r>
      <w:r w:rsidRPr="00BC259E">
        <w:t xml:space="preserve"> powder, when administered </w:t>
      </w:r>
      <w:r w:rsidRPr="00346A99">
        <w:t>once-daily</w:t>
      </w:r>
      <w:r w:rsidRPr="00BC259E">
        <w:t xml:space="preserve"> </w:t>
      </w:r>
      <w:r>
        <w:t xml:space="preserve">via a </w:t>
      </w:r>
      <w:r w:rsidRPr="00346A99">
        <w:t xml:space="preserve">Novel Dry Powder Inhaler </w:t>
      </w:r>
      <w:r>
        <w:t>(NDPI)</w:t>
      </w:r>
      <w:r w:rsidRPr="00BC259E">
        <w:t xml:space="preserve"> over 24 weeks in subjects with COPD. Study DB2113361 investigated doses of UMEC/VI 125/25 </w:t>
      </w:r>
      <w:r>
        <w:t>µ</w:t>
      </w:r>
      <w:r w:rsidRPr="00BC259E">
        <w:t xml:space="preserve">g, UMEC 125 </w:t>
      </w:r>
      <w:r>
        <w:t>µ</w:t>
      </w:r>
      <w:r w:rsidRPr="00BC259E">
        <w:t xml:space="preserve">g, and VI 25 </w:t>
      </w:r>
      <w:r>
        <w:t>µ</w:t>
      </w:r>
      <w:r w:rsidRPr="00BC259E">
        <w:t xml:space="preserve">g, while study DB2113373 investigated doses of UMEC/VI 62.5/25 </w:t>
      </w:r>
      <w:r>
        <w:t>µ</w:t>
      </w:r>
      <w:r w:rsidRPr="00BC259E">
        <w:t xml:space="preserve">g, UMEC 62.5 </w:t>
      </w:r>
      <w:r>
        <w:t>µ</w:t>
      </w:r>
      <w:r w:rsidRPr="00BC259E">
        <w:t xml:space="preserve">g, and VI 25 </w:t>
      </w:r>
      <w:r>
        <w:t>µ</w:t>
      </w:r>
      <w:r w:rsidRPr="00BC259E">
        <w:t>g.</w:t>
      </w:r>
    </w:p>
    <w:p w:rsidR="00B13321" w:rsidRPr="00BC259E" w:rsidRDefault="00B13321" w:rsidP="007D5296">
      <w:r w:rsidRPr="00BC259E">
        <w:t xml:space="preserve">Studies DB2113361 and DB2113373 were </w:t>
      </w:r>
      <w:r>
        <w:t>multi-centre</w:t>
      </w:r>
      <w:r w:rsidRPr="00BC259E">
        <w:t xml:space="preserve"> studies where subjects were enrolled in a total of 153 study sites across 14 countries</w:t>
      </w:r>
      <w:r w:rsidRPr="005A566C">
        <w:rPr>
          <w:vertAlign w:val="superscript"/>
        </w:rPr>
        <w:footnoteReference w:id="6"/>
      </w:r>
      <w:r w:rsidRPr="00BC259E">
        <w:t xml:space="preserve"> and 163 study sites across 13 countries</w:t>
      </w:r>
      <w:r w:rsidRPr="005A566C">
        <w:rPr>
          <w:vertAlign w:val="superscript"/>
        </w:rPr>
        <w:footnoteReference w:id="7"/>
      </w:r>
      <w:r w:rsidRPr="00BC259E">
        <w:t xml:space="preserve">, respectively. The </w:t>
      </w:r>
      <w:proofErr w:type="gramStart"/>
      <w:r w:rsidRPr="00BC259E">
        <w:t>study start</w:t>
      </w:r>
      <w:proofErr w:type="gramEnd"/>
      <w:r w:rsidRPr="00BC259E">
        <w:t xml:space="preserve"> and end dates</w:t>
      </w:r>
      <w:r>
        <w:t>,</w:t>
      </w:r>
      <w:r w:rsidRPr="00BC259E">
        <w:t xml:space="preserve"> of study DB2113361 were 22 March 2011 and 19 April 2012, respectively, and those of study DB2113373 were 30 March 2011 </w:t>
      </w:r>
      <w:r w:rsidR="00A96EA3">
        <w:t>and 5 April 2012, respectively.</w:t>
      </w:r>
    </w:p>
    <w:p w:rsidR="00B13321" w:rsidRDefault="00B13321" w:rsidP="007D5296">
      <w:r w:rsidRPr="00BC259E">
        <w:t>Subjects who met the eligibility criteria at sc</w:t>
      </w:r>
      <w:r>
        <w:t>reening (Visit 1) completed a 7- to 14-day Run-in Period followed by a 24-</w:t>
      </w:r>
      <w:r w:rsidRPr="00BC259E">
        <w:t>week T</w:t>
      </w:r>
      <w:r w:rsidR="00C3117B">
        <w:t>reatment Period (Figure 2</w:t>
      </w:r>
      <w:r w:rsidRPr="00BC259E">
        <w:t>). Randomisation was conducted on Visit 2 (Day 1). Additional clinic visits were scheduled at Day 2, and after 4, 8, 12, 16, and 24 weeks of treatment, and 1 day after the Week 24 Visit (</w:t>
      </w:r>
      <w:r>
        <w:t>that is,</w:t>
      </w:r>
      <w:r w:rsidRPr="00BC259E">
        <w:t xml:space="preserve"> Treatment Day 169). A </w:t>
      </w:r>
      <w:r>
        <w:t>follow-up</w:t>
      </w:r>
      <w:r w:rsidRPr="00BC259E">
        <w:t xml:space="preserve"> clinic visit (Visit 10) for lung function and adverse event assessments was conducted approximately 7 days after Visit 9 or the Early Withdrawal Visit. The total duration of subject participation, including </w:t>
      </w:r>
      <w:r>
        <w:t>follow-up</w:t>
      </w:r>
      <w:r w:rsidRPr="00BC259E">
        <w:t>, was approximately 27 weeks.</w:t>
      </w:r>
    </w:p>
    <w:p w:rsidR="00B13321" w:rsidRDefault="00C3117B" w:rsidP="008138BC">
      <w:pPr>
        <w:pStyle w:val="FigureTitle"/>
      </w:pPr>
      <w:proofErr w:type="gramStart"/>
      <w:r>
        <w:lastRenderedPageBreak/>
        <w:t>Figure 2</w:t>
      </w:r>
      <w:r w:rsidR="00B13321">
        <w:t>.</w:t>
      </w:r>
      <w:proofErr w:type="gramEnd"/>
      <w:r w:rsidR="00B13321">
        <w:t xml:space="preserve"> </w:t>
      </w:r>
      <w:proofErr w:type="gramStart"/>
      <w:r w:rsidR="00B13321">
        <w:t>Studies DB2113361 and DB113373 schematics.</w:t>
      </w:r>
      <w:proofErr w:type="gramEnd"/>
    </w:p>
    <w:p w:rsidR="00B13321" w:rsidRPr="00BC259E" w:rsidRDefault="00B13321" w:rsidP="008138BC">
      <w:r>
        <w:rPr>
          <w:noProof/>
          <w:lang w:eastAsia="en-AU"/>
        </w:rPr>
        <w:drawing>
          <wp:inline distT="0" distB="0" distL="0" distR="0" wp14:anchorId="5713525B" wp14:editId="1B4B5CB4">
            <wp:extent cx="4572000" cy="5712839"/>
            <wp:effectExtent l="0" t="0" r="0" b="0"/>
            <wp:docPr id="20" name="Picture 20" descr="Figure 2. Studies DB2113361 and DB113373 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134" cy="5713006"/>
                    </a:xfrm>
                    <a:prstGeom prst="rect">
                      <a:avLst/>
                    </a:prstGeom>
                  </pic:spPr>
                </pic:pic>
              </a:graphicData>
            </a:graphic>
          </wp:inline>
        </w:drawing>
      </w:r>
    </w:p>
    <w:p w:rsidR="00B13321" w:rsidRPr="00BC259E" w:rsidRDefault="00B13321" w:rsidP="007D5296">
      <w:pPr>
        <w:pStyle w:val="Heading5"/>
      </w:pPr>
      <w:r w:rsidRPr="00BC259E">
        <w:t>Inclusion and exclusion criteria</w:t>
      </w:r>
    </w:p>
    <w:p w:rsidR="00B13321" w:rsidRPr="00BC259E" w:rsidRDefault="00B13321" w:rsidP="007D5296">
      <w:r w:rsidRPr="00BC259E">
        <w:t xml:space="preserve">Subjects enrolled in these 2 studies were males or females aged </w:t>
      </w:r>
      <w:r>
        <w:t xml:space="preserve">≥ </w:t>
      </w:r>
      <w:r w:rsidRPr="00BC259E">
        <w:t xml:space="preserve">40 years with a diagnosis of COPD, who had a smoking history of </w:t>
      </w:r>
      <w:r>
        <w:t xml:space="preserve">≥ </w:t>
      </w:r>
      <w:r w:rsidRPr="00BC259E">
        <w:t xml:space="preserve">10 pack-years, and who had a post-salbutamol FEV1 of </w:t>
      </w:r>
      <w:r>
        <w:t>≤ </w:t>
      </w:r>
      <w:r w:rsidRPr="00BC259E">
        <w:t xml:space="preserve">70% of predicted normal value, and a post-salbutamol FEV1/forced vital capacity (FVC) ratio of </w:t>
      </w:r>
      <w:r>
        <w:t>&lt;</w:t>
      </w:r>
      <w:r w:rsidRPr="00BC259E">
        <w:t xml:space="preserve"> 0.70 at the screening visit. Subjects also had to have a score of </w:t>
      </w:r>
      <w:r>
        <w:t xml:space="preserve">≥ </w:t>
      </w:r>
      <w:r w:rsidRPr="00BC259E">
        <w:t>2 using the Modified Medical Research Council (</w:t>
      </w:r>
      <w:proofErr w:type="spellStart"/>
      <w:r w:rsidRPr="00BC259E">
        <w:t>mMRC</w:t>
      </w:r>
      <w:proofErr w:type="spellEnd"/>
      <w:r w:rsidRPr="00BC259E">
        <w:t>) Dyspnoea Scale</w:t>
      </w:r>
      <w:r w:rsidRPr="005A566C">
        <w:rPr>
          <w:vertAlign w:val="superscript"/>
        </w:rPr>
        <w:footnoteReference w:id="8"/>
      </w:r>
      <w:r w:rsidRPr="00BC259E">
        <w:t>.</w:t>
      </w:r>
    </w:p>
    <w:p w:rsidR="00B13321" w:rsidRPr="00BC259E" w:rsidRDefault="00B13321" w:rsidP="007D5296">
      <w:r w:rsidRPr="00BC259E">
        <w:t xml:space="preserve">Subjects were excluded if they had a current diagnosis of asthma, α-1 antitrypsin deficiency, or any clinically significant uncontrolled disease, hospitalisation for COPD or pneumonia within 12 weeks prior to Visit 1, or lung volume reduction surgery within the 12 months prior to Visit 1. Subjects were also excluded if they were unable to withhold salbutamol for the </w:t>
      </w:r>
      <w:r>
        <w:t>4-hour</w:t>
      </w:r>
      <w:r w:rsidRPr="00BC259E">
        <w:t xml:space="preserve"> period </w:t>
      </w:r>
      <w:r w:rsidRPr="00BC259E">
        <w:lastRenderedPageBreak/>
        <w:t xml:space="preserve">required prior to spirometry testing at each study visit, if they were on </w:t>
      </w:r>
      <w:r>
        <w:t>long-term</w:t>
      </w:r>
      <w:r w:rsidRPr="00BC259E">
        <w:t xml:space="preserve"> oxygen therapy</w:t>
      </w:r>
      <w:r w:rsidRPr="000F699E">
        <w:rPr>
          <w:vertAlign w:val="superscript"/>
        </w:rPr>
        <w:footnoteReference w:id="9"/>
      </w:r>
      <w:r w:rsidRPr="00BC259E">
        <w:t>, or if they were participating in the acute phase of a pulmonary rehabilitation program within 4 weeks prior to Visit 1</w:t>
      </w:r>
      <w:r w:rsidRPr="000F699E">
        <w:rPr>
          <w:vertAlign w:val="superscript"/>
        </w:rPr>
        <w:footnoteReference w:id="10"/>
      </w:r>
      <w:r w:rsidRPr="00BC259E">
        <w:t>.</w:t>
      </w:r>
    </w:p>
    <w:p w:rsidR="00B13321" w:rsidRPr="00BC259E" w:rsidRDefault="00B13321" w:rsidP="00B13321">
      <w:r w:rsidRPr="00BC259E">
        <w:t xml:space="preserve">In addition, in order to be randomised to </w:t>
      </w:r>
      <w:r>
        <w:t>double-blind</w:t>
      </w:r>
      <w:r w:rsidRPr="00BC259E">
        <w:t xml:space="preserve"> study drug, subjects had to have no evidence of a significantly abnormal </w:t>
      </w:r>
      <w:r>
        <w:t>12-lead</w:t>
      </w:r>
      <w:r w:rsidRPr="00BC259E">
        <w:t xml:space="preserve"> electrocardiogram (ECG) finding at the </w:t>
      </w:r>
      <w:r>
        <w:t>pre-dose</w:t>
      </w:r>
      <w:r w:rsidRPr="00BC259E">
        <w:t xml:space="preserve"> ECG at Visit 2, and had not experienced a COPD exacerbation or a lower respiratory</w:t>
      </w:r>
      <w:r>
        <w:t xml:space="preserve"> tract infection during the Run-</w:t>
      </w:r>
      <w:r w:rsidRPr="00BC259E">
        <w:t xml:space="preserve">in period or at Visit 2. In addition, subjects using </w:t>
      </w:r>
      <w:r w:rsidRPr="00346A99">
        <w:t xml:space="preserve">inhaled corticosteroids </w:t>
      </w:r>
      <w:r>
        <w:t>(ICS)</w:t>
      </w:r>
      <w:r w:rsidRPr="00BC259E">
        <w:t xml:space="preserve"> had to have maintained regular use of a consis</w:t>
      </w:r>
      <w:r>
        <w:t>tent dose of ICS during the Run-</w:t>
      </w:r>
      <w:r w:rsidRPr="00BC259E">
        <w:t xml:space="preserve">in Period at a dose </w:t>
      </w:r>
      <w:r>
        <w:t xml:space="preserve">≤ </w:t>
      </w:r>
      <w:r w:rsidRPr="00BC259E">
        <w:t xml:space="preserve">1000 </w:t>
      </w:r>
      <w:r>
        <w:t>µ</w:t>
      </w:r>
      <w:r w:rsidRPr="00BC259E">
        <w:t>g /day fluticasone propionate or equivalent.</w:t>
      </w:r>
    </w:p>
    <w:p w:rsidR="00B13321" w:rsidRPr="00BC259E" w:rsidRDefault="00B13321" w:rsidP="00B13321">
      <w:r w:rsidRPr="00BC259E">
        <w:t xml:space="preserve">A full list of inclusion and exclusion criteria </w:t>
      </w:r>
      <w:r>
        <w:t>was provided in the CSR</w:t>
      </w:r>
      <w:r w:rsidRPr="00BC259E">
        <w:t>.</w:t>
      </w:r>
    </w:p>
    <w:p w:rsidR="00B13321" w:rsidRPr="00BC259E" w:rsidRDefault="00B13321" w:rsidP="000C5307">
      <w:r>
        <w:rPr>
          <w:b/>
        </w:rPr>
        <w:t xml:space="preserve">Evaluator’s comments: </w:t>
      </w:r>
      <w:r w:rsidRPr="00BC259E">
        <w:t xml:space="preserve">The inclusion and exclusion criteria were in line with recommendations on study population in the </w:t>
      </w:r>
      <w:r w:rsidRPr="00332EC4">
        <w:t xml:space="preserve">European Medicines Agency </w:t>
      </w:r>
      <w:r>
        <w:t>(</w:t>
      </w:r>
      <w:r w:rsidRPr="00BC259E">
        <w:t>EMA</w:t>
      </w:r>
      <w:r>
        <w:t>)</w:t>
      </w:r>
      <w:r w:rsidRPr="00BC259E">
        <w:t xml:space="preserve"> guidelines on clinical investigation of medicinal products in the treatment of </w:t>
      </w:r>
      <w:r w:rsidRPr="000F1444">
        <w:t>COPD</w:t>
      </w:r>
      <w:r w:rsidRPr="000F1444">
        <w:rPr>
          <w:vertAlign w:val="superscript"/>
        </w:rPr>
        <w:t xml:space="preserve"> </w:t>
      </w:r>
      <w:r w:rsidRPr="000F699E">
        <w:rPr>
          <w:vertAlign w:val="superscript"/>
        </w:rPr>
        <w:footnoteReference w:id="11"/>
      </w:r>
      <w:r w:rsidRPr="00BC259E">
        <w:t xml:space="preserve"> as well as the </w:t>
      </w:r>
      <w:r>
        <w:t xml:space="preserve">US </w:t>
      </w:r>
      <w:r w:rsidRPr="00332EC4">
        <w:t xml:space="preserve">Food and Drug Administration </w:t>
      </w:r>
      <w:r>
        <w:t>(</w:t>
      </w:r>
      <w:r w:rsidRPr="00BC259E">
        <w:t>FDA</w:t>
      </w:r>
      <w:r>
        <w:t>)</w:t>
      </w:r>
      <w:r w:rsidRPr="00BC259E">
        <w:t xml:space="preserve"> Guidance for Industry- Chronic Obstructive Pulmonary Disease: Developing Drugs for Treatment</w:t>
      </w:r>
      <w:r w:rsidRPr="000F699E">
        <w:rPr>
          <w:vertAlign w:val="superscript"/>
        </w:rPr>
        <w:footnoteReference w:id="12"/>
      </w:r>
      <w:r w:rsidRPr="00BC259E">
        <w:t>. The dia</w:t>
      </w:r>
      <w:r>
        <w:t>gnostic criteria for COPD (post-</w:t>
      </w:r>
      <w:r w:rsidRPr="00BC259E">
        <w:t xml:space="preserve">bronchodilator FEV1 </w:t>
      </w:r>
      <w:r>
        <w:t xml:space="preserve">≤ </w:t>
      </w:r>
      <w:r w:rsidRPr="00BC259E">
        <w:t xml:space="preserve">70% of </w:t>
      </w:r>
      <w:r>
        <w:t>predicted normal value and post-</w:t>
      </w:r>
      <w:r w:rsidRPr="00BC259E">
        <w:t>bronchodilator FEV1/FVC ratio of &lt; 0.70) were consistent with those in the above guidelines. Overall, the inclusion and exclusion criteria aimed to recruit adult subjects with stable, symptomatic COPD.</w:t>
      </w:r>
    </w:p>
    <w:p w:rsidR="00B13321" w:rsidRPr="00BC259E" w:rsidRDefault="00B13321" w:rsidP="00B13321">
      <w:pPr>
        <w:pStyle w:val="Heading5"/>
      </w:pPr>
      <w:r w:rsidRPr="00BC259E">
        <w:t>Study treatments</w:t>
      </w:r>
    </w:p>
    <w:p w:rsidR="00B13321" w:rsidRPr="00BC259E" w:rsidRDefault="00B13321" w:rsidP="00B13321">
      <w:r w:rsidRPr="00BC259E">
        <w:t xml:space="preserve">In study DB2113361, the treatment groups were UMEC/VI 125/25 </w:t>
      </w:r>
      <w:r>
        <w:t>µ</w:t>
      </w:r>
      <w:r w:rsidRPr="00BC259E">
        <w:t xml:space="preserve">g, UMEC 125 </w:t>
      </w:r>
      <w:r>
        <w:t>µ</w:t>
      </w:r>
      <w:r w:rsidRPr="00BC259E">
        <w:t xml:space="preserve">g, VI 25 </w:t>
      </w:r>
      <w:r>
        <w:t>µ</w:t>
      </w:r>
      <w:r w:rsidRPr="00BC259E">
        <w:t xml:space="preserve">g, and matching </w:t>
      </w:r>
      <w:r w:rsidRPr="00584151">
        <w:t xml:space="preserve">placebo </w:t>
      </w:r>
      <w:r w:rsidRPr="00BC259E">
        <w:t xml:space="preserve">(randomised in a 3:3:3:2 ratio), all to be administered </w:t>
      </w:r>
      <w:r>
        <w:t xml:space="preserve">once </w:t>
      </w:r>
      <w:r w:rsidRPr="00584151">
        <w:t>daily</w:t>
      </w:r>
      <w:r w:rsidRPr="00BC259E">
        <w:t xml:space="preserve"> in the morning with an NDPI. In study DB2113373, the treatment groups were UMEC/VI 62.5/25 </w:t>
      </w:r>
      <w:r>
        <w:t>µ</w:t>
      </w:r>
      <w:r w:rsidRPr="00BC259E">
        <w:t xml:space="preserve">g, UMEC 62.5 </w:t>
      </w:r>
      <w:r>
        <w:t>µ</w:t>
      </w:r>
      <w:r w:rsidRPr="00BC259E">
        <w:t xml:space="preserve">g, VI 25 </w:t>
      </w:r>
      <w:r>
        <w:t>µ</w:t>
      </w:r>
      <w:r w:rsidRPr="00BC259E">
        <w:t xml:space="preserve">g, and matching </w:t>
      </w:r>
      <w:r w:rsidRPr="00584151">
        <w:t>placebo</w:t>
      </w:r>
      <w:r w:rsidRPr="00BC259E">
        <w:t xml:space="preserve"> (randomised in a 3:3:3:2 ratio), all to be administered </w:t>
      </w:r>
      <w:r>
        <w:t xml:space="preserve">once </w:t>
      </w:r>
      <w:r w:rsidRPr="00584151">
        <w:t>daily</w:t>
      </w:r>
      <w:r w:rsidRPr="00BC259E">
        <w:t xml:space="preserve"> in the morning with an NDPI. The treatment duration in both studies was 24 weeks.</w:t>
      </w:r>
    </w:p>
    <w:p w:rsidR="00B13321" w:rsidRPr="00BC259E" w:rsidRDefault="00B13321" w:rsidP="00B13321">
      <w:r w:rsidRPr="00BC259E">
        <w:t>During both studies, salbutamol was provided for use as rescu</w:t>
      </w:r>
      <w:r>
        <w:t>e medication throughout the Run-</w:t>
      </w:r>
      <w:r w:rsidRPr="00BC259E">
        <w:t xml:space="preserve">in and Treatment Periods. Concurrent use of systemic corticosteroids or </w:t>
      </w:r>
      <w:r>
        <w:t>long-acting</w:t>
      </w:r>
      <w:r w:rsidRPr="00BC259E">
        <w:t xml:space="preserve"> bronchodilators, including </w:t>
      </w:r>
      <w:proofErr w:type="spellStart"/>
      <w:r w:rsidRPr="00BC259E">
        <w:t>theophyllines</w:t>
      </w:r>
      <w:proofErr w:type="spellEnd"/>
      <w:r w:rsidRPr="00BC259E">
        <w:t xml:space="preserve">, was not allowed. Concurrent use of ICS at a stable dose of </w:t>
      </w:r>
      <w:r>
        <w:t xml:space="preserve">≤ </w:t>
      </w:r>
      <w:r w:rsidRPr="00BC259E">
        <w:t xml:space="preserve">1000 </w:t>
      </w:r>
      <w:r>
        <w:t>µ</w:t>
      </w:r>
      <w:r w:rsidRPr="00BC259E">
        <w:t xml:space="preserve">g/day of fluticasone propionate or equivalent was permitted provided the dose of ICS remained consistent throughout the study. Permitted and prohibited concomitant medications in studies DB2113361 and DB2113373 </w:t>
      </w:r>
      <w:r>
        <w:t>were provided in the CSR</w:t>
      </w:r>
      <w:r w:rsidRPr="00BC259E">
        <w:t>.</w:t>
      </w:r>
    </w:p>
    <w:p w:rsidR="00B13321" w:rsidRPr="00BC259E" w:rsidRDefault="00C3117B" w:rsidP="00164A0A">
      <w:r w:rsidRPr="00C3117B">
        <w:rPr>
          <w:b/>
        </w:rPr>
        <w:t xml:space="preserve">Evaluator’s </w:t>
      </w:r>
      <w:r w:rsidR="00164A0A">
        <w:rPr>
          <w:b/>
        </w:rPr>
        <w:t>c</w:t>
      </w:r>
      <w:r w:rsidR="00B13321" w:rsidRPr="00BC259E">
        <w:rPr>
          <w:b/>
        </w:rPr>
        <w:t>omments</w:t>
      </w:r>
      <w:r>
        <w:t xml:space="preserve">: </w:t>
      </w:r>
      <w:r w:rsidR="00B13321" w:rsidRPr="00BC259E">
        <w:t xml:space="preserve">The study dose selection is appropriate and has been previously discussed in Section 6 of this evaluation report. The study design involving a </w:t>
      </w:r>
      <w:r w:rsidR="00B13321" w:rsidRPr="00584151">
        <w:t>placebo</w:t>
      </w:r>
      <w:r w:rsidR="00B13321" w:rsidRPr="00BC259E">
        <w:t xml:space="preserve"> control is appropriate and consistent with the recommendation of the FDA Guidance for Industry- Chronic Obstructive Pulmonary Disease: Developing Drugs for Treatment. The provision of a short-acting </w:t>
      </w:r>
      <w:r w:rsidR="00B13321">
        <w:t>beta</w:t>
      </w:r>
      <w:r w:rsidR="00B13321" w:rsidRPr="00BC259E">
        <w:t xml:space="preserve">2-agonist (salbutamol) as rescue medication and the permitted concomitant medications are in general keeping with both the FDA and EMA guidelines. The study design evaluating the efficacy and safety of the combination product as well as the individual </w:t>
      </w:r>
      <w:r w:rsidR="00B13321" w:rsidRPr="00BC259E">
        <w:lastRenderedPageBreak/>
        <w:t>components is consistent with the EMA guidelines “Note for Guidance on Fixed Dose Combination Medicinal Products”</w:t>
      </w:r>
      <w:r w:rsidR="00B13321" w:rsidRPr="000F699E">
        <w:rPr>
          <w:vertAlign w:val="superscript"/>
        </w:rPr>
        <w:footnoteReference w:id="13"/>
      </w:r>
      <w:proofErr w:type="gramStart"/>
      <w:r w:rsidR="00B13321" w:rsidRPr="000F699E">
        <w:rPr>
          <w:vertAlign w:val="superscript"/>
        </w:rPr>
        <w:t>.</w:t>
      </w:r>
      <w:r w:rsidR="00B13321">
        <w:t>.</w:t>
      </w:r>
      <w:proofErr w:type="gramEnd"/>
    </w:p>
    <w:p w:rsidR="00B13321" w:rsidRPr="00BC259E" w:rsidRDefault="00B13321" w:rsidP="00A24905">
      <w:pPr>
        <w:pStyle w:val="Heading5"/>
      </w:pPr>
      <w:r w:rsidRPr="00BC259E">
        <w:t>Efficacy variables and outcomes</w:t>
      </w:r>
    </w:p>
    <w:p w:rsidR="00B13321" w:rsidRPr="00BC259E" w:rsidRDefault="00B13321" w:rsidP="00A24905">
      <w:r w:rsidRPr="00BC259E">
        <w:t>The primary efficacy endpoint was the trough FEV1 at Day 169. This was defined as the mean of the FEV1 values obtained 23 and 24 hours after dosing on Day 168 (</w:t>
      </w:r>
      <w:r>
        <w:t>that is,</w:t>
      </w:r>
      <w:r w:rsidRPr="00BC259E">
        <w:t xml:space="preserve"> at the Week 24 Visit).</w:t>
      </w:r>
    </w:p>
    <w:p w:rsidR="00B13321" w:rsidRPr="00BC259E" w:rsidRDefault="00B13321" w:rsidP="00A24905">
      <w:r w:rsidRPr="00BC259E">
        <w:t>The secondary efficacy endpoints were the mean Transition Dyspnoea Index (TDI) focal score</w:t>
      </w:r>
      <w:r w:rsidRPr="000F699E">
        <w:rPr>
          <w:vertAlign w:val="superscript"/>
        </w:rPr>
        <w:footnoteReference w:id="14"/>
      </w:r>
      <w:r w:rsidR="005253D1">
        <w:t>,</w:t>
      </w:r>
      <w:r w:rsidRPr="000F699E">
        <w:rPr>
          <w:vertAlign w:val="superscript"/>
        </w:rPr>
        <w:footnoteReference w:id="15"/>
      </w:r>
      <w:r w:rsidRPr="00BC259E">
        <w:t xml:space="preserve"> at Day 168, and the weighted mean FEV1 over 0 to 6 hours </w:t>
      </w:r>
      <w:r>
        <w:t>post-dose</w:t>
      </w:r>
      <w:r w:rsidRPr="00BC259E">
        <w:t xml:space="preserve"> at Day 168. A list of the other study efficacy endpoints evaluating FEV1 or FVC included trough FEV1 and weighted mean FEV1 over 0 to 6 hours </w:t>
      </w:r>
      <w:r>
        <w:t>post-dose</w:t>
      </w:r>
      <w:r w:rsidRPr="00BC259E">
        <w:t xml:space="preserve"> at other </w:t>
      </w:r>
      <w:r>
        <w:t>time points</w:t>
      </w:r>
      <w:r w:rsidRPr="00BC259E">
        <w:t xml:space="preserve">, time to onset (defined as an increase of 100 mL above baseline in FEV1) during 0 to 6 hours </w:t>
      </w:r>
      <w:r>
        <w:t>post-dose</w:t>
      </w:r>
      <w:r w:rsidRPr="00BC259E">
        <w:t xml:space="preserve"> on Day 1, proportion of subjects achieving an increase in FEV1 of </w:t>
      </w:r>
      <w:r>
        <w:t xml:space="preserve">≥ </w:t>
      </w:r>
      <w:r w:rsidRPr="00BC259E">
        <w:t xml:space="preserve">12% and </w:t>
      </w:r>
      <w:r>
        <w:t xml:space="preserve">≥ </w:t>
      </w:r>
      <w:r w:rsidRPr="00BC259E">
        <w:t xml:space="preserve">200 mL above baseline at any time during 0 to 6 hours </w:t>
      </w:r>
      <w:r>
        <w:t>post-dose</w:t>
      </w:r>
      <w:r w:rsidRPr="00BC259E">
        <w:t xml:space="preserve"> on Day 1, proportion of subjects achieving an increase of </w:t>
      </w:r>
      <w:r>
        <w:t xml:space="preserve">≥ </w:t>
      </w:r>
      <w:r w:rsidRPr="00BC259E">
        <w:t>100 mL above baseline in trough FEV1, serial FEV1 over 0 to 6 hours (at each time point), peak FEV1</w:t>
      </w:r>
      <w:r w:rsidR="00C3117B">
        <w:t>,</w:t>
      </w:r>
      <w:r w:rsidRPr="00BC259E">
        <w:t xml:space="preserve"> serial and trough FVC, and weighted mean and serial FEV1 over 0 to 24 hours </w:t>
      </w:r>
      <w:r>
        <w:t>post-dose</w:t>
      </w:r>
      <w:r w:rsidRPr="00BC259E">
        <w:t xml:space="preserve"> obtained in a subset of subjects</w:t>
      </w:r>
      <w:r w:rsidRPr="00160AF2">
        <w:rPr>
          <w:vertAlign w:val="superscript"/>
        </w:rPr>
        <w:footnoteReference w:id="16"/>
      </w:r>
      <w:r w:rsidRPr="00BC259E">
        <w:t xml:space="preserve">. Other efficacy endpoints evaluating symptomatic benefits included mean TDI focal score at other time points, proportion of responders to TDI (defined as a subject with a TDI score of 1 unit or more), rescue salbutamol use (percentage of </w:t>
      </w:r>
      <w:r>
        <w:t>rescue free</w:t>
      </w:r>
      <w:r w:rsidRPr="00BC259E">
        <w:t xml:space="preserve"> days and puffs/day), mean Shortness of Breath with Daily Activities (SOBDA) score</w:t>
      </w:r>
      <w:r w:rsidRPr="00160AF2">
        <w:rPr>
          <w:vertAlign w:val="superscript"/>
        </w:rPr>
        <w:footnoteReference w:id="17"/>
      </w:r>
      <w:r w:rsidRPr="00BC259E">
        <w:t xml:space="preserve">, proportion of responders to </w:t>
      </w:r>
      <w:r w:rsidRPr="003E20A6">
        <w:t xml:space="preserve">the SOBDA (definition of responder to SOBDA is discussed </w:t>
      </w:r>
      <w:r w:rsidRPr="003E20A6">
        <w:lastRenderedPageBreak/>
        <w:t xml:space="preserve">below), </w:t>
      </w:r>
      <w:r w:rsidRPr="00BC259E">
        <w:t>and time to first COPD exacerbation</w:t>
      </w:r>
      <w:r w:rsidRPr="00160AF2">
        <w:rPr>
          <w:vertAlign w:val="superscript"/>
        </w:rPr>
        <w:footnoteReference w:id="18"/>
      </w:r>
      <w:r w:rsidRPr="00BC259E">
        <w:t>. In addition, health outcomes were assessed using the St. George’s Respiratory Questionnaire (SGRQ)</w:t>
      </w:r>
      <w:r w:rsidRPr="00160AF2">
        <w:rPr>
          <w:vertAlign w:val="superscript"/>
        </w:rPr>
        <w:footnoteReference w:id="19"/>
      </w:r>
      <w:r w:rsidRPr="00BC259E">
        <w:t xml:space="preserve"> and by evaluation of healthcare resource utilisation.</w:t>
      </w:r>
    </w:p>
    <w:p w:rsidR="00B13321" w:rsidRPr="00BC259E" w:rsidRDefault="00B13321" w:rsidP="00A24905">
      <w:r w:rsidRPr="00BC259E">
        <w:t>Pulmonary function tests and assessments of endpoints were performed according to the sche</w:t>
      </w:r>
      <w:r>
        <w:t>dule provided</w:t>
      </w:r>
      <w:r w:rsidRPr="00BC259E">
        <w:t>.</w:t>
      </w:r>
    </w:p>
    <w:p w:rsidR="00B13321" w:rsidRPr="005253D1" w:rsidRDefault="008138BC" w:rsidP="005253D1">
      <w:pPr>
        <w:rPr>
          <w:b/>
        </w:rPr>
      </w:pPr>
      <w:r w:rsidRPr="005253D1">
        <w:rPr>
          <w:b/>
        </w:rPr>
        <w:t>Evaluator’s comments:</w:t>
      </w:r>
    </w:p>
    <w:p w:rsidR="00B13321" w:rsidRPr="00BC259E" w:rsidRDefault="00B13321" w:rsidP="005253D1">
      <w:pPr>
        <w:pStyle w:val="ListBullet"/>
      </w:pPr>
      <w:r w:rsidRPr="00BC259E">
        <w:t xml:space="preserve">Overall, the primary and secondary endpoints of these studies are appropriate and consistent with the recommendations in the EMA guidelines on clinical investigation of medicinal products in the treatment of </w:t>
      </w:r>
      <w:r w:rsidRPr="000F1444">
        <w:t>COPD</w:t>
      </w:r>
      <w:r w:rsidRPr="00BC259E">
        <w:t xml:space="preserve">, as well as the FDA Guidance for Industry- Chronic Obstructive Pulmonary Disease: Developing Drugs for Treatment, which recommended endpoints evaluating FEV1, symptom relief, or effect on exacerbations of COPD. The study primary and secondary endpoints allowed evaluations of the </w:t>
      </w:r>
      <w:r>
        <w:t>post dose</w:t>
      </w:r>
      <w:r w:rsidRPr="00BC259E">
        <w:t xml:space="preserve"> </w:t>
      </w:r>
      <w:proofErr w:type="spellStart"/>
      <w:r w:rsidRPr="00BC259E">
        <w:t>bronchodilatory</w:t>
      </w:r>
      <w:proofErr w:type="spellEnd"/>
      <w:r w:rsidRPr="00BC259E">
        <w:t xml:space="preserve"> effect of UMEC/VI and its components after 24 weeks of treatment (FEV1 over 0 to 6 </w:t>
      </w:r>
      <w:r w:rsidRPr="005253D1">
        <w:t>hours</w:t>
      </w:r>
      <w:r w:rsidRPr="00BC259E">
        <w:t xml:space="preserve"> </w:t>
      </w:r>
      <w:r>
        <w:t>post dose</w:t>
      </w:r>
      <w:r w:rsidRPr="00BC259E">
        <w:t xml:space="preserve"> at Day 168), and at the end of the 2</w:t>
      </w:r>
      <w:r>
        <w:t>4-hour</w:t>
      </w:r>
      <w:r w:rsidRPr="00BC259E">
        <w:t xml:space="preserve"> dosing interval after 24 weeks of treatment (trough FEV1 on Day 169), as well as effect on symptom relief (TDI score). Other efficacy endpoints allowed further characterisation of the </w:t>
      </w:r>
      <w:proofErr w:type="spellStart"/>
      <w:r w:rsidRPr="00BC259E">
        <w:t>bronchodilatory</w:t>
      </w:r>
      <w:proofErr w:type="spellEnd"/>
      <w:r w:rsidRPr="00BC259E">
        <w:t xml:space="preserve"> effect of UMEC/VI and its compone</w:t>
      </w:r>
      <w:r>
        <w:t>nts across 24 weeks and over 24-</w:t>
      </w:r>
      <w:r w:rsidRPr="00BC259E">
        <w:t xml:space="preserve">hours </w:t>
      </w:r>
      <w:r>
        <w:t>post-dose</w:t>
      </w:r>
      <w:r w:rsidRPr="00BC259E">
        <w:t xml:space="preserve"> period, and of the effects on symptom relief and health outcomes (use of rescue salbutamol, time to first COPD exacerbations, SOBDA, SGRQ, healthcare resource utilisation). The use of the SGRQ is in line with the recommendations of the EMA guidelines, which cited the use of the Chronic Respiratory Questionnaire or the St George’s Respiratory Questionnaire.</w:t>
      </w:r>
    </w:p>
    <w:p w:rsidR="00B13321" w:rsidRPr="005253D1" w:rsidRDefault="00B13321" w:rsidP="005253D1">
      <w:pPr>
        <w:pStyle w:val="ListBullet"/>
      </w:pPr>
      <w:r w:rsidRPr="00BC259E">
        <w:t xml:space="preserve">The study duration of 24 weeks to support the proposed indication of a </w:t>
      </w:r>
      <w:r>
        <w:t>long term</w:t>
      </w:r>
      <w:r w:rsidRPr="00BC259E">
        <w:t xml:space="preserve"> </w:t>
      </w:r>
      <w:r>
        <w:t xml:space="preserve">once </w:t>
      </w:r>
      <w:r w:rsidRPr="003E20A6">
        <w:t>daily</w:t>
      </w:r>
      <w:r w:rsidRPr="00BC259E">
        <w:t xml:space="preserve"> maintenance bronchodilator treatment in COPD is consistent with both the EMA and FDA guidelines. The EMA guidelines on clinical investigation of medicinal products in the treatment of </w:t>
      </w:r>
      <w:r w:rsidRPr="000F1444">
        <w:t>COPD</w:t>
      </w:r>
      <w:r w:rsidRPr="00BC259E">
        <w:t xml:space="preserve"> states that “Study duration will depend on the primary endpoints chosen. The effect on lung function parameters and symptoms might be demonstrated in 12 to 24 weeks; demonstration of efficacy through reduction in exacerbations will </w:t>
      </w:r>
      <w:r w:rsidRPr="005253D1">
        <w:t>require studies of longer duration, at least one year”. The FDA Guidance for Industry- Chronic Obstructive Pulmonary Disease: Developing Drugs for Treatment gives similar recommendations that for drugs claiming to improve airflow obstruction, the duration of treatment should be at least 3 months for a bronchodilator drug and at least 6 months for a non-bronchodilator drug.</w:t>
      </w:r>
    </w:p>
    <w:p w:rsidR="00B13321" w:rsidRPr="003E20A6" w:rsidRDefault="00B13321" w:rsidP="005253D1">
      <w:pPr>
        <w:pStyle w:val="ListBullet"/>
      </w:pPr>
      <w:r w:rsidRPr="005253D1">
        <w:t>With regards to the subset of study population that performed 24-hour serial spirometry during the study, the sponsor had stated that at selected study sites, a subset of approximately 198 planned subjects performed 24-hour serial spirometry during the study, but no further explanation</w:t>
      </w:r>
      <w:r w:rsidRPr="00BC259E">
        <w:t xml:space="preserve"> was provided in the clinical study reports (CSR) or protocols as to how the sites or the subset of subjects had been selected. This information would be important in the overall assessment of any potential bias in the study results with regards to </w:t>
      </w:r>
      <w:r w:rsidRPr="003E20A6">
        <w:t xml:space="preserve">this subset. This will be raised as a clinical question </w:t>
      </w:r>
      <w:r>
        <w:t>in section</w:t>
      </w:r>
      <w:r w:rsidR="00C3117B">
        <w:t xml:space="preserve"> </w:t>
      </w:r>
      <w:r>
        <w:t>11</w:t>
      </w:r>
      <w:r w:rsidRPr="003E20A6">
        <w:t>.</w:t>
      </w:r>
    </w:p>
    <w:p w:rsidR="00B13321" w:rsidRPr="00BC259E" w:rsidRDefault="00B13321" w:rsidP="00A24905">
      <w:pPr>
        <w:pStyle w:val="Heading5"/>
      </w:pPr>
      <w:r w:rsidRPr="00BC259E">
        <w:lastRenderedPageBreak/>
        <w:t>Randomisation and blinding methods</w:t>
      </w:r>
    </w:p>
    <w:p w:rsidR="00B13321" w:rsidRPr="00BC259E" w:rsidRDefault="00B13321" w:rsidP="00A24905">
      <w:r w:rsidRPr="00BC259E">
        <w:t>Foll</w:t>
      </w:r>
      <w:r>
        <w:t>owing the completion of the Run-</w:t>
      </w:r>
      <w:r w:rsidRPr="00BC259E">
        <w:t xml:space="preserve">in Period, eligible subjects were randomised in a 3:3:3:2 ratio to one of 4 treatment groups: UMEC/VI 125/25 </w:t>
      </w:r>
      <w:r>
        <w:t>µ</w:t>
      </w:r>
      <w:r w:rsidRPr="00BC259E">
        <w:t xml:space="preserve">g, UMEC 125 </w:t>
      </w:r>
      <w:r>
        <w:t>µ</w:t>
      </w:r>
      <w:r w:rsidRPr="00BC259E">
        <w:t xml:space="preserve">g, VI 25 </w:t>
      </w:r>
      <w:r>
        <w:t>µ</w:t>
      </w:r>
      <w:r w:rsidRPr="00BC259E">
        <w:t xml:space="preserve">g, or matching </w:t>
      </w:r>
      <w:r w:rsidRPr="003E20A6">
        <w:t>placebo</w:t>
      </w:r>
      <w:r w:rsidRPr="00BC259E">
        <w:t xml:space="preserve"> in study DB2113361, or UMEC/VI 62.5/25 </w:t>
      </w:r>
      <w:r>
        <w:t>µ</w:t>
      </w:r>
      <w:r w:rsidRPr="00BC259E">
        <w:t xml:space="preserve">g, UMEC 62.5 </w:t>
      </w:r>
      <w:r>
        <w:t>µ</w:t>
      </w:r>
      <w:r w:rsidRPr="00BC259E">
        <w:t xml:space="preserve">g, VI 25 </w:t>
      </w:r>
      <w:r>
        <w:t>µ</w:t>
      </w:r>
      <w:r w:rsidRPr="00BC259E">
        <w:t xml:space="preserve">g, or matching </w:t>
      </w:r>
      <w:r w:rsidRPr="003E20A6">
        <w:t>placebo</w:t>
      </w:r>
      <w:r w:rsidRPr="00BC259E">
        <w:t xml:space="preserve"> in study DB2113373. Subjects were randomised using an Interactive Voice Response System (IVRS). Subjects were assigned to study treatments in accordance with a randomisation schedule, and the randomisation codes were generated by the sponsor using a validated computerised system </w:t>
      </w:r>
      <w:proofErr w:type="spellStart"/>
      <w:r w:rsidRPr="00BC259E">
        <w:t>RandAll</w:t>
      </w:r>
      <w:proofErr w:type="spellEnd"/>
      <w:r w:rsidRPr="00BC259E">
        <w:t xml:space="preserve"> version 2.5. Both studies had a </w:t>
      </w:r>
      <w:r>
        <w:t>double-blind</w:t>
      </w:r>
      <w:r w:rsidRPr="00BC259E">
        <w:t xml:space="preserve"> study design. The sponsor generated the randomisation schedule, prepared and coded the study drug in a blinded fashion</w:t>
      </w:r>
      <w:r>
        <w:t>, and provided all study drugs.</w:t>
      </w:r>
    </w:p>
    <w:p w:rsidR="00B13321" w:rsidRPr="00BC259E" w:rsidRDefault="00B13321" w:rsidP="00A24905">
      <w:pPr>
        <w:pStyle w:val="Heading5"/>
      </w:pPr>
      <w:r w:rsidRPr="00BC259E">
        <w:t>Analysis populations</w:t>
      </w:r>
    </w:p>
    <w:p w:rsidR="00B13321" w:rsidRDefault="00B13321" w:rsidP="00A24905">
      <w:r w:rsidRPr="00BC259E">
        <w:t xml:space="preserve">In both studies, 5 analysis populations were identified. The All Subjects Enrolled (ASE) population comprised of all subjects for whom a record existed on the study database, including screen failures and any subject who was not screened but reported an SAE between the date of informed consent and the planned date of the Screening Visit. This population was used for reporting subject disposition and for listing </w:t>
      </w:r>
      <w:r w:rsidRPr="003E20A6">
        <w:t xml:space="preserve">adverse events </w:t>
      </w:r>
      <w:r>
        <w:t>(AEs)</w:t>
      </w:r>
      <w:r w:rsidRPr="00BC259E">
        <w:t xml:space="preserve"> and incorrect treatment allocation. The Screen and </w:t>
      </w:r>
      <w:r>
        <w:t>Run-in</w:t>
      </w:r>
      <w:r w:rsidRPr="00BC259E">
        <w:t xml:space="preserve"> Failure (SRF) population comprised of all subjects in the ASE population who were recorded as screen failures or </w:t>
      </w:r>
      <w:r>
        <w:t>run-in</w:t>
      </w:r>
      <w:r w:rsidRPr="00BC259E">
        <w:t xml:space="preserve"> failures. This population was used for the tabulation of reasons for screen and </w:t>
      </w:r>
      <w:r>
        <w:t>run-in</w:t>
      </w:r>
      <w:r w:rsidRPr="00BC259E">
        <w:t xml:space="preserve"> failure and for inclusion, exclusion, and randomisati</w:t>
      </w:r>
      <w:r>
        <w:t>on criteria failure. The Intent-to-</w:t>
      </w:r>
      <w:r w:rsidRPr="00BC259E">
        <w:t>treat (ITT) population comprised of all subjects who were randomised to treatment and who received at least one dose of randomised study drug during the treatment period. This population was the primary analysis population for all efficacy analyses, and outcomes were reported according to the randomised treatment allocation. The Per Protocol (PP) population comprised of all subjects in the ITT population who were not identified as having full protocol deviations</w:t>
      </w:r>
      <w:r w:rsidR="0042481D">
        <w:t>.</w:t>
      </w:r>
      <w:r w:rsidRPr="00C2396A">
        <w:rPr>
          <w:vertAlign w:val="superscript"/>
        </w:rPr>
        <w:footnoteReference w:id="20"/>
      </w:r>
      <w:r>
        <w:t xml:space="preserve"> </w:t>
      </w:r>
      <w:r w:rsidRPr="00BC259E">
        <w:t>The PP population was used for confirmatory analyses of the primary and secondary efficacy endpoints. The Twenty Four Hour (TFH) population comprised of a subset of subjects from the ITT population for whom 2</w:t>
      </w:r>
      <w:r>
        <w:t>4-hour</w:t>
      </w:r>
      <w:r w:rsidRPr="00BC259E">
        <w:t xml:space="preserve"> data were collected for spirometry and </w:t>
      </w:r>
      <w:proofErr w:type="spellStart"/>
      <w:r>
        <w:t>Holter</w:t>
      </w:r>
      <w:proofErr w:type="spellEnd"/>
      <w:r w:rsidRPr="00BC259E">
        <w:t xml:space="preserve"> monitoring.</w:t>
      </w:r>
    </w:p>
    <w:p w:rsidR="00B13321" w:rsidRPr="00BC259E" w:rsidRDefault="00B13321" w:rsidP="005253D1">
      <w:r>
        <w:rPr>
          <w:b/>
        </w:rPr>
        <w:t xml:space="preserve">Evaluator’s comments: </w:t>
      </w:r>
      <w:r w:rsidRPr="00BC259E">
        <w:t>The definitions of the analysis populations are in keeping with the TGA-adopted ICH E 9 Statistical Principles for Clinical Studies. Although the ITT population excluded subjects who</w:t>
      </w:r>
      <w:r>
        <w:t xml:space="preserve"> took no study drug, the intent-to-treat</w:t>
      </w:r>
      <w:r w:rsidRPr="00BC259E">
        <w:t xml:space="preserve"> principle would be preserved as the study was </w:t>
      </w:r>
      <w:r>
        <w:t>double-blind</w:t>
      </w:r>
      <w:r w:rsidRPr="00BC259E">
        <w:t>, and the initial decision by subjects of whether or not to begin treatment would not be influenced by knowledge of the assigned treatment, and hence the exclusion of these subjects is not deemed to have introduced any potential bias.</w:t>
      </w:r>
    </w:p>
    <w:p w:rsidR="00B13321" w:rsidRPr="00BC259E" w:rsidDel="0081373E" w:rsidRDefault="00B13321" w:rsidP="00A24905">
      <w:pPr>
        <w:pStyle w:val="Heading5"/>
      </w:pPr>
      <w:r w:rsidRPr="00BC259E" w:rsidDel="0081373E">
        <w:t>Sample size</w:t>
      </w:r>
    </w:p>
    <w:p w:rsidR="00B13321" w:rsidRPr="00BC259E" w:rsidRDefault="00B13321" w:rsidP="00A24905">
      <w:r w:rsidRPr="00BC259E">
        <w:t>The sample size estimation aimed to provide sufficient power for the comparison of the primary and secondary endpoints, including the TDI. The samp</w:t>
      </w:r>
      <w:r>
        <w:t>le size calculations used a two-</w:t>
      </w:r>
      <w:r w:rsidRPr="00BC259E">
        <w:t>sided 5% significance level and estimates of residual standard deviations (SD) of 3.24 units for TDI, and of 210 mL for trough FEV1. The estimate of SD for TDI was based on Mixed Model Repeated Measures (MMRM) analyses of a previous study in COPD subjects with</w:t>
      </w:r>
      <w:r>
        <w:t xml:space="preserve"> a fluticasone propionate (FP)/</w:t>
      </w:r>
      <w:proofErr w:type="spellStart"/>
      <w:r w:rsidRPr="00BC259E">
        <w:t>salmeterol</w:t>
      </w:r>
      <w:proofErr w:type="spellEnd"/>
      <w:r w:rsidRPr="00BC259E">
        <w:t xml:space="preserve"> combination. The estimate of SD for trough FEV1 was based on MMRM analyses of previous studies in COPD subjects with UMEC, VI, and the FP/</w:t>
      </w:r>
      <w:proofErr w:type="spellStart"/>
      <w:r w:rsidRPr="00BC259E">
        <w:t>salmeterol</w:t>
      </w:r>
      <w:proofErr w:type="spellEnd"/>
      <w:r w:rsidRPr="00BC259E">
        <w:t xml:space="preserve"> combination. According to the sponsor, subjects were to be randomised to active treatment </w:t>
      </w:r>
      <w:r w:rsidRPr="00BC259E">
        <w:lastRenderedPageBreak/>
        <w:t xml:space="preserve">arms or </w:t>
      </w:r>
      <w:r>
        <w:t>placebo</w:t>
      </w:r>
      <w:r w:rsidRPr="00BC259E">
        <w:t xml:space="preserve"> </w:t>
      </w:r>
      <w:proofErr w:type="gramStart"/>
      <w:r w:rsidRPr="00BC259E">
        <w:t>in a 3:2 ratio</w:t>
      </w:r>
      <w:r>
        <w:t>,</w:t>
      </w:r>
      <w:proofErr w:type="gramEnd"/>
      <w:r w:rsidRPr="00BC259E">
        <w:t xml:space="preserve"> in order to provide additional safety data for the active treatments.</w:t>
      </w:r>
    </w:p>
    <w:p w:rsidR="00B13321" w:rsidRPr="00BC259E" w:rsidRDefault="00B13321" w:rsidP="00A24905">
      <w:r w:rsidRPr="00BC259E">
        <w:t xml:space="preserve">It was estimated that a study with 273 evaluable subjects in each active arm and 182 evaluable subjects in the </w:t>
      </w:r>
      <w:r w:rsidRPr="00B90316">
        <w:t>placebo</w:t>
      </w:r>
      <w:r w:rsidRPr="00BC259E">
        <w:t xml:space="preserve"> arm wou</w:t>
      </w:r>
      <w:r>
        <w:t>ld have 90% power to detect a 1-</w:t>
      </w:r>
      <w:r w:rsidRPr="00BC259E">
        <w:t>unit difference between treatments in TDI</w:t>
      </w:r>
      <w:r w:rsidRPr="00C2396A">
        <w:rPr>
          <w:vertAlign w:val="superscript"/>
        </w:rPr>
        <w:footnoteReference w:id="21"/>
      </w:r>
      <w:r w:rsidRPr="005253D1">
        <w:t>.</w:t>
      </w:r>
      <w:r w:rsidRPr="00BC259E">
        <w:t xml:space="preserve"> With this number of evaluable subjects per active arm, the study would have </w:t>
      </w:r>
      <w:r>
        <w:t xml:space="preserve">&gt; </w:t>
      </w:r>
      <w:r w:rsidRPr="00BC259E">
        <w:t>99% power to detect a 100 mL difference between UMEC/VI and either UMEC or VI, or between an active tr</w:t>
      </w:r>
      <w:r>
        <w:t xml:space="preserve">eatment and </w:t>
      </w:r>
      <w:r w:rsidRPr="00B90316">
        <w:t>placebo</w:t>
      </w:r>
      <w:r>
        <w:t>, at the two-</w:t>
      </w:r>
      <w:r w:rsidRPr="00BC259E">
        <w:t xml:space="preserve">sided 5% significance level. It would have 90% power to detect a difference of 58 mL between UMEC/VI and either UMEC or VI, or 68 mL between an active treatment and </w:t>
      </w:r>
      <w:r w:rsidRPr="00B90316">
        <w:t>placebo</w:t>
      </w:r>
      <w:r>
        <w:t>.</w:t>
      </w:r>
    </w:p>
    <w:p w:rsidR="00B13321" w:rsidRPr="00BC259E" w:rsidRDefault="00B13321" w:rsidP="00A24905">
      <w:r w:rsidRPr="00BC259E">
        <w:t xml:space="preserve">In addition, it was estimated that approximately 30% of subjects would withdraw without providing a Day 168 (Week 24) assessment. To account for this 30% withdrawal rate, 399 subjects were needed to be randomised to each active treatment arm and 266 subjects were needed to be randomised to the </w:t>
      </w:r>
      <w:r w:rsidRPr="00B90316">
        <w:t>placebo</w:t>
      </w:r>
      <w:r w:rsidRPr="00BC259E">
        <w:t xml:space="preserve"> arm.</w:t>
      </w:r>
    </w:p>
    <w:p w:rsidR="00B13321" w:rsidRPr="00BC259E" w:rsidRDefault="00B13321" w:rsidP="00A24905">
      <w:pPr>
        <w:pStyle w:val="Heading5"/>
      </w:pPr>
      <w:r w:rsidRPr="00BC259E">
        <w:t>Statistical methods</w:t>
      </w:r>
    </w:p>
    <w:p w:rsidR="00B13321" w:rsidRPr="00BC259E" w:rsidRDefault="00B13321" w:rsidP="00A24905">
      <w:r w:rsidRPr="00BC259E">
        <w:t xml:space="preserve">The primary endpoint of trough FEV1 at Day 169 was analysed for the ITT population using a MMRM analysis, including covariates of baseline FEV1, smoking status, day, centre group, treatment, day by baseline interaction, and day by treatment interaction, where day was nominal. The model used all available </w:t>
      </w:r>
      <w:proofErr w:type="spellStart"/>
      <w:r w:rsidRPr="00BC259E">
        <w:t>trough</w:t>
      </w:r>
      <w:proofErr w:type="spellEnd"/>
      <w:r w:rsidRPr="00BC259E">
        <w:t xml:space="preserve"> FEV1 values recorded on Days 2, 28, 56, 84, 112, 168, and 169. Missing data were not directly imputed in thi</w:t>
      </w:r>
      <w:r>
        <w:t>s primary analysis, but all non-</w:t>
      </w:r>
      <w:r w:rsidRPr="00BC259E">
        <w:t xml:space="preserve">missing data for a subject were used within the analysis to estimate the treatment effect for trough FEV1 on Day 169. Additional sensitivity analyses were conducted for the primary endpoint using different imputation methods: missing at random multiple, copy differences from control, Last Mean Carried Forward (LMCF) assuming decline of 0 mL/year, and LMCF assuming decline of 25 mL/year. The analyses of the secondary endpoints of mean TDI focal score at Day 168 and weighted mean FEV1 over 0 to 6 hours </w:t>
      </w:r>
      <w:r>
        <w:t>post dose</w:t>
      </w:r>
      <w:r w:rsidRPr="00BC259E">
        <w:t xml:space="preserve"> at Day 168 used the same methodology as that for the primary endpoint.</w:t>
      </w:r>
    </w:p>
    <w:p w:rsidR="00B13321" w:rsidRPr="00BC259E" w:rsidRDefault="00B13321" w:rsidP="00A24905">
      <w:r w:rsidRPr="00BC259E">
        <w:t xml:space="preserve">Treatment comparisons performed on the primary and secondary endpoints were UMEC/VI </w:t>
      </w:r>
      <w:r>
        <w:t>vs.</w:t>
      </w:r>
      <w:r w:rsidRPr="00BC259E">
        <w:t xml:space="preserve"> </w:t>
      </w:r>
      <w:r w:rsidRPr="008679EE">
        <w:t>placebo</w:t>
      </w:r>
      <w:r w:rsidRPr="00BC259E">
        <w:t xml:space="preserve">, UMEC </w:t>
      </w:r>
      <w:r>
        <w:t>vs.</w:t>
      </w:r>
      <w:r w:rsidRPr="00BC259E">
        <w:t xml:space="preserve"> </w:t>
      </w:r>
      <w:r w:rsidRPr="008679EE">
        <w:t>placebo</w:t>
      </w:r>
      <w:r w:rsidRPr="00BC259E">
        <w:t xml:space="preserve">, VI </w:t>
      </w:r>
      <w:r>
        <w:t>vs.</w:t>
      </w:r>
      <w:r w:rsidRPr="00BC259E">
        <w:t xml:space="preserve"> </w:t>
      </w:r>
      <w:r w:rsidRPr="008679EE">
        <w:t>placebo</w:t>
      </w:r>
      <w:r w:rsidRPr="00BC259E">
        <w:t xml:space="preserve">, UMEC/VI </w:t>
      </w:r>
      <w:r>
        <w:t>vs.</w:t>
      </w:r>
      <w:r w:rsidRPr="00BC259E">
        <w:t xml:space="preserve"> VI, and UMEC/VI </w:t>
      </w:r>
      <w:r>
        <w:t>vs.</w:t>
      </w:r>
      <w:r w:rsidRPr="00BC259E">
        <w:t xml:space="preserve"> UMEC. In order to account for multiplicity across treatment compar</w:t>
      </w:r>
      <w:r>
        <w:t>isons and key endpoints, a step-</w:t>
      </w:r>
      <w:r w:rsidRPr="00BC259E">
        <w:t xml:space="preserve">down closed testing procedure was applied, whereby inference for a test in the </w:t>
      </w:r>
      <w:r>
        <w:t>pre-</w:t>
      </w:r>
      <w:r w:rsidRPr="00BC259E">
        <w:t>defined hierarchy was dependent upon statistical significance having been achieved for previous tests in the hierarchy. This hierarchy consisted of the five treatment comparisons described above, performed in that order, on the primary and secondary endpoints.</w:t>
      </w:r>
    </w:p>
    <w:p w:rsidR="00B13321" w:rsidRPr="00BC259E" w:rsidRDefault="00B13321" w:rsidP="00A24905">
      <w:r w:rsidRPr="00BC259E">
        <w:t xml:space="preserve">With regards to statistical testing hierarchy among the primary and secondary endpoints, for the purpose of submission to EMA, statistical testing hierarchy was applied to trough FEV1 at Day 169, followed by TDI score at Day 168, and then weighted mean FEV1 over 0 to 6 hours </w:t>
      </w:r>
      <w:r>
        <w:t>post dose</w:t>
      </w:r>
      <w:r w:rsidRPr="00BC259E">
        <w:t xml:space="preserve"> at Day 168 (</w:t>
      </w:r>
      <w:r>
        <w:t>that is,</w:t>
      </w:r>
      <w:r w:rsidRPr="00BC259E">
        <w:t xml:space="preserve"> statistical inference for TDI score at Day 168 was conditional on having achieved statistical significance on the primary endpoint, and that for weighted mean FEV1 over 0 to 6 hours </w:t>
      </w:r>
      <w:r>
        <w:t>post-dose</w:t>
      </w:r>
      <w:r w:rsidRPr="00BC259E">
        <w:t xml:space="preserve"> at Day 168 was conditional on having achieved statistical significance on the first 2 endpoints). For purpose of evaluation by the FDA, the testing hierarchy was applied to trough FEV1 at Day 169 followed by weighted mean FEV1 over 0 to 6 hours </w:t>
      </w:r>
      <w:r>
        <w:t>post-dose</w:t>
      </w:r>
      <w:r w:rsidRPr="00BC259E">
        <w:t xml:space="preserve"> at Day 168, as the endpoint of TDI score at Day 168 was designated “other efficacy endpoint” and not “secondary efficacy endpoint” for the FDA submission. The sponsor had provided the rationale for this, that the relevant EMA guidelines (relevant to regulatory submissions to the EMA) recommended that the clinical benefit of an investigational COPD medication should be evaluated using both a measure</w:t>
      </w:r>
      <w:r>
        <w:t xml:space="preserve"> of lung function and a symptom </w:t>
      </w:r>
      <w:r w:rsidRPr="00BC259E">
        <w:t xml:space="preserve">based endpoint such as the TDI, while the FDA guidance document (relevant to regulatory </w:t>
      </w:r>
      <w:r w:rsidRPr="00BC259E">
        <w:lastRenderedPageBreak/>
        <w:t>submissions to the FDA) has designated the TDI as “other” efficacy endpoint. Hence, in these 2 studies, the TDI score was considered a key secondary endpoint for submissions to the EMA and other relevant regulatory authorities, but was considered an “other endpoint” for regulatory submission to the FDA and other relevant regulatory authorities.</w:t>
      </w:r>
    </w:p>
    <w:p w:rsidR="00B13321" w:rsidRPr="00BC259E" w:rsidRDefault="00B13321" w:rsidP="00A24905">
      <w:r w:rsidRPr="00BC259E">
        <w:t>With regards to the endpoint of the proportion of responders to the SOBDA, two thresholds for response according to SOBDA were considered, based on the range of values considered to contain the minimally important difference: -0.1 and -0.2. For each threshold, a subject was to be considered a SOBDA “responder” if the d</w:t>
      </w:r>
      <w:r>
        <w:t>ifference between the mean post-</w:t>
      </w:r>
      <w:r w:rsidRPr="00BC259E">
        <w:t>treatment score and the baseline score was the same</w:t>
      </w:r>
      <w:r>
        <w:t xml:space="preserve"> as or less than the threshold.</w:t>
      </w:r>
    </w:p>
    <w:p w:rsidR="00B13321" w:rsidRPr="00BC259E" w:rsidRDefault="00B13321" w:rsidP="00C61CBA">
      <w:r>
        <w:rPr>
          <w:b/>
        </w:rPr>
        <w:t xml:space="preserve">Evaluator’s comments: </w:t>
      </w:r>
      <w:r w:rsidRPr="00BC259E">
        <w:t>The hierarchical testing of the hypothesis is consistent with the TGA-adopted EMA guidelines on Points to consider on multiplicity in clinical trials</w:t>
      </w:r>
      <w:r w:rsidRPr="00EB5C41">
        <w:rPr>
          <w:vertAlign w:val="superscript"/>
        </w:rPr>
        <w:footnoteReference w:id="22"/>
      </w:r>
      <w:r w:rsidRPr="00BC259E">
        <w:t xml:space="preserve">. The rationale for designating the TDI score as a key secondary endpoint for submissions to the EMA, and as an “other endpoint” for regulatory submission to the FDA is in line with the respective guidelines. In the EMA document “Points to consider on the clinical investigation of medicinal products in the treatment of </w:t>
      </w:r>
      <w:r w:rsidRPr="008679EE">
        <w:t>chronic obstructive pulmonary disease</w:t>
      </w:r>
      <w:r w:rsidRPr="00BC259E">
        <w:t>” (19 May 1999, CPMP/EWP/562/98; the EMA document referenced by the sponsor), there was no mention of the TDI instrument. However, in the EMA “guidelines on clinical investigation of medicinal products in the treatment of chronic obstructive pulmonary disease” (21 June 2012, EMA/CHMP/483572/2012)</w:t>
      </w:r>
      <w:r w:rsidRPr="00EB5C41">
        <w:rPr>
          <w:vertAlign w:val="superscript"/>
        </w:rPr>
        <w:footnoteReference w:id="23"/>
      </w:r>
      <w:r w:rsidRPr="00BC259E">
        <w:t>, among the recommended efficacy endpoints listed, the TDI was stated as one of the “examples of clinical ratings extensively used in randomised controlled trials”. In the FDA “Guidance for Industry- Chronic Obstructive Pulmonary Disease: Developing Drugs for Treatment” (November 2007; the FDA document referenced by the sponsor), it was stated that “activity scales such as the Medical Research Council dyspnoea score, the Borg Scale, and the Mahler Baseline Dyspnoea Index/ Transitional Dyspnoea Index can be used as supportive of efficacy. These scales are relatively simple to administer, but they have limitations that make them unsuitable for use as the sole or primary evidence of efficacy and for supporting specific labelling claims. These scales were not specifically developed for use in clinical studies of drugs and their attributes in longitudinal interventional settings may not be fully elucidated”.</w:t>
      </w:r>
    </w:p>
    <w:p w:rsidR="00B13321" w:rsidRPr="00603115" w:rsidRDefault="00B13321" w:rsidP="00A24905">
      <w:pPr>
        <w:pStyle w:val="Heading5"/>
      </w:pPr>
      <w:r w:rsidRPr="00603115">
        <w:t>Participant flow</w:t>
      </w:r>
    </w:p>
    <w:p w:rsidR="00B13321" w:rsidRDefault="00B13321" w:rsidP="00A24905">
      <w:r w:rsidRPr="00603115">
        <w:t xml:space="preserve">In study DB2113361, out of a total of 2114 subjects screened, 1493 subjects were randomised: 275, 407, 404, and 403 in the </w:t>
      </w:r>
      <w:r w:rsidRPr="009C004D">
        <w:t>placebo</w:t>
      </w:r>
      <w:r w:rsidRPr="00603115">
        <w:t xml:space="preserve">, UMEC 125 </w:t>
      </w:r>
      <w:r>
        <w:t>µg</w:t>
      </w:r>
      <w:r w:rsidRPr="00603115">
        <w:t xml:space="preserve">, VI 25 </w:t>
      </w:r>
      <w:r>
        <w:t>µg</w:t>
      </w:r>
      <w:r w:rsidRPr="00603115">
        <w:t xml:space="preserve"> and UMEC/VI 125/25 </w:t>
      </w:r>
      <w:r>
        <w:t>µg groups, respectively (see F</w:t>
      </w:r>
      <w:r w:rsidRPr="00603115">
        <w:t xml:space="preserve">igure </w:t>
      </w:r>
      <w:r w:rsidR="0042481D">
        <w:t>3</w:t>
      </w:r>
      <w:r w:rsidRPr="00603115">
        <w:t xml:space="preserve"> below).</w:t>
      </w:r>
    </w:p>
    <w:p w:rsidR="00B13321" w:rsidRPr="009C004D" w:rsidRDefault="0042481D" w:rsidP="008138BC">
      <w:pPr>
        <w:pStyle w:val="FigureTitle"/>
      </w:pPr>
      <w:proofErr w:type="gramStart"/>
      <w:r>
        <w:lastRenderedPageBreak/>
        <w:t>Figure 3</w:t>
      </w:r>
      <w:r w:rsidR="00B13321">
        <w:t>.</w:t>
      </w:r>
      <w:proofErr w:type="gramEnd"/>
      <w:r w:rsidR="00B13321">
        <w:t xml:space="preserve"> </w:t>
      </w:r>
      <w:proofErr w:type="gramStart"/>
      <w:r w:rsidR="00B13321">
        <w:t xml:space="preserve">Flow chart of participant flow Study </w:t>
      </w:r>
      <w:r w:rsidR="00B13321" w:rsidRPr="009C004D">
        <w:t>DB2113361.</w:t>
      </w:r>
      <w:proofErr w:type="gramEnd"/>
    </w:p>
    <w:p w:rsidR="00B13321" w:rsidRPr="00603115" w:rsidRDefault="00B13321" w:rsidP="008138BC">
      <w:r>
        <w:rPr>
          <w:noProof/>
          <w:lang w:eastAsia="en-AU"/>
        </w:rPr>
        <w:drawing>
          <wp:inline distT="0" distB="0" distL="0" distR="0" wp14:anchorId="71658939" wp14:editId="5F4E30E3">
            <wp:extent cx="5731510" cy="3584643"/>
            <wp:effectExtent l="0" t="0" r="0" b="0"/>
            <wp:docPr id="5" name="Picture 5" descr="Figure 3. Flow chart of participant flow Study DB211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84643"/>
                    </a:xfrm>
                    <a:prstGeom prst="rect">
                      <a:avLst/>
                    </a:prstGeom>
                  </pic:spPr>
                </pic:pic>
              </a:graphicData>
            </a:graphic>
          </wp:inline>
        </w:drawing>
      </w:r>
    </w:p>
    <w:p w:rsidR="00B13321" w:rsidRPr="00603115" w:rsidRDefault="00B13321" w:rsidP="00C61CBA">
      <w:r w:rsidRPr="00603115">
        <w:t xml:space="preserve">In study DB2113373, out of a total of 2210 subjects screened, 1536 subjects were randomised: 280, 418, 421, and 413 in the </w:t>
      </w:r>
      <w:r>
        <w:t>PLA</w:t>
      </w:r>
      <w:r w:rsidRPr="00603115">
        <w:t xml:space="preserve">, UMEC 62.5 </w:t>
      </w:r>
      <w:r>
        <w:t>µg</w:t>
      </w:r>
      <w:r w:rsidRPr="00603115">
        <w:t xml:space="preserve">, VI 25 </w:t>
      </w:r>
      <w:r>
        <w:t>µg</w:t>
      </w:r>
      <w:r w:rsidRPr="00603115">
        <w:t xml:space="preserve"> and UMEC/VI 62.5/25 </w:t>
      </w:r>
      <w:r>
        <w:t>µg</w:t>
      </w:r>
      <w:r w:rsidRPr="00603115">
        <w:t xml:space="preserve"> groups, respectively (Figure </w:t>
      </w:r>
      <w:r w:rsidR="0042481D">
        <w:t>4</w:t>
      </w:r>
      <w:r w:rsidRPr="00603115">
        <w:t>).</w:t>
      </w:r>
    </w:p>
    <w:p w:rsidR="00B13321" w:rsidRDefault="0042481D" w:rsidP="008138BC">
      <w:pPr>
        <w:pStyle w:val="FigureTitle"/>
      </w:pPr>
      <w:proofErr w:type="gramStart"/>
      <w:r>
        <w:t>Figure 4</w:t>
      </w:r>
      <w:r w:rsidR="00B13321">
        <w:t>.</w:t>
      </w:r>
      <w:proofErr w:type="gramEnd"/>
      <w:r w:rsidR="00B13321">
        <w:t xml:space="preserve"> </w:t>
      </w:r>
      <w:proofErr w:type="gramStart"/>
      <w:r w:rsidR="00B13321">
        <w:t>Flow chart of participant flow Study DB2113373.</w:t>
      </w:r>
      <w:proofErr w:type="gramEnd"/>
    </w:p>
    <w:p w:rsidR="00B13321" w:rsidRPr="00603115" w:rsidRDefault="00B13321" w:rsidP="008138BC">
      <w:r>
        <w:rPr>
          <w:noProof/>
          <w:lang w:eastAsia="en-AU"/>
        </w:rPr>
        <w:drawing>
          <wp:inline distT="0" distB="0" distL="0" distR="0" wp14:anchorId="328BA92C" wp14:editId="32E5C2F8">
            <wp:extent cx="5731510" cy="3414412"/>
            <wp:effectExtent l="0" t="0" r="0" b="0"/>
            <wp:docPr id="6" name="Picture 6" descr="Figure 4. Flow chart of participant flow Study DB21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3414412"/>
                    </a:xfrm>
                    <a:prstGeom prst="rect">
                      <a:avLst/>
                    </a:prstGeom>
                  </pic:spPr>
                </pic:pic>
              </a:graphicData>
            </a:graphic>
          </wp:inline>
        </w:drawing>
      </w:r>
    </w:p>
    <w:p w:rsidR="00B13321" w:rsidRDefault="00B13321" w:rsidP="00A24905">
      <w:r w:rsidRPr="00603115">
        <w:t xml:space="preserve">A summary of the main analysis population datasets for studies DB2113360 and DB2113373 is presented in Tables </w:t>
      </w:r>
      <w:r w:rsidR="0042481D">
        <w:t>4</w:t>
      </w:r>
      <w:r w:rsidRPr="00603115">
        <w:t xml:space="preserve"> and </w:t>
      </w:r>
      <w:r w:rsidR="0042481D">
        <w:t>5</w:t>
      </w:r>
      <w:r w:rsidRPr="00603115">
        <w:t>, respectively.</w:t>
      </w:r>
    </w:p>
    <w:p w:rsidR="00B13321" w:rsidRDefault="00B13321" w:rsidP="008138BC">
      <w:pPr>
        <w:pStyle w:val="Tabletitle"/>
      </w:pPr>
      <w:proofErr w:type="gramStart"/>
      <w:r w:rsidRPr="00992415">
        <w:lastRenderedPageBreak/>
        <w:t xml:space="preserve">Table </w:t>
      </w:r>
      <w:r w:rsidR="0042481D">
        <w:t>4</w:t>
      </w:r>
      <w:r w:rsidRPr="00992415">
        <w:t>.</w:t>
      </w:r>
      <w:proofErr w:type="gramEnd"/>
      <w:r w:rsidRPr="00992415">
        <w:t xml:space="preserve"> Study DB2113361. </w:t>
      </w:r>
      <w:proofErr w:type="gramStart"/>
      <w:r w:rsidRPr="00992415">
        <w:t>Summary of subject populations.</w:t>
      </w:r>
      <w:proofErr w:type="gramEnd"/>
    </w:p>
    <w:p w:rsidR="00B13321" w:rsidRDefault="00B13321" w:rsidP="008138BC">
      <w:r>
        <w:rPr>
          <w:noProof/>
          <w:lang w:eastAsia="en-AU"/>
        </w:rPr>
        <w:drawing>
          <wp:inline distT="0" distB="0" distL="0" distR="0" wp14:anchorId="63BCA15C" wp14:editId="56873251">
            <wp:extent cx="5102884" cy="2987040"/>
            <wp:effectExtent l="0" t="0" r="0" b="0"/>
            <wp:docPr id="7" name="Picture 7" descr="Table 4. Study DB2113361. Summary of subjec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06255" cy="2989013"/>
                    </a:xfrm>
                    <a:prstGeom prst="rect">
                      <a:avLst/>
                    </a:prstGeom>
                  </pic:spPr>
                </pic:pic>
              </a:graphicData>
            </a:graphic>
          </wp:inline>
        </w:drawing>
      </w:r>
    </w:p>
    <w:p w:rsidR="00B13321" w:rsidRDefault="0042481D" w:rsidP="008138BC">
      <w:pPr>
        <w:pStyle w:val="Tabletitle"/>
      </w:pPr>
      <w:proofErr w:type="gramStart"/>
      <w:r>
        <w:t>Table 5</w:t>
      </w:r>
      <w:r w:rsidR="00B13321">
        <w:t>.</w:t>
      </w:r>
      <w:proofErr w:type="gramEnd"/>
      <w:r w:rsidR="00B13321">
        <w:t xml:space="preserve"> Study DB2113373</w:t>
      </w:r>
      <w:r w:rsidR="00B13321" w:rsidRPr="00EB5C41">
        <w:t xml:space="preserve">. </w:t>
      </w:r>
      <w:proofErr w:type="gramStart"/>
      <w:r w:rsidR="00B13321" w:rsidRPr="00EB5C41">
        <w:t>Summary of subject populations.</w:t>
      </w:r>
      <w:proofErr w:type="gramEnd"/>
    </w:p>
    <w:p w:rsidR="00B13321" w:rsidRPr="001340E9" w:rsidRDefault="00B13321" w:rsidP="008138BC">
      <w:r>
        <w:rPr>
          <w:noProof/>
          <w:lang w:eastAsia="en-AU"/>
        </w:rPr>
        <w:drawing>
          <wp:inline distT="0" distB="0" distL="0" distR="0" wp14:anchorId="1FCB18FE" wp14:editId="4D8A7F7F">
            <wp:extent cx="5067300" cy="2839818"/>
            <wp:effectExtent l="0" t="0" r="0" b="0"/>
            <wp:docPr id="12" name="Picture 12" descr="Table 5. Study DB2113373. Summary of subject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67300" cy="2839818"/>
                    </a:xfrm>
                    <a:prstGeom prst="rect">
                      <a:avLst/>
                    </a:prstGeom>
                  </pic:spPr>
                </pic:pic>
              </a:graphicData>
            </a:graphic>
          </wp:inline>
        </w:drawing>
      </w:r>
    </w:p>
    <w:p w:rsidR="00B13321" w:rsidRPr="00603115" w:rsidRDefault="00B13321" w:rsidP="00A24905">
      <w:pPr>
        <w:pStyle w:val="Heading5"/>
      </w:pPr>
      <w:r w:rsidRPr="00603115">
        <w:t>Major protocol violations/deviations</w:t>
      </w:r>
    </w:p>
    <w:p w:rsidR="00B13321" w:rsidRPr="00603115" w:rsidRDefault="00B13321" w:rsidP="00A24905">
      <w:r w:rsidRPr="00603115">
        <w:t xml:space="preserve">In study DB2113361, a total of 157 (11%) subjects had at least 1 full protocol deviation (9% </w:t>
      </w:r>
      <w:r>
        <w:t>(</w:t>
      </w:r>
      <w:r w:rsidRPr="00603115">
        <w:t>24/275</w:t>
      </w:r>
      <w:r>
        <w:t>)</w:t>
      </w:r>
      <w:r w:rsidRPr="00603115">
        <w:t xml:space="preserve">, 8% </w:t>
      </w:r>
      <w:r>
        <w:t>(</w:t>
      </w:r>
      <w:r w:rsidRPr="00603115">
        <w:t>34/407</w:t>
      </w:r>
      <w:r>
        <w:t>)</w:t>
      </w:r>
      <w:r w:rsidRPr="00603115">
        <w:t xml:space="preserve">, 13% </w:t>
      </w:r>
      <w:r>
        <w:t>(</w:t>
      </w:r>
      <w:r w:rsidRPr="00603115">
        <w:t>51/404</w:t>
      </w:r>
      <w:r>
        <w:t>)</w:t>
      </w:r>
      <w:r w:rsidRPr="00603115">
        <w:t xml:space="preserve"> and 12% </w:t>
      </w:r>
      <w:r>
        <w:t>(</w:t>
      </w:r>
      <w:r w:rsidRPr="00603115">
        <w:t>48/403</w:t>
      </w:r>
      <w:r>
        <w:t>)</w:t>
      </w:r>
      <w:r w:rsidRPr="00603115">
        <w:t xml:space="preserve"> in the </w:t>
      </w:r>
      <w:r w:rsidRPr="009C004D">
        <w:t>placebo</w:t>
      </w:r>
      <w:r w:rsidRPr="00603115">
        <w:t xml:space="preserve">, UMEC 125 </w:t>
      </w:r>
      <w:r>
        <w:t>µ</w:t>
      </w:r>
      <w:r w:rsidRPr="00603115">
        <w:t xml:space="preserve">g, VI 25 </w:t>
      </w:r>
      <w:r>
        <w:t>µ</w:t>
      </w:r>
      <w:r w:rsidRPr="00603115">
        <w:t xml:space="preserve">g and UMEC/VI 125/25 </w:t>
      </w:r>
      <w:r>
        <w:t>µ</w:t>
      </w:r>
      <w:r w:rsidRPr="00603115">
        <w:t xml:space="preserve">g groups, respectively).The most commonly reported full protocol deviation in all 4 treatment groups was " use of prohibited medication(s)" (6% </w:t>
      </w:r>
      <w:r>
        <w:t>(</w:t>
      </w:r>
      <w:r w:rsidRPr="00603115">
        <w:t>16/275</w:t>
      </w:r>
      <w:r>
        <w:t>)</w:t>
      </w:r>
      <w:r w:rsidRPr="00603115">
        <w:t xml:space="preserve">, 4% </w:t>
      </w:r>
      <w:r>
        <w:t>(</w:t>
      </w:r>
      <w:r w:rsidRPr="00603115">
        <w:t>18/407</w:t>
      </w:r>
      <w:r>
        <w:t>)</w:t>
      </w:r>
      <w:r w:rsidRPr="00603115">
        <w:t xml:space="preserve">, 9% </w:t>
      </w:r>
      <w:r>
        <w:t>(</w:t>
      </w:r>
      <w:r w:rsidRPr="00603115">
        <w:t>36/404</w:t>
      </w:r>
      <w:r>
        <w:t>)</w:t>
      </w:r>
      <w:r w:rsidRPr="00603115">
        <w:t xml:space="preserve"> and 7% </w:t>
      </w:r>
      <w:r>
        <w:t>(</w:t>
      </w:r>
      <w:r w:rsidRPr="00603115">
        <w:t>27/403</w:t>
      </w:r>
      <w:r>
        <w:t>)</w:t>
      </w:r>
      <w:r w:rsidRPr="00603115">
        <w:t>, respectively).</w:t>
      </w:r>
    </w:p>
    <w:p w:rsidR="00B13321" w:rsidRPr="00603115" w:rsidRDefault="00B13321" w:rsidP="00A24905">
      <w:r w:rsidRPr="00603115">
        <w:t xml:space="preserve">In study DB2113373, a total of 202 (13%) subjects had at least 1 full protocol deviation (17% </w:t>
      </w:r>
      <w:r>
        <w:t>(</w:t>
      </w:r>
      <w:r w:rsidRPr="00603115">
        <w:t>47/280</w:t>
      </w:r>
      <w:r>
        <w:t>)</w:t>
      </w:r>
      <w:r w:rsidRPr="00603115">
        <w:t xml:space="preserve">, 13% </w:t>
      </w:r>
      <w:r>
        <w:t>(</w:t>
      </w:r>
      <w:r w:rsidRPr="00603115">
        <w:t>56/418</w:t>
      </w:r>
      <w:r>
        <w:t>)</w:t>
      </w:r>
      <w:r w:rsidRPr="00603115">
        <w:t xml:space="preserve">, 12% </w:t>
      </w:r>
      <w:r>
        <w:t>(</w:t>
      </w:r>
      <w:r w:rsidRPr="00603115">
        <w:t>49/421</w:t>
      </w:r>
      <w:r>
        <w:t>)</w:t>
      </w:r>
      <w:r w:rsidRPr="00603115">
        <w:t xml:space="preserve"> and 12% </w:t>
      </w:r>
      <w:r>
        <w:t>(</w:t>
      </w:r>
      <w:r w:rsidRPr="00603115">
        <w:t>50/413</w:t>
      </w:r>
      <w:r>
        <w:t>)</w:t>
      </w:r>
      <w:r w:rsidRPr="00603115">
        <w:t xml:space="preserve"> in the </w:t>
      </w:r>
      <w:r w:rsidRPr="009C004D">
        <w:t>placebo</w:t>
      </w:r>
      <w:r w:rsidRPr="00603115">
        <w:t xml:space="preserve">, UMEC 62.5 </w:t>
      </w:r>
      <w:r>
        <w:t>µ</w:t>
      </w:r>
      <w:r w:rsidRPr="00603115">
        <w:t xml:space="preserve">g, VI 25 </w:t>
      </w:r>
      <w:r>
        <w:t>µ</w:t>
      </w:r>
      <w:r w:rsidRPr="00603115">
        <w:t xml:space="preserve">g and UMEC/VI 62.5/25 </w:t>
      </w:r>
      <w:r>
        <w:t>µ</w:t>
      </w:r>
      <w:r w:rsidRPr="00603115">
        <w:t xml:space="preserve">g groups, respectively).The most commonly reported full protocol deviation in all 4 treatment groups was " use of prohibited medication(s)" (10% </w:t>
      </w:r>
      <w:r>
        <w:t>(</w:t>
      </w:r>
      <w:r w:rsidRPr="00603115">
        <w:t>28/280</w:t>
      </w:r>
      <w:r>
        <w:t>)</w:t>
      </w:r>
      <w:r w:rsidRPr="00603115">
        <w:t xml:space="preserve">, 8% </w:t>
      </w:r>
      <w:r>
        <w:t>(</w:t>
      </w:r>
      <w:r w:rsidRPr="00603115">
        <w:t>35/418</w:t>
      </w:r>
      <w:r>
        <w:t>)</w:t>
      </w:r>
      <w:r w:rsidRPr="00603115">
        <w:t xml:space="preserve">, 6% </w:t>
      </w:r>
      <w:r>
        <w:t>(</w:t>
      </w:r>
      <w:r w:rsidRPr="00603115">
        <w:t>26/421</w:t>
      </w:r>
      <w:r>
        <w:t>)</w:t>
      </w:r>
      <w:r w:rsidRPr="00603115">
        <w:t xml:space="preserve"> and 8% </w:t>
      </w:r>
      <w:r>
        <w:t>(</w:t>
      </w:r>
      <w:r w:rsidRPr="00603115">
        <w:t>34/413</w:t>
      </w:r>
      <w:r>
        <w:t>)</w:t>
      </w:r>
      <w:r w:rsidRPr="00603115">
        <w:t>, respectively)</w:t>
      </w:r>
      <w:r>
        <w:t>.</w:t>
      </w:r>
    </w:p>
    <w:p w:rsidR="00B13321" w:rsidRPr="00603115" w:rsidRDefault="00B13321" w:rsidP="00A24905">
      <w:r w:rsidRPr="00603115">
        <w:lastRenderedPageBreak/>
        <w:t xml:space="preserve">Subject compliance with </w:t>
      </w:r>
      <w:r>
        <w:t>double-blind</w:t>
      </w:r>
      <w:r w:rsidRPr="00603115">
        <w:t xml:space="preserve"> study drug was assessed at Visits 4 through 8 by reviewing the dose counter on the NDPI. Treatment compliance was high and comparable across the treatment groups in both study DB2113361 (mean compliance of 98.1% to 99.1% across treatment groups) and study DB2113373 (mean compliance of 98.3% to 99.8% across treatment groups).</w:t>
      </w:r>
    </w:p>
    <w:p w:rsidR="00B13321" w:rsidRPr="00603115" w:rsidRDefault="00B13321" w:rsidP="00A24905">
      <w:pPr>
        <w:pStyle w:val="Heading5"/>
      </w:pPr>
      <w:r w:rsidRPr="00603115">
        <w:t>Baseline data</w:t>
      </w:r>
    </w:p>
    <w:p w:rsidR="00B13321" w:rsidRPr="00603115" w:rsidRDefault="00B13321" w:rsidP="00A24905">
      <w:r w:rsidRPr="00603115">
        <w:t xml:space="preserve">In study DB2113361, baseline demographic characteristics were comparable among treatment groups. The majority of subjects in each treatment group were male (64% to 66%) and White (87% to 89%). The mean age was 62.2 to 63.4 years. Baseline mean </w:t>
      </w:r>
      <w:r>
        <w:t>BMI</w:t>
      </w:r>
      <w:r w:rsidRPr="00603115">
        <w:t xml:space="preserve"> was similar among treatment groups (mean BMI of 26.41 to 27.16), as was the mean smoking history (mean of 42.8 to 45.4 pack years). The baseline disease characteristics were also comparable among treatment groups, as were concomitant </w:t>
      </w:r>
      <w:r>
        <w:t>pre-treatment and on-</w:t>
      </w:r>
      <w:r w:rsidRPr="00603115">
        <w:t>treatment C</w:t>
      </w:r>
      <w:r>
        <w:t>OPD medications</w:t>
      </w:r>
      <w:r w:rsidRPr="00603115">
        <w:t>.</w:t>
      </w:r>
    </w:p>
    <w:p w:rsidR="00B13321" w:rsidRPr="00603115" w:rsidRDefault="00B13321" w:rsidP="00A24905">
      <w:r w:rsidRPr="00603115">
        <w:t>In study DB2113373, the baseline demographic characteristics were co</w:t>
      </w:r>
      <w:r>
        <w:t>mparable among treatment groups</w:t>
      </w:r>
      <w:r w:rsidRPr="00603115">
        <w:t>. The majority of subjects in each treatment group were male (68% to 74%) and White (84% to 86%). The mean age was 62.2 to 64.0 years. Baseline mean BMI was similar among treatment groups (mean BMI of 26.46 to 27.26), as was the mean smoking history (mean of 44 7 to 47.2 pack years). The baseline disease characteristics were also comparable among t</w:t>
      </w:r>
      <w:r>
        <w:t>reatment groups</w:t>
      </w:r>
      <w:r w:rsidRPr="00603115">
        <w:t xml:space="preserve">, as were concomitant </w:t>
      </w:r>
      <w:r>
        <w:t>pre-</w:t>
      </w:r>
      <w:r w:rsidRPr="00603115">
        <w:t xml:space="preserve">treatment and </w:t>
      </w:r>
      <w:r>
        <w:t>on-treatment</w:t>
      </w:r>
      <w:r w:rsidRPr="00603115">
        <w:t xml:space="preserve"> C</w:t>
      </w:r>
      <w:r>
        <w:t>OPD medications</w:t>
      </w:r>
      <w:r w:rsidRPr="00603115">
        <w:t>.</w:t>
      </w:r>
    </w:p>
    <w:p w:rsidR="00B13321" w:rsidRPr="00C61CBA" w:rsidRDefault="00B13321" w:rsidP="00C61CBA">
      <w:pPr>
        <w:rPr>
          <w:b/>
        </w:rPr>
      </w:pPr>
      <w:r w:rsidRPr="00C61CBA">
        <w:rPr>
          <w:b/>
        </w:rPr>
        <w:t>Evaluator’s comments:</w:t>
      </w:r>
    </w:p>
    <w:p w:rsidR="00B13321" w:rsidRPr="00603115" w:rsidRDefault="00B13321" w:rsidP="00C61CBA">
      <w:pPr>
        <w:pStyle w:val="ListBullet"/>
      </w:pPr>
      <w:r w:rsidRPr="00603115">
        <w:t xml:space="preserve">Overall, the baseline demographic and disease characteristics were comparable among </w:t>
      </w:r>
      <w:r w:rsidRPr="00C61CBA">
        <w:t>treatment</w:t>
      </w:r>
      <w:r w:rsidRPr="00603115">
        <w:t xml:space="preserve"> groups in each study. The study populations in these studies were reflective of the target pati</w:t>
      </w:r>
      <w:r w:rsidRPr="00C61CBA">
        <w:t>ent population, with mean (SD) age of 62.9 (8.47) years and 63.1 (8.86) years in stu</w:t>
      </w:r>
      <w:r w:rsidRPr="00603115">
        <w:t>dies DB2113361 and DB2113373, respectively, mean (SD) smoking pack years of 44.0 (23.85) and 46.2 (25.71), respectively, and with 92% and 89% of the respective study populations in GOLD grades II and III of COPD (representing moderate and severe COPD, respectively)</w:t>
      </w:r>
      <w:r w:rsidRPr="009050D1">
        <w:rPr>
          <w:vertAlign w:val="superscript"/>
        </w:rPr>
        <w:footnoteReference w:id="24"/>
      </w:r>
      <w:r w:rsidRPr="00603115">
        <w:t>,</w:t>
      </w:r>
      <w:r w:rsidRPr="009050D1">
        <w:rPr>
          <w:vertAlign w:val="superscript"/>
        </w:rPr>
        <w:footnoteReference w:id="25"/>
      </w:r>
      <w:r w:rsidRPr="00603115">
        <w:t>.</w:t>
      </w:r>
    </w:p>
    <w:p w:rsidR="00B13321" w:rsidRPr="00603115" w:rsidRDefault="00B13321" w:rsidP="00C61CBA">
      <w:pPr>
        <w:pStyle w:val="ListBullet"/>
      </w:pPr>
      <w:r w:rsidRPr="00603115">
        <w:t>The baseline demographic and disease characteristics of the 2</w:t>
      </w:r>
      <w:r>
        <w:t>4-hour</w:t>
      </w:r>
      <w:r w:rsidRPr="00603115">
        <w:t xml:space="preserve"> subset (TFH population) were not </w:t>
      </w:r>
      <w:r w:rsidRPr="00C61CBA">
        <w:t>provided</w:t>
      </w:r>
      <w:r w:rsidRPr="00603115">
        <w:t xml:space="preserve">, and comparability of these baseline characteristics across the treatment groups in this subset of study population could not be ascertained. This will be raised as a clinical question </w:t>
      </w:r>
      <w:r>
        <w:t>in Section 11</w:t>
      </w:r>
      <w:r w:rsidRPr="00603115">
        <w:t>.</w:t>
      </w:r>
    </w:p>
    <w:p w:rsidR="00B13321" w:rsidRPr="00603115" w:rsidRDefault="00B13321" w:rsidP="00A24905">
      <w:pPr>
        <w:pStyle w:val="Heading5"/>
      </w:pPr>
      <w:r w:rsidRPr="00603115">
        <w:t>Results for the primary efficacy outcome</w:t>
      </w:r>
    </w:p>
    <w:p w:rsidR="00B13321" w:rsidRDefault="00B13321" w:rsidP="00A24905">
      <w:r w:rsidRPr="00603115">
        <w:t xml:space="preserve">The primary efficacy endpoint was the trough FEV1 on Day 169. In study DB2113361, there were statistically significantly greater least square mean (LSM) changes from baseline in trough FEV1 at Day 169 compared to </w:t>
      </w:r>
      <w:r w:rsidRPr="00854149">
        <w:t>placebo</w:t>
      </w:r>
      <w:r w:rsidRPr="00603115">
        <w:t xml:space="preserve"> for UMEC/VI 125/25 </w:t>
      </w:r>
      <w:r>
        <w:t>µ</w:t>
      </w:r>
      <w:r w:rsidRPr="00603115">
        <w:t>g (difference of 238</w:t>
      </w:r>
      <w:r>
        <w:t xml:space="preserve"> </w:t>
      </w:r>
      <w:r w:rsidRPr="00603115">
        <w:t xml:space="preserve">mL over </w:t>
      </w:r>
      <w:r w:rsidRPr="00854149">
        <w:t>placebo</w:t>
      </w:r>
      <w:r w:rsidRPr="00603115">
        <w:t>, p</w:t>
      </w:r>
      <w:r>
        <w:t xml:space="preserve"> &lt; </w:t>
      </w:r>
      <w:r w:rsidRPr="00603115">
        <w:t xml:space="preserve">0.001), UMEC 125 </w:t>
      </w:r>
      <w:r>
        <w:t>µ</w:t>
      </w:r>
      <w:r w:rsidRPr="00603115">
        <w:t>g (difference of 160</w:t>
      </w:r>
      <w:r>
        <w:t xml:space="preserve"> </w:t>
      </w:r>
      <w:r w:rsidRPr="00603115">
        <w:t xml:space="preserve">mL over </w:t>
      </w:r>
      <w:r w:rsidRPr="00854149">
        <w:t>placebo</w:t>
      </w:r>
      <w:r w:rsidRPr="00603115">
        <w:t>, p</w:t>
      </w:r>
      <w:r>
        <w:t xml:space="preserve"> &lt; </w:t>
      </w:r>
      <w:r w:rsidRPr="00603115">
        <w:t xml:space="preserve">0.001), and VI 25 </w:t>
      </w:r>
      <w:r>
        <w:t>µ</w:t>
      </w:r>
      <w:r w:rsidRPr="00603115">
        <w:t>g (difference of 124</w:t>
      </w:r>
      <w:r>
        <w:t xml:space="preserve"> </w:t>
      </w:r>
      <w:r w:rsidRPr="00603115">
        <w:t xml:space="preserve">mL over </w:t>
      </w:r>
      <w:r w:rsidRPr="00854149">
        <w:t>placebo</w:t>
      </w:r>
      <w:r w:rsidRPr="00603115">
        <w:t>, p</w:t>
      </w:r>
      <w:r>
        <w:t xml:space="preserve"> &lt; 0.001)</w:t>
      </w:r>
      <w:r w:rsidR="0042481D">
        <w:t xml:space="preserve"> (Table 6</w:t>
      </w:r>
      <w:r>
        <w:t xml:space="preserve">). There were also </w:t>
      </w:r>
      <w:r w:rsidRPr="00603115">
        <w:t xml:space="preserve">statistically significantly greater LSM changes from baseline in trough FEV1 on Day 169 with UMEC/VI 125/25 </w:t>
      </w:r>
      <w:r>
        <w:t>µ</w:t>
      </w:r>
      <w:r w:rsidRPr="00603115">
        <w:t xml:space="preserve">g compared with both VI 25 </w:t>
      </w:r>
      <w:r>
        <w:t>µ</w:t>
      </w:r>
      <w:r w:rsidRPr="00603115">
        <w:t>g (difference of 114</w:t>
      </w:r>
      <w:r>
        <w:t xml:space="preserve"> </w:t>
      </w:r>
      <w:r w:rsidRPr="00603115">
        <w:t xml:space="preserve">mL over VI 25 </w:t>
      </w:r>
      <w:r>
        <w:t>µ</w:t>
      </w:r>
      <w:r w:rsidRPr="00603115">
        <w:t xml:space="preserve">g, </w:t>
      </w:r>
      <w:r>
        <w:t>p &lt; 0.001</w:t>
      </w:r>
      <w:r w:rsidRPr="00603115">
        <w:t xml:space="preserve">) and UMEC 125 </w:t>
      </w:r>
      <w:r>
        <w:t>µ</w:t>
      </w:r>
      <w:r w:rsidRPr="00603115">
        <w:t>g (difference of 79</w:t>
      </w:r>
      <w:r>
        <w:t xml:space="preserve"> </w:t>
      </w:r>
      <w:r w:rsidRPr="00603115">
        <w:t xml:space="preserve">mL over UMEC 125 </w:t>
      </w:r>
      <w:r>
        <w:t>µ</w:t>
      </w:r>
      <w:r w:rsidRPr="00603115">
        <w:t xml:space="preserve">g, </w:t>
      </w:r>
      <w:r>
        <w:t>p &lt; 0.001</w:t>
      </w:r>
      <w:r w:rsidRPr="00603115">
        <w:t>).</w:t>
      </w:r>
    </w:p>
    <w:p w:rsidR="00B13321" w:rsidRDefault="0042481D" w:rsidP="008138BC">
      <w:pPr>
        <w:pStyle w:val="Tabletitle"/>
      </w:pPr>
      <w:proofErr w:type="gramStart"/>
      <w:r>
        <w:lastRenderedPageBreak/>
        <w:t>Table 6</w:t>
      </w:r>
      <w:r w:rsidR="00B13321">
        <w:t>.</w:t>
      </w:r>
      <w:proofErr w:type="gramEnd"/>
      <w:r w:rsidR="00B13321">
        <w:t xml:space="preserve"> Primary Efficacy Analysis: Trough </w:t>
      </w:r>
      <w:proofErr w:type="gramStart"/>
      <w:r w:rsidR="00B13321">
        <w:t>FEV1(</w:t>
      </w:r>
      <w:proofErr w:type="gramEnd"/>
      <w:r w:rsidR="00B13321">
        <w:t>L) at Day 169 (DB2113361 ITT Population).</w:t>
      </w:r>
    </w:p>
    <w:p w:rsidR="00B13321" w:rsidRPr="00603115" w:rsidRDefault="00B13321" w:rsidP="008138BC">
      <w:r>
        <w:rPr>
          <w:noProof/>
          <w:lang w:eastAsia="en-AU"/>
        </w:rPr>
        <w:drawing>
          <wp:inline distT="0" distB="0" distL="0" distR="0" wp14:anchorId="5B888237" wp14:editId="1EF8672D">
            <wp:extent cx="5196840" cy="3076462"/>
            <wp:effectExtent l="0" t="0" r="0" b="0"/>
            <wp:docPr id="17" name="Picture 17" descr="Table 6. Primary Efficacy Analysis: Trough FEV1(L) at Day 169 (DB211336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200028" cy="3078349"/>
                    </a:xfrm>
                    <a:prstGeom prst="rect">
                      <a:avLst/>
                    </a:prstGeom>
                  </pic:spPr>
                </pic:pic>
              </a:graphicData>
            </a:graphic>
          </wp:inline>
        </w:drawing>
      </w:r>
    </w:p>
    <w:p w:rsidR="00B13321" w:rsidRDefault="00B13321" w:rsidP="00A24905">
      <w:r w:rsidRPr="00603115">
        <w:t xml:space="preserve">In Study DB2113373, there were also statistically significantly greater LSM changes from baseline in trough FEV1 on Day 169 compared to </w:t>
      </w:r>
      <w:r w:rsidRPr="00854149">
        <w:t>placebo</w:t>
      </w:r>
      <w:r w:rsidRPr="00603115">
        <w:t xml:space="preserve"> for UMEC/VI 62.5/25 </w:t>
      </w:r>
      <w:r>
        <w:t>µ</w:t>
      </w:r>
      <w:r w:rsidRPr="00603115">
        <w:t>g (difference of 167</w:t>
      </w:r>
      <w:r>
        <w:t xml:space="preserve"> </w:t>
      </w:r>
      <w:r w:rsidRPr="00603115">
        <w:t xml:space="preserve">mL over </w:t>
      </w:r>
      <w:r w:rsidRPr="00854149">
        <w:t>placebo</w:t>
      </w:r>
      <w:r w:rsidRPr="00603115">
        <w:t xml:space="preserve">, </w:t>
      </w:r>
      <w:r>
        <w:t>p &lt; 0.001</w:t>
      </w:r>
      <w:r w:rsidRPr="00603115">
        <w:t xml:space="preserve">), UMEC 62.5 </w:t>
      </w:r>
      <w:r>
        <w:t>µ</w:t>
      </w:r>
      <w:r w:rsidRPr="00603115">
        <w:t>g (difference of 115</w:t>
      </w:r>
      <w:r>
        <w:t xml:space="preserve"> ml</w:t>
      </w:r>
      <w:r w:rsidRPr="00603115">
        <w:t xml:space="preserve"> over </w:t>
      </w:r>
      <w:r w:rsidRPr="00854149">
        <w:t>placebo</w:t>
      </w:r>
      <w:r w:rsidRPr="00603115">
        <w:t xml:space="preserve">, </w:t>
      </w:r>
      <w:r>
        <w:t>p &lt; 0.001</w:t>
      </w:r>
      <w:r w:rsidRPr="00603115">
        <w:t xml:space="preserve">), and VI 25 </w:t>
      </w:r>
      <w:r>
        <w:t>µ</w:t>
      </w:r>
      <w:r w:rsidRPr="00603115">
        <w:t>g (difference of 72</w:t>
      </w:r>
      <w:r>
        <w:t xml:space="preserve"> </w:t>
      </w:r>
      <w:r w:rsidRPr="00603115">
        <w:t xml:space="preserve">mL over </w:t>
      </w:r>
      <w:r w:rsidRPr="00854149">
        <w:t>placebo</w:t>
      </w:r>
      <w:r w:rsidRPr="00603115">
        <w:t xml:space="preserve">, </w:t>
      </w:r>
      <w:r>
        <w:t>p &lt; 0.001)</w:t>
      </w:r>
      <w:r w:rsidR="0042481D">
        <w:t xml:space="preserve"> (Table 7</w:t>
      </w:r>
      <w:r>
        <w:t>)</w:t>
      </w:r>
      <w:r w:rsidRPr="00603115">
        <w:t xml:space="preserve">. There were also statistically significantly greater LSM changes from baseline in trough FEV1 on Day 169 with UMEC/VI 62.5/25 </w:t>
      </w:r>
      <w:r>
        <w:t>µ</w:t>
      </w:r>
      <w:r w:rsidRPr="00603115">
        <w:t xml:space="preserve">g compared with both VI 25 </w:t>
      </w:r>
      <w:r>
        <w:t>µ</w:t>
      </w:r>
      <w:r w:rsidRPr="00603115">
        <w:t>g (difference of 95</w:t>
      </w:r>
      <w:r>
        <w:t xml:space="preserve"> </w:t>
      </w:r>
      <w:r w:rsidRPr="00603115">
        <w:t xml:space="preserve">mL over VI 25 </w:t>
      </w:r>
      <w:r>
        <w:t>µ</w:t>
      </w:r>
      <w:r w:rsidRPr="00603115">
        <w:t xml:space="preserve">g, </w:t>
      </w:r>
      <w:r>
        <w:t>p &lt; 0.001</w:t>
      </w:r>
      <w:r w:rsidRPr="00603115">
        <w:t xml:space="preserve">) and UMEC 62.5 </w:t>
      </w:r>
      <w:r>
        <w:t>µ</w:t>
      </w:r>
      <w:r w:rsidRPr="00603115">
        <w:t>g (difference of 52</w:t>
      </w:r>
      <w:r>
        <w:t xml:space="preserve"> </w:t>
      </w:r>
      <w:r w:rsidRPr="00603115">
        <w:t xml:space="preserve">mL over UMEC 62.5 </w:t>
      </w:r>
      <w:r>
        <w:t>µ</w:t>
      </w:r>
      <w:r w:rsidRPr="00603115">
        <w:t>g, p</w:t>
      </w:r>
      <w:r>
        <w:t xml:space="preserve"> = </w:t>
      </w:r>
      <w:r w:rsidRPr="00603115">
        <w:t>0.004).</w:t>
      </w:r>
    </w:p>
    <w:p w:rsidR="00B13321" w:rsidRPr="005C7B2C" w:rsidRDefault="0042481D" w:rsidP="008138BC">
      <w:pPr>
        <w:pStyle w:val="Tabletitle"/>
      </w:pPr>
      <w:proofErr w:type="gramStart"/>
      <w:r>
        <w:t>Table 7</w:t>
      </w:r>
      <w:r w:rsidR="00B13321">
        <w:t>.</w:t>
      </w:r>
      <w:proofErr w:type="gramEnd"/>
      <w:r w:rsidR="00B13321" w:rsidRPr="007D2AFE">
        <w:t xml:space="preserve"> </w:t>
      </w:r>
      <w:r w:rsidR="00B13321" w:rsidRPr="005C7B2C">
        <w:t>Primary Efficacy Analysis: Trough FEV1 (L) at Day 169 (DB2113373 ITT Population)</w:t>
      </w:r>
      <w:r w:rsidR="00B13321">
        <w:t>.</w:t>
      </w:r>
    </w:p>
    <w:p w:rsidR="00B13321" w:rsidRPr="00603115" w:rsidRDefault="00B13321" w:rsidP="008138BC">
      <w:r>
        <w:rPr>
          <w:noProof/>
          <w:lang w:eastAsia="en-AU"/>
        </w:rPr>
        <w:drawing>
          <wp:inline distT="0" distB="0" distL="0" distR="0" wp14:anchorId="4337AE3A" wp14:editId="4A23C9E7">
            <wp:extent cx="4800600" cy="2867025"/>
            <wp:effectExtent l="0" t="0" r="0" b="0"/>
            <wp:docPr id="8" name="Picture 8" descr="Table 7. Primary Efficacy Analysis: Trough FEV1 (L) at Day 169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800600" cy="2867025"/>
                    </a:xfrm>
                    <a:prstGeom prst="rect">
                      <a:avLst/>
                    </a:prstGeom>
                  </pic:spPr>
                </pic:pic>
              </a:graphicData>
            </a:graphic>
          </wp:inline>
        </w:drawing>
      </w:r>
    </w:p>
    <w:p w:rsidR="00B13321" w:rsidRPr="00603115" w:rsidRDefault="00B13321" w:rsidP="00A24905">
      <w:pPr>
        <w:pStyle w:val="Heading5"/>
      </w:pPr>
      <w:r w:rsidRPr="00603115">
        <w:lastRenderedPageBreak/>
        <w:t>Results for other efficacy outcomes</w:t>
      </w:r>
    </w:p>
    <w:p w:rsidR="00B13321" w:rsidRPr="00992415" w:rsidRDefault="00B13321" w:rsidP="00A24905">
      <w:pPr>
        <w:pStyle w:val="Heading6"/>
      </w:pPr>
      <w:r w:rsidRPr="00992415">
        <w:t>Other supportive analyses on the primary efficacy endpoint</w:t>
      </w:r>
    </w:p>
    <w:p w:rsidR="00B13321" w:rsidRDefault="00B13321" w:rsidP="00A24905">
      <w:r>
        <w:t>The results of the Per-</w:t>
      </w:r>
      <w:r w:rsidRPr="00603115">
        <w:t>Protocol analyses of trough FEV1 on Day 169 were supportive of the primary analyses in both studies DB211336</w:t>
      </w:r>
      <w:r w:rsidR="0042481D">
        <w:t>1 and DB2113373 (Table 8</w:t>
      </w:r>
      <w:r>
        <w:t>)</w:t>
      </w:r>
      <w:r w:rsidRPr="00603115">
        <w:t xml:space="preserve">. Sensitivity analyses were also conducted for trough FEV1 at Day 169 using different imputation methods (missing at random multiple </w:t>
      </w:r>
      <w:r>
        <w:t>(</w:t>
      </w:r>
      <w:r w:rsidRPr="00603115">
        <w:t>MAR</w:t>
      </w:r>
      <w:r>
        <w:t>)</w:t>
      </w:r>
      <w:r w:rsidRPr="00603115">
        <w:t xml:space="preserve">, copy differences from control </w:t>
      </w:r>
      <w:r>
        <w:t>(</w:t>
      </w:r>
      <w:r w:rsidRPr="00603115">
        <w:t>CDC</w:t>
      </w:r>
      <w:r>
        <w:t>)</w:t>
      </w:r>
      <w:r w:rsidRPr="00603115">
        <w:t xml:space="preserve">, Last Mean Carried Forward </w:t>
      </w:r>
      <w:r>
        <w:t>(</w:t>
      </w:r>
      <w:r w:rsidRPr="00603115">
        <w:t>LMCF</w:t>
      </w:r>
      <w:r>
        <w:t>)</w:t>
      </w:r>
      <w:r w:rsidRPr="00603115">
        <w:t xml:space="preserve"> assuming decline of 0 mL/year, and LMCF assuming decline of 25 mL/year). These sensitivity analyses yielded results consistent with the primary MMRM analyses in both studies DB2113361 (statistically significantly greater LSM trough FEV1 change from baseline on Day 169 compared to </w:t>
      </w:r>
      <w:r w:rsidRPr="007D2AFE">
        <w:t>placebo</w:t>
      </w:r>
      <w:r w:rsidRPr="00603115">
        <w:t xml:space="preserve"> for UMEC/VI 125/25 </w:t>
      </w:r>
      <w:r>
        <w:t>µ</w:t>
      </w:r>
      <w:r w:rsidRPr="00603115">
        <w:t xml:space="preserve">g, UMEC 125 </w:t>
      </w:r>
      <w:r>
        <w:t>µ</w:t>
      </w:r>
      <w:r w:rsidRPr="00603115">
        <w:t xml:space="preserve">g, and VI 25 </w:t>
      </w:r>
      <w:r>
        <w:t>µ</w:t>
      </w:r>
      <w:r w:rsidRPr="00603115">
        <w:t>g, and statistically significantly greater LSM trough FEV1 change from baseline</w:t>
      </w:r>
      <w:r>
        <w:t xml:space="preserve"> on Day 169 with UMEC/VI 125/25 µ</w:t>
      </w:r>
      <w:r w:rsidRPr="00603115">
        <w:t xml:space="preserve">g compared with both VI 25 </w:t>
      </w:r>
      <w:r>
        <w:t>µ</w:t>
      </w:r>
      <w:r w:rsidRPr="00603115">
        <w:t xml:space="preserve">g and UMEC 125 </w:t>
      </w:r>
      <w:r>
        <w:t>µ</w:t>
      </w:r>
      <w:r w:rsidRPr="00603115">
        <w:t xml:space="preserve">g) and DB2113373 (statistically significantly greater LSM trough FEV1 change from baseline on Day 169 compared to </w:t>
      </w:r>
      <w:r w:rsidRPr="00180CAD">
        <w:t>placebo</w:t>
      </w:r>
      <w:r w:rsidRPr="00603115">
        <w:t xml:space="preserve"> for UMEC/VI 62.5/25 </w:t>
      </w:r>
      <w:r>
        <w:t>µ</w:t>
      </w:r>
      <w:r w:rsidRPr="00603115">
        <w:t xml:space="preserve">g, UMEC 62.5 </w:t>
      </w:r>
      <w:r>
        <w:t>µ</w:t>
      </w:r>
      <w:r w:rsidRPr="00603115">
        <w:t xml:space="preserve">g, and VI 25 </w:t>
      </w:r>
      <w:r>
        <w:t>µ</w:t>
      </w:r>
      <w:r w:rsidRPr="00603115">
        <w:t xml:space="preserve">g, and statistically significantly greater LSM trough FEV1 change from baseline on Day 169 with UMEC/VI 62.5/25 </w:t>
      </w:r>
      <w:r>
        <w:t>µ</w:t>
      </w:r>
      <w:r w:rsidRPr="00603115">
        <w:t xml:space="preserve">g compared with both VI 25 </w:t>
      </w:r>
      <w:r>
        <w:t>µ</w:t>
      </w:r>
      <w:r w:rsidRPr="00603115">
        <w:t xml:space="preserve">g and UMEC 62.5 </w:t>
      </w:r>
      <w:r w:rsidR="0042481D">
        <w:t>µg) (Figure 5</w:t>
      </w:r>
      <w:r w:rsidRPr="00603115">
        <w:t>).</w:t>
      </w:r>
    </w:p>
    <w:p w:rsidR="00B13321" w:rsidRPr="005C7B2C" w:rsidRDefault="00B13321" w:rsidP="008138BC">
      <w:pPr>
        <w:pStyle w:val="Tabletitle"/>
      </w:pPr>
      <w:proofErr w:type="gramStart"/>
      <w:r>
        <w:t xml:space="preserve">Table </w:t>
      </w:r>
      <w:r w:rsidR="0042481D">
        <w:t>8</w:t>
      </w:r>
      <w:r>
        <w:t>.</w:t>
      </w:r>
      <w:proofErr w:type="gramEnd"/>
      <w:r>
        <w:t xml:space="preserve"> </w:t>
      </w:r>
      <w:r w:rsidRPr="005C7B2C">
        <w:t>Per Protocol Analysis: Trough FEV1 (L) at Day 169 (</w:t>
      </w:r>
      <w:proofErr w:type="spellStart"/>
      <w:r w:rsidRPr="005C7B2C">
        <w:t>i</w:t>
      </w:r>
      <w:proofErr w:type="spellEnd"/>
      <w:r w:rsidRPr="005C7B2C">
        <w:t>) DB2113360 PP Population (ii) DB2113374 PP Population</w:t>
      </w:r>
      <w:r>
        <w:t>.</w:t>
      </w:r>
    </w:p>
    <w:p w:rsidR="00B13321" w:rsidRDefault="00B13321" w:rsidP="008138BC">
      <w:r>
        <w:rPr>
          <w:noProof/>
          <w:lang w:eastAsia="en-AU"/>
        </w:rPr>
        <w:drawing>
          <wp:inline distT="0" distB="0" distL="0" distR="0" wp14:anchorId="20298F71" wp14:editId="7570A7E2">
            <wp:extent cx="4358640" cy="5087907"/>
            <wp:effectExtent l="0" t="0" r="0" b="0"/>
            <wp:docPr id="9" name="Picture 9" descr="Table 8. Per Protocol Analysis: Trough FEV1 (L) at Day 169 (i) DB2113360 PP Population (ii) DB2113374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358640" cy="5087907"/>
                    </a:xfrm>
                    <a:prstGeom prst="rect">
                      <a:avLst/>
                    </a:prstGeom>
                  </pic:spPr>
                </pic:pic>
              </a:graphicData>
            </a:graphic>
          </wp:inline>
        </w:drawing>
      </w:r>
    </w:p>
    <w:p w:rsidR="00B13321" w:rsidRDefault="0042481D" w:rsidP="008138BC">
      <w:pPr>
        <w:pStyle w:val="FigureTitle"/>
      </w:pPr>
      <w:proofErr w:type="gramStart"/>
      <w:r>
        <w:lastRenderedPageBreak/>
        <w:t>Figure 5</w:t>
      </w:r>
      <w:r w:rsidR="00B13321">
        <w:t>.</w:t>
      </w:r>
      <w:proofErr w:type="gramEnd"/>
      <w:r w:rsidR="00B13321">
        <w:t xml:space="preserve"> </w:t>
      </w:r>
      <w:proofErr w:type="gramStart"/>
      <w:r w:rsidR="00B13321">
        <w:t xml:space="preserve">Studies </w:t>
      </w:r>
      <w:r w:rsidR="00B13321" w:rsidRPr="0042200E">
        <w:t>DB2113361</w:t>
      </w:r>
      <w:r w:rsidR="00B13321">
        <w:t xml:space="preserve"> and </w:t>
      </w:r>
      <w:r w:rsidR="00B13321" w:rsidRPr="0042200E">
        <w:t>DB2113373</w:t>
      </w:r>
      <w:r w:rsidR="00B13321">
        <w:t>.</w:t>
      </w:r>
      <w:proofErr w:type="gramEnd"/>
      <w:r w:rsidR="00B13321">
        <w:t xml:space="preserve"> </w:t>
      </w:r>
      <w:r w:rsidR="00B13321" w:rsidRPr="005C7B2C">
        <w:t>Least Squares Mean (95% CI) Treatment Differences in Change from Baseline in Trough FEV1 (L) at Day 169 Primary and Sensitivity Analyses (</w:t>
      </w:r>
      <w:proofErr w:type="spellStart"/>
      <w:r w:rsidR="00B13321" w:rsidRPr="005C7B2C">
        <w:t>i</w:t>
      </w:r>
      <w:proofErr w:type="spellEnd"/>
      <w:r w:rsidR="00B13321" w:rsidRPr="005C7B2C">
        <w:t>) DB2113361 (ii) DB2113373</w:t>
      </w:r>
      <w:r w:rsidR="00B13321">
        <w:t>.</w:t>
      </w:r>
    </w:p>
    <w:p w:rsidR="00B13321" w:rsidRPr="005C7B2C" w:rsidRDefault="00B13321" w:rsidP="008138BC">
      <w:r w:rsidRPr="005C7B2C">
        <w:t xml:space="preserve"> </w:t>
      </w:r>
      <w:r>
        <w:rPr>
          <w:noProof/>
          <w:lang w:eastAsia="en-AU"/>
        </w:rPr>
        <w:drawing>
          <wp:inline distT="0" distB="0" distL="0" distR="0" wp14:anchorId="6FC196B5" wp14:editId="70BF99C2">
            <wp:extent cx="5581650" cy="5876925"/>
            <wp:effectExtent l="0" t="0" r="0" b="0"/>
            <wp:docPr id="25" name="Picture 25" descr="Figure 5. Studies DB2113361 and DB2113373. Least Squares Mean (95% CI) Treatment Differences in Change from Baseline in Trough FEV1 (L) at Day 169 Primary and Sensitivity Analyses (i) DB2113361 (ii) DB211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81650" cy="5876925"/>
                    </a:xfrm>
                    <a:prstGeom prst="rect">
                      <a:avLst/>
                    </a:prstGeom>
                  </pic:spPr>
                </pic:pic>
              </a:graphicData>
            </a:graphic>
          </wp:inline>
        </w:drawing>
      </w:r>
    </w:p>
    <w:p w:rsidR="00B13321" w:rsidRPr="00992415" w:rsidRDefault="00B13321" w:rsidP="00A24905">
      <w:pPr>
        <w:pStyle w:val="Heading6"/>
      </w:pPr>
      <w:r w:rsidRPr="00992415">
        <w:t>Secondary efficacy endpoints</w:t>
      </w:r>
    </w:p>
    <w:p w:rsidR="00B13321" w:rsidRPr="00603115" w:rsidRDefault="00B13321" w:rsidP="00A24905">
      <w:r w:rsidRPr="00603115">
        <w:t xml:space="preserve">The secondary efficacy endpoints were mean TDI focal score at Day 168, and weighted mean FEV1 over 0 to 6 hours </w:t>
      </w:r>
      <w:r>
        <w:t>post dose</w:t>
      </w:r>
      <w:r w:rsidRPr="00603115">
        <w:t xml:space="preserve"> at Day 168. As previously discussed</w:t>
      </w:r>
      <w:r>
        <w:t xml:space="preserve"> in Sections 7.1.1.4 and 7.1.1.8</w:t>
      </w:r>
      <w:r w:rsidRPr="00603115">
        <w:t xml:space="preserve">, in studies DB2113361 and DB2113373, the TDI focal score at Day 168 had been designated as a key secondary endpoint for submissions to the EMA, and was hence included in the testing hierarchy for primary and secondary efficacy endpoints. In contrast, the TDI score was designated as an “other efficacy endpoint” for submissions to the FDA, and hence was not included in the statistical testing hierarchy. Weighted mean FEV1 over 0 to 6 hours </w:t>
      </w:r>
      <w:r>
        <w:t>post-dose</w:t>
      </w:r>
      <w:r w:rsidRPr="00603115">
        <w:t xml:space="preserve"> at Day 168 was designated as a secondary endpoint for evaluation by all regulatory authorities. Therefore, for EMA submission purposes, the statistical testing hierarchy was applied to trough FEV1, followed by TDI score at Day 168, and then weighted mean FEV1 over 0 to 6 hours </w:t>
      </w:r>
      <w:r>
        <w:t>post-dose</w:t>
      </w:r>
      <w:r w:rsidRPr="00603115">
        <w:t xml:space="preserve"> at Day 168. For FDA submission purposes, the testing hierarchy was applied to trough FEV1 followed by weighted mean FEV1 over 0 to 6 hours </w:t>
      </w:r>
      <w:r>
        <w:t>post-dose</w:t>
      </w:r>
      <w:r w:rsidRPr="00603115">
        <w:t xml:space="preserve"> at Day 168.</w:t>
      </w:r>
    </w:p>
    <w:p w:rsidR="00B13321" w:rsidRPr="00603115" w:rsidRDefault="00B13321" w:rsidP="00B13321">
      <w:r w:rsidRPr="00603115">
        <w:lastRenderedPageBreak/>
        <w:t>In study DB2113361, there was a statistically significant greater LSM TDI focal score (</w:t>
      </w:r>
      <w:r>
        <w:t>that is,</w:t>
      </w:r>
      <w:r w:rsidRPr="00603115">
        <w:t xml:space="preserve"> improvement from baseline) at Day 168 compared to </w:t>
      </w:r>
      <w:r>
        <w:t>PLA</w:t>
      </w:r>
      <w:r w:rsidRPr="00603115">
        <w:t xml:space="preserve"> for the UMEC/VI 125/25 </w:t>
      </w:r>
      <w:r>
        <w:t>µ</w:t>
      </w:r>
      <w:r w:rsidRPr="00603115">
        <w:t xml:space="preserve">g group (difference of 1.0 over </w:t>
      </w:r>
      <w:r w:rsidRPr="00F21E2A">
        <w:t>placebo</w:t>
      </w:r>
      <w:r w:rsidRPr="00603115">
        <w:t xml:space="preserve">, </w:t>
      </w:r>
      <w:r>
        <w:t>p &lt; 0.001</w:t>
      </w:r>
      <w:r w:rsidRPr="00603115">
        <w:t xml:space="preserve">). However, the difference between the UMEC 125 </w:t>
      </w:r>
      <w:r>
        <w:t>µ</w:t>
      </w:r>
      <w:r w:rsidRPr="00603115">
        <w:t xml:space="preserve">g treatment group and </w:t>
      </w:r>
      <w:r w:rsidRPr="00F21E2A">
        <w:t>placebo</w:t>
      </w:r>
      <w:r w:rsidRPr="00603115">
        <w:t xml:space="preserve"> group was not statistically significant (p</w:t>
      </w:r>
      <w:r>
        <w:t xml:space="preserve"> = </w:t>
      </w:r>
      <w:r w:rsidRPr="00603115">
        <w:t xml:space="preserve">0.108). Based on application of the statistical testing hierarchy, the results of all further statistical analyses could only be interpreted descriptively for EMA submission purposes. However, for FDA and other relevant submissions where TDI was not designated as a secondary endpoint, inferences could be drawn from the analyses of the secondary endpoint of weighted mean FEV1 over 0 to 6 hours </w:t>
      </w:r>
      <w:r>
        <w:t>post-dose</w:t>
      </w:r>
      <w:r w:rsidRPr="00603115">
        <w:t xml:space="preserve"> at Day 168. With regards to the weighted mean FEV1 over 0 to 6 hours </w:t>
      </w:r>
      <w:r>
        <w:t>post-dose</w:t>
      </w:r>
      <w:r w:rsidRPr="00603115">
        <w:t xml:space="preserve"> at Day 168, there were statistically significantly greater LSM changes from baseline in 0 to 6 hour weighted mean FEV1 at Day 168 compared to </w:t>
      </w:r>
      <w:r w:rsidRPr="00F21E2A">
        <w:t>placebo</w:t>
      </w:r>
      <w:r w:rsidRPr="00603115">
        <w:t xml:space="preserve"> for UMEC/VI 125/25 </w:t>
      </w:r>
      <w:r>
        <w:t>µ</w:t>
      </w:r>
      <w:r w:rsidRPr="00603115">
        <w:t>g (difference of 287</w:t>
      </w:r>
      <w:r>
        <w:t xml:space="preserve"> </w:t>
      </w:r>
      <w:r w:rsidRPr="00603115">
        <w:t xml:space="preserve">mL over </w:t>
      </w:r>
      <w:r w:rsidRPr="00F21E2A">
        <w:t>placebo</w:t>
      </w:r>
      <w:r w:rsidRPr="00603115">
        <w:t xml:space="preserve">, </w:t>
      </w:r>
      <w:r>
        <w:t>p &lt; 0.001</w:t>
      </w:r>
      <w:r w:rsidRPr="00603115">
        <w:t xml:space="preserve">), UMEC 125 </w:t>
      </w:r>
      <w:r>
        <w:t>µ</w:t>
      </w:r>
      <w:r w:rsidRPr="00603115">
        <w:t>g (difference of 178</w:t>
      </w:r>
      <w:r>
        <w:t xml:space="preserve"> </w:t>
      </w:r>
      <w:r w:rsidRPr="00603115">
        <w:t xml:space="preserve">mL over </w:t>
      </w:r>
      <w:r w:rsidRPr="00F21E2A">
        <w:t>placebo</w:t>
      </w:r>
      <w:r w:rsidRPr="00603115">
        <w:t xml:space="preserve">, </w:t>
      </w:r>
      <w:r>
        <w:t>p &lt; 0.001</w:t>
      </w:r>
      <w:r w:rsidRPr="00603115">
        <w:t xml:space="preserve">), and VI 25 </w:t>
      </w:r>
      <w:r>
        <w:t>µ</w:t>
      </w:r>
      <w:r w:rsidRPr="00603115">
        <w:t>g (difference of 145</w:t>
      </w:r>
      <w:r>
        <w:t xml:space="preserve"> </w:t>
      </w:r>
      <w:r w:rsidRPr="00603115">
        <w:t xml:space="preserve">mL over </w:t>
      </w:r>
      <w:r w:rsidRPr="00F21E2A">
        <w:t>placebo</w:t>
      </w:r>
      <w:r w:rsidRPr="00603115">
        <w:t xml:space="preserve">, </w:t>
      </w:r>
      <w:r>
        <w:t>p &lt; 0.001</w:t>
      </w:r>
      <w:r w:rsidRPr="00603115">
        <w:t xml:space="preserve">). There were also statistically significantly greater LSM changes from baseline in 0 to 6 hour weighted mean FEV1 at Day 168 with UMEC/VI 125/25 </w:t>
      </w:r>
      <w:r>
        <w:t>µ</w:t>
      </w:r>
      <w:r w:rsidRPr="00603115">
        <w:t xml:space="preserve">g compared with both VI 25 </w:t>
      </w:r>
      <w:r>
        <w:t>µ</w:t>
      </w:r>
      <w:r w:rsidRPr="00603115">
        <w:t>g (difference of 142</w:t>
      </w:r>
      <w:r>
        <w:t xml:space="preserve"> </w:t>
      </w:r>
      <w:r w:rsidRPr="00603115">
        <w:t xml:space="preserve">mL over VI 25 </w:t>
      </w:r>
      <w:r>
        <w:t>µ</w:t>
      </w:r>
      <w:r w:rsidRPr="00603115">
        <w:t xml:space="preserve">g, </w:t>
      </w:r>
      <w:r>
        <w:t>p &lt; 0.001</w:t>
      </w:r>
      <w:r w:rsidRPr="00603115">
        <w:t xml:space="preserve">) and UMEC 125 </w:t>
      </w:r>
      <w:r>
        <w:t>µ</w:t>
      </w:r>
      <w:r w:rsidRPr="00603115">
        <w:t>g (difference of 109</w:t>
      </w:r>
      <w:r>
        <w:t xml:space="preserve"> </w:t>
      </w:r>
      <w:r w:rsidRPr="00603115">
        <w:t xml:space="preserve">mL over UMEC 125 </w:t>
      </w:r>
      <w:r>
        <w:t>µ</w:t>
      </w:r>
      <w:r w:rsidRPr="00603115">
        <w:t xml:space="preserve">g, </w:t>
      </w:r>
      <w:r>
        <w:t>p &lt; 0.001</w:t>
      </w:r>
      <w:r w:rsidRPr="00603115">
        <w:t>).</w:t>
      </w:r>
    </w:p>
    <w:p w:rsidR="00B13321" w:rsidRPr="00603115" w:rsidRDefault="00B13321" w:rsidP="00A24905">
      <w:r w:rsidRPr="00603115">
        <w:t xml:space="preserve">In study DB2113373, there was a statistically significant greater LSM TDI focal score at Day 168 compared to </w:t>
      </w:r>
      <w:r w:rsidRPr="00F21E2A">
        <w:t>placebo</w:t>
      </w:r>
      <w:r w:rsidRPr="00603115">
        <w:t xml:space="preserve"> for UMEC/VI 62.5/25 </w:t>
      </w:r>
      <w:r>
        <w:t>µ</w:t>
      </w:r>
      <w:r w:rsidRPr="00603115">
        <w:t xml:space="preserve">g (difference of 1.2 over </w:t>
      </w:r>
      <w:r w:rsidRPr="00F21E2A">
        <w:t>placebo</w:t>
      </w:r>
      <w:r w:rsidRPr="00603115">
        <w:t xml:space="preserve">, </w:t>
      </w:r>
      <w:r>
        <w:t>p &lt; 0.001</w:t>
      </w:r>
      <w:r w:rsidRPr="00603115">
        <w:t xml:space="preserve">), UMEC 62.5 </w:t>
      </w:r>
      <w:r>
        <w:t>µ</w:t>
      </w:r>
      <w:r w:rsidRPr="00603115">
        <w:t xml:space="preserve">g (difference of 1.0 over </w:t>
      </w:r>
      <w:r w:rsidRPr="00F21E2A">
        <w:t>placebo</w:t>
      </w:r>
      <w:r w:rsidRPr="00603115">
        <w:t xml:space="preserve">, </w:t>
      </w:r>
      <w:r>
        <w:t>p &lt; 0.001</w:t>
      </w:r>
      <w:r w:rsidRPr="00603115">
        <w:t xml:space="preserve">) and VI 25 </w:t>
      </w:r>
      <w:r>
        <w:t>µ</w:t>
      </w:r>
      <w:r w:rsidRPr="00603115">
        <w:t xml:space="preserve">g (difference of 0.9 over </w:t>
      </w:r>
      <w:r w:rsidRPr="004B2B33">
        <w:t>placebo</w:t>
      </w:r>
      <w:r w:rsidRPr="00603115">
        <w:t xml:space="preserve">, </w:t>
      </w:r>
      <w:r>
        <w:t>p &lt; 0.001)</w:t>
      </w:r>
      <w:r w:rsidRPr="00603115">
        <w:t xml:space="preserve">. However, there was no statistically significant difference between UMEC 62.5/25 </w:t>
      </w:r>
      <w:r>
        <w:t>µ</w:t>
      </w:r>
      <w:r w:rsidRPr="00603115">
        <w:t xml:space="preserve">g and VI 25 </w:t>
      </w:r>
      <w:r>
        <w:t>µ</w:t>
      </w:r>
      <w:r w:rsidRPr="00603115">
        <w:t>g (p</w:t>
      </w:r>
      <w:r>
        <w:t xml:space="preserve"> = </w:t>
      </w:r>
      <w:r w:rsidRPr="00603115">
        <w:t xml:space="preserve">0.117), and between UMEC 62.5/25 </w:t>
      </w:r>
      <w:r>
        <w:t>µ</w:t>
      </w:r>
      <w:r w:rsidRPr="00603115">
        <w:t xml:space="preserve">g and UMEC 62.5 </w:t>
      </w:r>
      <w:r>
        <w:t>µ</w:t>
      </w:r>
      <w:r w:rsidRPr="00603115">
        <w:t>g (p</w:t>
      </w:r>
      <w:r>
        <w:t xml:space="preserve"> = </w:t>
      </w:r>
      <w:r w:rsidRPr="00603115">
        <w:t xml:space="preserve">0.244). Based on application of the statistical testing hierarchy, the results of all further statistical analyses could only be interpreted descriptively for EMA submission purposes. However, for FDA and other relevant submissions where TDI was not designated as a secondary endpoint, inferences could be drawn from the analyses of the secondary endpoint of weighted mean FEV1 over 0 to 6 hours </w:t>
      </w:r>
      <w:r>
        <w:t>post dose</w:t>
      </w:r>
      <w:r w:rsidRPr="00603115">
        <w:t xml:space="preserve"> at Day 168. With regards to the weighted mean FEV1 over 0 to 6 hours </w:t>
      </w:r>
      <w:r>
        <w:t>post-dose</w:t>
      </w:r>
      <w:r w:rsidRPr="00603115">
        <w:t xml:space="preserve"> at Day 168, there were statistically significantly greater LSM changes from baseline in 0 to 6 hour weighted mean FEV1 at Day 168 compared to </w:t>
      </w:r>
      <w:r w:rsidRPr="00AA4A86">
        <w:t>placebo</w:t>
      </w:r>
      <w:r w:rsidRPr="00603115">
        <w:t xml:space="preserve"> for UMEC/VI 62.5/25 </w:t>
      </w:r>
      <w:r>
        <w:t>µ</w:t>
      </w:r>
      <w:r w:rsidRPr="00603115">
        <w:t>g (difference of 242</w:t>
      </w:r>
      <w:r>
        <w:t xml:space="preserve"> </w:t>
      </w:r>
      <w:r w:rsidRPr="00603115">
        <w:t xml:space="preserve">mL over </w:t>
      </w:r>
      <w:r w:rsidRPr="00AA4A86">
        <w:t>placebo</w:t>
      </w:r>
      <w:r w:rsidRPr="00603115">
        <w:t xml:space="preserve">, </w:t>
      </w:r>
      <w:r>
        <w:t>p &lt; 0.001</w:t>
      </w:r>
      <w:r w:rsidRPr="00603115">
        <w:t xml:space="preserve">), UMEC 62.5 </w:t>
      </w:r>
      <w:r>
        <w:t>µ</w:t>
      </w:r>
      <w:r w:rsidRPr="00603115">
        <w:t>g (difference of 150</w:t>
      </w:r>
      <w:r>
        <w:t xml:space="preserve"> </w:t>
      </w:r>
      <w:r w:rsidRPr="00603115">
        <w:t xml:space="preserve">mL over </w:t>
      </w:r>
      <w:r w:rsidRPr="00AA4A86">
        <w:t>placebo</w:t>
      </w:r>
      <w:r w:rsidRPr="00603115">
        <w:t xml:space="preserve">, </w:t>
      </w:r>
      <w:r>
        <w:t>p &lt; 0.001</w:t>
      </w:r>
      <w:r w:rsidRPr="00603115">
        <w:t xml:space="preserve">), and VI 25 </w:t>
      </w:r>
      <w:r>
        <w:t>µ</w:t>
      </w:r>
      <w:r w:rsidRPr="00603115">
        <w:t>g (difference of 122</w:t>
      </w:r>
      <w:r>
        <w:t xml:space="preserve"> </w:t>
      </w:r>
      <w:r w:rsidRPr="00603115">
        <w:t xml:space="preserve">mL over </w:t>
      </w:r>
      <w:r w:rsidRPr="00AA4A86">
        <w:t>placebo</w:t>
      </w:r>
      <w:r w:rsidRPr="00603115">
        <w:t xml:space="preserve">, </w:t>
      </w:r>
      <w:r>
        <w:t>p &lt; 0.001</w:t>
      </w:r>
      <w:r w:rsidRPr="00603115">
        <w:t xml:space="preserve">). There were also statistically significantly greater LSM changes from baseline in 0 to 6 hour weighted mean FEV1 at Day 168 with UMEC/VI 62.5/25 </w:t>
      </w:r>
      <w:r>
        <w:t>µ</w:t>
      </w:r>
      <w:r w:rsidRPr="00603115">
        <w:t xml:space="preserve">g compared with both VI 25 </w:t>
      </w:r>
      <w:r>
        <w:t>µ</w:t>
      </w:r>
      <w:r w:rsidRPr="00603115">
        <w:t>g (difference of 120</w:t>
      </w:r>
      <w:r>
        <w:t xml:space="preserve"> </w:t>
      </w:r>
      <w:r w:rsidRPr="00603115">
        <w:t xml:space="preserve">mL over VI 25 </w:t>
      </w:r>
      <w:r>
        <w:t>µ</w:t>
      </w:r>
      <w:r w:rsidRPr="00603115">
        <w:t xml:space="preserve">g, </w:t>
      </w:r>
      <w:r>
        <w:t>p &lt; 0.001</w:t>
      </w:r>
      <w:r w:rsidRPr="00603115">
        <w:t xml:space="preserve">) and UMEC 62.5 </w:t>
      </w:r>
      <w:r>
        <w:t>µ</w:t>
      </w:r>
      <w:r w:rsidRPr="00603115">
        <w:t>g (difference of 92</w:t>
      </w:r>
      <w:r>
        <w:t xml:space="preserve"> </w:t>
      </w:r>
      <w:r w:rsidRPr="00603115">
        <w:t xml:space="preserve">mL over UMEC 62.5 </w:t>
      </w:r>
      <w:r>
        <w:t>µ</w:t>
      </w:r>
      <w:r w:rsidRPr="00603115">
        <w:t xml:space="preserve">g, </w:t>
      </w:r>
      <w:r>
        <w:t>p &lt; 0.001</w:t>
      </w:r>
      <w:r w:rsidRPr="00603115">
        <w:t>).</w:t>
      </w:r>
    </w:p>
    <w:p w:rsidR="00B13321" w:rsidRDefault="00B13321" w:rsidP="00A24905">
      <w:r w:rsidRPr="00603115">
        <w:t>A sum</w:t>
      </w:r>
      <w:r>
        <w:t xml:space="preserve">mary of the results of the step </w:t>
      </w:r>
      <w:r w:rsidRPr="00603115">
        <w:t>down or hierarchical testing procedure for the primary and secondary endpoints in studies DB2113361 and DB2113373 is p</w:t>
      </w:r>
      <w:r w:rsidR="0042481D">
        <w:t>resented in Table 8</w:t>
      </w:r>
      <w:r w:rsidRPr="00603115">
        <w:t>.</w:t>
      </w:r>
    </w:p>
    <w:p w:rsidR="00B13321" w:rsidRDefault="0042481D" w:rsidP="008138BC">
      <w:pPr>
        <w:pStyle w:val="Tabletitle"/>
      </w:pPr>
      <w:proofErr w:type="gramStart"/>
      <w:r>
        <w:lastRenderedPageBreak/>
        <w:t>Table 8</w:t>
      </w:r>
      <w:r w:rsidR="00B13321">
        <w:t>.</w:t>
      </w:r>
      <w:proofErr w:type="gramEnd"/>
      <w:r w:rsidR="00B13321">
        <w:t xml:space="preserve"> </w:t>
      </w:r>
      <w:proofErr w:type="gramStart"/>
      <w:r w:rsidR="00B13321">
        <w:t>Studies (</w:t>
      </w:r>
      <w:proofErr w:type="spellStart"/>
      <w:r w:rsidR="00B13321">
        <w:t>i</w:t>
      </w:r>
      <w:proofErr w:type="spellEnd"/>
      <w:r w:rsidR="00B13321">
        <w:t>) DB2113361 ITT population and (ii) DB2113373 ITT population.</w:t>
      </w:r>
      <w:proofErr w:type="gramEnd"/>
      <w:r w:rsidR="00B13321">
        <w:t xml:space="preserve"> </w:t>
      </w:r>
      <w:proofErr w:type="gramStart"/>
      <w:r w:rsidR="00B13321">
        <w:t>Results of step down testing procedure and secondary endpoints.</w:t>
      </w:r>
      <w:proofErr w:type="gramEnd"/>
    </w:p>
    <w:p w:rsidR="00B13321" w:rsidRPr="00F560E8" w:rsidRDefault="00B13321" w:rsidP="008138BC">
      <w:r>
        <w:rPr>
          <w:noProof/>
          <w:lang w:eastAsia="en-AU"/>
        </w:rPr>
        <w:drawing>
          <wp:inline distT="0" distB="0" distL="0" distR="0" wp14:anchorId="14D24CD3" wp14:editId="62DA0A73">
            <wp:extent cx="4524375" cy="6962775"/>
            <wp:effectExtent l="0" t="0" r="0" b="0"/>
            <wp:docPr id="24" name="Picture 24" descr="Table 8. Studies (i) DB2113361 ITT population and (ii) DB2113373 ITT population. Results of step down testing procedure an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24375" cy="6962775"/>
                    </a:xfrm>
                    <a:prstGeom prst="rect">
                      <a:avLst/>
                    </a:prstGeom>
                  </pic:spPr>
                </pic:pic>
              </a:graphicData>
            </a:graphic>
          </wp:inline>
        </w:drawing>
      </w:r>
    </w:p>
    <w:p w:rsidR="00B13321" w:rsidRPr="00992415" w:rsidRDefault="00B13321" w:rsidP="00A24905">
      <w:pPr>
        <w:pStyle w:val="Heading6"/>
      </w:pPr>
      <w:r w:rsidRPr="00992415">
        <w:t>Other efficacy endpoints</w:t>
      </w:r>
    </w:p>
    <w:p w:rsidR="00B13321" w:rsidRPr="00603115" w:rsidRDefault="00B13321" w:rsidP="00742B55">
      <w:pPr>
        <w:pStyle w:val="Heading7"/>
      </w:pPr>
      <w:r w:rsidRPr="00603115">
        <w:t>Other efficacy endpoints relating to FEV1 and FVC</w:t>
      </w:r>
    </w:p>
    <w:p w:rsidR="00B13321" w:rsidRDefault="00B13321" w:rsidP="00A24905">
      <w:r w:rsidRPr="00603115">
        <w:t xml:space="preserve">In study DB2113361, analysis of trough FEV1 at other </w:t>
      </w:r>
      <w:r>
        <w:t>time points</w:t>
      </w:r>
      <w:r w:rsidRPr="00603115">
        <w:t xml:space="preserve"> (Days 2, 28, 56, 84, 112 and 168) showed that there were statistically significantly greater LSM changes from baseline in trough FEV1 compared to </w:t>
      </w:r>
      <w:r w:rsidRPr="00AA4A86">
        <w:t>placebo</w:t>
      </w:r>
      <w:r w:rsidRPr="00603115">
        <w:t xml:space="preserve"> for UMEC/VI 125/25 </w:t>
      </w:r>
      <w:r>
        <w:t>µ</w:t>
      </w:r>
      <w:r w:rsidRPr="00603115">
        <w:t xml:space="preserve">g, UMEC 125 </w:t>
      </w:r>
      <w:r>
        <w:t>µ</w:t>
      </w:r>
      <w:r w:rsidRPr="00603115">
        <w:t xml:space="preserve">g, and VI 25 </w:t>
      </w:r>
      <w:r>
        <w:t>µ</w:t>
      </w:r>
      <w:r w:rsidRPr="00603115">
        <w:t>g at all asse</w:t>
      </w:r>
      <w:r>
        <w:t xml:space="preserve">ssed time points </w:t>
      </w:r>
      <w:r w:rsidRPr="00C82552">
        <w:t xml:space="preserve">(Figure </w:t>
      </w:r>
      <w:r w:rsidR="0042481D">
        <w:t>6</w:t>
      </w:r>
      <w:r w:rsidRPr="00C82552">
        <w:t>).</w:t>
      </w:r>
      <w:r w:rsidRPr="00603115">
        <w:t xml:space="preserve"> There were also statistically significantly greater LSM changes from baseline in trough FEV1 with UMEC/VI 125/25 </w:t>
      </w:r>
      <w:r>
        <w:t>µ</w:t>
      </w:r>
      <w:r w:rsidRPr="00603115">
        <w:t xml:space="preserve">g compared with both VI 25 </w:t>
      </w:r>
      <w:r>
        <w:t>µ</w:t>
      </w:r>
      <w:r w:rsidRPr="00603115">
        <w:t xml:space="preserve">g and UMEC </w:t>
      </w:r>
      <w:r w:rsidRPr="00603115">
        <w:lastRenderedPageBreak/>
        <w:t xml:space="preserve">125 </w:t>
      </w:r>
      <w:r>
        <w:t>µ</w:t>
      </w:r>
      <w:r w:rsidRPr="00603115">
        <w:t xml:space="preserve">g at all assessed </w:t>
      </w:r>
      <w:r>
        <w:t>time points</w:t>
      </w:r>
      <w:r w:rsidRPr="00603115">
        <w:t xml:space="preserve">. In study DB2113373, analysis of trough FEV1 at other </w:t>
      </w:r>
      <w:r>
        <w:t>time points</w:t>
      </w:r>
      <w:r w:rsidRPr="00603115">
        <w:t xml:space="preserve"> (Days 2, 28, 56, 84, 112 and 168) showed that there were statistically significantly greater LSM changes from baseline in trough FEV1 compared to </w:t>
      </w:r>
      <w:r w:rsidRPr="00AA4A86">
        <w:t>placebo</w:t>
      </w:r>
      <w:r w:rsidRPr="00603115">
        <w:t xml:space="preserve"> for UMEC/VI 62.5/25 </w:t>
      </w:r>
      <w:r>
        <w:t>µ</w:t>
      </w:r>
      <w:r w:rsidRPr="00603115">
        <w:t xml:space="preserve">g, UMEC 62.5 </w:t>
      </w:r>
      <w:r>
        <w:t>µ</w:t>
      </w:r>
      <w:r w:rsidRPr="00603115">
        <w:t xml:space="preserve">g, and VI 25 </w:t>
      </w:r>
      <w:r>
        <w:t>µ</w:t>
      </w:r>
      <w:r w:rsidRPr="00603115">
        <w:t xml:space="preserve">g at all assessed </w:t>
      </w:r>
      <w:r>
        <w:t>time points</w:t>
      </w:r>
      <w:r w:rsidRPr="00603115">
        <w:t xml:space="preserve"> (Figure </w:t>
      </w:r>
      <w:r w:rsidR="0042481D">
        <w:t>6</w:t>
      </w:r>
      <w:r w:rsidRPr="00603115">
        <w:t xml:space="preserve">). There were also statistically significantly greater LSM changes from baseline in trough FEV1 with UMEC/VI 62.5/25 </w:t>
      </w:r>
      <w:r>
        <w:t>µ</w:t>
      </w:r>
      <w:r w:rsidRPr="00603115">
        <w:t xml:space="preserve">g compared with both VI 25 </w:t>
      </w:r>
      <w:r>
        <w:t>µ</w:t>
      </w:r>
      <w:r w:rsidRPr="00603115">
        <w:t xml:space="preserve">g and UMEC 62.5 </w:t>
      </w:r>
      <w:r>
        <w:t>µ</w:t>
      </w:r>
      <w:r w:rsidRPr="00603115">
        <w:t xml:space="preserve">g at all assessed </w:t>
      </w:r>
      <w:r>
        <w:t>time points</w:t>
      </w:r>
      <w:r w:rsidRPr="00603115">
        <w:t xml:space="preserve">, except for the comparison between UMEC/VI 62.5/25 </w:t>
      </w:r>
      <w:r>
        <w:t>µ</w:t>
      </w:r>
      <w:r w:rsidRPr="00603115">
        <w:t xml:space="preserve">g and UMEC 62.5 </w:t>
      </w:r>
      <w:r>
        <w:t>µ</w:t>
      </w:r>
      <w:r w:rsidRPr="00603115">
        <w:t>g at Day 112 (p</w:t>
      </w:r>
      <w:r>
        <w:t xml:space="preserve"> = </w:t>
      </w:r>
      <w:r w:rsidRPr="00603115">
        <w:t>0.076).</w:t>
      </w:r>
    </w:p>
    <w:p w:rsidR="00B13321" w:rsidRDefault="0042481D" w:rsidP="008138BC">
      <w:pPr>
        <w:pStyle w:val="FigureTitle"/>
      </w:pPr>
      <w:proofErr w:type="gramStart"/>
      <w:r>
        <w:t>Figure 6</w:t>
      </w:r>
      <w:r w:rsidR="00B13321">
        <w:t>.</w:t>
      </w:r>
      <w:proofErr w:type="gramEnd"/>
      <w:r w:rsidR="00B13321">
        <w:t xml:space="preserve"> Individual studies DB2113361, DB2113373 ITT populations. Least squares mean (95% CI) change from baseline in trough </w:t>
      </w:r>
      <w:proofErr w:type="gramStart"/>
      <w:r w:rsidR="00B13321">
        <w:t>FEV1(</w:t>
      </w:r>
      <w:proofErr w:type="gramEnd"/>
      <w:r w:rsidR="00B13321">
        <w:t>L).</w:t>
      </w:r>
    </w:p>
    <w:p w:rsidR="00B13321" w:rsidRDefault="00B13321" w:rsidP="00A460A5">
      <w:r>
        <w:rPr>
          <w:noProof/>
          <w:lang w:eastAsia="en-AU"/>
        </w:rPr>
        <w:drawing>
          <wp:inline distT="0" distB="0" distL="0" distR="0" wp14:anchorId="368B1551" wp14:editId="10BD8EC2">
            <wp:extent cx="4793673" cy="6132930"/>
            <wp:effectExtent l="0" t="0" r="0" b="0"/>
            <wp:docPr id="11" name="Picture 11" descr="Figure 6. Individual studies DB2113361, DB2113373 ITT populations. Least squares mean (95% CI) change from baseline in trough FEV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96536" cy="6136593"/>
                    </a:xfrm>
                    <a:prstGeom prst="rect">
                      <a:avLst/>
                    </a:prstGeom>
                  </pic:spPr>
                </pic:pic>
              </a:graphicData>
            </a:graphic>
          </wp:inline>
        </w:drawing>
      </w:r>
    </w:p>
    <w:p w:rsidR="00B13321" w:rsidRDefault="00B13321" w:rsidP="00A24905">
      <w:r w:rsidRPr="00603115">
        <w:t xml:space="preserve">In study DB2113361, analysis of weighted mean FEV1 over 0 to 6 hours </w:t>
      </w:r>
      <w:r>
        <w:t>post-dose</w:t>
      </w:r>
      <w:r w:rsidRPr="00603115">
        <w:t xml:space="preserve"> at other </w:t>
      </w:r>
      <w:r>
        <w:t>time points</w:t>
      </w:r>
      <w:r w:rsidRPr="00603115">
        <w:t xml:space="preserve"> (Days 1, 28, 84) showed that there were statistically significantly greater LSM changes from baseline in 0 to 6 hour weighted mean FEV1 compared to </w:t>
      </w:r>
      <w:r w:rsidRPr="00AA4A86">
        <w:t>placebo</w:t>
      </w:r>
      <w:r w:rsidRPr="00603115">
        <w:t xml:space="preserve"> for UMEC/VI 125/25 </w:t>
      </w:r>
      <w:r>
        <w:t>µ</w:t>
      </w:r>
      <w:r w:rsidRPr="00603115">
        <w:t xml:space="preserve">g, UMEC 125 </w:t>
      </w:r>
      <w:r>
        <w:t>µ</w:t>
      </w:r>
      <w:r w:rsidRPr="00603115">
        <w:t xml:space="preserve">g, and VI 25 </w:t>
      </w:r>
      <w:r>
        <w:t>µ</w:t>
      </w:r>
      <w:r w:rsidRPr="00603115">
        <w:t>g at all asse</w:t>
      </w:r>
      <w:r w:rsidR="0042481D">
        <w:t>ssed time points (Figure 7</w:t>
      </w:r>
      <w:r w:rsidRPr="00603115">
        <w:t xml:space="preserve">). There were also statistically significantly greater LSM changes from baseline in trough FEV1 with UMEC/VI 125/25 </w:t>
      </w:r>
      <w:r>
        <w:t>µ</w:t>
      </w:r>
      <w:r w:rsidRPr="00603115">
        <w:t xml:space="preserve">g </w:t>
      </w:r>
      <w:r w:rsidRPr="00603115">
        <w:lastRenderedPageBreak/>
        <w:t xml:space="preserve">compared with both VI 25 </w:t>
      </w:r>
      <w:r>
        <w:t>µ</w:t>
      </w:r>
      <w:r w:rsidRPr="00603115">
        <w:t xml:space="preserve">g and UMEC 125 </w:t>
      </w:r>
      <w:r>
        <w:t>µ</w:t>
      </w:r>
      <w:r w:rsidRPr="00603115">
        <w:t xml:space="preserve">g at all assessed </w:t>
      </w:r>
      <w:r>
        <w:t>time points</w:t>
      </w:r>
      <w:r w:rsidRPr="00603115">
        <w:t xml:space="preserve">. In study DB2113373, analysis of weighted mean FEV1 over 0 to 6 hours </w:t>
      </w:r>
      <w:r>
        <w:t>post-dose</w:t>
      </w:r>
      <w:r w:rsidRPr="00603115">
        <w:t xml:space="preserve"> at other </w:t>
      </w:r>
      <w:r>
        <w:t>time points</w:t>
      </w:r>
      <w:r w:rsidRPr="00603115">
        <w:t xml:space="preserve"> (Days 1, 28, 84) showed that there were statistically significantly greater LSM changes from baseline in 0 to 6 hour weighted mean FEV1 compared to </w:t>
      </w:r>
      <w:r w:rsidRPr="00100E19">
        <w:t>placebo</w:t>
      </w:r>
      <w:r w:rsidRPr="00603115">
        <w:t xml:space="preserve"> for UMEC/VI 62.5/25 </w:t>
      </w:r>
      <w:r>
        <w:t>µ</w:t>
      </w:r>
      <w:r w:rsidRPr="00603115">
        <w:t xml:space="preserve">g, UMEC 62.5 </w:t>
      </w:r>
      <w:r>
        <w:t>µ</w:t>
      </w:r>
      <w:r w:rsidRPr="00603115">
        <w:t xml:space="preserve">g, and VI 25 </w:t>
      </w:r>
      <w:r>
        <w:t>µ</w:t>
      </w:r>
      <w:r w:rsidRPr="00603115">
        <w:t xml:space="preserve">g at all assessed </w:t>
      </w:r>
      <w:r>
        <w:t>time points</w:t>
      </w:r>
      <w:r w:rsidRPr="00603115">
        <w:t xml:space="preserve"> (</w:t>
      </w:r>
      <w:r w:rsidR="0042481D">
        <w:t>Figure 7</w:t>
      </w:r>
      <w:r w:rsidRPr="00603115">
        <w:t xml:space="preserve">). There were also statistically significantly greater LSM changes from baseline in trough FEV1 with UMEC/VI 62.5/25 </w:t>
      </w:r>
      <w:r>
        <w:t>µ</w:t>
      </w:r>
      <w:r w:rsidRPr="00603115">
        <w:t xml:space="preserve">g compared with both VI 25 </w:t>
      </w:r>
      <w:r>
        <w:t>µ</w:t>
      </w:r>
      <w:r w:rsidRPr="00603115">
        <w:t xml:space="preserve">g and UMEC 62.5 </w:t>
      </w:r>
      <w:r>
        <w:t>µ</w:t>
      </w:r>
      <w:r w:rsidRPr="00603115">
        <w:t xml:space="preserve">g at all assessed </w:t>
      </w:r>
      <w:r>
        <w:t>time points</w:t>
      </w:r>
      <w:r w:rsidRPr="00603115">
        <w:t>.</w:t>
      </w:r>
    </w:p>
    <w:p w:rsidR="00B13321" w:rsidRDefault="00B13321" w:rsidP="008138BC">
      <w:pPr>
        <w:pStyle w:val="FigureTitle"/>
      </w:pPr>
      <w:proofErr w:type="gramStart"/>
      <w:r w:rsidRPr="0061557B">
        <w:t xml:space="preserve">Figure </w:t>
      </w:r>
      <w:r w:rsidR="0042481D">
        <w:t>7</w:t>
      </w:r>
      <w:r w:rsidRPr="0061557B">
        <w:t>.</w:t>
      </w:r>
      <w:proofErr w:type="gramEnd"/>
      <w:r w:rsidRPr="0061557B">
        <w:t xml:space="preserve"> Individual Studies DB2113361, DB2113373, ITT Populations. </w:t>
      </w:r>
      <w:proofErr w:type="gramStart"/>
      <w:r w:rsidRPr="0061557B">
        <w:t>Least Squares Mean (95% CI) Change from Baseline in 0 to 6 hour Weighted Mean FEV1 (L)</w:t>
      </w:r>
      <w:r>
        <w:t>.</w:t>
      </w:r>
      <w:proofErr w:type="gramEnd"/>
    </w:p>
    <w:p w:rsidR="00B13321" w:rsidRPr="0061557B" w:rsidRDefault="00B13321" w:rsidP="00A460A5">
      <w:r>
        <w:rPr>
          <w:noProof/>
          <w:lang w:eastAsia="en-AU"/>
        </w:rPr>
        <w:drawing>
          <wp:inline distT="0" distB="0" distL="0" distR="0" wp14:anchorId="44DD98F5" wp14:editId="0441BAD6">
            <wp:extent cx="5143500" cy="5896208"/>
            <wp:effectExtent l="0" t="0" r="0" b="0"/>
            <wp:docPr id="13" name="Picture 13" descr="Figure 7. Individual Studies DB2113361, DB2113373, ITT Populations. Least Squares Mean (95% CI) Change from Baseline in 0 to 6 hour Weighted Mean FEV1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144931" cy="5897849"/>
                    </a:xfrm>
                    <a:prstGeom prst="rect">
                      <a:avLst/>
                    </a:prstGeom>
                  </pic:spPr>
                </pic:pic>
              </a:graphicData>
            </a:graphic>
          </wp:inline>
        </w:drawing>
      </w:r>
    </w:p>
    <w:p w:rsidR="00B13321" w:rsidRPr="00603115" w:rsidRDefault="00B13321" w:rsidP="00A24905">
      <w:r w:rsidRPr="00603115">
        <w:t xml:space="preserve">Analysis of time to onset (defined as an increase of 100 mL above baseline in FEV1) during 0 to 6 hours </w:t>
      </w:r>
      <w:r>
        <w:t>post-dose</w:t>
      </w:r>
      <w:r w:rsidRPr="00603115">
        <w:t xml:space="preserve"> on Day 1 showed that in study DB2113361, the median time to onset was shorter in the UMEC/VI 125/25 </w:t>
      </w:r>
      <w:r>
        <w:t>µ</w:t>
      </w:r>
      <w:r w:rsidRPr="00603115">
        <w:t xml:space="preserve">g and VI 25 </w:t>
      </w:r>
      <w:r>
        <w:t>µ</w:t>
      </w:r>
      <w:r w:rsidRPr="00603115">
        <w:t xml:space="preserve">g treatment groups (22 and 27 minutes, respectively) compared with the UMEC 125 </w:t>
      </w:r>
      <w:r>
        <w:t>µ</w:t>
      </w:r>
      <w:r w:rsidRPr="00603115">
        <w:t xml:space="preserve">g treatment group (34 minutes). In addition, analyses showed that subjects on UMEC/VI 125/25 </w:t>
      </w:r>
      <w:r>
        <w:t>µ</w:t>
      </w:r>
      <w:r w:rsidRPr="00603115">
        <w:t xml:space="preserve">g, UMEC 125 </w:t>
      </w:r>
      <w:r>
        <w:t>µ</w:t>
      </w:r>
      <w:r w:rsidRPr="00603115">
        <w:t xml:space="preserve">g, or VI 25 </w:t>
      </w:r>
      <w:r>
        <w:t>µ</w:t>
      </w:r>
      <w:r w:rsidRPr="00603115">
        <w:t>g had a higher likelihood (5.8, 3.8 and 4.5 x higher likelihood, respectively; p</w:t>
      </w:r>
      <w:r>
        <w:t xml:space="preserve"> &lt;</w:t>
      </w:r>
      <w:r w:rsidRPr="00603115">
        <w:t xml:space="preserve"> 0.001) of achieving an increase in FEV1 </w:t>
      </w:r>
      <w:r>
        <w:t xml:space="preserve">≥ </w:t>
      </w:r>
      <w:r w:rsidRPr="00603115">
        <w:t xml:space="preserve">100 mL above baseline at Day 1 compared with </w:t>
      </w:r>
      <w:r w:rsidRPr="00100E19">
        <w:t>placebo</w:t>
      </w:r>
      <w:r w:rsidRPr="00603115">
        <w:t xml:space="preserve">. Subjects in the UMEC/VI </w:t>
      </w:r>
      <w:r w:rsidRPr="00603115">
        <w:lastRenderedPageBreak/>
        <w:t xml:space="preserve">125/25 </w:t>
      </w:r>
      <w:r>
        <w:t>µ</w:t>
      </w:r>
      <w:r w:rsidRPr="00603115">
        <w:t xml:space="preserve">g treatment group also had a higher likelihood of achieving an increase in FEV1 </w:t>
      </w:r>
      <w:r>
        <w:t>≥ 100 </w:t>
      </w:r>
      <w:r w:rsidRPr="00603115">
        <w:t xml:space="preserve">mL above baseline at Day 1 compared with those in the VI 25 </w:t>
      </w:r>
      <w:r>
        <w:t>µ</w:t>
      </w:r>
      <w:r w:rsidRPr="00603115">
        <w:t xml:space="preserve">g and UMEC 125 </w:t>
      </w:r>
      <w:r>
        <w:t>µ</w:t>
      </w:r>
      <w:r w:rsidRPr="00603115">
        <w:t xml:space="preserve">g treatment groups (1.3 and 1.5 x higher likelihood, respectively; </w:t>
      </w:r>
      <w:r>
        <w:t>p &lt; 0.001</w:t>
      </w:r>
      <w:r w:rsidRPr="00603115">
        <w:t xml:space="preserve">). In study DB2113373, the median time to onset was shorter in the UMEC/VI 62.5/25 </w:t>
      </w:r>
      <w:r>
        <w:t>µ</w:t>
      </w:r>
      <w:r w:rsidRPr="00603115">
        <w:t xml:space="preserve">g and VI 25 </w:t>
      </w:r>
      <w:r>
        <w:t>µ</w:t>
      </w:r>
      <w:r w:rsidRPr="00603115">
        <w:t xml:space="preserve">g treatment groups (27 and 31 minutes, respectively) compared with the UMEC 62.5 </w:t>
      </w:r>
      <w:r>
        <w:t>µ</w:t>
      </w:r>
      <w:r w:rsidRPr="00603115">
        <w:t xml:space="preserve">g treatment group (56 minutes). In addition, analyses showed that subjects on UMEC/VI 62.5/25 </w:t>
      </w:r>
      <w:r>
        <w:t>µ</w:t>
      </w:r>
      <w:r w:rsidRPr="00603115">
        <w:t xml:space="preserve">g, UMEC 62.5 </w:t>
      </w:r>
      <w:r>
        <w:t>µ</w:t>
      </w:r>
      <w:r w:rsidRPr="00603115">
        <w:t xml:space="preserve">g, or VI 25 </w:t>
      </w:r>
      <w:r>
        <w:t>µ</w:t>
      </w:r>
      <w:r w:rsidRPr="00603115">
        <w:t xml:space="preserve">g had a higher likelihood (4.7, 3.1 and 3.9 </w:t>
      </w:r>
      <w:r>
        <w:t>x</w:t>
      </w:r>
      <w:r w:rsidRPr="00603115">
        <w:t xml:space="preserve"> higher likelihood, respectively; </w:t>
      </w:r>
      <w:r>
        <w:t>p &lt; 0.001</w:t>
      </w:r>
      <w:r w:rsidRPr="00603115">
        <w:t xml:space="preserve">) of achieving an increase in FEV1 </w:t>
      </w:r>
      <w:r>
        <w:t xml:space="preserve">≥ </w:t>
      </w:r>
      <w:r w:rsidRPr="00603115">
        <w:t xml:space="preserve">100 mL above baseline at Day 1 compared with </w:t>
      </w:r>
      <w:r w:rsidRPr="00100E19">
        <w:t>placebo</w:t>
      </w:r>
      <w:r w:rsidRPr="00603115">
        <w:t xml:space="preserve">. Subjects in the UMEC/VI 62.5/25 </w:t>
      </w:r>
      <w:r>
        <w:t>µ</w:t>
      </w:r>
      <w:r w:rsidRPr="00603115">
        <w:t xml:space="preserve">g treatment group also had a higher likelihood of achieving an increase in FEV1 </w:t>
      </w:r>
      <w:r>
        <w:t xml:space="preserve">≥ </w:t>
      </w:r>
      <w:r w:rsidRPr="00603115">
        <w:t xml:space="preserve">100 mL above baseline at Day 1 compared with those in the VI 25 </w:t>
      </w:r>
      <w:r>
        <w:t>µ</w:t>
      </w:r>
      <w:r w:rsidRPr="00603115">
        <w:t xml:space="preserve">g and UMEC 62.5 </w:t>
      </w:r>
      <w:r>
        <w:t>µ</w:t>
      </w:r>
      <w:r w:rsidRPr="00603115">
        <w:t>g treatment groups (1.2 and 1.5 x higher likelihood, respectively; p</w:t>
      </w:r>
      <w:r>
        <w:t xml:space="preserve"> ≤ </w:t>
      </w:r>
      <w:r w:rsidRPr="00603115">
        <w:t>0.011).</w:t>
      </w:r>
    </w:p>
    <w:p w:rsidR="00B13321" w:rsidRPr="00603115" w:rsidRDefault="00B13321" w:rsidP="00A24905">
      <w:r w:rsidRPr="00603115">
        <w:t xml:space="preserve">In study DB2113361, the proportion of subjects achieving an increase in FEV1 of </w:t>
      </w:r>
      <w:r>
        <w:t xml:space="preserve">≥ </w:t>
      </w:r>
      <w:r w:rsidRPr="00603115">
        <w:t xml:space="preserve">12% and </w:t>
      </w:r>
      <w:r>
        <w:t xml:space="preserve">≥ </w:t>
      </w:r>
      <w:r w:rsidRPr="00603115">
        <w:t xml:space="preserve">200 mL above baseline at any time during 0 to 6 hours </w:t>
      </w:r>
      <w:r>
        <w:t>post dose</w:t>
      </w:r>
      <w:r w:rsidRPr="00603115">
        <w:t xml:space="preserve"> on Day 1 was 71%, 54% and 52% in the UMEC/VI 125/25 </w:t>
      </w:r>
      <w:r>
        <w:t>µ</w:t>
      </w:r>
      <w:r w:rsidRPr="00603115">
        <w:t xml:space="preserve">g, UMEC 125 </w:t>
      </w:r>
      <w:r>
        <w:t>µ</w:t>
      </w:r>
      <w:r w:rsidRPr="00603115">
        <w:t xml:space="preserve">g, and VI 25 </w:t>
      </w:r>
      <w:r>
        <w:t>µ</w:t>
      </w:r>
      <w:r w:rsidRPr="00603115">
        <w:t xml:space="preserve">g groups, respectively, compared with 12% in the </w:t>
      </w:r>
      <w:r w:rsidRPr="00100E19">
        <w:t>placebo</w:t>
      </w:r>
      <w:r w:rsidRPr="00603115">
        <w:t xml:space="preserve"> group. Subjects on UMEC/VI 125/25 </w:t>
      </w:r>
      <w:r>
        <w:t>µ</w:t>
      </w:r>
      <w:r w:rsidRPr="00603115">
        <w:t xml:space="preserve">g, UMEC 125 </w:t>
      </w:r>
      <w:r>
        <w:t>µ</w:t>
      </w:r>
      <w:r w:rsidRPr="00603115">
        <w:t xml:space="preserve">g, or VI 25 </w:t>
      </w:r>
      <w:r>
        <w:t>µ</w:t>
      </w:r>
      <w:r w:rsidRPr="00603115">
        <w:t xml:space="preserve">g had higher odds (19.5, 9.3 and 8.4 x higher likelihood, respectively; </w:t>
      </w:r>
      <w:r>
        <w:t>p &lt; 0.001</w:t>
      </w:r>
      <w:r w:rsidRPr="00603115">
        <w:t xml:space="preserve">) of achieving an increase in FEV1 of </w:t>
      </w:r>
      <w:r>
        <w:t xml:space="preserve">≥ </w:t>
      </w:r>
      <w:r w:rsidRPr="00603115">
        <w:t xml:space="preserve">12% and </w:t>
      </w:r>
      <w:r>
        <w:t xml:space="preserve">≥ </w:t>
      </w:r>
      <w:r w:rsidRPr="00603115">
        <w:t xml:space="preserve">200 mL above baseline at any time during 0 to 6 hours </w:t>
      </w:r>
      <w:r>
        <w:t>post-dose</w:t>
      </w:r>
      <w:r w:rsidRPr="00603115">
        <w:t xml:space="preserve"> on Day 1 compared with </w:t>
      </w:r>
      <w:r w:rsidRPr="00100E19">
        <w:t>placebo</w:t>
      </w:r>
      <w:r w:rsidRPr="00603115">
        <w:t xml:space="preserve">. Subjects in the UMEC/VI 125/25 </w:t>
      </w:r>
      <w:r>
        <w:t>µ</w:t>
      </w:r>
      <w:r w:rsidRPr="00603115">
        <w:t xml:space="preserve">g treatment group also had a higher likelihood of achieving this endpoint compared with those in the VI 25 </w:t>
      </w:r>
      <w:r>
        <w:t>µ</w:t>
      </w:r>
      <w:r w:rsidRPr="00603115">
        <w:t xml:space="preserve">g and UMEC 125 </w:t>
      </w:r>
      <w:r>
        <w:t>µ</w:t>
      </w:r>
      <w:r w:rsidRPr="00603115">
        <w:t xml:space="preserve">g treatment groups (2.3 and 2.1 x higher likelihood, respectively; </w:t>
      </w:r>
      <w:r>
        <w:t>p &lt; 0.001</w:t>
      </w:r>
      <w:r w:rsidRPr="00603115">
        <w:t xml:space="preserve">). In study DB2113373, the proportion of subjects achieving an increase in FEV1 of </w:t>
      </w:r>
      <w:r>
        <w:t xml:space="preserve">≥ </w:t>
      </w:r>
      <w:r w:rsidRPr="00603115">
        <w:t xml:space="preserve">12% and </w:t>
      </w:r>
      <w:r>
        <w:t>≥ 200 </w:t>
      </w:r>
      <w:r w:rsidRPr="00603115">
        <w:t xml:space="preserve">mL above baseline at any time during 0 to 6 hours </w:t>
      </w:r>
      <w:r>
        <w:t>post-dose</w:t>
      </w:r>
      <w:r w:rsidRPr="00603115">
        <w:t xml:space="preserve"> on Day 1 was 61%, 50% and 47% in the UMEC/VI 62.5/25 </w:t>
      </w:r>
      <w:r>
        <w:t>µ</w:t>
      </w:r>
      <w:r w:rsidRPr="00603115">
        <w:t xml:space="preserve">g, UMEC 62.5 </w:t>
      </w:r>
      <w:r>
        <w:t>µ</w:t>
      </w:r>
      <w:r w:rsidRPr="00603115">
        <w:t xml:space="preserve">g, and VI 25 </w:t>
      </w:r>
      <w:r>
        <w:t>µ</w:t>
      </w:r>
      <w:r w:rsidRPr="00603115">
        <w:t xml:space="preserve">g groups, respectively, compared with 15% in the </w:t>
      </w:r>
      <w:r w:rsidRPr="00C95B35">
        <w:t>placebo</w:t>
      </w:r>
      <w:r w:rsidRPr="00603115">
        <w:t xml:space="preserve"> group. Subjects on UMEC/VI 62.5/25 </w:t>
      </w:r>
      <w:r>
        <w:t>µ</w:t>
      </w:r>
      <w:r w:rsidRPr="00603115">
        <w:t xml:space="preserve">g, UMEC 62.5 </w:t>
      </w:r>
      <w:r>
        <w:t>µ</w:t>
      </w:r>
      <w:r w:rsidRPr="00603115">
        <w:t xml:space="preserve">g, or VI 25 </w:t>
      </w:r>
      <w:r>
        <w:t>µ</w:t>
      </w:r>
      <w:r w:rsidRPr="00603115">
        <w:t xml:space="preserve">g had higher odds (9.0, 5.9 and 5.1 x higher likelihood, respectively; </w:t>
      </w:r>
      <w:r>
        <w:t>p &lt; 0.001</w:t>
      </w:r>
      <w:r w:rsidRPr="00603115">
        <w:t xml:space="preserve">) of achieving an increase in FEV1 of </w:t>
      </w:r>
      <w:r>
        <w:t xml:space="preserve">≥ </w:t>
      </w:r>
      <w:r w:rsidRPr="00603115">
        <w:t xml:space="preserve">12% and </w:t>
      </w:r>
      <w:r>
        <w:t xml:space="preserve">≥ </w:t>
      </w:r>
      <w:r w:rsidRPr="00603115">
        <w:t xml:space="preserve">200 mL above baseline at any time during 0 to 6 hours </w:t>
      </w:r>
      <w:r>
        <w:t>post-dose</w:t>
      </w:r>
      <w:r w:rsidRPr="00603115">
        <w:t xml:space="preserve"> on Day 1 compared with </w:t>
      </w:r>
      <w:r w:rsidRPr="00C95B35">
        <w:t>placebo</w:t>
      </w:r>
      <w:r w:rsidRPr="00603115">
        <w:t xml:space="preserve">. Subjects in the UMEC/VI 62.5/25 </w:t>
      </w:r>
      <w:r>
        <w:t>µ</w:t>
      </w:r>
      <w:r w:rsidRPr="00603115">
        <w:t xml:space="preserve">g treatment group also had a higher likelihood of achieving this endpoint compared with those in the VI 25 </w:t>
      </w:r>
      <w:r>
        <w:t>µ</w:t>
      </w:r>
      <w:r w:rsidRPr="00603115">
        <w:t xml:space="preserve">g and UMEC 62.5 </w:t>
      </w:r>
      <w:r>
        <w:t>µ</w:t>
      </w:r>
      <w:r w:rsidRPr="00603115">
        <w:t>g treatment groups (1.7 and 1.5 x higher likelihood, respectively; p</w:t>
      </w:r>
      <w:r>
        <w:t xml:space="preserve"> ≤ </w:t>
      </w:r>
      <w:r w:rsidRPr="00603115">
        <w:t>0.003).</w:t>
      </w:r>
    </w:p>
    <w:p w:rsidR="00B13321" w:rsidRPr="00603115" w:rsidRDefault="00B13321" w:rsidP="00A24905">
      <w:r w:rsidRPr="00603115">
        <w:t xml:space="preserve">In study DB2113361, the proportion of subjects achieving an increase of </w:t>
      </w:r>
      <w:r>
        <w:t xml:space="preserve">≥ </w:t>
      </w:r>
      <w:r w:rsidRPr="00603115">
        <w:t xml:space="preserve">100 mL above baseline in trough FEV1 at Day 169 was 56%, 44% and 36% in the UMEC/VI 125/25 </w:t>
      </w:r>
      <w:r>
        <w:t>µ</w:t>
      </w:r>
      <w:r w:rsidRPr="00603115">
        <w:t xml:space="preserve">g, UMEC 125 </w:t>
      </w:r>
      <w:r>
        <w:t>µ</w:t>
      </w:r>
      <w:r w:rsidRPr="00603115">
        <w:t xml:space="preserve">g, and VI 25 </w:t>
      </w:r>
      <w:r>
        <w:t>µ</w:t>
      </w:r>
      <w:r w:rsidRPr="00603115">
        <w:t>g groups, respectively, compared with 13% in th</w:t>
      </w:r>
      <w:r>
        <w:t xml:space="preserve">e </w:t>
      </w:r>
      <w:r w:rsidRPr="00C95B35">
        <w:t>placebo</w:t>
      </w:r>
      <w:r>
        <w:t xml:space="preserve"> group</w:t>
      </w:r>
      <w:r w:rsidRPr="00603115">
        <w:t xml:space="preserve">. Subjects on UMEC/VI 125/25 </w:t>
      </w:r>
      <w:r>
        <w:t>µ</w:t>
      </w:r>
      <w:r w:rsidRPr="00603115">
        <w:t xml:space="preserve">g, UMEC 125 </w:t>
      </w:r>
      <w:r>
        <w:t>µ</w:t>
      </w:r>
      <w:r w:rsidRPr="00603115">
        <w:t xml:space="preserve">g, or VI 25 </w:t>
      </w:r>
      <w:r>
        <w:t>µ</w:t>
      </w:r>
      <w:r w:rsidRPr="00603115">
        <w:t xml:space="preserve">g had higher odds (9.1, 5.5 and 3.9 x higher likelihood, respectively; </w:t>
      </w:r>
      <w:r>
        <w:t>p &lt; 0.001</w:t>
      </w:r>
      <w:r w:rsidRPr="00603115">
        <w:t xml:space="preserve">) of achieving an increase of </w:t>
      </w:r>
      <w:r>
        <w:t xml:space="preserve">≥ </w:t>
      </w:r>
      <w:r w:rsidRPr="00603115">
        <w:t xml:space="preserve">100 mL above baseline in trough FEV1 at Day 169 compared with </w:t>
      </w:r>
      <w:r w:rsidRPr="00C95B35">
        <w:t>placebo</w:t>
      </w:r>
      <w:r w:rsidRPr="00603115">
        <w:t xml:space="preserve">. Subjects in the UMEC/VI 125/25 </w:t>
      </w:r>
      <w:r>
        <w:t>µ</w:t>
      </w:r>
      <w:r w:rsidRPr="00603115">
        <w:t>g treatment group also had a higher likelihood of achieving this endpoint c</w:t>
      </w:r>
      <w:r>
        <w:t>ompared with those in the VI 25 µ</w:t>
      </w:r>
      <w:r w:rsidRPr="00603115">
        <w:t xml:space="preserve">g and UMEC 125 </w:t>
      </w:r>
      <w:r>
        <w:t>µ</w:t>
      </w:r>
      <w:r w:rsidRPr="00603115">
        <w:t xml:space="preserve">g treatment groups (2.3 and 1.7 x higher likelihood, respectively; </w:t>
      </w:r>
      <w:r>
        <w:t>p &lt; 0.001</w:t>
      </w:r>
      <w:r w:rsidRPr="00603115">
        <w:t xml:space="preserve">). In study DB2113373, the proportion of subjects achieving an increase of </w:t>
      </w:r>
      <w:r>
        <w:t xml:space="preserve">≥ </w:t>
      </w:r>
      <w:r w:rsidRPr="00603115">
        <w:t xml:space="preserve">100 mL above baseline in trough FEV1 at Day 169 was 49%, 43% and 35% in the UMEC/VI 62.5/25 </w:t>
      </w:r>
      <w:r>
        <w:t>µ</w:t>
      </w:r>
      <w:r w:rsidRPr="00603115">
        <w:t xml:space="preserve">g, UMEC 62.5 </w:t>
      </w:r>
      <w:r>
        <w:t>µ</w:t>
      </w:r>
      <w:r w:rsidRPr="00603115">
        <w:t xml:space="preserve">g, and VI 25 </w:t>
      </w:r>
      <w:r>
        <w:t>µ</w:t>
      </w:r>
      <w:r w:rsidRPr="00603115">
        <w:t xml:space="preserve">g groups, respectively, compared with 19% in the </w:t>
      </w:r>
      <w:r w:rsidRPr="00C95B35">
        <w:t>placebo</w:t>
      </w:r>
      <w:r w:rsidRPr="00603115">
        <w:t xml:space="preserve"> group. Subjects on UMEC/VI 62.5/25 </w:t>
      </w:r>
      <w:r>
        <w:t>µ</w:t>
      </w:r>
      <w:r w:rsidRPr="00603115">
        <w:t xml:space="preserve">g, UMEC 62.5 </w:t>
      </w:r>
      <w:r>
        <w:t>µ</w:t>
      </w:r>
      <w:r w:rsidRPr="00603115">
        <w:t xml:space="preserve">g, or VI 25 </w:t>
      </w:r>
      <w:r>
        <w:t>µ</w:t>
      </w:r>
      <w:r w:rsidRPr="00603115">
        <w:t xml:space="preserve">g had higher odds (4.1, 3.2 and 2.3 x higher likelihood, respectively; </w:t>
      </w:r>
      <w:r>
        <w:t>p &lt; 0.001</w:t>
      </w:r>
      <w:r w:rsidRPr="00603115">
        <w:t xml:space="preserve">) of achieving an increase of </w:t>
      </w:r>
      <w:r>
        <w:t xml:space="preserve">≥ </w:t>
      </w:r>
      <w:r w:rsidRPr="00603115">
        <w:t xml:space="preserve">100 mL above baseline in trough FEV1 at Day 169 compared with </w:t>
      </w:r>
      <w:r w:rsidRPr="00C95B35">
        <w:t>placebo</w:t>
      </w:r>
      <w:r w:rsidRPr="00603115">
        <w:t xml:space="preserve">. Subjects in the UMEC/VI 62.5/25 </w:t>
      </w:r>
      <w:r>
        <w:t>µ</w:t>
      </w:r>
      <w:r w:rsidRPr="00603115">
        <w:t xml:space="preserve">g treatment group also had a higher likelihood of achieving this endpoint compared with those in the VI 25 </w:t>
      </w:r>
      <w:r>
        <w:t>µ</w:t>
      </w:r>
      <w:r w:rsidRPr="00603115">
        <w:t>g treatment group (</w:t>
      </w:r>
      <w:proofErr w:type="gramStart"/>
      <w:r w:rsidRPr="00603115">
        <w:t>1.8 x higher likelihood</w:t>
      </w:r>
      <w:proofErr w:type="gramEnd"/>
      <w:r w:rsidRPr="00603115">
        <w:t xml:space="preserve">; </w:t>
      </w:r>
      <w:r>
        <w:t>p &lt; 0.001</w:t>
      </w:r>
      <w:r w:rsidRPr="00603115">
        <w:t xml:space="preserve">). Comparison between UMEC/VI 62.5/25 </w:t>
      </w:r>
      <w:r>
        <w:t>µ</w:t>
      </w:r>
      <w:r w:rsidRPr="00603115">
        <w:t xml:space="preserve">g and UMEC 62.5 </w:t>
      </w:r>
      <w:r>
        <w:t>µ</w:t>
      </w:r>
      <w:r w:rsidRPr="00603115">
        <w:t>g treatment groups yielded result that was not statistically significant (odds ratio of 1.3, p</w:t>
      </w:r>
      <w:r>
        <w:t xml:space="preserve"> = </w:t>
      </w:r>
      <w:r w:rsidRPr="00603115">
        <w:t>0.055).</w:t>
      </w:r>
    </w:p>
    <w:p w:rsidR="00B13321" w:rsidRDefault="00B13321" w:rsidP="00A24905">
      <w:r w:rsidRPr="00603115">
        <w:t xml:space="preserve">In both studies, serial FEV1 at 15 and 30 minutes and 1, 3, 6, 23, and 24 hours after dosing on Days 1 and 168, and at 15 and 30 minutes and 1, 3, and 6 hours after dosing on Days 28 and 84 were evaluated. In study DB2113361 there were statistically significantly greater </w:t>
      </w:r>
      <w:r>
        <w:t>post-dose</w:t>
      </w:r>
      <w:r w:rsidRPr="00603115">
        <w:t xml:space="preserve"> improvements in FEV1 from baseline compared to </w:t>
      </w:r>
      <w:r w:rsidRPr="00C95B35">
        <w:t>placebo</w:t>
      </w:r>
      <w:r w:rsidRPr="00603115">
        <w:t xml:space="preserve"> for UMEC/VI 125/25 </w:t>
      </w:r>
      <w:r>
        <w:t>µg, UMEC 125 µ</w:t>
      </w:r>
      <w:r w:rsidRPr="00603115">
        <w:t xml:space="preserve">g, and VI 25 </w:t>
      </w:r>
      <w:r>
        <w:t>µ</w:t>
      </w:r>
      <w:r w:rsidRPr="00603115">
        <w:t>g across all asses</w:t>
      </w:r>
      <w:r>
        <w:t xml:space="preserve">sed time </w:t>
      </w:r>
      <w:r w:rsidRPr="00A07A13">
        <w:t xml:space="preserve">points (Figures </w:t>
      </w:r>
      <w:r w:rsidR="00CF0081">
        <w:t>8 to 11</w:t>
      </w:r>
      <w:r w:rsidRPr="00A07A13">
        <w:t>). There</w:t>
      </w:r>
      <w:r w:rsidRPr="00603115">
        <w:t xml:space="preserve"> were also </w:t>
      </w:r>
      <w:r w:rsidRPr="00603115">
        <w:lastRenderedPageBreak/>
        <w:t xml:space="preserve">statistically significantly greater </w:t>
      </w:r>
      <w:r>
        <w:t>post-dose</w:t>
      </w:r>
      <w:r w:rsidRPr="00603115">
        <w:t xml:space="preserve"> improvements in FEV1 from baseline with UMEC/VI 125/25 </w:t>
      </w:r>
      <w:r>
        <w:t>µ</w:t>
      </w:r>
      <w:r w:rsidRPr="00603115">
        <w:t xml:space="preserve">g compared to VI 25 </w:t>
      </w:r>
      <w:r>
        <w:t>µ</w:t>
      </w:r>
      <w:r w:rsidRPr="00603115">
        <w:t xml:space="preserve">g and to UMEC 125 </w:t>
      </w:r>
      <w:r>
        <w:t>µ</w:t>
      </w:r>
      <w:r w:rsidRPr="00603115">
        <w:t xml:space="preserve">g across all assessed time points except at 15 minutes on Day 1 for the comparison between UMEC/VI 125/25 </w:t>
      </w:r>
      <w:r>
        <w:t>µ</w:t>
      </w:r>
      <w:r w:rsidRPr="00603115">
        <w:t xml:space="preserve">g </w:t>
      </w:r>
      <w:r w:rsidRPr="00C95B35">
        <w:t xml:space="preserve">and </w:t>
      </w:r>
      <w:r>
        <w:t>UMEC</w:t>
      </w:r>
      <w:r w:rsidRPr="00C95B35">
        <w:t xml:space="preserve"> </w:t>
      </w:r>
      <w:r>
        <w:t>1</w:t>
      </w:r>
      <w:r w:rsidRPr="00C95B35">
        <w:t>25</w:t>
      </w:r>
      <w:r>
        <w:rPr>
          <w:rStyle w:val="FootnoteReference"/>
        </w:rPr>
        <w:footnoteReference w:id="26"/>
      </w:r>
      <w:r w:rsidRPr="00C95B35">
        <w:t xml:space="preserve"> µg</w:t>
      </w:r>
      <w:r w:rsidRPr="00603115">
        <w:t xml:space="preserve">. In study DB2113373 there were statistically significantly greater </w:t>
      </w:r>
      <w:r>
        <w:t>post-dose</w:t>
      </w:r>
      <w:r w:rsidRPr="00603115">
        <w:t xml:space="preserve"> improvements in FEV1 from baseline compared to </w:t>
      </w:r>
      <w:r>
        <w:t>PLA</w:t>
      </w:r>
      <w:r w:rsidRPr="00603115">
        <w:t xml:space="preserve"> for UMEC/VI 62.5/25 </w:t>
      </w:r>
      <w:r>
        <w:t>µ</w:t>
      </w:r>
      <w:r w:rsidRPr="00603115">
        <w:t xml:space="preserve">g, UMEC 62.5 </w:t>
      </w:r>
      <w:r>
        <w:t>µ</w:t>
      </w:r>
      <w:r w:rsidRPr="00603115">
        <w:t xml:space="preserve">g, and VI 25 </w:t>
      </w:r>
      <w:r>
        <w:t>µ</w:t>
      </w:r>
      <w:r w:rsidRPr="00603115">
        <w:t>g across all asses</w:t>
      </w:r>
      <w:r>
        <w:t>sed time points (</w:t>
      </w:r>
      <w:r w:rsidRPr="00A07A13">
        <w:t>Figure</w:t>
      </w:r>
      <w:r>
        <w:t>s</w:t>
      </w:r>
      <w:r w:rsidRPr="00A07A13">
        <w:t xml:space="preserve"> </w:t>
      </w:r>
      <w:r w:rsidR="00CF0081">
        <w:t>12</w:t>
      </w:r>
      <w:r w:rsidRPr="00A07A13">
        <w:t xml:space="preserve"> to 1</w:t>
      </w:r>
      <w:r w:rsidR="00CF0081">
        <w:t>5</w:t>
      </w:r>
      <w:r w:rsidRPr="00A07A13">
        <w:t>).</w:t>
      </w:r>
      <w:r w:rsidRPr="00603115">
        <w:t xml:space="preserve"> There were also statistically significantly greater </w:t>
      </w:r>
      <w:r>
        <w:t>post-dose</w:t>
      </w:r>
      <w:r w:rsidRPr="00603115">
        <w:t xml:space="preserve"> improvements in FEV1 from baseline with UMEC/VI 62.5/25 </w:t>
      </w:r>
      <w:r>
        <w:t>µ</w:t>
      </w:r>
      <w:r w:rsidRPr="00603115">
        <w:t xml:space="preserve">g compared to VI 25 </w:t>
      </w:r>
      <w:r>
        <w:t>µ</w:t>
      </w:r>
      <w:r w:rsidRPr="00603115">
        <w:t xml:space="preserve">g and to UMEC 62.5 </w:t>
      </w:r>
      <w:r>
        <w:t>µ</w:t>
      </w:r>
      <w:r w:rsidRPr="00603115">
        <w:t xml:space="preserve">g across all assessed time points except at 15 minutes, 30 minutes and 1 hour on Day 1 for the comparison between UMEC/VI 62.5/25 </w:t>
      </w:r>
      <w:r>
        <w:t>µ</w:t>
      </w:r>
      <w:r w:rsidRPr="00603115">
        <w:t xml:space="preserve">g and VI 25 </w:t>
      </w:r>
      <w:r>
        <w:t>µ</w:t>
      </w:r>
      <w:r w:rsidRPr="00603115">
        <w:t>g.</w:t>
      </w:r>
    </w:p>
    <w:p w:rsidR="00B13321" w:rsidRPr="00A07A13" w:rsidRDefault="00B13321" w:rsidP="008138BC">
      <w:pPr>
        <w:pStyle w:val="FigureTitle"/>
      </w:pPr>
      <w:proofErr w:type="gramStart"/>
      <w:r w:rsidRPr="00A07A13">
        <w:t xml:space="preserve">Figure </w:t>
      </w:r>
      <w:r w:rsidR="00CF0081">
        <w:t>8</w:t>
      </w:r>
      <w:r w:rsidRPr="00A07A13">
        <w:t>.</w:t>
      </w:r>
      <w:proofErr w:type="gramEnd"/>
      <w:r w:rsidRPr="00A07A13">
        <w:t xml:space="preserve"> Study DB2113361. Least Squares Mean Change from Baseline in FEV1 (L) over Time at Day 1 (ITT Population).</w:t>
      </w:r>
    </w:p>
    <w:p w:rsidR="00B13321" w:rsidRDefault="00B13321" w:rsidP="008138BC">
      <w:r>
        <w:rPr>
          <w:noProof/>
          <w:lang w:eastAsia="en-AU"/>
        </w:rPr>
        <w:drawing>
          <wp:inline distT="0" distB="0" distL="0" distR="0" wp14:anchorId="0409BAE1" wp14:editId="0452EDB5">
            <wp:extent cx="5200492" cy="2590800"/>
            <wp:effectExtent l="0" t="0" r="0" b="0"/>
            <wp:docPr id="16" name="Picture 16" descr="Figure 8. Study DB2113361. Least Squares Mean Change from Baseline in FEV1 (L) over Time at Day 1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01645" cy="2591374"/>
                    </a:xfrm>
                    <a:prstGeom prst="rect">
                      <a:avLst/>
                    </a:prstGeom>
                  </pic:spPr>
                </pic:pic>
              </a:graphicData>
            </a:graphic>
          </wp:inline>
        </w:drawing>
      </w:r>
    </w:p>
    <w:p w:rsidR="00B13321" w:rsidRDefault="00B13321" w:rsidP="008138BC">
      <w:pPr>
        <w:pStyle w:val="FigureTitle"/>
      </w:pPr>
      <w:proofErr w:type="gramStart"/>
      <w:r w:rsidRPr="005C25D3">
        <w:t xml:space="preserve">Figure </w:t>
      </w:r>
      <w:r w:rsidR="00CF0081">
        <w:t>9</w:t>
      </w:r>
      <w:r w:rsidRPr="005C25D3">
        <w:t>.</w:t>
      </w:r>
      <w:proofErr w:type="gramEnd"/>
      <w:r w:rsidRPr="005C25D3">
        <w:t xml:space="preserve"> Study DB2113361. Least Squares Mean Change from Baseline in FEV1 (L) over Time at </w:t>
      </w:r>
      <w:r>
        <w:t xml:space="preserve">Day 28 </w:t>
      </w:r>
      <w:r w:rsidRPr="005C25D3">
        <w:t>(ITT Population).</w:t>
      </w:r>
    </w:p>
    <w:p w:rsidR="00B13321" w:rsidRDefault="00B13321" w:rsidP="008138BC">
      <w:r>
        <w:rPr>
          <w:noProof/>
          <w:lang w:eastAsia="en-AU"/>
        </w:rPr>
        <w:drawing>
          <wp:inline distT="0" distB="0" distL="0" distR="0" wp14:anchorId="7C0539E2" wp14:editId="6F8A7B53">
            <wp:extent cx="5128260" cy="2585496"/>
            <wp:effectExtent l="0" t="0" r="0" b="0"/>
            <wp:docPr id="21" name="Picture 21" descr="Figure 9. Study DB2113361. Least Squares Mean Change from Baseline in FEV1 (L) over Time at Day 2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133155" cy="2587964"/>
                    </a:xfrm>
                    <a:prstGeom prst="rect">
                      <a:avLst/>
                    </a:prstGeom>
                  </pic:spPr>
                </pic:pic>
              </a:graphicData>
            </a:graphic>
          </wp:inline>
        </w:drawing>
      </w:r>
    </w:p>
    <w:p w:rsidR="00B13321" w:rsidRDefault="00B13321" w:rsidP="00A24905">
      <w:pPr>
        <w:pStyle w:val="FigureTitle"/>
      </w:pPr>
      <w:proofErr w:type="gramStart"/>
      <w:r w:rsidRPr="005C25D3">
        <w:lastRenderedPageBreak/>
        <w:t xml:space="preserve">Figure </w:t>
      </w:r>
      <w:r w:rsidR="00CF0081">
        <w:t>10</w:t>
      </w:r>
      <w:r w:rsidRPr="005C25D3">
        <w:t>.</w:t>
      </w:r>
      <w:proofErr w:type="gramEnd"/>
      <w:r w:rsidRPr="005C25D3">
        <w:t xml:space="preserve"> Study DB2113361. Least Squares Mean Change from Baseline in FEV1 (L) over Time at </w:t>
      </w:r>
      <w:r>
        <w:t xml:space="preserve">Day 84 </w:t>
      </w:r>
      <w:r w:rsidRPr="005C25D3">
        <w:t>(ITT Population).</w:t>
      </w:r>
    </w:p>
    <w:p w:rsidR="00B13321" w:rsidRDefault="00B13321" w:rsidP="007D5DFC">
      <w:r>
        <w:rPr>
          <w:noProof/>
          <w:lang w:eastAsia="en-AU"/>
        </w:rPr>
        <w:drawing>
          <wp:inline distT="0" distB="0" distL="0" distR="0" wp14:anchorId="30391A3C" wp14:editId="19B04BBD">
            <wp:extent cx="5010540" cy="2597345"/>
            <wp:effectExtent l="0" t="0" r="0" b="0"/>
            <wp:docPr id="27" name="Picture 27" descr="Figure 10. Study DB2113361. Least Squares Mean Change from Baseline in FEV1 (L) over Time at Day 8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009249" cy="2596676"/>
                    </a:xfrm>
                    <a:prstGeom prst="rect">
                      <a:avLst/>
                    </a:prstGeom>
                  </pic:spPr>
                </pic:pic>
              </a:graphicData>
            </a:graphic>
          </wp:inline>
        </w:drawing>
      </w:r>
    </w:p>
    <w:p w:rsidR="00B13321" w:rsidRDefault="00B13321" w:rsidP="007D5DFC">
      <w:pPr>
        <w:pStyle w:val="FigureTitle"/>
      </w:pPr>
      <w:proofErr w:type="gramStart"/>
      <w:r w:rsidRPr="005C25D3">
        <w:t xml:space="preserve">Figure </w:t>
      </w:r>
      <w:r w:rsidR="00CF0081">
        <w:t>11</w:t>
      </w:r>
      <w:r w:rsidRPr="005C25D3">
        <w:t>.</w:t>
      </w:r>
      <w:proofErr w:type="gramEnd"/>
      <w:r w:rsidRPr="005C25D3">
        <w:t xml:space="preserve"> Study DB2113361. Least Squares Mean Change from Baseline in FEV1 (L) over Time at Day 168 (ITT Population).</w:t>
      </w:r>
    </w:p>
    <w:p w:rsidR="00B13321" w:rsidRDefault="00B13321" w:rsidP="007D5DFC">
      <w:r>
        <w:rPr>
          <w:noProof/>
          <w:lang w:eastAsia="en-AU"/>
        </w:rPr>
        <w:drawing>
          <wp:inline distT="0" distB="0" distL="0" distR="0" wp14:anchorId="620EB791" wp14:editId="69A52B03">
            <wp:extent cx="5045634" cy="2552466"/>
            <wp:effectExtent l="0" t="0" r="0" b="0"/>
            <wp:docPr id="28" name="Picture 28" descr="Figure 11. Study DB2113361. Least Squares Mean Change from Baseline in FEV1 (L) over Time at Day 168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44171" cy="2551726"/>
                    </a:xfrm>
                    <a:prstGeom prst="rect">
                      <a:avLst/>
                    </a:prstGeom>
                  </pic:spPr>
                </pic:pic>
              </a:graphicData>
            </a:graphic>
          </wp:inline>
        </w:drawing>
      </w:r>
    </w:p>
    <w:p w:rsidR="00B13321" w:rsidRDefault="00B13321" w:rsidP="007D5DFC">
      <w:pPr>
        <w:pStyle w:val="FigureTitle"/>
      </w:pPr>
      <w:proofErr w:type="gramStart"/>
      <w:r w:rsidRPr="0022377B">
        <w:lastRenderedPageBreak/>
        <w:t xml:space="preserve">Figure </w:t>
      </w:r>
      <w:r w:rsidR="00CF0081">
        <w:t>12</w:t>
      </w:r>
      <w:r w:rsidRPr="0022377B">
        <w:t>.</w:t>
      </w:r>
      <w:proofErr w:type="gramEnd"/>
      <w:r w:rsidRPr="0022377B">
        <w:t xml:space="preserve"> Least</w:t>
      </w:r>
      <w:r w:rsidRPr="00A04658">
        <w:t xml:space="preserve"> Squares Mean Change from Baseline in FEV1 (L) over Time at Day 1 (DB2113373 ITT Population)</w:t>
      </w:r>
      <w:r>
        <w:t>.</w:t>
      </w:r>
    </w:p>
    <w:p w:rsidR="00B13321" w:rsidRDefault="00B13321" w:rsidP="007D5DFC">
      <w:r>
        <w:rPr>
          <w:noProof/>
          <w:lang w:eastAsia="en-AU"/>
        </w:rPr>
        <w:drawing>
          <wp:inline distT="0" distB="0" distL="0" distR="0" wp14:anchorId="4EBB0805" wp14:editId="782F9309">
            <wp:extent cx="4876516" cy="2485148"/>
            <wp:effectExtent l="0" t="0" r="0" b="0"/>
            <wp:docPr id="29" name="Picture 29" descr="Figure 12. Least Squares Mean Change from Baseline in FEV1 (L) over Time at Day 1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878288" cy="2486051"/>
                    </a:xfrm>
                    <a:prstGeom prst="rect">
                      <a:avLst/>
                    </a:prstGeom>
                  </pic:spPr>
                </pic:pic>
              </a:graphicData>
            </a:graphic>
          </wp:inline>
        </w:drawing>
      </w:r>
    </w:p>
    <w:p w:rsidR="00B13321" w:rsidRDefault="00B13321" w:rsidP="007D5DFC">
      <w:pPr>
        <w:pStyle w:val="FigureTitle"/>
      </w:pPr>
      <w:proofErr w:type="gramStart"/>
      <w:r w:rsidRPr="00A07A13">
        <w:t xml:space="preserve">Figure </w:t>
      </w:r>
      <w:r w:rsidR="00CF0081">
        <w:t>13</w:t>
      </w:r>
      <w:r w:rsidRPr="00A07A13">
        <w:t>.</w:t>
      </w:r>
      <w:proofErr w:type="gramEnd"/>
      <w:r w:rsidRPr="00A07A13">
        <w:t xml:space="preserve"> Least Squares Mean Change from Baseline in FEV1 (L) over Time at Day 28, (DB2113373 ITT Population).</w:t>
      </w:r>
    </w:p>
    <w:p w:rsidR="00B13321" w:rsidRDefault="00B13321" w:rsidP="007D5DFC">
      <w:r>
        <w:rPr>
          <w:noProof/>
          <w:lang w:eastAsia="en-AU"/>
        </w:rPr>
        <w:drawing>
          <wp:inline distT="0" distB="0" distL="0" distR="0" wp14:anchorId="4999E55D" wp14:editId="30010CE8">
            <wp:extent cx="4874930" cy="2434340"/>
            <wp:effectExtent l="0" t="0" r="0" b="0"/>
            <wp:docPr id="30" name="Picture 30" descr="Figure 13. Least Squares Mean Change from Baseline in FEV1 (L) over Time at Day 28,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876762" cy="2435255"/>
                    </a:xfrm>
                    <a:prstGeom prst="rect">
                      <a:avLst/>
                    </a:prstGeom>
                  </pic:spPr>
                </pic:pic>
              </a:graphicData>
            </a:graphic>
          </wp:inline>
        </w:drawing>
      </w:r>
    </w:p>
    <w:p w:rsidR="00B13321" w:rsidRDefault="00B13321" w:rsidP="007D5DFC">
      <w:pPr>
        <w:pStyle w:val="FigureTitle"/>
      </w:pPr>
      <w:proofErr w:type="gramStart"/>
      <w:r w:rsidRPr="00A07A13">
        <w:t xml:space="preserve">Figure </w:t>
      </w:r>
      <w:r w:rsidR="00CF0081">
        <w:t>14</w:t>
      </w:r>
      <w:r w:rsidRPr="00A07A13">
        <w:t>.</w:t>
      </w:r>
      <w:proofErr w:type="gramEnd"/>
      <w:r w:rsidRPr="00A07A13">
        <w:t xml:space="preserve"> Least Squares Mean Change from Baseline in FEV1 (L) over Time at </w:t>
      </w:r>
      <w:r>
        <w:t>Day 84</w:t>
      </w:r>
      <w:r w:rsidRPr="00A07A13">
        <w:t xml:space="preserve"> (DB2113373 ITT Population).</w:t>
      </w:r>
    </w:p>
    <w:p w:rsidR="00B13321" w:rsidRDefault="00B13321" w:rsidP="007D5DFC">
      <w:r>
        <w:rPr>
          <w:noProof/>
          <w:lang w:eastAsia="en-AU"/>
        </w:rPr>
        <w:drawing>
          <wp:inline distT="0" distB="0" distL="0" distR="0" wp14:anchorId="42C9D462" wp14:editId="53E59049">
            <wp:extent cx="4756388" cy="2417831"/>
            <wp:effectExtent l="0" t="0" r="0" b="0"/>
            <wp:docPr id="31" name="Picture 31" descr="Figure 14. Least Squares Mean Change from Baseline in FEV1 (L) over Time at Day 84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759695" cy="2419512"/>
                    </a:xfrm>
                    <a:prstGeom prst="rect">
                      <a:avLst/>
                    </a:prstGeom>
                  </pic:spPr>
                </pic:pic>
              </a:graphicData>
            </a:graphic>
          </wp:inline>
        </w:drawing>
      </w:r>
    </w:p>
    <w:p w:rsidR="00B13321" w:rsidRDefault="00B13321" w:rsidP="00B13321">
      <w:pPr>
        <w:pStyle w:val="FigureTitle"/>
      </w:pPr>
      <w:proofErr w:type="gramStart"/>
      <w:r w:rsidRPr="00A07A13">
        <w:lastRenderedPageBreak/>
        <w:t xml:space="preserve">Figure </w:t>
      </w:r>
      <w:r w:rsidR="00CF0081">
        <w:t>15</w:t>
      </w:r>
      <w:r w:rsidRPr="00A07A13">
        <w:t>.</w:t>
      </w:r>
      <w:proofErr w:type="gramEnd"/>
      <w:r w:rsidRPr="00A07A13">
        <w:t xml:space="preserve"> Least Squares Mean Change from Baseline in FEV1 (L) over Time at Day 168 (DB2113373 ITT Population).</w:t>
      </w:r>
    </w:p>
    <w:p w:rsidR="00B13321" w:rsidRPr="00A04658" w:rsidRDefault="00B13321" w:rsidP="007D5DFC">
      <w:r>
        <w:rPr>
          <w:noProof/>
          <w:lang w:eastAsia="en-AU"/>
        </w:rPr>
        <w:drawing>
          <wp:inline distT="0" distB="0" distL="0" distR="0" wp14:anchorId="36346E34" wp14:editId="14748D52">
            <wp:extent cx="4723110" cy="2344903"/>
            <wp:effectExtent l="0" t="0" r="0" b="0"/>
            <wp:docPr id="32" name="Picture 32" descr="Figure 15. Least Squares Mean Change from Baseline in FEV1 (L) over Time at Day 168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725387" cy="2346033"/>
                    </a:xfrm>
                    <a:prstGeom prst="rect">
                      <a:avLst/>
                    </a:prstGeom>
                  </pic:spPr>
                </pic:pic>
              </a:graphicData>
            </a:graphic>
          </wp:inline>
        </w:drawing>
      </w:r>
    </w:p>
    <w:p w:rsidR="00B13321" w:rsidRPr="00603115" w:rsidRDefault="00B13321" w:rsidP="00A24905">
      <w:r w:rsidRPr="00603115">
        <w:t xml:space="preserve">Analysis of peak FEV1 in study DB2113361 showed that there were statistically significantly greater LSM changes from baseline in peak FEV1 compared to </w:t>
      </w:r>
      <w:r w:rsidRPr="006A3E63">
        <w:t>placebo</w:t>
      </w:r>
      <w:r w:rsidRPr="00603115">
        <w:t xml:space="preserve"> for UMEC/VI 125/25 </w:t>
      </w:r>
      <w:r>
        <w:t>µ</w:t>
      </w:r>
      <w:r w:rsidRPr="00603115">
        <w:t xml:space="preserve">g, UMEC 125 </w:t>
      </w:r>
      <w:r>
        <w:t>µ</w:t>
      </w:r>
      <w:r w:rsidRPr="00603115">
        <w:t xml:space="preserve">g, and VI 25 </w:t>
      </w:r>
      <w:r>
        <w:t>µ</w:t>
      </w:r>
      <w:r w:rsidRPr="00603115">
        <w:t xml:space="preserve">g at assessed </w:t>
      </w:r>
      <w:r>
        <w:t>time points</w:t>
      </w:r>
      <w:r w:rsidRPr="00603115">
        <w:t xml:space="preserve"> (Days 1, 2</w:t>
      </w:r>
      <w:r>
        <w:t>8, 84, and 168)</w:t>
      </w:r>
      <w:r w:rsidRPr="00603115">
        <w:t xml:space="preserve">. There were also statistically significantly greater LSM changes from baseline </w:t>
      </w:r>
      <w:r>
        <w:t>in peak FEV1 for UMEC/VI 125/25 µ</w:t>
      </w:r>
      <w:r w:rsidRPr="00603115">
        <w:t xml:space="preserve">g compared to VI 25 </w:t>
      </w:r>
      <w:r>
        <w:t>µ</w:t>
      </w:r>
      <w:r w:rsidRPr="00603115">
        <w:t xml:space="preserve">g and to UMEC 125 </w:t>
      </w:r>
      <w:r>
        <w:t>µ</w:t>
      </w:r>
      <w:r w:rsidRPr="00603115">
        <w:t xml:space="preserve">g at these </w:t>
      </w:r>
      <w:r>
        <w:t>time points</w:t>
      </w:r>
      <w:r w:rsidRPr="00603115">
        <w:t xml:space="preserve">. Analysis of peak FEV1 in study DB2113373 showed that there were statistically significantly greater LSM changes from baseline in peak FEV1 compared to </w:t>
      </w:r>
      <w:r w:rsidRPr="006A3E63">
        <w:t>placebo</w:t>
      </w:r>
      <w:r w:rsidRPr="00603115">
        <w:t xml:space="preserve"> for UMEC/VI 62.5/25 </w:t>
      </w:r>
      <w:r>
        <w:t>µ</w:t>
      </w:r>
      <w:r w:rsidRPr="00603115">
        <w:t xml:space="preserve">g, UMEC 62.5 </w:t>
      </w:r>
      <w:r>
        <w:t>µ</w:t>
      </w:r>
      <w:r w:rsidRPr="00603115">
        <w:t xml:space="preserve">g, and VI 25 </w:t>
      </w:r>
      <w:r>
        <w:t>µ</w:t>
      </w:r>
      <w:r w:rsidRPr="00603115">
        <w:t xml:space="preserve">g at assessed </w:t>
      </w:r>
      <w:r>
        <w:t>time points</w:t>
      </w:r>
      <w:r w:rsidRPr="00603115">
        <w:t xml:space="preserve"> (Days 1, 28, 84, and 168). There were also statistically significantly greater LSM changes from baseline in peak FEV1 for UMEC/VI 62.5/25 </w:t>
      </w:r>
      <w:r>
        <w:t>µ</w:t>
      </w:r>
      <w:r w:rsidRPr="00603115">
        <w:t xml:space="preserve">g compared to VI 25 </w:t>
      </w:r>
      <w:r>
        <w:t>µ</w:t>
      </w:r>
      <w:r w:rsidRPr="00603115">
        <w:t xml:space="preserve">g and to UMEC 62.5 </w:t>
      </w:r>
      <w:r>
        <w:t>µ</w:t>
      </w:r>
      <w:r w:rsidRPr="00603115">
        <w:t xml:space="preserve">g at these </w:t>
      </w:r>
      <w:r>
        <w:t>time points</w:t>
      </w:r>
      <w:r w:rsidRPr="00603115">
        <w:t>.</w:t>
      </w:r>
    </w:p>
    <w:p w:rsidR="00B13321" w:rsidRPr="00603115" w:rsidRDefault="00B13321" w:rsidP="00A24905">
      <w:r w:rsidRPr="00603115">
        <w:t xml:space="preserve">Analysis of trough FVC in study DB2113361 showed that there were statistically significantly greater LSM changes from baseline in trough FVC compared to </w:t>
      </w:r>
      <w:r w:rsidRPr="006A3E63">
        <w:t>placebo</w:t>
      </w:r>
      <w:r w:rsidRPr="00603115">
        <w:t xml:space="preserve"> for UMEC/VI 125/25 </w:t>
      </w:r>
      <w:r>
        <w:t>µ</w:t>
      </w:r>
      <w:r w:rsidRPr="00603115">
        <w:t xml:space="preserve">g, UMEC 125 </w:t>
      </w:r>
      <w:r>
        <w:t>µ</w:t>
      </w:r>
      <w:r w:rsidRPr="00603115">
        <w:t xml:space="preserve">g, and VI 25 </w:t>
      </w:r>
      <w:r>
        <w:t>µ</w:t>
      </w:r>
      <w:r w:rsidRPr="00603115">
        <w:t>g at assessed time</w:t>
      </w:r>
      <w:r>
        <w:t xml:space="preserve"> </w:t>
      </w:r>
      <w:r w:rsidRPr="00603115">
        <w:t xml:space="preserve">points (Days 2, 28, 56, 84, 112, 168, and 169). There were also statistically significantly greater LSM changes from baseline in trough FVC for UMEC/VI 125/25 </w:t>
      </w:r>
      <w:r>
        <w:t>µ</w:t>
      </w:r>
      <w:r w:rsidRPr="00603115">
        <w:t xml:space="preserve">g compared to VI 25 </w:t>
      </w:r>
      <w:r>
        <w:t>µ</w:t>
      </w:r>
      <w:r w:rsidRPr="00603115">
        <w:t xml:space="preserve">g and to UMEC 125 </w:t>
      </w:r>
      <w:r>
        <w:t>µ</w:t>
      </w:r>
      <w:r w:rsidRPr="00603115">
        <w:t xml:space="preserve">g at these </w:t>
      </w:r>
      <w:r>
        <w:t>time points</w:t>
      </w:r>
      <w:r w:rsidRPr="00603115">
        <w:t xml:space="preserve">. Analysis of trough FVC in study DB2113373 showed that there were statistically significantly greater LSM changes from baseline in trough FVC compared to </w:t>
      </w:r>
      <w:r w:rsidRPr="006A3E63">
        <w:t>placebo</w:t>
      </w:r>
      <w:r w:rsidRPr="00603115">
        <w:t xml:space="preserve"> for UMEC/VI 62.5/25 </w:t>
      </w:r>
      <w:r>
        <w:t>µ</w:t>
      </w:r>
      <w:r w:rsidRPr="00603115">
        <w:t xml:space="preserve">g, UMEC 62.5 </w:t>
      </w:r>
      <w:r>
        <w:t>µ</w:t>
      </w:r>
      <w:r w:rsidRPr="00603115">
        <w:t xml:space="preserve">g, and VI 25 </w:t>
      </w:r>
      <w:r>
        <w:t>µ</w:t>
      </w:r>
      <w:r w:rsidRPr="00603115">
        <w:t xml:space="preserve">g at assessed </w:t>
      </w:r>
      <w:r>
        <w:t>time points</w:t>
      </w:r>
      <w:r w:rsidRPr="00603115">
        <w:t xml:space="preserve"> (Days 2, 28, 56, 84, 112, 168, and 169). There were also statistically significantly greater LSM changes from baseline in trough FVC for UMEC/VI 62.5/25 </w:t>
      </w:r>
      <w:r>
        <w:t>µ</w:t>
      </w:r>
      <w:r w:rsidRPr="00603115">
        <w:t xml:space="preserve">g compared to VI 25 </w:t>
      </w:r>
      <w:r>
        <w:t>µ</w:t>
      </w:r>
      <w:r w:rsidRPr="00603115">
        <w:t xml:space="preserve">g and to UMEC 62.5 </w:t>
      </w:r>
      <w:r>
        <w:t>µ</w:t>
      </w:r>
      <w:r w:rsidRPr="00603115">
        <w:t xml:space="preserve">g at these </w:t>
      </w:r>
      <w:r>
        <w:t>time points</w:t>
      </w:r>
      <w:r w:rsidRPr="00603115">
        <w:t xml:space="preserve"> except at Day 112 for the comparison between UMEC/VI 62.5/25 </w:t>
      </w:r>
      <w:r>
        <w:t>µ</w:t>
      </w:r>
      <w:r w:rsidRPr="00603115">
        <w:t xml:space="preserve">g and UMEC 62.5 </w:t>
      </w:r>
      <w:r>
        <w:t>µ</w:t>
      </w:r>
      <w:r w:rsidRPr="00603115">
        <w:t>g.</w:t>
      </w:r>
    </w:p>
    <w:p w:rsidR="00B13321" w:rsidRPr="00603115" w:rsidRDefault="00B13321" w:rsidP="00A24905">
      <w:r w:rsidRPr="00603115">
        <w:t xml:space="preserve">In study DB2113361, analysis of weighted mean FEV1 over 0 to 24 hours </w:t>
      </w:r>
      <w:r>
        <w:t>post-dose in the Twenty-</w:t>
      </w:r>
      <w:r w:rsidRPr="00603115">
        <w:t xml:space="preserve">four Hour (TFH) Population showed that there were statistically significantly greater LSM changes from baseline in 0 to 24 hour weighted mean FEV1 compared to </w:t>
      </w:r>
      <w:r w:rsidRPr="006A3E63">
        <w:t>placebo</w:t>
      </w:r>
      <w:r w:rsidRPr="00603115">
        <w:t xml:space="preserve"> for UMEC/VI 125/25 </w:t>
      </w:r>
      <w:r>
        <w:t>µ</w:t>
      </w:r>
      <w:r w:rsidRPr="00603115">
        <w:t xml:space="preserve">g, UMEC 125 </w:t>
      </w:r>
      <w:r>
        <w:t>µ</w:t>
      </w:r>
      <w:r w:rsidRPr="00603115">
        <w:t xml:space="preserve">g, and VI 25 </w:t>
      </w:r>
      <w:r>
        <w:t>µ</w:t>
      </w:r>
      <w:r w:rsidRPr="00603115">
        <w:t xml:space="preserve">g at assessed </w:t>
      </w:r>
      <w:r>
        <w:t>time points</w:t>
      </w:r>
      <w:r w:rsidRPr="00603115">
        <w:t xml:space="preserve"> (Days 1, 84, and168). There were also statistically significantly greater LSM changes from baseline in 0 to 24 hour weighted mean FEV1 for UMEC/VI 125/25 </w:t>
      </w:r>
      <w:r>
        <w:t>µ</w:t>
      </w:r>
      <w:r w:rsidRPr="00603115">
        <w:t xml:space="preserve">g compared to VI 25 </w:t>
      </w:r>
      <w:r>
        <w:t>µ</w:t>
      </w:r>
      <w:r w:rsidRPr="00603115">
        <w:t xml:space="preserve">g and to UMEC 125 </w:t>
      </w:r>
      <w:r>
        <w:t>µ</w:t>
      </w:r>
      <w:r w:rsidRPr="00603115">
        <w:t xml:space="preserve">g at these </w:t>
      </w:r>
      <w:r>
        <w:t>time points</w:t>
      </w:r>
      <w:r w:rsidRPr="00603115">
        <w:t xml:space="preserve">. In study DB2113373, analysis of weighted mean FEV1 over 0 to 24 hours </w:t>
      </w:r>
      <w:r>
        <w:t>post-dose</w:t>
      </w:r>
      <w:r w:rsidRPr="00603115">
        <w:t xml:space="preserve"> in the TFH population showed that there were statistically significantly greater LSM changes from baseline in 0 to 24 hour weighted mean FEV1 compared to </w:t>
      </w:r>
      <w:r w:rsidRPr="006A3E63">
        <w:t>placebo</w:t>
      </w:r>
      <w:r w:rsidRPr="00603115">
        <w:t xml:space="preserve"> for UMEC/VI 62.5/25 </w:t>
      </w:r>
      <w:r>
        <w:t>µ</w:t>
      </w:r>
      <w:r w:rsidRPr="00603115">
        <w:t xml:space="preserve">g, UMEC 62.5 </w:t>
      </w:r>
      <w:r>
        <w:t>µ</w:t>
      </w:r>
      <w:r w:rsidRPr="00603115">
        <w:t xml:space="preserve">g, and VI 25 </w:t>
      </w:r>
      <w:r>
        <w:t>µ</w:t>
      </w:r>
      <w:r w:rsidRPr="00603115">
        <w:t xml:space="preserve">g at assessed </w:t>
      </w:r>
      <w:r>
        <w:t>time points</w:t>
      </w:r>
      <w:r w:rsidRPr="00603115">
        <w:t xml:space="preserve"> (Days 1, 84, and168) except at Day 168 for the comparison between VI 25 </w:t>
      </w:r>
      <w:r>
        <w:t>µ</w:t>
      </w:r>
      <w:r w:rsidRPr="00603115">
        <w:t xml:space="preserve">g and </w:t>
      </w:r>
      <w:r w:rsidRPr="006A3E63">
        <w:t>placebo</w:t>
      </w:r>
      <w:r w:rsidRPr="00603115">
        <w:t>. There were statistically significantly greater LSM changes from baseline in 0 to 24 hour weighted mean FEV1 for UMEC</w:t>
      </w:r>
      <w:r>
        <w:t>/VI 62.5/25 µ</w:t>
      </w:r>
      <w:r w:rsidRPr="00603115">
        <w:t xml:space="preserve">g compared to VI 25 </w:t>
      </w:r>
      <w:r>
        <w:t>µ</w:t>
      </w:r>
      <w:r w:rsidRPr="00603115">
        <w:t xml:space="preserve">g and to UMEC 62.5 </w:t>
      </w:r>
      <w:r>
        <w:t>µ</w:t>
      </w:r>
      <w:r w:rsidRPr="00603115">
        <w:t xml:space="preserve">g only at the </w:t>
      </w:r>
      <w:r>
        <w:t>time point</w:t>
      </w:r>
      <w:r w:rsidRPr="00603115">
        <w:t xml:space="preserve"> of Day 84.</w:t>
      </w:r>
    </w:p>
    <w:p w:rsidR="00B13321" w:rsidRDefault="00B13321" w:rsidP="00A24905">
      <w:r w:rsidRPr="00603115">
        <w:lastRenderedPageBreak/>
        <w:t>Serial FEV1 at Days 1, 84, and 168 in the TFH populatio</w:t>
      </w:r>
      <w:r>
        <w:t>n was provided in the CER</w:t>
      </w:r>
      <w:r w:rsidRPr="00603115">
        <w:t xml:space="preserve"> for st</w:t>
      </w:r>
      <w:r>
        <w:t xml:space="preserve">udy DB2113361 and </w:t>
      </w:r>
      <w:r w:rsidRPr="00603115">
        <w:t xml:space="preserve">study DB2113373. Analyses of serial FEV1 at Days 1, 84, and 168 in the TFH population in study DB2113361 showed that there were statistically significantly greater </w:t>
      </w:r>
      <w:r>
        <w:t>post-dose</w:t>
      </w:r>
      <w:r w:rsidRPr="00603115">
        <w:t xml:space="preserve"> improvements in FEV1 from baseline compared to </w:t>
      </w:r>
      <w:r w:rsidRPr="006A3E63">
        <w:t>placebo</w:t>
      </w:r>
      <w:r w:rsidRPr="00603115">
        <w:t xml:space="preserve"> for UMEC/VI 125/25 </w:t>
      </w:r>
      <w:r>
        <w:t>µ</w:t>
      </w:r>
      <w:r w:rsidRPr="00603115">
        <w:t xml:space="preserve">g, UMEC 125 </w:t>
      </w:r>
      <w:r>
        <w:t>µ</w:t>
      </w:r>
      <w:r w:rsidRPr="00603115">
        <w:t xml:space="preserve">g, and VI 25 </w:t>
      </w:r>
      <w:r>
        <w:t>µ</w:t>
      </w:r>
      <w:r w:rsidRPr="00603115">
        <w:t xml:space="preserve">g at all assessed </w:t>
      </w:r>
      <w:r>
        <w:t>post-dose</w:t>
      </w:r>
      <w:r w:rsidRPr="00603115">
        <w:t xml:space="preserve"> </w:t>
      </w:r>
      <w:r>
        <w:t>time points</w:t>
      </w:r>
      <w:r w:rsidRPr="00603115">
        <w:t xml:space="preserve">. Analyses of serial FEV1 at Days 1, 84, and 168 in the TFH population in study DB2113373 showed that there were statistically significantly greater </w:t>
      </w:r>
      <w:r>
        <w:t>post-dose</w:t>
      </w:r>
      <w:r w:rsidRPr="00603115">
        <w:t xml:space="preserve"> improvements in FEV1 from baseline compared to </w:t>
      </w:r>
      <w:r w:rsidRPr="006A3E63">
        <w:t>placebo</w:t>
      </w:r>
      <w:r w:rsidRPr="00603115">
        <w:t xml:space="preserve"> for UMEC/VI 62.5/25 </w:t>
      </w:r>
      <w:r>
        <w:t>µ</w:t>
      </w:r>
      <w:r w:rsidRPr="00603115">
        <w:t xml:space="preserve">g, and for UMEC 62.5 </w:t>
      </w:r>
      <w:r>
        <w:t>µ</w:t>
      </w:r>
      <w:r w:rsidRPr="00603115">
        <w:t xml:space="preserve">g at all assessed </w:t>
      </w:r>
      <w:r>
        <w:t>post-dose</w:t>
      </w:r>
      <w:r w:rsidRPr="00603115">
        <w:t xml:space="preserve"> </w:t>
      </w:r>
      <w:r>
        <w:t>time points</w:t>
      </w:r>
      <w:r w:rsidRPr="00603115">
        <w:t xml:space="preserve">, except at 30 minutes </w:t>
      </w:r>
      <w:r>
        <w:t>post-dose</w:t>
      </w:r>
      <w:r w:rsidRPr="00603115">
        <w:t xml:space="preserve"> on Day 168 for the comparison between UMEC 62.5 </w:t>
      </w:r>
      <w:r>
        <w:t>µ</w:t>
      </w:r>
      <w:r w:rsidRPr="00603115">
        <w:t xml:space="preserve">g and </w:t>
      </w:r>
      <w:r w:rsidRPr="006A3E63">
        <w:t>placebo</w:t>
      </w:r>
      <w:r w:rsidRPr="00603115">
        <w:t xml:space="preserve">. There were statistically significantly greater </w:t>
      </w:r>
      <w:r>
        <w:t>post-dose</w:t>
      </w:r>
      <w:r w:rsidRPr="00603115">
        <w:t xml:space="preserve"> improvements in FEV1 from baseline compared to </w:t>
      </w:r>
      <w:r w:rsidRPr="006A3E63">
        <w:t>placebo</w:t>
      </w:r>
      <w:r w:rsidRPr="00603115">
        <w:t xml:space="preserve"> for</w:t>
      </w:r>
      <w:r>
        <w:t xml:space="preserve"> </w:t>
      </w:r>
      <w:r w:rsidRPr="00603115">
        <w:t xml:space="preserve">VI 25 </w:t>
      </w:r>
      <w:r>
        <w:t>µ</w:t>
      </w:r>
      <w:r w:rsidRPr="00603115">
        <w:t xml:space="preserve">g at all assessed </w:t>
      </w:r>
      <w:r>
        <w:t>post-dose</w:t>
      </w:r>
      <w:r w:rsidRPr="00603115">
        <w:t xml:space="preserve"> </w:t>
      </w:r>
      <w:r>
        <w:t>time points</w:t>
      </w:r>
      <w:r w:rsidRPr="00603115">
        <w:t>, except at 21, 23 and 24 hours on Day 84, and 15 minutes, 30 minutes, and 1, 15, 23 and 24 hours on Day 168.</w:t>
      </w:r>
    </w:p>
    <w:p w:rsidR="00B13321" w:rsidRPr="009E0FFD" w:rsidRDefault="00B13321" w:rsidP="00A24905">
      <w:pPr>
        <w:pStyle w:val="Heading6"/>
      </w:pPr>
      <w:r w:rsidRPr="009E0FFD">
        <w:t xml:space="preserve">Other efficacy </w:t>
      </w:r>
      <w:r w:rsidRPr="00555E04">
        <w:t>endpoints</w:t>
      </w:r>
      <w:r w:rsidRPr="009E0FFD">
        <w:t xml:space="preserve"> relating to symptomatic relief and health outcomes</w:t>
      </w:r>
    </w:p>
    <w:p w:rsidR="00B13321" w:rsidRPr="00603115" w:rsidRDefault="00B13321" w:rsidP="00A24905">
      <w:r w:rsidRPr="00603115">
        <w:t xml:space="preserve">In study DB2113361, analysis of TDI focal score at other </w:t>
      </w:r>
      <w:r>
        <w:t>time points</w:t>
      </w:r>
      <w:r w:rsidRPr="00603115">
        <w:t xml:space="preserve"> (Days 28 and 84) showed that there were statistically significantly greater LSM TDI focal score (</w:t>
      </w:r>
      <w:r>
        <w:t>i.e.</w:t>
      </w:r>
      <w:r w:rsidRPr="00603115">
        <w:t xml:space="preserve"> improvement from baseline) compared to </w:t>
      </w:r>
      <w:r w:rsidRPr="00B21070">
        <w:t>placebo</w:t>
      </w:r>
      <w:r w:rsidRPr="00603115">
        <w:t xml:space="preserve"> for UMEC/VI 125/25 </w:t>
      </w:r>
      <w:r>
        <w:t>µ</w:t>
      </w:r>
      <w:r w:rsidRPr="00603115">
        <w:t xml:space="preserve">g, UMEC 125 </w:t>
      </w:r>
      <w:r>
        <w:t>µ</w:t>
      </w:r>
      <w:r w:rsidRPr="00603115">
        <w:t xml:space="preserve">g, and VI 25 </w:t>
      </w:r>
      <w:r>
        <w:t>µ</w:t>
      </w:r>
      <w:r w:rsidRPr="00603115">
        <w:t xml:space="preserve">g at Days 28 and 84. There were also statistically significantly greater LSM TDI focal score with UMEC/VI 125/25 </w:t>
      </w:r>
      <w:r>
        <w:t>µ</w:t>
      </w:r>
      <w:r w:rsidRPr="00603115">
        <w:t xml:space="preserve">g compared with both VI 25 </w:t>
      </w:r>
      <w:r>
        <w:t>µ</w:t>
      </w:r>
      <w:r w:rsidRPr="00603115">
        <w:t xml:space="preserve">g and UMEC 125 </w:t>
      </w:r>
      <w:r>
        <w:t>µ</w:t>
      </w:r>
      <w:r w:rsidRPr="00603115">
        <w:t xml:space="preserve">g at Days 28 and 84. In study DB2113373, analysis of TDI focal score at other </w:t>
      </w:r>
      <w:r>
        <w:t>time points</w:t>
      </w:r>
      <w:r w:rsidRPr="00603115">
        <w:t xml:space="preserve"> (Days 28 and 84) showed that there were statistically significantly greater LSM TDI focal score compared to </w:t>
      </w:r>
      <w:r w:rsidRPr="00B21070">
        <w:t>placebo</w:t>
      </w:r>
      <w:r w:rsidRPr="00603115">
        <w:t xml:space="preserve"> for UMEC/VI 62.5/25 </w:t>
      </w:r>
      <w:r>
        <w:t>µ</w:t>
      </w:r>
      <w:r w:rsidRPr="00603115">
        <w:t xml:space="preserve">g, UMEC 62.5 </w:t>
      </w:r>
      <w:r>
        <w:t>µ</w:t>
      </w:r>
      <w:r w:rsidRPr="00603115">
        <w:t xml:space="preserve">g, and VI 25 </w:t>
      </w:r>
      <w:r>
        <w:t>µ</w:t>
      </w:r>
      <w:r w:rsidRPr="00603115">
        <w:t xml:space="preserve">g at Days 28 and 84. There was also statistically significantly greater LSM TDI focal score with UMEC/VI 62.5/25 </w:t>
      </w:r>
      <w:r>
        <w:t>µ</w:t>
      </w:r>
      <w:r w:rsidRPr="00603115">
        <w:t xml:space="preserve">g compared with VI 25 </w:t>
      </w:r>
      <w:r>
        <w:t>µ</w:t>
      </w:r>
      <w:r w:rsidRPr="00603115">
        <w:t xml:space="preserve">g at Day 28. Comparison between UMEC/VI 62.5/25 </w:t>
      </w:r>
      <w:r>
        <w:t>µ</w:t>
      </w:r>
      <w:r w:rsidRPr="00603115">
        <w:t xml:space="preserve">g and UMEC 62.5 </w:t>
      </w:r>
      <w:r>
        <w:t>µ</w:t>
      </w:r>
      <w:r w:rsidRPr="00603115">
        <w:t xml:space="preserve">g for this endpoint yielded results that were not statistically significant at Days 28 and 84, as was the comparison between UMEC/VI 62.5/25 </w:t>
      </w:r>
      <w:r>
        <w:t>µ</w:t>
      </w:r>
      <w:r w:rsidRPr="00603115">
        <w:t xml:space="preserve">g and VI 25 </w:t>
      </w:r>
      <w:r>
        <w:t>µ</w:t>
      </w:r>
      <w:r w:rsidRPr="00603115">
        <w:t>g at Day 84.</w:t>
      </w:r>
    </w:p>
    <w:p w:rsidR="00B13321" w:rsidRPr="00603115" w:rsidRDefault="00B13321" w:rsidP="00A24905">
      <w:r w:rsidRPr="00603115">
        <w:t xml:space="preserve">Analysis of the proportion of subjects responders to TDI (defined as a subject with a TDI score of 1 unit or more) showed that in study DB2113361, subjects on UMEC/VI 125/25 </w:t>
      </w:r>
      <w:r>
        <w:t>µ</w:t>
      </w:r>
      <w:r w:rsidRPr="00603115">
        <w:t xml:space="preserve">g, UMEC 125 </w:t>
      </w:r>
      <w:r>
        <w:t>µ</w:t>
      </w:r>
      <w:r w:rsidRPr="00603115">
        <w:t xml:space="preserve">g, or VI 25 </w:t>
      </w:r>
      <w:r>
        <w:t>µ</w:t>
      </w:r>
      <w:r w:rsidRPr="00603115">
        <w:t>g had higher odds (2.5 to 3.7, 1.7 to 2.4, and 1.5 to 2.1 x higher likelihood, respectively; p</w:t>
      </w:r>
      <w:r>
        <w:t xml:space="preserve"> ≤ </w:t>
      </w:r>
      <w:r w:rsidRPr="00603115">
        <w:t xml:space="preserve">0.037) of being a TDI responder compared with </w:t>
      </w:r>
      <w:r w:rsidRPr="00B21070">
        <w:t>placebo</w:t>
      </w:r>
      <w:r w:rsidRPr="00603115">
        <w:t xml:space="preserve"> at Days</w:t>
      </w:r>
      <w:r>
        <w:t xml:space="preserve"> 28, 84, and168</w:t>
      </w:r>
      <w:r w:rsidRPr="00603115">
        <w:t xml:space="preserve">. Subjects in the UMEC/VI 125/25 </w:t>
      </w:r>
      <w:r>
        <w:t>µ</w:t>
      </w:r>
      <w:r w:rsidRPr="00603115">
        <w:t xml:space="preserve">g treatment group also had a higher odds of being a TDI responder compared with those in the VI 25 </w:t>
      </w:r>
      <w:r>
        <w:t>µ</w:t>
      </w:r>
      <w:r w:rsidRPr="00603115">
        <w:t xml:space="preserve">g and UMEC 125 </w:t>
      </w:r>
      <w:r>
        <w:t>µ</w:t>
      </w:r>
      <w:r w:rsidRPr="00603115">
        <w:t>g treatment groups (1.7 to 1.8, and 1.5 to1.6 x higher likelihood, respectively; p</w:t>
      </w:r>
      <w:r>
        <w:t xml:space="preserve"> ≤ 0.01) at Days 28, 84, and168. </w:t>
      </w:r>
      <w:r w:rsidRPr="00603115">
        <w:t xml:space="preserve">In study DB2113373, subjects on UMEC/VI 62.5/25 </w:t>
      </w:r>
      <w:r>
        <w:t>µ</w:t>
      </w:r>
      <w:r w:rsidRPr="00603115">
        <w:t xml:space="preserve">g, UMEC 62.5 </w:t>
      </w:r>
      <w:r>
        <w:t>µ</w:t>
      </w:r>
      <w:r w:rsidRPr="00603115">
        <w:t xml:space="preserve">g, or VI 25 </w:t>
      </w:r>
      <w:r>
        <w:t>µ</w:t>
      </w:r>
      <w:r w:rsidRPr="00603115">
        <w:t xml:space="preserve">g had higher odds (2.0 to 3.1, 1.6 to 2.3, and 1.5 to 2.2 x higher likelihood, respectively; </w:t>
      </w:r>
      <w:r>
        <w:t xml:space="preserve">p ≤ </w:t>
      </w:r>
      <w:r w:rsidRPr="00603115">
        <w:t xml:space="preserve">0.013) of being a TDI responder compared with </w:t>
      </w:r>
      <w:r w:rsidRPr="00B21070">
        <w:t>placebo</w:t>
      </w:r>
      <w:r w:rsidRPr="00603115">
        <w:t xml:space="preserve"> at Days 28, 84, and168. Subjects in the UMEC/VI 62.5/25 </w:t>
      </w:r>
      <w:r>
        <w:t>µ</w:t>
      </w:r>
      <w:r w:rsidRPr="00603115">
        <w:t xml:space="preserve">g treatment group also had higher odds of being a TDI responder compared with those in the VI 25 </w:t>
      </w:r>
      <w:r>
        <w:t>µ</w:t>
      </w:r>
      <w:r w:rsidRPr="00603115">
        <w:t xml:space="preserve">g and UMEC 62.5 </w:t>
      </w:r>
      <w:r>
        <w:t>µ</w:t>
      </w:r>
      <w:r w:rsidRPr="00603115">
        <w:t xml:space="preserve">g treatment groups (1.4 and 1.4 x higher likelihood, respectively; </w:t>
      </w:r>
      <w:r>
        <w:t>p ≤ </w:t>
      </w:r>
      <w:r w:rsidRPr="00603115">
        <w:t xml:space="preserve">0.039) at Days 28, 84. Subjects in the UMEC/VI 62.5/25 </w:t>
      </w:r>
      <w:r>
        <w:t>µ</w:t>
      </w:r>
      <w:r w:rsidRPr="00603115">
        <w:t>g treatment group had 1.4 x higher odds (p</w:t>
      </w:r>
      <w:r>
        <w:t xml:space="preserve"> = </w:t>
      </w:r>
      <w:r w:rsidRPr="00603115">
        <w:t xml:space="preserve">0.038) of being a TDI responder compared with those in the VI 25 </w:t>
      </w:r>
      <w:r>
        <w:t>µ</w:t>
      </w:r>
      <w:r w:rsidRPr="00603115">
        <w:t xml:space="preserve">g treatment group at Day 168. The comparison of UMEC/VI 62.5/25 </w:t>
      </w:r>
      <w:r>
        <w:t>µ</w:t>
      </w:r>
      <w:r w:rsidRPr="00603115">
        <w:t xml:space="preserve">g with UMEC 62.5 </w:t>
      </w:r>
      <w:r>
        <w:t>µ</w:t>
      </w:r>
      <w:r w:rsidRPr="00603115">
        <w:t>g at Day 168 for this endpoint yielded result that was not statistically significant (p</w:t>
      </w:r>
      <w:r>
        <w:t xml:space="preserve"> = </w:t>
      </w:r>
      <w:r w:rsidRPr="00603115">
        <w:t>0.143).</w:t>
      </w:r>
    </w:p>
    <w:p w:rsidR="00B13321" w:rsidRPr="00603115" w:rsidRDefault="00B13321" w:rsidP="00A24905">
      <w:r w:rsidRPr="00603115">
        <w:t xml:space="preserve">Analyses of the mean number of puffs of rescue medication per day over Weeks 1 to 24 showed that in study DB2113361, there were statistically significantly greater reductions from baseline in LSM rescue salbutamol use over Weeks 1 to 24 for the UMEC/VI 125/25 </w:t>
      </w:r>
      <w:r>
        <w:t>µ</w:t>
      </w:r>
      <w:r w:rsidRPr="00603115">
        <w:t xml:space="preserve">g, UMEC 125 </w:t>
      </w:r>
      <w:r>
        <w:t>µ</w:t>
      </w:r>
      <w:r w:rsidRPr="00603115">
        <w:t xml:space="preserve">g, and VI 25 </w:t>
      </w:r>
      <w:r>
        <w:t>µ</w:t>
      </w:r>
      <w:r w:rsidRPr="00603115">
        <w:t xml:space="preserve">g treatment groups compared with </w:t>
      </w:r>
      <w:r w:rsidRPr="00B21070">
        <w:t>placebo</w:t>
      </w:r>
      <w:r w:rsidRPr="00603115">
        <w:t xml:space="preserve"> (reduced by 1.5, 0.8, and 0.8 puffs per day, respectively, compared to </w:t>
      </w:r>
      <w:r w:rsidRPr="00B21070">
        <w:t>placebo</w:t>
      </w:r>
      <w:r w:rsidRPr="00603115">
        <w:t xml:space="preserve">; </w:t>
      </w:r>
      <w:r>
        <w:t>p &lt; 0.001</w:t>
      </w:r>
      <w:r w:rsidRPr="00603115">
        <w:t xml:space="preserve">). There were also statistically significantly greater reductions from baseline in LSM rescue salbutamol use over Weeks 1 to 24 for the UMEC/VI 125/25 </w:t>
      </w:r>
      <w:r>
        <w:t>µ</w:t>
      </w:r>
      <w:r w:rsidRPr="00603115">
        <w:t xml:space="preserve">g treatment group compared with both the VI 25 </w:t>
      </w:r>
      <w:r>
        <w:t>µ</w:t>
      </w:r>
      <w:r w:rsidRPr="00603115">
        <w:t xml:space="preserve">g and UMEC 125 </w:t>
      </w:r>
      <w:r>
        <w:t>µ</w:t>
      </w:r>
      <w:r w:rsidRPr="00603115">
        <w:t xml:space="preserve">g treatment groups. In study DB2113373, there were statistically significantly greater reductions from baseline in LSM rescue salbutamol use over Weeks 1 to 24 for the UMEC/VI 62.5/25 </w:t>
      </w:r>
      <w:r>
        <w:t>µ</w:t>
      </w:r>
      <w:r w:rsidRPr="00603115">
        <w:t xml:space="preserve">g and VI 25 </w:t>
      </w:r>
      <w:r>
        <w:t>µ</w:t>
      </w:r>
      <w:r w:rsidRPr="00603115">
        <w:t xml:space="preserve">g treatment groups compared with </w:t>
      </w:r>
      <w:r w:rsidRPr="00B21070">
        <w:t>placebo</w:t>
      </w:r>
      <w:r w:rsidRPr="00603115">
        <w:t xml:space="preserve"> (reduced by 0.8 and 0.9 puffs per day, </w:t>
      </w:r>
      <w:r w:rsidRPr="00603115">
        <w:lastRenderedPageBreak/>
        <w:t xml:space="preserve">respectively, compared to </w:t>
      </w:r>
      <w:r w:rsidRPr="00B21070">
        <w:t>placebo</w:t>
      </w:r>
      <w:r w:rsidRPr="00603115">
        <w:t xml:space="preserve">; </w:t>
      </w:r>
      <w:r>
        <w:t xml:space="preserve">p ≤ </w:t>
      </w:r>
      <w:r w:rsidRPr="00603115">
        <w:t xml:space="preserve">0.001). Comparison of UMEC 62.5 </w:t>
      </w:r>
      <w:r>
        <w:t>µ</w:t>
      </w:r>
      <w:r w:rsidRPr="00603115">
        <w:t xml:space="preserve">g with </w:t>
      </w:r>
      <w:r w:rsidRPr="00B21070">
        <w:t>placebo</w:t>
      </w:r>
      <w:r w:rsidRPr="00603115">
        <w:t xml:space="preserve"> for this endpoint yielded result that was not statistically significant. There was statistically significantly greater reduction from baseline in LSM rescue salbutamol use over Weeks 1 to 24 for the UMEC/VI 62.5/25 </w:t>
      </w:r>
      <w:r>
        <w:t>µ</w:t>
      </w:r>
      <w:r w:rsidRPr="00603115">
        <w:t xml:space="preserve">g treatment group compared </w:t>
      </w:r>
      <w:r w:rsidRPr="00F20036">
        <w:t>with the VI 25 µg treatment group</w:t>
      </w:r>
      <w:r w:rsidRPr="00603115">
        <w:t xml:space="preserve">. Comparison of UMEC/VI 62.5/25 </w:t>
      </w:r>
      <w:r w:rsidRPr="00F20036">
        <w:t>µg with UMEC 62.5 µg for this</w:t>
      </w:r>
      <w:r w:rsidRPr="00603115">
        <w:t xml:space="preserve"> endpoint yielded result that was not statistically significant.</w:t>
      </w:r>
      <w:r>
        <w:rPr>
          <w:rStyle w:val="FootnoteReference"/>
        </w:rPr>
        <w:footnoteReference w:id="27"/>
      </w:r>
    </w:p>
    <w:p w:rsidR="00B13321" w:rsidRPr="00F20036" w:rsidRDefault="00B13321" w:rsidP="00A24905">
      <w:r w:rsidRPr="00603115">
        <w:t xml:space="preserve">Analyses of the percentage of </w:t>
      </w:r>
      <w:r>
        <w:t>rescue free</w:t>
      </w:r>
      <w:r w:rsidRPr="00603115">
        <w:t xml:space="preserve"> days showed that in study DB2113361, the mean (SD) change from baseline at Weeks 1 through 24 in the percentage of </w:t>
      </w:r>
      <w:r>
        <w:t>rescue free</w:t>
      </w:r>
      <w:r w:rsidRPr="00603115">
        <w:t xml:space="preserve"> days was 17.2% (39.93), 9.3% (34.74) and 11.1% (35.55) in the UMEC/VI 125/25 </w:t>
      </w:r>
      <w:r>
        <w:t>µ</w:t>
      </w:r>
      <w:r w:rsidRPr="00603115">
        <w:t xml:space="preserve">g, UMEC 125 </w:t>
      </w:r>
      <w:r>
        <w:t>µ</w:t>
      </w:r>
      <w:r w:rsidRPr="00603115">
        <w:t xml:space="preserve">g, and VI 25 </w:t>
      </w:r>
      <w:r>
        <w:t>µ</w:t>
      </w:r>
      <w:r w:rsidRPr="00603115">
        <w:t xml:space="preserve">g groups, respectively, compared with 0.4% (31.65) in the </w:t>
      </w:r>
      <w:r w:rsidRPr="00DD6BD0">
        <w:t>placebo</w:t>
      </w:r>
      <w:r w:rsidRPr="00603115">
        <w:t xml:space="preserve"> group. In study DB2113373, the mean (SD) change from baseline at Weeks 1 through 24 in the percentage of </w:t>
      </w:r>
      <w:r>
        <w:t>rescue-free</w:t>
      </w:r>
      <w:r w:rsidRPr="00603115">
        <w:t xml:space="preserve"> days was 11.1% (33.55), 7.5% (35.07) and 13.0% (34.08) in the UMEC/VI 62.5/25 </w:t>
      </w:r>
      <w:r>
        <w:t>µ</w:t>
      </w:r>
      <w:r w:rsidRPr="00603115">
        <w:t xml:space="preserve">g, UMEC 62.5 </w:t>
      </w:r>
      <w:r>
        <w:t>µ</w:t>
      </w:r>
      <w:r w:rsidRPr="00603115">
        <w:t xml:space="preserve">g, and VI 25 </w:t>
      </w:r>
      <w:r>
        <w:t>µ</w:t>
      </w:r>
      <w:r w:rsidRPr="00603115">
        <w:t xml:space="preserve">g groups, respectively, compared with -0.9% (33.26) in </w:t>
      </w:r>
      <w:r>
        <w:t xml:space="preserve">the </w:t>
      </w:r>
      <w:r w:rsidRPr="00DD6BD0">
        <w:t>placebo</w:t>
      </w:r>
      <w:r>
        <w:t xml:space="preserve"> group (</w:t>
      </w:r>
      <w:r w:rsidR="00CF0081">
        <w:t>Table 9</w:t>
      </w:r>
      <w:r w:rsidRPr="00F20036">
        <w:t>).</w:t>
      </w:r>
    </w:p>
    <w:p w:rsidR="00B13321" w:rsidRPr="001340E9" w:rsidRDefault="00CF0081" w:rsidP="00B13321">
      <w:pPr>
        <w:pStyle w:val="Tabletitle"/>
      </w:pPr>
      <w:proofErr w:type="gramStart"/>
      <w:r>
        <w:lastRenderedPageBreak/>
        <w:t>Table 9</w:t>
      </w:r>
      <w:r w:rsidR="00B13321" w:rsidRPr="00F20036">
        <w:t>.</w:t>
      </w:r>
      <w:proofErr w:type="gramEnd"/>
      <w:r w:rsidR="00B13321" w:rsidRPr="00F20036">
        <w:t xml:space="preserve"> Summary</w:t>
      </w:r>
      <w:r w:rsidR="00B13321" w:rsidRPr="00697ED3">
        <w:t xml:space="preserve"> of Percentage of Rescue-free Days (</w:t>
      </w:r>
      <w:proofErr w:type="spellStart"/>
      <w:r w:rsidR="00B13321" w:rsidRPr="00697ED3">
        <w:t>i</w:t>
      </w:r>
      <w:proofErr w:type="spellEnd"/>
      <w:r w:rsidR="00B13321" w:rsidRPr="00697ED3">
        <w:t>) DB2113361 ITT Population (ii) DB2113373 ITT Population</w:t>
      </w:r>
    </w:p>
    <w:p w:rsidR="00B13321" w:rsidRPr="00603115" w:rsidRDefault="00B13321" w:rsidP="007D5DFC">
      <w:r>
        <w:rPr>
          <w:noProof/>
          <w:lang w:eastAsia="en-AU"/>
        </w:rPr>
        <w:drawing>
          <wp:inline distT="0" distB="0" distL="0" distR="0" wp14:anchorId="76A3364F" wp14:editId="6E6772CD">
            <wp:extent cx="4229100" cy="5570772"/>
            <wp:effectExtent l="0" t="0" r="0" b="0"/>
            <wp:docPr id="35" name="Picture 35" descr="Table 9. Summary of Percentage of Rescue-free Days (i) DB2113361 ITT Population (ii)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t="1207"/>
                    <a:stretch/>
                  </pic:blipFill>
                  <pic:spPr bwMode="auto">
                    <a:xfrm>
                      <a:off x="0" y="0"/>
                      <a:ext cx="4229100" cy="5570772"/>
                    </a:xfrm>
                    <a:prstGeom prst="rect">
                      <a:avLst/>
                    </a:prstGeom>
                    <a:ln>
                      <a:noFill/>
                    </a:ln>
                    <a:extLst>
                      <a:ext uri="{53640926-AAD7-44D8-BBD7-CCE9431645EC}">
                        <a14:shadowObscured xmlns:a14="http://schemas.microsoft.com/office/drawing/2010/main"/>
                      </a:ext>
                    </a:extLst>
                  </pic:spPr>
                </pic:pic>
              </a:graphicData>
            </a:graphic>
          </wp:inline>
        </w:drawing>
      </w:r>
    </w:p>
    <w:p w:rsidR="00B13321" w:rsidRPr="00603115" w:rsidRDefault="00B13321" w:rsidP="00A24905">
      <w:r w:rsidRPr="00603115">
        <w:t>Analyses of the mean SOBDA score showed that in study DB2113361, there was statisticall</w:t>
      </w:r>
      <w:r>
        <w:t>y significantly greater LSM</w:t>
      </w:r>
      <w:r w:rsidRPr="00603115">
        <w:t xml:space="preserve"> </w:t>
      </w:r>
      <w:r>
        <w:t xml:space="preserve">mean </w:t>
      </w:r>
      <w:r w:rsidRPr="00603115">
        <w:t>SOBDA score improvement fr</w:t>
      </w:r>
      <w:r>
        <w:t>om baseline with UMEC/VI 125/25 µ</w:t>
      </w:r>
      <w:r w:rsidRPr="00603115">
        <w:t xml:space="preserve">g compared with </w:t>
      </w:r>
      <w:r w:rsidRPr="00DD6BD0">
        <w:t>placebo</w:t>
      </w:r>
      <w:r w:rsidRPr="00603115">
        <w:t xml:space="preserve"> at Week 24 (difference over </w:t>
      </w:r>
      <w:r w:rsidRPr="00DD6BD0">
        <w:t>placebo</w:t>
      </w:r>
      <w:r w:rsidRPr="00603115">
        <w:t xml:space="preserve"> of -0.15; p</w:t>
      </w:r>
      <w:r>
        <w:t xml:space="preserve"> = 0.002)</w:t>
      </w:r>
      <w:r w:rsidRPr="00603115">
        <w:t xml:space="preserve">. The comparison with </w:t>
      </w:r>
      <w:r w:rsidRPr="00DD6BD0">
        <w:t>placebo</w:t>
      </w:r>
      <w:r w:rsidRPr="00603115">
        <w:t xml:space="preserve"> for UMEC 125 </w:t>
      </w:r>
      <w:r>
        <w:t>µ</w:t>
      </w:r>
      <w:r w:rsidRPr="00603115">
        <w:t xml:space="preserve">g and VI 25 </w:t>
      </w:r>
      <w:r>
        <w:t>µ</w:t>
      </w:r>
      <w:r w:rsidRPr="00603115">
        <w:t xml:space="preserve">g yielded results that were not statistically significant. There was statistically significantly greater LSM mean SOBDA score improvement from baseline with UMEC/VI 125/25 </w:t>
      </w:r>
      <w:r>
        <w:t>µ</w:t>
      </w:r>
      <w:r w:rsidRPr="00603115">
        <w:t xml:space="preserve">g compared with VI 25 </w:t>
      </w:r>
      <w:r>
        <w:t>µ</w:t>
      </w:r>
      <w:r w:rsidRPr="00603115">
        <w:t xml:space="preserve">g at Week 24, but the comparison between UMEC/VI 125/25 </w:t>
      </w:r>
      <w:r>
        <w:t>µ</w:t>
      </w:r>
      <w:r w:rsidRPr="00603115">
        <w:t xml:space="preserve">g and UMEC 125 </w:t>
      </w:r>
      <w:r>
        <w:t>µ</w:t>
      </w:r>
      <w:r w:rsidRPr="00603115">
        <w:t xml:space="preserve">g yielded results that were not statistically significant. LSM change from baseline in SOBDA score across </w:t>
      </w:r>
      <w:r>
        <w:t>time points</w:t>
      </w:r>
      <w:r w:rsidRPr="00603115">
        <w:t xml:space="preserve"> in study DB2113361</w:t>
      </w:r>
      <w:r>
        <w:t>.</w:t>
      </w:r>
      <w:r w:rsidRPr="00603115">
        <w:t>). In study DB2113373, there were statistically significantly greater LSM mean SOBDA score improvement from baseline at Week 24</w:t>
      </w:r>
      <w:r>
        <w:t xml:space="preserve"> </w:t>
      </w:r>
      <w:r w:rsidRPr="00603115">
        <w:t xml:space="preserve">compared to </w:t>
      </w:r>
      <w:r w:rsidRPr="00DD6BD0">
        <w:t>placebo</w:t>
      </w:r>
      <w:r w:rsidRPr="00603115">
        <w:t xml:space="preserve"> for UMEC/VI 62.5/25 </w:t>
      </w:r>
      <w:r>
        <w:t>µ</w:t>
      </w:r>
      <w:r w:rsidRPr="00603115">
        <w:t xml:space="preserve">g, UMEC 62.5 </w:t>
      </w:r>
      <w:r>
        <w:t>µ</w:t>
      </w:r>
      <w:r w:rsidRPr="00603115">
        <w:t xml:space="preserve">g and VI 25 </w:t>
      </w:r>
      <w:r>
        <w:t>µ</w:t>
      </w:r>
      <w:r w:rsidRPr="00603115">
        <w:t xml:space="preserve">g (differences over </w:t>
      </w:r>
      <w:r w:rsidRPr="00DD6BD0">
        <w:t>placebo</w:t>
      </w:r>
      <w:r w:rsidRPr="00603115">
        <w:t xml:space="preserve"> of -0.17, -0.10 and -0.14, respectively; </w:t>
      </w:r>
      <w:r>
        <w:t xml:space="preserve">p ≤ </w:t>
      </w:r>
      <w:r w:rsidRPr="00603115">
        <w:t xml:space="preserve">0.043). Comparison of UMEC/VI 62.5/25 </w:t>
      </w:r>
      <w:r>
        <w:t>µ</w:t>
      </w:r>
      <w:r w:rsidRPr="00603115">
        <w:t xml:space="preserve">g with VI 25 </w:t>
      </w:r>
      <w:r>
        <w:t>µ</w:t>
      </w:r>
      <w:r w:rsidRPr="00603115">
        <w:t xml:space="preserve">g and with UMEC 62.5 </w:t>
      </w:r>
      <w:r>
        <w:t>µ</w:t>
      </w:r>
      <w:r w:rsidRPr="00603115">
        <w:t xml:space="preserve">g yielded results that were not statistically significant. LSM change from baseline in SOBDA score across </w:t>
      </w:r>
      <w:r>
        <w:t>time points</w:t>
      </w:r>
      <w:r w:rsidRPr="00603115">
        <w:t xml:space="preserve"> in study DB2113373.</w:t>
      </w:r>
    </w:p>
    <w:p w:rsidR="00B13321" w:rsidRPr="00603115" w:rsidRDefault="00B13321" w:rsidP="00A24905">
      <w:r w:rsidRPr="00603115">
        <w:t xml:space="preserve">Analysis of the proportion of responders to the SOBDA showed that in study DB2113361, using the responder threshold of -0.1, subjects on UMEC/VI 125/25 </w:t>
      </w:r>
      <w:r>
        <w:t>µ</w:t>
      </w:r>
      <w:r w:rsidRPr="00603115">
        <w:t xml:space="preserve">g had 1.9 times higher likelihood </w:t>
      </w:r>
      <w:r w:rsidRPr="00603115">
        <w:lastRenderedPageBreak/>
        <w:t xml:space="preserve">of being a responder compared with </w:t>
      </w:r>
      <w:r w:rsidRPr="00602376">
        <w:t>placebo</w:t>
      </w:r>
      <w:r w:rsidRPr="00603115">
        <w:t xml:space="preserve"> at Week 24 (34% in the UMEC/VI 125/25 </w:t>
      </w:r>
      <w:r>
        <w:t>µ</w:t>
      </w:r>
      <w:r w:rsidRPr="00603115">
        <w:t xml:space="preserve">g group were responders </w:t>
      </w:r>
      <w:r>
        <w:t>versus</w:t>
      </w:r>
      <w:r w:rsidRPr="00603115">
        <w:t xml:space="preserve"> 22% in the </w:t>
      </w:r>
      <w:r w:rsidRPr="00602376">
        <w:t>placebo</w:t>
      </w:r>
      <w:r w:rsidRPr="00603115">
        <w:t xml:space="preserve"> group; p</w:t>
      </w:r>
      <w:r>
        <w:t xml:space="preserve"> = 0.002)</w:t>
      </w:r>
      <w:r w:rsidRPr="00603115">
        <w:t xml:space="preserve">. The comparison with </w:t>
      </w:r>
      <w:r w:rsidRPr="00602376">
        <w:t>placebo</w:t>
      </w:r>
      <w:r w:rsidRPr="00603115">
        <w:t xml:space="preserve"> for UMEC 125 </w:t>
      </w:r>
      <w:r>
        <w:t>µ</w:t>
      </w:r>
      <w:r w:rsidRPr="00603115">
        <w:t xml:space="preserve">g and VI 25 </w:t>
      </w:r>
      <w:r>
        <w:t>µ</w:t>
      </w:r>
      <w:r w:rsidRPr="00603115">
        <w:t xml:space="preserve">g yielded results that were not statistically significant, as did the comparisons of UMEC/VI 125/25 </w:t>
      </w:r>
      <w:r>
        <w:t>µ</w:t>
      </w:r>
      <w:r w:rsidRPr="00603115">
        <w:t xml:space="preserve">g with VI 25 </w:t>
      </w:r>
      <w:r>
        <w:t>µ</w:t>
      </w:r>
      <w:r w:rsidRPr="00603115">
        <w:t xml:space="preserve">g and with UMEC 125 </w:t>
      </w:r>
      <w:r>
        <w:t>µ</w:t>
      </w:r>
      <w:r w:rsidRPr="00603115">
        <w:t>g</w:t>
      </w:r>
      <w:r>
        <w:t xml:space="preserve">. Using the </w:t>
      </w:r>
      <w:r w:rsidRPr="000401E8">
        <w:t xml:space="preserve">responder threshold of </w:t>
      </w:r>
      <w:r w:rsidRPr="000401E8">
        <w:noBreakHyphen/>
        <w:t> 0.2, subjects on UMEC/VI 125/25 µg had 2.3 times higher likelihood of being a responder compared</w:t>
      </w:r>
      <w:r w:rsidRPr="00603115">
        <w:t xml:space="preserve"> with </w:t>
      </w:r>
      <w:r w:rsidRPr="00602376">
        <w:t>placebo</w:t>
      </w:r>
      <w:r w:rsidRPr="00603115">
        <w:t xml:space="preserve"> at </w:t>
      </w:r>
      <w:r w:rsidRPr="00602376">
        <w:t>Week 24 (</w:t>
      </w:r>
      <w:r>
        <w:t>34</w:t>
      </w:r>
      <w:r w:rsidRPr="00603115">
        <w:t>%</w:t>
      </w:r>
      <w:r>
        <w:rPr>
          <w:rStyle w:val="FootnoteReference"/>
        </w:rPr>
        <w:footnoteReference w:id="28"/>
      </w:r>
      <w:r w:rsidRPr="00603115">
        <w:t xml:space="preserve"> in the UMEC/VI 125/25 </w:t>
      </w:r>
      <w:r>
        <w:t>µ</w:t>
      </w:r>
      <w:r w:rsidRPr="00603115">
        <w:t xml:space="preserve">g group were responders </w:t>
      </w:r>
      <w:r>
        <w:t>versus</w:t>
      </w:r>
      <w:r w:rsidRPr="00603115">
        <w:t xml:space="preserve"> 16% in the </w:t>
      </w:r>
      <w:r w:rsidRPr="00602376">
        <w:t>placebo</w:t>
      </w:r>
      <w:r w:rsidRPr="00603115">
        <w:t xml:space="preserve"> group; </w:t>
      </w:r>
      <w:r>
        <w:t>p &lt; 0.001</w:t>
      </w:r>
      <w:r w:rsidRPr="00603115">
        <w:t xml:space="preserve">). Subjects on </w:t>
      </w:r>
      <w:r w:rsidRPr="00602376">
        <w:t>UMEC 25</w:t>
      </w:r>
      <w:r w:rsidRPr="00602376">
        <w:rPr>
          <w:rStyle w:val="FootnoteReference"/>
        </w:rPr>
        <w:footnoteReference w:id="29"/>
      </w:r>
      <w:r w:rsidRPr="00603115">
        <w:t xml:space="preserve"> </w:t>
      </w:r>
      <w:r>
        <w:t>µ</w:t>
      </w:r>
      <w:r w:rsidRPr="00603115">
        <w:t xml:space="preserve">g had 1.6 times higher likelihood of being a responder compared with </w:t>
      </w:r>
      <w:r w:rsidRPr="00602376">
        <w:t>placebo</w:t>
      </w:r>
      <w:r w:rsidRPr="00603115">
        <w:t xml:space="preserve"> at Week 24 (23% </w:t>
      </w:r>
      <w:r>
        <w:t>vs.</w:t>
      </w:r>
      <w:r w:rsidRPr="00603115">
        <w:t xml:space="preserve"> 16%; p</w:t>
      </w:r>
      <w:r>
        <w:t xml:space="preserve"> = </w:t>
      </w:r>
      <w:r w:rsidRPr="00603115">
        <w:t xml:space="preserve">0.033). The comparison between </w:t>
      </w:r>
      <w:r w:rsidRPr="00602376">
        <w:t>placebo</w:t>
      </w:r>
      <w:r w:rsidRPr="00603115">
        <w:t xml:space="preserve"> and VI 25 </w:t>
      </w:r>
      <w:r>
        <w:t>µg</w:t>
      </w:r>
      <w:r w:rsidRPr="00603115">
        <w:t xml:space="preserve"> yielded results that were not statistically significant. Subjects on UMEC/VI 125/25 </w:t>
      </w:r>
      <w:r>
        <w:t>µg</w:t>
      </w:r>
      <w:r w:rsidRPr="00603115">
        <w:t xml:space="preserve"> had 1.5 times higher likelihood of being a responder compared with VI 25 </w:t>
      </w:r>
      <w:r>
        <w:t>µg</w:t>
      </w:r>
      <w:r w:rsidRPr="00603115">
        <w:t xml:space="preserve"> at Week 24 (28% </w:t>
      </w:r>
      <w:r>
        <w:t>vs.</w:t>
      </w:r>
      <w:r w:rsidRPr="00603115">
        <w:t xml:space="preserve"> 23%; p</w:t>
      </w:r>
      <w:r>
        <w:t xml:space="preserve"> = </w:t>
      </w:r>
      <w:r w:rsidRPr="00603115">
        <w:t xml:space="preserve">0.032), but the comparison between UMEC/VI 125/25 </w:t>
      </w:r>
      <w:r>
        <w:t>µg</w:t>
      </w:r>
      <w:r w:rsidRPr="00603115">
        <w:t xml:space="preserve"> and UMEC 125 </w:t>
      </w:r>
      <w:r>
        <w:t>µg</w:t>
      </w:r>
      <w:r w:rsidRPr="00603115">
        <w:t xml:space="preserve"> yielded result that was not statistically significant. In study DB2113373, using the responder threshold of -0.1, compared to </w:t>
      </w:r>
      <w:r w:rsidRPr="00D8784C">
        <w:t>placebo</w:t>
      </w:r>
      <w:r w:rsidRPr="00603115">
        <w:t xml:space="preserve">, subjects on UMEC/VI 62.5/25 </w:t>
      </w:r>
      <w:r>
        <w:t>µg</w:t>
      </w:r>
      <w:r w:rsidRPr="00603115">
        <w:t xml:space="preserve">, UMEC 62.5 </w:t>
      </w:r>
      <w:r>
        <w:t>µg</w:t>
      </w:r>
      <w:r w:rsidRPr="00603115">
        <w:t xml:space="preserve"> and VI 25 </w:t>
      </w:r>
      <w:r>
        <w:t>µg</w:t>
      </w:r>
      <w:r w:rsidRPr="00603115">
        <w:t xml:space="preserve"> had 1.8, 1.7 and 1.6 times higher likelihood, respectively, of being a responder at Week 24 (percentage of responders of 32%, 30% and 29% in the UMEC/VI 62.5/25 </w:t>
      </w:r>
      <w:r>
        <w:t>µg</w:t>
      </w:r>
      <w:r w:rsidRPr="00603115">
        <w:t xml:space="preserve">, UMEC 62.5 </w:t>
      </w:r>
      <w:r>
        <w:t>µg</w:t>
      </w:r>
      <w:r w:rsidRPr="00603115">
        <w:t xml:space="preserve"> and VI 25 </w:t>
      </w:r>
      <w:r>
        <w:t>µg</w:t>
      </w:r>
      <w:r w:rsidRPr="00603115">
        <w:t xml:space="preserve"> groups, respectively, </w:t>
      </w:r>
      <w:r>
        <w:t>versus</w:t>
      </w:r>
      <w:r w:rsidRPr="00603115">
        <w:t xml:space="preserve"> 21% in the </w:t>
      </w:r>
      <w:r w:rsidRPr="00D8784C">
        <w:t>placebo</w:t>
      </w:r>
      <w:r w:rsidRPr="00603115">
        <w:t xml:space="preserve"> group; </w:t>
      </w:r>
      <w:r>
        <w:t>p ≤ 0.02)</w:t>
      </w:r>
      <w:r w:rsidRPr="00603115">
        <w:t xml:space="preserve">. The comparisons of UMEC/VI 62.5/25 </w:t>
      </w:r>
      <w:r>
        <w:t>µg</w:t>
      </w:r>
      <w:r w:rsidRPr="00603115">
        <w:t xml:space="preserve"> with VI 25 </w:t>
      </w:r>
      <w:r>
        <w:t>µg</w:t>
      </w:r>
      <w:r w:rsidRPr="00603115">
        <w:t xml:space="preserve"> and with UMEC 62.5 </w:t>
      </w:r>
      <w:r>
        <w:t>µg</w:t>
      </w:r>
      <w:r w:rsidRPr="00603115">
        <w:t xml:space="preserve"> yielded results that were not statistically significant. Using the responder threshold of -0.2, compared to </w:t>
      </w:r>
      <w:r w:rsidRPr="00D8784C">
        <w:t>placebo</w:t>
      </w:r>
      <w:r w:rsidRPr="00603115">
        <w:t xml:space="preserve">, subjects on UMEC/VI 62.5/25 </w:t>
      </w:r>
      <w:r>
        <w:t>µg</w:t>
      </w:r>
      <w:r w:rsidRPr="00603115">
        <w:t xml:space="preserve">, UMEC 62.5 </w:t>
      </w:r>
      <w:r>
        <w:t>µg</w:t>
      </w:r>
      <w:r w:rsidRPr="00603115">
        <w:t xml:space="preserve"> and VI 25 </w:t>
      </w:r>
      <w:r>
        <w:t>µg</w:t>
      </w:r>
      <w:r w:rsidRPr="00603115">
        <w:t xml:space="preserve"> had 2.1, 1.8 and 1.9 times higher likelihood, respectively, of being a responder at Week 24 (percentage of responders of 28%, 24% and 26% in the UMEC/VI 62.5/25 </w:t>
      </w:r>
      <w:r>
        <w:t>µg</w:t>
      </w:r>
      <w:r w:rsidRPr="00603115">
        <w:t xml:space="preserve">, UMEC 62.5 </w:t>
      </w:r>
      <w:r>
        <w:t>µg</w:t>
      </w:r>
      <w:r w:rsidRPr="00603115">
        <w:t xml:space="preserve"> and VI 25 </w:t>
      </w:r>
      <w:r>
        <w:t>µg</w:t>
      </w:r>
      <w:r w:rsidRPr="00603115">
        <w:t xml:space="preserve"> groups, respectively, </w:t>
      </w:r>
      <w:r>
        <w:t>versus</w:t>
      </w:r>
      <w:r w:rsidRPr="00603115">
        <w:t xml:space="preserve"> 16% in the </w:t>
      </w:r>
      <w:r w:rsidRPr="00D8784C">
        <w:t>placebo</w:t>
      </w:r>
      <w:r w:rsidRPr="00603115">
        <w:t xml:space="preserve"> group; </w:t>
      </w:r>
      <w:r>
        <w:t xml:space="preserve">p ≤ </w:t>
      </w:r>
      <w:r w:rsidRPr="00603115">
        <w:t xml:space="preserve">0.007). The comparisons of UMEC/VI 62.5/25 </w:t>
      </w:r>
      <w:r>
        <w:t>µg</w:t>
      </w:r>
      <w:r w:rsidRPr="00603115">
        <w:t xml:space="preserve"> with VI 25 </w:t>
      </w:r>
      <w:r>
        <w:t>µg</w:t>
      </w:r>
      <w:r w:rsidRPr="00603115">
        <w:t xml:space="preserve"> and with UMEC 62.5 </w:t>
      </w:r>
      <w:r>
        <w:t>µg</w:t>
      </w:r>
      <w:r w:rsidRPr="00603115">
        <w:t xml:space="preserve"> yielded results that were</w:t>
      </w:r>
      <w:r>
        <w:t xml:space="preserve"> not statistically significant.</w:t>
      </w:r>
    </w:p>
    <w:p w:rsidR="00B13321" w:rsidRPr="00603115" w:rsidRDefault="00B13321" w:rsidP="00A24905">
      <w:r w:rsidRPr="00603115">
        <w:t>In study DB2113361, the</w:t>
      </w:r>
      <w:r>
        <w:t xml:space="preserve"> proportion of subjects with on-</w:t>
      </w:r>
      <w:r w:rsidRPr="00603115">
        <w:t xml:space="preserve">treatment COPD exacerbations was lower in the UMEC/VI 125/25 </w:t>
      </w:r>
      <w:r>
        <w:t>µg</w:t>
      </w:r>
      <w:r w:rsidRPr="00603115">
        <w:t xml:space="preserve">, UMEC 125 </w:t>
      </w:r>
      <w:r>
        <w:t>µg</w:t>
      </w:r>
      <w:r w:rsidRPr="00603115">
        <w:t xml:space="preserve"> and VI 25 </w:t>
      </w:r>
      <w:r>
        <w:t>µg</w:t>
      </w:r>
      <w:r w:rsidRPr="00603115">
        <w:t xml:space="preserve"> groups (6%, 8% and 8%, respectively) compared to in the </w:t>
      </w:r>
      <w:r w:rsidRPr="00D8784C">
        <w:t>placebo</w:t>
      </w:r>
      <w:r w:rsidRPr="00603115">
        <w:t xml:space="preserve"> group (14%). Results of the analysis of time to </w:t>
      </w:r>
      <w:r>
        <w:t>first on-</w:t>
      </w:r>
      <w:r w:rsidRPr="00603115">
        <w:t xml:space="preserve">treatment COPD exacerbation showed that there was a lower risk of a COPD exacerbation with UMEC/VI 125/25 </w:t>
      </w:r>
      <w:r>
        <w:t>µg</w:t>
      </w:r>
      <w:r w:rsidRPr="00603115">
        <w:t xml:space="preserve">, UMEC 125 </w:t>
      </w:r>
      <w:r>
        <w:t>µg</w:t>
      </w:r>
      <w:r w:rsidRPr="00603115">
        <w:t xml:space="preserve"> and VI 25 </w:t>
      </w:r>
      <w:r>
        <w:t>µg</w:t>
      </w:r>
      <w:r w:rsidRPr="00603115">
        <w:t xml:space="preserve"> compared with </w:t>
      </w:r>
      <w:r w:rsidRPr="00D8784C">
        <w:t>placebo</w:t>
      </w:r>
      <w:r w:rsidRPr="00603115">
        <w:t xml:space="preserve"> (hazard ratios of 0.4 </w:t>
      </w:r>
      <w:r>
        <w:t>(p &lt; 0.001)</w:t>
      </w:r>
      <w:r w:rsidRPr="00603115">
        <w:t xml:space="preserve">, 0.5 </w:t>
      </w:r>
      <w:r>
        <w:t>(</w:t>
      </w:r>
      <w:r w:rsidRPr="00603115">
        <w:t>p</w:t>
      </w:r>
      <w:r>
        <w:t xml:space="preserve"> = </w:t>
      </w:r>
      <w:r w:rsidRPr="00603115">
        <w:t>0.004</w:t>
      </w:r>
      <w:r>
        <w:t>)</w:t>
      </w:r>
      <w:r w:rsidRPr="00603115">
        <w:t xml:space="preserve"> and 0.5 </w:t>
      </w:r>
      <w:r>
        <w:t>(</w:t>
      </w:r>
      <w:r w:rsidRPr="00603115">
        <w:t>p</w:t>
      </w:r>
      <w:r>
        <w:t xml:space="preserve"> = </w:t>
      </w:r>
      <w:r w:rsidRPr="00603115">
        <w:t>0.006</w:t>
      </w:r>
      <w:r>
        <w:t>)</w:t>
      </w:r>
      <w:r w:rsidRPr="00603115">
        <w:t xml:space="preserve">, respectively). The comparisons of UMEC/VI 125/25 </w:t>
      </w:r>
      <w:r>
        <w:t>µg</w:t>
      </w:r>
      <w:r w:rsidRPr="00603115">
        <w:t xml:space="preserve"> with VI 25 </w:t>
      </w:r>
      <w:r>
        <w:t>µg</w:t>
      </w:r>
      <w:r w:rsidRPr="00603115">
        <w:t xml:space="preserve"> and with UMEC 125 </w:t>
      </w:r>
      <w:r>
        <w:t>µg</w:t>
      </w:r>
      <w:r w:rsidRPr="00603115">
        <w:t xml:space="preserve"> yielded results that were not statistically significant. In study DB2113373, the</w:t>
      </w:r>
      <w:r>
        <w:t xml:space="preserve"> proportion of subjects with on-</w:t>
      </w:r>
      <w:r w:rsidRPr="00603115">
        <w:t xml:space="preserve">treatment COPD exacerbations was lower in the UMEC/VI 62.5/25 </w:t>
      </w:r>
      <w:r>
        <w:t>µg</w:t>
      </w:r>
      <w:r w:rsidRPr="00603115">
        <w:t xml:space="preserve">, UMEC 62.5 </w:t>
      </w:r>
      <w:r>
        <w:t>µg</w:t>
      </w:r>
      <w:r w:rsidRPr="00603115">
        <w:t xml:space="preserve"> and VI 25 </w:t>
      </w:r>
      <w:r>
        <w:t>µg</w:t>
      </w:r>
      <w:r w:rsidRPr="00603115">
        <w:t xml:space="preserve"> groups (7%, 8% and 9%, respectively) compared to in the </w:t>
      </w:r>
      <w:r w:rsidRPr="00D8784C">
        <w:t>placebo</w:t>
      </w:r>
      <w:r w:rsidRPr="00603115">
        <w:t xml:space="preserve"> group (13%). Results of t</w:t>
      </w:r>
      <w:r>
        <w:t>he analysis of time to first on-</w:t>
      </w:r>
      <w:r w:rsidRPr="00603115">
        <w:t xml:space="preserve">treatment COPD exacerbation showed that there was a lower risk of a COPD exacerbation with UMEC/VI 62.5/25 </w:t>
      </w:r>
      <w:r>
        <w:t>µg</w:t>
      </w:r>
      <w:r w:rsidRPr="00603115">
        <w:t xml:space="preserve"> and UMEC 62.5 </w:t>
      </w:r>
      <w:r>
        <w:t>µg</w:t>
      </w:r>
      <w:r w:rsidRPr="00603115">
        <w:t xml:space="preserve"> compared with </w:t>
      </w:r>
      <w:r w:rsidRPr="001E09D3">
        <w:t>placebo</w:t>
      </w:r>
      <w:r w:rsidRPr="00603115">
        <w:t xml:space="preserve"> (hazard ratios of 0.5 </w:t>
      </w:r>
      <w:r>
        <w:t>(</w:t>
      </w:r>
      <w:r w:rsidRPr="00603115">
        <w:t>p</w:t>
      </w:r>
      <w:r>
        <w:t xml:space="preserve"> = </w:t>
      </w:r>
      <w:r w:rsidRPr="00603115">
        <w:t>0.004</w:t>
      </w:r>
      <w:r>
        <w:t>)</w:t>
      </w:r>
      <w:r w:rsidRPr="00603115">
        <w:t xml:space="preserve">, and 0.6 </w:t>
      </w:r>
      <w:r>
        <w:t>(</w:t>
      </w:r>
      <w:r w:rsidRPr="00603115">
        <w:t>p</w:t>
      </w:r>
      <w:r>
        <w:t xml:space="preserve"> = </w:t>
      </w:r>
      <w:r w:rsidRPr="00603115">
        <w:t>0.035</w:t>
      </w:r>
      <w:r>
        <w:t>)</w:t>
      </w:r>
      <w:r w:rsidRPr="00603115">
        <w:t xml:space="preserve">, respectively). The comparisons of VI 25 </w:t>
      </w:r>
      <w:r>
        <w:t>µg</w:t>
      </w:r>
      <w:r w:rsidRPr="00603115">
        <w:t xml:space="preserve"> with </w:t>
      </w:r>
      <w:proofErr w:type="gramStart"/>
      <w:r w:rsidRPr="001E09D3">
        <w:t>placebo</w:t>
      </w:r>
      <w:r w:rsidRPr="00603115">
        <w:t>,</w:t>
      </w:r>
      <w:proofErr w:type="gramEnd"/>
      <w:r w:rsidRPr="00603115">
        <w:t xml:space="preserve"> and of UMEC/VI 62.5/25 </w:t>
      </w:r>
      <w:r>
        <w:t>µg</w:t>
      </w:r>
      <w:r w:rsidRPr="00603115">
        <w:t xml:space="preserve"> with VI 25 </w:t>
      </w:r>
      <w:r>
        <w:t>µg</w:t>
      </w:r>
      <w:r w:rsidRPr="00603115">
        <w:t xml:space="preserve"> and with UMEC 62.5 </w:t>
      </w:r>
      <w:r>
        <w:t>µg</w:t>
      </w:r>
      <w:r w:rsidRPr="00603115">
        <w:t xml:space="preserve"> yielded results that were not statistically significant.</w:t>
      </w:r>
    </w:p>
    <w:p w:rsidR="00B13321" w:rsidRDefault="00B13321" w:rsidP="00A24905">
      <w:r w:rsidRPr="00603115">
        <w:t>Analysis of the SGRQ total score showed that in study DB2113361, there were statistically significant reductions from baseline (</w:t>
      </w:r>
      <w:r>
        <w:t>i.e.</w:t>
      </w:r>
      <w:r w:rsidRPr="00603115">
        <w:t xml:space="preserve"> improvement) in SGRQ total score at Day 168 with UMEC/VI 125/25 </w:t>
      </w:r>
      <w:r>
        <w:t>µg</w:t>
      </w:r>
      <w:r w:rsidRPr="00603115">
        <w:t xml:space="preserve"> compared to </w:t>
      </w:r>
      <w:r w:rsidRPr="001E09D3">
        <w:t>placebo</w:t>
      </w:r>
      <w:r w:rsidRPr="00603115">
        <w:t xml:space="preserve">, and compared to VI 25 </w:t>
      </w:r>
      <w:r>
        <w:t>µg</w:t>
      </w:r>
      <w:r w:rsidRPr="00603115">
        <w:t xml:space="preserve"> and UMEC 125 </w:t>
      </w:r>
      <w:r>
        <w:t>µg</w:t>
      </w:r>
      <w:r w:rsidRPr="00603115">
        <w:t xml:space="preserve"> alone (</w:t>
      </w:r>
      <w:r w:rsidR="00CF0081">
        <w:t>Figure 16</w:t>
      </w:r>
      <w:r w:rsidRPr="00603115">
        <w:t xml:space="preserve">). The treatment differences between UMEC 125 </w:t>
      </w:r>
      <w:r>
        <w:t>µg</w:t>
      </w:r>
      <w:r w:rsidRPr="00603115">
        <w:t xml:space="preserve"> or VI 25 </w:t>
      </w:r>
      <w:r>
        <w:t>µg</w:t>
      </w:r>
      <w:r w:rsidRPr="00603115">
        <w:t xml:space="preserve"> alone and </w:t>
      </w:r>
      <w:r>
        <w:t>PLA</w:t>
      </w:r>
      <w:r w:rsidRPr="00603115">
        <w:t xml:space="preserve"> were not statistically significant at Day 168. In study DB2113373, there were statistically significant reductions from baseline (</w:t>
      </w:r>
      <w:r>
        <w:t>that is,</w:t>
      </w:r>
      <w:r w:rsidRPr="00603115">
        <w:t xml:space="preserve"> improvement) in SGRQ total score at Day 168 with UMEC/VI 62.5/25 </w:t>
      </w:r>
      <w:r>
        <w:t>µg</w:t>
      </w:r>
      <w:r w:rsidRPr="00603115">
        <w:t xml:space="preserve">, UMEC 62.5 </w:t>
      </w:r>
      <w:r>
        <w:t>µg</w:t>
      </w:r>
      <w:r w:rsidRPr="00603115">
        <w:t xml:space="preserve"> and VI 25 </w:t>
      </w:r>
      <w:r>
        <w:t>µg</w:t>
      </w:r>
      <w:r w:rsidRPr="00603115">
        <w:t xml:space="preserve"> when comp</w:t>
      </w:r>
      <w:r>
        <w:t xml:space="preserve">ared to </w:t>
      </w:r>
      <w:r w:rsidRPr="001E09D3">
        <w:t>placebo</w:t>
      </w:r>
      <w:r w:rsidRPr="00603115">
        <w:t>. The treatmen</w:t>
      </w:r>
      <w:r>
        <w:t xml:space="preserve">t differences between </w:t>
      </w:r>
      <w:r w:rsidRPr="001E09D3">
        <w:t>UMEC 125</w:t>
      </w:r>
      <w:r>
        <w:t xml:space="preserve"> </w:t>
      </w:r>
      <w:r w:rsidRPr="00537B40">
        <w:t>µg</w:t>
      </w:r>
      <w:r w:rsidRPr="00537B40">
        <w:rPr>
          <w:vertAlign w:val="superscript"/>
        </w:rPr>
        <w:t xml:space="preserve"> </w:t>
      </w:r>
      <w:r w:rsidRPr="001E09D3">
        <w:rPr>
          <w:rStyle w:val="FootnoteReference"/>
        </w:rPr>
        <w:footnoteReference w:id="30"/>
      </w:r>
      <w:r w:rsidRPr="00603115">
        <w:t xml:space="preserve"> or VI 25 </w:t>
      </w:r>
      <w:r>
        <w:t>µg</w:t>
      </w:r>
      <w:r w:rsidRPr="00603115">
        <w:t xml:space="preserve"> alone and UMEC/VI 62.5/25 </w:t>
      </w:r>
      <w:r>
        <w:t>µg</w:t>
      </w:r>
      <w:r w:rsidRPr="00603115">
        <w:t xml:space="preserve"> were not statistically significant at Day 168.</w:t>
      </w:r>
    </w:p>
    <w:p w:rsidR="00B13321" w:rsidRDefault="00B13321" w:rsidP="00DC532E">
      <w:pPr>
        <w:pStyle w:val="FigureTitle"/>
      </w:pPr>
      <w:proofErr w:type="gramStart"/>
      <w:r w:rsidRPr="00AF04C8">
        <w:lastRenderedPageBreak/>
        <w:t xml:space="preserve">Figure </w:t>
      </w:r>
      <w:r w:rsidR="00CF0081">
        <w:t>16</w:t>
      </w:r>
      <w:r w:rsidRPr="00AF04C8">
        <w:t>.</w:t>
      </w:r>
      <w:proofErr w:type="gramEnd"/>
      <w:r w:rsidRPr="00AF04C8">
        <w:t xml:space="preserve"> Least Squares Mean Change from Baseline in SGRQ Total Score (</w:t>
      </w:r>
      <w:proofErr w:type="spellStart"/>
      <w:r w:rsidRPr="00AF04C8">
        <w:t>i</w:t>
      </w:r>
      <w:proofErr w:type="spellEnd"/>
      <w:r w:rsidRPr="00AF04C8">
        <w:t>) DB2113361 ITT Population (ii) DB2113373 ITT Population</w:t>
      </w:r>
      <w:r>
        <w:t>.</w:t>
      </w:r>
    </w:p>
    <w:p w:rsidR="00B13321" w:rsidRPr="00603115" w:rsidRDefault="00B13321" w:rsidP="00DC532E">
      <w:r>
        <w:rPr>
          <w:noProof/>
          <w:lang w:eastAsia="en-AU"/>
        </w:rPr>
        <w:drawing>
          <wp:inline distT="0" distB="0" distL="0" distR="0" wp14:anchorId="751A546B" wp14:editId="0E258A4E">
            <wp:extent cx="4848225" cy="6743700"/>
            <wp:effectExtent l="0" t="0" r="0" b="0"/>
            <wp:docPr id="15" name="Picture 15" descr="Figure 16. Least Squares Mean Change from Baseline in SGRQ Total Score (i) DB2113361 ITT Population (ii)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848225" cy="6743700"/>
                    </a:xfrm>
                    <a:prstGeom prst="rect">
                      <a:avLst/>
                    </a:prstGeom>
                  </pic:spPr>
                </pic:pic>
              </a:graphicData>
            </a:graphic>
          </wp:inline>
        </w:drawing>
      </w:r>
    </w:p>
    <w:p w:rsidR="00B13321" w:rsidRPr="00603115" w:rsidRDefault="00B13321" w:rsidP="00A24905">
      <w:r w:rsidRPr="00603115">
        <w:t>Analysis of the proportion of SGRQ responders (defined as having a SGRQ total s</w:t>
      </w:r>
      <w:r>
        <w:t>core of 4 units below baseline (score on Day 1)</w:t>
      </w:r>
      <w:r w:rsidRPr="00603115">
        <w:t xml:space="preserve"> or lower) at Day 168 showed that in study DB2113361, subjects on UMEC/VI 125/25 </w:t>
      </w:r>
      <w:r>
        <w:t>µg</w:t>
      </w:r>
      <w:r w:rsidRPr="00603115">
        <w:t xml:space="preserve"> had 1.7 times higher likelihood of being a responder compared with </w:t>
      </w:r>
      <w:r w:rsidRPr="001E09D3">
        <w:t>placebo</w:t>
      </w:r>
      <w:r w:rsidRPr="00603115">
        <w:t xml:space="preserve"> (49% in the UMEC/VI 125/25 </w:t>
      </w:r>
      <w:r>
        <w:t>µg</w:t>
      </w:r>
      <w:r w:rsidRPr="00603115">
        <w:t xml:space="preserve"> group were responders </w:t>
      </w:r>
      <w:r>
        <w:t>vs.</w:t>
      </w:r>
      <w:r w:rsidRPr="00603115">
        <w:t xml:space="preserve"> 37% in the </w:t>
      </w:r>
      <w:r w:rsidRPr="001E09D3">
        <w:t>placebo</w:t>
      </w:r>
      <w:r w:rsidRPr="00603115">
        <w:t xml:space="preserve"> group; p</w:t>
      </w:r>
      <w:r>
        <w:t xml:space="preserve"> = </w:t>
      </w:r>
      <w:r w:rsidRPr="00603115">
        <w:t>0.002</w:t>
      </w:r>
      <w:r>
        <w:t>)</w:t>
      </w:r>
      <w:r w:rsidRPr="00603115">
        <w:t xml:space="preserve">. The treatment differences between UMEC 125 </w:t>
      </w:r>
      <w:r>
        <w:t>µg</w:t>
      </w:r>
      <w:r w:rsidRPr="00603115">
        <w:t xml:space="preserve"> or VI 25 </w:t>
      </w:r>
      <w:r>
        <w:t>µg</w:t>
      </w:r>
      <w:r w:rsidRPr="00603115">
        <w:t xml:space="preserve"> alone and </w:t>
      </w:r>
      <w:r w:rsidRPr="001E09D3">
        <w:t>placebo</w:t>
      </w:r>
      <w:r w:rsidRPr="00603115">
        <w:t xml:space="preserve"> were not statistically significant. In study DB2113373, subjects on UMEC/VI 62.5/25 </w:t>
      </w:r>
      <w:r>
        <w:t>µg</w:t>
      </w:r>
      <w:r w:rsidRPr="00603115">
        <w:t xml:space="preserve">, UMEC 62.5 </w:t>
      </w:r>
      <w:r>
        <w:t>µg</w:t>
      </w:r>
      <w:r w:rsidRPr="00603115">
        <w:t xml:space="preserve"> and VI 25 </w:t>
      </w:r>
      <w:r>
        <w:t>µg</w:t>
      </w:r>
      <w:r w:rsidRPr="00603115">
        <w:t xml:space="preserve"> had 2.0, 1.6 and 1.9 times higher likelihood of being a responder, respectively, compared with </w:t>
      </w:r>
      <w:r w:rsidRPr="001E09D3">
        <w:t>placebo</w:t>
      </w:r>
      <w:r w:rsidRPr="00603115">
        <w:t xml:space="preserve"> (49%, 44% and 48% in the UMEC/VI 62.5/25 </w:t>
      </w:r>
      <w:r>
        <w:t>µg</w:t>
      </w:r>
      <w:r w:rsidRPr="00603115">
        <w:t xml:space="preserve">, UMEC </w:t>
      </w:r>
      <w:r w:rsidRPr="00603115">
        <w:lastRenderedPageBreak/>
        <w:t xml:space="preserve">62.5 </w:t>
      </w:r>
      <w:r>
        <w:t>µg</w:t>
      </w:r>
      <w:r w:rsidRPr="00603115">
        <w:t xml:space="preserve"> and VI 25 </w:t>
      </w:r>
      <w:r>
        <w:t>µg</w:t>
      </w:r>
      <w:r w:rsidRPr="00603115">
        <w:t xml:space="preserve"> groups were responders, respectively, </w:t>
      </w:r>
      <w:r>
        <w:t>vs.</w:t>
      </w:r>
      <w:r w:rsidRPr="00603115">
        <w:t xml:space="preserve"> 34% in the </w:t>
      </w:r>
      <w:r w:rsidRPr="00373E17">
        <w:t>placebo</w:t>
      </w:r>
      <w:r w:rsidRPr="00603115">
        <w:t xml:space="preserve"> group; </w:t>
      </w:r>
      <w:r>
        <w:t xml:space="preserve">p ≤ </w:t>
      </w:r>
      <w:r w:rsidRPr="00603115">
        <w:t>0.003).</w:t>
      </w:r>
    </w:p>
    <w:p w:rsidR="00B13321" w:rsidRDefault="00B13321" w:rsidP="00A24905">
      <w:r w:rsidRPr="00603115">
        <w:t>Descriptive summary of the changes from baseline in the SGRQ symptoms, activity, and impacts domain scores at Day 168 in studies DB2113361 and DB2113373</w:t>
      </w:r>
      <w:r w:rsidR="00CF0081">
        <w:t xml:space="preserve"> is presented in Table 10</w:t>
      </w:r>
      <w:r w:rsidRPr="00603115">
        <w:t>, showing numerically greater reductions from baseline (</w:t>
      </w:r>
      <w:r>
        <w:t>i.e.</w:t>
      </w:r>
      <w:r w:rsidRPr="00603115">
        <w:t xml:space="preserve"> improvement) in these SGRQ component scores with UMEC/VI 125/25 </w:t>
      </w:r>
      <w:r>
        <w:t>µg</w:t>
      </w:r>
      <w:r w:rsidRPr="00603115">
        <w:t xml:space="preserve"> compared with </w:t>
      </w:r>
      <w:r w:rsidRPr="00373E17">
        <w:t>placebo</w:t>
      </w:r>
      <w:r w:rsidRPr="00603115">
        <w:t xml:space="preserve">, and with UMEC/VI 62.5/25 </w:t>
      </w:r>
      <w:r>
        <w:t>µg</w:t>
      </w:r>
      <w:r w:rsidRPr="00603115">
        <w:t xml:space="preserve"> compared with </w:t>
      </w:r>
      <w:r w:rsidRPr="00373E17">
        <w:t>placebo</w:t>
      </w:r>
      <w:r w:rsidRPr="00603115">
        <w:t>.</w:t>
      </w:r>
    </w:p>
    <w:p w:rsidR="00B13321" w:rsidRPr="00AF04C8" w:rsidRDefault="00B13321" w:rsidP="00B13321">
      <w:pPr>
        <w:pStyle w:val="Tabletitle"/>
      </w:pPr>
      <w:proofErr w:type="gramStart"/>
      <w:r w:rsidRPr="00AF04C8">
        <w:t xml:space="preserve">Table </w:t>
      </w:r>
      <w:r w:rsidR="00CF0081">
        <w:t>10</w:t>
      </w:r>
      <w:r w:rsidRPr="00AF04C8">
        <w:t>.</w:t>
      </w:r>
      <w:proofErr w:type="gramEnd"/>
      <w:r w:rsidRPr="00AF04C8">
        <w:t xml:space="preserve"> Summary of SGRQ Symptoms, Activity, and Impact Domain Scores at Day 168 (</w:t>
      </w:r>
      <w:proofErr w:type="spellStart"/>
      <w:r w:rsidRPr="00AF04C8">
        <w:t>i</w:t>
      </w:r>
      <w:proofErr w:type="spellEnd"/>
      <w:r w:rsidRPr="00AF04C8">
        <w:t>) DB2113361 ITT Population (ii) DB2113373 ITT Population</w:t>
      </w:r>
      <w:r>
        <w:t>.</w:t>
      </w:r>
    </w:p>
    <w:p w:rsidR="00B13321" w:rsidRPr="00603115" w:rsidRDefault="00B13321" w:rsidP="00B13321">
      <w:r>
        <w:rPr>
          <w:noProof/>
          <w:lang w:eastAsia="en-AU"/>
        </w:rPr>
        <w:drawing>
          <wp:inline distT="0" distB="0" distL="0" distR="0" wp14:anchorId="0AAD163C" wp14:editId="2D3AA323">
            <wp:extent cx="3954780" cy="6917212"/>
            <wp:effectExtent l="0" t="0" r="0" b="0"/>
            <wp:docPr id="36" name="Picture 36" descr="Table 10. Summary of SGRQ Symptoms, Activity, and Impact Domain Scores at Day 168 (i) DB2113361 ITT Population (ii) DB2113373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638" r="2455"/>
                    <a:stretch/>
                  </pic:blipFill>
                  <pic:spPr bwMode="auto">
                    <a:xfrm>
                      <a:off x="0" y="0"/>
                      <a:ext cx="3956814" cy="6920770"/>
                    </a:xfrm>
                    <a:prstGeom prst="rect">
                      <a:avLst/>
                    </a:prstGeom>
                    <a:ln>
                      <a:noFill/>
                    </a:ln>
                    <a:extLst>
                      <a:ext uri="{53640926-AAD7-44D8-BBD7-CCE9431645EC}">
                        <a14:shadowObscured xmlns:a14="http://schemas.microsoft.com/office/drawing/2010/main"/>
                      </a:ext>
                    </a:extLst>
                  </pic:spPr>
                </pic:pic>
              </a:graphicData>
            </a:graphic>
          </wp:inline>
        </w:drawing>
      </w:r>
    </w:p>
    <w:p w:rsidR="00B13321" w:rsidRPr="00603115" w:rsidRDefault="00B13321" w:rsidP="00A24905">
      <w:r w:rsidRPr="00603115">
        <w:lastRenderedPageBreak/>
        <w:t xml:space="preserve">Analysis of healthcare resource utilisation in studies DB2113361 and DB2113373 yielded results that were comparable across all treatment groups. In study DB2113361, 30%, 29% and 35% of subjects in the UMEC/VI 125/25 </w:t>
      </w:r>
      <w:r>
        <w:t>µg</w:t>
      </w:r>
      <w:r w:rsidRPr="00603115">
        <w:t xml:space="preserve">, UMEC 125 </w:t>
      </w:r>
      <w:r>
        <w:t>µg</w:t>
      </w:r>
      <w:r w:rsidRPr="00603115">
        <w:t xml:space="preserve"> and VI 25 </w:t>
      </w:r>
      <w:r>
        <w:t>µg</w:t>
      </w:r>
      <w:r w:rsidRPr="00603115">
        <w:t xml:space="preserve"> groups, respectively, reported contact with a healthcare provider on any day during the study, compared with 30% in the </w:t>
      </w:r>
      <w:r w:rsidRPr="00373E17">
        <w:t>placebo</w:t>
      </w:r>
      <w:r w:rsidRPr="00603115">
        <w:t xml:space="preserve"> group. The proportions of subjects who reported unscheduled healthcare utilisation were 4%, 5% and 6% in the UMEC/VI 125/25 </w:t>
      </w:r>
      <w:r>
        <w:t>µg</w:t>
      </w:r>
      <w:r w:rsidRPr="00603115">
        <w:t xml:space="preserve">, UMEC 125 </w:t>
      </w:r>
      <w:r>
        <w:t>µg</w:t>
      </w:r>
      <w:r w:rsidRPr="00603115">
        <w:t xml:space="preserve"> and VI 25 </w:t>
      </w:r>
      <w:r>
        <w:t>µg</w:t>
      </w:r>
      <w:r w:rsidRPr="00603115">
        <w:t xml:space="preserve"> groups, respectively, compared to 7% in the </w:t>
      </w:r>
      <w:r w:rsidRPr="00373E17">
        <w:t>placebo</w:t>
      </w:r>
      <w:r w:rsidRPr="00603115">
        <w:t xml:space="preserve"> group. In study DB2113373, 31%, 35% and 32% of subjects in the UMEC/VI 62.5/25 </w:t>
      </w:r>
      <w:r>
        <w:t>µg</w:t>
      </w:r>
      <w:r w:rsidRPr="00603115">
        <w:t xml:space="preserve">, UMEC 62.5 </w:t>
      </w:r>
      <w:r>
        <w:t>µg</w:t>
      </w:r>
      <w:r w:rsidRPr="00603115">
        <w:t xml:space="preserve"> and VI 25 </w:t>
      </w:r>
      <w:r>
        <w:t>µg</w:t>
      </w:r>
      <w:r w:rsidRPr="00603115">
        <w:t xml:space="preserve"> groups, respectively, reported contact with a healthcare provider on any day during the study, compared with 36% in the </w:t>
      </w:r>
      <w:r w:rsidRPr="00373E17">
        <w:t>placebo</w:t>
      </w:r>
      <w:r w:rsidRPr="00603115">
        <w:t xml:space="preserve"> group. The proportions of subjects who reported unscheduled healthcare utilisation were 2%, 5% and 5% in the UMEC/VI 62.5/25 </w:t>
      </w:r>
      <w:r>
        <w:t>µg</w:t>
      </w:r>
      <w:r w:rsidRPr="00603115">
        <w:t xml:space="preserve">, UMEC 62.5 </w:t>
      </w:r>
      <w:r>
        <w:t>µg</w:t>
      </w:r>
      <w:r w:rsidRPr="00603115">
        <w:t xml:space="preserve"> and VI 25 </w:t>
      </w:r>
      <w:r>
        <w:t>µg</w:t>
      </w:r>
      <w:r w:rsidRPr="00603115">
        <w:t xml:space="preserve"> groups, respectively, compared to 5% in the </w:t>
      </w:r>
      <w:r w:rsidRPr="00373E17">
        <w:t>placebo</w:t>
      </w:r>
      <w:r>
        <w:t xml:space="preserve"> group.</w:t>
      </w:r>
    </w:p>
    <w:p w:rsidR="00B13321" w:rsidRPr="009E0FFD" w:rsidRDefault="00B13321" w:rsidP="00A24905">
      <w:pPr>
        <w:pStyle w:val="Heading4"/>
      </w:pPr>
      <w:bookmarkStart w:id="160" w:name="_Toc290846276"/>
      <w:bookmarkStart w:id="161" w:name="_Toc376461157"/>
      <w:r w:rsidRPr="009E0FFD">
        <w:t>Stud</w:t>
      </w:r>
      <w:bookmarkEnd w:id="160"/>
      <w:r w:rsidRPr="009E0FFD">
        <w:t>ies DB2113360 and DB2113374, and meta-analysis (report DB2116844)</w:t>
      </w:r>
      <w:bookmarkEnd w:id="161"/>
    </w:p>
    <w:p w:rsidR="00B13321" w:rsidRPr="009E0FFD" w:rsidRDefault="00B13321" w:rsidP="00A24905">
      <w:pPr>
        <w:pStyle w:val="Heading5"/>
      </w:pPr>
      <w:r w:rsidRPr="009E0FFD">
        <w:t>Study design, objectives, locations and dates</w:t>
      </w:r>
    </w:p>
    <w:p w:rsidR="00B13321" w:rsidRPr="009E0FFD" w:rsidRDefault="00B13321" w:rsidP="00A24905">
      <w:r w:rsidRPr="009E0FFD">
        <w:t xml:space="preserve">Both studies DB2113360 and DB2113374 were </w:t>
      </w:r>
      <w:r>
        <w:t>multi-centre</w:t>
      </w:r>
      <w:r w:rsidRPr="009E0FFD">
        <w:t xml:space="preserve">, randomised, </w:t>
      </w:r>
      <w:r>
        <w:t>double-blind, double-dummy, active-</w:t>
      </w:r>
      <w:r w:rsidRPr="009E0FFD">
        <w:t xml:space="preserve">controlled, parallel group studies evaluating the efficacy and safety of 2 doses of UMEC/VI (125/25 </w:t>
      </w:r>
      <w:r>
        <w:t>µg</w:t>
      </w:r>
      <w:r w:rsidRPr="009E0FFD">
        <w:t xml:space="preserve"> and 62.5/25 </w:t>
      </w:r>
      <w:r>
        <w:t>µg</w:t>
      </w:r>
      <w:r w:rsidRPr="009E0FFD">
        <w:t xml:space="preserve"> </w:t>
      </w:r>
      <w:r>
        <w:t>once daily</w:t>
      </w:r>
      <w:r w:rsidRPr="009E0FFD">
        <w:t xml:space="preserve">; administered via an NDPI) compared with </w:t>
      </w:r>
      <w:proofErr w:type="spellStart"/>
      <w:r w:rsidRPr="009E0FFD">
        <w:t>tiotropium</w:t>
      </w:r>
      <w:proofErr w:type="spellEnd"/>
      <w:r w:rsidRPr="009E0FFD">
        <w:t xml:space="preserve"> (TIO; 18 </w:t>
      </w:r>
      <w:r>
        <w:t>µg</w:t>
      </w:r>
      <w:r w:rsidRPr="009E0FFD">
        <w:t xml:space="preserve"> administered </w:t>
      </w:r>
      <w:r w:rsidRPr="00066B4E">
        <w:t>once daily</w:t>
      </w:r>
      <w:r w:rsidRPr="009E0FFD">
        <w:t xml:space="preserve"> administered via </w:t>
      </w:r>
      <w:proofErr w:type="spellStart"/>
      <w:r w:rsidRPr="009E0FFD">
        <w:t>HandiHaler</w:t>
      </w:r>
      <w:proofErr w:type="spellEnd"/>
      <w:r w:rsidRPr="009E0FFD">
        <w:t xml:space="preserve">), and with either VI 25 </w:t>
      </w:r>
      <w:r>
        <w:t>µg</w:t>
      </w:r>
      <w:r w:rsidRPr="009E0FFD">
        <w:t xml:space="preserve"> (</w:t>
      </w:r>
      <w:r w:rsidRPr="00066B4E">
        <w:t>once daily</w:t>
      </w:r>
      <w:r w:rsidRPr="009E0FFD">
        <w:t xml:space="preserve"> via an NDPI; study DB2113360) or with UMEC 125 </w:t>
      </w:r>
      <w:r>
        <w:t>µg</w:t>
      </w:r>
      <w:r w:rsidRPr="009E0FFD">
        <w:t xml:space="preserve"> (</w:t>
      </w:r>
      <w:r w:rsidRPr="00066B4E">
        <w:t>once daily</w:t>
      </w:r>
      <w:r w:rsidRPr="009E0FFD">
        <w:t xml:space="preserve"> via an NDPI; study DB2113374) over a treatment period of 24 weeks in subjects with COPD. The primary objective of both studies was to compare the efficacy of UMEC/VI (125/25 </w:t>
      </w:r>
      <w:r>
        <w:t>µg</w:t>
      </w:r>
      <w:r w:rsidRPr="009E0FFD">
        <w:t xml:space="preserve"> and 62.5/25 </w:t>
      </w:r>
      <w:r>
        <w:t>µg</w:t>
      </w:r>
      <w:r w:rsidRPr="009E0FFD">
        <w:t xml:space="preserve"> </w:t>
      </w:r>
      <w:r w:rsidRPr="00066B4E">
        <w:t>once daily</w:t>
      </w:r>
      <w:r w:rsidRPr="009E0FFD">
        <w:t xml:space="preserve">) with </w:t>
      </w:r>
      <w:proofErr w:type="spellStart"/>
      <w:r w:rsidRPr="009E0FFD">
        <w:t>tiotropium</w:t>
      </w:r>
      <w:proofErr w:type="spellEnd"/>
      <w:r w:rsidRPr="009E0FFD">
        <w:t xml:space="preserve"> (18 </w:t>
      </w:r>
      <w:r>
        <w:t>µg</w:t>
      </w:r>
      <w:r w:rsidRPr="009E0FFD">
        <w:t xml:space="preserve"> </w:t>
      </w:r>
      <w:r w:rsidRPr="00066B4E">
        <w:t>once daily</w:t>
      </w:r>
      <w:r w:rsidRPr="009E0FFD">
        <w:t xml:space="preserve">) and with either with VI (25 </w:t>
      </w:r>
      <w:r>
        <w:t>µg</w:t>
      </w:r>
      <w:r w:rsidRPr="009E0FFD">
        <w:t xml:space="preserve"> </w:t>
      </w:r>
      <w:r w:rsidRPr="00066B4E">
        <w:t>once daily</w:t>
      </w:r>
      <w:r w:rsidRPr="009E0FFD">
        <w:t xml:space="preserve">; study DB2113360) or UMEC (125 </w:t>
      </w:r>
      <w:r>
        <w:t>µg</w:t>
      </w:r>
      <w:r w:rsidRPr="009E0FFD">
        <w:t xml:space="preserve"> </w:t>
      </w:r>
      <w:r w:rsidRPr="00066B4E">
        <w:t>once daily</w:t>
      </w:r>
      <w:r w:rsidRPr="009E0FFD">
        <w:t>, study DB2113374) over 24 weeks in subjects with COPD.</w:t>
      </w:r>
    </w:p>
    <w:p w:rsidR="00B13321" w:rsidRPr="009E0FFD" w:rsidRDefault="00B13321" w:rsidP="00A24905">
      <w:r w:rsidRPr="009E0FFD">
        <w:t xml:space="preserve">Studies DB2113360 and DB2113374 were </w:t>
      </w:r>
      <w:r>
        <w:t>multi centre</w:t>
      </w:r>
      <w:r w:rsidRPr="009E0FFD">
        <w:t xml:space="preserve"> studies where subjects were enrolled in a total of 91 study sites across 9 countries</w:t>
      </w:r>
      <w:r w:rsidRPr="009E21AD">
        <w:rPr>
          <w:vertAlign w:val="superscript"/>
        </w:rPr>
        <w:footnoteReference w:id="31"/>
      </w:r>
      <w:r w:rsidRPr="009E0FFD">
        <w:t xml:space="preserve"> and 95 study sites across 10 countries</w:t>
      </w:r>
      <w:r w:rsidRPr="009E21AD">
        <w:rPr>
          <w:vertAlign w:val="superscript"/>
        </w:rPr>
        <w:footnoteReference w:id="32"/>
      </w:r>
      <w:r>
        <w:t>, respectively</w:t>
      </w:r>
      <w:r w:rsidRPr="00066B4E">
        <w:t xml:space="preserve">. The </w:t>
      </w:r>
      <w:proofErr w:type="gramStart"/>
      <w:r w:rsidRPr="00066B4E">
        <w:t>study start</w:t>
      </w:r>
      <w:proofErr w:type="gramEnd"/>
      <w:r w:rsidRPr="00066B4E">
        <w:t xml:space="preserve"> and end dates of study DB2113360 were 21 March 2011 and 24 April 2012, respectively, and those of study DB2113374 were 21 March 2011 and 10 April 2012, respectively.</w:t>
      </w:r>
    </w:p>
    <w:p w:rsidR="00B13321" w:rsidRDefault="00B13321" w:rsidP="00A24905">
      <w:r w:rsidRPr="009E0FFD">
        <w:t>Subjects who met the eligibility criteria at sc</w:t>
      </w:r>
      <w:r>
        <w:t xml:space="preserve">reening (Visit 1) completed a 7- to 10- </w:t>
      </w:r>
      <w:r w:rsidRPr="009E0FFD">
        <w:t xml:space="preserve">day </w:t>
      </w:r>
      <w:r>
        <w:t>Run-in</w:t>
      </w:r>
      <w:r w:rsidRPr="009E0FFD">
        <w:t xml:space="preserve"> Per</w:t>
      </w:r>
      <w:r>
        <w:t>iod followed by a 24-</w:t>
      </w:r>
      <w:r w:rsidRPr="009E0FFD">
        <w:t>week T</w:t>
      </w:r>
      <w:r>
        <w:t>reatment Period (</w:t>
      </w:r>
      <w:r w:rsidRPr="00A2142B">
        <w:t xml:space="preserve">Figure </w:t>
      </w:r>
      <w:r w:rsidR="00CF0081">
        <w:t>17</w:t>
      </w:r>
      <w:r w:rsidRPr="00A2142B">
        <w:t>). Randomisation</w:t>
      </w:r>
      <w:r w:rsidRPr="009E0FFD">
        <w:t xml:space="preserve"> was conducted on Visit 2 (Day 1). Additional clinic visits were scheduled at Day 2, and after 28, 56, 84, 112 and 168 days of treatment and 1 day after the Week 24 Visit (Treatment Day 169). A safety </w:t>
      </w:r>
      <w:r>
        <w:t>follow-up</w:t>
      </w:r>
      <w:r w:rsidRPr="009E0FFD">
        <w:t xml:space="preserve"> assessment was conducted approximately 7 days after Visit 9 or the Early Withdrawal Visit. The total duration of subject participation, including </w:t>
      </w:r>
      <w:r>
        <w:t>follow-up</w:t>
      </w:r>
      <w:r w:rsidRPr="009E0FFD">
        <w:t>, was approximately 26 weeks.</w:t>
      </w:r>
    </w:p>
    <w:p w:rsidR="00B13321" w:rsidRPr="00A2142B" w:rsidRDefault="00B13321" w:rsidP="00DC532E">
      <w:pPr>
        <w:pStyle w:val="FigureTitle"/>
      </w:pPr>
      <w:proofErr w:type="gramStart"/>
      <w:r w:rsidRPr="00A2142B">
        <w:lastRenderedPageBreak/>
        <w:t xml:space="preserve">Figure </w:t>
      </w:r>
      <w:r w:rsidR="00CF0081">
        <w:t>17</w:t>
      </w:r>
      <w:r w:rsidRPr="00A2142B">
        <w:t>.</w:t>
      </w:r>
      <w:proofErr w:type="gramEnd"/>
      <w:r w:rsidRPr="00A2142B">
        <w:t xml:space="preserve"> Studies DB2113360 and DB2113374 schematics</w:t>
      </w:r>
    </w:p>
    <w:p w:rsidR="00B13321" w:rsidRPr="009E0FFD" w:rsidRDefault="00B13321" w:rsidP="00DC532E">
      <w:r>
        <w:rPr>
          <w:noProof/>
          <w:lang w:eastAsia="en-AU"/>
        </w:rPr>
        <w:drawing>
          <wp:inline distT="0" distB="0" distL="0" distR="0" wp14:anchorId="17E9CE8B" wp14:editId="7FA558B9">
            <wp:extent cx="5054444" cy="6520328"/>
            <wp:effectExtent l="0" t="0" r="0" b="0"/>
            <wp:docPr id="37" name="Picture 37" descr="Figure 17. Studies DB2113360 and DB2113374 sc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97" r="2997"/>
                    <a:stretch/>
                  </pic:blipFill>
                  <pic:spPr bwMode="auto">
                    <a:xfrm>
                      <a:off x="0" y="0"/>
                      <a:ext cx="5057775" cy="6524625"/>
                    </a:xfrm>
                    <a:prstGeom prst="rect">
                      <a:avLst/>
                    </a:prstGeom>
                    <a:ln>
                      <a:noFill/>
                    </a:ln>
                    <a:extLst>
                      <a:ext uri="{53640926-AAD7-44D8-BBD7-CCE9431645EC}">
                        <a14:shadowObscured xmlns:a14="http://schemas.microsoft.com/office/drawing/2010/main"/>
                      </a:ext>
                    </a:extLst>
                  </pic:spPr>
                </pic:pic>
              </a:graphicData>
            </a:graphic>
          </wp:inline>
        </w:drawing>
      </w:r>
    </w:p>
    <w:p w:rsidR="00B13321" w:rsidRPr="009E0FFD" w:rsidRDefault="00B13321" w:rsidP="00A24905">
      <w:pPr>
        <w:pStyle w:val="Heading5"/>
      </w:pPr>
      <w:r w:rsidRPr="009E0FFD">
        <w:t>Inclusion and exclusion criteria</w:t>
      </w:r>
    </w:p>
    <w:p w:rsidR="00B13321" w:rsidRPr="009E0FFD" w:rsidRDefault="00B13321" w:rsidP="00A24905">
      <w:r w:rsidRPr="009E0FFD">
        <w:t xml:space="preserve">Study inclusion and exclusion criteria and randomisation criteria were the same as for </w:t>
      </w:r>
      <w:r>
        <w:t>studies DB2113361 and DB2113373</w:t>
      </w:r>
      <w:r w:rsidRPr="009E0FFD">
        <w:t>.</w:t>
      </w:r>
    </w:p>
    <w:p w:rsidR="00B13321" w:rsidRPr="009E0FFD" w:rsidRDefault="00B13321" w:rsidP="00A24905">
      <w:pPr>
        <w:pStyle w:val="Heading5"/>
      </w:pPr>
      <w:r w:rsidRPr="009E0FFD">
        <w:t>Study treatments</w:t>
      </w:r>
    </w:p>
    <w:p w:rsidR="00B13321" w:rsidRPr="009E0FFD" w:rsidRDefault="00B13321" w:rsidP="00A24905">
      <w:r w:rsidRPr="009E0FFD">
        <w:t xml:space="preserve">In Study DB2113360, the study treatment groups were UMEC/VI 125/25 </w:t>
      </w:r>
      <w:r>
        <w:t>µg</w:t>
      </w:r>
      <w:r w:rsidRPr="009E0FFD">
        <w:t xml:space="preserve">, UMEC/VI 62.5/25 </w:t>
      </w:r>
      <w:r>
        <w:t>µg</w:t>
      </w:r>
      <w:r w:rsidRPr="009E0FFD">
        <w:t xml:space="preserve">, VI 25 </w:t>
      </w:r>
      <w:r>
        <w:t>µg</w:t>
      </w:r>
      <w:r w:rsidRPr="009E0FFD">
        <w:t xml:space="preserve">, and TIO (randomised in a 1:1:1:1 ratio) all to be administered </w:t>
      </w:r>
      <w:r w:rsidRPr="00010AA8">
        <w:t>once daily</w:t>
      </w:r>
      <w:r w:rsidRPr="009E0FFD">
        <w:t xml:space="preserve"> in the morning using an NDPI (for UMEC/VI and VI) or </w:t>
      </w:r>
      <w:proofErr w:type="spellStart"/>
      <w:r w:rsidRPr="009E0FFD">
        <w:t>HandiHaler</w:t>
      </w:r>
      <w:proofErr w:type="spellEnd"/>
      <w:r w:rsidRPr="009E0FFD">
        <w:t xml:space="preserve"> (for TIO). In Study DB2113373, the study treatment groups were UMEC/VI 125/25 </w:t>
      </w:r>
      <w:r>
        <w:t>µg</w:t>
      </w:r>
      <w:r w:rsidRPr="009E0FFD">
        <w:t>,</w:t>
      </w:r>
      <w:r>
        <w:t xml:space="preserve"> </w:t>
      </w:r>
      <w:r w:rsidRPr="009E0FFD">
        <w:t xml:space="preserve">UMEC/VI 62.5/25 </w:t>
      </w:r>
      <w:r>
        <w:t>µg</w:t>
      </w:r>
      <w:r w:rsidRPr="009E0FFD">
        <w:t xml:space="preserve">, UMEC 125 </w:t>
      </w:r>
      <w:r>
        <w:t>µg</w:t>
      </w:r>
      <w:r w:rsidRPr="009E0FFD">
        <w:t xml:space="preserve">, and TIO (randomised in a 1:1:1:1 ratio) all to be administered </w:t>
      </w:r>
      <w:r w:rsidRPr="00010AA8">
        <w:t>once daily</w:t>
      </w:r>
      <w:r w:rsidRPr="009E0FFD">
        <w:t xml:space="preserve"> in the morning using an NDPI (for UMEC/VI, UMEC) or </w:t>
      </w:r>
      <w:proofErr w:type="spellStart"/>
      <w:r w:rsidRPr="009E0FFD">
        <w:t>HandiHaler</w:t>
      </w:r>
      <w:proofErr w:type="spellEnd"/>
      <w:r w:rsidRPr="009E0FFD">
        <w:t xml:space="preserve"> (for TIO). The treatment duration in both studies was 24 </w:t>
      </w:r>
      <w:r w:rsidRPr="009E0FFD">
        <w:lastRenderedPageBreak/>
        <w:t>weeks. As t</w:t>
      </w:r>
      <w:r>
        <w:t>he studies were of double-</w:t>
      </w:r>
      <w:r w:rsidRPr="009E0FFD">
        <w:t xml:space="preserve">dummy design, each subject received 2 inhalers, a </w:t>
      </w:r>
      <w:r>
        <w:t>pre-</w:t>
      </w:r>
      <w:r w:rsidRPr="009E0FFD">
        <w:t xml:space="preserve">loaded NDPI and a </w:t>
      </w:r>
      <w:proofErr w:type="spellStart"/>
      <w:r w:rsidRPr="009E0FFD">
        <w:t>HandiHaler</w:t>
      </w:r>
      <w:proofErr w:type="spellEnd"/>
      <w:r w:rsidRPr="009E0FFD">
        <w:t xml:space="preserve"> dry powder inhaler with capsules, for </w:t>
      </w:r>
      <w:r>
        <w:t>once-</w:t>
      </w:r>
      <w:r w:rsidRPr="00010AA8">
        <w:t>daily</w:t>
      </w:r>
      <w:r w:rsidRPr="009E0FFD">
        <w:t xml:space="preserve"> administration of 1 active treatment and 1 </w:t>
      </w:r>
      <w:r w:rsidRPr="00010AA8">
        <w:t>placebo</w:t>
      </w:r>
      <w:r w:rsidRPr="009E0FFD">
        <w:t xml:space="preserve"> treatment for 24 weeks.</w:t>
      </w:r>
    </w:p>
    <w:p w:rsidR="00B13321" w:rsidRPr="009E0FFD" w:rsidRDefault="00B13321" w:rsidP="00A24905">
      <w:r w:rsidRPr="009E0FFD">
        <w:t xml:space="preserve">During both studies, salbutamol was provided for use as rescue medication throughout the </w:t>
      </w:r>
      <w:r>
        <w:t>Run-in</w:t>
      </w:r>
      <w:r w:rsidRPr="009E0FFD">
        <w:t xml:space="preserve"> and Treatment Periods. Concurrent use of systemic corticosteroids or </w:t>
      </w:r>
      <w:r>
        <w:t>long-acting</w:t>
      </w:r>
      <w:r w:rsidRPr="009E0FFD">
        <w:t xml:space="preserve"> bronchodilators, including </w:t>
      </w:r>
      <w:proofErr w:type="spellStart"/>
      <w:r w:rsidRPr="009E0FFD">
        <w:t>theophyllines</w:t>
      </w:r>
      <w:proofErr w:type="spellEnd"/>
      <w:r w:rsidRPr="009E0FFD">
        <w:t xml:space="preserve">, was not allowed. Concurrent use of ICS at a stable dose of </w:t>
      </w:r>
      <w:r>
        <w:t xml:space="preserve">≤ </w:t>
      </w:r>
      <w:r w:rsidRPr="009E0FFD">
        <w:t xml:space="preserve">1000 </w:t>
      </w:r>
      <w:r>
        <w:t>µg</w:t>
      </w:r>
      <w:r w:rsidRPr="009E0FFD">
        <w:t>/day of fluticasone propionate or equivalent was permitted provided the dose of ICS remained consistent throughout the study. Permitted and prohibited concomitant medications in studies DB2113360 and DB2113374 were the same as those for studies DB</w:t>
      </w:r>
      <w:r>
        <w:t>2113361 and DB2113373</w:t>
      </w:r>
      <w:r w:rsidRPr="009E0FFD">
        <w:t>.</w:t>
      </w:r>
    </w:p>
    <w:p w:rsidR="00B13321" w:rsidRPr="009E0FFD" w:rsidRDefault="00B13321" w:rsidP="006F4D43">
      <w:r>
        <w:rPr>
          <w:b/>
        </w:rPr>
        <w:t xml:space="preserve">Evaluator’s comments: </w:t>
      </w:r>
      <w:r w:rsidRPr="009E0FFD">
        <w:t xml:space="preserve">The study dose selection is appropriate and has been previously discussed in this evaluation </w:t>
      </w:r>
      <w:r w:rsidRPr="00010AA8">
        <w:t>report (Section 6).</w:t>
      </w:r>
      <w:r w:rsidRPr="009E0FFD">
        <w:t xml:space="preserve"> The study design involving an active control is appropriate and consistent with the recommendation of the EMA guidelines on clinical investigation of medicinal products in the treatment of </w:t>
      </w:r>
      <w:r w:rsidRPr="000F1444">
        <w:t>COPD</w:t>
      </w:r>
      <w:r w:rsidRPr="009E0FFD">
        <w:t xml:space="preserve">. The provision of a short-acting </w:t>
      </w:r>
      <w:r>
        <w:t>beta</w:t>
      </w:r>
      <w:r w:rsidRPr="00CF0081">
        <w:rPr>
          <w:vertAlign w:val="subscript"/>
        </w:rPr>
        <w:t>2</w:t>
      </w:r>
      <w:r w:rsidRPr="009E0FFD">
        <w:t>-agonist as rescue medication and the permitted concomitant medications are in general keeping with both FDA and EMA guidelines. The study design evaluating the efficacy and safety of the combination product as well as the individual components is consistent with the EMA guidelines “Note for Guidance on Fixed Dose Combination Medicinal Products”</w:t>
      </w:r>
      <w:r w:rsidRPr="000E5E29">
        <w:rPr>
          <w:vertAlign w:val="superscript"/>
        </w:rPr>
        <w:footnoteReference w:id="33"/>
      </w:r>
      <w:r w:rsidRPr="009E0FFD">
        <w:t xml:space="preserve">. The choice of active control of f </w:t>
      </w:r>
      <w:proofErr w:type="spellStart"/>
      <w:r w:rsidRPr="009E0FFD">
        <w:t>tiotropium</w:t>
      </w:r>
      <w:proofErr w:type="spellEnd"/>
      <w:r w:rsidRPr="009E0FFD">
        <w:t xml:space="preserve"> 18 </w:t>
      </w:r>
      <w:r>
        <w:t>µg</w:t>
      </w:r>
      <w:r w:rsidRPr="009E0FFD">
        <w:t xml:space="preserve"> </w:t>
      </w:r>
      <w:r>
        <w:t>QD</w:t>
      </w:r>
      <w:r w:rsidRPr="009E0FFD">
        <w:t xml:space="preserve"> is appropriate, given that there are currently no LAMA/LABA combination products approved for the treatment of COPD, nor established combined regimens o</w:t>
      </w:r>
      <w:r>
        <w:t xml:space="preserve">f LAMA and LABA monotherapies. </w:t>
      </w:r>
      <w:proofErr w:type="spellStart"/>
      <w:r w:rsidRPr="009E0FFD">
        <w:t>Tiotropium</w:t>
      </w:r>
      <w:proofErr w:type="spellEnd"/>
      <w:r w:rsidRPr="009E0FFD">
        <w:t xml:space="preserve"> is a LAMA and is registered in Australia as Spiriva, indicated “for the long term maintenance treatment of bronchospasm and dyspnoea associated with </w:t>
      </w:r>
      <w:r w:rsidRPr="000F1444">
        <w:t>COPD</w:t>
      </w:r>
      <w:r w:rsidRPr="009E0FFD">
        <w:t>”, and “for the prevention of COPD exacerbations”</w:t>
      </w:r>
      <w:r w:rsidRPr="000E5E29">
        <w:rPr>
          <w:vertAlign w:val="superscript"/>
        </w:rPr>
        <w:footnoteReference w:id="34"/>
      </w:r>
      <w:r w:rsidRPr="009E0FFD">
        <w:t xml:space="preserve">. It is currently accepted as part of standard treatment regimen for COPD. The dose of </w:t>
      </w:r>
      <w:proofErr w:type="spellStart"/>
      <w:r w:rsidRPr="009E0FFD">
        <w:t>tiotropium</w:t>
      </w:r>
      <w:proofErr w:type="spellEnd"/>
      <w:r w:rsidRPr="009E0FFD">
        <w:t xml:space="preserve"> in the study is the recommended therape</w:t>
      </w:r>
      <w:r>
        <w:t>utic dose in clinical practice.</w:t>
      </w:r>
    </w:p>
    <w:p w:rsidR="00B13321" w:rsidRPr="009E0FFD" w:rsidRDefault="00B13321" w:rsidP="00A24905">
      <w:pPr>
        <w:pStyle w:val="Heading5"/>
      </w:pPr>
      <w:r w:rsidRPr="009E0FFD">
        <w:t>Efficacy variables and outcomes</w:t>
      </w:r>
    </w:p>
    <w:p w:rsidR="00B13321" w:rsidRPr="009E0FFD" w:rsidRDefault="00B13321" w:rsidP="00A24905">
      <w:r w:rsidRPr="009E0FFD">
        <w:t>The primary efficacy endpoint was the trough FEV1 on Day 169. This was defined as the mean of the FEV1 values obtained 23 and 24 hours after dosing on Day 168 (</w:t>
      </w:r>
      <w:r>
        <w:t>that is,</w:t>
      </w:r>
      <w:r w:rsidRPr="009E0FFD">
        <w:t xml:space="preserve"> at the Week 24 Visit). The secondary efficacy endpoint was the weighted mean FEV1 over 0 to 6 hours </w:t>
      </w:r>
      <w:r>
        <w:t>post-dose at Day 168.</w:t>
      </w:r>
    </w:p>
    <w:p w:rsidR="00B13321" w:rsidRPr="009E0FFD" w:rsidRDefault="00B13321" w:rsidP="00B80494">
      <w:r w:rsidRPr="009E0FFD">
        <w:t xml:space="preserve">Other efficacy endpoints were the same as “other efficacy endpoints” in studies DB2113361 and DB2113373, and have been previously described </w:t>
      </w:r>
      <w:r w:rsidRPr="00DC2D81">
        <w:t>in Section 7.1.1.4, except</w:t>
      </w:r>
      <w:r w:rsidRPr="009E0FFD">
        <w:t xml:space="preserve"> that there were no 2</w:t>
      </w:r>
      <w:r>
        <w:t>4-hour</w:t>
      </w:r>
      <w:r w:rsidRPr="009E0FFD">
        <w:t xml:space="preserve"> population subsets in studies DB2113360 and DB2113374, and hence no endpoints relating to this subset. In addition, in studies DB2113360 and DB2113374, other efficacy endpoints included morning peak expiratory flow rate (PEFR), and subject device preference. Health outcomes were assessed using the SGRQ, evaluation of healthcare resource utilisation, the EuroQol-5D (EQ-5D) health outcome assessment</w:t>
      </w:r>
      <w:r w:rsidRPr="000E5E29">
        <w:rPr>
          <w:vertAlign w:val="superscript"/>
        </w:rPr>
        <w:footnoteReference w:id="35"/>
      </w:r>
      <w:r w:rsidRPr="009E0FFD">
        <w:t>, and the COPD Assessment Test (CAT)</w:t>
      </w:r>
      <w:r w:rsidRPr="000E5E29">
        <w:rPr>
          <w:vertAlign w:val="superscript"/>
        </w:rPr>
        <w:footnoteReference w:id="36"/>
      </w:r>
      <w:r w:rsidRPr="009E0FFD">
        <w:t xml:space="preserve">. Pulmonary function tests and assessments of endpoints were performed according to the schedule </w:t>
      </w:r>
      <w:r>
        <w:t>provided.</w:t>
      </w:r>
    </w:p>
    <w:p w:rsidR="00B13321" w:rsidRPr="009E0FFD" w:rsidRDefault="00B13321" w:rsidP="00B80494">
      <w:r w:rsidRPr="009E0FFD">
        <w:t xml:space="preserve">The primary objective of the meta-analysis of studies DB2113360 and DB2113374 was to assess the effect on dyspnoea (as measured by TDI focal score) of UMEC/VI 125/25 </w:t>
      </w:r>
      <w:r>
        <w:t>µg</w:t>
      </w:r>
      <w:r w:rsidRPr="009E0FFD">
        <w:t xml:space="preserve"> and </w:t>
      </w:r>
      <w:r w:rsidRPr="009E0FFD">
        <w:lastRenderedPageBreak/>
        <w:t xml:space="preserve">62.5/25 </w:t>
      </w:r>
      <w:r>
        <w:t>µg</w:t>
      </w:r>
      <w:r w:rsidRPr="009E0FFD">
        <w:t xml:space="preserve">, UMEC 125 </w:t>
      </w:r>
      <w:r>
        <w:t>µg</w:t>
      </w:r>
      <w:r w:rsidRPr="009E0FFD">
        <w:t xml:space="preserve">, VI 25 </w:t>
      </w:r>
      <w:r>
        <w:t>µg</w:t>
      </w:r>
      <w:r w:rsidRPr="009E0FFD">
        <w:t xml:space="preserve"> and TIO 18 </w:t>
      </w:r>
      <w:r>
        <w:t>µg</w:t>
      </w:r>
      <w:r w:rsidRPr="009E0FFD">
        <w:t xml:space="preserve"> in subjects with COPD using pooled data from studies DB2113360 and DB2113374. The primary endpoint for this meta-analysis was the TDI focal score at Day 168. Other efficacy endpoints were TDI focal score at Days 28 and 84 and the proportion of responders according to TDI at Days 28, 84 and 168. Responders were defined a</w:t>
      </w:r>
      <w:r>
        <w:t xml:space="preserve">s subjects who had at least </w:t>
      </w:r>
      <w:proofErr w:type="gramStart"/>
      <w:r>
        <w:t>a</w:t>
      </w:r>
      <w:proofErr w:type="gramEnd"/>
      <w:r>
        <w:t xml:space="preserve"> l-</w:t>
      </w:r>
      <w:r w:rsidRPr="009E0FFD">
        <w:t>unit TDI focal score.</w:t>
      </w:r>
    </w:p>
    <w:p w:rsidR="00B13321" w:rsidRPr="00DC2D81" w:rsidRDefault="00B13321" w:rsidP="006F4D43">
      <w:r>
        <w:rPr>
          <w:b/>
        </w:rPr>
        <w:t xml:space="preserve">Evaluator’s comments: </w:t>
      </w:r>
      <w:r w:rsidRPr="009E0FFD">
        <w:t xml:space="preserve">Overall, the primary and secondary endpoints of this study are appropriate and consistent with the recommendations in the EMA guidelines on clinical investigation of medicinal products in the treatment of </w:t>
      </w:r>
      <w:r w:rsidRPr="00055EA0">
        <w:t>chronic obstructive pulmonary disease</w:t>
      </w:r>
      <w:r w:rsidRPr="009E0FFD">
        <w:t xml:space="preserve">, as well as the FDA Guidance for Industry- Chronic Obstructive Pulmonary Disease: Developing Drugs for Treatment, which recommended endpoints evaluating FEV1, symptom relief, or effect on exacerbations of COPD. The study primary and secondary endpoints allowed evaluations of the </w:t>
      </w:r>
      <w:r>
        <w:t>post-dose</w:t>
      </w:r>
      <w:r w:rsidRPr="009E0FFD">
        <w:t xml:space="preserve"> </w:t>
      </w:r>
      <w:proofErr w:type="spellStart"/>
      <w:r w:rsidRPr="009E0FFD">
        <w:t>bronchodilatory</w:t>
      </w:r>
      <w:proofErr w:type="spellEnd"/>
      <w:r w:rsidRPr="009E0FFD">
        <w:t xml:space="preserve"> effect of UMEC/VI and its components after 24 weeks of treatment (FEV1 over 0 to 6 hours </w:t>
      </w:r>
      <w:r>
        <w:t>post-dose</w:t>
      </w:r>
      <w:r w:rsidRPr="009E0FFD">
        <w:t xml:space="preserve"> at Day 168), and at the end of the 2</w:t>
      </w:r>
      <w:r>
        <w:t>4-hour</w:t>
      </w:r>
      <w:r w:rsidRPr="009E0FFD">
        <w:t xml:space="preserve"> dosing interval after 24 weeks of treatment (trough FEV1 on Day 169). Other efficacy endpoints allowed further characterisation of the </w:t>
      </w:r>
      <w:proofErr w:type="spellStart"/>
      <w:r w:rsidRPr="009E0FFD">
        <w:t>bronchodilatory</w:t>
      </w:r>
      <w:proofErr w:type="spellEnd"/>
      <w:r w:rsidRPr="009E0FFD">
        <w:t xml:space="preserve"> effect of UMEC/VI and its components across 24 weeks and effects on symptom relief and health outcomes. The study duration of 24 weeks to support the proposed indication of a </w:t>
      </w:r>
      <w:r>
        <w:t>long term</w:t>
      </w:r>
      <w:r w:rsidRPr="009E0FFD">
        <w:t xml:space="preserve"> </w:t>
      </w:r>
      <w:r w:rsidRPr="00055EA0">
        <w:t>once daily</w:t>
      </w:r>
      <w:r w:rsidRPr="009E0FFD">
        <w:t xml:space="preserve"> maintenance bronchodilator treatment in COPD is consistent with both the EMA and FDA guidelines. </w:t>
      </w:r>
      <w:r w:rsidRPr="00DC2D81">
        <w:t>This has been discussed in Section 7.1.1.4.</w:t>
      </w:r>
    </w:p>
    <w:p w:rsidR="00B13321" w:rsidRPr="009E0FFD" w:rsidRDefault="00B13321" w:rsidP="00B13321">
      <w:pPr>
        <w:pStyle w:val="Heading5"/>
      </w:pPr>
      <w:r w:rsidRPr="009E0FFD">
        <w:t>Randomisation and blinding methods</w:t>
      </w:r>
    </w:p>
    <w:p w:rsidR="00B13321" w:rsidRPr="009E0FFD" w:rsidRDefault="00B13321" w:rsidP="00B80494">
      <w:r w:rsidRPr="009E0FFD">
        <w:t xml:space="preserve">Following the completion of the </w:t>
      </w:r>
      <w:r>
        <w:t>Run-in</w:t>
      </w:r>
      <w:r w:rsidRPr="009E0FFD">
        <w:t xml:space="preserve"> Period, eligible subjects were randomised in a 1:1:1:1 ratio to one of 4 treatment groups: UMEC/VI 125/25 </w:t>
      </w:r>
      <w:r>
        <w:t>µg</w:t>
      </w:r>
      <w:r w:rsidRPr="009E0FFD">
        <w:t xml:space="preserve">, UMEC/VI 62.5/25 </w:t>
      </w:r>
      <w:r>
        <w:t>µg</w:t>
      </w:r>
      <w:r w:rsidRPr="009E0FFD">
        <w:t xml:space="preserve">, VI 25 </w:t>
      </w:r>
      <w:r>
        <w:t>µg</w:t>
      </w:r>
      <w:r w:rsidRPr="009E0FFD">
        <w:t xml:space="preserve">, or TIO 18 </w:t>
      </w:r>
      <w:r>
        <w:t>µg</w:t>
      </w:r>
      <w:r w:rsidRPr="009E0FFD">
        <w:t xml:space="preserve"> in study DB2113360, or UMEC/VI 125/25 </w:t>
      </w:r>
      <w:r>
        <w:t>µg</w:t>
      </w:r>
      <w:r w:rsidRPr="009E0FFD">
        <w:t xml:space="preserve">, UMEC/VI 62.5/25 </w:t>
      </w:r>
      <w:r>
        <w:t>µg</w:t>
      </w:r>
      <w:r w:rsidRPr="009E0FFD">
        <w:t xml:space="preserve">, UMEC 125 </w:t>
      </w:r>
      <w:r>
        <w:t>µg</w:t>
      </w:r>
      <w:r w:rsidRPr="009E0FFD">
        <w:t xml:space="preserve">, or TIO 18 </w:t>
      </w:r>
      <w:r>
        <w:t>µg</w:t>
      </w:r>
      <w:r w:rsidRPr="009E0FFD">
        <w:t xml:space="preserve"> in study DB2113374. Subjects were randomised using an IVRS. Subjects were assigned to study treatment in accordance with a randomisation schedule, and the randomisation codes were generated by the sponsor using a validated computerised system </w:t>
      </w:r>
      <w:proofErr w:type="spellStart"/>
      <w:r w:rsidRPr="009E0FFD">
        <w:t>RandAll</w:t>
      </w:r>
      <w:proofErr w:type="spellEnd"/>
      <w:r w:rsidRPr="009E0FFD">
        <w:t xml:space="preserve"> version 2.5. Both studies had a </w:t>
      </w:r>
      <w:r>
        <w:t>double-blind</w:t>
      </w:r>
      <w:r w:rsidRPr="009E0FFD">
        <w:t xml:space="preserve"> study design. The sponsor generated the randomisation schedule, and prepared and coded the study drug in a blinded fashion.</w:t>
      </w:r>
    </w:p>
    <w:p w:rsidR="00B13321" w:rsidRPr="009E0FFD" w:rsidRDefault="00B13321" w:rsidP="00B80494">
      <w:pPr>
        <w:pStyle w:val="Heading5"/>
      </w:pPr>
      <w:r w:rsidRPr="009E0FFD">
        <w:t>Analysis populations</w:t>
      </w:r>
    </w:p>
    <w:p w:rsidR="00B13321" w:rsidRPr="009E0FFD" w:rsidRDefault="00B13321" w:rsidP="00B80494">
      <w:r w:rsidRPr="009E0FFD">
        <w:t>In both studies, 4 subject popul</w:t>
      </w:r>
      <w:r>
        <w:t xml:space="preserve">ations had been pre-specified: </w:t>
      </w:r>
      <w:r w:rsidRPr="009E0FFD">
        <w:t xml:space="preserve">the All Subjects Enrolled (ASE) population, the Screen and </w:t>
      </w:r>
      <w:r>
        <w:t>Run-in</w:t>
      </w:r>
      <w:r w:rsidRPr="009E0FFD">
        <w:t xml:space="preserve"> Failure (SRF) p</w:t>
      </w:r>
      <w:r>
        <w:t>opulation, the Intent-to-treat (ITT)</w:t>
      </w:r>
      <w:r w:rsidRPr="009E0FFD">
        <w:t xml:space="preserve"> population, and the Per Protocol (PP) population. The definitions and </w:t>
      </w:r>
      <w:r>
        <w:t>pre-</w:t>
      </w:r>
      <w:r w:rsidRPr="009E0FFD">
        <w:t xml:space="preserve">specified usages of these analysis populations were the same as for studies DB2113361 and </w:t>
      </w:r>
      <w:r w:rsidRPr="00DC2D81">
        <w:t>DB2113373, and have been previously described in Section 7.1.1.6. In</w:t>
      </w:r>
      <w:r w:rsidRPr="009E0FFD">
        <w:t xml:space="preserve"> study DB2113360, an additional analysis population, called “the ITT (Excluding Investigator </w:t>
      </w:r>
      <w:r>
        <w:t>X</w:t>
      </w:r>
      <w:r>
        <w:rPr>
          <w:rStyle w:val="FootnoteReference"/>
        </w:rPr>
        <w:footnoteReference w:id="37"/>
      </w:r>
      <w:r w:rsidRPr="009E0FFD">
        <w:t xml:space="preserve">) population” was defined during the conduct of the study, prior to </w:t>
      </w:r>
      <w:proofErr w:type="spellStart"/>
      <w:r w:rsidRPr="009E0FFD">
        <w:t>unblinding</w:t>
      </w:r>
      <w:proofErr w:type="spellEnd"/>
      <w:r w:rsidRPr="009E0FFD">
        <w:t>. The sponsor had stated that significant deviations from Good Clinical Practice</w:t>
      </w:r>
      <w:r>
        <w:t xml:space="preserve"> (GCP)</w:t>
      </w:r>
      <w:r w:rsidRPr="009E0FFD">
        <w:t xml:space="preserve"> for Investigator </w:t>
      </w:r>
      <w:r>
        <w:t>X</w:t>
      </w:r>
      <w:r w:rsidRPr="009E0FFD">
        <w:t xml:space="preserve"> were identified by the sponsor, and hence the decision was taken to exclude efficacy and health outcome data from this investigator from all efficacy and health outcomes summaries and analyses. This population comprised of all subjects randomised to treatment who received at least one dose of randomised study drug in the treatment period, except for those from Investigator </w:t>
      </w:r>
      <w:r>
        <w:t>X</w:t>
      </w:r>
      <w:r w:rsidRPr="000E5E29">
        <w:rPr>
          <w:vertAlign w:val="superscript"/>
        </w:rPr>
        <w:footnoteReference w:id="38"/>
      </w:r>
      <w:r w:rsidRPr="009E0FFD">
        <w:t>. In study DB2113360, this was used as the primary analysis population for all efficacy and health outcomes data analyses.</w:t>
      </w:r>
    </w:p>
    <w:p w:rsidR="00B13321" w:rsidRPr="009E0FFD" w:rsidRDefault="00B13321" w:rsidP="006F4D43">
      <w:r>
        <w:rPr>
          <w:b/>
        </w:rPr>
        <w:t xml:space="preserve">Evaluator’s comments: </w:t>
      </w:r>
      <w:r w:rsidRPr="009E0FFD">
        <w:t>The definitions of the analysis populations are in keeping with the TGA-adopted ICH E 9 Statistical Principles for Clinical Studies. Although the ITT population excluded subject who</w:t>
      </w:r>
      <w:r>
        <w:t xml:space="preserve"> took no study drug, the </w:t>
      </w:r>
      <w:r w:rsidRPr="003B0EBF">
        <w:t>intent-to-treat</w:t>
      </w:r>
      <w:r w:rsidRPr="009E0FFD">
        <w:t xml:space="preserve"> principle would be preserved as </w:t>
      </w:r>
      <w:r w:rsidRPr="009E0FFD">
        <w:lastRenderedPageBreak/>
        <w:t xml:space="preserve">the study was </w:t>
      </w:r>
      <w:r>
        <w:t>double-blind</w:t>
      </w:r>
      <w:r w:rsidRPr="009E0FFD">
        <w:t xml:space="preserve">, and the initial decision by subjects of whether or not to begin treatment would not be influenced by knowledge of the assigned treatment, and hence the exclusion of these subjects is not deemed to have introduced any potential bias. In study DB2113360, the decision to exclude the data from Investigator </w:t>
      </w:r>
      <w:r>
        <w:t>X</w:t>
      </w:r>
      <w:r w:rsidRPr="009E0FFD">
        <w:t xml:space="preserve"> for the efficacy analyses occurred before </w:t>
      </w:r>
      <w:proofErr w:type="spellStart"/>
      <w:r w:rsidRPr="009E0FFD">
        <w:t>unblinding</w:t>
      </w:r>
      <w:proofErr w:type="spellEnd"/>
      <w:r w:rsidRPr="009E0FFD">
        <w:t>, and is not likely to introduce any potential bias to the efficacy results.</w:t>
      </w:r>
    </w:p>
    <w:p w:rsidR="00B13321" w:rsidRPr="009E0FFD" w:rsidDel="0081373E" w:rsidRDefault="00B13321" w:rsidP="00B80494">
      <w:pPr>
        <w:pStyle w:val="Heading5"/>
      </w:pPr>
      <w:r w:rsidRPr="009E0FFD" w:rsidDel="0081373E">
        <w:t>Sample size</w:t>
      </w:r>
    </w:p>
    <w:p w:rsidR="00B13321" w:rsidRPr="009E0FFD" w:rsidRDefault="00B13321" w:rsidP="00B80494">
      <w:r w:rsidRPr="009E0FFD">
        <w:t>The sample size estimation aimed to provide sufficient power for the comparison of the primary endpoint, and also for the comparisons of TDI score for UMEC/VI and TIO in the meta-analysis of data from studies DB2113360 and DB2113374. The samp</w:t>
      </w:r>
      <w:r>
        <w:t>le size calculations used a two-</w:t>
      </w:r>
      <w:r w:rsidRPr="009E0FFD">
        <w:t>sided 5% significance level and an estimate of residual standard deviations (</w:t>
      </w:r>
      <w:r>
        <w:t xml:space="preserve">SD) for trough FEV1 of 210 </w:t>
      </w:r>
      <w:proofErr w:type="spellStart"/>
      <w:r w:rsidRPr="003F0286">
        <w:t>mL</w:t>
      </w:r>
      <w:r>
        <w:t>.</w:t>
      </w:r>
      <w:proofErr w:type="spellEnd"/>
      <w:r>
        <w:t xml:space="preserve"> </w:t>
      </w:r>
      <w:r w:rsidRPr="009E0FFD">
        <w:t>The estimate of SD for trough FEV1 was based on MMRM analyses of previous studies in COPD subjects with UMEC, VI, and the FP/</w:t>
      </w:r>
      <w:proofErr w:type="spellStart"/>
      <w:r w:rsidRPr="009E0FFD">
        <w:t>salmeterol</w:t>
      </w:r>
      <w:proofErr w:type="spellEnd"/>
      <w:r w:rsidRPr="009E0FFD">
        <w:t xml:space="preserve"> combination. It was estimated that a study with 94 evaluable subjects in each arm would have 90% power to detect a 100 mL difference</w:t>
      </w:r>
      <w:r w:rsidRPr="003F0286">
        <w:rPr>
          <w:vertAlign w:val="superscript"/>
        </w:rPr>
        <w:t xml:space="preserve"> </w:t>
      </w:r>
      <w:r w:rsidRPr="009E0FFD">
        <w:t>between treatments in trough FEV1.</w:t>
      </w:r>
    </w:p>
    <w:p w:rsidR="00B13321" w:rsidRPr="009E0FFD" w:rsidRDefault="00B13321" w:rsidP="00B80494">
      <w:r>
        <w:t>For the meta-</w:t>
      </w:r>
      <w:r w:rsidRPr="009E0FFD">
        <w:t>analysis of TDI, the samp</w:t>
      </w:r>
      <w:r>
        <w:t>le size calculations used a two-</w:t>
      </w:r>
      <w:r w:rsidRPr="009E0FFD">
        <w:t>sided 5% significance level and an estimate of residual SD for TDI of 3.24 units. The estimate of SD for TDI was based on MMRM analyses of a previous study in COPD subjects with the FP/</w:t>
      </w:r>
      <w:proofErr w:type="spellStart"/>
      <w:r w:rsidRPr="009E0FFD">
        <w:t>salmeterol</w:t>
      </w:r>
      <w:proofErr w:type="spellEnd"/>
      <w:r w:rsidRPr="009E0FFD">
        <w:t xml:space="preserve"> combination. It was estimated that a study with 221 evaluable subjects in each combined arm wou</w:t>
      </w:r>
      <w:r>
        <w:t>ld have 90% power to detect a 1-</w:t>
      </w:r>
      <w:r w:rsidRPr="009E0FFD">
        <w:t xml:space="preserve">unit difference between treatments in </w:t>
      </w:r>
      <w:proofErr w:type="spellStart"/>
      <w:r w:rsidRPr="009E0FFD">
        <w:t>TDI</w:t>
      </w:r>
      <w:r w:rsidR="00384617">
        <w:t>.</w:t>
      </w:r>
      <w:r w:rsidRPr="009E0FFD">
        <w:t>In</w:t>
      </w:r>
      <w:proofErr w:type="spellEnd"/>
      <w:r w:rsidRPr="009E0FFD">
        <w:t xml:space="preserve"> order to achieve this, a sample size of 111 evaluable subjects per arm per study were required.</w:t>
      </w:r>
    </w:p>
    <w:p w:rsidR="00B13321" w:rsidRPr="009E0FFD" w:rsidRDefault="00B13321" w:rsidP="00B80494">
      <w:r w:rsidRPr="009E0FFD">
        <w:t>The sponsor had stated that the planned number of evaluable subjects in each arm was increased to 146, in order to meet ICH guidelines on exposure to new medicinal products (E1A)</w:t>
      </w:r>
      <w:r w:rsidRPr="003F0286">
        <w:rPr>
          <w:vertAlign w:val="superscript"/>
        </w:rPr>
        <w:footnoteReference w:id="39"/>
      </w:r>
      <w:r w:rsidRPr="009E0FFD">
        <w:t>. A study with 146 evaluable subjects per treatment arm would provide 98% power to detect a 100 mL difference in trough FEV1 between treatment groups and 96% power to detect a difference of 1 unit in TDI in the meta-analys</w:t>
      </w:r>
      <w:r>
        <w:t>is using the assumptions above.</w:t>
      </w:r>
    </w:p>
    <w:p w:rsidR="00B13321" w:rsidRPr="009E0FFD" w:rsidRDefault="00B13321" w:rsidP="00B80494">
      <w:r w:rsidRPr="009E0FFD">
        <w:t>In addition, it was estimated that approximately 30% of subjects would withdraw without providing a Week 24 assessment. To account for this 30% withdrawal rate, 208 subjects were needed to be ra</w:t>
      </w:r>
      <w:r>
        <w:t>ndomised to each treatment arm.</w:t>
      </w:r>
    </w:p>
    <w:p w:rsidR="00B13321" w:rsidRPr="003B0EBF" w:rsidRDefault="00B13321" w:rsidP="006F4D43">
      <w:r>
        <w:rPr>
          <w:b/>
        </w:rPr>
        <w:t xml:space="preserve">Evaluator’s comments: </w:t>
      </w:r>
      <w:r w:rsidRPr="009E0FFD">
        <w:t>The sponsor had stated that the planned number of evaluable subjects in each arm was increased from the calculated 111 to 146 subjects, in order to meet ICH E1A guidelines on exposure to new medicinal products. This referenced guidance document was looked through, but it remains unclear to the evaluator how the exact number of 146 subjects per treatment arm was derived. The arrival at this number was not further elaborated in the CSR, protocols or statistical plans</w:t>
      </w:r>
      <w:r w:rsidRPr="003B0EBF">
        <w:t>. This will be raised as a clinical question to the sponsor in Section 11.</w:t>
      </w:r>
    </w:p>
    <w:p w:rsidR="00B13321" w:rsidRPr="00296478" w:rsidRDefault="00B13321" w:rsidP="00B80494">
      <w:pPr>
        <w:pStyle w:val="Heading5"/>
      </w:pPr>
      <w:r w:rsidRPr="00296478">
        <w:t>Statistical methods</w:t>
      </w:r>
    </w:p>
    <w:p w:rsidR="00B13321" w:rsidRPr="00296478" w:rsidRDefault="00B13321" w:rsidP="00B80494">
      <w:r w:rsidRPr="00296478">
        <w:t xml:space="preserve">The primary endpoint of trough FEV1 on Day 169 was analysed for the ITT population in study DB2113374, and in the ITT population (excluding Investigator </w:t>
      </w:r>
      <w:r>
        <w:t>X</w:t>
      </w:r>
      <w:r w:rsidRPr="00296478">
        <w:t xml:space="preserve">) in study DB2113360, using a MMRM analysis, including covariates of baseline FEV1, smoking status, day, centre group, treatment, day by baseline interaction, and day by treatment interaction, where day was nominal. The model used all available </w:t>
      </w:r>
      <w:proofErr w:type="spellStart"/>
      <w:r w:rsidRPr="00296478">
        <w:t>trough</w:t>
      </w:r>
      <w:proofErr w:type="spellEnd"/>
      <w:r w:rsidRPr="00296478">
        <w:t xml:space="preserve"> FEV1 values recorded on Days 2,</w:t>
      </w:r>
      <w:r>
        <w:t xml:space="preserve"> 28, 56, 84, 112, 168, and 169.</w:t>
      </w:r>
    </w:p>
    <w:p w:rsidR="00B13321" w:rsidRPr="00296478" w:rsidRDefault="00B13321" w:rsidP="00B80494">
      <w:r w:rsidRPr="00296478">
        <w:t xml:space="preserve">Missing data were not directly imputed in this primary analysis, but all non-missing data for a subject were used within the analysis to estimate the treatment effect for trough FEV1 on Day 169. Additional sensitivity analyses were conducted for the primary endpoint using different </w:t>
      </w:r>
      <w:r w:rsidRPr="00296478">
        <w:lastRenderedPageBreak/>
        <w:t xml:space="preserve">imputation methods: missing at random multiple, copy differences from control, Last Mean Carried Forward (LMCF) assuming decline of 0 mL/year, and LMCF </w:t>
      </w:r>
      <w:r>
        <w:t>assuming decline of 25 mL/year.</w:t>
      </w:r>
    </w:p>
    <w:p w:rsidR="00B13321" w:rsidRPr="00296478" w:rsidRDefault="00B13321" w:rsidP="00B80494">
      <w:r w:rsidRPr="00296478">
        <w:t xml:space="preserve">Treatment comparisons performed on the primary and secondary endpoints were UMEC/VI 125/25 </w:t>
      </w:r>
      <w:r>
        <w:t>µg</w:t>
      </w:r>
      <w:r w:rsidRPr="00296478">
        <w:t xml:space="preserve"> </w:t>
      </w:r>
      <w:r>
        <w:t>vs.</w:t>
      </w:r>
      <w:r w:rsidRPr="00296478">
        <w:t xml:space="preserve"> TIO, UMEC/VI 125/25 </w:t>
      </w:r>
      <w:r>
        <w:t>µg</w:t>
      </w:r>
      <w:r w:rsidRPr="00296478">
        <w:t xml:space="preserve"> </w:t>
      </w:r>
      <w:r>
        <w:t>vs.</w:t>
      </w:r>
      <w:r w:rsidRPr="00296478">
        <w:t xml:space="preserve"> VI 25 </w:t>
      </w:r>
      <w:r>
        <w:t>µg</w:t>
      </w:r>
      <w:r w:rsidRPr="00296478">
        <w:t xml:space="preserve">, UMEC/VI 62.5/25 </w:t>
      </w:r>
      <w:r>
        <w:t>µg</w:t>
      </w:r>
      <w:r w:rsidRPr="00296478">
        <w:t xml:space="preserve"> </w:t>
      </w:r>
      <w:r>
        <w:t>vs.</w:t>
      </w:r>
      <w:r w:rsidRPr="00296478">
        <w:t xml:space="preserve"> TIO, and UMEC/VI 62.5/25 </w:t>
      </w:r>
      <w:r>
        <w:t>µg</w:t>
      </w:r>
      <w:r w:rsidRPr="00296478">
        <w:t xml:space="preserve"> </w:t>
      </w:r>
      <w:r>
        <w:t>vs.</w:t>
      </w:r>
      <w:r w:rsidRPr="00296478">
        <w:t xml:space="preserve"> VI 25 </w:t>
      </w:r>
      <w:r>
        <w:t>µg</w:t>
      </w:r>
      <w:r w:rsidRPr="00296478">
        <w:t xml:space="preserve"> in study DB2113360, and UMEC/VI 125/25 </w:t>
      </w:r>
      <w:r>
        <w:t>µg</w:t>
      </w:r>
      <w:r w:rsidRPr="00296478">
        <w:t xml:space="preserve"> </w:t>
      </w:r>
      <w:r>
        <w:t>vs.</w:t>
      </w:r>
      <w:r w:rsidRPr="00296478">
        <w:t xml:space="preserve"> TIO, UMEC/VI 125/25 </w:t>
      </w:r>
      <w:r>
        <w:t>µg</w:t>
      </w:r>
      <w:r w:rsidRPr="00296478">
        <w:t xml:space="preserve"> </w:t>
      </w:r>
      <w:r>
        <w:t>vs.</w:t>
      </w:r>
      <w:r w:rsidRPr="00296478">
        <w:t xml:space="preserve"> UMEC 125 </w:t>
      </w:r>
      <w:r>
        <w:t>µg</w:t>
      </w:r>
      <w:r w:rsidRPr="00296478">
        <w:t xml:space="preserve">, UMEC/VI 62.5/25 </w:t>
      </w:r>
      <w:r>
        <w:t>µg</w:t>
      </w:r>
      <w:r w:rsidRPr="00296478">
        <w:t xml:space="preserve"> </w:t>
      </w:r>
      <w:r>
        <w:t>vs.</w:t>
      </w:r>
      <w:r w:rsidRPr="00296478">
        <w:t xml:space="preserve"> TIO, and UMEC/VI 62.5/25 </w:t>
      </w:r>
      <w:r>
        <w:t>µg</w:t>
      </w:r>
      <w:r w:rsidRPr="00296478">
        <w:t xml:space="preserve"> </w:t>
      </w:r>
      <w:r>
        <w:t>vs.</w:t>
      </w:r>
      <w:r w:rsidRPr="00296478">
        <w:t xml:space="preserve"> UMEC 125 </w:t>
      </w:r>
      <w:r>
        <w:t>µg</w:t>
      </w:r>
      <w:r w:rsidRPr="00296478">
        <w:t xml:space="preserve"> in study DB2113374. In order to account for multiplicity across treatment co</w:t>
      </w:r>
      <w:r>
        <w:t>mparisons and endpoints, a step-</w:t>
      </w:r>
      <w:r w:rsidRPr="00296478">
        <w:t xml:space="preserve">down closed testing procedure was applied, whereby inference for a test in the </w:t>
      </w:r>
      <w:r>
        <w:t>pre-</w:t>
      </w:r>
      <w:r w:rsidRPr="00296478">
        <w:t xml:space="preserve">defined hierarchy was dependent upon statistical significance having been achieved for previous tests in the hierarchy. In study DB2113360, the hierarchy consisted of the treatment comparisons for UMEC/VI 125/25 </w:t>
      </w:r>
      <w:r>
        <w:t>µg</w:t>
      </w:r>
      <w:r w:rsidRPr="00296478">
        <w:t xml:space="preserve"> </w:t>
      </w:r>
      <w:r>
        <w:t>vs.</w:t>
      </w:r>
      <w:r w:rsidRPr="00296478">
        <w:t xml:space="preserve"> TIO, then UMEC/VI 125/25 </w:t>
      </w:r>
      <w:r>
        <w:t>µg</w:t>
      </w:r>
      <w:r w:rsidRPr="00296478">
        <w:t xml:space="preserve"> </w:t>
      </w:r>
      <w:r>
        <w:t>vs.</w:t>
      </w:r>
      <w:r w:rsidRPr="00296478">
        <w:t xml:space="preserve"> VI 25 </w:t>
      </w:r>
      <w:r>
        <w:t>µg</w:t>
      </w:r>
      <w:r w:rsidRPr="00296478">
        <w:t xml:space="preserve">, performed in this order for the primary (trough FEV1 on Day 169) and then secondary (weighted mean FEV1 over 0 to 6 hours </w:t>
      </w:r>
      <w:proofErr w:type="spellStart"/>
      <w:r w:rsidRPr="00296478">
        <w:t>at</w:t>
      </w:r>
      <w:proofErr w:type="spellEnd"/>
      <w:r w:rsidRPr="00296478">
        <w:t xml:space="preserve"> Week 24) efficacy endpoints, followed by comparisons on the same endpoints in the same order for UMEC/VI 62.5/2 </w:t>
      </w:r>
      <w:r>
        <w:t>µg</w:t>
      </w:r>
      <w:r w:rsidRPr="00296478">
        <w:t xml:space="preserve"> </w:t>
      </w:r>
      <w:r>
        <w:t>vs.</w:t>
      </w:r>
      <w:r w:rsidRPr="00296478">
        <w:t xml:space="preserve"> TIO, then UMEC/VI 62.5/25 </w:t>
      </w:r>
      <w:r>
        <w:t>µg</w:t>
      </w:r>
      <w:r w:rsidRPr="00296478">
        <w:t xml:space="preserve"> </w:t>
      </w:r>
      <w:r>
        <w:t>vs.</w:t>
      </w:r>
      <w:r w:rsidRPr="00296478">
        <w:t xml:space="preserve"> VI 25 </w:t>
      </w:r>
      <w:r>
        <w:t>µg</w:t>
      </w:r>
      <w:r w:rsidRPr="00296478">
        <w:t xml:space="preserve">. In study DB2113374, the hierarchy consisted of the treatment comparisons for UMEC/VI 125/25 </w:t>
      </w:r>
      <w:r>
        <w:t>µg</w:t>
      </w:r>
      <w:r w:rsidRPr="00296478">
        <w:t xml:space="preserve"> </w:t>
      </w:r>
      <w:r>
        <w:t>vs.</w:t>
      </w:r>
      <w:r w:rsidRPr="00296478">
        <w:t xml:space="preserve"> TIO, then UMEC/VI 125/25 </w:t>
      </w:r>
      <w:r>
        <w:t>µg</w:t>
      </w:r>
      <w:r w:rsidRPr="00296478">
        <w:t xml:space="preserve"> </w:t>
      </w:r>
      <w:r>
        <w:t>vs.</w:t>
      </w:r>
      <w:r w:rsidRPr="00296478">
        <w:t xml:space="preserve"> UMEC 125 </w:t>
      </w:r>
      <w:r>
        <w:t>µg</w:t>
      </w:r>
      <w:r w:rsidRPr="00296478">
        <w:t xml:space="preserve">, performed in this order for the primary and then secondary efficacy endpoints, followed by comparisons on the same endpoints in the same order for UMEC/VI 62.5/2 </w:t>
      </w:r>
      <w:r>
        <w:t>µg</w:t>
      </w:r>
      <w:r w:rsidRPr="00296478">
        <w:t xml:space="preserve"> </w:t>
      </w:r>
      <w:r>
        <w:t>vs.</w:t>
      </w:r>
      <w:r w:rsidRPr="00296478">
        <w:t xml:space="preserve"> TIO, then UMEC/VI 62.5/25 </w:t>
      </w:r>
      <w:r>
        <w:t>µg</w:t>
      </w:r>
      <w:r w:rsidRPr="00296478">
        <w:t xml:space="preserve"> </w:t>
      </w:r>
      <w:r>
        <w:t>vs.</w:t>
      </w:r>
      <w:r w:rsidRPr="00296478">
        <w:t xml:space="preserve"> UMEC 125 </w:t>
      </w:r>
      <w:r>
        <w:t>µg</w:t>
      </w:r>
      <w:r w:rsidRPr="00296478">
        <w:t>.</w:t>
      </w:r>
    </w:p>
    <w:p w:rsidR="00B13321" w:rsidRPr="00296478" w:rsidRDefault="00B13321" w:rsidP="00B80494">
      <w:r w:rsidRPr="00296478">
        <w:t xml:space="preserve">In the meta-analysis, the primary comparisons of interest were between each dose of UMEC/VI and TIO on the TDI focal score at Day 168. For each UMEC/VI dose, statistical inference could be drawn only if the comparison of that dose with TIO on the individual study primary endpoint of trough FEV1 on Day 169 was statistically significant in each individual study, as determined by the specific testing hierarchy within each study. Other comparisons of interest for the TDI focal score at Day 168 in the meta-analysis were UMEC/VI 125/25 </w:t>
      </w:r>
      <w:r>
        <w:t>µg</w:t>
      </w:r>
      <w:r w:rsidRPr="00296478">
        <w:t xml:space="preserve"> </w:t>
      </w:r>
      <w:r>
        <w:t>vs.</w:t>
      </w:r>
      <w:r w:rsidRPr="00296478">
        <w:t xml:space="preserve"> VI 25 </w:t>
      </w:r>
      <w:r>
        <w:t>µg</w:t>
      </w:r>
      <w:r w:rsidRPr="00296478">
        <w:t xml:space="preserve">, UMEC/VI 125/25 </w:t>
      </w:r>
      <w:r>
        <w:t>µg</w:t>
      </w:r>
      <w:r w:rsidRPr="00296478">
        <w:t xml:space="preserve"> </w:t>
      </w:r>
      <w:r>
        <w:t>vs.</w:t>
      </w:r>
      <w:r w:rsidRPr="00296478">
        <w:t xml:space="preserve"> UMEC 125 </w:t>
      </w:r>
      <w:r>
        <w:t>µg</w:t>
      </w:r>
      <w:r w:rsidRPr="00296478">
        <w:t xml:space="preserve">, UMEC/VI 62.5/25 </w:t>
      </w:r>
      <w:r>
        <w:t>µg</w:t>
      </w:r>
      <w:r w:rsidRPr="00296478">
        <w:t xml:space="preserve"> </w:t>
      </w:r>
      <w:r>
        <w:t>vs.</w:t>
      </w:r>
      <w:r w:rsidRPr="00296478">
        <w:t xml:space="preserve"> VI 25 </w:t>
      </w:r>
      <w:r>
        <w:t>µg</w:t>
      </w:r>
      <w:r w:rsidRPr="00296478">
        <w:t xml:space="preserve">, and UMEC/VI 62.5/25 </w:t>
      </w:r>
      <w:r>
        <w:t>µg</w:t>
      </w:r>
      <w:r w:rsidRPr="00296478">
        <w:t xml:space="preserve"> </w:t>
      </w:r>
      <w:r>
        <w:t>vs.</w:t>
      </w:r>
      <w:r w:rsidRPr="00296478">
        <w:t xml:space="preserve"> UMEC 125 </w:t>
      </w:r>
      <w:r>
        <w:t>µg</w:t>
      </w:r>
      <w:r w:rsidRPr="00296478">
        <w:t>. The primary and other comparisons were also to be performed on the other endpoints (TDI focal score at Days 28 and 84; proportion of responders according to TDI at Days 28, 84 and 168). No adjustment for multiplicity was to be made for these comparisons.</w:t>
      </w:r>
    </w:p>
    <w:p w:rsidR="00B13321" w:rsidRPr="00296478" w:rsidRDefault="00B13321" w:rsidP="00B80494">
      <w:pPr>
        <w:pStyle w:val="Heading5"/>
      </w:pPr>
      <w:r w:rsidRPr="00585469">
        <w:t>Participant</w:t>
      </w:r>
      <w:r w:rsidRPr="00296478">
        <w:t xml:space="preserve"> flow</w:t>
      </w:r>
    </w:p>
    <w:p w:rsidR="00B13321" w:rsidRPr="00296478" w:rsidRDefault="00B13321" w:rsidP="00B80494">
      <w:r w:rsidRPr="00296478">
        <w:t xml:space="preserve">In study DB2113360, out of a total of 1141 subjects screened, 846 subjects were randomised: 209, 212, 214, and 208 in the VI 25 </w:t>
      </w:r>
      <w:r>
        <w:t>µg</w:t>
      </w:r>
      <w:r w:rsidRPr="00296478">
        <w:t xml:space="preserve">, UMEC/VI 62.5/25 </w:t>
      </w:r>
      <w:r>
        <w:t>µg</w:t>
      </w:r>
      <w:r w:rsidRPr="00296478">
        <w:t xml:space="preserve">, UMEC/VI 125/25 </w:t>
      </w:r>
      <w:r>
        <w:t>µg</w:t>
      </w:r>
      <w:r w:rsidRPr="00296478">
        <w:t xml:space="preserve"> and TIO 18 </w:t>
      </w:r>
      <w:r>
        <w:t>µg</w:t>
      </w:r>
      <w:r w:rsidRPr="00296478">
        <w:t xml:space="preserve"> groups, respectively (see Figure </w:t>
      </w:r>
      <w:r w:rsidR="00CF0081">
        <w:t>18</w:t>
      </w:r>
      <w:r w:rsidRPr="00296478">
        <w:t>, below).</w:t>
      </w:r>
    </w:p>
    <w:p w:rsidR="00B13321" w:rsidRDefault="00CF0081" w:rsidP="00DC532E">
      <w:pPr>
        <w:pStyle w:val="FigureTitle"/>
        <w:rPr>
          <w:lang w:eastAsia="ja-JP"/>
        </w:rPr>
      </w:pPr>
      <w:proofErr w:type="gramStart"/>
      <w:r>
        <w:rPr>
          <w:lang w:eastAsia="ja-JP"/>
        </w:rPr>
        <w:lastRenderedPageBreak/>
        <w:t>Figure 18</w:t>
      </w:r>
      <w:r w:rsidR="00B13321">
        <w:rPr>
          <w:lang w:eastAsia="ja-JP"/>
        </w:rPr>
        <w:t>.</w:t>
      </w:r>
      <w:proofErr w:type="gramEnd"/>
      <w:r w:rsidR="00B13321">
        <w:rPr>
          <w:lang w:eastAsia="ja-JP"/>
        </w:rPr>
        <w:t xml:space="preserve"> Study DB2113360 Flow chart of participant flow.</w:t>
      </w:r>
    </w:p>
    <w:p w:rsidR="00B13321" w:rsidRDefault="00B13321" w:rsidP="00DC532E">
      <w:pPr>
        <w:rPr>
          <w:lang w:eastAsia="ja-JP"/>
        </w:rPr>
      </w:pPr>
      <w:r>
        <w:rPr>
          <w:noProof/>
          <w:lang w:eastAsia="en-AU"/>
        </w:rPr>
        <w:drawing>
          <wp:inline distT="0" distB="0" distL="0" distR="0" wp14:anchorId="752929EE" wp14:editId="473A7570">
            <wp:extent cx="5321301" cy="3175156"/>
            <wp:effectExtent l="0" t="0" r="0" b="0"/>
            <wp:docPr id="10" name="Picture 10" descr="Figure 18. Study DB2113360 Flow chart of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19703" cy="3174202"/>
                    </a:xfrm>
                    <a:prstGeom prst="rect">
                      <a:avLst/>
                    </a:prstGeom>
                  </pic:spPr>
                </pic:pic>
              </a:graphicData>
            </a:graphic>
          </wp:inline>
        </w:drawing>
      </w:r>
    </w:p>
    <w:p w:rsidR="00B13321" w:rsidRPr="00296478" w:rsidRDefault="00B13321" w:rsidP="00B80494">
      <w:r w:rsidRPr="00296478">
        <w:t xml:space="preserve">In study DB2113374, out of a total of 1191 subjects screened, 872 subjects were randomised: 222, 217, 215 and 215 in the UMEC 125 </w:t>
      </w:r>
      <w:r>
        <w:t>µg</w:t>
      </w:r>
      <w:r w:rsidRPr="00296478">
        <w:t xml:space="preserve">, UMEC/VI 62.5/25 </w:t>
      </w:r>
      <w:r>
        <w:t>µg</w:t>
      </w:r>
      <w:r w:rsidRPr="00296478">
        <w:t xml:space="preserve">, UMEC/VI 125/25 </w:t>
      </w:r>
      <w:r>
        <w:t>µg</w:t>
      </w:r>
      <w:r w:rsidRPr="00296478">
        <w:t xml:space="preserve"> and TIO 18 </w:t>
      </w:r>
      <w:r>
        <w:t>µg</w:t>
      </w:r>
      <w:r w:rsidRPr="00296478">
        <w:t xml:space="preserve"> groups, respectively (see Figure </w:t>
      </w:r>
      <w:r w:rsidR="00CF0081">
        <w:t>19</w:t>
      </w:r>
      <w:r w:rsidRPr="00296478">
        <w:t>, below).</w:t>
      </w:r>
    </w:p>
    <w:p w:rsidR="00B13321" w:rsidRDefault="00CF0081" w:rsidP="00DC532E">
      <w:pPr>
        <w:pStyle w:val="FigureTitle"/>
        <w:rPr>
          <w:lang w:eastAsia="ja-JP"/>
        </w:rPr>
      </w:pPr>
      <w:proofErr w:type="gramStart"/>
      <w:r>
        <w:rPr>
          <w:lang w:eastAsia="ja-JP"/>
        </w:rPr>
        <w:t>Figure 19</w:t>
      </w:r>
      <w:r w:rsidR="00B13321">
        <w:rPr>
          <w:lang w:eastAsia="ja-JP"/>
        </w:rPr>
        <w:t>.</w:t>
      </w:r>
      <w:proofErr w:type="gramEnd"/>
      <w:r w:rsidR="00B13321">
        <w:rPr>
          <w:lang w:eastAsia="ja-JP"/>
        </w:rPr>
        <w:t xml:space="preserve"> Study DB2113374. </w:t>
      </w:r>
      <w:proofErr w:type="gramStart"/>
      <w:r w:rsidR="00B13321">
        <w:rPr>
          <w:lang w:eastAsia="ja-JP"/>
        </w:rPr>
        <w:t>Flow chart of participant flow.</w:t>
      </w:r>
      <w:proofErr w:type="gramEnd"/>
    </w:p>
    <w:p w:rsidR="00B13321" w:rsidRDefault="00B13321" w:rsidP="00DC532E">
      <w:pPr>
        <w:rPr>
          <w:lang w:eastAsia="ja-JP"/>
        </w:rPr>
      </w:pPr>
      <w:r>
        <w:rPr>
          <w:noProof/>
          <w:lang w:eastAsia="en-AU"/>
        </w:rPr>
        <w:drawing>
          <wp:inline distT="0" distB="0" distL="0" distR="0" wp14:anchorId="03A91174" wp14:editId="080F2F70">
            <wp:extent cx="5037615" cy="3256688"/>
            <wp:effectExtent l="0" t="0" r="0" b="0"/>
            <wp:docPr id="89" name="Picture 89" descr="Figure 19. Study DB2113374. Flow chart of participa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041418" cy="3259146"/>
                    </a:xfrm>
                    <a:prstGeom prst="rect">
                      <a:avLst/>
                    </a:prstGeom>
                  </pic:spPr>
                </pic:pic>
              </a:graphicData>
            </a:graphic>
          </wp:inline>
        </w:drawing>
      </w:r>
    </w:p>
    <w:p w:rsidR="00B13321" w:rsidRPr="00296478" w:rsidRDefault="00B13321" w:rsidP="00B80494">
      <w:pPr>
        <w:pStyle w:val="Heading5"/>
      </w:pPr>
      <w:r w:rsidRPr="00296478">
        <w:t>Major protocol violations/deviations</w:t>
      </w:r>
    </w:p>
    <w:p w:rsidR="00B13321" w:rsidRPr="00296478" w:rsidRDefault="00B13321" w:rsidP="00B80494">
      <w:r w:rsidRPr="00296478">
        <w:t xml:space="preserve">In study DB2113360, in the ITT (excluding Investigator </w:t>
      </w:r>
      <w:r>
        <w:t>X</w:t>
      </w:r>
      <w:r w:rsidRPr="00296478">
        <w:t xml:space="preserve">) Population, a total of 93 (11%) subjects had at least 1 full protocol deviation (11% </w:t>
      </w:r>
      <w:r>
        <w:t>(</w:t>
      </w:r>
      <w:r w:rsidRPr="00296478">
        <w:t>23/205</w:t>
      </w:r>
      <w:r>
        <w:t>)</w:t>
      </w:r>
      <w:r w:rsidRPr="00296478">
        <w:t>, 14%</w:t>
      </w:r>
      <w:r>
        <w:t xml:space="preserve"> (28/207), 11% (23/208) and 9% (19/203)</w:t>
      </w:r>
      <w:r w:rsidRPr="00296478">
        <w:t xml:space="preserve"> in the VI 25 </w:t>
      </w:r>
      <w:r>
        <w:t>µg</w:t>
      </w:r>
      <w:r w:rsidRPr="00296478">
        <w:t xml:space="preserve">, UMEC/VI 62.5/25 </w:t>
      </w:r>
      <w:r>
        <w:t>µg</w:t>
      </w:r>
      <w:r w:rsidRPr="00296478">
        <w:t xml:space="preserve">, UMEC/VI 125/25 </w:t>
      </w:r>
      <w:r>
        <w:t>µg</w:t>
      </w:r>
      <w:r w:rsidRPr="00296478">
        <w:t xml:space="preserve"> and TIO 18 </w:t>
      </w:r>
      <w:r>
        <w:t>µg</w:t>
      </w:r>
      <w:r w:rsidRPr="00296478">
        <w:t xml:space="preserve"> groups, respectively).The overall most commonly reported full protocol deviation was " use of </w:t>
      </w:r>
      <w:r w:rsidRPr="00296478">
        <w:lastRenderedPageBreak/>
        <w:t xml:space="preserve">prohibited medication(s)" (6% </w:t>
      </w:r>
      <w:r>
        <w:t>(</w:t>
      </w:r>
      <w:r w:rsidRPr="00296478">
        <w:t>13/205</w:t>
      </w:r>
      <w:r>
        <w:t>)</w:t>
      </w:r>
      <w:r w:rsidRPr="00296478">
        <w:t xml:space="preserve">, 5% </w:t>
      </w:r>
      <w:r>
        <w:t>(</w:t>
      </w:r>
      <w:r w:rsidRPr="00296478">
        <w:t>10/207</w:t>
      </w:r>
      <w:r>
        <w:t>)</w:t>
      </w:r>
      <w:r w:rsidRPr="00296478">
        <w:t xml:space="preserve">, 5% </w:t>
      </w:r>
      <w:r>
        <w:t>(</w:t>
      </w:r>
      <w:r w:rsidRPr="00296478">
        <w:t>11/208</w:t>
      </w:r>
      <w:r>
        <w:t>)</w:t>
      </w:r>
      <w:r w:rsidRPr="00296478">
        <w:t xml:space="preserve"> and 4% </w:t>
      </w:r>
      <w:r>
        <w:t>(</w:t>
      </w:r>
      <w:r w:rsidRPr="00296478">
        <w:t>9/203</w:t>
      </w:r>
      <w:r>
        <w:t>)</w:t>
      </w:r>
      <w:r w:rsidRPr="00296478">
        <w:t>, respectively).</w:t>
      </w:r>
    </w:p>
    <w:p w:rsidR="00B13321" w:rsidRPr="00296478" w:rsidRDefault="00B13321" w:rsidP="00B80494">
      <w:r w:rsidRPr="00296478">
        <w:t xml:space="preserve">In study DB2113374, in the ITT population, a total of 111 (13%) subjects had at least 1 full protocol deviation (13% </w:t>
      </w:r>
      <w:r>
        <w:t>(</w:t>
      </w:r>
      <w:r w:rsidRPr="00296478">
        <w:t>29/222</w:t>
      </w:r>
      <w:r>
        <w:t>)</w:t>
      </w:r>
      <w:r w:rsidRPr="00296478">
        <w:t xml:space="preserve">, 14% </w:t>
      </w:r>
      <w:r>
        <w:t>(</w:t>
      </w:r>
      <w:r w:rsidRPr="00296478">
        <w:t>30/217</w:t>
      </w:r>
      <w:r>
        <w:t>)</w:t>
      </w:r>
      <w:r w:rsidRPr="00296478">
        <w:t xml:space="preserve">, 14% </w:t>
      </w:r>
      <w:r>
        <w:t>(</w:t>
      </w:r>
      <w:r w:rsidRPr="00296478">
        <w:t>31/215</w:t>
      </w:r>
      <w:r>
        <w:t>)</w:t>
      </w:r>
      <w:r w:rsidRPr="00296478">
        <w:t xml:space="preserve"> and 10% </w:t>
      </w:r>
      <w:r>
        <w:t>(</w:t>
      </w:r>
      <w:r w:rsidRPr="00296478">
        <w:t>21/215</w:t>
      </w:r>
      <w:r>
        <w:t>)</w:t>
      </w:r>
      <w:r w:rsidRPr="00296478">
        <w:t xml:space="preserve"> in the UMEC 125 </w:t>
      </w:r>
      <w:r>
        <w:t>µg</w:t>
      </w:r>
      <w:r w:rsidRPr="00296478">
        <w:t xml:space="preserve">, UMEC/VI 62.5/25 </w:t>
      </w:r>
      <w:r>
        <w:t>µg</w:t>
      </w:r>
      <w:r w:rsidRPr="00296478">
        <w:t xml:space="preserve">, UMEC/VI 125/25 </w:t>
      </w:r>
      <w:r>
        <w:t>µg</w:t>
      </w:r>
      <w:r w:rsidRPr="00296478">
        <w:t xml:space="preserve"> and TIO 18 </w:t>
      </w:r>
      <w:r>
        <w:t>µg</w:t>
      </w:r>
      <w:r w:rsidRPr="00296478">
        <w:t xml:space="preserve"> groups, respectively). The overall most commonly reported full protocol deviation was "use of prohibited medication(s)" (9% </w:t>
      </w:r>
      <w:r>
        <w:t>(</w:t>
      </w:r>
      <w:r w:rsidRPr="00296478">
        <w:t>21/222</w:t>
      </w:r>
      <w:r>
        <w:t>)</w:t>
      </w:r>
      <w:r w:rsidRPr="00296478">
        <w:t xml:space="preserve">, 8% </w:t>
      </w:r>
      <w:r>
        <w:t>(</w:t>
      </w:r>
      <w:r w:rsidRPr="00296478">
        <w:t>18/217</w:t>
      </w:r>
      <w:r>
        <w:t>)</w:t>
      </w:r>
      <w:r w:rsidRPr="00296478">
        <w:t xml:space="preserve">, 10% </w:t>
      </w:r>
      <w:r>
        <w:t>(</w:t>
      </w:r>
      <w:r w:rsidRPr="00296478">
        <w:t>21/215</w:t>
      </w:r>
      <w:r>
        <w:t>)</w:t>
      </w:r>
      <w:r w:rsidRPr="00296478">
        <w:t xml:space="preserve"> and 7% </w:t>
      </w:r>
      <w:r>
        <w:t>(</w:t>
      </w:r>
      <w:r w:rsidRPr="00296478">
        <w:t>14/215</w:t>
      </w:r>
      <w:r>
        <w:t>)</w:t>
      </w:r>
      <w:r w:rsidRPr="00296478">
        <w:t>, respectively)</w:t>
      </w:r>
      <w:r>
        <w:t>.</w:t>
      </w:r>
    </w:p>
    <w:p w:rsidR="00B13321" w:rsidRPr="00296478" w:rsidRDefault="00B13321" w:rsidP="00B80494">
      <w:r w:rsidRPr="00296478">
        <w:t xml:space="preserve">Subject compliance with </w:t>
      </w:r>
      <w:r>
        <w:t>double-blind</w:t>
      </w:r>
      <w:r w:rsidRPr="00296478">
        <w:t xml:space="preserve"> study drug was assessed at Visits 4 through 8. Compliance with the NDPI was determined by reviewing the dose counter on the NDPI. Compliance with the study </w:t>
      </w:r>
      <w:proofErr w:type="spellStart"/>
      <w:r w:rsidRPr="00296478">
        <w:t>HandiHaler</w:t>
      </w:r>
      <w:proofErr w:type="spellEnd"/>
      <w:r w:rsidRPr="00296478">
        <w:t xml:space="preserve"> was determined by counting the number of </w:t>
      </w:r>
      <w:r>
        <w:t>inhalation</w:t>
      </w:r>
      <w:r w:rsidRPr="00296478">
        <w:t xml:space="preserve"> capsules remaining. Treatment compliance was high and comparable across the treatment groups in both study DB2113360 (mean compliance of 97.8% to 104.5%</w:t>
      </w:r>
      <w:r w:rsidRPr="00A35F91">
        <w:rPr>
          <w:vertAlign w:val="superscript"/>
        </w:rPr>
        <w:footnoteReference w:id="40"/>
      </w:r>
      <w:r w:rsidRPr="00296478">
        <w:t xml:space="preserve"> across treatment groups) and study DB2113374 (mean compliance of 98.0% to 98.9% across treat</w:t>
      </w:r>
      <w:r>
        <w:t>ment groups).</w:t>
      </w:r>
    </w:p>
    <w:p w:rsidR="00B13321" w:rsidRPr="00296478" w:rsidRDefault="00B13321" w:rsidP="00B80494">
      <w:pPr>
        <w:pStyle w:val="Heading5"/>
      </w:pPr>
      <w:r w:rsidRPr="00296478">
        <w:t>Baseline data</w:t>
      </w:r>
    </w:p>
    <w:p w:rsidR="00B13321" w:rsidRPr="00296478" w:rsidRDefault="00B13321" w:rsidP="00B80494">
      <w:r w:rsidRPr="00296478">
        <w:t>In study DB2113360, the baseline demographic characteristics were comparable among treatment groups. The majority of subjects in ea</w:t>
      </w:r>
      <w:r>
        <w:t xml:space="preserve">ch treatment group were male </w:t>
      </w:r>
      <w:r w:rsidRPr="002B2878">
        <w:t>(67%</w:t>
      </w:r>
      <w:r w:rsidRPr="00296478">
        <w:t xml:space="preserve"> to 71%) and White (84% to 88%). The mean age was 62.6 to 63.2 years. Baseline mean BMI was similar among treatment groups (mean BMI of 26.51 to 27.56), as was the mean smoking history (mean of 41.6 to 44.8 pack years). The baseline disease characteristics were also comparable among treatment groups, as were concomitant </w:t>
      </w:r>
      <w:r>
        <w:t>pre-</w:t>
      </w:r>
      <w:r w:rsidRPr="00296478">
        <w:t>treatment a</w:t>
      </w:r>
      <w:r>
        <w:t>nd on-</w:t>
      </w:r>
      <w:r w:rsidRPr="00296478">
        <w:t>treatment COPD medications.</w:t>
      </w:r>
    </w:p>
    <w:p w:rsidR="00B13321" w:rsidRPr="00296478" w:rsidRDefault="00B13321" w:rsidP="00B80494">
      <w:r w:rsidRPr="00296478">
        <w:t>In Study DB2113374, the baseline demographic characteristics were comparable among treatment groups. The majority of subjects in each treatment group were male (67%</w:t>
      </w:r>
      <w:r>
        <w:rPr>
          <w:rStyle w:val="FootnoteReference"/>
        </w:rPr>
        <w:footnoteReference w:id="41"/>
      </w:r>
      <w:r w:rsidRPr="00296478">
        <w:t xml:space="preserve"> to 71%) and White (74% to 77%). The mean age was 63.8 to 65.2 years. Baseline mean BMI was similar among treatment groups (mean BMI of 26.43 to 26.72), as was the mean smoking history (mean of 46.9 to 54.0 pack years, respectively). The baseline disease characteristics were also comparable among treatment groups, as were c</w:t>
      </w:r>
      <w:r>
        <w:t>oncomitant pre-treatment and on-</w:t>
      </w:r>
      <w:r w:rsidRPr="00296478">
        <w:t>treatment COPD medications.</w:t>
      </w:r>
    </w:p>
    <w:p w:rsidR="00B13321" w:rsidRPr="00296478" w:rsidRDefault="00B13321" w:rsidP="008C017B">
      <w:r>
        <w:rPr>
          <w:b/>
        </w:rPr>
        <w:t xml:space="preserve">Evaluator’s comments: </w:t>
      </w:r>
      <w:r w:rsidRPr="00296478">
        <w:t xml:space="preserve">Overall, the baseline demographic and disease characteristics were comparable among treatment groups in each study. The study populations in these studies were reflective of the target patient population, with mean (SD) age of 62.9 (9.00) years and 64.6 (8.44) years in studies DB2113360 and DB2113374, respectively, mean (SD) smoking pack years of 43.0 (25.63) and 49.1 (27.76), respectively, and with 89% and 87% of the respective study populations in GOLD grades II and III of COPD (representing moderate and severe COPD, respectively). The baseline demographic and disease characteristics were also generally comparable between studies. Given this and that the study design of the 2 studies were identical except that UMEC 125 </w:t>
      </w:r>
      <w:r>
        <w:t>µg</w:t>
      </w:r>
      <w:r w:rsidRPr="00296478">
        <w:t xml:space="preserve"> was investigated in study DB2113374 instead of the VI 25 </w:t>
      </w:r>
      <w:r>
        <w:t>µg</w:t>
      </w:r>
      <w:r w:rsidRPr="00296478">
        <w:t xml:space="preserve"> in study DB2113360, meta-analysis using pooled data from the 2 studies is considered acceptable.</w:t>
      </w:r>
    </w:p>
    <w:p w:rsidR="00B13321" w:rsidRPr="00296478" w:rsidRDefault="00B13321" w:rsidP="00B80494">
      <w:pPr>
        <w:pStyle w:val="Heading5"/>
      </w:pPr>
      <w:r w:rsidRPr="00296478">
        <w:t>Results for the primary efficacy outcome</w:t>
      </w:r>
    </w:p>
    <w:p w:rsidR="00B13321" w:rsidRDefault="00B13321" w:rsidP="00B80494">
      <w:r w:rsidRPr="00296478">
        <w:t>The primary efficacy endpoint was the trough FEV1 at Day 169. In study DB2113360, there were</w:t>
      </w:r>
      <w:r>
        <w:t xml:space="preserve"> </w:t>
      </w:r>
      <w:r w:rsidRPr="00296478">
        <w:t xml:space="preserve">statistically significantly greater LSM changes from baseline in trough FEV1 at Day 169 for UMEC/VI 125/25 </w:t>
      </w:r>
      <w:r>
        <w:t>µg</w:t>
      </w:r>
      <w:r w:rsidRPr="00296478">
        <w:t xml:space="preserve"> compared with both TIO (difference of 88</w:t>
      </w:r>
      <w:r>
        <w:t xml:space="preserve"> </w:t>
      </w:r>
      <w:r w:rsidRPr="00296478">
        <w:t xml:space="preserve">mL over TIO, </w:t>
      </w:r>
      <w:r>
        <w:t>p &lt; 0.001</w:t>
      </w:r>
      <w:r w:rsidRPr="00296478">
        <w:t xml:space="preserve">), and VI 25 </w:t>
      </w:r>
      <w:r>
        <w:t>µg</w:t>
      </w:r>
      <w:r w:rsidRPr="00296478">
        <w:t xml:space="preserve"> (difference of 88</w:t>
      </w:r>
      <w:r>
        <w:t xml:space="preserve"> </w:t>
      </w:r>
      <w:r w:rsidRPr="00296478">
        <w:t xml:space="preserve">mL over VI 25 </w:t>
      </w:r>
      <w:r>
        <w:t>µg</w:t>
      </w:r>
      <w:r w:rsidRPr="00296478">
        <w:t xml:space="preserve">, </w:t>
      </w:r>
      <w:r>
        <w:t>p &lt; 0.001</w:t>
      </w:r>
      <w:r w:rsidRPr="002B2878">
        <w:t>) (</w:t>
      </w:r>
      <w:r w:rsidR="004502F9">
        <w:t>Table 11</w:t>
      </w:r>
      <w:r w:rsidRPr="002B2878">
        <w:t>). There</w:t>
      </w:r>
      <w:r>
        <w:t xml:space="preserve"> were also </w:t>
      </w:r>
      <w:r w:rsidRPr="00296478">
        <w:t xml:space="preserve">statistically significantly greater LSM changes from baseline in trough FEV1 at Day 169 for UMEC/VI 62.5/25 </w:t>
      </w:r>
      <w:r>
        <w:t>µg</w:t>
      </w:r>
      <w:r w:rsidRPr="00296478">
        <w:t xml:space="preserve"> compared with both TIO (difference of 90</w:t>
      </w:r>
      <w:r>
        <w:t xml:space="preserve"> </w:t>
      </w:r>
      <w:r w:rsidRPr="00296478">
        <w:t xml:space="preserve">mL over TIO, </w:t>
      </w:r>
      <w:r>
        <w:t>p &lt; 0.001</w:t>
      </w:r>
      <w:r w:rsidRPr="00296478">
        <w:t xml:space="preserve">) and VI 25 </w:t>
      </w:r>
      <w:r>
        <w:t>µg</w:t>
      </w:r>
      <w:r w:rsidRPr="00296478">
        <w:t xml:space="preserve"> (difference of 90</w:t>
      </w:r>
      <w:r>
        <w:t xml:space="preserve"> </w:t>
      </w:r>
      <w:r w:rsidRPr="00296478">
        <w:t xml:space="preserve">mL over VI 25 </w:t>
      </w:r>
      <w:r>
        <w:t>µg</w:t>
      </w:r>
      <w:r w:rsidRPr="00296478">
        <w:t xml:space="preserve">, </w:t>
      </w:r>
      <w:r>
        <w:t>p &lt; 0.001</w:t>
      </w:r>
      <w:r w:rsidRPr="00296478">
        <w:t>).</w:t>
      </w:r>
    </w:p>
    <w:p w:rsidR="00B13321" w:rsidRDefault="00B13321" w:rsidP="00DC532E">
      <w:pPr>
        <w:pStyle w:val="Tabletitle"/>
      </w:pPr>
      <w:proofErr w:type="gramStart"/>
      <w:r w:rsidRPr="00A35F91">
        <w:lastRenderedPageBreak/>
        <w:t xml:space="preserve">Table </w:t>
      </w:r>
      <w:r w:rsidR="004502F9">
        <w:t>11</w:t>
      </w:r>
      <w:r w:rsidRPr="00A35F91">
        <w:t>.</w:t>
      </w:r>
      <w:proofErr w:type="gramEnd"/>
      <w:r w:rsidRPr="00A35F91">
        <w:t xml:space="preserve"> Primary Efficacy Analysis: Trough FEV1 (L) at Day 169 (DB2113360 ITT Population </w:t>
      </w:r>
      <w:r w:rsidRPr="002B2878">
        <w:t>Excluding Investigator X).</w:t>
      </w:r>
    </w:p>
    <w:p w:rsidR="00B13321" w:rsidRPr="00A35F91" w:rsidRDefault="00B13321" w:rsidP="00DC532E">
      <w:r>
        <w:rPr>
          <w:noProof/>
          <w:lang w:eastAsia="en-AU"/>
        </w:rPr>
        <w:drawing>
          <wp:inline distT="0" distB="0" distL="0" distR="0" wp14:anchorId="1A9DA274" wp14:editId="2C6E03A0">
            <wp:extent cx="4972050" cy="3248025"/>
            <wp:effectExtent l="0" t="0" r="0" b="0"/>
            <wp:docPr id="40" name="Picture 40" descr="Table 11. Primary Efficacy Analysis: Trough FEV1 (L) at Day 169 (DB2113360 ITT Population Excluding Investigator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972050" cy="3248025"/>
                    </a:xfrm>
                    <a:prstGeom prst="rect">
                      <a:avLst/>
                    </a:prstGeom>
                  </pic:spPr>
                </pic:pic>
              </a:graphicData>
            </a:graphic>
          </wp:inline>
        </w:drawing>
      </w:r>
    </w:p>
    <w:p w:rsidR="00B13321" w:rsidRDefault="00B13321" w:rsidP="00B80494">
      <w:r w:rsidRPr="00296478">
        <w:t xml:space="preserve">In study DB2113374, there were also statistically significantly greater LSM changes from baseline in trough FEV1 at Day 169 for UMEC/VI 125/25 </w:t>
      </w:r>
      <w:r>
        <w:t>µg</w:t>
      </w:r>
      <w:r w:rsidRPr="00296478">
        <w:t xml:space="preserve"> compared with TIO (difference of 74</w:t>
      </w:r>
      <w:r>
        <w:t xml:space="preserve"> ml</w:t>
      </w:r>
      <w:r w:rsidRPr="00296478">
        <w:t xml:space="preserve"> over TIO, p</w:t>
      </w:r>
      <w:r>
        <w:t xml:space="preserve"> = </w:t>
      </w:r>
      <w:r w:rsidRPr="00296478">
        <w:t xml:space="preserve">0.003) (Table </w:t>
      </w:r>
      <w:r w:rsidR="004502F9">
        <w:t>12</w:t>
      </w:r>
      <w:r w:rsidRPr="00296478">
        <w:t xml:space="preserve">). However, the treatment difference for this endpoint between UMEC/VI 125/25 </w:t>
      </w:r>
      <w:r>
        <w:t>µg</w:t>
      </w:r>
      <w:r w:rsidRPr="00296478">
        <w:t xml:space="preserve"> and UMEC 125 </w:t>
      </w:r>
      <w:r>
        <w:t>µg</w:t>
      </w:r>
      <w:r w:rsidRPr="00296478">
        <w:t xml:space="preserve"> was not statistically significant (p</w:t>
      </w:r>
      <w:r>
        <w:t xml:space="preserve"> = </w:t>
      </w:r>
      <w:r w:rsidRPr="00296478">
        <w:t xml:space="preserve">0.142). Based on application of the statistical testing </w:t>
      </w:r>
      <w:r w:rsidRPr="005A4349">
        <w:t>hierarchy (described in Section 7.1.2.8),</w:t>
      </w:r>
      <w:r w:rsidRPr="00296478">
        <w:t xml:space="preserve"> the results of all further statistical analyses could only be interpreted descriptively. A sum</w:t>
      </w:r>
      <w:r>
        <w:t>mary of the results of the step-</w:t>
      </w:r>
      <w:r w:rsidRPr="00296478">
        <w:t>down or hierarchical testing procedure for the primary and secondary endpoints in studies DB2113360 and DB2113374 is prese</w:t>
      </w:r>
      <w:r w:rsidR="004502F9">
        <w:t>nted in Table 13</w:t>
      </w:r>
      <w:r w:rsidRPr="00296478">
        <w:t>.</w:t>
      </w:r>
    </w:p>
    <w:p w:rsidR="00B13321" w:rsidRDefault="00B13321" w:rsidP="00B13321">
      <w:pPr>
        <w:pStyle w:val="Tabletitle"/>
      </w:pPr>
      <w:proofErr w:type="gramStart"/>
      <w:r w:rsidRPr="003D5D55">
        <w:t xml:space="preserve">Table </w:t>
      </w:r>
      <w:r w:rsidR="004502F9">
        <w:t>12</w:t>
      </w:r>
      <w:r w:rsidRPr="003D5D55">
        <w:t>.</w:t>
      </w:r>
      <w:proofErr w:type="gramEnd"/>
      <w:r w:rsidRPr="003D5D55">
        <w:t xml:space="preserve"> Primary Efficacy Analysis: Trough FEV1 (L) at Day 169 (DB2113374</w:t>
      </w:r>
      <w:r>
        <w:t xml:space="preserve"> </w:t>
      </w:r>
      <w:r w:rsidRPr="003D5D55">
        <w:t>ITT Population)</w:t>
      </w:r>
      <w:r>
        <w:t>.</w:t>
      </w:r>
    </w:p>
    <w:p w:rsidR="00B13321" w:rsidRDefault="00B13321" w:rsidP="00B13321">
      <w:r>
        <w:rPr>
          <w:noProof/>
          <w:lang w:eastAsia="en-AU"/>
        </w:rPr>
        <w:drawing>
          <wp:inline distT="0" distB="0" distL="0" distR="0" wp14:anchorId="6B887EBA" wp14:editId="6E729DC1">
            <wp:extent cx="4410075" cy="2828925"/>
            <wp:effectExtent l="0" t="0" r="0" b="0"/>
            <wp:docPr id="41" name="Picture 41" descr="Table 12. Primary Efficacy Analysis: Trough FEV1 (L) at Day 169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410075" cy="2828925"/>
                    </a:xfrm>
                    <a:prstGeom prst="rect">
                      <a:avLst/>
                    </a:prstGeom>
                  </pic:spPr>
                </pic:pic>
              </a:graphicData>
            </a:graphic>
          </wp:inline>
        </w:drawing>
      </w:r>
    </w:p>
    <w:p w:rsidR="00B13321" w:rsidRDefault="004502F9" w:rsidP="00DC532E">
      <w:pPr>
        <w:pStyle w:val="Tabletitle"/>
      </w:pPr>
      <w:proofErr w:type="gramStart"/>
      <w:r>
        <w:lastRenderedPageBreak/>
        <w:t>Table 13</w:t>
      </w:r>
      <w:r w:rsidR="00B13321" w:rsidRPr="00B567FA">
        <w:t>.</w:t>
      </w:r>
      <w:proofErr w:type="gramEnd"/>
      <w:r w:rsidR="00B13321" w:rsidRPr="00B567FA">
        <w:t xml:space="preserve"> </w:t>
      </w:r>
      <w:proofErr w:type="gramStart"/>
      <w:r w:rsidR="00B13321" w:rsidRPr="00B567FA">
        <w:t>Results of Step-down Testing Procedure for the Primary and Secondary Endpoints (</w:t>
      </w:r>
      <w:proofErr w:type="spellStart"/>
      <w:r w:rsidR="00B13321" w:rsidRPr="00B567FA">
        <w:t>i</w:t>
      </w:r>
      <w:proofErr w:type="spellEnd"/>
      <w:r w:rsidR="00B13321" w:rsidRPr="00B567FA">
        <w:t>) DB2113360 ITT Population Excluding Investigator X (ii) DB2113374 ITT Population.</w:t>
      </w:r>
      <w:proofErr w:type="gramEnd"/>
    </w:p>
    <w:p w:rsidR="00B13321" w:rsidRPr="003D5D55" w:rsidRDefault="00B13321" w:rsidP="00DC532E">
      <w:r>
        <w:rPr>
          <w:noProof/>
          <w:lang w:eastAsia="en-AU"/>
        </w:rPr>
        <w:drawing>
          <wp:inline distT="0" distB="0" distL="0" distR="0" wp14:anchorId="39269A4C" wp14:editId="18FA37EB">
            <wp:extent cx="5086350" cy="5591175"/>
            <wp:effectExtent l="0" t="0" r="0" b="0"/>
            <wp:docPr id="33" name="Picture 33" descr="Table 13. Results of Step-down Testing Procedure for the Primary and Secondary Endpoints (i) DB2113360 ITT Population Excluding Investigator X (ii)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086350" cy="5591175"/>
                    </a:xfrm>
                    <a:prstGeom prst="rect">
                      <a:avLst/>
                    </a:prstGeom>
                  </pic:spPr>
                </pic:pic>
              </a:graphicData>
            </a:graphic>
          </wp:inline>
        </w:drawing>
      </w:r>
    </w:p>
    <w:p w:rsidR="00B13321" w:rsidRPr="00296478" w:rsidRDefault="00B13321" w:rsidP="00B80494">
      <w:pPr>
        <w:pStyle w:val="Heading5"/>
      </w:pPr>
      <w:r w:rsidRPr="00296478">
        <w:t>Results for other efficacy outcomes</w:t>
      </w:r>
    </w:p>
    <w:p w:rsidR="00B13321" w:rsidRPr="003D5D55" w:rsidRDefault="00B13321" w:rsidP="00B80494">
      <w:pPr>
        <w:pStyle w:val="Heading6"/>
      </w:pPr>
      <w:r w:rsidRPr="003D5D55">
        <w:t>Other supportive analyses on the primary efficacy endpoint</w:t>
      </w:r>
    </w:p>
    <w:p w:rsidR="00B13321" w:rsidRDefault="00B13321" w:rsidP="00B80494">
      <w:r>
        <w:t>The results of the Per-</w:t>
      </w:r>
      <w:r w:rsidRPr="00296478">
        <w:t>Protocol analyses of trough FEV1 at Day 169 were supportive of the primary analyses in both studies DB211336</w:t>
      </w:r>
      <w:r>
        <w:t xml:space="preserve">0 and DB2113374. </w:t>
      </w:r>
      <w:r w:rsidRPr="00296478">
        <w:t xml:space="preserve">Sensitivity analyses were also conducted for trough FEV1 at Day 169 using different imputation methods (missing at random multiple </w:t>
      </w:r>
      <w:r>
        <w:t>(</w:t>
      </w:r>
      <w:r w:rsidRPr="00296478">
        <w:t>MAR</w:t>
      </w:r>
      <w:r>
        <w:t>)</w:t>
      </w:r>
      <w:r w:rsidRPr="00296478">
        <w:t xml:space="preserve">, copy differences from control </w:t>
      </w:r>
      <w:r>
        <w:t>(</w:t>
      </w:r>
      <w:r w:rsidRPr="00296478">
        <w:t>CDC</w:t>
      </w:r>
      <w:r>
        <w:t>)</w:t>
      </w:r>
      <w:r w:rsidRPr="00296478">
        <w:t xml:space="preserve">, Last Mean Carried Forward </w:t>
      </w:r>
      <w:r>
        <w:t>(</w:t>
      </w:r>
      <w:r w:rsidRPr="00296478">
        <w:t>LMCF</w:t>
      </w:r>
      <w:r>
        <w:t>)</w:t>
      </w:r>
      <w:r w:rsidRPr="00296478">
        <w:t xml:space="preserve"> assuming decline of 0 mL/year, and LMCF assuming decline of 25 mL/year). These sensitivity analyses yielded results consistent with the primary MMRM analyses in both study DB2113360 (statistically significantly greater LSM trough FEV1 change from baseline on Day 169 for UMEC/VI 125/25 </w:t>
      </w:r>
      <w:r>
        <w:t>µg</w:t>
      </w:r>
      <w:r w:rsidRPr="00296478">
        <w:t xml:space="preserve"> compared with TIO and with VI 25 </w:t>
      </w:r>
      <w:r>
        <w:t>µg</w:t>
      </w:r>
      <w:r w:rsidRPr="00296478">
        <w:t xml:space="preserve">, and also for UMEC/VI 62.5/25 </w:t>
      </w:r>
      <w:r>
        <w:t>µg</w:t>
      </w:r>
      <w:r w:rsidRPr="00296478">
        <w:t xml:space="preserve"> compared with TIO and with VI 25 </w:t>
      </w:r>
      <w:r>
        <w:t>µg</w:t>
      </w:r>
      <w:r w:rsidRPr="00296478">
        <w:t xml:space="preserve">) and study DB2113374 (statistically significantly greater LSM trough FEV1 change from baseline on Day 169 for UMEC/VI 125/25 </w:t>
      </w:r>
      <w:r>
        <w:t>µg</w:t>
      </w:r>
      <w:r w:rsidRPr="00296478">
        <w:t xml:space="preserve"> compared with TIO, but not with UMEC 125 </w:t>
      </w:r>
      <w:r>
        <w:t>µg</w:t>
      </w:r>
      <w:r w:rsidRPr="00296478">
        <w:t xml:space="preserve">) (Figure </w:t>
      </w:r>
      <w:r w:rsidR="004502F9">
        <w:t>20</w:t>
      </w:r>
      <w:r w:rsidRPr="00296478">
        <w:t>).</w:t>
      </w:r>
    </w:p>
    <w:p w:rsidR="00B13321" w:rsidRDefault="00B13321" w:rsidP="00DC532E">
      <w:pPr>
        <w:pStyle w:val="Tabletitle"/>
      </w:pPr>
      <w:proofErr w:type="gramStart"/>
      <w:r w:rsidRPr="003D5D55">
        <w:lastRenderedPageBreak/>
        <w:t xml:space="preserve">Figure </w:t>
      </w:r>
      <w:r w:rsidR="004502F9">
        <w:t>20</w:t>
      </w:r>
      <w:r w:rsidRPr="003D5D55">
        <w:t>.</w:t>
      </w:r>
      <w:proofErr w:type="gramEnd"/>
      <w:r w:rsidRPr="003D5D55">
        <w:t xml:space="preserve"> Least Squares Mean (95% CI) Treatment Differences in Change from Baseline in Trough FEV1 (L) at Day 169 Primary and Sensitivity Analyses (</w:t>
      </w:r>
      <w:proofErr w:type="spellStart"/>
      <w:r w:rsidRPr="003D5D55">
        <w:t>i</w:t>
      </w:r>
      <w:proofErr w:type="spellEnd"/>
      <w:r w:rsidRPr="003D5D55">
        <w:t>) DB2113360 (ii) DB2113374</w:t>
      </w:r>
      <w:r>
        <w:t>.</w:t>
      </w:r>
    </w:p>
    <w:p w:rsidR="00B13321" w:rsidRPr="004E41A3" w:rsidRDefault="00B13321" w:rsidP="00DC532E">
      <w:r>
        <w:rPr>
          <w:noProof/>
          <w:lang w:eastAsia="en-AU"/>
        </w:rPr>
        <w:drawing>
          <wp:inline distT="0" distB="0" distL="0" distR="0" wp14:anchorId="2022BEC5" wp14:editId="6FFD55D1">
            <wp:extent cx="5267325" cy="5495925"/>
            <wp:effectExtent l="0" t="0" r="0" b="0"/>
            <wp:docPr id="45" name="Picture 45" descr=" Figure 20. Least Squares Mean (95% CI) Treatment Differences in Change from Baseline in Trough FEV1 (L) at Day 169 Primary and Sensitivity Analyses (i) DB2113360 (ii) DB211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267325" cy="5495925"/>
                    </a:xfrm>
                    <a:prstGeom prst="rect">
                      <a:avLst/>
                    </a:prstGeom>
                  </pic:spPr>
                </pic:pic>
              </a:graphicData>
            </a:graphic>
          </wp:inline>
        </w:drawing>
      </w:r>
    </w:p>
    <w:p w:rsidR="00B13321" w:rsidRPr="00296478" w:rsidRDefault="00B13321" w:rsidP="00B80494">
      <w:r w:rsidRPr="00296478">
        <w:t>In study DB2113360, additional sensitivity analysis was done for the primary endpoint in the ITT population (</w:t>
      </w:r>
      <w:r>
        <w:t>that is,</w:t>
      </w:r>
      <w:r w:rsidRPr="00296478">
        <w:t xml:space="preserve"> including Investigator </w:t>
      </w:r>
      <w:r>
        <w:t>X</w:t>
      </w:r>
      <w:r w:rsidRPr="00296478">
        <w:t xml:space="preserve">), and results were consistent with the primary analysis in the ITT (excluding Investigator </w:t>
      </w:r>
      <w:r>
        <w:t>X</w:t>
      </w:r>
      <w:r w:rsidRPr="00296478">
        <w:t>) population, with all treatment compari</w:t>
      </w:r>
      <w:r>
        <w:t>sons statistically significant.</w:t>
      </w:r>
    </w:p>
    <w:p w:rsidR="00B13321" w:rsidRPr="004E41A3" w:rsidRDefault="00B13321" w:rsidP="00B80494">
      <w:pPr>
        <w:pStyle w:val="Heading5"/>
      </w:pPr>
      <w:r w:rsidRPr="004E41A3">
        <w:t>Secondary efficacy endpoints</w:t>
      </w:r>
    </w:p>
    <w:p w:rsidR="00B13321" w:rsidRPr="00296478" w:rsidRDefault="00B13321" w:rsidP="00B80494">
      <w:r w:rsidRPr="00296478">
        <w:t xml:space="preserve">The secondary efficacy endpoint was weighted mean FEV1 over 0 to 6 hours </w:t>
      </w:r>
      <w:r>
        <w:t>post dose</w:t>
      </w:r>
      <w:r w:rsidRPr="00296478">
        <w:t xml:space="preserve"> at Day 168.</w:t>
      </w:r>
    </w:p>
    <w:p w:rsidR="00B13321" w:rsidRPr="00296478" w:rsidRDefault="00B13321" w:rsidP="00B80494">
      <w:r w:rsidRPr="00296478">
        <w:t xml:space="preserve">In study DB2113360, there were statistically significantly greater LSM changes from baseline in 0 to 6 hour weighted mean FEV1 at Day 168 for UMEC/VI 125/25 </w:t>
      </w:r>
      <w:r>
        <w:t>µg</w:t>
      </w:r>
      <w:r w:rsidRPr="00296478">
        <w:t xml:space="preserve"> compared with TIO (difference of 83</w:t>
      </w:r>
      <w:r>
        <w:t xml:space="preserve"> </w:t>
      </w:r>
      <w:r w:rsidRPr="00296478">
        <w:t xml:space="preserve">mL over </w:t>
      </w:r>
      <w:r w:rsidRPr="00427A4C">
        <w:t>TIO, p = 0.003</w:t>
      </w:r>
      <w:r w:rsidRPr="00427A4C">
        <w:rPr>
          <w:rStyle w:val="FootnoteReference"/>
        </w:rPr>
        <w:footnoteReference w:id="42"/>
      </w:r>
      <w:r w:rsidRPr="00427A4C">
        <w:t>),</w:t>
      </w:r>
      <w:r w:rsidRPr="00296478">
        <w:t xml:space="preserve"> and with VI 25 </w:t>
      </w:r>
      <w:r>
        <w:t>µg</w:t>
      </w:r>
      <w:r w:rsidRPr="00296478">
        <w:t xml:space="preserve"> (difference of 86</w:t>
      </w:r>
      <w:r>
        <w:t xml:space="preserve"> </w:t>
      </w:r>
      <w:r w:rsidRPr="00296478">
        <w:t xml:space="preserve">mL over VI 25 </w:t>
      </w:r>
      <w:r>
        <w:t>µg</w:t>
      </w:r>
      <w:r w:rsidRPr="00296478">
        <w:t>, p</w:t>
      </w:r>
      <w:r>
        <w:t xml:space="preserve"> = </w:t>
      </w:r>
      <w:r w:rsidRPr="00296478">
        <w:t xml:space="preserve">0.001). There were also statistically significantly greater LSM changes from baseline in 0 to </w:t>
      </w:r>
      <w:r w:rsidRPr="00296478">
        <w:lastRenderedPageBreak/>
        <w:t xml:space="preserve">6 hour weighted mean FEV1 at Day 168 for UMEC/VI 62.5/25 </w:t>
      </w:r>
      <w:r>
        <w:t>µg</w:t>
      </w:r>
      <w:r w:rsidRPr="00296478">
        <w:t xml:space="preserve"> compared with TIO (difference of 74</w:t>
      </w:r>
      <w:r>
        <w:t xml:space="preserve"> </w:t>
      </w:r>
      <w:r w:rsidRPr="00296478">
        <w:t>mL over TIO, p</w:t>
      </w:r>
      <w:r>
        <w:t xml:space="preserve"> = </w:t>
      </w:r>
      <w:r w:rsidRPr="00296478">
        <w:t xml:space="preserve">0.005) and with VI 25 </w:t>
      </w:r>
      <w:r>
        <w:t>µg</w:t>
      </w:r>
      <w:r w:rsidRPr="00296478">
        <w:t xml:space="preserve"> (difference of 77</w:t>
      </w:r>
      <w:r>
        <w:t xml:space="preserve"> </w:t>
      </w:r>
      <w:r w:rsidRPr="00296478">
        <w:t xml:space="preserve">mL over VI 25 </w:t>
      </w:r>
      <w:r>
        <w:t>µg</w:t>
      </w:r>
      <w:r w:rsidRPr="00296478">
        <w:t>, p</w:t>
      </w:r>
      <w:r>
        <w:t xml:space="preserve"> = </w:t>
      </w:r>
      <w:r w:rsidRPr="00296478">
        <w:t>0.004).</w:t>
      </w:r>
    </w:p>
    <w:p w:rsidR="00B13321" w:rsidRPr="00296478" w:rsidRDefault="00B13321" w:rsidP="00B80494">
      <w:r w:rsidRPr="00296478">
        <w:t xml:space="preserve">In study DB2113374 there were greater LSM changes from baseline in 0 to 6 hour weighted mean FEV1 at Day 168 for UMEC/VI 125/25 </w:t>
      </w:r>
      <w:r>
        <w:t>µg</w:t>
      </w:r>
      <w:r w:rsidRPr="00296478">
        <w:t xml:space="preserve"> compared with TIO (difference of 101</w:t>
      </w:r>
      <w:r>
        <w:t xml:space="preserve"> </w:t>
      </w:r>
      <w:r w:rsidRPr="00296478">
        <w:t xml:space="preserve">mL over TIO, </w:t>
      </w:r>
      <w:r>
        <w:t>p &lt; 0.001</w:t>
      </w:r>
      <w:r w:rsidRPr="00296478">
        <w:t xml:space="preserve">), and with UMEC 125 </w:t>
      </w:r>
      <w:r>
        <w:t>µg</w:t>
      </w:r>
      <w:r w:rsidRPr="00296478">
        <w:t xml:space="preserve"> (difference of 76</w:t>
      </w:r>
      <w:r>
        <w:t xml:space="preserve"> </w:t>
      </w:r>
      <w:r w:rsidRPr="00296478">
        <w:t xml:space="preserve">mL over UMEC 125 </w:t>
      </w:r>
      <w:r>
        <w:t>µg</w:t>
      </w:r>
      <w:r w:rsidRPr="00296478">
        <w:t>, p</w:t>
      </w:r>
      <w:r>
        <w:t xml:space="preserve"> = </w:t>
      </w:r>
      <w:r w:rsidRPr="00296478">
        <w:t xml:space="preserve">0.001). There were also greater LSM changes from baseline in 0 to 6 hour weighted mean FEV1 at Day 168 for UMEC/VI 62.5/25 </w:t>
      </w:r>
      <w:r>
        <w:t>µg</w:t>
      </w:r>
      <w:r w:rsidRPr="00296478">
        <w:t xml:space="preserve"> compared with TIO (difference of 96</w:t>
      </w:r>
      <w:r>
        <w:t xml:space="preserve"> </w:t>
      </w:r>
      <w:r w:rsidRPr="00296478">
        <w:t xml:space="preserve">mL over TIO, </w:t>
      </w:r>
      <w:r>
        <w:t>p &lt; 0.001</w:t>
      </w:r>
      <w:r w:rsidRPr="00296478">
        <w:t xml:space="preserve">) and with UMEC 125 </w:t>
      </w:r>
      <w:r>
        <w:t>µg</w:t>
      </w:r>
      <w:r w:rsidRPr="00296478">
        <w:t xml:space="preserve"> (difference of 70</w:t>
      </w:r>
      <w:r>
        <w:t xml:space="preserve"> </w:t>
      </w:r>
      <w:r w:rsidRPr="00296478">
        <w:t xml:space="preserve">mL over UMEC 125 </w:t>
      </w:r>
      <w:r>
        <w:t>µg</w:t>
      </w:r>
      <w:r w:rsidRPr="00296478">
        <w:t>, p</w:t>
      </w:r>
      <w:r>
        <w:t xml:space="preserve"> = </w:t>
      </w:r>
      <w:r w:rsidRPr="00296478">
        <w:t>0.003).</w:t>
      </w:r>
    </w:p>
    <w:p w:rsidR="00B13321" w:rsidRPr="004E41A3" w:rsidRDefault="00B13321" w:rsidP="00B80494">
      <w:pPr>
        <w:pStyle w:val="Heading5"/>
      </w:pPr>
      <w:r w:rsidRPr="004E41A3">
        <w:t>Other efficacy endpoints</w:t>
      </w:r>
    </w:p>
    <w:p w:rsidR="00B13321" w:rsidRPr="00296478" w:rsidRDefault="00B13321" w:rsidP="00B80494">
      <w:pPr>
        <w:pStyle w:val="Heading6"/>
      </w:pPr>
      <w:r w:rsidRPr="00296478">
        <w:t>Other efficacy endpoints relating to FEV1, FVC and PEFR</w:t>
      </w:r>
    </w:p>
    <w:p w:rsidR="00B13321" w:rsidRPr="00B04A79" w:rsidRDefault="00B13321" w:rsidP="00B80494">
      <w:r w:rsidRPr="00296478">
        <w:t xml:space="preserve">In study DB2113360, analysis of trough FEV1 at other </w:t>
      </w:r>
      <w:r>
        <w:t>time points</w:t>
      </w:r>
      <w:r w:rsidRPr="00296478">
        <w:t xml:space="preserve"> (Days 2, 28, 56, 84, 112 and 168) showed that there were statistically significantly greater LSM changes from baseline in trough FEV1 for both the UMEC/VI 125/25 </w:t>
      </w:r>
      <w:r>
        <w:t>µg</w:t>
      </w:r>
      <w:r w:rsidRPr="00296478">
        <w:t xml:space="preserve"> and UMEC/VI 62.5/25 </w:t>
      </w:r>
      <w:r>
        <w:t>µg</w:t>
      </w:r>
      <w:r w:rsidRPr="00296478">
        <w:t xml:space="preserve"> treatment groups compared with both the VI 25 </w:t>
      </w:r>
      <w:r>
        <w:t>µg</w:t>
      </w:r>
      <w:r w:rsidRPr="00296478">
        <w:t xml:space="preserve"> and TIO treatment groups at</w:t>
      </w:r>
      <w:r>
        <w:t xml:space="preserve"> all assessed time points</w:t>
      </w:r>
      <w:r w:rsidRPr="00296478">
        <w:t xml:space="preserve">. In study DB2113374, analysis of trough FEV1 at other </w:t>
      </w:r>
      <w:r>
        <w:t>time points</w:t>
      </w:r>
      <w:r w:rsidRPr="00296478">
        <w:t xml:space="preserve"> (Days 2, 28, 56, 84, 112 and 168) showed that there were statistically significantly greater LSM changes from baseline in trough FEV1 for both the UMEC/VI 125/25 </w:t>
      </w:r>
      <w:r>
        <w:t>µg</w:t>
      </w:r>
      <w:r w:rsidRPr="00296478">
        <w:t xml:space="preserve"> and UMEC/VI 62.5/25 </w:t>
      </w:r>
      <w:r>
        <w:t>µg</w:t>
      </w:r>
      <w:r w:rsidRPr="00296478">
        <w:t xml:space="preserve"> treatment groups compared with both the UMEC 125 </w:t>
      </w:r>
      <w:r>
        <w:t>µg</w:t>
      </w:r>
      <w:r w:rsidRPr="00296478">
        <w:t xml:space="preserve"> and TIO treatment groups at all assessed </w:t>
      </w:r>
      <w:r>
        <w:t>time points</w:t>
      </w:r>
      <w:r w:rsidRPr="00296478">
        <w:t>, exc</w:t>
      </w:r>
      <w:r>
        <w:t xml:space="preserve">ept for the comparison between </w:t>
      </w:r>
      <w:r w:rsidRPr="00296478">
        <w:t xml:space="preserve">UMEC/VI 125/25 </w:t>
      </w:r>
      <w:r>
        <w:t xml:space="preserve">µg </w:t>
      </w:r>
      <w:r w:rsidRPr="00296478">
        <w:t xml:space="preserve">and UMEC 125 </w:t>
      </w:r>
      <w:r>
        <w:t>µg</w:t>
      </w:r>
      <w:r w:rsidRPr="00296478">
        <w:t xml:space="preserve"> at Days 112 and 168, and the comparison between</w:t>
      </w:r>
      <w:r>
        <w:t xml:space="preserve"> </w:t>
      </w:r>
      <w:r w:rsidRPr="00296478">
        <w:t xml:space="preserve">UMEC/VI 62.5/25 </w:t>
      </w:r>
      <w:r>
        <w:t xml:space="preserve">µg </w:t>
      </w:r>
      <w:r w:rsidRPr="00296478">
        <w:t xml:space="preserve">and UMEC 125 </w:t>
      </w:r>
      <w:r>
        <w:t>µg</w:t>
      </w:r>
      <w:r w:rsidRPr="00296478">
        <w:t xml:space="preserve"> at Days </w:t>
      </w:r>
      <w:r>
        <w:t>84, 112 and 168.</w:t>
      </w:r>
    </w:p>
    <w:p w:rsidR="00B13321" w:rsidRDefault="00B13321" w:rsidP="00B80494">
      <w:r w:rsidRPr="00296478">
        <w:t xml:space="preserve">In study DB2113360, analysis of weighted mean FEV1 over 0 to 6 hours </w:t>
      </w:r>
      <w:r>
        <w:t>post dose</w:t>
      </w:r>
      <w:r w:rsidRPr="00296478">
        <w:t xml:space="preserve"> at other </w:t>
      </w:r>
      <w:r>
        <w:t>time points (</w:t>
      </w:r>
      <w:r w:rsidRPr="00481429">
        <w:t>Days 1</w:t>
      </w:r>
      <w:r w:rsidR="00562944">
        <w:t xml:space="preserve"> and</w:t>
      </w:r>
      <w:r w:rsidRPr="00481429">
        <w:t xml:space="preserve"> 84</w:t>
      </w:r>
      <w:r w:rsidRPr="00296478">
        <w:t xml:space="preserve">) showed that there were statistically significantly greater LSM changes from baseline in 0 to 6 hour weighted mean FEV1 for both the UMEC/VI 125/25 </w:t>
      </w:r>
      <w:r>
        <w:t>µg</w:t>
      </w:r>
      <w:r w:rsidRPr="00296478">
        <w:t xml:space="preserve"> and UMEC/VI 62.5/25 </w:t>
      </w:r>
      <w:r>
        <w:t>µg</w:t>
      </w:r>
      <w:r w:rsidRPr="00296478">
        <w:t xml:space="preserve"> treatment groups compared with both the VI 25 </w:t>
      </w:r>
      <w:r>
        <w:t>µg</w:t>
      </w:r>
      <w:r w:rsidRPr="00296478">
        <w:t xml:space="preserve"> and TIO treatment groups at all asse</w:t>
      </w:r>
      <w:r>
        <w:t>ssed time points</w:t>
      </w:r>
      <w:r w:rsidR="004502F9">
        <w:t xml:space="preserve">. </w:t>
      </w:r>
      <w:r w:rsidRPr="00296478">
        <w:t xml:space="preserve">In study DB2113374, analysis of weighted mean FEV1 over 0 to 6 hours </w:t>
      </w:r>
      <w:r>
        <w:t>post-dose</w:t>
      </w:r>
      <w:r w:rsidRPr="00296478">
        <w:t xml:space="preserve"> at other </w:t>
      </w:r>
      <w:r>
        <w:t>time points (</w:t>
      </w:r>
      <w:r w:rsidRPr="00481429">
        <w:t xml:space="preserve">Days 1, </w:t>
      </w:r>
      <w:r w:rsidR="00562944">
        <w:t>and</w:t>
      </w:r>
      <w:r w:rsidRPr="00481429">
        <w:t xml:space="preserve"> 84</w:t>
      </w:r>
      <w:r w:rsidRPr="00296478">
        <w:t xml:space="preserve">) also showed that there were statistically significantly greater LSM changes from baseline in 0 to 6 hour weighted mean FEV1 for both the UMEC/VI 125/25 </w:t>
      </w:r>
      <w:r>
        <w:t>µg</w:t>
      </w:r>
      <w:r w:rsidRPr="00296478">
        <w:t xml:space="preserve"> and UMEC/VI 62.5/25 </w:t>
      </w:r>
      <w:r>
        <w:t>µg</w:t>
      </w:r>
      <w:r w:rsidRPr="00296478">
        <w:t xml:space="preserve"> treatment groups compared with both the UMEC 125 </w:t>
      </w:r>
      <w:r>
        <w:t>µg</w:t>
      </w:r>
      <w:r w:rsidRPr="00296478">
        <w:t xml:space="preserve"> and TIO treatment groups at all asse</w:t>
      </w:r>
      <w:r>
        <w:t>ssed time points.</w:t>
      </w:r>
    </w:p>
    <w:p w:rsidR="00B13321" w:rsidRPr="00296478" w:rsidRDefault="00B13321" w:rsidP="00B80494">
      <w:r w:rsidRPr="00296478">
        <w:t xml:space="preserve">Analysis of time to onset (defined as </w:t>
      </w:r>
      <w:r w:rsidRPr="00481429">
        <w:t>an increase of 100 mL</w:t>
      </w:r>
      <w:r w:rsidRPr="00296478">
        <w:t xml:space="preserve"> above baseline in FEV1) during 0 to 6 hours </w:t>
      </w:r>
      <w:r>
        <w:t>post-dose</w:t>
      </w:r>
      <w:r w:rsidRPr="00296478">
        <w:t xml:space="preserve"> on Day 1 showed that in study DB2113360, the median time to onset was shorter in the UMEC/VI 125/25 </w:t>
      </w:r>
      <w:r>
        <w:t>µg</w:t>
      </w:r>
      <w:r w:rsidRPr="00296478">
        <w:t xml:space="preserve"> and UMEC/VI 62.5/25 </w:t>
      </w:r>
      <w:r>
        <w:t>µg</w:t>
      </w:r>
      <w:r w:rsidRPr="00296478">
        <w:t xml:space="preserve"> treatment groups (21 and 20 minutes, respectively) compared with the TIO (34 minutes) and VI 25 </w:t>
      </w:r>
      <w:r>
        <w:t>µg</w:t>
      </w:r>
      <w:r w:rsidRPr="00296478">
        <w:t xml:space="preserve"> (32 minutes) groups. In addition, analyses showed that subjects on UMEC/VI 125/25 </w:t>
      </w:r>
      <w:r>
        <w:t>µg</w:t>
      </w:r>
      <w:r w:rsidRPr="00296478">
        <w:t xml:space="preserve"> had a higher likelihood of achieving an increase in FEV1 </w:t>
      </w:r>
      <w:r>
        <w:t xml:space="preserve">≥ </w:t>
      </w:r>
      <w:r w:rsidRPr="00296478">
        <w:t xml:space="preserve">100 mL above baseline at Day 1 compared with TIO 18 </w:t>
      </w:r>
      <w:r>
        <w:t>µg</w:t>
      </w:r>
      <w:r w:rsidRPr="00296478">
        <w:t xml:space="preserve"> and with VI 25 </w:t>
      </w:r>
      <w:r>
        <w:t>µg</w:t>
      </w:r>
      <w:r w:rsidRPr="00296478">
        <w:t xml:space="preserve"> (1.63 and 1.42 x higher likelihood, respectively; </w:t>
      </w:r>
      <w:r>
        <w:t xml:space="preserve">p ≤ </w:t>
      </w:r>
      <w:r w:rsidRPr="00296478">
        <w:t xml:space="preserve">0.001). Subjects in the UMEC/VI 62.5/25 </w:t>
      </w:r>
      <w:r>
        <w:t>µg</w:t>
      </w:r>
      <w:r w:rsidRPr="00296478">
        <w:t xml:space="preserve"> treatment group also had a higher likelihood of achieving this endpoint compared with TIO 18 </w:t>
      </w:r>
      <w:r>
        <w:t>µg</w:t>
      </w:r>
      <w:r w:rsidRPr="00296478">
        <w:t xml:space="preserve"> and with VI 25 </w:t>
      </w:r>
      <w:r>
        <w:t>µg</w:t>
      </w:r>
      <w:r w:rsidRPr="00296478">
        <w:t xml:space="preserve"> (1.79 and 1.56 x higher likelihood, respectively; </w:t>
      </w:r>
      <w:r>
        <w:t>p &lt; 0.001</w:t>
      </w:r>
      <w:r w:rsidRPr="00296478">
        <w:t xml:space="preserve">). In study DB2113374, the median time to onset was shorter in the UMEC/VI 125/25 </w:t>
      </w:r>
      <w:r>
        <w:t>µg</w:t>
      </w:r>
      <w:r w:rsidRPr="00296478">
        <w:t xml:space="preserve"> and UMEC/VI 62.5/25 </w:t>
      </w:r>
      <w:r>
        <w:t>µg</w:t>
      </w:r>
      <w:r w:rsidRPr="00296478">
        <w:t xml:space="preserve"> treatment groups (19 and 21 minutes, respectively) compared with the TIO (34 minutes) and UMEC 125 </w:t>
      </w:r>
      <w:r>
        <w:t>µg</w:t>
      </w:r>
      <w:r w:rsidRPr="00296478">
        <w:t xml:space="preserve"> (36 minutes) groups. In addition, analyses showed that subjects on UMEC/VI 125/25 </w:t>
      </w:r>
      <w:r>
        <w:t>µg</w:t>
      </w:r>
      <w:r w:rsidRPr="00296478">
        <w:t xml:space="preserve"> had a higher likelihood o</w:t>
      </w:r>
      <w:r>
        <w:t>f achieving an increase in FEV1 ≥ 100 </w:t>
      </w:r>
      <w:r w:rsidRPr="00296478">
        <w:t xml:space="preserve">mL above baseline at Day 1 compared with TIO 18 </w:t>
      </w:r>
      <w:r>
        <w:t>µg</w:t>
      </w:r>
      <w:r w:rsidRPr="00296478">
        <w:t xml:space="preserve"> and with UMEC 125 </w:t>
      </w:r>
      <w:r>
        <w:t>µg</w:t>
      </w:r>
      <w:r w:rsidRPr="00296478">
        <w:t xml:space="preserve"> (1.56 and 1.46 x higher likelihood, respectively; </w:t>
      </w:r>
      <w:r>
        <w:t>p &lt; 0.001</w:t>
      </w:r>
      <w:r w:rsidRPr="00296478">
        <w:t xml:space="preserve">). Subjects in the UMEC/VI 62.5/25 </w:t>
      </w:r>
      <w:r>
        <w:t>µg</w:t>
      </w:r>
      <w:r w:rsidRPr="00296478">
        <w:t xml:space="preserve"> treatment group also had a higher likelihood of achieving this endpoint compared with TIO 18 </w:t>
      </w:r>
      <w:r>
        <w:t>µg</w:t>
      </w:r>
      <w:r w:rsidRPr="00296478">
        <w:t xml:space="preserve"> and with UMEC 125 </w:t>
      </w:r>
      <w:r>
        <w:t>µg</w:t>
      </w:r>
      <w:r w:rsidRPr="00296478">
        <w:t xml:space="preserve"> (1.60 and 1.50 x higher likelihood, respectively; </w:t>
      </w:r>
      <w:r>
        <w:t>p &lt; 0.001).</w:t>
      </w:r>
    </w:p>
    <w:p w:rsidR="00B13321" w:rsidRPr="00296478" w:rsidRDefault="00B13321" w:rsidP="00B80494">
      <w:r w:rsidRPr="00296478">
        <w:t xml:space="preserve">In study DB2113360, the proportion of subjects achieving an increase in FEV1 of </w:t>
      </w:r>
      <w:r>
        <w:t xml:space="preserve">≥ </w:t>
      </w:r>
      <w:r w:rsidRPr="00296478">
        <w:t xml:space="preserve">12% and </w:t>
      </w:r>
      <w:r>
        <w:t xml:space="preserve">≥ </w:t>
      </w:r>
      <w:r w:rsidRPr="00481429">
        <w:t>200</w:t>
      </w:r>
      <w:r w:rsidRPr="00296478">
        <w:t xml:space="preserve"> mL above baseline at any time during 0 to 6 hours </w:t>
      </w:r>
      <w:r>
        <w:t>post-dose</w:t>
      </w:r>
      <w:r w:rsidRPr="00296478">
        <w:t xml:space="preserve"> on Day 1 was 68% and 69% in the UMEC/VI 125/25 </w:t>
      </w:r>
      <w:r>
        <w:t>µg</w:t>
      </w:r>
      <w:r w:rsidRPr="00296478">
        <w:t xml:space="preserve"> and UMEC/VI 62.5/25 </w:t>
      </w:r>
      <w:r>
        <w:t>µg</w:t>
      </w:r>
      <w:r w:rsidRPr="00296478">
        <w:t xml:space="preserve"> groups, respectively, compared with 47% and 48% in the TIO 18 </w:t>
      </w:r>
      <w:r>
        <w:t>µg</w:t>
      </w:r>
      <w:r w:rsidRPr="00296478">
        <w:t xml:space="preserve"> and VI 25 </w:t>
      </w:r>
      <w:r>
        <w:t>µg</w:t>
      </w:r>
      <w:r w:rsidRPr="00296478">
        <w:t xml:space="preserve"> groups, respectively. Subjects on UMEC/VI 125/25 </w:t>
      </w:r>
      <w:r>
        <w:t>µg</w:t>
      </w:r>
      <w:r w:rsidRPr="00296478">
        <w:t xml:space="preserve"> </w:t>
      </w:r>
      <w:r w:rsidRPr="00296478">
        <w:lastRenderedPageBreak/>
        <w:t xml:space="preserve">had higher odds of achieving an increase in FEV1 of </w:t>
      </w:r>
      <w:r>
        <w:t xml:space="preserve">≥ </w:t>
      </w:r>
      <w:r w:rsidRPr="00296478">
        <w:t xml:space="preserve">12% and </w:t>
      </w:r>
      <w:r>
        <w:t xml:space="preserve">≥ </w:t>
      </w:r>
      <w:r w:rsidRPr="00296478">
        <w:t xml:space="preserve">200 mL above baseline at any time during 0 to 6 hours </w:t>
      </w:r>
      <w:r>
        <w:t>post-dose</w:t>
      </w:r>
      <w:r w:rsidRPr="00296478">
        <w:t xml:space="preserve"> on Day 1 compared with TIO 18 </w:t>
      </w:r>
      <w:r>
        <w:t>µg</w:t>
      </w:r>
      <w:r w:rsidRPr="00296478">
        <w:t xml:space="preserve"> and with VI 25 </w:t>
      </w:r>
      <w:r>
        <w:t>µg</w:t>
      </w:r>
      <w:r w:rsidRPr="00296478">
        <w:t xml:space="preserve"> (2.3 and 2.2 x higher likelihood, respectively; </w:t>
      </w:r>
      <w:r>
        <w:t>p &lt; 0.001</w:t>
      </w:r>
      <w:r w:rsidRPr="00296478">
        <w:t xml:space="preserve">). Subjects in the UMEC/VI 62.5/25 </w:t>
      </w:r>
      <w:r>
        <w:t>µg</w:t>
      </w:r>
      <w:r w:rsidRPr="00296478">
        <w:t xml:space="preserve"> treatment group also had a higher likelihood of achieving thi</w:t>
      </w:r>
      <w:r>
        <w:t>s endpoint compared with TIO 18 µg</w:t>
      </w:r>
      <w:r w:rsidRPr="00296478">
        <w:t xml:space="preserve"> and with VI 25 </w:t>
      </w:r>
      <w:r>
        <w:t>µg</w:t>
      </w:r>
      <w:r w:rsidRPr="00296478">
        <w:t xml:space="preserve"> (2.5 and 2.4 x higher likelihood, respectively; </w:t>
      </w:r>
      <w:r>
        <w:t>p &lt; 0.001</w:t>
      </w:r>
      <w:r w:rsidRPr="00296478">
        <w:t xml:space="preserve">). In study DB2113374, the proportion of subjects achieving an increase in FEV1 of </w:t>
      </w:r>
      <w:r>
        <w:t xml:space="preserve">≥ </w:t>
      </w:r>
      <w:r w:rsidRPr="00296478">
        <w:t xml:space="preserve">12% and </w:t>
      </w:r>
      <w:r>
        <w:t xml:space="preserve">≥ </w:t>
      </w:r>
      <w:r w:rsidRPr="00296478">
        <w:t xml:space="preserve">200 mL above baseline at any time during 0 to 6 hours </w:t>
      </w:r>
      <w:r>
        <w:t>post-dose</w:t>
      </w:r>
      <w:r w:rsidRPr="00296478">
        <w:t xml:space="preserve"> on Day 1 was 69% and 63% in the UMEC/VI 125/25 </w:t>
      </w:r>
      <w:r>
        <w:t>µg</w:t>
      </w:r>
      <w:r w:rsidRPr="00296478">
        <w:t xml:space="preserve"> and UMEC/VI 62.5/25 </w:t>
      </w:r>
      <w:r>
        <w:t>µg</w:t>
      </w:r>
      <w:r w:rsidRPr="00296478">
        <w:t xml:space="preserve"> groups, respectively, compared with 46% and 56% in the TIO 18 </w:t>
      </w:r>
      <w:r>
        <w:t>µg</w:t>
      </w:r>
      <w:r w:rsidRPr="00296478">
        <w:t xml:space="preserve"> and UMEC 125 </w:t>
      </w:r>
      <w:r>
        <w:t>µg</w:t>
      </w:r>
      <w:r w:rsidRPr="00296478">
        <w:t xml:space="preserve"> groups, respectively. Subjects on UMEC/VI 125/25 </w:t>
      </w:r>
      <w:r>
        <w:t>µg</w:t>
      </w:r>
      <w:r w:rsidRPr="00296478">
        <w:t xml:space="preserve"> had higher odds of achieving an increase in FEV1 of </w:t>
      </w:r>
      <w:r>
        <w:t xml:space="preserve">≥ </w:t>
      </w:r>
      <w:r w:rsidRPr="00296478">
        <w:t xml:space="preserve">12% and </w:t>
      </w:r>
      <w:r>
        <w:t xml:space="preserve">≥ </w:t>
      </w:r>
      <w:r w:rsidRPr="00296478">
        <w:t xml:space="preserve">200 mL above baseline at any time during 0 to 6 hours </w:t>
      </w:r>
      <w:r>
        <w:t>post-dose</w:t>
      </w:r>
      <w:r w:rsidRPr="00296478">
        <w:t xml:space="preserve"> on Day 1 compared with TIO 18 </w:t>
      </w:r>
      <w:r>
        <w:t>µg</w:t>
      </w:r>
      <w:r w:rsidRPr="00296478">
        <w:t xml:space="preserve"> and with UMEC 125 </w:t>
      </w:r>
      <w:r>
        <w:t>µg</w:t>
      </w:r>
      <w:r w:rsidRPr="00296478">
        <w:t xml:space="preserve"> (2.7 and 1.8 x higher likelihood, respectively; </w:t>
      </w:r>
      <w:r>
        <w:t xml:space="preserve">p ≤ </w:t>
      </w:r>
      <w:r w:rsidRPr="00296478">
        <w:t xml:space="preserve">0.005). Subjects in the UMEC/VI 62.5/25 </w:t>
      </w:r>
      <w:r>
        <w:t>µg</w:t>
      </w:r>
      <w:r w:rsidRPr="00296478">
        <w:t xml:space="preserve"> treatment group also had a higher likelihood of achieving this endpoint compared with TIO 18</w:t>
      </w:r>
      <w:r w:rsidR="00562944">
        <w:t> </w:t>
      </w:r>
      <w:r>
        <w:t>µg</w:t>
      </w:r>
      <w:r w:rsidRPr="00296478">
        <w:t xml:space="preserve"> (2.1 x higher likelihood, </w:t>
      </w:r>
      <w:r>
        <w:t>p &lt; 0.001</w:t>
      </w:r>
      <w:r w:rsidRPr="00296478">
        <w:t xml:space="preserve">). The treatment difference between UMEC/VI 62.5/25 </w:t>
      </w:r>
      <w:r>
        <w:t>µg</w:t>
      </w:r>
      <w:r w:rsidRPr="00296478">
        <w:t xml:space="preserve"> and UMEC 125 </w:t>
      </w:r>
      <w:r>
        <w:t>µg</w:t>
      </w:r>
      <w:r w:rsidRPr="00296478">
        <w:t xml:space="preserve"> was not statistically significant (p</w:t>
      </w:r>
      <w:r>
        <w:t xml:space="preserve"> = </w:t>
      </w:r>
      <w:r w:rsidRPr="00296478">
        <w:t>0.133).</w:t>
      </w:r>
    </w:p>
    <w:p w:rsidR="00B13321" w:rsidRPr="00296478" w:rsidRDefault="00B13321" w:rsidP="00B80494">
      <w:r w:rsidRPr="00296478">
        <w:t xml:space="preserve">In study DB2113360, the proportion of subjects achieving an increase of </w:t>
      </w:r>
      <w:r>
        <w:t xml:space="preserve">≥ </w:t>
      </w:r>
      <w:r w:rsidRPr="00296478">
        <w:t xml:space="preserve">100 mL above baseline in trough FEV1 at Day 169 was 53% and 58% in the UMEC/VI 125/25 </w:t>
      </w:r>
      <w:r>
        <w:t>µg</w:t>
      </w:r>
      <w:r w:rsidRPr="00296478">
        <w:t xml:space="preserve"> and UMEC/VI 62.5/25 </w:t>
      </w:r>
      <w:r>
        <w:t>µg</w:t>
      </w:r>
      <w:r w:rsidRPr="00296478">
        <w:t xml:space="preserve"> groups, respectively, compared with 41% and 43% in the TIO 18 </w:t>
      </w:r>
      <w:r>
        <w:t>µg</w:t>
      </w:r>
      <w:r w:rsidRPr="00296478">
        <w:t xml:space="preserve"> and VI 25 </w:t>
      </w:r>
      <w:r>
        <w:t>µg</w:t>
      </w:r>
      <w:r w:rsidRPr="00296478">
        <w:t xml:space="preserve"> groups, respectively</w:t>
      </w:r>
      <w:r>
        <w:t xml:space="preserve">. </w:t>
      </w:r>
      <w:r w:rsidRPr="00296478">
        <w:t xml:space="preserve">Subjects on UMEC/VI 125/25 </w:t>
      </w:r>
      <w:r>
        <w:t>µg</w:t>
      </w:r>
      <w:r w:rsidRPr="00296478">
        <w:t xml:space="preserve"> had higher odds of achieving an increase of </w:t>
      </w:r>
      <w:r>
        <w:t xml:space="preserve">≥ </w:t>
      </w:r>
      <w:r w:rsidRPr="00296478">
        <w:t xml:space="preserve">100 mL above baseline in trough FEV1 at Day 169 compared with TIO 18 </w:t>
      </w:r>
      <w:r>
        <w:t>µg</w:t>
      </w:r>
      <w:r w:rsidRPr="00296478">
        <w:t xml:space="preserve"> (1.6 x higher likelihood, p</w:t>
      </w:r>
      <w:r>
        <w:t xml:space="preserve"> = </w:t>
      </w:r>
      <w:r w:rsidRPr="00296478">
        <w:t xml:space="preserve">0.023). The treatment difference between UMEC/VI 125/25 </w:t>
      </w:r>
      <w:r>
        <w:t>µg</w:t>
      </w:r>
      <w:r w:rsidRPr="00296478">
        <w:t xml:space="preserve"> and VI 25 </w:t>
      </w:r>
      <w:r>
        <w:t>µg</w:t>
      </w:r>
      <w:r w:rsidRPr="00296478">
        <w:t xml:space="preserve"> was not statistically significant (p</w:t>
      </w:r>
      <w:r>
        <w:t xml:space="preserve"> = </w:t>
      </w:r>
      <w:r w:rsidRPr="00296478">
        <w:t xml:space="preserve">0.087). Subjects in the UMEC/VI 62.5/25 </w:t>
      </w:r>
      <w:r>
        <w:t>µg</w:t>
      </w:r>
      <w:r w:rsidRPr="00296478">
        <w:t xml:space="preserve"> treatment group also had a higher likelihood of achieving this endpoint compared with TIO 18 </w:t>
      </w:r>
      <w:r>
        <w:t>µg</w:t>
      </w:r>
      <w:r w:rsidRPr="00296478">
        <w:t xml:space="preserve"> and with VI 25 </w:t>
      </w:r>
      <w:r w:rsidR="004502F9">
        <w:t>µg (2.5 and 2.4 x higher</w:t>
      </w:r>
      <w:r>
        <w:rPr>
          <w:rStyle w:val="FootnoteReference"/>
        </w:rPr>
        <w:footnoteReference w:id="43"/>
      </w:r>
      <w:r w:rsidR="004502F9">
        <w:t xml:space="preserve"> </w:t>
      </w:r>
      <w:r w:rsidRPr="00296478">
        <w:t xml:space="preserve">likelihood, respectively; </w:t>
      </w:r>
      <w:r>
        <w:t xml:space="preserve">p ≤ </w:t>
      </w:r>
      <w:r w:rsidRPr="00296478">
        <w:t xml:space="preserve">0.002). In study DB2113374, the proportion of subjects achieving an increase of </w:t>
      </w:r>
      <w:r>
        <w:t xml:space="preserve">≥ </w:t>
      </w:r>
      <w:r w:rsidRPr="00296478">
        <w:t xml:space="preserve">100 mL above baseline in trough FEV1 at Day 169 was 57% and 55% in the UMEC/VI 125/25 </w:t>
      </w:r>
      <w:r>
        <w:t>µg</w:t>
      </w:r>
      <w:r w:rsidRPr="00296478">
        <w:t xml:space="preserve"> and UMEC/VI 62.5/25 </w:t>
      </w:r>
      <w:r>
        <w:t>µg</w:t>
      </w:r>
      <w:r w:rsidRPr="00296478">
        <w:t xml:space="preserve"> groups, respectively, compared with 46% and 47% in the TIO 18 </w:t>
      </w:r>
      <w:r>
        <w:t>µg</w:t>
      </w:r>
      <w:r w:rsidRPr="00296478">
        <w:t xml:space="preserve"> and UMEC 125 </w:t>
      </w:r>
      <w:r>
        <w:t>µg</w:t>
      </w:r>
      <w:r w:rsidRPr="00296478">
        <w:t xml:space="preserve"> group</w:t>
      </w:r>
      <w:r>
        <w:t xml:space="preserve">s, respectively. </w:t>
      </w:r>
      <w:r w:rsidRPr="00296478">
        <w:t xml:space="preserve">Subjects on UMEC/VI 125/25 </w:t>
      </w:r>
      <w:r>
        <w:t>µg</w:t>
      </w:r>
      <w:r w:rsidRPr="00296478">
        <w:t xml:space="preserve"> had higher odds of achieving an increase of </w:t>
      </w:r>
      <w:r>
        <w:t xml:space="preserve">≥ </w:t>
      </w:r>
      <w:r w:rsidRPr="00296478">
        <w:t xml:space="preserve">100 mL above baseline in trough FEV1 at Day 169 compared with TIO 18 </w:t>
      </w:r>
      <w:r>
        <w:t>µg</w:t>
      </w:r>
      <w:r w:rsidRPr="00296478">
        <w:t xml:space="preserve"> and with UMEC 125 </w:t>
      </w:r>
      <w:r>
        <w:t>µg</w:t>
      </w:r>
      <w:r w:rsidRPr="00296478">
        <w:t xml:space="preserve"> (1.6 and 1.5 x higher likelihood, respectively; </w:t>
      </w:r>
      <w:r>
        <w:t xml:space="preserve">p ≤ </w:t>
      </w:r>
      <w:r w:rsidRPr="00296478">
        <w:t xml:space="preserve">0.033). The treatment differences between UMEC/VI 62.5/25 </w:t>
      </w:r>
      <w:r>
        <w:t>µg</w:t>
      </w:r>
      <w:r w:rsidRPr="00296478">
        <w:t xml:space="preserve"> and TIO </w:t>
      </w:r>
      <w:r>
        <w:t>18 µg</w:t>
      </w:r>
      <w:r w:rsidRPr="00296478">
        <w:t xml:space="preserve"> (p</w:t>
      </w:r>
      <w:r>
        <w:t xml:space="preserve"> = </w:t>
      </w:r>
      <w:r w:rsidRPr="00296478">
        <w:t xml:space="preserve">0.064), and between UMEC/VI 62.5/25 </w:t>
      </w:r>
      <w:r>
        <w:t>µg</w:t>
      </w:r>
      <w:r w:rsidRPr="00296478">
        <w:t xml:space="preserve"> and UMEC 125 </w:t>
      </w:r>
      <w:r>
        <w:t>µg</w:t>
      </w:r>
      <w:r w:rsidRPr="00296478">
        <w:t xml:space="preserve"> (p</w:t>
      </w:r>
      <w:r>
        <w:t xml:space="preserve"> = </w:t>
      </w:r>
      <w:r w:rsidRPr="00296478">
        <w:t>0.101) were</w:t>
      </w:r>
      <w:r>
        <w:t xml:space="preserve"> not statistically significant.</w:t>
      </w:r>
    </w:p>
    <w:p w:rsidR="00B13321" w:rsidRPr="00991185" w:rsidRDefault="00B13321" w:rsidP="00B80494">
      <w:r>
        <w:t xml:space="preserve">In both studies, </w:t>
      </w:r>
      <w:r w:rsidRPr="00296478">
        <w:t xml:space="preserve">serial FEV1 at 15 and 30 minutes and 1, 3, 6, 23, and 24 hours after dosing on Days 1 and168 and at 15 and 30 minutes and 1, 3, and 6 hours after dosing on Day 84 were evaluated. In study DB2113360 there were statistically significantly greater </w:t>
      </w:r>
      <w:r>
        <w:t>post-dose</w:t>
      </w:r>
      <w:r w:rsidRPr="00296478">
        <w:t xml:space="preserve"> improvements in FEV1 from baseline for both doses of UMEC/</w:t>
      </w:r>
      <w:r w:rsidR="004502F9">
        <w:t>VI compared to TIO and to VI 25 </w:t>
      </w:r>
      <w:r>
        <w:t>µg</w:t>
      </w:r>
      <w:r w:rsidRPr="00296478">
        <w:t xml:space="preserve"> across all assessed </w:t>
      </w:r>
      <w:r>
        <w:t>time points</w:t>
      </w:r>
      <w:r w:rsidRPr="00296478">
        <w:t xml:space="preserve">, except for the comparisons between UMEC/VI 125/25 </w:t>
      </w:r>
      <w:r>
        <w:t>µg</w:t>
      </w:r>
      <w:r w:rsidRPr="00296478">
        <w:t xml:space="preserve"> and VI 25 </w:t>
      </w:r>
      <w:r>
        <w:t>µg</w:t>
      </w:r>
      <w:r w:rsidRPr="00296478">
        <w:t xml:space="preserve"> at 15 minutes </w:t>
      </w:r>
      <w:r>
        <w:t>post-dose</w:t>
      </w:r>
      <w:r w:rsidRPr="00296478">
        <w:t xml:space="preserve"> on Days 1, 84 and 168, and at 30 minutes </w:t>
      </w:r>
      <w:r>
        <w:t>post-dose</w:t>
      </w:r>
      <w:r w:rsidRPr="00296478">
        <w:t xml:space="preserve"> on Day 168, and between UMEC/VI 62.5/25 </w:t>
      </w:r>
      <w:r>
        <w:t>µg</w:t>
      </w:r>
      <w:r w:rsidRPr="00296478">
        <w:t xml:space="preserve"> and TIO 18 </w:t>
      </w:r>
      <w:r>
        <w:t>µg</w:t>
      </w:r>
      <w:r w:rsidRPr="00296478">
        <w:t xml:space="preserve"> at 6-hour </w:t>
      </w:r>
      <w:r>
        <w:t>post dose</w:t>
      </w:r>
      <w:r w:rsidRPr="00296478">
        <w:t xml:space="preserve"> on Day 168</w:t>
      </w:r>
      <w:r>
        <w:t xml:space="preserve">. </w:t>
      </w:r>
      <w:r w:rsidRPr="00296478">
        <w:t xml:space="preserve">In study DB2113374 there were statistically significantly greater </w:t>
      </w:r>
      <w:r>
        <w:t>post-dose</w:t>
      </w:r>
      <w:r w:rsidRPr="00296478">
        <w:t xml:space="preserve"> improvements in FEV1 from baseline for both doses of UMEC/VI compared to TIO and to UMEC 125 </w:t>
      </w:r>
      <w:r>
        <w:t>µg</w:t>
      </w:r>
      <w:r w:rsidRPr="00296478">
        <w:t xml:space="preserve"> across all assessed </w:t>
      </w:r>
      <w:r>
        <w:t>time points</w:t>
      </w:r>
      <w:r w:rsidRPr="00296478">
        <w:t xml:space="preserve">, except for the comparisons between both doses of UMEC/VI and UMEC 125 </w:t>
      </w:r>
      <w:r>
        <w:t>µg</w:t>
      </w:r>
      <w:r w:rsidRPr="00296478">
        <w:t xml:space="preserve"> at 23- and 2</w:t>
      </w:r>
      <w:r>
        <w:t>4-hour</w:t>
      </w:r>
      <w:r w:rsidRPr="00296478">
        <w:t xml:space="preserve"> </w:t>
      </w:r>
      <w:r>
        <w:t>post-dose on Day 168.</w:t>
      </w:r>
    </w:p>
    <w:p w:rsidR="00B13321" w:rsidRPr="00296478" w:rsidRDefault="00B13321" w:rsidP="00B80494">
      <w:r w:rsidRPr="00296478">
        <w:t xml:space="preserve">Analysis of peak FEV1 in study DB2113360 showed that there were statistically significantly greater LSM changes from baseline in peak FEV1 for both doses of UMEC/VI compared to TIO and to VI 25 </w:t>
      </w:r>
      <w:r>
        <w:t>µg</w:t>
      </w:r>
      <w:r w:rsidRPr="00296478">
        <w:t xml:space="preserve"> across all assessed </w:t>
      </w:r>
      <w:r>
        <w:t>time points</w:t>
      </w:r>
      <w:r w:rsidRPr="00296478">
        <w:t xml:space="preserve"> (Days 1, 84, and 168). Analysis of peak FEV1 in study DB2113374 also showed that there were statistically significantly greater LSM changes from baseline in peak FEV1 for both doses of UMEC/VI compared to TIO and to UMEC 125 </w:t>
      </w:r>
      <w:r>
        <w:t>µg</w:t>
      </w:r>
      <w:r w:rsidRPr="00296478">
        <w:t xml:space="preserve"> across all assessed </w:t>
      </w:r>
      <w:r>
        <w:t>time points (Days 1, 84, and 168).</w:t>
      </w:r>
    </w:p>
    <w:p w:rsidR="00B13321" w:rsidRPr="00296478" w:rsidRDefault="00B13321" w:rsidP="00B80494">
      <w:r w:rsidRPr="00296478">
        <w:lastRenderedPageBreak/>
        <w:t xml:space="preserve">Analysis of trough FVC in study DB2113360 showed that there were statistically significantly greater LSM changes from baseline in trough FVC for both doses of UMEC/VI compared to TIO and to VI 25 </w:t>
      </w:r>
      <w:r>
        <w:t>µg</w:t>
      </w:r>
      <w:r w:rsidRPr="00296478">
        <w:t xml:space="preserve"> across all assessed </w:t>
      </w:r>
      <w:r>
        <w:t>time points</w:t>
      </w:r>
      <w:r w:rsidRPr="00296478">
        <w:t xml:space="preserve"> (Days 2, 28, 56, 84, 112, 168, and 169), except for the comparison between UMEC/VI 62.5/25 </w:t>
      </w:r>
      <w:r>
        <w:t>µg</w:t>
      </w:r>
      <w:r w:rsidRPr="00296478">
        <w:t xml:space="preserve"> and TIO at Days 56, 112 and 169. Analysis of trough FVC in study DB2113374 showed that there were statistically significantly greater LSM changes from baseline in trough FVC for both doses of UMEC/VI compared to TIO and to UMEC 125 </w:t>
      </w:r>
      <w:r>
        <w:t>µg</w:t>
      </w:r>
      <w:r w:rsidRPr="00296478">
        <w:t xml:space="preserve"> across all assessed </w:t>
      </w:r>
      <w:r>
        <w:t>time points</w:t>
      </w:r>
      <w:r w:rsidRPr="00296478">
        <w:t xml:space="preserve"> (Days 2, 28, 56, 84, 112, 168, and 169), except for the comparison between UMEC/VI 62.5/25 </w:t>
      </w:r>
      <w:r>
        <w:t>µg</w:t>
      </w:r>
      <w:r w:rsidRPr="00296478">
        <w:t xml:space="preserve"> and UMEC 125 </w:t>
      </w:r>
      <w:r>
        <w:t>µg</w:t>
      </w:r>
      <w:r w:rsidRPr="00296478">
        <w:t xml:space="preserve"> at Days </w:t>
      </w:r>
      <w:r>
        <w:t xml:space="preserve">84, 112, 168 and 169, and that </w:t>
      </w:r>
      <w:r w:rsidRPr="00296478">
        <w:t xml:space="preserve">between UMEC/VI 125/25 </w:t>
      </w:r>
      <w:r>
        <w:t>µg</w:t>
      </w:r>
      <w:r w:rsidRPr="00296478">
        <w:t xml:space="preserve"> and UMEC 125 </w:t>
      </w:r>
      <w:r>
        <w:t>µg at Days 112, 168 and 169.</w:t>
      </w:r>
    </w:p>
    <w:p w:rsidR="00B13321" w:rsidRDefault="00B13321" w:rsidP="00B80494">
      <w:r w:rsidRPr="00296478">
        <w:t xml:space="preserve">Analysis of mean PEFR over Weeks 1 to 24 in study DB2113360 showed that there were statistically significantly greater LSM changes from baseline in mean PEFR over Weeks 1 to 24 for UMEC/VI 125/25 </w:t>
      </w:r>
      <w:r>
        <w:t>µg</w:t>
      </w:r>
      <w:r w:rsidRPr="00296478">
        <w:t xml:space="preserve"> compared to TIO and to VI 25 </w:t>
      </w:r>
      <w:r>
        <w:t>µg</w:t>
      </w:r>
      <w:r w:rsidRPr="00296478">
        <w:t xml:space="preserve">, and for UMEC/VI 62.5/25 </w:t>
      </w:r>
      <w:r>
        <w:t>µg</w:t>
      </w:r>
      <w:r w:rsidRPr="00296478">
        <w:t xml:space="preserve"> compared to VI 25 </w:t>
      </w:r>
      <w:r>
        <w:t>µg</w:t>
      </w:r>
      <w:r w:rsidRPr="00296478">
        <w:t xml:space="preserve">. The treatment difference between UMEC/VI 62.5/25 </w:t>
      </w:r>
      <w:r>
        <w:t>µg</w:t>
      </w:r>
      <w:r w:rsidRPr="00296478">
        <w:t xml:space="preserve"> and TIO was not statistically significant. Analysis of this endpoint in study DB2113374 showed that there were statistically significantly greater LSM changes from baseline in mean PEFR over Weeks 1 to 24 for both doses of UMEC/VI compared to TIO and to UMEC 125 </w:t>
      </w:r>
      <w:r>
        <w:t>µg.</w:t>
      </w:r>
    </w:p>
    <w:p w:rsidR="00B13321" w:rsidRPr="00DA7D87" w:rsidRDefault="00B13321" w:rsidP="00B80494">
      <w:pPr>
        <w:pStyle w:val="Heading6"/>
      </w:pPr>
      <w:r w:rsidRPr="00DA7D87">
        <w:t>Other efficacy endpoints relating to symptomatic relief and health outcomes</w:t>
      </w:r>
    </w:p>
    <w:p w:rsidR="00B13321" w:rsidRPr="00666019" w:rsidRDefault="00B13321" w:rsidP="00B80494">
      <w:r w:rsidRPr="00666019">
        <w:t xml:space="preserve">In study DB2113360, analysis of TDI focal score at Days 28, 84 and 168 showed that the treatment differences between either dose of UMEC/VI and TIO </w:t>
      </w:r>
      <w:proofErr w:type="gramStart"/>
      <w:r w:rsidRPr="00666019">
        <w:t>or</w:t>
      </w:r>
      <w:proofErr w:type="gramEnd"/>
      <w:r w:rsidRPr="00666019">
        <w:t xml:space="preserve"> VI 25 µg were all not statistically significant, except for that between UMEC/VI 125/25 µg and VI 25 µg at Days 28 and</w:t>
      </w:r>
      <w:r w:rsidR="004502F9">
        <w:t xml:space="preserve"> </w:t>
      </w:r>
      <w:r>
        <w:t>168</w:t>
      </w:r>
      <w:r w:rsidRPr="00666019">
        <w:t xml:space="preserve">. In study DB2113374, analysis of TDI focal score showed that there were statistically significantly greater LSM TDI focal score (that is, improvement from baseline) compared to </w:t>
      </w:r>
      <w:r w:rsidRPr="009D04CD">
        <w:t>placebo</w:t>
      </w:r>
      <w:r w:rsidRPr="00666019">
        <w:t xml:space="preserve"> for both doses of UMEC/VI compared to TIO and to UMEC 125 µg at Day 28, but the treatment differences at Day 168 between either dose of UMEC/VI and TIO or UMEC 125 µg were all not statistically significant. There were statistically significantly greater LSM TDI focal score at Day 84 for both doses of UMEC/VI compared to TIO, but the treatment differences between either dose of UMEC/VI and UMEC 125 µg were not statistically significant.</w:t>
      </w:r>
    </w:p>
    <w:p w:rsidR="00B13321" w:rsidRPr="00666019" w:rsidRDefault="00B13321" w:rsidP="008C017B">
      <w:r w:rsidRPr="00666019">
        <w:t>Analysis of the proportion of subjects responders to TDI (defined as a subject with a TDI score of 1 unit or more) at Days 28, 84 and 168 showed that in study DB2113360, treatment differences between either dose of UMEC/VI and TIO or VI 25 µg were all not statistically significant, except for that between UMEC/VI 125/25 µg and VI 25 µg at Day 168. In study DB2113374, subjects on UMEC/VI 125/25 µg had higher odds of being a TDI responder compared with TIO and with UMEC 125 µg at Day 28 (2.0 and 2.2 x higher likelihood, respectively; p ≤ 0.001). Subjects on UMEC/VI 62.5/25 µg also had higher odds of being a TDI responder compared with TIO and with UMEC 125 µg at Day 28 (1.6 and 1.7 x higher likelihood, respectively; p ≤ 0.03). The treatment differences at Day 168 between either dose of UMEC/VI and TIO or UMEC 125 µg were all not statistically significant. At Day 84, subjects on UMEC/VI 125/25 µg and those on UMEC/VI 62.5/25 µg had 1.9 (p = 0.002) and 1.8 (p = 0.004) times higher likelihood, respectively, of being a TDI responder compared with TIO, but th</w:t>
      </w:r>
      <w:r>
        <w:t xml:space="preserve">e treatment differences </w:t>
      </w:r>
      <w:r w:rsidRPr="009D04CD">
        <w:t>at Day 84 between</w:t>
      </w:r>
      <w:r w:rsidRPr="00666019">
        <w:t xml:space="preserve"> either dose of UMEC/VI and UMEC 125 µg were not statistically significant.</w:t>
      </w:r>
    </w:p>
    <w:p w:rsidR="00B13321" w:rsidRPr="00296478" w:rsidRDefault="00B13321" w:rsidP="00B80494">
      <w:r w:rsidRPr="00296478">
        <w:t xml:space="preserve">Analyses of the mean number of puffs of rescue medication per day over Weeks 1 to 24 showed that in study DB2113360, there were statistically significantly greater reductions from baseline in LSM rescue salbutamol use over Weeks 1 to 24 for both doses of UMEC/VI (125/25 </w:t>
      </w:r>
      <w:r>
        <w:t>µg</w:t>
      </w:r>
      <w:r w:rsidRPr="00296478">
        <w:t xml:space="preserve"> and 62.5/25 </w:t>
      </w:r>
      <w:r>
        <w:t>µg</w:t>
      </w:r>
      <w:r w:rsidRPr="00296478">
        <w:t xml:space="preserve">) compared with TIO (reduced by 0.6 </w:t>
      </w:r>
      <w:r>
        <w:t>(</w:t>
      </w:r>
      <w:r w:rsidRPr="00296478">
        <w:t>p</w:t>
      </w:r>
      <w:r>
        <w:t xml:space="preserve"> = </w:t>
      </w:r>
      <w:r w:rsidRPr="00296478">
        <w:t>0.031</w:t>
      </w:r>
      <w:r>
        <w:t>)</w:t>
      </w:r>
      <w:r w:rsidRPr="00296478">
        <w:t xml:space="preserve">, and 0.7 </w:t>
      </w:r>
      <w:r>
        <w:t>(</w:t>
      </w:r>
      <w:r w:rsidRPr="00296478">
        <w:t>p</w:t>
      </w:r>
      <w:r>
        <w:t xml:space="preserve"> = </w:t>
      </w:r>
      <w:r w:rsidRPr="00296478">
        <w:t>0.022</w:t>
      </w:r>
      <w:r>
        <w:t>)</w:t>
      </w:r>
      <w:r w:rsidRPr="00296478">
        <w:t xml:space="preserve"> puffs per day</w:t>
      </w:r>
      <w:r>
        <w:t>, respectively)</w:t>
      </w:r>
      <w:r w:rsidRPr="00296478">
        <w:t xml:space="preserve">. The treatment differences between either dose of UMEC/VI and VI 25 </w:t>
      </w:r>
      <w:r>
        <w:t>µg</w:t>
      </w:r>
      <w:r w:rsidRPr="00296478">
        <w:t xml:space="preserve"> were not statistically significant. In study DB2113374, there were statistically significantly greater reductions from baseline in LSM rescue salbutamol use over Weeks 1 to 24 for the UMEC/VI 125/25 </w:t>
      </w:r>
      <w:r>
        <w:t>µg</w:t>
      </w:r>
      <w:r w:rsidRPr="00296478">
        <w:t xml:space="preserve"> compared with TIO and with UMEC 125 </w:t>
      </w:r>
      <w:r>
        <w:t>µg</w:t>
      </w:r>
      <w:r w:rsidRPr="00296478">
        <w:t xml:space="preserve"> (reduced by 1.1 puffs per day for both comparisons; </w:t>
      </w:r>
      <w:r>
        <w:t>p &lt; 0.001)</w:t>
      </w:r>
      <w:r w:rsidRPr="00296478">
        <w:t xml:space="preserve">. Treatment differences between UMEC/VI 62.5/25 </w:t>
      </w:r>
      <w:r>
        <w:t>µg</w:t>
      </w:r>
      <w:r w:rsidRPr="00296478">
        <w:t xml:space="preserve"> and TIO or UMEC 125 </w:t>
      </w:r>
      <w:r>
        <w:t>µg</w:t>
      </w:r>
      <w:r w:rsidRPr="00296478">
        <w:t xml:space="preserve"> were</w:t>
      </w:r>
      <w:r>
        <w:t xml:space="preserve"> not statistically significant.</w:t>
      </w:r>
    </w:p>
    <w:p w:rsidR="00B13321" w:rsidRPr="0006604B" w:rsidRDefault="00B13321" w:rsidP="00B80494">
      <w:r w:rsidRPr="00296478">
        <w:lastRenderedPageBreak/>
        <w:t xml:space="preserve">Analyses of the percentage of </w:t>
      </w:r>
      <w:r>
        <w:t>rescue-free</w:t>
      </w:r>
      <w:r w:rsidRPr="00296478">
        <w:t xml:space="preserve"> days showed that in study DB2113360, the mean (SD) change from baseline at Weeks 1 through 24 in the percentage of </w:t>
      </w:r>
      <w:r>
        <w:t>rescue-free</w:t>
      </w:r>
      <w:r w:rsidRPr="00296478">
        <w:t xml:space="preserve"> days was 18.8% (39.24) and 18.6% (34.75) in the UMEC/VI 125/25 </w:t>
      </w:r>
      <w:r>
        <w:t>µg</w:t>
      </w:r>
      <w:r w:rsidRPr="00296478">
        <w:t xml:space="preserve"> and UMEC /VI 62.5/25 </w:t>
      </w:r>
      <w:r>
        <w:t>µg</w:t>
      </w:r>
      <w:r w:rsidRPr="00296478">
        <w:t xml:space="preserve"> groups, respectively, compared with 11.7% (35.77) and 16.3% (37.15) in the TIO and VI 25 </w:t>
      </w:r>
      <w:r>
        <w:t xml:space="preserve">µg </w:t>
      </w:r>
      <w:r w:rsidRPr="00296478">
        <w:t>group</w:t>
      </w:r>
      <w:r>
        <w:t>s, respectively</w:t>
      </w:r>
      <w:r w:rsidRPr="00296478">
        <w:t xml:space="preserve">. In study DB2113374, the mean (SD) change from baseline at Weeks 1 through 24 in the percentage of </w:t>
      </w:r>
      <w:r>
        <w:t>rescue-free</w:t>
      </w:r>
      <w:r w:rsidRPr="00296478">
        <w:t xml:space="preserve"> days was 26.9% (41.32) and 17.6% (40.11) in the UMEC/VI 125/25 </w:t>
      </w:r>
      <w:r>
        <w:t>µg</w:t>
      </w:r>
      <w:r w:rsidRPr="00296478">
        <w:t xml:space="preserve"> and UMEC /VI 62.5/25 </w:t>
      </w:r>
      <w:r>
        <w:t>µg</w:t>
      </w:r>
      <w:r w:rsidRPr="00296478">
        <w:t xml:space="preserve"> groups, respectively, compared with 13.4% (34.38) and 14.0% (36.62) in the TIO and UMEC 125 </w:t>
      </w:r>
      <w:r>
        <w:t xml:space="preserve">µg </w:t>
      </w:r>
      <w:r w:rsidRPr="00296478">
        <w:t>group</w:t>
      </w:r>
      <w:r>
        <w:t>s, respectively</w:t>
      </w:r>
      <w:r w:rsidRPr="00296478">
        <w:t>.</w:t>
      </w:r>
    </w:p>
    <w:p w:rsidR="00B13321" w:rsidRPr="00AE7BA3" w:rsidRDefault="00B13321" w:rsidP="00B80494">
      <w:r w:rsidRPr="00296478">
        <w:t xml:space="preserve">Analyses of the mean change from baseline in SOBDA score at Week 24 showed that in study DB2113360, treatment differences between either dose of UMEC/VI and TIO </w:t>
      </w:r>
      <w:proofErr w:type="gramStart"/>
      <w:r w:rsidRPr="00296478">
        <w:t>or</w:t>
      </w:r>
      <w:proofErr w:type="gramEnd"/>
      <w:r w:rsidRPr="00296478">
        <w:t xml:space="preserve"> VI 25 </w:t>
      </w:r>
      <w:r>
        <w:t>µg</w:t>
      </w:r>
      <w:r w:rsidRPr="00296478">
        <w:t xml:space="preserve"> were all not statistica</w:t>
      </w:r>
      <w:r>
        <w:t>lly significant</w:t>
      </w:r>
      <w:r w:rsidRPr="00296478">
        <w:t xml:space="preserve">. LSM change from baseline in SOBDA score across </w:t>
      </w:r>
      <w:r>
        <w:t>time points in study DB211336</w:t>
      </w:r>
      <w:r w:rsidR="00027A82">
        <w:t>0</w:t>
      </w:r>
      <w:r w:rsidRPr="00296478">
        <w:t xml:space="preserve"> </w:t>
      </w:r>
      <w:r>
        <w:t>were presented in in the CER</w:t>
      </w:r>
      <w:r w:rsidRPr="00296478">
        <w:t xml:space="preserve">. In study DB2113374, there were statistically significantly greater LSM mean SOBDA score </w:t>
      </w:r>
      <w:proofErr w:type="gramStart"/>
      <w:r w:rsidRPr="00296478">
        <w:t>improv</w:t>
      </w:r>
      <w:r>
        <w:t>ement</w:t>
      </w:r>
      <w:proofErr w:type="gramEnd"/>
      <w:r>
        <w:t xml:space="preserve"> from baseline at Week 24 </w:t>
      </w:r>
      <w:r w:rsidRPr="00296478">
        <w:t xml:space="preserve">for UMEC/VI 125/25 </w:t>
      </w:r>
      <w:r>
        <w:t>µg</w:t>
      </w:r>
      <w:r w:rsidRPr="00296478">
        <w:t xml:space="preserve"> compared to TIO and to UMEC 125 </w:t>
      </w:r>
      <w:r>
        <w:t>µg</w:t>
      </w:r>
      <w:r w:rsidRPr="00296478">
        <w:t xml:space="preserve">. Treatment differences between UMEC/VI 62.5/25 </w:t>
      </w:r>
      <w:r>
        <w:t>µg</w:t>
      </w:r>
      <w:r w:rsidRPr="00296478">
        <w:t xml:space="preserve"> and TIO or UMEC 125 </w:t>
      </w:r>
      <w:r>
        <w:t>µg</w:t>
      </w:r>
      <w:r w:rsidRPr="00296478">
        <w:t xml:space="preserve"> were not statistically significant. LSM change from baseline in SOBDA score across </w:t>
      </w:r>
      <w:r>
        <w:t xml:space="preserve">time </w:t>
      </w:r>
      <w:r w:rsidRPr="00A63798">
        <w:t>points in study DB211337</w:t>
      </w:r>
      <w:r w:rsidR="00027A82">
        <w:t>4</w:t>
      </w:r>
      <w:r w:rsidRPr="00A63798">
        <w:t xml:space="preserve"> </w:t>
      </w:r>
      <w:r>
        <w:t>was</w:t>
      </w:r>
      <w:r w:rsidRPr="00A63798">
        <w:t xml:space="preserve"> presented</w:t>
      </w:r>
      <w:r>
        <w:t xml:space="preserve"> in the CER.</w:t>
      </w:r>
    </w:p>
    <w:p w:rsidR="00B13321" w:rsidRPr="00296478" w:rsidRDefault="00B13321" w:rsidP="00B80494">
      <w:r w:rsidRPr="00296478">
        <w:t xml:space="preserve">Analysis of the proportion of responders to the SOBDA at Week 24 showed that in study DB2113360, treatment differences between either dose of UMEC/VI and TIO </w:t>
      </w:r>
      <w:proofErr w:type="gramStart"/>
      <w:r w:rsidRPr="00296478">
        <w:t>or</w:t>
      </w:r>
      <w:proofErr w:type="gramEnd"/>
      <w:r w:rsidRPr="00296478">
        <w:t xml:space="preserve"> VI 25 </w:t>
      </w:r>
      <w:r>
        <w:t>µg</w:t>
      </w:r>
      <w:r w:rsidRPr="00296478">
        <w:t xml:space="preserve"> were all not statistically significant for both respond</w:t>
      </w:r>
      <w:r>
        <w:t>er thresholds of -0.1 and -0.2.</w:t>
      </w:r>
    </w:p>
    <w:p w:rsidR="00B13321" w:rsidRPr="00296478" w:rsidRDefault="00B13321" w:rsidP="00B80494">
      <w:r w:rsidRPr="00296478">
        <w:t>In study DB2113374, treatment differences between either d</w:t>
      </w:r>
      <w:r>
        <w:t>ose of UMEC/VI and TIO or VI 25 µg</w:t>
      </w:r>
      <w:r w:rsidRPr="00296478">
        <w:t xml:space="preserve"> were also all not statistically significant for both responder thresholds of -0.1 and -0.2 except for the comparison between UMEC/VI 125/25 </w:t>
      </w:r>
      <w:r>
        <w:t>µg</w:t>
      </w:r>
      <w:r w:rsidRPr="00296478">
        <w:t xml:space="preserve"> and UMEC 125 </w:t>
      </w:r>
      <w:r>
        <w:t>µg</w:t>
      </w:r>
      <w:r w:rsidRPr="00296478">
        <w:t xml:space="preserve"> for both responder thresholds of -0.1 and -0.2, which showed that subjects on UMEC/VI 125/25 </w:t>
      </w:r>
      <w:r>
        <w:t>µg</w:t>
      </w:r>
      <w:r w:rsidRPr="00296478">
        <w:t xml:space="preserve"> had 1.6 (p</w:t>
      </w:r>
      <w:r>
        <w:t xml:space="preserve"> = </w:t>
      </w:r>
      <w:r w:rsidRPr="00296478">
        <w:t>0.023) and 2.1 (p</w:t>
      </w:r>
      <w:r>
        <w:t xml:space="preserve"> = </w:t>
      </w:r>
      <w:r w:rsidRPr="00296478">
        <w:t xml:space="preserve">0.002) times higher likelihood of being a responder at Week 24 compared to those on UMEC 125 </w:t>
      </w:r>
      <w:r>
        <w:t>µg.</w:t>
      </w:r>
    </w:p>
    <w:p w:rsidR="00B13321" w:rsidRPr="00296478" w:rsidRDefault="00B13321" w:rsidP="00B80494">
      <w:r w:rsidRPr="00296478">
        <w:t>In study DB2113360, the</w:t>
      </w:r>
      <w:r>
        <w:t xml:space="preserve"> proportion of subjects with on </w:t>
      </w:r>
      <w:r w:rsidRPr="00296478">
        <w:t xml:space="preserve">treatment COPD exacerbations was comparable among treatment groups (5%, 7%, 5%, and 8% in the UMEC/VI 125/25 </w:t>
      </w:r>
      <w:r>
        <w:t>µg</w:t>
      </w:r>
      <w:r w:rsidRPr="00296478">
        <w:t xml:space="preserve">, UMEC/VI 62.5/25 </w:t>
      </w:r>
      <w:r>
        <w:t>µg</w:t>
      </w:r>
      <w:r w:rsidRPr="00296478">
        <w:t xml:space="preserve">, </w:t>
      </w:r>
      <w:proofErr w:type="gramStart"/>
      <w:r w:rsidRPr="00296478">
        <w:t>TIO</w:t>
      </w:r>
      <w:proofErr w:type="gramEnd"/>
      <w:r w:rsidRPr="00296478">
        <w:t xml:space="preserve"> and VI 25 </w:t>
      </w:r>
      <w:r>
        <w:t>µg groups, respectively)</w:t>
      </w:r>
      <w:r w:rsidRPr="00296478">
        <w:t xml:space="preserve">. Results of the analysis of time to first </w:t>
      </w:r>
      <w:r>
        <w:t>on-treatment</w:t>
      </w:r>
      <w:r w:rsidRPr="00296478">
        <w:t xml:space="preserve"> COPD exacerbation showed that treatment differences between either dose of UMEC/VI and TIO </w:t>
      </w:r>
      <w:proofErr w:type="gramStart"/>
      <w:r w:rsidRPr="00296478">
        <w:t>or</w:t>
      </w:r>
      <w:proofErr w:type="gramEnd"/>
      <w:r w:rsidRPr="00296478">
        <w:t xml:space="preserve"> VI 25 </w:t>
      </w:r>
      <w:r>
        <w:t>µg</w:t>
      </w:r>
      <w:r w:rsidRPr="00296478">
        <w:t xml:space="preserve"> were all not statistically significant. In study DB2113374, the</w:t>
      </w:r>
      <w:r>
        <w:t xml:space="preserve"> proportion of subjects with on-</w:t>
      </w:r>
      <w:r w:rsidRPr="00296478">
        <w:t xml:space="preserve">treatment COPD exacerbations were 7%, 12%, 7% and 12% in the UMEC/VI 125/25 </w:t>
      </w:r>
      <w:r>
        <w:t>µg</w:t>
      </w:r>
      <w:r w:rsidRPr="00296478">
        <w:t xml:space="preserve">, UMEC/VI 62.5/25 </w:t>
      </w:r>
      <w:r>
        <w:t>µg</w:t>
      </w:r>
      <w:r w:rsidRPr="00296478">
        <w:t xml:space="preserve">, TIO and UMEC 125 </w:t>
      </w:r>
      <w:r>
        <w:t>µg</w:t>
      </w:r>
      <w:r w:rsidRPr="00296478">
        <w:t xml:space="preserve"> groups, respectively. Results of the analysis of time to first </w:t>
      </w:r>
      <w:r>
        <w:t>on treatment</w:t>
      </w:r>
      <w:r w:rsidRPr="00296478">
        <w:t xml:space="preserve"> COPD exacerbation showed that treatment differences between either dose of UMEC/VI and TIO </w:t>
      </w:r>
      <w:proofErr w:type="gramStart"/>
      <w:r w:rsidRPr="00296478">
        <w:t>or</w:t>
      </w:r>
      <w:proofErr w:type="gramEnd"/>
      <w:r w:rsidRPr="00296478">
        <w:t xml:space="preserve"> UMEC 125 </w:t>
      </w:r>
      <w:r>
        <w:t>µg</w:t>
      </w:r>
      <w:r w:rsidRPr="00296478">
        <w:t xml:space="preserve"> were all</w:t>
      </w:r>
      <w:r>
        <w:t xml:space="preserve"> not statistically significant.</w:t>
      </w:r>
    </w:p>
    <w:p w:rsidR="00B13321" w:rsidRPr="00296478" w:rsidRDefault="00B13321" w:rsidP="00B80494">
      <w:r w:rsidRPr="00296478">
        <w:t xml:space="preserve">A summary of subject preferences for the </w:t>
      </w:r>
      <w:proofErr w:type="spellStart"/>
      <w:r w:rsidRPr="00296478">
        <w:t>HandiHaler</w:t>
      </w:r>
      <w:proofErr w:type="spellEnd"/>
      <w:r w:rsidRPr="00296478">
        <w:t xml:space="preserve"> versus the NDPI in terms of number of steps, time needed to use, and overall preference </w:t>
      </w:r>
      <w:r>
        <w:t>was provided</w:t>
      </w:r>
      <w:r w:rsidRPr="00296478">
        <w:t xml:space="preserve">. In study DB2113360, 59% to 64% of subjects across the treatment groups had an overall preference for the NDPI, compared with 11% to 16% for the </w:t>
      </w:r>
      <w:proofErr w:type="spellStart"/>
      <w:r w:rsidRPr="00296478">
        <w:t>HandiHaler</w:t>
      </w:r>
      <w:proofErr w:type="spellEnd"/>
      <w:r w:rsidRPr="00296478">
        <w:t xml:space="preserve"> device. In study DB2113374, 60% to 65% of subjects across the treatment groups had an overall preference for the NDPI, compared with 14% to</w:t>
      </w:r>
      <w:r>
        <w:t xml:space="preserve"> 21% for the </w:t>
      </w:r>
      <w:proofErr w:type="spellStart"/>
      <w:r>
        <w:t>HandiHaler</w:t>
      </w:r>
      <w:proofErr w:type="spellEnd"/>
      <w:r>
        <w:t xml:space="preserve"> device.</w:t>
      </w:r>
    </w:p>
    <w:p w:rsidR="00B13321" w:rsidRPr="00296478" w:rsidRDefault="00B13321" w:rsidP="00B80494">
      <w:r w:rsidRPr="00296478">
        <w:t xml:space="preserve">Analysis of the improvement from baseline in SGRQ total score at Day 168 showed that in study DB2113360, treatment differences between either dose of UMEC/VI and TIO </w:t>
      </w:r>
      <w:proofErr w:type="gramStart"/>
      <w:r w:rsidRPr="00296478">
        <w:t>or</w:t>
      </w:r>
      <w:proofErr w:type="gramEnd"/>
      <w:r w:rsidRPr="00296478">
        <w:t xml:space="preserve"> VI 25 </w:t>
      </w:r>
      <w:r>
        <w:t>µg</w:t>
      </w:r>
      <w:r w:rsidRPr="00296478">
        <w:t xml:space="preserve"> were all not statistica</w:t>
      </w:r>
      <w:r>
        <w:t>lly significant</w:t>
      </w:r>
      <w:r w:rsidRPr="00296478">
        <w:t xml:space="preserve">. In study DB2113374, analysis of this endpoint also showed that treatment differences between either dose of UMEC/VI and TIO </w:t>
      </w:r>
      <w:proofErr w:type="gramStart"/>
      <w:r w:rsidRPr="00296478">
        <w:t>or</w:t>
      </w:r>
      <w:proofErr w:type="gramEnd"/>
      <w:r w:rsidRPr="00296478">
        <w:t xml:space="preserve"> UMEC 125 </w:t>
      </w:r>
      <w:r>
        <w:t>µg</w:t>
      </w:r>
      <w:r w:rsidRPr="00296478">
        <w:t xml:space="preserve"> were all </w:t>
      </w:r>
      <w:r>
        <w:t>not statistically significant.</w:t>
      </w:r>
    </w:p>
    <w:p w:rsidR="00B13321" w:rsidRPr="00296478" w:rsidRDefault="00B13321" w:rsidP="00B80494">
      <w:r w:rsidRPr="00296478">
        <w:t xml:space="preserve">Analysis of the proportion of SGRQ responders (defined as having a SGRQ total score of 4 units below baseline </w:t>
      </w:r>
      <w:r>
        <w:t>(</w:t>
      </w:r>
      <w:r w:rsidRPr="00296478">
        <w:t>score on Day 1</w:t>
      </w:r>
      <w:r>
        <w:t>)</w:t>
      </w:r>
      <w:r w:rsidRPr="00296478">
        <w:t xml:space="preserve"> or lower) at Day 168 showed that in study DB2113360, the proportion of SGRQ responders were comparable across treatment groups (53%, 49%, 52% and 52% in the UMEC/VI 125/25 </w:t>
      </w:r>
      <w:r>
        <w:t>µg</w:t>
      </w:r>
      <w:r w:rsidRPr="00296478">
        <w:t xml:space="preserve">, UMEC/VI 62.5/25 </w:t>
      </w:r>
      <w:r>
        <w:t>µg</w:t>
      </w:r>
      <w:r w:rsidRPr="00296478">
        <w:t xml:space="preserve">, TIO and VI 25 </w:t>
      </w:r>
      <w:r>
        <w:t>µg</w:t>
      </w:r>
      <w:r w:rsidRPr="00296478">
        <w:t xml:space="preserve"> groups, respectively), </w:t>
      </w:r>
      <w:r w:rsidRPr="00296478">
        <w:lastRenderedPageBreak/>
        <w:t xml:space="preserve">and treatment differences between either dose of UMEC/VI and TIO or VI 25 </w:t>
      </w:r>
      <w:r>
        <w:t>µg</w:t>
      </w:r>
      <w:r w:rsidRPr="00296478">
        <w:t xml:space="preserve"> were all not statistically significant. In study DB2113374, the proportion of SGRQ responders were also comparable across treatment groups (</w:t>
      </w:r>
      <w:r w:rsidRPr="00A63798">
        <w:t xml:space="preserve">53%, 49%, 52% and 52% </w:t>
      </w:r>
      <w:r>
        <w:rPr>
          <w:rStyle w:val="FootnoteReference"/>
        </w:rPr>
        <w:footnoteReference w:id="44"/>
      </w:r>
      <w:r w:rsidRPr="00296478">
        <w:t xml:space="preserve">in the UMEC/VI 125/25 </w:t>
      </w:r>
      <w:r>
        <w:t>µg</w:t>
      </w:r>
      <w:r w:rsidRPr="00296478">
        <w:t xml:space="preserve">, UMEC/VI 62.5/25 </w:t>
      </w:r>
      <w:r>
        <w:t>µg</w:t>
      </w:r>
      <w:r w:rsidRPr="00296478">
        <w:t xml:space="preserve">, TIO and UMEC 125 </w:t>
      </w:r>
      <w:r>
        <w:t>µg</w:t>
      </w:r>
      <w:r w:rsidRPr="00296478">
        <w:t xml:space="preserve"> groups, respectively), and treatment differences between either dose of UMEC/VI and TIO or UMEC 125 </w:t>
      </w:r>
      <w:r>
        <w:t>µg</w:t>
      </w:r>
      <w:r w:rsidRPr="00296478">
        <w:t xml:space="preserve"> were all not statistically significant.</w:t>
      </w:r>
    </w:p>
    <w:p w:rsidR="00B13321" w:rsidRPr="00296478" w:rsidRDefault="00B13321" w:rsidP="00B80494">
      <w:r w:rsidRPr="00296478">
        <w:t xml:space="preserve">Descriptive summary of the changes from baseline in the SGRQ symptoms, activity, and impacts domain scores at Day 168 in studies DB2113360 and DB2113374 </w:t>
      </w:r>
      <w:r>
        <w:t>were presented and showed</w:t>
      </w:r>
      <w:r w:rsidRPr="00296478">
        <w:t xml:space="preserve"> that reductions from baseline (</w:t>
      </w:r>
      <w:r>
        <w:t>that is,</w:t>
      </w:r>
      <w:r w:rsidRPr="00296478">
        <w:t xml:space="preserve"> improvement) in these SGRQ component scores were generally comparable across all treatment groups in both studies.</w:t>
      </w:r>
    </w:p>
    <w:p w:rsidR="00B13321" w:rsidRPr="00296478" w:rsidRDefault="00B13321" w:rsidP="00B80494">
      <w:r w:rsidRPr="00296478">
        <w:t xml:space="preserve">Descriptive summary of change from baseline in the EQ-5D Index Score in studies DB2113360 and DB2113374 </w:t>
      </w:r>
      <w:r>
        <w:t>were provided</w:t>
      </w:r>
      <w:r w:rsidRPr="00296478">
        <w:t>. In study DB2113360, there was numerically greater increase from baseline (</w:t>
      </w:r>
      <w:r>
        <w:t>that is,</w:t>
      </w:r>
      <w:r w:rsidRPr="00296478">
        <w:t xml:space="preserve"> improvement) in the EQ-5D Index Score with UMEC/VI 125/25 </w:t>
      </w:r>
      <w:r>
        <w:t>µg</w:t>
      </w:r>
      <w:r w:rsidRPr="00296478">
        <w:t xml:space="preserve"> and UMEC/VI 62.5/25 </w:t>
      </w:r>
      <w:r>
        <w:t>µg</w:t>
      </w:r>
      <w:r w:rsidRPr="00296478">
        <w:t xml:space="preserve"> compared with TIO or VI 25 </w:t>
      </w:r>
      <w:r>
        <w:t>µg</w:t>
      </w:r>
      <w:r w:rsidRPr="00296478">
        <w:t>, at Days 28, 84 and 168. In study DB2113374, there was numerically greater increase from baseline (</w:t>
      </w:r>
      <w:r>
        <w:t>that is,</w:t>
      </w:r>
      <w:r w:rsidRPr="00296478">
        <w:t xml:space="preserve"> improvement) in the EQ-5D Index Score with UMEC/VI 125/25 </w:t>
      </w:r>
      <w:r>
        <w:t>µg</w:t>
      </w:r>
      <w:r w:rsidRPr="00296478">
        <w:t xml:space="preserve"> and UMEC/VI 62.5/25 </w:t>
      </w:r>
      <w:r>
        <w:t>µg</w:t>
      </w:r>
      <w:r w:rsidRPr="00296478">
        <w:t xml:space="preserve"> compared with TIO or UMEC 125 </w:t>
      </w:r>
      <w:r>
        <w:t>µg</w:t>
      </w:r>
      <w:r w:rsidRPr="00296478">
        <w:t xml:space="preserve"> at Day 28, while the improvements in the EQ-5D Index Score at Days 84 and 168 were comparable across treatment groups.</w:t>
      </w:r>
    </w:p>
    <w:p w:rsidR="00B13321" w:rsidRPr="00296478" w:rsidRDefault="00B13321" w:rsidP="00B80494">
      <w:r w:rsidRPr="00296478">
        <w:t xml:space="preserve">Descriptive summary of change from baseline in the COPD Assessment Test Score in studies DB2113360 and DB2113374 </w:t>
      </w:r>
      <w:r>
        <w:t>were provided and showed</w:t>
      </w:r>
      <w:r w:rsidRPr="00296478">
        <w:t xml:space="preserve"> that reductions from baseline (</w:t>
      </w:r>
      <w:r>
        <w:t>i.e.</w:t>
      </w:r>
      <w:r w:rsidRPr="00296478">
        <w:t xml:space="preserve"> improvement) in COPD Assessment Test score were generally comparable across all treatment groups in both studies.</w:t>
      </w:r>
    </w:p>
    <w:p w:rsidR="00B13321" w:rsidRPr="00296478" w:rsidRDefault="00B13321" w:rsidP="00B80494">
      <w:r w:rsidRPr="00296478">
        <w:t xml:space="preserve">Analysis of healthcare resource utilisation in studies DB2113360 and DB2113374 yielded results that were generally comparable across all treatment groups. In study DB2113360, 36% and 31% of subjects in the UMEC/VI 125/25 </w:t>
      </w:r>
      <w:r>
        <w:t>µg</w:t>
      </w:r>
      <w:r w:rsidRPr="00296478">
        <w:t xml:space="preserve"> and UMEC/VI 62.5/25 </w:t>
      </w:r>
      <w:r>
        <w:t>µg</w:t>
      </w:r>
      <w:r w:rsidRPr="00296478">
        <w:t xml:space="preserve"> groups, respectively, reported contact with a healthcare provider on any day during the study, compared with 29% and 30% in the TIO 18 </w:t>
      </w:r>
      <w:r>
        <w:t>µg</w:t>
      </w:r>
      <w:r w:rsidRPr="00296478">
        <w:t xml:space="preserve"> and VI 25 </w:t>
      </w:r>
      <w:r>
        <w:t>µg</w:t>
      </w:r>
      <w:r w:rsidRPr="00296478">
        <w:t xml:space="preserve"> groups, respectively. The proportions of subjects who reported unscheduled healthcare utilisation were 8% and 6% in the UMEC/VI 125/25 </w:t>
      </w:r>
      <w:r>
        <w:t>µg</w:t>
      </w:r>
      <w:r w:rsidRPr="00296478">
        <w:t xml:space="preserve"> and UMEC/VI 62.5/25 </w:t>
      </w:r>
      <w:r>
        <w:t>µg</w:t>
      </w:r>
      <w:r w:rsidRPr="00296478">
        <w:t xml:space="preserve"> groups, respectively, compared to 8% and 7% in the TIO 18 </w:t>
      </w:r>
      <w:r>
        <w:t>µg and VI 25 µg</w:t>
      </w:r>
      <w:r w:rsidRPr="00296478">
        <w:t xml:space="preserve"> groups, respectively. In study DB2113374, 21% and 29% of subjects in the UMEC/VI 125/25 </w:t>
      </w:r>
      <w:r>
        <w:t>µg</w:t>
      </w:r>
      <w:r w:rsidRPr="00296478">
        <w:t xml:space="preserve"> and UMEC/VI 62.5/25 </w:t>
      </w:r>
      <w:r>
        <w:t>µg</w:t>
      </w:r>
      <w:r w:rsidRPr="00296478">
        <w:t xml:space="preserve"> groups, respectively, reported contact with a healthcare provider on any day during the study, compared with 32% and 35% in the TIO 18 </w:t>
      </w:r>
      <w:r>
        <w:t>µg</w:t>
      </w:r>
      <w:r w:rsidRPr="00296478">
        <w:t xml:space="preserve"> and UMEC 125 </w:t>
      </w:r>
      <w:r>
        <w:t>µg</w:t>
      </w:r>
      <w:r w:rsidRPr="00296478">
        <w:t xml:space="preserve"> groups, respectively. The proportions of subjects who reported unscheduled healthcare utilisation were 7% and 11% in the UMEC/VI 125/25 </w:t>
      </w:r>
      <w:r>
        <w:t>µg</w:t>
      </w:r>
      <w:r w:rsidRPr="00296478">
        <w:t xml:space="preserve"> and UMEC/VI 62.5/25 </w:t>
      </w:r>
      <w:r>
        <w:t>µg</w:t>
      </w:r>
      <w:r w:rsidRPr="00296478">
        <w:t xml:space="preserve"> groups, respectively, compared to 6% and 9% in the TIO 18 </w:t>
      </w:r>
      <w:r>
        <w:t>µg</w:t>
      </w:r>
      <w:r w:rsidRPr="00296478">
        <w:t xml:space="preserve"> and UMEC 125 </w:t>
      </w:r>
      <w:r>
        <w:t>µg groups, respectively.</w:t>
      </w:r>
    </w:p>
    <w:p w:rsidR="00B13321" w:rsidRPr="00DA7D87" w:rsidRDefault="00B13321" w:rsidP="00B80494">
      <w:pPr>
        <w:pStyle w:val="Heading5"/>
      </w:pPr>
      <w:r w:rsidRPr="00DA7D87">
        <w:t>Meta-analysis endpoints</w:t>
      </w:r>
    </w:p>
    <w:p w:rsidR="00B13321" w:rsidRPr="00DA7D87" w:rsidRDefault="00B13321" w:rsidP="00B80494">
      <w:r w:rsidRPr="00DA7D87">
        <w:t>The primary endpoint for this meta-analysis was the TDI focal score at Day 168. Other endpoints were TDI focal score at Days 28 and 84 and the proportion of responders according to TDI at Days 28, 84 and 168. In the meta-analysis, the primary comparisons of interest were between each dose of UMEC/VI and TIO on the TDI focal score at Day 168. For each UMEC/VI dose, inference could be drawn only if the comparison of that dose with TIO on the individual study primary endpoint of trough FEV1 on Day 169 was statistically significant in each individual study, as determined by the specific testing hierarchy within each study. In study DB2113360, the requirements for the testing hierarchy were met for both doses of UMEC/VI</w:t>
      </w:r>
      <w:r w:rsidRPr="006A23F5">
        <w:t>.</w:t>
      </w:r>
      <w:r w:rsidRPr="00DD1EE4">
        <w:t xml:space="preserve"> In</w:t>
      </w:r>
      <w:r w:rsidRPr="00DA7D87">
        <w:t xml:space="preserve"> study DB2113374, the treatment difference for the study primary endpoint of trough FEV1 on Day 169 between UMEC/VI 125/25 </w:t>
      </w:r>
      <w:r>
        <w:t>µg</w:t>
      </w:r>
      <w:r w:rsidRPr="00DA7D87">
        <w:t xml:space="preserve"> and UMEC 125 </w:t>
      </w:r>
      <w:r>
        <w:t>µg</w:t>
      </w:r>
      <w:r w:rsidRPr="00DA7D87">
        <w:t xml:space="preserve"> was not statistically significant, and hence, by the statistical testing hierarchy rules of the study, statistical inference could not be made for the comparison between UMEC/VI 62.5/25 </w:t>
      </w:r>
      <w:r>
        <w:t>µg</w:t>
      </w:r>
      <w:r w:rsidRPr="00DA7D87">
        <w:t xml:space="preserve"> and TIO. Hence, in this meta-analysis, </w:t>
      </w:r>
      <w:r w:rsidRPr="00DA7D87">
        <w:lastRenderedPageBreak/>
        <w:t xml:space="preserve">statistical inference for the comparison of TDI focal score for UMEC/VI 125/25 </w:t>
      </w:r>
      <w:r>
        <w:t>µg</w:t>
      </w:r>
      <w:r w:rsidRPr="00DA7D87">
        <w:t xml:space="preserve"> </w:t>
      </w:r>
      <w:r>
        <w:t>vs.</w:t>
      </w:r>
      <w:r w:rsidRPr="00DA7D87">
        <w:t xml:space="preserve"> TIO could be drawn, but that for UMEC/VI 62.5/25 </w:t>
      </w:r>
      <w:r>
        <w:t>µg</w:t>
      </w:r>
      <w:r w:rsidRPr="00DA7D87">
        <w:t xml:space="preserve"> </w:t>
      </w:r>
      <w:r>
        <w:t>vs. TIO could not be drawn.</w:t>
      </w:r>
    </w:p>
    <w:p w:rsidR="00B13321" w:rsidRPr="00DA7D87" w:rsidRDefault="00B13321" w:rsidP="00B80494">
      <w:r w:rsidRPr="00DA7D87">
        <w:t xml:space="preserve">In this meta-analysis, the primary comparisons between each dose of UMEC/VI and TIO for TDI focal score at Day 168 were not statistically significant. Other comparisons for the TDI focal score at Day 168 (UMEC/VI 125/25 </w:t>
      </w:r>
      <w:r>
        <w:t>µg</w:t>
      </w:r>
      <w:r w:rsidRPr="00DA7D87">
        <w:t xml:space="preserve"> </w:t>
      </w:r>
      <w:r>
        <w:t>vs.</w:t>
      </w:r>
      <w:r w:rsidRPr="00DA7D87">
        <w:t xml:space="preserve"> VI 25 </w:t>
      </w:r>
      <w:r>
        <w:t>µg</w:t>
      </w:r>
      <w:r w:rsidRPr="00DA7D87">
        <w:t xml:space="preserve">, UMEC/VI 125/25 </w:t>
      </w:r>
      <w:r>
        <w:t>µg</w:t>
      </w:r>
      <w:r w:rsidRPr="00DA7D87">
        <w:t xml:space="preserve"> </w:t>
      </w:r>
      <w:r w:rsidRPr="006C23F4">
        <w:t>vs.</w:t>
      </w:r>
      <w:r w:rsidRPr="00DA7D87">
        <w:t xml:space="preserve"> UMEC 125 </w:t>
      </w:r>
      <w:r>
        <w:t>µg</w:t>
      </w:r>
      <w:r w:rsidRPr="00DA7D87">
        <w:t xml:space="preserve">, UMEC/VI 62.5/25 </w:t>
      </w:r>
      <w:r>
        <w:t>µg</w:t>
      </w:r>
      <w:r w:rsidRPr="00DA7D87">
        <w:t xml:space="preserve"> </w:t>
      </w:r>
      <w:r w:rsidRPr="006C23F4">
        <w:t>vs.</w:t>
      </w:r>
      <w:r w:rsidRPr="00DA7D87">
        <w:t xml:space="preserve"> VI 25 </w:t>
      </w:r>
      <w:r>
        <w:t>µg</w:t>
      </w:r>
      <w:r w:rsidRPr="00DA7D87">
        <w:t xml:space="preserve">, and UMEC/VI 62.5/25 </w:t>
      </w:r>
      <w:r>
        <w:t>µg</w:t>
      </w:r>
      <w:r w:rsidRPr="00DA7D87">
        <w:t xml:space="preserve"> </w:t>
      </w:r>
      <w:r w:rsidRPr="006C23F4">
        <w:t>vs.</w:t>
      </w:r>
      <w:r w:rsidRPr="00DA7D87">
        <w:t xml:space="preserve"> UMEC 125 </w:t>
      </w:r>
      <w:r>
        <w:t>µg</w:t>
      </w:r>
      <w:r w:rsidRPr="00DA7D87">
        <w:t xml:space="preserve">) all yielded results that were not statistically significant, except for the comparison between UMEC/VI 125/25 </w:t>
      </w:r>
      <w:r>
        <w:t>µg</w:t>
      </w:r>
      <w:r w:rsidRPr="00DA7D87">
        <w:t xml:space="preserve"> </w:t>
      </w:r>
      <w:r w:rsidRPr="006C23F4">
        <w:t>vs.</w:t>
      </w:r>
      <w:r w:rsidRPr="00DA7D87">
        <w:t xml:space="preserve"> UMEC 125 </w:t>
      </w:r>
      <w:r>
        <w:t>µg</w:t>
      </w:r>
      <w:r w:rsidRPr="00DA7D87">
        <w:t xml:space="preserve"> (a difference of 0.8 in the TDI focal score in favour of UMEC/VI 125/25 </w:t>
      </w:r>
      <w:r>
        <w:t>µg</w:t>
      </w:r>
      <w:r w:rsidRPr="00DA7D87">
        <w:t>, p</w:t>
      </w:r>
      <w:r>
        <w:t xml:space="preserve"> = </w:t>
      </w:r>
      <w:r w:rsidRPr="00DA7D87">
        <w:t>0.010).</w:t>
      </w:r>
    </w:p>
    <w:p w:rsidR="00B13321" w:rsidRDefault="00B13321" w:rsidP="00B80494">
      <w:r w:rsidRPr="00DA7D87">
        <w:t>Analysis of TDI focal score at Days 28 and 84 showed statistically significant results in favour of both doses of UME</w:t>
      </w:r>
      <w:r>
        <w:t xml:space="preserve">C/VI </w:t>
      </w:r>
      <w:r w:rsidRPr="00F41A7C">
        <w:t xml:space="preserve">versus TIO (Figure </w:t>
      </w:r>
      <w:r w:rsidR="004502F9">
        <w:t>21</w:t>
      </w:r>
      <w:r w:rsidRPr="00F41A7C">
        <w:t>). Comparisons</w:t>
      </w:r>
      <w:r w:rsidRPr="00DA7D87">
        <w:t xml:space="preserve"> between both doses of UMEC/VI and their individual components, </w:t>
      </w:r>
      <w:r>
        <w:t xml:space="preserve">for TDI focal score at Day 28, </w:t>
      </w:r>
      <w:r w:rsidRPr="00DA7D87">
        <w:t>all yielded statistically significant results in favour of UMEC/VI ov</w:t>
      </w:r>
      <w:r>
        <w:t xml:space="preserve">er the individual components, </w:t>
      </w:r>
      <w:r w:rsidRPr="00DA7D87">
        <w:t xml:space="preserve">except for the comparison between UMEC/VI 62.5/25 </w:t>
      </w:r>
      <w:r>
        <w:t>µg</w:t>
      </w:r>
      <w:r w:rsidRPr="00DA7D87">
        <w:t xml:space="preserve"> and VI 25 </w:t>
      </w:r>
      <w:r>
        <w:t>µg</w:t>
      </w:r>
      <w:r w:rsidRPr="00DA7D87">
        <w:t xml:space="preserve"> (p</w:t>
      </w:r>
      <w:r>
        <w:t xml:space="preserve"> = </w:t>
      </w:r>
      <w:r w:rsidRPr="00DA7D87">
        <w:t>0.070). Comparisons between both doses of UMEC/VI and their individual components all yielded results that were not statistically significant, for TDI focal score at Day 84.</w:t>
      </w:r>
    </w:p>
    <w:p w:rsidR="00B13321" w:rsidRDefault="00B13321" w:rsidP="008A1EA7">
      <w:pPr>
        <w:pStyle w:val="FigureTitle"/>
      </w:pPr>
      <w:proofErr w:type="gramStart"/>
      <w:r w:rsidRPr="00A977BD">
        <w:t xml:space="preserve">Figure </w:t>
      </w:r>
      <w:r w:rsidR="004502F9">
        <w:t>21</w:t>
      </w:r>
      <w:r w:rsidRPr="00A977BD">
        <w:t>.</w:t>
      </w:r>
      <w:proofErr w:type="gramEnd"/>
      <w:r w:rsidRPr="00A977BD">
        <w:t xml:space="preserve"> </w:t>
      </w:r>
      <w:r>
        <w:t xml:space="preserve">Meta-analysis DB2116844. </w:t>
      </w:r>
      <w:proofErr w:type="gramStart"/>
      <w:r w:rsidRPr="00A977BD">
        <w:t xml:space="preserve">Least Squares Mean TDI Focal Score, meta-analysis of studies DB2113360 (ITT Population Excluding Investigator </w:t>
      </w:r>
      <w:r>
        <w:t>X</w:t>
      </w:r>
      <w:r w:rsidRPr="00A977BD">
        <w:t>) and DB2113374 (ITT Population)</w:t>
      </w:r>
      <w:r>
        <w:t>.</w:t>
      </w:r>
      <w:proofErr w:type="gramEnd"/>
    </w:p>
    <w:p w:rsidR="00B13321" w:rsidRPr="00A977BD" w:rsidRDefault="00B13321" w:rsidP="008A1EA7">
      <w:r>
        <w:rPr>
          <w:noProof/>
          <w:lang w:eastAsia="en-AU"/>
        </w:rPr>
        <w:drawing>
          <wp:inline distT="0" distB="0" distL="0" distR="0" wp14:anchorId="68BE181D" wp14:editId="5FB00918">
            <wp:extent cx="4290060" cy="3099804"/>
            <wp:effectExtent l="0" t="0" r="0" b="0"/>
            <wp:docPr id="26" name="Picture 26" descr="Figure 21. Meta-analysis DB2116844. Least Squares Mean TDI Focal Score, meta-analysis of studies DB2113360 (ITT Population Excluding Investigator X)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290060" cy="3099804"/>
                    </a:xfrm>
                    <a:prstGeom prst="rect">
                      <a:avLst/>
                    </a:prstGeom>
                  </pic:spPr>
                </pic:pic>
              </a:graphicData>
            </a:graphic>
          </wp:inline>
        </w:drawing>
      </w:r>
    </w:p>
    <w:p w:rsidR="00B13321" w:rsidRPr="00DA7D87" w:rsidRDefault="00B13321" w:rsidP="00B80494">
      <w:r w:rsidRPr="00DA7D87">
        <w:t xml:space="preserve">Summary of the proportion of subjects who were responders according to the TDI focal score on Days 28, 84, and 168 </w:t>
      </w:r>
      <w:r>
        <w:t>were provided</w:t>
      </w:r>
      <w:r w:rsidRPr="00DA7D87">
        <w:t>. The odds</w:t>
      </w:r>
      <w:r>
        <w:t xml:space="preserve"> of being a responder versus a non-</w:t>
      </w:r>
      <w:r w:rsidRPr="00DA7D87">
        <w:t>responder based on TDI score was not statistically significant for either dose of UMEC/VI compared with TIO at Day 168.</w:t>
      </w:r>
    </w:p>
    <w:p w:rsidR="00B13321" w:rsidRPr="00DA7D87" w:rsidRDefault="00B13321" w:rsidP="00B80494">
      <w:pPr>
        <w:pStyle w:val="Heading3"/>
      </w:pPr>
      <w:bookmarkStart w:id="162" w:name="_Ref271037188"/>
      <w:bookmarkStart w:id="163" w:name="_Ref271037210"/>
      <w:bookmarkStart w:id="164" w:name="_Toc272414655"/>
      <w:bookmarkStart w:id="165" w:name="_Toc290846277"/>
      <w:bookmarkStart w:id="166" w:name="_Toc376461158"/>
      <w:bookmarkStart w:id="167" w:name="_Toc241374311"/>
      <w:bookmarkStart w:id="168" w:name="_Ref243294291"/>
      <w:bookmarkStart w:id="169" w:name="_Toc422852159"/>
      <w:r w:rsidRPr="00DA7D87">
        <w:lastRenderedPageBreak/>
        <w:t>Other efficacy studies</w:t>
      </w:r>
      <w:bookmarkEnd w:id="162"/>
      <w:bookmarkEnd w:id="163"/>
      <w:bookmarkEnd w:id="164"/>
      <w:bookmarkEnd w:id="165"/>
      <w:bookmarkEnd w:id="166"/>
      <w:bookmarkEnd w:id="169"/>
    </w:p>
    <w:p w:rsidR="00B13321" w:rsidRPr="00DA7D87" w:rsidRDefault="00B13321" w:rsidP="00B80494">
      <w:pPr>
        <w:pStyle w:val="Heading4"/>
      </w:pPr>
      <w:bookmarkStart w:id="170" w:name="_Toc290846278"/>
      <w:bookmarkStart w:id="171" w:name="_Toc376461159"/>
      <w:bookmarkEnd w:id="167"/>
      <w:bookmarkEnd w:id="168"/>
      <w:r w:rsidRPr="00DA7D87">
        <w:t>Stud</w:t>
      </w:r>
      <w:bookmarkEnd w:id="170"/>
      <w:r w:rsidRPr="00DA7D87">
        <w:t>ies DB2114417 and DB2114418</w:t>
      </w:r>
      <w:bookmarkEnd w:id="171"/>
    </w:p>
    <w:p w:rsidR="00B13321" w:rsidRPr="00DA7D87" w:rsidRDefault="00B13321" w:rsidP="00B80494">
      <w:r w:rsidRPr="00DA7D87">
        <w:t xml:space="preserve">Both studies DB2114417 and DB2114418 were </w:t>
      </w:r>
      <w:r>
        <w:t>multi-centre</w:t>
      </w:r>
      <w:r w:rsidRPr="00A977BD">
        <w:rPr>
          <w:vertAlign w:val="superscript"/>
        </w:rPr>
        <w:footnoteReference w:id="45"/>
      </w:r>
      <w:r w:rsidRPr="00DA7D87">
        <w:t xml:space="preserve">, randomised, </w:t>
      </w:r>
      <w:r>
        <w:t>double-blind</w:t>
      </w:r>
      <w:r w:rsidRPr="00DA7D87">
        <w:t xml:space="preserve">, </w:t>
      </w:r>
      <w:r w:rsidRPr="006C23F4">
        <w:t>placebo</w:t>
      </w:r>
      <w:r>
        <w:t>-controlled</w:t>
      </w:r>
      <w:r w:rsidRPr="00DA7D87">
        <w:t>, combination and component, 2</w:t>
      </w:r>
      <w:r>
        <w:t>-</w:t>
      </w:r>
      <w:r w:rsidRPr="00DA7D87">
        <w:t xml:space="preserve">period, incomplete block design </w:t>
      </w:r>
      <w:r>
        <w:t>cross-over</w:t>
      </w:r>
      <w:r w:rsidRPr="00DA7D87">
        <w:t xml:space="preserve"> studies to evaluate the effect of UMEC/VI on exercise endurance time in COPD patients. The primary objective of the study was to evaluate the effect of UMEC/VI (125/25 </w:t>
      </w:r>
      <w:r>
        <w:t>µg</w:t>
      </w:r>
      <w:r w:rsidRPr="00DA7D87">
        <w:t xml:space="preserve"> and 62.5/25 </w:t>
      </w:r>
      <w:r>
        <w:t>µg</w:t>
      </w:r>
      <w:r w:rsidRPr="00DA7D87">
        <w:t xml:space="preserve">), administered </w:t>
      </w:r>
      <w:r>
        <w:t>once-</w:t>
      </w:r>
      <w:r w:rsidRPr="006C23F4">
        <w:t>daily</w:t>
      </w:r>
      <w:r w:rsidRPr="00DA7D87">
        <w:t xml:space="preserve">, on </w:t>
      </w:r>
      <w:r w:rsidRPr="00AF02CA">
        <w:t>exercise endurance time</w:t>
      </w:r>
      <w:r>
        <w:t xml:space="preserve"> (</w:t>
      </w:r>
      <w:r w:rsidRPr="00DA7D87">
        <w:t xml:space="preserve">EET; measured using the endurance shuttle walk test </w:t>
      </w:r>
      <w:r>
        <w:t>(</w:t>
      </w:r>
      <w:r w:rsidRPr="00DA7D87">
        <w:t>ESWT</w:t>
      </w:r>
      <w:r>
        <w:t>))</w:t>
      </w:r>
      <w:r w:rsidRPr="00DA7D87">
        <w:t xml:space="preserve"> and trough FEV1 over 12 weeks in subjects with COPD. The secondary objective was to evaluate the effect of UMEC/VI, its components, and </w:t>
      </w:r>
      <w:r w:rsidRPr="00AF02CA">
        <w:t>placebo</w:t>
      </w:r>
      <w:r w:rsidRPr="00DA7D87">
        <w:t xml:space="preserve">, administered </w:t>
      </w:r>
      <w:r>
        <w:t>once-</w:t>
      </w:r>
      <w:r w:rsidRPr="00AF02CA">
        <w:t>daily</w:t>
      </w:r>
      <w:r w:rsidRPr="00DA7D87">
        <w:t xml:space="preserve">, on lung volumes and </w:t>
      </w:r>
      <w:r>
        <w:t>post-dose</w:t>
      </w:r>
      <w:r w:rsidRPr="00DA7D87">
        <w:t xml:space="preserve"> lung function over 12 weeks in subjects with COPD. The study designs of both studies were identical, except for the inclusion of cardio</w:t>
      </w:r>
      <w:r>
        <w:t xml:space="preserve"> respiratory measurements</w:t>
      </w:r>
      <w:r w:rsidRPr="00DA7D87">
        <w:t xml:space="preserve"> (CRM)</w:t>
      </w:r>
      <w:r w:rsidRPr="00A977BD">
        <w:rPr>
          <w:vertAlign w:val="superscript"/>
        </w:rPr>
        <w:footnoteReference w:id="46"/>
      </w:r>
      <w:r w:rsidRPr="00DA7D87">
        <w:t xml:space="preserve"> taken during shuttle walks in a subset of subjects in study DB2114417.</w:t>
      </w:r>
    </w:p>
    <w:p w:rsidR="00B13321" w:rsidRPr="00DA7D87" w:rsidRDefault="00B13321" w:rsidP="00B80494">
      <w:r w:rsidRPr="00DA7D87">
        <w:t>Study inclusion and exclusion criteria and randomisation criteria were the same as for studies DB2113361/DB2113373 and DB2113360/</w:t>
      </w:r>
      <w:r w:rsidRPr="00203A47">
        <w:t>DB2113374 (discussed in Section 7.1.1.2) except</w:t>
      </w:r>
      <w:r w:rsidRPr="00DA7D87">
        <w:t xml:space="preserve"> that studies DB2114417 and DB2114418 had an additional inclusion criterion of lung hyperinflation defined by a resting functional residual capacity (FRC) of </w:t>
      </w:r>
      <w:r>
        <w:t xml:space="preserve">≥ </w:t>
      </w:r>
      <w:r w:rsidRPr="00DA7D87">
        <w:t xml:space="preserve">120% of predicted normal, and the inclusion criterion for post-salbutamol FEV1 was a post-salbutamol FEV1 of </w:t>
      </w:r>
      <w:r>
        <w:t xml:space="preserve">≥ </w:t>
      </w:r>
      <w:r w:rsidRPr="00DA7D87">
        <w:t xml:space="preserve">35% and </w:t>
      </w:r>
      <w:r>
        <w:t xml:space="preserve">≤ </w:t>
      </w:r>
      <w:r w:rsidRPr="00DA7D87">
        <w:t xml:space="preserve">70% of predicted normal values (instead of post-salbutamol FEV1 of </w:t>
      </w:r>
      <w:r>
        <w:t xml:space="preserve">≤ </w:t>
      </w:r>
      <w:r w:rsidRPr="00DA7D87">
        <w:t>70% of predicted normal value as for studies DB2113361/DB2113373 and DB2113360/DB2113374). According to the sponsor, the additional inclusion criterion for FRC was to select subjects most likely to have exercise limitation, as hyperinflation was a significant factor in determining exercise capacity. A lower limit was applied for post-salbutamol FEV1 (</w:t>
      </w:r>
      <w:r>
        <w:t>that is,</w:t>
      </w:r>
      <w:r w:rsidRPr="00DA7D87">
        <w:t xml:space="preserve"> </w:t>
      </w:r>
      <w:r>
        <w:t xml:space="preserve">≥ </w:t>
      </w:r>
      <w:r w:rsidRPr="00DA7D87">
        <w:t>35% of predicted normal values) to preclude subjects with very severe disease from performing exercise tests.</w:t>
      </w:r>
    </w:p>
    <w:p w:rsidR="00B13321" w:rsidRDefault="00B13321" w:rsidP="00B80494">
      <w:r w:rsidRPr="00DA7D87">
        <w:t xml:space="preserve">Study treatments in each study were UMEC/VI 125/25 </w:t>
      </w:r>
      <w:r>
        <w:t>µg</w:t>
      </w:r>
      <w:r w:rsidRPr="00DA7D87">
        <w:t xml:space="preserve">, UMEC/VI 62.5/25 </w:t>
      </w:r>
      <w:r>
        <w:t>µg</w:t>
      </w:r>
      <w:r w:rsidRPr="00DA7D87">
        <w:t xml:space="preserve">, UMEC 125 </w:t>
      </w:r>
      <w:r>
        <w:t>µg</w:t>
      </w:r>
      <w:r w:rsidRPr="00DA7D87">
        <w:t xml:space="preserve">, UMEC 62.5 </w:t>
      </w:r>
      <w:r>
        <w:t>µg</w:t>
      </w:r>
      <w:r w:rsidRPr="00DA7D87">
        <w:t xml:space="preserve">, VI 25 </w:t>
      </w:r>
      <w:r>
        <w:t>µg</w:t>
      </w:r>
      <w:r w:rsidRPr="00DA7D87">
        <w:t xml:space="preserve">, and </w:t>
      </w:r>
      <w:r w:rsidRPr="00AF02CA">
        <w:t>placebo</w:t>
      </w:r>
      <w:r w:rsidRPr="00DA7D87">
        <w:t xml:space="preserve">, all administered </w:t>
      </w:r>
      <w:r>
        <w:t>once-</w:t>
      </w:r>
      <w:r w:rsidRPr="00AF02CA">
        <w:t>daily</w:t>
      </w:r>
      <w:r w:rsidRPr="00DA7D87">
        <w:t xml:space="preserve"> via an NDPI. Eligible subjects were randomised to receive a sequence consisting of 2 of the treatments (</w:t>
      </w:r>
      <w:r>
        <w:t xml:space="preserve">i.e. </w:t>
      </w:r>
      <w:r w:rsidRPr="00DA7D87">
        <w:t>one in period I and one in period II), each administered</w:t>
      </w:r>
      <w:r>
        <w:t xml:space="preserve"> for 12 weeks separated by a 14-</w:t>
      </w:r>
      <w:r w:rsidRPr="00DA7D87">
        <w:t>day</w:t>
      </w:r>
      <w:r w:rsidR="004502F9">
        <w:t xml:space="preserve"> Washout Period (Figure 22</w:t>
      </w:r>
      <w:r w:rsidRPr="00DA7D87">
        <w:t xml:space="preserve">). Subjects were randomised to 1 of 26 different sequences. According to the sponsor, the sequences were selected to optimise power for the comparisons between UMEC/VI and </w:t>
      </w:r>
      <w:r w:rsidRPr="00AF02CA">
        <w:t>placebo</w:t>
      </w:r>
      <w:r w:rsidRPr="00DA7D87">
        <w:t>, and hence the number of subjects on</w:t>
      </w:r>
      <w:r>
        <w:t xml:space="preserve"> each treatment was unbalanced.</w:t>
      </w:r>
    </w:p>
    <w:p w:rsidR="00B13321" w:rsidRDefault="00B13321" w:rsidP="008A1EA7">
      <w:pPr>
        <w:pStyle w:val="FigureTitle"/>
      </w:pPr>
      <w:proofErr w:type="gramStart"/>
      <w:r w:rsidRPr="003F2AB6">
        <w:lastRenderedPageBreak/>
        <w:t xml:space="preserve">Figure </w:t>
      </w:r>
      <w:r w:rsidR="004502F9">
        <w:t>22</w:t>
      </w:r>
      <w:r w:rsidRPr="003F2AB6">
        <w:t>.</w:t>
      </w:r>
      <w:proofErr w:type="gramEnd"/>
      <w:r w:rsidRPr="003F2AB6">
        <w:t xml:space="preserve"> Design Schematic, studies DB2114417 and DB2114418</w:t>
      </w:r>
      <w:r>
        <w:t>.</w:t>
      </w:r>
    </w:p>
    <w:p w:rsidR="00B13321" w:rsidRPr="003F2AB6" w:rsidRDefault="00B13321" w:rsidP="008A1EA7">
      <w:r>
        <w:rPr>
          <w:noProof/>
          <w:lang w:eastAsia="en-AU"/>
        </w:rPr>
        <w:drawing>
          <wp:inline distT="0" distB="0" distL="0" distR="0" wp14:anchorId="542F2709" wp14:editId="2FF95D23">
            <wp:extent cx="4943475" cy="2152650"/>
            <wp:effectExtent l="0" t="0" r="0" b="0"/>
            <wp:docPr id="56" name="Picture 56" descr="Figure 22. Design Schematic, studies DB2114417 and DB21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943475" cy="2152650"/>
                    </a:xfrm>
                    <a:prstGeom prst="rect">
                      <a:avLst/>
                    </a:prstGeom>
                  </pic:spPr>
                </pic:pic>
              </a:graphicData>
            </a:graphic>
          </wp:inline>
        </w:drawing>
      </w:r>
    </w:p>
    <w:p w:rsidR="00B13321" w:rsidRPr="00DA7D87" w:rsidRDefault="00B13321" w:rsidP="00B80494">
      <w:r>
        <w:t>The co-</w:t>
      </w:r>
      <w:r w:rsidRPr="00DA7D87">
        <w:t xml:space="preserve">primary efficacy endpoints in both studies were the EET </w:t>
      </w:r>
      <w:r>
        <w:t>post-dose</w:t>
      </w:r>
      <w:r w:rsidRPr="00DA7D87">
        <w:t xml:space="preserve"> at Week 12 (defined as the EET obtained 3 hours after dosing at Week 12) and the trough (</w:t>
      </w:r>
      <w:r>
        <w:t>i.e. pre-</w:t>
      </w:r>
      <w:r w:rsidRPr="00DA7D87">
        <w:t xml:space="preserve">bronchodilator and </w:t>
      </w:r>
      <w:r>
        <w:t>pre-dose</w:t>
      </w:r>
      <w:r w:rsidRPr="00DA7D87">
        <w:t xml:space="preserve">) FEV1 at Week 12 (defined as the FEV1 value obtained 24 hours after dosing on Treatment Day 84). The secondary efficacy endpoints were measures of lung volume (inspiratory capacity </w:t>
      </w:r>
      <w:r>
        <w:t>(</w:t>
      </w:r>
      <w:r w:rsidRPr="00DA7D87">
        <w:t>IC</w:t>
      </w:r>
      <w:r>
        <w:t xml:space="preserve">), </w:t>
      </w:r>
      <w:r w:rsidRPr="00AF02CA">
        <w:t xml:space="preserve">functional residual capacity </w:t>
      </w:r>
      <w:r>
        <w:t>(</w:t>
      </w:r>
      <w:r w:rsidRPr="00DA7D87">
        <w:t>FRC</w:t>
      </w:r>
      <w:r>
        <w:t>)</w:t>
      </w:r>
      <w:r w:rsidRPr="00DA7D87">
        <w:t xml:space="preserve">, and residual volume </w:t>
      </w:r>
      <w:r>
        <w:t>(</w:t>
      </w:r>
      <w:r w:rsidRPr="00DA7D87">
        <w:t>RV</w:t>
      </w:r>
      <w:r>
        <w:t>)) at Week 12 (trough and 3-</w:t>
      </w:r>
      <w:r w:rsidRPr="00DA7D87">
        <w:t xml:space="preserve">hour </w:t>
      </w:r>
      <w:r>
        <w:t>post-dose</w:t>
      </w:r>
      <w:r w:rsidRPr="00DA7D87">
        <w:t>), and</w:t>
      </w:r>
      <w:r>
        <w:t xml:space="preserve"> 3-</w:t>
      </w:r>
      <w:r w:rsidRPr="00DA7D87">
        <w:t xml:space="preserve">hour </w:t>
      </w:r>
      <w:r>
        <w:t>post-dose</w:t>
      </w:r>
      <w:r w:rsidRPr="00DA7D87">
        <w:t xml:space="preserve"> FEV1 at Week 12. Prima</w:t>
      </w:r>
      <w:r>
        <w:t>ry treatment comparisons were 3-</w:t>
      </w:r>
      <w:r w:rsidRPr="00DA7D87">
        <w:t xml:space="preserve">hour </w:t>
      </w:r>
      <w:r>
        <w:t>post-dose</w:t>
      </w:r>
      <w:r w:rsidRPr="00DA7D87">
        <w:t xml:space="preserve"> EET for UMEC/VI 125/25 </w:t>
      </w:r>
      <w:r>
        <w:t>µg</w:t>
      </w:r>
      <w:r w:rsidRPr="00DA7D87">
        <w:t xml:space="preserve"> </w:t>
      </w:r>
      <w:r w:rsidRPr="00AF02CA">
        <w:t>vs.</w:t>
      </w:r>
      <w:r w:rsidRPr="00DA7D87">
        <w:t xml:space="preserve"> </w:t>
      </w:r>
      <w:r w:rsidRPr="00AF02CA">
        <w:t>placebo</w:t>
      </w:r>
      <w:r w:rsidRPr="00DA7D87">
        <w:t xml:space="preserve">, trough FEV1 for UMEC/VI 125/25 </w:t>
      </w:r>
      <w:r>
        <w:t xml:space="preserve">µg </w:t>
      </w:r>
      <w:r w:rsidRPr="00AF02CA">
        <w:t>vs.</w:t>
      </w:r>
      <w:r>
        <w:t xml:space="preserve"> </w:t>
      </w:r>
      <w:r w:rsidRPr="00AF02CA">
        <w:t>placebo</w:t>
      </w:r>
      <w:r>
        <w:t>, 3-</w:t>
      </w:r>
      <w:r w:rsidRPr="00DA7D87">
        <w:t xml:space="preserve">hour </w:t>
      </w:r>
      <w:r>
        <w:t>post-dose</w:t>
      </w:r>
      <w:r w:rsidRPr="00DA7D87">
        <w:t xml:space="preserve"> EET for UMEC/VI 62.5/25 </w:t>
      </w:r>
      <w:r>
        <w:t>µg</w:t>
      </w:r>
      <w:r w:rsidRPr="00DA7D87">
        <w:t xml:space="preserve"> </w:t>
      </w:r>
      <w:r w:rsidRPr="00AF02CA">
        <w:t>vs.</w:t>
      </w:r>
      <w:r w:rsidRPr="00DA7D87">
        <w:t xml:space="preserve"> </w:t>
      </w:r>
      <w:r w:rsidRPr="00AF02CA">
        <w:t>placebo</w:t>
      </w:r>
      <w:r w:rsidRPr="00DA7D87">
        <w:t xml:space="preserve">, and trough FEV1 for UMEC/VI 62.5/25 </w:t>
      </w:r>
      <w:r>
        <w:t>µg</w:t>
      </w:r>
      <w:r w:rsidRPr="00DA7D87">
        <w:t xml:space="preserve"> </w:t>
      </w:r>
      <w:r w:rsidRPr="00AF02CA">
        <w:t>vs.</w:t>
      </w:r>
      <w:r w:rsidRPr="00DA7D87">
        <w:t xml:space="preserve"> </w:t>
      </w:r>
      <w:r w:rsidRPr="00AF02CA">
        <w:t>placebo</w:t>
      </w:r>
      <w:r w:rsidRPr="00DA7D87">
        <w:t>. In order to account for multiplicity acro</w:t>
      </w:r>
      <w:r>
        <w:t>ss treatment comparisons and co-primary endpoints, a step-</w:t>
      </w:r>
      <w:r w:rsidRPr="00DA7D87">
        <w:t>down closed testing procedure was applied whereby inference for a test in the predefined hierarchy was dependent upon statistical significance having been achieved for previous tests in the hierarchy. The hierarchy consisted of the 4 treatment comparisons described above, performed in that order.</w:t>
      </w:r>
    </w:p>
    <w:p w:rsidR="00B13321" w:rsidRDefault="00B13321" w:rsidP="00B80494">
      <w:r w:rsidRPr="00DA7D87">
        <w:t xml:space="preserve">In study DB2114417, a total of 596 subjects were screened, 349 were randomised and 348 were included in the ITT population </w:t>
      </w:r>
      <w:r w:rsidRPr="0084794A">
        <w:t xml:space="preserve">(Figure </w:t>
      </w:r>
      <w:r w:rsidR="004502F9">
        <w:t>23</w:t>
      </w:r>
      <w:r w:rsidRPr="0084794A">
        <w:t>). In</w:t>
      </w:r>
      <w:r w:rsidRPr="00DA7D87">
        <w:t xml:space="preserve"> study DB2114418, a total of 634 subjects were screened, 308 were randomised, and 307 were included in the ITT population</w:t>
      </w:r>
      <w:r w:rsidR="004502F9">
        <w:t xml:space="preserve"> (Figure 24</w:t>
      </w:r>
      <w:r>
        <w:t>)</w:t>
      </w:r>
      <w:r w:rsidRPr="00DA7D87">
        <w:t>. Baseline demographic and disease characteristics in the ITT populations of studies DB211441</w:t>
      </w:r>
      <w:r>
        <w:t>7 and DB2114418 were provided</w:t>
      </w:r>
      <w:r w:rsidRPr="00DA7D87">
        <w:t>. In study DB2114417, subjects had a mean (SD) age of 61.6 (8.25) years. The majority of subjects were male (56%; 195/348) and White (97%; 336/348), with a mean (SD) smoking pack years of 48.7 (25.27). The mean post-salbutamol percent predicted FEV1 was 51.3%. In study DB2114418, subjects had a mean (SD) age of 62.6 (7.88) years. The majority of subjects were male (55%; 168/307) and White (97%; 298/307), with a mean (SD) smoking pack years of 47.4 (24.73). The mean post-salbutamol percent predicted FEV1 was 51.3%.</w:t>
      </w:r>
    </w:p>
    <w:p w:rsidR="00B13321" w:rsidRDefault="00B13321" w:rsidP="008A1EA7">
      <w:pPr>
        <w:pStyle w:val="FigureTitle"/>
      </w:pPr>
      <w:proofErr w:type="gramStart"/>
      <w:r w:rsidRPr="003F2AB6">
        <w:lastRenderedPageBreak/>
        <w:t xml:space="preserve">Figure </w:t>
      </w:r>
      <w:r w:rsidR="004502F9">
        <w:t>23</w:t>
      </w:r>
      <w:r w:rsidRPr="003F2AB6">
        <w:t>.</w:t>
      </w:r>
      <w:proofErr w:type="gramEnd"/>
      <w:r w:rsidRPr="003F2AB6">
        <w:t xml:space="preserve"> </w:t>
      </w:r>
      <w:proofErr w:type="gramStart"/>
      <w:r w:rsidRPr="003F2AB6">
        <w:t xml:space="preserve">Summary of Subject Disposition </w:t>
      </w:r>
      <w:r>
        <w:t>Study DB2114417.</w:t>
      </w:r>
      <w:proofErr w:type="gramEnd"/>
    </w:p>
    <w:p w:rsidR="00B13321" w:rsidRDefault="00B13321" w:rsidP="008A1EA7">
      <w:pPr>
        <w:rPr>
          <w:noProof/>
          <w:lang w:eastAsia="en-AU"/>
        </w:rPr>
      </w:pPr>
      <w:r>
        <w:rPr>
          <w:noProof/>
          <w:lang w:eastAsia="en-AU"/>
        </w:rPr>
        <w:drawing>
          <wp:inline distT="0" distB="0" distL="0" distR="0" wp14:anchorId="30F48C42" wp14:editId="30B58F67">
            <wp:extent cx="5250180" cy="4119933"/>
            <wp:effectExtent l="0" t="0" r="0" b="0"/>
            <wp:docPr id="48" name="Picture 48" descr="Figure 23. Summary of Subject Disposition Study DB2114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252332" cy="4121622"/>
                    </a:xfrm>
                    <a:prstGeom prst="rect">
                      <a:avLst/>
                    </a:prstGeom>
                  </pic:spPr>
                </pic:pic>
              </a:graphicData>
            </a:graphic>
          </wp:inline>
        </w:drawing>
      </w:r>
    </w:p>
    <w:p w:rsidR="00B13321" w:rsidRPr="00E456D7" w:rsidRDefault="00B13321" w:rsidP="00B13321">
      <w:pPr>
        <w:pStyle w:val="FigureTitle"/>
      </w:pPr>
      <w:proofErr w:type="gramStart"/>
      <w:r w:rsidRPr="00E456D7">
        <w:t>Figure 2</w:t>
      </w:r>
      <w:r w:rsidR="004502F9">
        <w:t>4</w:t>
      </w:r>
      <w:r w:rsidRPr="00E456D7">
        <w:t>.</w:t>
      </w:r>
      <w:proofErr w:type="gramEnd"/>
      <w:r w:rsidRPr="00E456D7">
        <w:t xml:space="preserve"> Summary of Subject Disposition Study DB2114418</w:t>
      </w:r>
    </w:p>
    <w:p w:rsidR="00B13321" w:rsidRPr="003F2AB6" w:rsidRDefault="00B13321" w:rsidP="008A1EA7">
      <w:r>
        <w:rPr>
          <w:noProof/>
          <w:lang w:eastAsia="en-AU"/>
        </w:rPr>
        <w:drawing>
          <wp:inline distT="0" distB="0" distL="0" distR="0" wp14:anchorId="2F171AA9" wp14:editId="24668A41">
            <wp:extent cx="5326380" cy="3693185"/>
            <wp:effectExtent l="0" t="0" r="0" b="0"/>
            <wp:docPr id="49" name="Picture 49" descr="Figure 24. Summary of Subject Disposition Study DB2114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26380" cy="3693185"/>
                    </a:xfrm>
                    <a:prstGeom prst="rect">
                      <a:avLst/>
                    </a:prstGeom>
                  </pic:spPr>
                </pic:pic>
              </a:graphicData>
            </a:graphic>
          </wp:inline>
        </w:drawing>
      </w:r>
    </w:p>
    <w:p w:rsidR="00B13321" w:rsidRPr="00DA7D87" w:rsidRDefault="00B13321" w:rsidP="00B80494">
      <w:r w:rsidRPr="00DA7D87">
        <w:t>In stud</w:t>
      </w:r>
      <w:r>
        <w:t>y DB2114417, analysis of the co-</w:t>
      </w:r>
      <w:r w:rsidRPr="00DA7D87">
        <w:t xml:space="preserve">primary endpoint of EET </w:t>
      </w:r>
      <w:r>
        <w:t>post-dose</w:t>
      </w:r>
      <w:r w:rsidRPr="00DA7D87">
        <w:t xml:space="preserve"> at Week 12 showed that treatment differences between either doses of UMEC/VI and </w:t>
      </w:r>
      <w:r w:rsidRPr="009A1AB4">
        <w:t>placebo</w:t>
      </w:r>
      <w:r w:rsidRPr="00DA7D87">
        <w:t xml:space="preserve"> were not statistically </w:t>
      </w:r>
      <w:r w:rsidRPr="00DA7D87">
        <w:lastRenderedPageBreak/>
        <w:t xml:space="preserve">significant. As the comparison of UMEC/VI 125/25 </w:t>
      </w:r>
      <w:r>
        <w:t>µg</w:t>
      </w:r>
      <w:r w:rsidRPr="00DA7D87">
        <w:t xml:space="preserve"> against </w:t>
      </w:r>
      <w:r w:rsidRPr="009A1AB4">
        <w:t>placebo</w:t>
      </w:r>
      <w:r w:rsidRPr="00DA7D87">
        <w:t xml:space="preserve"> did not achieve stati</w:t>
      </w:r>
      <w:r>
        <w:t>stical significance for this co-</w:t>
      </w:r>
      <w:r w:rsidRPr="00DA7D87">
        <w:t xml:space="preserve">primary endpoint of EET at Week 12, based on application of the statistical testing hierarchy, the results of all further statistical analyses could only be interpreted descriptively. Analysis of </w:t>
      </w:r>
      <w:r>
        <w:t>the co-</w:t>
      </w:r>
      <w:r w:rsidRPr="00DA7D87">
        <w:t xml:space="preserve">primary endpoint of trough FEV1 at Week 12 showed that both doses of UMEC/VI had greater LSM changes from baseline in trough FEV1 compared with </w:t>
      </w:r>
      <w:r w:rsidRPr="009A1AB4">
        <w:t>placebo</w:t>
      </w:r>
      <w:r w:rsidRPr="00DA7D87">
        <w:t xml:space="preserve"> at Week 12 (UMEC/VI 125/25 </w:t>
      </w:r>
      <w:r>
        <w:t>µg</w:t>
      </w:r>
      <w:r w:rsidRPr="00DA7D87">
        <w:t>: difference of 169</w:t>
      </w:r>
      <w:r>
        <w:t xml:space="preserve"> </w:t>
      </w:r>
      <w:r w:rsidRPr="00DA7D87">
        <w:t xml:space="preserve">mL over </w:t>
      </w:r>
      <w:r w:rsidRPr="009A1AB4">
        <w:t>placebo</w:t>
      </w:r>
      <w:r w:rsidRPr="00DA7D87">
        <w:t xml:space="preserve">, </w:t>
      </w:r>
      <w:r w:rsidR="00216724">
        <w:t>p </w:t>
      </w:r>
      <w:r>
        <w:t>&lt; 0.001</w:t>
      </w:r>
      <w:r w:rsidRPr="00DA7D87">
        <w:t xml:space="preserve">; UMEC/VI 62.5/25 </w:t>
      </w:r>
      <w:r>
        <w:t>µg</w:t>
      </w:r>
      <w:r w:rsidRPr="00DA7D87">
        <w:t xml:space="preserve">: difference of 211 mL over </w:t>
      </w:r>
      <w:r w:rsidRPr="009A1AB4">
        <w:t>placebo</w:t>
      </w:r>
      <w:r w:rsidRPr="00DA7D87">
        <w:t xml:space="preserve">, </w:t>
      </w:r>
      <w:r>
        <w:t>p &lt; 0.001</w:t>
      </w:r>
      <w:r w:rsidRPr="00DA7D87">
        <w:t>).</w:t>
      </w:r>
    </w:p>
    <w:p w:rsidR="00B13321" w:rsidRPr="00DA7D87" w:rsidRDefault="00B13321" w:rsidP="00B80494">
      <w:r w:rsidRPr="00DA7D87">
        <w:t xml:space="preserve">In study DB2114418, analysis of the co-primary endpoint of EET </w:t>
      </w:r>
      <w:r>
        <w:t>post-dose</w:t>
      </w:r>
      <w:r w:rsidRPr="00DA7D87">
        <w:t xml:space="preserve"> at Week 12 showed that there were statistically significantly greater LSM changes from </w:t>
      </w:r>
      <w:r>
        <w:t>baseline in the 3-</w:t>
      </w:r>
      <w:r w:rsidRPr="00DA7D87">
        <w:t xml:space="preserve">hour </w:t>
      </w:r>
      <w:r>
        <w:t>post-dose</w:t>
      </w:r>
      <w:r w:rsidRPr="00DA7D87">
        <w:t xml:space="preserve"> EET at Week 12 compared with </w:t>
      </w:r>
      <w:r w:rsidRPr="009A1AB4">
        <w:t>placebo</w:t>
      </w:r>
      <w:r w:rsidRPr="00DA7D87">
        <w:t xml:space="preserve"> for both doses of UMEC/VI (UMEC/VI 125/25 </w:t>
      </w:r>
      <w:r>
        <w:t>µg</w:t>
      </w:r>
      <w:r w:rsidRPr="00DA7D87">
        <w:t xml:space="preserve">: difference of 65.8 seconds over </w:t>
      </w:r>
      <w:r w:rsidRPr="009A1AB4">
        <w:t>placebo</w:t>
      </w:r>
      <w:r w:rsidRPr="00DA7D87">
        <w:t>, p</w:t>
      </w:r>
      <w:r>
        <w:t xml:space="preserve"> = </w:t>
      </w:r>
      <w:r w:rsidRPr="00DA7D87">
        <w:t xml:space="preserve">0.005; UMEC/VI 62.5/25 </w:t>
      </w:r>
      <w:r>
        <w:t>µg</w:t>
      </w:r>
      <w:r w:rsidRPr="00DA7D87">
        <w:t xml:space="preserve">: difference of 69.4 seconds over </w:t>
      </w:r>
      <w:r w:rsidRPr="009A1AB4">
        <w:t>placebo</w:t>
      </w:r>
      <w:r w:rsidRPr="00DA7D87">
        <w:t>, p</w:t>
      </w:r>
      <w:r>
        <w:t xml:space="preserve"> = </w:t>
      </w:r>
      <w:r w:rsidRPr="00DA7D87">
        <w:t xml:space="preserve">0.003). Analysis of the co-primary endpoint of trough FEV1 at Week 12 showed that both doses of UMEC/VI had statistically significantly greater LSM changes from baseline in trough FEV1 compared with </w:t>
      </w:r>
      <w:r w:rsidRPr="009A1AB4">
        <w:t>placebo</w:t>
      </w:r>
      <w:r w:rsidRPr="00DA7D87">
        <w:t xml:space="preserve"> at Week 12 (UMEC/VI 125/25 </w:t>
      </w:r>
      <w:r>
        <w:t>µg</w:t>
      </w:r>
      <w:r w:rsidRPr="00DA7D87">
        <w:t>: difference of 261</w:t>
      </w:r>
      <w:r>
        <w:t xml:space="preserve"> </w:t>
      </w:r>
      <w:r w:rsidRPr="00DA7D87">
        <w:t xml:space="preserve">mL over </w:t>
      </w:r>
      <w:r w:rsidRPr="009A1AB4">
        <w:t>placebo</w:t>
      </w:r>
      <w:r w:rsidRPr="00DA7D87">
        <w:t xml:space="preserve">, </w:t>
      </w:r>
      <w:r>
        <w:t>p &lt; 0.001</w:t>
      </w:r>
      <w:r w:rsidRPr="00DA7D87">
        <w:t xml:space="preserve">; UMEC/VI 62.5/25 </w:t>
      </w:r>
      <w:r>
        <w:t>µg</w:t>
      </w:r>
      <w:r w:rsidRPr="00DA7D87">
        <w:t xml:space="preserve">: difference of 243 mL over </w:t>
      </w:r>
      <w:r w:rsidRPr="009A1AB4">
        <w:t>placebo</w:t>
      </w:r>
      <w:r w:rsidRPr="00DA7D87">
        <w:t xml:space="preserve">, </w:t>
      </w:r>
      <w:r>
        <w:t>p &lt; 0.001</w:t>
      </w:r>
      <w:r w:rsidRPr="00DA7D87">
        <w:t>).</w:t>
      </w:r>
    </w:p>
    <w:p w:rsidR="00B13321" w:rsidRPr="00DA7D87" w:rsidRDefault="00B13321" w:rsidP="00B80494">
      <w:r w:rsidRPr="00DA7D87">
        <w:t>The sponsor presented an integrated anal</w:t>
      </w:r>
      <w:r>
        <w:t>ysis of both studies for the co-</w:t>
      </w:r>
      <w:r w:rsidRPr="00DA7D87">
        <w:t>primary endpoints. Results showed that there were statistically significantly greater LSM</w:t>
      </w:r>
      <w:r>
        <w:t xml:space="preserve"> changes from baseline in the 3-</w:t>
      </w:r>
      <w:r w:rsidRPr="00DA7D87">
        <w:t xml:space="preserve">hour </w:t>
      </w:r>
      <w:r>
        <w:t>post-dose</w:t>
      </w:r>
      <w:r w:rsidRPr="00DA7D87">
        <w:t xml:space="preserve"> EET at Week 12 compared with </w:t>
      </w:r>
      <w:r w:rsidRPr="009A1AB4">
        <w:t>placebo</w:t>
      </w:r>
      <w:r w:rsidRPr="00DA7D87">
        <w:t xml:space="preserve"> for both doses of UMEC/VI (pooled UMEC/VI 125/25 </w:t>
      </w:r>
      <w:r>
        <w:t>µg</w:t>
      </w:r>
      <w:r w:rsidRPr="00DA7D87">
        <w:t xml:space="preserve">: difference of 47.5 seconds over pooled </w:t>
      </w:r>
      <w:r w:rsidRPr="009A1AB4">
        <w:t>placebo</w:t>
      </w:r>
      <w:r w:rsidRPr="00DA7D87">
        <w:t>, p</w:t>
      </w:r>
      <w:r>
        <w:t xml:space="preserve"> = </w:t>
      </w:r>
      <w:r w:rsidRPr="00DA7D87">
        <w:t xml:space="preserve">0.001; pooled UMEC/VI 62.5/25 </w:t>
      </w:r>
      <w:r>
        <w:t>µg</w:t>
      </w:r>
      <w:r w:rsidRPr="00DA7D87">
        <w:t xml:space="preserve">: difference of 43.7 seconds over </w:t>
      </w:r>
      <w:r w:rsidRPr="009A1AB4">
        <w:t>placebo</w:t>
      </w:r>
      <w:r w:rsidRPr="00DA7D87">
        <w:t>, p</w:t>
      </w:r>
      <w:r>
        <w:t xml:space="preserve"> = 0.002). </w:t>
      </w:r>
      <w:r w:rsidRPr="00DA7D87">
        <w:t xml:space="preserve">There were also statistically significantly greater LSM changes from baseline in trough FEV1 compared with </w:t>
      </w:r>
      <w:r w:rsidRPr="009A1AB4">
        <w:t>placebo</w:t>
      </w:r>
      <w:r w:rsidRPr="00DA7D87">
        <w:t xml:space="preserve"> at Week 12 (pooled UMEC/VI 125/25 </w:t>
      </w:r>
      <w:r>
        <w:t>µg</w:t>
      </w:r>
      <w:r w:rsidRPr="00DA7D87">
        <w:t>: difference of 211</w:t>
      </w:r>
      <w:r>
        <w:t xml:space="preserve"> </w:t>
      </w:r>
      <w:r w:rsidRPr="00DA7D87">
        <w:t xml:space="preserve">mL over pooled </w:t>
      </w:r>
      <w:r w:rsidRPr="009A1AB4">
        <w:t>placebo</w:t>
      </w:r>
      <w:r w:rsidRPr="00DA7D87">
        <w:t xml:space="preserve">, </w:t>
      </w:r>
      <w:r w:rsidR="00216724">
        <w:t>p &lt; </w:t>
      </w:r>
      <w:r>
        <w:t>0.001</w:t>
      </w:r>
      <w:r w:rsidRPr="00DA7D87">
        <w:t xml:space="preserve">; pooled UMEC/VI 62.5/25 </w:t>
      </w:r>
      <w:r>
        <w:t>µg</w:t>
      </w:r>
      <w:r w:rsidRPr="00DA7D87">
        <w:t xml:space="preserve">: difference of 224 mL over pooled </w:t>
      </w:r>
      <w:r w:rsidRPr="009A1AB4">
        <w:t>placebo</w:t>
      </w:r>
      <w:r w:rsidRPr="00DA7D87">
        <w:t xml:space="preserve">, </w:t>
      </w:r>
      <w:r>
        <w:t>p &lt; 0.001)</w:t>
      </w:r>
      <w:r w:rsidRPr="00DA7D87">
        <w:t>.</w:t>
      </w:r>
    </w:p>
    <w:p w:rsidR="00B13321" w:rsidRPr="00DA7D87" w:rsidRDefault="00B13321" w:rsidP="00B80494">
      <w:r w:rsidRPr="00DA7D87">
        <w:t>Analyses of the secondary efficacy endpoints showed that in study DB2114417, there were greater LSM change</w:t>
      </w:r>
      <w:r>
        <w:t>s from baseline in trough and 3-</w:t>
      </w:r>
      <w:r w:rsidRPr="00DA7D87">
        <w:t xml:space="preserve">hour </w:t>
      </w:r>
      <w:r>
        <w:t>post-dose</w:t>
      </w:r>
      <w:r w:rsidRPr="00DA7D87">
        <w:t xml:space="preserve"> IC, FRC, and RV compared with </w:t>
      </w:r>
      <w:r w:rsidRPr="00E546EC">
        <w:t>placebo</w:t>
      </w:r>
      <w:r w:rsidRPr="00DA7D87">
        <w:t xml:space="preserve"> at Week 12, for both doses of UMEC/VI. There were also greater</w:t>
      </w:r>
      <w:r>
        <w:t xml:space="preserve"> LSM changes from baseline in 3-</w:t>
      </w:r>
      <w:r w:rsidRPr="00DA7D87">
        <w:t xml:space="preserve">hour </w:t>
      </w:r>
      <w:r>
        <w:t>post-dose</w:t>
      </w:r>
      <w:r w:rsidRPr="00DA7D87">
        <w:t xml:space="preserve"> FEV1 compared with </w:t>
      </w:r>
      <w:r w:rsidRPr="00E546EC">
        <w:t>placebo</w:t>
      </w:r>
      <w:r w:rsidRPr="00DA7D87">
        <w:t xml:space="preserve"> at Week 12 for both doses of UMEC/VI. In study DB2114418, there were statistically significantly greater LSM change</w:t>
      </w:r>
      <w:r>
        <w:t>s from baseline in trough and 3-</w:t>
      </w:r>
      <w:r w:rsidRPr="00DA7D87">
        <w:t xml:space="preserve">hour </w:t>
      </w:r>
      <w:r>
        <w:t>post-dose</w:t>
      </w:r>
      <w:r w:rsidRPr="00DA7D87">
        <w:t xml:space="preserve"> IC, FRC, and RV compared with </w:t>
      </w:r>
      <w:r w:rsidRPr="00E546EC">
        <w:t>placebo</w:t>
      </w:r>
      <w:r w:rsidRPr="00DA7D87">
        <w:t xml:space="preserve"> at Week 12, for both doses of UMEC/VI. There were also statistically significantly greater</w:t>
      </w:r>
      <w:r>
        <w:t xml:space="preserve"> LSM changes from baseline in 3-</w:t>
      </w:r>
      <w:r w:rsidRPr="00DA7D87">
        <w:t xml:space="preserve">hour </w:t>
      </w:r>
      <w:r>
        <w:t>post-dose</w:t>
      </w:r>
      <w:r w:rsidRPr="00DA7D87">
        <w:t xml:space="preserve"> FEV1 compared with </w:t>
      </w:r>
      <w:r w:rsidRPr="00E546EC">
        <w:t>placebo</w:t>
      </w:r>
      <w:r w:rsidRPr="00DA7D87">
        <w:t xml:space="preserve"> at Week 12 for both doses of UMEC/VI.</w:t>
      </w:r>
    </w:p>
    <w:p w:rsidR="00B13321" w:rsidRPr="00DA7D87" w:rsidRDefault="00B13321" w:rsidP="00B80494">
      <w:pPr>
        <w:pStyle w:val="Heading4"/>
      </w:pPr>
      <w:bookmarkStart w:id="172" w:name="_Toc241374312"/>
      <w:bookmarkStart w:id="173" w:name="_Toc272414656"/>
      <w:bookmarkStart w:id="174" w:name="_Toc290846281"/>
      <w:bookmarkStart w:id="175" w:name="_Toc376461160"/>
      <w:r w:rsidRPr="00DA7D87">
        <w:t>Analyses performed across trials (pooled analyses and meta-analyses)</w:t>
      </w:r>
      <w:bookmarkEnd w:id="172"/>
      <w:bookmarkEnd w:id="173"/>
      <w:bookmarkEnd w:id="174"/>
      <w:bookmarkEnd w:id="175"/>
    </w:p>
    <w:p w:rsidR="00B13321" w:rsidRDefault="00B13321" w:rsidP="00B80494">
      <w:r w:rsidRPr="00DA7D87">
        <w:t xml:space="preserve">Subgroup analyses were performed combining data from all 4 pivotal efficacy studies (studies DB2113361, DB2113373, DB2113360 and DB2113374) and </w:t>
      </w:r>
      <w:r>
        <w:t>were provided</w:t>
      </w:r>
      <w:r w:rsidRPr="00DA7D87">
        <w:t xml:space="preserve">. The subgroups were gender (male </w:t>
      </w:r>
      <w:r>
        <w:t>vs.</w:t>
      </w:r>
      <w:r w:rsidRPr="00DA7D87">
        <w:t xml:space="preserve"> female), age (</w:t>
      </w:r>
      <w:r>
        <w:t xml:space="preserve">≤ </w:t>
      </w:r>
      <w:r w:rsidRPr="00DA7D87">
        <w:t xml:space="preserve">64 </w:t>
      </w:r>
      <w:r w:rsidRPr="00C43F8B">
        <w:t>vs.</w:t>
      </w:r>
      <w:r w:rsidRPr="00DA7D87">
        <w:t xml:space="preserve"> 64 to 75 </w:t>
      </w:r>
      <w:r w:rsidRPr="00C43F8B">
        <w:t>vs.</w:t>
      </w:r>
      <w:r w:rsidRPr="00DA7D87">
        <w:t xml:space="preserve"> 75 to 84 </w:t>
      </w:r>
      <w:r w:rsidRPr="00C43F8B">
        <w:t>vs.</w:t>
      </w:r>
      <w:r w:rsidRPr="00DA7D87">
        <w:t xml:space="preserve"> </w:t>
      </w:r>
      <w:r>
        <w:t xml:space="preserve">≥ </w:t>
      </w:r>
      <w:r w:rsidRPr="00DA7D87">
        <w:t xml:space="preserve">85 years), treatment-naive status (yes </w:t>
      </w:r>
      <w:r w:rsidRPr="00C43F8B">
        <w:t>vs.</w:t>
      </w:r>
      <w:r w:rsidRPr="00DA7D87">
        <w:t xml:space="preserve"> no) GOLD classification (I/II </w:t>
      </w:r>
      <w:r w:rsidRPr="00C43F8B">
        <w:t>vs.</w:t>
      </w:r>
      <w:r w:rsidRPr="00DA7D87">
        <w:t xml:space="preserve"> III/IV), smoking status (former </w:t>
      </w:r>
      <w:r w:rsidRPr="00C43F8B">
        <w:t>vs.</w:t>
      </w:r>
      <w:r w:rsidRPr="00DA7D87">
        <w:t xml:space="preserve"> current), race (African American </w:t>
      </w:r>
      <w:r w:rsidRPr="00C43F8B">
        <w:t>vs.</w:t>
      </w:r>
      <w:r w:rsidRPr="00DA7D87">
        <w:t xml:space="preserve"> American Indian or Alaska Native </w:t>
      </w:r>
      <w:r w:rsidRPr="00C43F8B">
        <w:t>vs.</w:t>
      </w:r>
      <w:r w:rsidRPr="00DA7D87">
        <w:t xml:space="preserve"> Asian </w:t>
      </w:r>
      <w:r>
        <w:t>versus</w:t>
      </w:r>
      <w:r w:rsidRPr="00DA7D87">
        <w:t xml:space="preserve"> White </w:t>
      </w:r>
      <w:r w:rsidRPr="00C43F8B">
        <w:t>vs.</w:t>
      </w:r>
      <w:r w:rsidRPr="00DA7D87">
        <w:t xml:space="preserve"> Native Hawaiian or other Pacific Islander </w:t>
      </w:r>
      <w:r w:rsidRPr="00C43F8B">
        <w:t>vs.</w:t>
      </w:r>
      <w:r w:rsidRPr="00DA7D87">
        <w:t xml:space="preserve"> Mixed Race), geographical region (US </w:t>
      </w:r>
      <w:r w:rsidRPr="00C43F8B">
        <w:t>vs.</w:t>
      </w:r>
      <w:r w:rsidRPr="00DA7D87">
        <w:t xml:space="preserve"> EU </w:t>
      </w:r>
      <w:r w:rsidRPr="00C43F8B">
        <w:t>vs.</w:t>
      </w:r>
      <w:r w:rsidRPr="00DA7D87">
        <w:t xml:space="preserve"> others), ICS use at screening (yes </w:t>
      </w:r>
      <w:r w:rsidRPr="00C43F8B">
        <w:t>vs.</w:t>
      </w:r>
      <w:r w:rsidRPr="00DA7D87">
        <w:t xml:space="preserve"> no), reversibility to salbutamol</w:t>
      </w:r>
      <w:r w:rsidRPr="00C43F8B">
        <w:rPr>
          <w:sz w:val="18"/>
          <w:szCs w:val="18"/>
          <w:vertAlign w:val="superscript"/>
        </w:rPr>
        <w:footnoteReference w:id="47"/>
      </w:r>
      <w:r w:rsidRPr="008E0E9C">
        <w:rPr>
          <w:vertAlign w:val="superscript"/>
        </w:rPr>
        <w:t xml:space="preserve"> </w:t>
      </w:r>
      <w:r w:rsidRPr="00DA7D87">
        <w:t xml:space="preserve">(reversible </w:t>
      </w:r>
      <w:r w:rsidRPr="00C43F8B">
        <w:t>vs.</w:t>
      </w:r>
      <w:r w:rsidRPr="00DA7D87">
        <w:t xml:space="preserve"> not reversible) and reversibility to salbutamol and ipratropium</w:t>
      </w:r>
      <w:r w:rsidRPr="00C43F8B">
        <w:rPr>
          <w:sz w:val="18"/>
          <w:szCs w:val="18"/>
          <w:vertAlign w:val="superscript"/>
        </w:rPr>
        <w:footnoteReference w:id="48"/>
      </w:r>
      <w:r w:rsidRPr="00DA7D87">
        <w:t xml:space="preserve"> (reversible </w:t>
      </w:r>
      <w:r w:rsidRPr="00C43F8B">
        <w:t>vs.</w:t>
      </w:r>
      <w:r w:rsidRPr="00DA7D87">
        <w:t xml:space="preserve"> not reversible). The number of subjects in each subgroup for this combined analysis</w:t>
      </w:r>
      <w:r>
        <w:t xml:space="preserve"> is summarised in </w:t>
      </w:r>
      <w:r w:rsidRPr="00597990">
        <w:t xml:space="preserve">Table </w:t>
      </w:r>
      <w:r w:rsidR="00216724">
        <w:t>14</w:t>
      </w:r>
      <w:r w:rsidRPr="00597990">
        <w:t>. Interactions</w:t>
      </w:r>
      <w:r w:rsidRPr="00DA7D87">
        <w:t xml:space="preserve"> of treatment with the subgroup parameters were done</w:t>
      </w:r>
      <w:r w:rsidRPr="00C43F8B">
        <w:rPr>
          <w:sz w:val="18"/>
          <w:szCs w:val="18"/>
          <w:vertAlign w:val="superscript"/>
        </w:rPr>
        <w:footnoteReference w:id="49"/>
      </w:r>
      <w:r w:rsidRPr="00DA7D87">
        <w:t xml:space="preserve"> and results showed that for the primary effi</w:t>
      </w:r>
      <w:r>
        <w:t xml:space="preserve">cacy endpoint of trough FEV1 at </w:t>
      </w:r>
      <w:r w:rsidRPr="00DA7D87">
        <w:t xml:space="preserve">Day 169, interactions with treatment for gender (male </w:t>
      </w:r>
      <w:r w:rsidRPr="00C43F8B">
        <w:t>vs.</w:t>
      </w:r>
      <w:r w:rsidRPr="00DA7D87">
        <w:t xml:space="preserve"> </w:t>
      </w:r>
      <w:r w:rsidRPr="00DA7D87">
        <w:lastRenderedPageBreak/>
        <w:t>female), age (</w:t>
      </w:r>
      <w:r>
        <w:t xml:space="preserve">≤ </w:t>
      </w:r>
      <w:r w:rsidRPr="00DA7D87">
        <w:t xml:space="preserve">64 </w:t>
      </w:r>
      <w:r w:rsidRPr="00C43F8B">
        <w:t>vs.</w:t>
      </w:r>
      <w:r w:rsidRPr="00DA7D87">
        <w:t xml:space="preserve"> </w:t>
      </w:r>
      <w:r>
        <w:t xml:space="preserve">≥ </w:t>
      </w:r>
      <w:r w:rsidRPr="00DA7D87">
        <w:t xml:space="preserve">65 years), treatment-naive status (yes </w:t>
      </w:r>
      <w:r w:rsidRPr="00C43F8B">
        <w:t>vs.</w:t>
      </w:r>
      <w:r w:rsidRPr="00DA7D87">
        <w:t xml:space="preserve"> no), GOLD classification (I/II </w:t>
      </w:r>
      <w:r w:rsidRPr="00C43F8B">
        <w:t>vs.</w:t>
      </w:r>
      <w:r w:rsidRPr="00DA7D87">
        <w:t xml:space="preserve"> III/IV), smoking status (former </w:t>
      </w:r>
      <w:r w:rsidRPr="00C43F8B">
        <w:t>vs.</w:t>
      </w:r>
      <w:r w:rsidRPr="00DA7D87">
        <w:t xml:space="preserve"> current) and </w:t>
      </w:r>
      <w:r>
        <w:t xml:space="preserve">geographical region (EU </w:t>
      </w:r>
      <w:r w:rsidRPr="00C43F8B">
        <w:t>vs.</w:t>
      </w:r>
      <w:r>
        <w:t xml:space="preserve"> non-</w:t>
      </w:r>
      <w:r w:rsidRPr="00DA7D87">
        <w:t>EU) were not statistically significant (p</w:t>
      </w:r>
      <w:r>
        <w:t xml:space="preserve"> </w:t>
      </w:r>
      <w:r w:rsidRPr="00DA7D87">
        <w:t>&gt;</w:t>
      </w:r>
      <w:r>
        <w:t xml:space="preserve"> </w:t>
      </w:r>
      <w:r w:rsidRPr="00DA7D87">
        <w:t>0.10). For the primary efficacy endpoint, there were statistically significant interactions of treatment with ra</w:t>
      </w:r>
      <w:r>
        <w:t xml:space="preserve">ce (White </w:t>
      </w:r>
      <w:r w:rsidRPr="00F97073">
        <w:t>vs.</w:t>
      </w:r>
      <w:r>
        <w:t xml:space="preserve"> non-</w:t>
      </w:r>
      <w:r w:rsidRPr="00DA7D87">
        <w:t>White; p</w:t>
      </w:r>
      <w:r>
        <w:t xml:space="preserve"> = </w:t>
      </w:r>
      <w:r w:rsidRPr="00DA7D87">
        <w:t xml:space="preserve">0.015), ICS use at screening (yes </w:t>
      </w:r>
      <w:r w:rsidRPr="00F97073">
        <w:t>vs.</w:t>
      </w:r>
      <w:r w:rsidRPr="00DA7D87">
        <w:t xml:space="preserve"> no; p</w:t>
      </w:r>
      <w:r>
        <w:t xml:space="preserve"> = </w:t>
      </w:r>
      <w:r w:rsidRPr="00DA7D87">
        <w:t xml:space="preserve">0.002), </w:t>
      </w:r>
      <w:r>
        <w:t xml:space="preserve">geographical region (US </w:t>
      </w:r>
      <w:r w:rsidRPr="00F97073">
        <w:t>vs.</w:t>
      </w:r>
      <w:r>
        <w:t xml:space="preserve"> non-</w:t>
      </w:r>
      <w:r w:rsidRPr="00DA7D87">
        <w:t>US; p</w:t>
      </w:r>
      <w:r>
        <w:t xml:space="preserve"> = </w:t>
      </w:r>
      <w:r w:rsidRPr="00DA7D87">
        <w:t xml:space="preserve">0.085), reversibility to salbutamol (reversible </w:t>
      </w:r>
      <w:r w:rsidRPr="00F97073">
        <w:t>vs.</w:t>
      </w:r>
      <w:r w:rsidRPr="00DA7D87">
        <w:t xml:space="preserve"> not reversible; </w:t>
      </w:r>
      <w:r>
        <w:t>p &lt; 0.001</w:t>
      </w:r>
      <w:r w:rsidRPr="00DA7D87">
        <w:t xml:space="preserve">), and reversibility to salbutamol and ipratropium (reversible </w:t>
      </w:r>
      <w:r w:rsidRPr="00F97073">
        <w:t>vs.</w:t>
      </w:r>
      <w:r w:rsidRPr="00DA7D87">
        <w:t xml:space="preserve"> not reversible; </w:t>
      </w:r>
      <w:r>
        <w:t>p &lt; 0.001</w:t>
      </w:r>
      <w:r w:rsidRPr="00DA7D87">
        <w:t xml:space="preserve">). For the subgroup category of race (White </w:t>
      </w:r>
      <w:r w:rsidRPr="00F97073">
        <w:t>vs.</w:t>
      </w:r>
      <w:r w:rsidRPr="00DA7D87">
        <w:t xml:space="preserve"> non-White), ICS use at screening (yes </w:t>
      </w:r>
      <w:r w:rsidRPr="00F97073">
        <w:t>vs.</w:t>
      </w:r>
      <w:r w:rsidRPr="00DA7D87">
        <w:t xml:space="preserve"> no), and </w:t>
      </w:r>
      <w:r>
        <w:t xml:space="preserve">geographical region (US </w:t>
      </w:r>
      <w:r w:rsidRPr="00F97073">
        <w:t>vs.</w:t>
      </w:r>
      <w:r>
        <w:t xml:space="preserve"> non-</w:t>
      </w:r>
      <w:r w:rsidRPr="00DA7D87">
        <w:t>US), the differences in magnitude between the subgroups were not considered to be clinically relevant. However, for the subgroup category of reversibility to salbutamol and reversibility to salbutamol and ipratropium, responses to treatment were consistently greater in revers</w:t>
      </w:r>
      <w:r>
        <w:t>ible subjects compared with non-</w:t>
      </w:r>
      <w:r w:rsidRPr="00DA7D87">
        <w:t xml:space="preserve">reversible subjects. In addition, the reversible subjects appeared to show a greater difference from </w:t>
      </w:r>
      <w:r>
        <w:t>placebo</w:t>
      </w:r>
      <w:r w:rsidRPr="00DA7D87">
        <w:t xml:space="preserve"> for UMEC/VI 125/25 </w:t>
      </w:r>
      <w:r>
        <w:t>µg</w:t>
      </w:r>
      <w:r w:rsidRPr="00DA7D87">
        <w:t xml:space="preserve"> than that observed for UMEC/VI 62.5/25 </w:t>
      </w:r>
      <w:r>
        <w:t>µg</w:t>
      </w:r>
      <w:r w:rsidRPr="00DA7D87">
        <w:t>, wh</w:t>
      </w:r>
      <w:r>
        <w:t>ich was not observed in the non-</w:t>
      </w:r>
      <w:r w:rsidRPr="00DA7D87">
        <w:t>reversible subjects.</w:t>
      </w:r>
    </w:p>
    <w:p w:rsidR="00B13321" w:rsidRDefault="00B13321" w:rsidP="008C017B">
      <w:pPr>
        <w:pStyle w:val="Tabletitle"/>
      </w:pPr>
      <w:proofErr w:type="gramStart"/>
      <w:r w:rsidRPr="008E0E9C">
        <w:lastRenderedPageBreak/>
        <w:t xml:space="preserve">Table </w:t>
      </w:r>
      <w:r>
        <w:t>1</w:t>
      </w:r>
      <w:r w:rsidR="00216724">
        <w:t>4</w:t>
      </w:r>
      <w:r w:rsidRPr="008E0E9C">
        <w:t>.</w:t>
      </w:r>
      <w:proofErr w:type="gramEnd"/>
      <w:r w:rsidRPr="008E0E9C">
        <w:t xml:space="preserve"> Summary of Number of Subjects by Subgroup (Integrated Studies DB2113361, DB2113373, DB2113360, and DB2113374 ITT Population)</w:t>
      </w:r>
    </w:p>
    <w:p w:rsidR="00B13321" w:rsidRPr="0084794A" w:rsidRDefault="00B13321" w:rsidP="008C017B">
      <w:r>
        <w:rPr>
          <w:noProof/>
          <w:lang w:eastAsia="en-AU"/>
        </w:rPr>
        <w:drawing>
          <wp:inline distT="0" distB="0" distL="0" distR="0" wp14:anchorId="706D6A9D" wp14:editId="309FFB01">
            <wp:extent cx="5731510" cy="6168740"/>
            <wp:effectExtent l="0" t="0" r="0" b="0"/>
            <wp:docPr id="38" name="Picture 38" descr="Table 14. Summary of Number of Subjects by Subgroup (Integrated Studies DB2113361, DB2113373, DB2113360,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31510" cy="6168740"/>
                    </a:xfrm>
                    <a:prstGeom prst="rect">
                      <a:avLst/>
                    </a:prstGeom>
                  </pic:spPr>
                </pic:pic>
              </a:graphicData>
            </a:graphic>
          </wp:inline>
        </w:drawing>
      </w:r>
    </w:p>
    <w:p w:rsidR="00B13321" w:rsidRDefault="00B13321" w:rsidP="00B80494">
      <w:r w:rsidRPr="00DA7D87">
        <w:t xml:space="preserve">The sponsor performed additional analysis of the integrated data from the 4 pivotal efficacy studies, showing that in the subgroup of subjects reversible to salbutamol at screening (31% of all study subjects; 1447/4682) there were greater improvements in </w:t>
      </w:r>
      <w:proofErr w:type="spellStart"/>
      <w:r w:rsidRPr="00DA7D87">
        <w:t>bronchodilatation</w:t>
      </w:r>
      <w:proofErr w:type="spellEnd"/>
      <w:r w:rsidRPr="00DA7D87">
        <w:t xml:space="preserve"> as measured by trough FEV1 at Day 169 with UMEC/VI 125/25 </w:t>
      </w:r>
      <w:r>
        <w:t>µg</w:t>
      </w:r>
      <w:r w:rsidRPr="00DA7D87">
        <w:t xml:space="preserve"> (282 mL improvement over </w:t>
      </w:r>
      <w:r w:rsidRPr="00BB6ED8">
        <w:t>placebo</w:t>
      </w:r>
      <w:r w:rsidRPr="00DA7D87">
        <w:t>; p</w:t>
      </w:r>
      <w:r>
        <w:t xml:space="preserve"> </w:t>
      </w:r>
      <w:r w:rsidRPr="00DA7D87">
        <w:t xml:space="preserve">&lt; 0.001) compared with UMEC/VI 62.5/25 </w:t>
      </w:r>
      <w:r>
        <w:t>µg</w:t>
      </w:r>
      <w:r w:rsidRPr="00DA7D87">
        <w:t xml:space="preserve"> (225 mL over </w:t>
      </w:r>
      <w:r w:rsidRPr="00BB6ED8">
        <w:t>placebo</w:t>
      </w:r>
      <w:r w:rsidRPr="00DA7D87">
        <w:t xml:space="preserve">; </w:t>
      </w:r>
      <w:r>
        <w:t>p &lt; 0.001</w:t>
      </w:r>
      <w:r w:rsidRPr="00DA7D87">
        <w:t xml:space="preserve">). This pattern was not observed in the non-reversible subjects (UMEC/VI 125/25 </w:t>
      </w:r>
      <w:r>
        <w:t>µg</w:t>
      </w:r>
      <w:r w:rsidRPr="00DA7D87">
        <w:t xml:space="preserve">: 181 mL improvement over </w:t>
      </w:r>
      <w:r w:rsidRPr="00BB6ED8">
        <w:t>placebo</w:t>
      </w:r>
      <w:r w:rsidRPr="00DA7D87">
        <w:t>, p</w:t>
      </w:r>
      <w:r>
        <w:t xml:space="preserve"> </w:t>
      </w:r>
      <w:r w:rsidRPr="00DA7D87">
        <w:t xml:space="preserve">&lt; 0.001; UMEC/VI 62.5/25 </w:t>
      </w:r>
      <w:r>
        <w:t>µg</w:t>
      </w:r>
      <w:r w:rsidRPr="00DA7D87">
        <w:t xml:space="preserve">: 188 mL improvement over </w:t>
      </w:r>
      <w:r w:rsidRPr="00BB6ED8">
        <w:t>placebo</w:t>
      </w:r>
      <w:r w:rsidRPr="00DA7D87">
        <w:t>, p</w:t>
      </w:r>
      <w:r>
        <w:t xml:space="preserve"> </w:t>
      </w:r>
      <w:r w:rsidRPr="00DA7D87">
        <w:t>&lt; 0.001)</w:t>
      </w:r>
      <w:r w:rsidR="00216724">
        <w:t xml:space="preserve"> (Table 15</w:t>
      </w:r>
      <w:r>
        <w:t>)</w:t>
      </w:r>
      <w:r w:rsidRPr="00DA7D87">
        <w:t xml:space="preserve">. The greater improvements in trough FEV1 over </w:t>
      </w:r>
      <w:r>
        <w:t>PLA</w:t>
      </w:r>
      <w:r w:rsidRPr="00DA7D87">
        <w:t xml:space="preserve"> for UMEC/VI 125/25 </w:t>
      </w:r>
      <w:r>
        <w:t>µg</w:t>
      </w:r>
      <w:r w:rsidRPr="00DA7D87">
        <w:t xml:space="preserve"> compared to 62.5/25 </w:t>
      </w:r>
      <w:r>
        <w:t>µg</w:t>
      </w:r>
      <w:r w:rsidRPr="00DA7D87">
        <w:t xml:space="preserve"> in the subgroup of subjects reversible to salbutamol at screening were observed at Day 2 and maintained for the duration of the study</w:t>
      </w:r>
      <w:r w:rsidR="00216724">
        <w:t xml:space="preserve"> (Figure 25</w:t>
      </w:r>
      <w:r>
        <w:t>)</w:t>
      </w:r>
      <w:r w:rsidRPr="00DA7D87">
        <w:t>.</w:t>
      </w:r>
      <w:r>
        <w:t xml:space="preserve"> </w:t>
      </w:r>
      <w:r w:rsidRPr="00DA7D87">
        <w:t xml:space="preserve">Greater treatment response with the 125/25 </w:t>
      </w:r>
      <w:r>
        <w:t>µg</w:t>
      </w:r>
      <w:r w:rsidRPr="00DA7D87">
        <w:t xml:space="preserve"> than with 62.5/25 </w:t>
      </w:r>
      <w:r>
        <w:t>µg</w:t>
      </w:r>
      <w:r w:rsidRPr="00DA7D87">
        <w:t xml:space="preserve"> in the </w:t>
      </w:r>
      <w:r w:rsidRPr="00DA7D87">
        <w:lastRenderedPageBreak/>
        <w:t>reversible subgroup was also observed for the TDI focal scores, SGRQ sco</w:t>
      </w:r>
      <w:r>
        <w:t>res, and rescue salbutamol use.</w:t>
      </w:r>
    </w:p>
    <w:p w:rsidR="00B13321" w:rsidRPr="0036209F" w:rsidRDefault="00B13321" w:rsidP="008A1EA7">
      <w:pPr>
        <w:pStyle w:val="Tabletitle"/>
      </w:pPr>
      <w:proofErr w:type="gramStart"/>
      <w:r w:rsidRPr="0036209F">
        <w:t xml:space="preserve">Table </w:t>
      </w:r>
      <w:r w:rsidR="00216724">
        <w:t>15</w:t>
      </w:r>
      <w:r w:rsidRPr="0036209F">
        <w:t>.</w:t>
      </w:r>
      <w:proofErr w:type="gramEnd"/>
      <w:r w:rsidRPr="0036209F">
        <w:t xml:space="preserve"> Trough FEV1 (L) at Day 169 by Reversibility to Salbutamol (Integrated Studies DB2113361, DB2113373, DB2113360, and DB2113374 ITT Population)</w:t>
      </w:r>
    </w:p>
    <w:p w:rsidR="00B13321" w:rsidRDefault="00B13321" w:rsidP="008A1EA7">
      <w:pPr>
        <w:rPr>
          <w:b/>
        </w:rPr>
      </w:pPr>
      <w:r w:rsidRPr="0036209F">
        <w:rPr>
          <w:noProof/>
          <w:lang w:eastAsia="en-AU"/>
        </w:rPr>
        <w:drawing>
          <wp:inline distT="0" distB="0" distL="0" distR="0" wp14:anchorId="0EB2BFEA" wp14:editId="7A79326B">
            <wp:extent cx="5731510" cy="3141308"/>
            <wp:effectExtent l="0" t="0" r="0" b="0"/>
            <wp:docPr id="3" name="Picture 3" descr="Table 15. Trough FEV1 (L) at Day 169 by Reversibility to Salbutamol (Integrated Studies DB2113361, DB2113373, DB2113360,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31510" cy="3141308"/>
                    </a:xfrm>
                    <a:prstGeom prst="rect">
                      <a:avLst/>
                    </a:prstGeom>
                  </pic:spPr>
                </pic:pic>
              </a:graphicData>
            </a:graphic>
          </wp:inline>
        </w:drawing>
      </w:r>
    </w:p>
    <w:p w:rsidR="00B13321" w:rsidRDefault="00216724" w:rsidP="008A1EA7">
      <w:pPr>
        <w:pStyle w:val="FigureTitle"/>
      </w:pPr>
      <w:proofErr w:type="gramStart"/>
      <w:r>
        <w:t>Figure 25</w:t>
      </w:r>
      <w:r w:rsidR="00B13321">
        <w:t>.</w:t>
      </w:r>
      <w:proofErr w:type="gramEnd"/>
      <w:r w:rsidR="00B13321">
        <w:t xml:space="preserve"> </w:t>
      </w:r>
      <w:r w:rsidR="00B13321" w:rsidRPr="00E456D7">
        <w:t xml:space="preserve">Trough FEV1 (L): Least </w:t>
      </w:r>
      <w:r w:rsidR="00B13321">
        <w:t xml:space="preserve">Squares Mean (95% CI) Treatment </w:t>
      </w:r>
      <w:r w:rsidR="00B13321" w:rsidRPr="00E456D7">
        <w:t>Differences from Placebo in Change from Baseline by Reversibility</w:t>
      </w:r>
      <w:r w:rsidR="00B13321">
        <w:t xml:space="preserve"> </w:t>
      </w:r>
      <w:r w:rsidR="00B13321" w:rsidRPr="00E456D7">
        <w:t>to Salbutamol (Integrated Studies DB2113361, DB2113373,</w:t>
      </w:r>
      <w:r w:rsidR="00B13321">
        <w:t xml:space="preserve"> </w:t>
      </w:r>
      <w:r w:rsidR="00B13321" w:rsidRPr="00E456D7">
        <w:t>DB2113360, and DB2113374 ITT Population)</w:t>
      </w:r>
      <w:r w:rsidR="00B13321">
        <w:t>.</w:t>
      </w:r>
    </w:p>
    <w:p w:rsidR="00B13321" w:rsidRPr="00423F7D" w:rsidRDefault="00B13321" w:rsidP="008A1EA7">
      <w:pPr>
        <w:rPr>
          <w:b/>
          <w:bCs/>
        </w:rPr>
      </w:pPr>
      <w:r>
        <w:rPr>
          <w:noProof/>
          <w:lang w:eastAsia="en-AU"/>
        </w:rPr>
        <w:drawing>
          <wp:inline distT="0" distB="0" distL="0" distR="0" wp14:anchorId="76ECB48D" wp14:editId="71D789D8">
            <wp:extent cx="5731510" cy="3028638"/>
            <wp:effectExtent l="0" t="0" r="0" b="0"/>
            <wp:docPr id="50" name="Picture 50" descr="Figure 25. Trough FEV1 (L): Least Squares Mean (95% CI) Treatment Differences from Placebo in Change from Baseline by Reversibility to Salbutamol (Integrated Studies DB2113361, DB2113373, DB2113360,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0" cy="3028638"/>
                    </a:xfrm>
                    <a:prstGeom prst="rect">
                      <a:avLst/>
                    </a:prstGeom>
                  </pic:spPr>
                </pic:pic>
              </a:graphicData>
            </a:graphic>
          </wp:inline>
        </w:drawing>
      </w:r>
    </w:p>
    <w:p w:rsidR="00B13321" w:rsidRPr="00DA7D87" w:rsidRDefault="00B13321" w:rsidP="008A1EA7">
      <w:pPr>
        <w:ind w:left="284"/>
      </w:pPr>
      <w:r>
        <w:rPr>
          <w:b/>
        </w:rPr>
        <w:t xml:space="preserve">Evaluator’s comments: </w:t>
      </w:r>
      <w:r w:rsidRPr="00DA7D87">
        <w:t xml:space="preserve">In the interactions tests with regards to smoking status, the </w:t>
      </w:r>
      <w:r>
        <w:t xml:space="preserve">smoking status used was that at </w:t>
      </w:r>
      <w:r w:rsidRPr="00DA7D87">
        <w:t>screening. It is noted that in the pivotal studies, smoking status was assessed at screening, and also Weeks 12 and 24. The potential interaction between smoking status at Weeks 12 and 24 and efficacy was not explored. However, a look through the results of these 4 studies showed that the proportion of subjects who reported changes in smoking status from screening during the study was low (&lt;</w:t>
      </w:r>
      <w:r>
        <w:t xml:space="preserve"> </w:t>
      </w:r>
      <w:r w:rsidRPr="00DA7D87">
        <w:t xml:space="preserve">1% in each study). In </w:t>
      </w:r>
      <w:r w:rsidRPr="00DA7D87">
        <w:lastRenderedPageBreak/>
        <w:t xml:space="preserve">view of this, the evaluator does not consider it necessary </w:t>
      </w:r>
      <w:proofErr w:type="gramStart"/>
      <w:r w:rsidRPr="00DA7D87">
        <w:t>nor</w:t>
      </w:r>
      <w:proofErr w:type="gramEnd"/>
      <w:r w:rsidRPr="00DA7D87">
        <w:t xml:space="preserve"> feasible for additional analyses on the potential interaction between smoking status at Weeks 12 and 24 and efficacy to be performed.</w:t>
      </w:r>
    </w:p>
    <w:p w:rsidR="00B13321" w:rsidRPr="00DA7D87" w:rsidRDefault="00B13321" w:rsidP="00B80494">
      <w:pPr>
        <w:pStyle w:val="Heading3"/>
      </w:pPr>
      <w:bookmarkStart w:id="176" w:name="_Ref271126605"/>
      <w:bookmarkStart w:id="177" w:name="_Toc272414657"/>
      <w:bookmarkStart w:id="178" w:name="_Toc290846282"/>
      <w:bookmarkStart w:id="179" w:name="_Toc376461161"/>
      <w:bookmarkStart w:id="180" w:name="_Toc422852160"/>
      <w:r w:rsidRPr="00DA7D87">
        <w:t>Evaluator’s conclusions</w:t>
      </w:r>
      <w:bookmarkEnd w:id="176"/>
      <w:bookmarkEnd w:id="177"/>
      <w:bookmarkEnd w:id="178"/>
      <w:bookmarkEnd w:id="179"/>
      <w:bookmarkEnd w:id="180"/>
    </w:p>
    <w:p w:rsidR="00B13321" w:rsidRDefault="00B13321" w:rsidP="00B80494">
      <w:proofErr w:type="gramStart"/>
      <w:r w:rsidRPr="00A81D01">
        <w:t>Evaluator’s conclusions on clinical efficacy for the indication of long term, once daily bronchodilator treatment to relieve symptoms in adult patients with COPD</w:t>
      </w:r>
      <w:r>
        <w:t>.</w:t>
      </w:r>
      <w:proofErr w:type="gramEnd"/>
    </w:p>
    <w:p w:rsidR="00B13321" w:rsidRPr="00DA7D87" w:rsidRDefault="00B13321" w:rsidP="00B80494">
      <w:r w:rsidRPr="00DA7D87">
        <w:t xml:space="preserve">The efficacy of </w:t>
      </w:r>
      <w:proofErr w:type="spellStart"/>
      <w:r w:rsidRPr="00DA7D87">
        <w:t>Anoro</w:t>
      </w:r>
      <w:proofErr w:type="spellEnd"/>
      <w:r w:rsidRPr="00DA7D87">
        <w:t xml:space="preserve"> </w:t>
      </w:r>
      <w:proofErr w:type="spellStart"/>
      <w:r w:rsidRPr="00DA7D87">
        <w:t>Ellipta</w:t>
      </w:r>
      <w:proofErr w:type="spellEnd"/>
      <w:r w:rsidRPr="00DA7D87">
        <w:t xml:space="preserve"> (UMEC/VI) was evaluated in 2 sets of randomised, </w:t>
      </w:r>
      <w:r>
        <w:t>double-blind</w:t>
      </w:r>
      <w:r w:rsidRPr="00DA7D87">
        <w:t xml:space="preserve">, parallel group studies, where 1 set of studies was </w:t>
      </w:r>
      <w:r w:rsidRPr="00BB6ED8">
        <w:t>placebo</w:t>
      </w:r>
      <w:r>
        <w:t>-controlled</w:t>
      </w:r>
      <w:r w:rsidRPr="00DA7D87">
        <w:t>,</w:t>
      </w:r>
      <w:r>
        <w:t xml:space="preserve"> while the other set was active-</w:t>
      </w:r>
      <w:r w:rsidRPr="00DA7D87">
        <w:t xml:space="preserve">controlled (active control: </w:t>
      </w:r>
      <w:proofErr w:type="spellStart"/>
      <w:proofErr w:type="gramStart"/>
      <w:r w:rsidRPr="00DA7D87">
        <w:t>tiotropium</w:t>
      </w:r>
      <w:proofErr w:type="spellEnd"/>
      <w:r>
        <w:t>(</w:t>
      </w:r>
      <w:proofErr w:type="gramEnd"/>
      <w:r>
        <w:t>TIO)</w:t>
      </w:r>
      <w:r w:rsidRPr="00DA7D87">
        <w:t xml:space="preserve">). The study designs, study inclusion and exclusion criteria and the primary and secondary endpoints are consistent with the recommendations in the EMA guidelines on clinical investigation of medicinal products in the treatment of </w:t>
      </w:r>
      <w:r w:rsidRPr="00BB6ED8">
        <w:t>chronic obstructive pulmonary disease</w:t>
      </w:r>
      <w:r w:rsidRPr="00DA7D87">
        <w:t xml:space="preserve">, as well as the FDA Guidance for Industry- Chronic Obstructive Pulmonary Disease: Developing Drugs for Treatment. Overall, 1493 and 1536 subjects with COPD were randomised in the 2 </w:t>
      </w:r>
      <w:r w:rsidRPr="00BB6ED8">
        <w:t>placebo</w:t>
      </w:r>
      <w:r>
        <w:t>-controlled</w:t>
      </w:r>
      <w:r w:rsidRPr="00DA7D87">
        <w:t xml:space="preserve"> studies (DB2113361 and DB</w:t>
      </w:r>
      <w:r>
        <w:t xml:space="preserve">2113373, </w:t>
      </w:r>
      <w:r w:rsidRPr="00BB6ED8">
        <w:t>respectively), while 8</w:t>
      </w:r>
      <w:r w:rsidR="00027A82">
        <w:t>2</w:t>
      </w:r>
      <w:r w:rsidRPr="00BB6ED8">
        <w:t>6 and 872</w:t>
      </w:r>
      <w:r w:rsidRPr="00DA7D87">
        <w:t xml:space="preserve"> subjects with COPD </w:t>
      </w:r>
      <w:r>
        <w:t>were randomised in the 2 active-</w:t>
      </w:r>
      <w:r w:rsidRPr="00DA7D87">
        <w:t>controlled studies (DB2113360 and DB2113374, respectively). Baseline demographic and disease characteristics of the study populations in these studies showed that they were reflective of</w:t>
      </w:r>
      <w:r>
        <w:t xml:space="preserve"> the target patient population.</w:t>
      </w:r>
    </w:p>
    <w:p w:rsidR="00B13321" w:rsidRPr="00DA7D87" w:rsidRDefault="00B13321" w:rsidP="00B80494">
      <w:r w:rsidRPr="00DA7D87">
        <w:t xml:space="preserve">In these 4 pivotal studies, the efficacy of UMEC/VI was evaluated through effects on FEV1 as well as effects on symptom relief and health outcomes. Overall, analyses on the effects of UMEC/VI on FEV1 compared to </w:t>
      </w:r>
      <w:r w:rsidRPr="00BB6ED8">
        <w:t>placebo</w:t>
      </w:r>
      <w:r w:rsidRPr="00DA7D87">
        <w:t xml:space="preserve"> yielded results which were supportive of the efficacy claim of both doses of UMEC/VI (125/25 </w:t>
      </w:r>
      <w:r>
        <w:t>µg</w:t>
      </w:r>
      <w:r w:rsidRPr="00DA7D87">
        <w:t xml:space="preserve"> and 62.5/25 </w:t>
      </w:r>
      <w:r>
        <w:t>µg</w:t>
      </w:r>
      <w:r w:rsidRPr="00DA7D87">
        <w:t xml:space="preserve">) as well as of its components (UMEC 125 </w:t>
      </w:r>
      <w:r>
        <w:t>µg</w:t>
      </w:r>
      <w:r w:rsidRPr="00DA7D87">
        <w:t xml:space="preserve">, UMEC 62.5 </w:t>
      </w:r>
      <w:r>
        <w:t>µg</w:t>
      </w:r>
      <w:r w:rsidRPr="00DA7D87">
        <w:t xml:space="preserve"> and VI 25 </w:t>
      </w:r>
      <w:r>
        <w:t>µg</w:t>
      </w:r>
      <w:r w:rsidRPr="00DA7D87">
        <w:t xml:space="preserve">) over </w:t>
      </w:r>
      <w:r w:rsidRPr="00BB6ED8">
        <w:t>placebo</w:t>
      </w:r>
      <w:r w:rsidRPr="00DA7D87">
        <w:t>. Analyses on the effects of UMEC/VI on FEV1 compared to an</w:t>
      </w:r>
      <w:r>
        <w:t xml:space="preserve"> active comparator, TIO</w:t>
      </w:r>
      <w:r w:rsidRPr="00DA7D87">
        <w:t xml:space="preserve">, also yielded results which were generally supportive of the efficacy claim of both doses of UMEC/VI (125/25 </w:t>
      </w:r>
      <w:r>
        <w:t>µg</w:t>
      </w:r>
      <w:r w:rsidRPr="00DA7D87">
        <w:t xml:space="preserve"> and 62.5/25 </w:t>
      </w:r>
      <w:r>
        <w:t>µg</w:t>
      </w:r>
      <w:r w:rsidRPr="00DA7D87">
        <w:t xml:space="preserve">) over TIO. Analyses on the effects of UMEC/VI on symptom relief and health outcomes compared to </w:t>
      </w:r>
      <w:r w:rsidRPr="00BB6ED8">
        <w:t>placebo</w:t>
      </w:r>
      <w:r w:rsidRPr="00DA7D87">
        <w:t xml:space="preserve"> yielded results which were generally supportive of the efficacy claim of both doses of UMEC/VI over </w:t>
      </w:r>
      <w:r w:rsidRPr="00BB6ED8">
        <w:t>placebo</w:t>
      </w:r>
      <w:r w:rsidRPr="00DA7D87">
        <w:t>. However, comparisons between UMEC/VI and TIO with regards to effects on symptom relief and health outcomes yielded results that largely showed no statistically significant treatment differences between either dose of UMEC/VI and TIO.</w:t>
      </w:r>
    </w:p>
    <w:p w:rsidR="00B13321" w:rsidRPr="0097263C" w:rsidRDefault="00B13321" w:rsidP="00B80494">
      <w:r w:rsidRPr="00DA7D87">
        <w:t xml:space="preserve">With regards to </w:t>
      </w:r>
      <w:proofErr w:type="spellStart"/>
      <w:r w:rsidRPr="00DA7D87">
        <w:t>bronchodilatory</w:t>
      </w:r>
      <w:proofErr w:type="spellEnd"/>
      <w:r w:rsidRPr="00DA7D87">
        <w:t xml:space="preserve"> effects at the end of a 2</w:t>
      </w:r>
      <w:r>
        <w:t>4-hour</w:t>
      </w:r>
      <w:r w:rsidRPr="00DA7D87">
        <w:t xml:space="preserve"> dosing interval (as measured by tro</w:t>
      </w:r>
      <w:r>
        <w:t>ugh FEV1) in the two pivotal 24-</w:t>
      </w:r>
      <w:r w:rsidRPr="00DA7D87">
        <w:t xml:space="preserve">week </w:t>
      </w:r>
      <w:r w:rsidRPr="00BC7FD3">
        <w:t>placebo</w:t>
      </w:r>
      <w:r>
        <w:t>-controlled</w:t>
      </w:r>
      <w:r w:rsidRPr="00DA7D87">
        <w:t xml:space="preserve"> studies (DB2113361 and DB213373), both doses of UMEC/VI showed statistically significant improvements over </w:t>
      </w:r>
      <w:r w:rsidRPr="00DC54AE">
        <w:t>placebo</w:t>
      </w:r>
      <w:r w:rsidRPr="00DA7D87">
        <w:t xml:space="preserve"> in trough FEV1 at Day 169 (difference over </w:t>
      </w:r>
      <w:r w:rsidRPr="00DC54AE">
        <w:t>placebo</w:t>
      </w:r>
      <w:r w:rsidRPr="00DA7D87">
        <w:t xml:space="preserve"> of 167 mL and 238 mL with UMEC/VI 62.5/25 </w:t>
      </w:r>
      <w:r>
        <w:t>µg</w:t>
      </w:r>
      <w:r w:rsidRPr="00DA7D87">
        <w:t xml:space="preserve"> and 125/25 </w:t>
      </w:r>
      <w:r>
        <w:t>µg</w:t>
      </w:r>
      <w:r w:rsidRPr="00DA7D87">
        <w:t xml:space="preserve">, respectively; </w:t>
      </w:r>
      <w:r>
        <w:t>p &lt; 0.001</w:t>
      </w:r>
      <w:r w:rsidRPr="00DA7D87">
        <w:t xml:space="preserve">). Improvements over </w:t>
      </w:r>
      <w:r w:rsidRPr="00DC54AE">
        <w:t>placebo</w:t>
      </w:r>
      <w:r>
        <w:t xml:space="preserve"> were also observed in the 12-</w:t>
      </w:r>
      <w:r w:rsidRPr="00DA7D87">
        <w:t xml:space="preserve">week exercise studies (DB2114417 and DB2114418; difference over </w:t>
      </w:r>
      <w:r w:rsidRPr="00DC54AE">
        <w:t>placebo</w:t>
      </w:r>
      <w:r w:rsidRPr="00DA7D87">
        <w:t xml:space="preserve"> of 211 to 243 mL and 169 to 261 mL with UMEC/VI 62.5/25 </w:t>
      </w:r>
      <w:r>
        <w:t>µg</w:t>
      </w:r>
      <w:r w:rsidRPr="00DA7D87">
        <w:t xml:space="preserve"> and 125/25 </w:t>
      </w:r>
      <w:r>
        <w:t>µg</w:t>
      </w:r>
      <w:r w:rsidRPr="00DA7D87">
        <w:t xml:space="preserve">, respectively; </w:t>
      </w:r>
      <w:r w:rsidR="00216724">
        <w:t>p &lt; </w:t>
      </w:r>
      <w:r>
        <w:t>0.001</w:t>
      </w:r>
      <w:r w:rsidRPr="00DA7D87">
        <w:t>), although statistical significance could not be claimed for the comparisons in study DB2114417 under the terms of the testing hierarchy in the study</w:t>
      </w:r>
      <w:r w:rsidRPr="00DC54AE">
        <w:t xml:space="preserve">. </w:t>
      </w:r>
      <w:r w:rsidRPr="00DA7D87">
        <w:t xml:space="preserve">In the two pivotal </w:t>
      </w:r>
      <w:r>
        <w:t>24-week</w:t>
      </w:r>
      <w:r w:rsidRPr="00DA7D87">
        <w:t xml:space="preserve"> active-controlled studies (DB2113360 and DB213374), both doses of UMEC/VI showed statistically significant improvements over TIO in trough FEV1 at Day 169 (difference over TIO of 60 to 90 mL and 74 to 88 mL with UMEC/VI 62.5/25 </w:t>
      </w:r>
      <w:r>
        <w:t>µg</w:t>
      </w:r>
      <w:r w:rsidRPr="00DA7D87">
        <w:t xml:space="preserve"> and 125/25 </w:t>
      </w:r>
      <w:r>
        <w:t>µg</w:t>
      </w:r>
      <w:r w:rsidRPr="00DA7D87">
        <w:t xml:space="preserve">, respectively; </w:t>
      </w:r>
      <w:r w:rsidR="00216724">
        <w:t>p ≤ </w:t>
      </w:r>
      <w:r w:rsidRPr="00DA7D87">
        <w:t xml:space="preserve">0.018), although statistical significance could not be claimed for the comparison between UMEC/VI 62.5/25 </w:t>
      </w:r>
      <w:r>
        <w:t>µg</w:t>
      </w:r>
      <w:r w:rsidRPr="00DA7D87">
        <w:t xml:space="preserve"> and TIO in study DB213374 as a result of a prior test in the predefined testing hierarchy not achieving statistical significance in thi</w:t>
      </w:r>
      <w:r>
        <w:t xml:space="preserve">s </w:t>
      </w:r>
      <w:r w:rsidRPr="00B1460B">
        <w:t>study. Comparisons</w:t>
      </w:r>
      <w:r w:rsidRPr="00DA7D87">
        <w:t xml:space="preserve"> between UMEC/VI 62.5/25 </w:t>
      </w:r>
      <w:r>
        <w:t>µg</w:t>
      </w:r>
      <w:r w:rsidRPr="00DA7D87">
        <w:t xml:space="preserve"> with its individual components in the pivotal studies showed statistically significant improvements of the combination product over the individual components in trough FEV1 at Day 169 (improvement over UMEC 62.5 </w:t>
      </w:r>
      <w:r>
        <w:t>µg</w:t>
      </w:r>
      <w:r w:rsidRPr="00DA7D87">
        <w:t xml:space="preserve"> of 52 mL </w:t>
      </w:r>
      <w:r>
        <w:t>(</w:t>
      </w:r>
      <w:r w:rsidRPr="00DA7D87">
        <w:t>p</w:t>
      </w:r>
      <w:r>
        <w:t xml:space="preserve"> = </w:t>
      </w:r>
      <w:r w:rsidRPr="00DA7D87">
        <w:t>0.004; study DB213373</w:t>
      </w:r>
      <w:r>
        <w:t>)</w:t>
      </w:r>
      <w:r w:rsidRPr="00DA7D87">
        <w:t xml:space="preserve">; improvement over VI 25 </w:t>
      </w:r>
      <w:r>
        <w:t>µg</w:t>
      </w:r>
      <w:r w:rsidRPr="00DA7D87">
        <w:t xml:space="preserve"> of 95 mL </w:t>
      </w:r>
      <w:r>
        <w:t>(p &lt; 0.001</w:t>
      </w:r>
      <w:r w:rsidRPr="00DA7D87">
        <w:t>; study DB213373</w:t>
      </w:r>
      <w:r>
        <w:t>)</w:t>
      </w:r>
      <w:r w:rsidRPr="00DA7D87">
        <w:t xml:space="preserve"> and of 90 mL </w:t>
      </w:r>
      <w:r>
        <w:t>(p &lt; 0.001</w:t>
      </w:r>
      <w:r w:rsidRPr="00DA7D87">
        <w:t>; study DB213360</w:t>
      </w:r>
      <w:r>
        <w:t>)</w:t>
      </w:r>
      <w:r w:rsidRPr="00DA7D87">
        <w:t xml:space="preserve">. Comparisons between UMEC/VI 125/25 </w:t>
      </w:r>
      <w:r>
        <w:t>µg</w:t>
      </w:r>
      <w:r w:rsidRPr="00DA7D87">
        <w:t xml:space="preserve"> with its individual components in </w:t>
      </w:r>
      <w:r w:rsidRPr="00DA7D87">
        <w:lastRenderedPageBreak/>
        <w:t xml:space="preserve">the pivotal studies also showed statistically significant improvements of the combination product over the individual components in trough FEV1 at Day 169, except for that between UMEC/VI 125/25 </w:t>
      </w:r>
      <w:r>
        <w:t>µg</w:t>
      </w:r>
      <w:r w:rsidRPr="00DA7D87">
        <w:t xml:space="preserve"> and UMEC 125 </w:t>
      </w:r>
      <w:r>
        <w:t>µg</w:t>
      </w:r>
      <w:r w:rsidRPr="00DA7D87">
        <w:t xml:space="preserve"> in study DB213374 (improvement over UMEC 125 </w:t>
      </w:r>
      <w:r>
        <w:t>µg</w:t>
      </w:r>
      <w:r w:rsidRPr="00DA7D87">
        <w:t xml:space="preserve"> of 79 mL </w:t>
      </w:r>
      <w:r>
        <w:t>(p &lt; 0.001</w:t>
      </w:r>
      <w:r w:rsidRPr="00DA7D87">
        <w:t>; study DB213361</w:t>
      </w:r>
      <w:r>
        <w:t>)</w:t>
      </w:r>
      <w:r w:rsidRPr="00DA7D87">
        <w:t xml:space="preserve"> and of 37 mL </w:t>
      </w:r>
      <w:r>
        <w:t>(</w:t>
      </w:r>
      <w:r w:rsidRPr="00DA7D87">
        <w:t>p</w:t>
      </w:r>
      <w:r>
        <w:t xml:space="preserve"> = </w:t>
      </w:r>
      <w:r w:rsidRPr="00DA7D87">
        <w:t>0.142; study DB213374</w:t>
      </w:r>
      <w:r>
        <w:t>)</w:t>
      </w:r>
      <w:r w:rsidRPr="00DA7D87">
        <w:t xml:space="preserve">; improvement over VI 25 </w:t>
      </w:r>
      <w:r>
        <w:t>µg</w:t>
      </w:r>
      <w:r w:rsidRPr="00DA7D87">
        <w:t xml:space="preserve"> of 114 mL </w:t>
      </w:r>
      <w:r>
        <w:t>(p &lt; 0.001</w:t>
      </w:r>
      <w:r w:rsidRPr="00DA7D87">
        <w:t>; study DB213361</w:t>
      </w:r>
      <w:r>
        <w:t>)</w:t>
      </w:r>
      <w:r w:rsidRPr="00DA7D87">
        <w:t xml:space="preserve"> and of 88 mL </w:t>
      </w:r>
      <w:r>
        <w:t>(p &lt; 0.001</w:t>
      </w:r>
      <w:r w:rsidRPr="00DA7D87">
        <w:t>; study DB213360</w:t>
      </w:r>
      <w:r>
        <w:t>).</w:t>
      </w:r>
    </w:p>
    <w:p w:rsidR="00B13321" w:rsidRPr="00DA7D87" w:rsidRDefault="00B13321" w:rsidP="00B80494">
      <w:r w:rsidRPr="00DA7D87">
        <w:t xml:space="preserve">Analyses of the </w:t>
      </w:r>
      <w:proofErr w:type="spellStart"/>
      <w:r w:rsidRPr="00DA7D87">
        <w:t>bronchodilatory</w:t>
      </w:r>
      <w:proofErr w:type="spellEnd"/>
      <w:r w:rsidRPr="00DA7D87">
        <w:t xml:space="preserve"> effects in the first 6 hours after dosing, after 24 weeks of treat</w:t>
      </w:r>
      <w:r>
        <w:t xml:space="preserve">ment (weighted mean FEV1 over 0 - </w:t>
      </w:r>
      <w:r w:rsidRPr="00DA7D87">
        <w:t xml:space="preserve">6 hours </w:t>
      </w:r>
      <w:r>
        <w:t>post-dose</w:t>
      </w:r>
      <w:r w:rsidRPr="00DA7D87">
        <w:t xml:space="preserve"> at Day</w:t>
      </w:r>
      <w:r>
        <w:t xml:space="preserve"> 168) showed that in the two 24-</w:t>
      </w:r>
      <w:r w:rsidRPr="00DA7D87">
        <w:t xml:space="preserve">week </w:t>
      </w:r>
      <w:r w:rsidRPr="003334F5">
        <w:t>placebo</w:t>
      </w:r>
      <w:r>
        <w:t xml:space="preserve"> controlled</w:t>
      </w:r>
      <w:r w:rsidRPr="00DA7D87">
        <w:t xml:space="preserve"> studies (DB2113361 and DB213373), both doses of UMEC/VI showed improvements over </w:t>
      </w:r>
      <w:r w:rsidRPr="003334F5">
        <w:t>placebo</w:t>
      </w:r>
      <w:r>
        <w:t xml:space="preserve"> in weighted mean FEV1 over 0 - </w:t>
      </w:r>
      <w:r w:rsidRPr="00DA7D87">
        <w:t xml:space="preserve">6 hours </w:t>
      </w:r>
      <w:r>
        <w:t>post-dose</w:t>
      </w:r>
      <w:r w:rsidRPr="00DA7D87">
        <w:t xml:space="preserve"> at Day 168 (difference over </w:t>
      </w:r>
      <w:r w:rsidRPr="003334F5">
        <w:t>placebo</w:t>
      </w:r>
      <w:r w:rsidRPr="00DA7D87">
        <w:t xml:space="preserve"> of 242 mL and 287 mL with UMEC/VI 62.5/25 </w:t>
      </w:r>
      <w:r>
        <w:t>µg</w:t>
      </w:r>
      <w:r w:rsidRPr="00DA7D87">
        <w:t xml:space="preserve"> and 125/25 </w:t>
      </w:r>
      <w:r>
        <w:t>µg</w:t>
      </w:r>
      <w:r w:rsidRPr="00DA7D87">
        <w:t xml:space="preserve">, respectively; </w:t>
      </w:r>
      <w:r>
        <w:t>p &lt; 0.001</w:t>
      </w:r>
      <w:r w:rsidRPr="00DA7D87">
        <w:t>)</w:t>
      </w:r>
      <w:r w:rsidRPr="0097263C">
        <w:rPr>
          <w:vertAlign w:val="superscript"/>
        </w:rPr>
        <w:footnoteReference w:id="50"/>
      </w:r>
      <w:r>
        <w:t>. In one of the 24-</w:t>
      </w:r>
      <w:r w:rsidRPr="00DA7D87">
        <w:t>week activ</w:t>
      </w:r>
      <w:r>
        <w:t>e-</w:t>
      </w:r>
      <w:r w:rsidRPr="00DA7D87">
        <w:t>controlled studies (DB2113360), both doses of UMEC/VI showed statistically significant improvements over T</w:t>
      </w:r>
      <w:r>
        <w:t xml:space="preserve">IO in weighted mean FEV1 over 0 - </w:t>
      </w:r>
      <w:r w:rsidRPr="00DA7D87">
        <w:t xml:space="preserve">6 hours </w:t>
      </w:r>
      <w:r>
        <w:t>post dose</w:t>
      </w:r>
      <w:r w:rsidRPr="00DA7D87">
        <w:t xml:space="preserve"> at Day 168</w:t>
      </w:r>
      <w:r>
        <w:t xml:space="preserve"> </w:t>
      </w:r>
      <w:r w:rsidRPr="00DA7D87">
        <w:t xml:space="preserve">(difference over TIO of 74 mL and 83 mL with UMEC/VI 62.5/25 </w:t>
      </w:r>
      <w:r>
        <w:t>µg</w:t>
      </w:r>
      <w:r w:rsidRPr="00DA7D87">
        <w:t xml:space="preserve"> and 125/25 </w:t>
      </w:r>
      <w:r>
        <w:t>µg</w:t>
      </w:r>
      <w:r w:rsidRPr="00DA7D87">
        <w:t xml:space="preserve">, respectively; </w:t>
      </w:r>
      <w:r>
        <w:t xml:space="preserve">p ≤ </w:t>
      </w:r>
      <w:r w:rsidRPr="00DA7D87">
        <w:t xml:space="preserve">0.005). In the other </w:t>
      </w:r>
      <w:r>
        <w:t>24-week</w:t>
      </w:r>
      <w:r w:rsidRPr="00DA7D87">
        <w:t xml:space="preserve"> active-controlled studies (DB2113374), both doses of UMEC/VI also showed improvements over T</w:t>
      </w:r>
      <w:r>
        <w:t xml:space="preserve">IO in weighted mean FEV1 over 0 - </w:t>
      </w:r>
      <w:r w:rsidRPr="00DA7D87">
        <w:t xml:space="preserve">6 hours </w:t>
      </w:r>
      <w:r>
        <w:t>post dose</w:t>
      </w:r>
      <w:r w:rsidRPr="00DA7D87">
        <w:t xml:space="preserve"> at Day 168</w:t>
      </w:r>
      <w:r>
        <w:t xml:space="preserve"> </w:t>
      </w:r>
      <w:r w:rsidRPr="00DA7D87">
        <w:t xml:space="preserve">(difference over TIO of 96 mL and 101 mL with UMEC/VI 62.5/25 </w:t>
      </w:r>
      <w:r>
        <w:t>µg</w:t>
      </w:r>
      <w:r w:rsidRPr="00DA7D87">
        <w:t xml:space="preserve"> and 125/25 </w:t>
      </w:r>
      <w:r>
        <w:t>µg</w:t>
      </w:r>
      <w:r w:rsidRPr="00DA7D87">
        <w:t xml:space="preserve">, respectively; </w:t>
      </w:r>
      <w:r>
        <w:t xml:space="preserve">p </w:t>
      </w:r>
      <w:r w:rsidRPr="003334F5">
        <w:t>≤ 0.00</w:t>
      </w:r>
      <w:r>
        <w:t>5</w:t>
      </w:r>
      <w:r w:rsidRPr="003334F5">
        <w:rPr>
          <w:rStyle w:val="FootnoteReference"/>
        </w:rPr>
        <w:footnoteReference w:id="51"/>
      </w:r>
      <w:r w:rsidRPr="003334F5">
        <w:t>),</w:t>
      </w:r>
      <w:r w:rsidRPr="00DA7D87">
        <w:t xml:space="preserve"> although statistical significance could not be claimed for these comparisons as a result of a prior test in the predefined testing hierarchy not achieving statistical significance in study DB2113374.</w:t>
      </w:r>
    </w:p>
    <w:p w:rsidR="00B13321" w:rsidRDefault="00B13321" w:rsidP="00B80494">
      <w:r w:rsidRPr="00DA7D87">
        <w:t xml:space="preserve">With regards to </w:t>
      </w:r>
      <w:proofErr w:type="spellStart"/>
      <w:r>
        <w:t>bronchodilatory</w:t>
      </w:r>
      <w:proofErr w:type="spellEnd"/>
      <w:r>
        <w:t xml:space="preserve"> effects over 24-</w:t>
      </w:r>
      <w:r w:rsidRPr="00DA7D87">
        <w:t>week treatment period (as measured by serial trough FEV</w:t>
      </w:r>
      <w:r>
        <w:t xml:space="preserve">1 and weighted mean FEV1 over 0 - </w:t>
      </w:r>
      <w:r w:rsidRPr="00DA7D87">
        <w:t xml:space="preserve">6 hours across the </w:t>
      </w:r>
      <w:r>
        <w:t>24-week</w:t>
      </w:r>
      <w:r w:rsidRPr="00DA7D87">
        <w:t xml:space="preserve"> treatment period), results in the 4 pivotal studies showed that improvements with both doses of UMEC/VI in trough FEV1 compared to </w:t>
      </w:r>
      <w:r w:rsidRPr="003334F5">
        <w:t>placebo</w:t>
      </w:r>
      <w:r w:rsidRPr="00DA7D87">
        <w:t xml:space="preserve"> and TIO were observed early (at Day 2) and then maintained across the </w:t>
      </w:r>
      <w:r>
        <w:t>24-week</w:t>
      </w:r>
      <w:r w:rsidRPr="00DA7D87">
        <w:t xml:space="preserve"> treatment peri</w:t>
      </w:r>
      <w:r w:rsidR="00216724">
        <w:t>od (Figure 26</w:t>
      </w:r>
      <w:r>
        <w:t>)</w:t>
      </w:r>
      <w:r w:rsidRPr="00DA7D87">
        <w:t>. Improvements with both doses of UMEC/</w:t>
      </w:r>
      <w:r>
        <w:t xml:space="preserve">VI in weighted mean FEV1 over 0 - </w:t>
      </w:r>
      <w:r w:rsidRPr="00DA7D87">
        <w:t xml:space="preserve">6 hours compared to </w:t>
      </w:r>
      <w:r w:rsidRPr="003334F5">
        <w:t>placebo</w:t>
      </w:r>
      <w:r w:rsidRPr="00DA7D87">
        <w:t xml:space="preserve"> and TIO were also observed early and then maintained across the </w:t>
      </w:r>
      <w:r>
        <w:t>24-week</w:t>
      </w:r>
      <w:r w:rsidRPr="00DA7D87">
        <w:t xml:space="preserve"> treatment </w:t>
      </w:r>
      <w:r>
        <w:t>(</w:t>
      </w:r>
      <w:r w:rsidRPr="00DA7D87">
        <w:t xml:space="preserve">Figure </w:t>
      </w:r>
      <w:r w:rsidR="00216724">
        <w:t>27</w:t>
      </w:r>
      <w:r w:rsidRPr="00DA7D87">
        <w:t>).</w:t>
      </w:r>
    </w:p>
    <w:p w:rsidR="00B13321" w:rsidRDefault="00B13321" w:rsidP="008A1EA7">
      <w:pPr>
        <w:pStyle w:val="FigureTitle"/>
      </w:pPr>
      <w:proofErr w:type="gramStart"/>
      <w:r w:rsidRPr="00DF5A24">
        <w:lastRenderedPageBreak/>
        <w:t xml:space="preserve">Figure </w:t>
      </w:r>
      <w:r w:rsidR="00216724">
        <w:t>26</w:t>
      </w:r>
      <w:r w:rsidRPr="00DF5A24">
        <w:t>.</w:t>
      </w:r>
      <w:proofErr w:type="gramEnd"/>
      <w:r w:rsidRPr="00DF5A24">
        <w:t xml:space="preserve"> Least Squares Mean (95% CI) Change from Baseline in Trough FEV1 (L) (Integrated Studies DB2113361, DB2113373, DB2113360, DB2113374 ITT Population)</w:t>
      </w:r>
    </w:p>
    <w:p w:rsidR="00B13321" w:rsidRDefault="00B13321" w:rsidP="008A1EA7">
      <w:r>
        <w:rPr>
          <w:noProof/>
          <w:lang w:eastAsia="en-AU"/>
        </w:rPr>
        <w:drawing>
          <wp:inline distT="0" distB="0" distL="0" distR="0" wp14:anchorId="23B5C6A4" wp14:editId="0F9246AA">
            <wp:extent cx="5341620" cy="3073143"/>
            <wp:effectExtent l="0" t="0" r="0" b="0"/>
            <wp:docPr id="57" name="Picture 57" descr="Figure 26. Least Squares Mean (95% CI) Change from Baseline in Trough FEV1 (L) (Integrated Studies DB2113361, DB2113373, DB2113360,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42804" cy="3073824"/>
                    </a:xfrm>
                    <a:prstGeom prst="rect">
                      <a:avLst/>
                    </a:prstGeom>
                  </pic:spPr>
                </pic:pic>
              </a:graphicData>
            </a:graphic>
          </wp:inline>
        </w:drawing>
      </w:r>
    </w:p>
    <w:p w:rsidR="00B13321" w:rsidRDefault="00216724" w:rsidP="008A1EA7">
      <w:pPr>
        <w:pStyle w:val="FigureTitle"/>
      </w:pPr>
      <w:proofErr w:type="gramStart"/>
      <w:r>
        <w:t>Figure 27</w:t>
      </w:r>
      <w:r w:rsidR="00B13321" w:rsidRPr="00DF5A24">
        <w:t>.</w:t>
      </w:r>
      <w:proofErr w:type="gramEnd"/>
      <w:r w:rsidR="00B13321" w:rsidRPr="00DF5A24">
        <w:t xml:space="preserve"> </w:t>
      </w:r>
      <w:proofErr w:type="gramStart"/>
      <w:r w:rsidR="00B13321" w:rsidRPr="00DF5A24">
        <w:t>Least Squares Mean (95% CI) Change from Baseline in 0 to 6 hour Weighted Mean FEV1 (L) (Integrated Studies DB2113361, DB2113373, DB2113360, DB2113374 ITT Population)</w:t>
      </w:r>
      <w:r w:rsidR="00B13321">
        <w:t>.</w:t>
      </w:r>
      <w:proofErr w:type="gramEnd"/>
    </w:p>
    <w:p w:rsidR="00B13321" w:rsidRPr="00DF5A24" w:rsidRDefault="00B13321" w:rsidP="008A1EA7">
      <w:r>
        <w:rPr>
          <w:noProof/>
          <w:lang w:eastAsia="en-AU"/>
        </w:rPr>
        <w:drawing>
          <wp:inline distT="0" distB="0" distL="0" distR="0" wp14:anchorId="660E2202" wp14:editId="473B92C6">
            <wp:extent cx="5440680" cy="3139434"/>
            <wp:effectExtent l="0" t="0" r="0" b="0"/>
            <wp:docPr id="58" name="Picture 58" descr="Figure 27. Least Squares Mean (95% CI) Change from Baseline in 0 to 6 hour Weighted Mean FEV1 (L) (Integrated Studies DB2113361, DB2113373, DB2113360,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441886" cy="3140130"/>
                    </a:xfrm>
                    <a:prstGeom prst="rect">
                      <a:avLst/>
                    </a:prstGeom>
                  </pic:spPr>
                </pic:pic>
              </a:graphicData>
            </a:graphic>
          </wp:inline>
        </w:drawing>
      </w:r>
    </w:p>
    <w:p w:rsidR="00B13321" w:rsidRPr="00DA7D87" w:rsidRDefault="00B13321" w:rsidP="00B80494">
      <w:r w:rsidRPr="00DA7D87">
        <w:t xml:space="preserve">Characterisation of </w:t>
      </w:r>
      <w:proofErr w:type="spellStart"/>
      <w:r w:rsidRPr="00DA7D87">
        <w:t>bronchodilatory</w:t>
      </w:r>
      <w:proofErr w:type="spellEnd"/>
      <w:r w:rsidRPr="00DA7D87">
        <w:t xml:space="preserve"> effects over 2</w:t>
      </w:r>
      <w:r>
        <w:t>4-hour</w:t>
      </w:r>
      <w:r w:rsidRPr="00DA7D87">
        <w:t xml:space="preserve"> dosing period was done by</w:t>
      </w:r>
      <w:r>
        <w:t xml:space="preserve"> analyses of data in the Twenty-</w:t>
      </w:r>
      <w:r w:rsidRPr="00DA7D87">
        <w:t xml:space="preserve">four Hour (TFH) Population in studies DB2113361 and DB2113373. Results showed that there were statistically significantly greater LSM changes from baseline in 0 to 24 hour weighted mean FEV1 compared to </w:t>
      </w:r>
      <w:r w:rsidRPr="003334F5">
        <w:t>placebo</w:t>
      </w:r>
      <w:r w:rsidRPr="00DA7D87">
        <w:t xml:space="preserve"> for both UMEC/VI 62.5/25 </w:t>
      </w:r>
      <w:r>
        <w:t>µg</w:t>
      </w:r>
      <w:r w:rsidRPr="00DA7D87">
        <w:t xml:space="preserve"> (study DB2113373) and UMEC/VI 125/25 </w:t>
      </w:r>
      <w:r>
        <w:t>µg</w:t>
      </w:r>
      <w:r w:rsidRPr="00DA7D87">
        <w:t xml:space="preserve"> (DB2113361) at Days 1, 84 and 168 (UMEC/VI 62.5/25 </w:t>
      </w:r>
      <w:r>
        <w:t>µg</w:t>
      </w:r>
      <w:r w:rsidRPr="00DA7D87">
        <w:t xml:space="preserve">: differences over </w:t>
      </w:r>
      <w:r w:rsidRPr="0074514C">
        <w:t>placebo</w:t>
      </w:r>
      <w:r w:rsidRPr="00DA7D87">
        <w:t xml:space="preserve"> of 212 mL, 254 mL and 219 mL at Days 1, 84 and 168, respectively </w:t>
      </w:r>
      <w:r>
        <w:t>(p &lt; 0.001)</w:t>
      </w:r>
      <w:r w:rsidRPr="00DA7D87">
        <w:t xml:space="preserve">; UMEC/VI 125/25 </w:t>
      </w:r>
      <w:r>
        <w:t>µg</w:t>
      </w:r>
      <w:r w:rsidRPr="00DA7D87">
        <w:t xml:space="preserve">: differences over </w:t>
      </w:r>
      <w:r w:rsidRPr="0074514C">
        <w:t>placebo</w:t>
      </w:r>
      <w:r w:rsidRPr="00DA7D87">
        <w:t xml:space="preserve"> of 253 mL, 309 mL and 312 mL, respectively </w:t>
      </w:r>
      <w:r>
        <w:t>(p &lt; 0.001)</w:t>
      </w:r>
      <w:r w:rsidRPr="00DA7D87">
        <w:t xml:space="preserve">). Analyses of serial FEV1 at Days 1, 84, and 168 in the TFH population </w:t>
      </w:r>
      <w:r w:rsidRPr="00DA7D87">
        <w:lastRenderedPageBreak/>
        <w:t xml:space="preserve">in studies DB2113361 and DB2113373 showed that there were statistically significantly greater </w:t>
      </w:r>
      <w:r>
        <w:t>post dose</w:t>
      </w:r>
      <w:r w:rsidRPr="00DA7D87">
        <w:t xml:space="preserve"> improvements in FEV1 from baseline compared to </w:t>
      </w:r>
      <w:r w:rsidRPr="0074514C">
        <w:t>placebo</w:t>
      </w:r>
      <w:r w:rsidRPr="00DA7D87">
        <w:t xml:space="preserve"> for both doses of UMEC/VI.</w:t>
      </w:r>
    </w:p>
    <w:p w:rsidR="00B13321" w:rsidRPr="00DA7D87" w:rsidRDefault="00B13321" w:rsidP="00B80494">
      <w:r w:rsidRPr="00DA7D87">
        <w:t xml:space="preserve">With regards to effects on symptom relief and health outcomes, results were generally supportive of improvements over </w:t>
      </w:r>
      <w:r w:rsidRPr="0074514C">
        <w:t>placebo</w:t>
      </w:r>
      <w:r w:rsidRPr="00DA7D87">
        <w:t xml:space="preserve"> for both doses of UMEC/VI, but not over TIO for either dose of UMEC/VI. In the pivotal </w:t>
      </w:r>
      <w:r>
        <w:t>24-week</w:t>
      </w:r>
      <w:r w:rsidRPr="00DA7D87">
        <w:t xml:space="preserve"> </w:t>
      </w:r>
      <w:r w:rsidRPr="0074514C">
        <w:t>placebo</w:t>
      </w:r>
      <w:r>
        <w:t>-controlled</w:t>
      </w:r>
      <w:r w:rsidRPr="00DA7D87">
        <w:t xml:space="preserve"> studies (DB2113361 and DB213373), both doses of UMEC/VI showed statistically significant improvements over </w:t>
      </w:r>
      <w:r w:rsidRPr="0074514C">
        <w:t>placebo</w:t>
      </w:r>
      <w:r w:rsidRPr="00DA7D87">
        <w:t xml:space="preserve"> in TDI focal scores at Days 28, 84 and 168 (difference over </w:t>
      </w:r>
      <w:r w:rsidRPr="0074514C">
        <w:t>placebo</w:t>
      </w:r>
      <w:r w:rsidRPr="00DA7D87">
        <w:t xml:space="preserve"> at Day 168 of 1.2 and 1.0 with UMEC/VI 62.5/25 </w:t>
      </w:r>
      <w:r>
        <w:t>µg</w:t>
      </w:r>
      <w:r w:rsidRPr="00DA7D87">
        <w:t xml:space="preserve"> and 125/25 </w:t>
      </w:r>
      <w:r>
        <w:t>µg</w:t>
      </w:r>
      <w:r w:rsidRPr="00DA7D87">
        <w:t xml:space="preserve">, respectively; </w:t>
      </w:r>
      <w:r>
        <w:t>p &lt; 0.001</w:t>
      </w:r>
      <w:r w:rsidRPr="00DA7D87">
        <w:t xml:space="preserve">). The proportion of TDI responders (as defined by a </w:t>
      </w:r>
      <w:r>
        <w:t xml:space="preserve">≥ </w:t>
      </w:r>
      <w:r w:rsidRPr="00DA7D87">
        <w:t xml:space="preserve">1 unit value) at Day 168 was greater for UMEC/VI 62.5/25 </w:t>
      </w:r>
      <w:r>
        <w:t>µg</w:t>
      </w:r>
      <w:r w:rsidRPr="00DA7D87">
        <w:t xml:space="preserve"> compared with </w:t>
      </w:r>
      <w:r w:rsidRPr="0074514C">
        <w:t>placebo</w:t>
      </w:r>
      <w:r w:rsidRPr="00DA7D87">
        <w:t xml:space="preserve"> (study DB2113373; 58% </w:t>
      </w:r>
      <w:r w:rsidRPr="0074514C">
        <w:t>vs.</w:t>
      </w:r>
      <w:r w:rsidRPr="00DA7D87">
        <w:t xml:space="preserve"> 41%) and for UMEC/VI 125/25 </w:t>
      </w:r>
      <w:r>
        <w:t>µg</w:t>
      </w:r>
      <w:r w:rsidRPr="00DA7D87">
        <w:t xml:space="preserve"> compared with </w:t>
      </w:r>
      <w:r w:rsidRPr="0074514C">
        <w:t>placebo</w:t>
      </w:r>
      <w:r w:rsidRPr="00DA7D87">
        <w:t xml:space="preserve"> (study DB2113361; 49% </w:t>
      </w:r>
      <w:r w:rsidRPr="0074514C">
        <w:t>vs.</w:t>
      </w:r>
      <w:r w:rsidRPr="00DA7D87">
        <w:t xml:space="preserve"> 30%). The ratio of the odds of </w:t>
      </w:r>
      <w:r>
        <w:t xml:space="preserve">being a TDI responder </w:t>
      </w:r>
      <w:r w:rsidRPr="0074514C">
        <w:t>vs.</w:t>
      </w:r>
      <w:r>
        <w:t xml:space="preserve"> a non-</w:t>
      </w:r>
      <w:r w:rsidRPr="00DA7D87">
        <w:t xml:space="preserve">responder was greater for both doses of UMEC/VI compared with </w:t>
      </w:r>
      <w:r w:rsidRPr="0074514C">
        <w:t>placebo</w:t>
      </w:r>
      <w:r w:rsidRPr="00DA7D87">
        <w:t xml:space="preserve"> at all assessed time points (odds ratio of 2.0 to 3.1 </w:t>
      </w:r>
      <w:r>
        <w:t>(p &lt; 0.001)</w:t>
      </w:r>
      <w:r w:rsidRPr="00DA7D87">
        <w:t xml:space="preserve"> and</w:t>
      </w:r>
      <w:r>
        <w:t xml:space="preserve"> </w:t>
      </w:r>
      <w:r w:rsidRPr="00DA7D87">
        <w:t xml:space="preserve">2.5 to 3.7 </w:t>
      </w:r>
      <w:r>
        <w:t>(p &lt; 0.001)</w:t>
      </w:r>
      <w:r w:rsidRPr="00DA7D87">
        <w:t xml:space="preserve"> with UMEC/VI 62.5/25 </w:t>
      </w:r>
      <w:r>
        <w:t>µg</w:t>
      </w:r>
      <w:r w:rsidRPr="00DA7D87">
        <w:t xml:space="preserve"> and 125/25 </w:t>
      </w:r>
      <w:r>
        <w:t>µg</w:t>
      </w:r>
      <w:r w:rsidRPr="00DA7D87">
        <w:t xml:space="preserve">, respectively. However, in the pivotal </w:t>
      </w:r>
      <w:r>
        <w:t>24-week active-</w:t>
      </w:r>
      <w:r w:rsidRPr="00DA7D87">
        <w:t xml:space="preserve">controlled studies (DB2113360 and DB213374), the treatment differences between either dose of UMEC/VI and TIO for TDI focal score at Day 168 were not statistically significant in both the individual studies as well as the meta-analysis of the 2 studies. Statistically significant improvements over TIO with both doses of UMEC/VI were seen at Days 28 and 84 only </w:t>
      </w:r>
      <w:r>
        <w:t>in study DB2113360 and the meta-</w:t>
      </w:r>
      <w:r w:rsidRPr="00DA7D87">
        <w:t xml:space="preserve">analysis, but not in study DB2113374. The odds of being a responder </w:t>
      </w:r>
      <w:r w:rsidRPr="0074514C">
        <w:t>vs.</w:t>
      </w:r>
      <w:r>
        <w:t xml:space="preserve"> a non-</w:t>
      </w:r>
      <w:r w:rsidRPr="00DA7D87">
        <w:t>responder based on TDI score was also not statistically significant for either dose of UMEC/VI compared with TIO at Day 168 in both the individual studies as well as the meta-analysis of the 2 studies.</w:t>
      </w:r>
    </w:p>
    <w:p w:rsidR="00B13321" w:rsidRPr="00DA7D87" w:rsidRDefault="00B13321" w:rsidP="00B80494">
      <w:r w:rsidRPr="00DA7D87">
        <w:t xml:space="preserve">Analyses of other endpoints of symptomatic benefit and health outcomes (rescue salbutamol use, SOBDA score and proportion of SOBDA responders, COPD exacerbation, SGRQ score and proportion of SGRQ responders, and evaluation of healthcare resource utilisation) gave similar results, showing improvements with both doses of UMEC/VI over </w:t>
      </w:r>
      <w:r w:rsidRPr="0074514C">
        <w:t>placebo</w:t>
      </w:r>
      <w:r w:rsidRPr="00DA7D87">
        <w:t xml:space="preserve">, but not over TIO. In the pivotal </w:t>
      </w:r>
      <w:r>
        <w:t>24-week</w:t>
      </w:r>
      <w:r w:rsidRPr="00DA7D87">
        <w:t xml:space="preserve"> </w:t>
      </w:r>
      <w:r w:rsidRPr="0074514C">
        <w:t>placebo</w:t>
      </w:r>
      <w:r>
        <w:t>-controlled</w:t>
      </w:r>
      <w:r w:rsidRPr="00DA7D87">
        <w:t xml:space="preserve"> studies (DB2113361 and DB213373), both doses of UMEC/VI showed statistically significantly greater reductions from baseline in LSM rescue salbutamol use over Weeks 1 to 24 compared to </w:t>
      </w:r>
      <w:r w:rsidRPr="0074514C">
        <w:t>placebo</w:t>
      </w:r>
      <w:r>
        <w:t xml:space="preserve"> (</w:t>
      </w:r>
      <w:r w:rsidRPr="00DF1AD9">
        <w:t>reduced by 0.8 and 1.5 puffs per day compared to placebo with UMEC/VI 62.5/25 µg (p &lt; 0.001) and UMEC/VI 125/25 µg (p=0.001), respectively),</w:t>
      </w:r>
      <w:r w:rsidRPr="00DA7D87">
        <w:t xml:space="preserve"> and larger changes from baseline in percentage of </w:t>
      </w:r>
      <w:r>
        <w:t>rescue-free</w:t>
      </w:r>
      <w:r w:rsidRPr="00DA7D87">
        <w:t xml:space="preserve"> days over Weeks 1 to 24 compared with </w:t>
      </w:r>
      <w:r w:rsidRPr="0074514C">
        <w:t>placebo</w:t>
      </w:r>
      <w:r w:rsidRPr="00DA7D87">
        <w:t xml:space="preserve"> for both doses of UMEC/VI</w:t>
      </w:r>
      <w:r>
        <w:t xml:space="preserve"> (</w:t>
      </w:r>
      <w:r w:rsidRPr="00DF1AD9">
        <w:t>11</w:t>
      </w:r>
      <w:r w:rsidR="00216724">
        <w:t xml:space="preserve">.1% for UMEC/VI 62.5/25 µg vs. </w:t>
      </w:r>
      <w:r w:rsidR="00216724">
        <w:noBreakHyphen/>
      </w:r>
      <w:r w:rsidRPr="00DF1AD9">
        <w:t>0.9% for placebo and 17.2% for UMEC/VI 125/25 µg vs. 0.4% for placebo</w:t>
      </w:r>
      <w:r>
        <w:t>).</w:t>
      </w:r>
      <w:r w:rsidRPr="00DA7D87">
        <w:t xml:space="preserve"> There was statistically significantly greater LSM SOBDA score improvement from baseline with both doses of UMEC/VI compared with </w:t>
      </w:r>
      <w:r w:rsidRPr="0074514C">
        <w:t>placebo</w:t>
      </w:r>
      <w:r w:rsidRPr="00DA7D87">
        <w:t xml:space="preserve"> at Week 24</w:t>
      </w:r>
      <w:r>
        <w:t xml:space="preserve"> (</w:t>
      </w:r>
      <w:r w:rsidRPr="00DF1AD9">
        <w:t>difference over placebo of -0.17 and</w:t>
      </w:r>
      <w:r w:rsidR="00387A80">
        <w:t xml:space="preserve"> </w:t>
      </w:r>
      <w:r w:rsidRPr="00DF1AD9">
        <w:t>-0.15 with UMEC/VI 62.5/25 µg (p &lt; 0.001) and UMEC/VI 125/25 µg (p = 0.002), respectively</w:t>
      </w:r>
      <w:r>
        <w:t>)</w:t>
      </w:r>
      <w:r w:rsidRPr="00DA7D87">
        <w:t xml:space="preserve">. The proportion of SOBDA responders at Week 24 was greater for UMEC/VI 62.5/25 </w:t>
      </w:r>
      <w:r>
        <w:t>µg</w:t>
      </w:r>
      <w:r w:rsidRPr="00DA7D87">
        <w:t xml:space="preserve"> compared with </w:t>
      </w:r>
      <w:r w:rsidRPr="000702F6">
        <w:t>placebo</w:t>
      </w:r>
      <w:r>
        <w:t xml:space="preserve"> (</w:t>
      </w:r>
      <w:r w:rsidRPr="00DF1AD9">
        <w:t>using responder threshold of -0.1: 32% vs. 21% (p = 0.002); using responder threshold of -0.2: 28% versus 16% (p &lt; 0.001)</w:t>
      </w:r>
      <w:r>
        <w:t>)</w:t>
      </w:r>
      <w:r w:rsidRPr="00DA7D87">
        <w:t xml:space="preserve"> and for UMEC/VI 125/25 </w:t>
      </w:r>
      <w:r>
        <w:t>µg</w:t>
      </w:r>
      <w:r w:rsidRPr="00DA7D87">
        <w:t xml:space="preserve"> compared with </w:t>
      </w:r>
      <w:r w:rsidRPr="000702F6">
        <w:t>placebo</w:t>
      </w:r>
      <w:r>
        <w:t xml:space="preserve"> (</w:t>
      </w:r>
      <w:r w:rsidRPr="00DF1AD9">
        <w:t xml:space="preserve">using responder threshold of -0.1: 34% vs. 22% (p = 0.002); using responder threshold of -0.2: </w:t>
      </w:r>
      <w:r>
        <w:t>34</w:t>
      </w:r>
      <w:r w:rsidRPr="00DF1AD9">
        <w:t>%</w:t>
      </w:r>
      <w:r>
        <w:rPr>
          <w:rStyle w:val="FootnoteReference"/>
        </w:rPr>
        <w:footnoteReference w:id="52"/>
      </w:r>
      <w:r w:rsidRPr="00DF1AD9">
        <w:t xml:space="preserve"> versus 16% (p &lt; 0.001)</w:t>
      </w:r>
      <w:r w:rsidRPr="00DA7D87">
        <w:t xml:space="preserve">. Both doses of UMEC/VI also showed a lower risk of COPD exacerbation compared with </w:t>
      </w:r>
      <w:r w:rsidRPr="000702F6">
        <w:t>placebo</w:t>
      </w:r>
      <w:r>
        <w:t xml:space="preserve"> (</w:t>
      </w:r>
      <w:r w:rsidRPr="00DF1AD9">
        <w:t>hazard ratios of 0.5 (p = 0.004) and 0.4 (p &lt; 0.001) with UMEC/VI 62.5/25 µg and UMEC/VI 125/25 µg, respectively</w:t>
      </w:r>
      <w:r>
        <w:t>).</w:t>
      </w:r>
      <w:r w:rsidRPr="00DA7D87">
        <w:t xml:space="preserve"> In terms of health outcomes, there were statistically significant greater LSM decreases from baseline in SGRQ total score at Day 168 compared to </w:t>
      </w:r>
      <w:r w:rsidRPr="000702F6">
        <w:t>placebo</w:t>
      </w:r>
      <w:r w:rsidRPr="00DA7D87">
        <w:t xml:space="preserve"> for both doses of UMEC/VI</w:t>
      </w:r>
      <w:r>
        <w:t xml:space="preserve"> (</w:t>
      </w:r>
      <w:r w:rsidRPr="00DF1AD9">
        <w:t>differ</w:t>
      </w:r>
      <w:r w:rsidR="00387A80">
        <w:t>ence over placebo of -5.51 (p &lt; </w:t>
      </w:r>
      <w:r w:rsidRPr="00DF1AD9">
        <w:t>0.001) and -3.60 (p = 0.001) with UMEC/VI 62.5/25 µg and UMEC/VI 125/25 µg, respectively</w:t>
      </w:r>
      <w:r>
        <w:t>).</w:t>
      </w:r>
      <w:r w:rsidRPr="00DA7D87">
        <w:t xml:space="preserve"> The proportion of SGRQ responders (defined as having a SGRQ total score of 4 units below baseline or lower) at Day 168 was greater for UMEC/VI 62.5/25 </w:t>
      </w:r>
      <w:r>
        <w:t>µg</w:t>
      </w:r>
      <w:r w:rsidRPr="00DA7D87">
        <w:t xml:space="preserve"> compared with </w:t>
      </w:r>
      <w:r w:rsidRPr="000702F6">
        <w:t>placebo</w:t>
      </w:r>
      <w:r>
        <w:t xml:space="preserve"> (</w:t>
      </w:r>
      <w:r w:rsidRPr="00754F6A">
        <w:t>study DB2113373: 49% versus 34%, p &lt; 0.001</w:t>
      </w:r>
      <w:r>
        <w:t xml:space="preserve">) </w:t>
      </w:r>
      <w:r w:rsidRPr="00DA7D87">
        <w:t xml:space="preserve">and for UMEC/VI 125/25 </w:t>
      </w:r>
      <w:r>
        <w:t>µg</w:t>
      </w:r>
      <w:r w:rsidRPr="00DA7D87">
        <w:t xml:space="preserve"> compared </w:t>
      </w:r>
      <w:r w:rsidRPr="00DA7D87">
        <w:lastRenderedPageBreak/>
        <w:t xml:space="preserve">with </w:t>
      </w:r>
      <w:r w:rsidRPr="000702F6">
        <w:t>placebo</w:t>
      </w:r>
      <w:r>
        <w:t xml:space="preserve"> (</w:t>
      </w:r>
      <w:r w:rsidRPr="00754F6A">
        <w:t>study DB2113361; 49% versus. 37%, p = 0.002</w:t>
      </w:r>
      <w:r>
        <w:t>).</w:t>
      </w:r>
      <w:r w:rsidRPr="00DA7D87">
        <w:t xml:space="preserve"> However, analysis of healthcare resource utilisation in studies DB2113361 and DB2113373 yielded results that were comparable between the </w:t>
      </w:r>
      <w:r>
        <w:t>PLA</w:t>
      </w:r>
      <w:r w:rsidRPr="00DA7D87">
        <w:t xml:space="preserve"> and UMEC/VI treatment groups.</w:t>
      </w:r>
    </w:p>
    <w:p w:rsidR="00B13321" w:rsidRPr="00DA7D87" w:rsidRDefault="00B13321" w:rsidP="00B80494">
      <w:r w:rsidRPr="00DA7D87">
        <w:t>In the pivotal 24 week active-controlled studies (DB211336</w:t>
      </w:r>
      <w:r>
        <w:t>0 and DB213374), UMEC/VI 125/25 µg</w:t>
      </w:r>
      <w:r w:rsidRPr="00DA7D87">
        <w:t xml:space="preserve"> showed statistically significantly greater reductions from baseline in LSM rescue salbutamol use over Weeks 1 to 24 compared to TIO</w:t>
      </w:r>
      <w:r>
        <w:t xml:space="preserve"> (</w:t>
      </w:r>
      <w:r w:rsidRPr="00754F6A">
        <w:t>reduced by 0.6 and1.1 puffs per day compared to TIO in studies DB2113360 and DB213374, respectively; p ≤ 0.031</w:t>
      </w:r>
      <w:r>
        <w:t>)</w:t>
      </w:r>
      <w:r w:rsidRPr="00DA7D87">
        <w:t xml:space="preserve">. However, statistically significantly greater reductions from baseline in LSM rescue salbutamol use over Weeks 1 to 24 compared to TIO for UMEC/VI 62.5/25 </w:t>
      </w:r>
      <w:r>
        <w:t>µg</w:t>
      </w:r>
      <w:r w:rsidRPr="00DA7D87">
        <w:t xml:space="preserve"> was only observed in study DB2113360</w:t>
      </w:r>
      <w:r>
        <w:t xml:space="preserve"> (</w:t>
      </w:r>
      <w:r w:rsidRPr="00754F6A">
        <w:t>reduced by 0.7 puffs per day compared to TIO; p = 0.022</w:t>
      </w:r>
      <w:r>
        <w:t>)</w:t>
      </w:r>
      <w:r w:rsidRPr="00DA7D87">
        <w:t>. There were larger changes from baseline in percentage of rescue free days over Weeks 1 to 24 compared with TIO with both doses of UMEC/VI</w:t>
      </w:r>
      <w:r>
        <w:t xml:space="preserve"> (</w:t>
      </w:r>
      <w:r w:rsidRPr="00754F6A">
        <w:t xml:space="preserve">study DB2113360: 18.6% and 18.8% with UMEC/VI 62.5/25 µg and UMEC/VI 125/25 µg, respectively versus 11.7% with </w:t>
      </w:r>
      <w:r>
        <w:t>placebo</w:t>
      </w:r>
      <w:r>
        <w:rPr>
          <w:rStyle w:val="FootnoteReference"/>
        </w:rPr>
        <w:footnoteReference w:id="53"/>
      </w:r>
      <w:r w:rsidRPr="00754F6A">
        <w:t>; study DB213374: 17.6% and 26.9%, respectively versus 13.4%</w:t>
      </w:r>
      <w:r>
        <w:t>).</w:t>
      </w:r>
      <w:r w:rsidRPr="00DA7D87">
        <w:t xml:space="preserve"> However, analyses of the SOBDA score, proportion of SOBDA responders at Week 24, COPD exacerbations, SGRQ total score at Day 168 and proportion of SGRQ responders at Day 168 yielded results that were not statistically significant for the comparison between either dose of UMEC/VI and TIO.</w:t>
      </w:r>
    </w:p>
    <w:p w:rsidR="00B13321" w:rsidRPr="00DA7D87" w:rsidRDefault="00B13321" w:rsidP="00B80494">
      <w:r w:rsidRPr="00DA7D87">
        <w:t>With regards to effects on exercise tolerance, analyses in one of the 2 exercise studies (DB2114417) showed that there were no statistica</w:t>
      </w:r>
      <w:r>
        <w:t>lly significant difference in 3-</w:t>
      </w:r>
      <w:r w:rsidRPr="00DA7D87">
        <w:t xml:space="preserve">hour </w:t>
      </w:r>
      <w:r>
        <w:t>post-dose</w:t>
      </w:r>
      <w:r w:rsidRPr="00DA7D87">
        <w:t xml:space="preserve"> EET at Week 12 between either doses of UMEC/VI and </w:t>
      </w:r>
      <w:r w:rsidRPr="000702F6">
        <w:t>placebo</w:t>
      </w:r>
      <w:r w:rsidRPr="00DA7D87">
        <w:t xml:space="preserve"> (EET change from baseline of 58.6, 69.1 and 36.7 seconds with UMEC/VI 62.5/25 </w:t>
      </w:r>
      <w:r>
        <w:t>µg</w:t>
      </w:r>
      <w:r w:rsidRPr="00DA7D87">
        <w:t xml:space="preserve">, UMEC/VI 125/25 </w:t>
      </w:r>
      <w:r>
        <w:t>µg</w:t>
      </w:r>
      <w:r w:rsidRPr="00DA7D87">
        <w:t xml:space="preserve"> and </w:t>
      </w:r>
      <w:r w:rsidRPr="003749CE">
        <w:t>placebo</w:t>
      </w:r>
      <w:r w:rsidRPr="00DA7D87">
        <w:t xml:space="preserve">, respectively; UMEC/VI 62.5/25 </w:t>
      </w:r>
      <w:r>
        <w:t>µg</w:t>
      </w:r>
      <w:r w:rsidRPr="00DA7D87">
        <w:t xml:space="preserve"> </w:t>
      </w:r>
      <w:r w:rsidRPr="003749CE">
        <w:t>vs.</w:t>
      </w:r>
      <w:r w:rsidRPr="00DA7D87">
        <w:t xml:space="preserve"> </w:t>
      </w:r>
      <w:r w:rsidRPr="003749CE">
        <w:t>placebo</w:t>
      </w:r>
      <w:r w:rsidRPr="00DA7D87">
        <w:t>: p</w:t>
      </w:r>
      <w:r>
        <w:t xml:space="preserve"> = </w:t>
      </w:r>
      <w:r w:rsidRPr="00DA7D87">
        <w:t xml:space="preserve">0.234; UMEC/VI 125/25 </w:t>
      </w:r>
      <w:r>
        <w:t>µg</w:t>
      </w:r>
      <w:r w:rsidRPr="00DA7D87">
        <w:t xml:space="preserve"> </w:t>
      </w:r>
      <w:r w:rsidRPr="003749CE">
        <w:t>vs.</w:t>
      </w:r>
      <w:r w:rsidRPr="00DA7D87">
        <w:t xml:space="preserve"> </w:t>
      </w:r>
      <w:r w:rsidRPr="003749CE">
        <w:t>placebo</w:t>
      </w:r>
      <w:r w:rsidRPr="00DA7D87">
        <w:t>: p</w:t>
      </w:r>
      <w:r>
        <w:t xml:space="preserve"> = </w:t>
      </w:r>
      <w:r w:rsidRPr="00DA7D87">
        <w:t>0.08). However, in the other exercise study (DB2114418), there were statistically significantly greater LSM</w:t>
      </w:r>
      <w:r>
        <w:t xml:space="preserve"> changes from baseline in the 3-</w:t>
      </w:r>
      <w:r w:rsidRPr="00DA7D87">
        <w:t xml:space="preserve">hour </w:t>
      </w:r>
      <w:r>
        <w:t>post dose</w:t>
      </w:r>
      <w:r w:rsidRPr="00DA7D87">
        <w:t xml:space="preserve"> EET at Week 12 compared with </w:t>
      </w:r>
      <w:r w:rsidRPr="003749CE">
        <w:t>placebo</w:t>
      </w:r>
      <w:r w:rsidRPr="00DA7D87">
        <w:t xml:space="preserve"> for both doses of UMEC/VI (UMEC/VI 62.5/25 </w:t>
      </w:r>
      <w:r>
        <w:t>µg</w:t>
      </w:r>
      <w:r w:rsidRPr="00DA7D87">
        <w:t xml:space="preserve">: difference of 69.4 seconds over </w:t>
      </w:r>
      <w:r w:rsidRPr="003749CE">
        <w:t>placebo</w:t>
      </w:r>
      <w:r w:rsidRPr="00DA7D87">
        <w:t xml:space="preserve"> </w:t>
      </w:r>
      <w:r>
        <w:t>(</w:t>
      </w:r>
      <w:r w:rsidRPr="00DA7D87">
        <w:t xml:space="preserve">69.5 </w:t>
      </w:r>
      <w:r w:rsidRPr="003749CE">
        <w:t>vs.</w:t>
      </w:r>
      <w:r w:rsidRPr="00DA7D87">
        <w:t xml:space="preserve"> 0.1 seconds</w:t>
      </w:r>
      <w:r>
        <w:t>)</w:t>
      </w:r>
      <w:r w:rsidRPr="00DA7D87">
        <w:t>, p</w:t>
      </w:r>
      <w:r>
        <w:t xml:space="preserve"> = </w:t>
      </w:r>
      <w:r w:rsidRPr="00DA7D87">
        <w:t xml:space="preserve">0.003; UMEC/VI 125/25 </w:t>
      </w:r>
      <w:r>
        <w:t>µg</w:t>
      </w:r>
      <w:r w:rsidRPr="00DA7D87">
        <w:t xml:space="preserve">: difference of 65.8 seconds over </w:t>
      </w:r>
      <w:r w:rsidRPr="003749CE">
        <w:t>placebo</w:t>
      </w:r>
      <w:r w:rsidRPr="00DA7D87">
        <w:t xml:space="preserve"> </w:t>
      </w:r>
      <w:r>
        <w:t>(</w:t>
      </w:r>
      <w:r w:rsidRPr="00DA7D87">
        <w:t xml:space="preserve">65.9 </w:t>
      </w:r>
      <w:r w:rsidRPr="003749CE">
        <w:t>vs.</w:t>
      </w:r>
      <w:r w:rsidRPr="00DA7D87">
        <w:t xml:space="preserve"> 0.1 seconds</w:t>
      </w:r>
      <w:r>
        <w:t>)</w:t>
      </w:r>
      <w:r w:rsidRPr="00DA7D87">
        <w:t>, p</w:t>
      </w:r>
      <w:r>
        <w:t xml:space="preserve"> = </w:t>
      </w:r>
      <w:r w:rsidRPr="00DA7D87">
        <w:t xml:space="preserve">0.005). Detailed analysis shows that the changes in EET from baseline were similar with both doses of UMEC/VI between both studies, but there was a greater </w:t>
      </w:r>
      <w:r w:rsidRPr="003749CE">
        <w:t>placebo</w:t>
      </w:r>
      <w:r w:rsidRPr="00DA7D87">
        <w:t xml:space="preserve"> response in study DB2114417 (EET change from baseline of</w:t>
      </w:r>
      <w:r>
        <w:t xml:space="preserve"> </w:t>
      </w:r>
      <w:r w:rsidRPr="00DA7D87">
        <w:t>36.7 seconds) than was observed in the DB2114418 study (EET change from baseline of 0.1 seconds). The sponsor had stated that no obvious reason for this difference between the studies was found.</w:t>
      </w:r>
    </w:p>
    <w:p w:rsidR="00B13321" w:rsidRPr="00DA7D87" w:rsidRDefault="00B13321" w:rsidP="00B80494">
      <w:r w:rsidRPr="00DA7D87">
        <w:t xml:space="preserve">The individual components of UMEC/VI (UMEC 62.5 </w:t>
      </w:r>
      <w:r>
        <w:t>µg</w:t>
      </w:r>
      <w:r w:rsidRPr="00DA7D87">
        <w:t xml:space="preserve">, UMEC 125 </w:t>
      </w:r>
      <w:r>
        <w:t>µg</w:t>
      </w:r>
      <w:r w:rsidRPr="00DA7D87">
        <w:t xml:space="preserve"> and VI 25 </w:t>
      </w:r>
      <w:r>
        <w:t>µg</w:t>
      </w:r>
      <w:r w:rsidRPr="00DA7D87">
        <w:t xml:space="preserve">) were all new chemical entities and have not been approved as monotherapies. The </w:t>
      </w:r>
      <w:proofErr w:type="spellStart"/>
      <w:r w:rsidRPr="00DA7D87">
        <w:t>bronchodilatory</w:t>
      </w:r>
      <w:proofErr w:type="spellEnd"/>
      <w:r w:rsidRPr="00DA7D87">
        <w:t xml:space="preserve"> efficacy of the individual components was investigated against </w:t>
      </w:r>
      <w:r w:rsidRPr="003749CE">
        <w:t>placebo</w:t>
      </w:r>
      <w:r w:rsidRPr="00DA7D87">
        <w:t xml:space="preserve"> in the two pivotal </w:t>
      </w:r>
      <w:r>
        <w:t>24-week</w:t>
      </w:r>
      <w:r w:rsidRPr="00DA7D87">
        <w:t xml:space="preserve"> </w:t>
      </w:r>
      <w:r w:rsidRPr="003749CE">
        <w:t>placebo</w:t>
      </w:r>
      <w:r>
        <w:t>-controlled</w:t>
      </w:r>
      <w:r w:rsidRPr="00DA7D87">
        <w:t xml:space="preserve"> studies (DB2113361 and DB213373). Results in these 2 studies showed that there were statistically significant improvements over </w:t>
      </w:r>
      <w:r w:rsidRPr="003749CE">
        <w:t>placebo</w:t>
      </w:r>
      <w:r w:rsidRPr="00DA7D87">
        <w:t xml:space="preserve"> in trough FEV1 at Day 169 with both doses of UMEC and with VI 25 </w:t>
      </w:r>
      <w:r>
        <w:t>µg</w:t>
      </w:r>
      <w:r w:rsidRPr="00DA7D87">
        <w:t xml:space="preserve"> (difference over </w:t>
      </w:r>
      <w:r w:rsidRPr="003749CE">
        <w:t>placebo</w:t>
      </w:r>
      <w:r w:rsidRPr="00DA7D87">
        <w:t xml:space="preserve"> of 115 mL, 160 mL and 72 to 124 mL with UMEC 62.5 </w:t>
      </w:r>
      <w:r>
        <w:t>µg</w:t>
      </w:r>
      <w:r w:rsidRPr="00DA7D87">
        <w:t xml:space="preserve">, UMEC 125 </w:t>
      </w:r>
      <w:r>
        <w:t>µg</w:t>
      </w:r>
      <w:r w:rsidRPr="00DA7D87">
        <w:t xml:space="preserve"> and VI 25 </w:t>
      </w:r>
      <w:r>
        <w:t>µg</w:t>
      </w:r>
      <w:r w:rsidRPr="00DA7D87">
        <w:t xml:space="preserve">, respectively </w:t>
      </w:r>
      <w:r>
        <w:t>(p &lt; 0.001)</w:t>
      </w:r>
      <w:r w:rsidRPr="00DA7D87">
        <w:t xml:space="preserve">. There were also improvements over </w:t>
      </w:r>
      <w:r w:rsidRPr="003749CE">
        <w:t>placebo</w:t>
      </w:r>
      <w:r>
        <w:t xml:space="preserve"> in weighted mean FEV1 over 0 - </w:t>
      </w:r>
      <w:r w:rsidRPr="00DA7D87">
        <w:t xml:space="preserve">6 hours </w:t>
      </w:r>
      <w:r>
        <w:t>post-dose</w:t>
      </w:r>
      <w:r w:rsidRPr="00DA7D87">
        <w:t xml:space="preserve"> at Day 168 with both doses of UMEC and with VI 25 </w:t>
      </w:r>
      <w:r>
        <w:t>µg</w:t>
      </w:r>
      <w:r w:rsidRPr="00DA7D87">
        <w:t xml:space="preserve"> (difference over </w:t>
      </w:r>
      <w:r w:rsidRPr="003749CE">
        <w:t>placebo</w:t>
      </w:r>
      <w:r w:rsidRPr="00DA7D87">
        <w:t xml:space="preserve"> of 150 mL, 178 mL and 122 to 145 mL with UMEC 62.5 </w:t>
      </w:r>
      <w:r>
        <w:t>µg</w:t>
      </w:r>
      <w:r w:rsidRPr="00DA7D87">
        <w:t xml:space="preserve">, UMEC 125 </w:t>
      </w:r>
      <w:r>
        <w:t>µg</w:t>
      </w:r>
      <w:r w:rsidRPr="00DA7D87">
        <w:t xml:space="preserve"> and VI 25 </w:t>
      </w:r>
      <w:r>
        <w:t>µg</w:t>
      </w:r>
      <w:r w:rsidRPr="00DA7D87">
        <w:t xml:space="preserve">, respectively </w:t>
      </w:r>
      <w:r w:rsidR="00387A80">
        <w:t>(p &lt; </w:t>
      </w:r>
      <w:r>
        <w:t>0.001)</w:t>
      </w:r>
      <w:r w:rsidRPr="00DA7D87">
        <w:t>)</w:t>
      </w:r>
      <w:r w:rsidRPr="00F87BB3">
        <w:rPr>
          <w:vertAlign w:val="superscript"/>
        </w:rPr>
        <w:footnoteReference w:id="54"/>
      </w:r>
      <w:r w:rsidRPr="00DA7D87">
        <w:t xml:space="preserve">. These results were generally supported by results in the two exercise studies (DB2114417 and DB2114418). In study DB2114418, there were statistically significant improvements over </w:t>
      </w:r>
      <w:r w:rsidRPr="003749CE">
        <w:t>placebo</w:t>
      </w:r>
      <w:r w:rsidRPr="00DA7D87">
        <w:t xml:space="preserve"> in trough FEV1 at Week 12 with bo</w:t>
      </w:r>
      <w:r>
        <w:t>th doses of UMEC and with VI 25 µg</w:t>
      </w:r>
      <w:r w:rsidRPr="00DA7D87">
        <w:t xml:space="preserve"> (difference over </w:t>
      </w:r>
      <w:r w:rsidRPr="003749CE">
        <w:t>placebo</w:t>
      </w:r>
      <w:r w:rsidRPr="00DA7D87">
        <w:t xml:space="preserve"> of 144 mL, 255 mL and 112 mL with UMEC 62.5 </w:t>
      </w:r>
      <w:r>
        <w:t>µg</w:t>
      </w:r>
      <w:r w:rsidRPr="00DA7D87">
        <w:t xml:space="preserve">, UMEC 125 </w:t>
      </w:r>
      <w:r>
        <w:t>µg</w:t>
      </w:r>
      <w:r w:rsidRPr="00DA7D87">
        <w:t xml:space="preserve"> </w:t>
      </w:r>
      <w:r w:rsidRPr="00DA7D87">
        <w:lastRenderedPageBreak/>
        <w:t xml:space="preserve">and VI 25 </w:t>
      </w:r>
      <w:r>
        <w:t>µg</w:t>
      </w:r>
      <w:r w:rsidRPr="00DA7D87">
        <w:t xml:space="preserve">, respectively </w:t>
      </w:r>
      <w:r>
        <w:t>(p &lt; 0.001)</w:t>
      </w:r>
      <w:r w:rsidRPr="00DA7D87">
        <w:t xml:space="preserve">). In study DB2114417, there were also improvements over </w:t>
      </w:r>
      <w:r w:rsidRPr="003749CE">
        <w:t>placebo</w:t>
      </w:r>
      <w:r w:rsidRPr="00DA7D87">
        <w:t xml:space="preserve"> in trough FEV1 at Week 12 with both doses of UMEC and with VI 25 </w:t>
      </w:r>
      <w:r>
        <w:t>µg</w:t>
      </w:r>
      <w:r w:rsidRPr="00DA7D87">
        <w:t xml:space="preserve"> (difference over </w:t>
      </w:r>
      <w:r w:rsidRPr="003749CE">
        <w:t>placebo</w:t>
      </w:r>
      <w:r w:rsidRPr="00DA7D87">
        <w:t xml:space="preserve"> of 87 mL, 140 mL and 99 mL with UMEC 62.5 </w:t>
      </w:r>
      <w:r>
        <w:t>µg</w:t>
      </w:r>
      <w:r w:rsidRPr="00DA7D87">
        <w:t xml:space="preserve">, UMEC 125 </w:t>
      </w:r>
      <w:r>
        <w:t>µg</w:t>
      </w:r>
      <w:r w:rsidRPr="00DA7D87">
        <w:t xml:space="preserve"> and VI 25 </w:t>
      </w:r>
      <w:r>
        <w:t>µg</w:t>
      </w:r>
      <w:r w:rsidRPr="00DA7D87">
        <w:t xml:space="preserve">, respectively </w:t>
      </w:r>
      <w:r>
        <w:t xml:space="preserve">(p ≤ </w:t>
      </w:r>
      <w:r w:rsidRPr="00DA7D87">
        <w:t>0.003</w:t>
      </w:r>
      <w:r>
        <w:t>)</w:t>
      </w:r>
      <w:r w:rsidRPr="00DA7D87">
        <w:t xml:space="preserve">), although statistical significance could not be claimed for these comparisons as a result of a prior test in the predefined testing hierarchy not achieving statistical significance in study DB2114417. In the two pivotal </w:t>
      </w:r>
      <w:r>
        <w:t>24-week active-</w:t>
      </w:r>
      <w:r w:rsidRPr="00DA7D87">
        <w:t xml:space="preserve">controlled studies (DB2113360 and DB213374), direct statistical comparisons of UMEC or VI with TIO was not performed, but FEV1 results of UMEC and VI were numerically similar to or greater than those of TIO (change from baseline in trough FEV1 at Day 169: 186 mL </w:t>
      </w:r>
      <w:r>
        <w:t>(</w:t>
      </w:r>
      <w:r w:rsidRPr="00DA7D87">
        <w:t>SE:17.8 mL</w:t>
      </w:r>
      <w:r>
        <w:t>)</w:t>
      </w:r>
      <w:r w:rsidRPr="00DA7D87">
        <w:t xml:space="preserve"> for UMEC 125 </w:t>
      </w:r>
      <w:r>
        <w:t>µg</w:t>
      </w:r>
      <w:r w:rsidRPr="00DA7D87">
        <w:t xml:space="preserve"> </w:t>
      </w:r>
      <w:r w:rsidRPr="003749CE">
        <w:t>vs.</w:t>
      </w:r>
      <w:r w:rsidRPr="00DA7D87">
        <w:t xml:space="preserve"> 149 mL </w:t>
      </w:r>
      <w:r>
        <w:t>(</w:t>
      </w:r>
      <w:r w:rsidRPr="00DA7D87">
        <w:t>SE: 17.6 mL</w:t>
      </w:r>
      <w:r>
        <w:t>)</w:t>
      </w:r>
      <w:r w:rsidRPr="00DA7D87">
        <w:t xml:space="preserve"> for TIO; 121 mL </w:t>
      </w:r>
      <w:r>
        <w:t>(</w:t>
      </w:r>
      <w:r w:rsidRPr="00DA7D87">
        <w:t>SE:18.9 mL</w:t>
      </w:r>
      <w:r>
        <w:t>)</w:t>
      </w:r>
      <w:r w:rsidRPr="00DA7D87">
        <w:t xml:space="preserve"> for VI 25 </w:t>
      </w:r>
      <w:r>
        <w:t>µg</w:t>
      </w:r>
      <w:r w:rsidRPr="00DA7D87">
        <w:t xml:space="preserve"> </w:t>
      </w:r>
      <w:r w:rsidRPr="003749CE">
        <w:t>vs.</w:t>
      </w:r>
      <w:r w:rsidRPr="00DA7D87">
        <w:t xml:space="preserve"> 121 mL </w:t>
      </w:r>
      <w:r>
        <w:t>(</w:t>
      </w:r>
      <w:r w:rsidRPr="00DA7D87">
        <w:t>SE: 18.6 mL</w:t>
      </w:r>
      <w:r>
        <w:t>)</w:t>
      </w:r>
      <w:r w:rsidRPr="00DA7D87">
        <w:t xml:space="preserve"> for TIO; change from baseli</w:t>
      </w:r>
      <w:r>
        <w:t xml:space="preserve">ne in weighted mean FEV1 over 0 - </w:t>
      </w:r>
      <w:r w:rsidRPr="00DA7D87">
        <w:t>6 h</w:t>
      </w:r>
      <w:r>
        <w:t>ou</w:t>
      </w:r>
      <w:r w:rsidRPr="00DA7D87">
        <w:t xml:space="preserve">rs </w:t>
      </w:r>
      <w:proofErr w:type="spellStart"/>
      <w:r w:rsidRPr="00DA7D87">
        <w:t>at</w:t>
      </w:r>
      <w:proofErr w:type="spellEnd"/>
      <w:r w:rsidRPr="00DA7D87">
        <w:t xml:space="preserve"> Day 168: 206 mL </w:t>
      </w:r>
      <w:r>
        <w:t>(</w:t>
      </w:r>
      <w:r w:rsidRPr="00DA7D87">
        <w:t>SE:16.7 mL</w:t>
      </w:r>
      <w:r>
        <w:t>)</w:t>
      </w:r>
      <w:r w:rsidRPr="00DA7D87">
        <w:t xml:space="preserve"> for UMEC 125 </w:t>
      </w:r>
      <w:r>
        <w:t>µg</w:t>
      </w:r>
      <w:r w:rsidRPr="00DA7D87">
        <w:t xml:space="preserve"> </w:t>
      </w:r>
      <w:r w:rsidRPr="003749CE">
        <w:t>vs.</w:t>
      </w:r>
      <w:r w:rsidRPr="00DA7D87">
        <w:t xml:space="preserve"> 180 mL </w:t>
      </w:r>
      <w:r>
        <w:t>(</w:t>
      </w:r>
      <w:r w:rsidRPr="00DA7D87">
        <w:t>SE: 16.5 mL</w:t>
      </w:r>
      <w:r>
        <w:t>)</w:t>
      </w:r>
      <w:r w:rsidRPr="00DA7D87">
        <w:t xml:space="preserve"> for TIO; 178 mL </w:t>
      </w:r>
      <w:r>
        <w:t>(</w:t>
      </w:r>
      <w:r w:rsidRPr="00DA7D87">
        <w:t>SE:18.9 mL</w:t>
      </w:r>
      <w:r>
        <w:t>)</w:t>
      </w:r>
      <w:r w:rsidRPr="00DA7D87">
        <w:t xml:space="preserve"> for VI 25 </w:t>
      </w:r>
      <w:r>
        <w:t>µg</w:t>
      </w:r>
      <w:r w:rsidRPr="00DA7D87">
        <w:t xml:space="preserve"> </w:t>
      </w:r>
      <w:r w:rsidRPr="003749CE">
        <w:t>vs.</w:t>
      </w:r>
      <w:r w:rsidRPr="00DA7D87">
        <w:t xml:space="preserve"> 181 mL </w:t>
      </w:r>
      <w:r>
        <w:t>(</w:t>
      </w:r>
      <w:r w:rsidRPr="00DA7D87">
        <w:t>SE: 18.7 mL</w:t>
      </w:r>
      <w:r>
        <w:t>)</w:t>
      </w:r>
      <w:r w:rsidRPr="00DA7D87">
        <w:t xml:space="preserve"> for TIO).</w:t>
      </w:r>
    </w:p>
    <w:p w:rsidR="00B13321" w:rsidRPr="00DA7D87" w:rsidRDefault="00B13321" w:rsidP="00B80494">
      <w:r w:rsidRPr="00DA7D87">
        <w:t xml:space="preserve">Although 2 doses of UMEC/VI were tested in the Phase III studies and both were proposed for registration, the recommended dose in the proposed Product Information was one oral </w:t>
      </w:r>
      <w:r w:rsidRPr="003749CE">
        <w:t>inhalation</w:t>
      </w:r>
      <w:r w:rsidRPr="00DA7D87">
        <w:t xml:space="preserve"> of UMEC/VI 62.5/25 </w:t>
      </w:r>
      <w:r>
        <w:t>µg</w:t>
      </w:r>
      <w:r w:rsidRPr="00DA7D87">
        <w:t xml:space="preserve"> </w:t>
      </w:r>
      <w:r w:rsidRPr="00E62437">
        <w:t>once daily</w:t>
      </w:r>
      <w:r w:rsidRPr="00DA7D87">
        <w:t xml:space="preserve">, with additional note that “the use of </w:t>
      </w:r>
      <w:proofErr w:type="spellStart"/>
      <w:r w:rsidRPr="00DA7D87">
        <w:t>Anoro</w:t>
      </w:r>
      <w:proofErr w:type="spellEnd"/>
      <w:r w:rsidRPr="00DA7D87">
        <w:t xml:space="preserve"> </w:t>
      </w:r>
      <w:proofErr w:type="spellStart"/>
      <w:r w:rsidRPr="00DA7D87">
        <w:t>Ellipta</w:t>
      </w:r>
      <w:proofErr w:type="spellEnd"/>
      <w:r w:rsidRPr="00DA7D87">
        <w:t xml:space="preserve"> 125/25 micrograms </w:t>
      </w:r>
      <w:r w:rsidRPr="00E62437">
        <w:t>once daily</w:t>
      </w:r>
      <w:r w:rsidRPr="00DA7D87">
        <w:t xml:space="preserve"> in some patients has been shown to provide additional clinical benefit with regard to lung function and rescue medication use”. The sponsor provided the rationale that efficacy results in the pivotal studies showed no clear differentiation between the 2 doses. Studies DB21133</w:t>
      </w:r>
      <w:r>
        <w:t xml:space="preserve">60 and DB2113374 allowed within </w:t>
      </w:r>
      <w:r w:rsidRPr="00DA7D87">
        <w:t xml:space="preserve">study comparisons of the 2 doses and showed that in study DB2113360, there was a treatment difference over TIO in trough FEV1 at Day 169 of 90 mL and 88 mL with UMEC/VI 62.5/25 </w:t>
      </w:r>
      <w:r>
        <w:t>µg</w:t>
      </w:r>
      <w:r w:rsidRPr="00DA7D87">
        <w:t xml:space="preserve"> and UMEC/VI 125/25 </w:t>
      </w:r>
      <w:r>
        <w:t>µg</w:t>
      </w:r>
      <w:r w:rsidRPr="00DA7D87">
        <w:t xml:space="preserve">, respectively, and in study DB2113374, there was a treatment difference over TIO in trough FEV1 at Day 169 of 60 mL and 74 mL with UMEC/VI 62.5/25 </w:t>
      </w:r>
      <w:r>
        <w:t>µg</w:t>
      </w:r>
      <w:r w:rsidRPr="00DA7D87">
        <w:t xml:space="preserve"> and UMEC/VI 125/25 </w:t>
      </w:r>
      <w:r>
        <w:t>µg</w:t>
      </w:r>
      <w:r w:rsidRPr="00DA7D87">
        <w:t>, respectively. In study DB2113360, the treatment difference over T</w:t>
      </w:r>
      <w:r>
        <w:t xml:space="preserve">IO in weighted mean FEV1 over 0 - </w:t>
      </w:r>
      <w:r w:rsidRPr="00DA7D87">
        <w:t xml:space="preserve">6 hours </w:t>
      </w:r>
      <w:r>
        <w:t>post-dose</w:t>
      </w:r>
      <w:r w:rsidRPr="00DA7D87">
        <w:t xml:space="preserve"> at Day 168</w:t>
      </w:r>
      <w:r>
        <w:t xml:space="preserve"> </w:t>
      </w:r>
      <w:r w:rsidRPr="00DA7D87">
        <w:t xml:space="preserve">was 74 mL and 83 mL with UMEC/VI 62.5/25 </w:t>
      </w:r>
      <w:r>
        <w:t>µg</w:t>
      </w:r>
      <w:r w:rsidRPr="00DA7D87">
        <w:t xml:space="preserve"> and 125/25 </w:t>
      </w:r>
      <w:r>
        <w:t>µg</w:t>
      </w:r>
      <w:r w:rsidRPr="00DA7D87">
        <w:t xml:space="preserve">, respectively, while in study DB2113374, the treatment difference over TIO for this endpoint was 96 mL and 101 mL, respectively. Results in the 2 pivotal </w:t>
      </w:r>
      <w:r w:rsidRPr="00E62437">
        <w:t>placebo</w:t>
      </w:r>
      <w:r>
        <w:t>-controlled</w:t>
      </w:r>
      <w:r w:rsidRPr="00DA7D87">
        <w:t xml:space="preserve"> studies (DB2113361 and DB213373) and the 2 exercise studies (DB2114417 and DB2114418) were also generally supportive of this. Hence, the sponsor had concluded that the UMEC/VI dose of 62.5/25 </w:t>
      </w:r>
      <w:r>
        <w:t>µg</w:t>
      </w:r>
      <w:r w:rsidRPr="00DA7D87">
        <w:t xml:space="preserve"> would be appropriate for the majority of COPD patients.</w:t>
      </w:r>
    </w:p>
    <w:p w:rsidR="00B13321" w:rsidRDefault="00B13321" w:rsidP="00B80494">
      <w:r w:rsidRPr="00DA7D87">
        <w:t>Subgroup analyses on integrated data of the 4 pivotal efficacy studies showed that in the subgroup of subjects reversible to salbutamol</w:t>
      </w:r>
      <w:r w:rsidRPr="00683165">
        <w:rPr>
          <w:vertAlign w:val="superscript"/>
        </w:rPr>
        <w:footnoteReference w:id="55"/>
      </w:r>
      <w:r w:rsidRPr="00DA7D87">
        <w:t xml:space="preserve"> at screening, there were greater improvements in </w:t>
      </w:r>
      <w:proofErr w:type="spellStart"/>
      <w:r w:rsidRPr="00DA7D87">
        <w:t>bronchodilatation</w:t>
      </w:r>
      <w:proofErr w:type="spellEnd"/>
      <w:r w:rsidRPr="00DA7D87">
        <w:t xml:space="preserve"> as measured by trough FEV1 at Day 169 with UMEC/VI 125/25 </w:t>
      </w:r>
      <w:r>
        <w:t>µg</w:t>
      </w:r>
      <w:r w:rsidRPr="00DA7D87">
        <w:t xml:space="preserve"> (282 mL improvement over </w:t>
      </w:r>
      <w:r w:rsidRPr="00E62437">
        <w:t>placebo</w:t>
      </w:r>
      <w:r w:rsidRPr="00DA7D87">
        <w:t>; p</w:t>
      </w:r>
      <w:r>
        <w:t xml:space="preserve"> &lt;</w:t>
      </w:r>
      <w:r w:rsidRPr="00DA7D87">
        <w:t xml:space="preserve"> 0.001) compared with UMEC/VI 62.5/25 </w:t>
      </w:r>
      <w:r>
        <w:t>µg</w:t>
      </w:r>
      <w:r w:rsidRPr="00DA7D87">
        <w:t xml:space="preserve"> (225 mL over </w:t>
      </w:r>
      <w:r w:rsidRPr="00E62437">
        <w:t>placebo</w:t>
      </w:r>
      <w:r w:rsidRPr="00DA7D87">
        <w:t xml:space="preserve">; </w:t>
      </w:r>
      <w:r>
        <w:t>p &lt; 0.001</w:t>
      </w:r>
      <w:r w:rsidRPr="00DA7D87">
        <w:t>), a pattern t</w:t>
      </w:r>
      <w:r>
        <w:t>hat was not observed in the non-</w:t>
      </w:r>
      <w:r w:rsidRPr="00DA7D87">
        <w:t xml:space="preserve">reversible subjects (UMEC/VI 125/25 </w:t>
      </w:r>
      <w:r>
        <w:t>µg</w:t>
      </w:r>
      <w:r w:rsidRPr="00DA7D87">
        <w:t xml:space="preserve">: 181 mL improvement over </w:t>
      </w:r>
      <w:r w:rsidRPr="00E62437">
        <w:t>placebo</w:t>
      </w:r>
      <w:r w:rsidRPr="00DA7D87">
        <w:t>, p</w:t>
      </w:r>
      <w:r>
        <w:t xml:space="preserve"> </w:t>
      </w:r>
      <w:r w:rsidRPr="00DA7D87">
        <w:t xml:space="preserve">&lt; 0.001; UMEC/VI 62.5/25 </w:t>
      </w:r>
      <w:r>
        <w:t>µg</w:t>
      </w:r>
      <w:r w:rsidRPr="00DA7D87">
        <w:t xml:space="preserve">: 188 mL improvement over </w:t>
      </w:r>
      <w:r w:rsidRPr="00E62437">
        <w:t>placebo</w:t>
      </w:r>
      <w:r w:rsidRPr="00DA7D87">
        <w:t>, p</w:t>
      </w:r>
      <w:r>
        <w:t xml:space="preserve"> &lt;</w:t>
      </w:r>
      <w:r w:rsidRPr="00DA7D87">
        <w:t xml:space="preserve"> 0.001). Greater treatment response with the 125/25 </w:t>
      </w:r>
      <w:r>
        <w:t>µg</w:t>
      </w:r>
      <w:r w:rsidRPr="00DA7D87">
        <w:t xml:space="preserve"> than with 62.5/25 </w:t>
      </w:r>
      <w:r>
        <w:t>µg</w:t>
      </w:r>
      <w:r w:rsidRPr="00DA7D87">
        <w:t xml:space="preserve"> in the reversible subgroup was also observed for the TDI focal scores, SGRQ scores, and rescue salbutamol use. Hence, the sponsor had concluded that in some COPD patients who had salbutamol reversibility, UMEC/VI 125/25 </w:t>
      </w:r>
      <w:r>
        <w:t>µg</w:t>
      </w:r>
      <w:r w:rsidRPr="00DA7D87">
        <w:t xml:space="preserve"> could potentially offer additional benefit.</w:t>
      </w:r>
    </w:p>
    <w:p w:rsidR="00B13321" w:rsidRPr="00DA7D87" w:rsidRDefault="00B13321" w:rsidP="00B80494">
      <w:r w:rsidRPr="005C7B2C">
        <w:t>Evaluation of the clinical overview in Module 2 of the submission dossier showed that the summary a</w:t>
      </w:r>
      <w:r>
        <w:t>nd conclusions were reasonable.</w:t>
      </w:r>
    </w:p>
    <w:p w:rsidR="00B13321" w:rsidRDefault="00B13321" w:rsidP="008452BC">
      <w:pPr>
        <w:pStyle w:val="Heading2"/>
      </w:pPr>
      <w:bookmarkStart w:id="181" w:name="_Toc422852161"/>
      <w:r>
        <w:lastRenderedPageBreak/>
        <w:t>Clinical safety</w:t>
      </w:r>
      <w:bookmarkEnd w:id="181"/>
    </w:p>
    <w:p w:rsidR="00B13321" w:rsidRPr="00DA7D87" w:rsidRDefault="00B13321" w:rsidP="008452BC">
      <w:pPr>
        <w:pStyle w:val="Heading3"/>
      </w:pPr>
      <w:bookmarkStart w:id="182" w:name="_Toc272414659"/>
      <w:bookmarkStart w:id="183" w:name="_Toc290846284"/>
      <w:bookmarkStart w:id="184" w:name="_Toc376461163"/>
      <w:bookmarkStart w:id="185" w:name="_Toc422852162"/>
      <w:r w:rsidRPr="00DA7D87">
        <w:t>Studies providing evaluable safety data</w:t>
      </w:r>
      <w:bookmarkEnd w:id="182"/>
      <w:bookmarkEnd w:id="183"/>
      <w:bookmarkEnd w:id="184"/>
      <w:bookmarkEnd w:id="185"/>
    </w:p>
    <w:p w:rsidR="00B13321" w:rsidRPr="00DA7D87" w:rsidRDefault="00B13321" w:rsidP="008452BC">
      <w:bookmarkStart w:id="186" w:name="_Ref268776745"/>
      <w:r w:rsidRPr="00DA7D87">
        <w:t>The following studies provided evaluable safety data:</w:t>
      </w:r>
    </w:p>
    <w:p w:rsidR="00B13321" w:rsidRPr="00683165" w:rsidRDefault="00B13321" w:rsidP="008452BC">
      <w:pPr>
        <w:pStyle w:val="Heading4"/>
      </w:pPr>
      <w:r w:rsidRPr="00683165">
        <w:t>Pivotal efficacy studies</w:t>
      </w:r>
      <w:bookmarkEnd w:id="186"/>
    </w:p>
    <w:p w:rsidR="00B13321" w:rsidRPr="00DA7D87" w:rsidRDefault="00B13321" w:rsidP="008452BC">
      <w:r w:rsidRPr="00DA7D87">
        <w:t>In the pivotal efficacy studies (studies DB2113361, DB2113373, DB2113360 and DB2113374), the following safety data were collected:</w:t>
      </w:r>
    </w:p>
    <w:p w:rsidR="00B13321" w:rsidRPr="00683165" w:rsidRDefault="00B13321" w:rsidP="008452BC">
      <w:pPr>
        <w:pStyle w:val="ListBullet"/>
      </w:pPr>
      <w:r w:rsidRPr="00683165">
        <w:t xml:space="preserve">General </w:t>
      </w:r>
      <w:r>
        <w:t>adverse events (</w:t>
      </w:r>
      <w:r w:rsidRPr="00683165">
        <w:t>A</w:t>
      </w:r>
      <w:r>
        <w:t>Es)</w:t>
      </w:r>
      <w:r w:rsidRPr="00683165">
        <w:t xml:space="preserve"> were assessed by the investigator obtaining and recording all AEs at each scheduled </w:t>
      </w:r>
      <w:proofErr w:type="spellStart"/>
      <w:r w:rsidRPr="00683165">
        <w:t>visit.AEs</w:t>
      </w:r>
      <w:proofErr w:type="spellEnd"/>
      <w:r w:rsidRPr="00683165">
        <w:t xml:space="preserve"> of special interest included cardiovascular effects, effects on glucose, effects on potassium, tremor, urinary retention, ocular effects, gallbladder disorders, pneumonia, intestinal obstruction, and anticholinergic </w:t>
      </w:r>
      <w:r>
        <w:t>syndrome.</w:t>
      </w:r>
    </w:p>
    <w:p w:rsidR="00B13321" w:rsidRPr="00683165" w:rsidRDefault="00B13321" w:rsidP="008452BC">
      <w:pPr>
        <w:pStyle w:val="ListBullet"/>
      </w:pPr>
      <w:r w:rsidRPr="00683165">
        <w:t>Laboratory tests performed includ</w:t>
      </w:r>
      <w:r>
        <w:t>ed haematology, and routine non-</w:t>
      </w:r>
      <w:r w:rsidRPr="00683165">
        <w:t>fasting blood chemistry (alkaline phosphatase (ALP), gamma-</w:t>
      </w:r>
      <w:proofErr w:type="spellStart"/>
      <w:r w:rsidRPr="00683165">
        <w:t>glutamyl</w:t>
      </w:r>
      <w:proofErr w:type="spellEnd"/>
      <w:r w:rsidRPr="00683165">
        <w:t xml:space="preserve"> </w:t>
      </w:r>
      <w:proofErr w:type="spellStart"/>
      <w:r w:rsidRPr="00683165">
        <w:t>transpeptidase</w:t>
      </w:r>
      <w:proofErr w:type="spellEnd"/>
      <w:r w:rsidRPr="00683165">
        <w:t xml:space="preserve"> (GGT), aspartate aminotransferase (AST), alanine aminotransferase (ALT), total, direct and indirect bilirubin, total protein, albumin, serum potassium, sodium, chloride, bicarbonate, creatinine, blood urea nitrogen (BUN), glucose, calcium, phosphorus, uric acid, </w:t>
      </w:r>
      <w:proofErr w:type="spellStart"/>
      <w:r w:rsidRPr="00683165">
        <w:t>creatine</w:t>
      </w:r>
      <w:proofErr w:type="spellEnd"/>
      <w:r w:rsidRPr="00683165">
        <w:t xml:space="preserve"> phosphokinase (CPK)). Laboratory tests were performed according to the schedule</w:t>
      </w:r>
      <w:r>
        <w:t xml:space="preserve"> provided.</w:t>
      </w:r>
    </w:p>
    <w:p w:rsidR="00B13321" w:rsidRPr="00B33AC9" w:rsidRDefault="00B13321" w:rsidP="008452BC">
      <w:pPr>
        <w:pStyle w:val="ListBullet"/>
      </w:pPr>
      <w:r w:rsidRPr="00B33AC9">
        <w:t xml:space="preserve">Other safety endpoints included vital signs (pulse rate and systolic and diastolic blood pressure) and </w:t>
      </w:r>
      <w:r>
        <w:t>12-</w:t>
      </w:r>
      <w:r w:rsidRPr="00B33AC9">
        <w:t>lead</w:t>
      </w:r>
      <w:r>
        <w:t xml:space="preserve"> </w:t>
      </w:r>
      <w:r w:rsidRPr="00AD7A73">
        <w:t xml:space="preserve">electrocardiogram </w:t>
      </w:r>
      <w:r>
        <w:t>(ECG)</w:t>
      </w:r>
      <w:r w:rsidRPr="00B33AC9">
        <w:t xml:space="preserve"> performed according to the schedule </w:t>
      </w:r>
      <w:r>
        <w:t>provided</w:t>
      </w:r>
      <w:r w:rsidRPr="00B33AC9">
        <w:t>. In addition, in studies DB2113361 and DB2113373, 2</w:t>
      </w:r>
      <w:r>
        <w:t>4-</w:t>
      </w:r>
      <w:r w:rsidRPr="00B33AC9">
        <w:t xml:space="preserve">hour </w:t>
      </w:r>
      <w:r>
        <w:t>Holter</w:t>
      </w:r>
      <w:r w:rsidRPr="00B33AC9">
        <w:t xml:space="preserve"> monitoring was performed in a subset of subjects (Twenty Four Hour population subset</w:t>
      </w:r>
      <w:r w:rsidRPr="00706719">
        <w:t>; previously defined in Section 7.1.1.6)</w:t>
      </w:r>
      <w:r w:rsidRPr="00B33AC9">
        <w:t xml:space="preserve"> over a 2</w:t>
      </w:r>
      <w:r>
        <w:t>4-</w:t>
      </w:r>
      <w:r w:rsidRPr="00B33AC9">
        <w:t>hour period at screening, and Days 1</w:t>
      </w:r>
      <w:r>
        <w:t xml:space="preserve"> </w:t>
      </w:r>
      <w:r w:rsidRPr="00B33AC9">
        <w:t xml:space="preserve">and </w:t>
      </w:r>
      <w:r w:rsidR="00DD5BB1">
        <w:t>84 and 168.</w:t>
      </w:r>
      <w:r w:rsidRPr="00B33AC9">
        <w:t xml:space="preserve"> Across these 2 studies, </w:t>
      </w:r>
      <w:r>
        <w:t>Holter</w:t>
      </w:r>
      <w:r w:rsidRPr="00B33AC9">
        <w:t xml:space="preserve"> monitoring was done in 396 subjects: 73, 53, 55, 54, 53 and 108 subjects in the pooled </w:t>
      </w:r>
      <w:r w:rsidRPr="00C00B27">
        <w:t>placebo</w:t>
      </w:r>
      <w:r w:rsidRPr="00B33AC9">
        <w:t>, UMEC/VI 62.5/25 µg, UMEC/VI 125/25 µg, UMEC 62.5 µg, UMEC 125 µg and VI 25 µg groups, respectively.</w:t>
      </w:r>
    </w:p>
    <w:p w:rsidR="00B13321" w:rsidRPr="00DA7D87" w:rsidRDefault="00B13321" w:rsidP="008452BC">
      <w:pPr>
        <w:pStyle w:val="Heading4"/>
      </w:pPr>
      <w:r w:rsidRPr="00DA7D87">
        <w:t>Pivotal studies that assessed safety as a primary outcome</w:t>
      </w:r>
    </w:p>
    <w:p w:rsidR="00B13321" w:rsidRPr="00DA7D87" w:rsidRDefault="00B13321" w:rsidP="008452BC">
      <w:r w:rsidRPr="00DA7D87">
        <w:t>Not applicable</w:t>
      </w:r>
    </w:p>
    <w:p w:rsidR="00B13321" w:rsidRPr="00DA7D87" w:rsidRDefault="00B13321" w:rsidP="008452BC">
      <w:pPr>
        <w:pStyle w:val="Heading4"/>
      </w:pPr>
      <w:r>
        <w:t xml:space="preserve">Dose-response and non </w:t>
      </w:r>
      <w:r w:rsidRPr="00DA7D87">
        <w:t>pivotal efficacy studies</w:t>
      </w:r>
    </w:p>
    <w:p w:rsidR="00B13321" w:rsidRPr="00B33AC9" w:rsidRDefault="00B13321" w:rsidP="008452BC">
      <w:r w:rsidRPr="00B33AC9">
        <w:t xml:space="preserve">The </w:t>
      </w:r>
      <w:r>
        <w:t>dose-</w:t>
      </w:r>
      <w:r w:rsidRPr="00B33AC9">
        <w:t>response and non-pivotal efficacy studies provided safety data, as follows:</w:t>
      </w:r>
    </w:p>
    <w:p w:rsidR="00B13321" w:rsidRPr="00B33AC9" w:rsidRDefault="00B13321" w:rsidP="008452BC">
      <w:pPr>
        <w:pStyle w:val="ListBullet"/>
      </w:pPr>
      <w:r>
        <w:t>The two 12-</w:t>
      </w:r>
      <w:r w:rsidRPr="00B33AC9">
        <w:t xml:space="preserve">week exercise tolerance studies (DB2114417 and DB2114418) provided data on adverse events, vital signs, routine laboratory evaluations and </w:t>
      </w:r>
      <w:r>
        <w:t>12-</w:t>
      </w:r>
      <w:r w:rsidRPr="00B33AC9">
        <w:t>lead ECG.</w:t>
      </w:r>
    </w:p>
    <w:p w:rsidR="00B13321" w:rsidRPr="00B33AC9" w:rsidRDefault="00B13321" w:rsidP="008452BC">
      <w:pPr>
        <w:pStyle w:val="ListBullet"/>
      </w:pPr>
      <w:r>
        <w:t>The 1</w:t>
      </w:r>
      <w:r w:rsidR="0028745E">
        <w:t>2</w:t>
      </w:r>
      <w:r>
        <w:t xml:space="preserve">- </w:t>
      </w:r>
      <w:r w:rsidRPr="00B33AC9">
        <w:t xml:space="preserve">month long term safety study (DB2113359) provided data </w:t>
      </w:r>
      <w:r>
        <w:t xml:space="preserve">on </w:t>
      </w:r>
      <w:r w:rsidRPr="00C00B27">
        <w:t>adverse events</w:t>
      </w:r>
      <w:r w:rsidRPr="00B33AC9">
        <w:t xml:space="preserve">, AEs of special interest (cardiovascular, effects on glucose, effects on potassium, tremor, urinary retention, ocular effects, gallbladder disorders, pneumonia, intestinal obstruction, and anticholinergic </w:t>
      </w:r>
      <w:r>
        <w:t>syndrome</w:t>
      </w:r>
      <w:r w:rsidRPr="00B33AC9">
        <w:t>), vital signs, routine laboratory evaluations,</w:t>
      </w:r>
      <w:r>
        <w:t>12-</w:t>
      </w:r>
      <w:r w:rsidRPr="00B33AC9">
        <w:t>lead ECG, and 2</w:t>
      </w:r>
      <w:r>
        <w:t>4-</w:t>
      </w:r>
      <w:r w:rsidRPr="00B33AC9">
        <w:t xml:space="preserve">hour </w:t>
      </w:r>
      <w:r>
        <w:t>Holter</w:t>
      </w:r>
      <w:r w:rsidRPr="00B33AC9">
        <w:t xml:space="preserve"> ECGs.</w:t>
      </w:r>
    </w:p>
    <w:p w:rsidR="00B13321" w:rsidRPr="00B33AC9" w:rsidRDefault="00B13321" w:rsidP="008452BC">
      <w:pPr>
        <w:pStyle w:val="ListBullet"/>
      </w:pPr>
      <w:r w:rsidRPr="00B33AC9">
        <w:t>The f</w:t>
      </w:r>
      <w:r>
        <w:t>ive dose-</w:t>
      </w:r>
      <w:r w:rsidRPr="00B33AC9">
        <w:t xml:space="preserve">finding studies in COPD patients (studies AC4113589, AC4113073, AC4115321, AC4115408 and B2C111045) provided data on adverse events, COPD exacerbations, vital signs, routine laboratory evaluations and </w:t>
      </w:r>
      <w:r>
        <w:t>12-</w:t>
      </w:r>
      <w:r w:rsidRPr="00B33AC9">
        <w:t>lead ECG.</w:t>
      </w:r>
    </w:p>
    <w:p w:rsidR="00B13321" w:rsidRPr="00B33AC9" w:rsidRDefault="00B13321" w:rsidP="008452BC">
      <w:pPr>
        <w:pStyle w:val="ListBullet"/>
      </w:pPr>
      <w:r w:rsidRPr="00B33AC9">
        <w:t xml:space="preserve">The Phase </w:t>
      </w:r>
      <w:proofErr w:type="spellStart"/>
      <w:r w:rsidRPr="00B33AC9">
        <w:t>IIa</w:t>
      </w:r>
      <w:proofErr w:type="spellEnd"/>
      <w:r w:rsidRPr="00B33AC9">
        <w:t xml:space="preserve"> safety/tolerability study of UMEC/VI 500/25 µg in COPD patients (DB2113120) assessed safety through its primary endpoint of change from baseline in weighted mean pulse rate over 0 to 6 hours </w:t>
      </w:r>
      <w:r>
        <w:t>post-</w:t>
      </w:r>
      <w:r w:rsidRPr="00B33AC9">
        <w:t xml:space="preserve">dose at Day 28, and the secondary endpoints of weighted mean pulse rate over 0 to 6 hours </w:t>
      </w:r>
      <w:r>
        <w:t>post-</w:t>
      </w:r>
      <w:r w:rsidRPr="00B33AC9">
        <w:t xml:space="preserve">dose on Days 1 and 14, and maximum and minimum pulse rate over 0 to 6 hours </w:t>
      </w:r>
      <w:r>
        <w:t>post-</w:t>
      </w:r>
      <w:r w:rsidRPr="00B33AC9">
        <w:t xml:space="preserve">dose on Days 1, 14, and 28. In </w:t>
      </w:r>
      <w:r w:rsidRPr="00B33AC9">
        <w:lastRenderedPageBreak/>
        <w:t xml:space="preserve">addition the study provided data on adverse events, COPD exacerbations, vital signs, routine laboratory evaluations and </w:t>
      </w:r>
      <w:r>
        <w:t>12-</w:t>
      </w:r>
      <w:r w:rsidRPr="00B33AC9">
        <w:t>lead ECG.</w:t>
      </w:r>
    </w:p>
    <w:p w:rsidR="00B13321" w:rsidRPr="00DA7D87" w:rsidRDefault="00B13321" w:rsidP="008452BC">
      <w:r w:rsidRPr="00DA7D87">
        <w:t xml:space="preserve">The </w:t>
      </w:r>
      <w:r>
        <w:t>12-month</w:t>
      </w:r>
      <w:r w:rsidRPr="00DA7D87">
        <w:t xml:space="preserve"> </w:t>
      </w:r>
      <w:r>
        <w:t>long-term</w:t>
      </w:r>
      <w:r w:rsidRPr="00DA7D87">
        <w:t xml:space="preserve"> safety study (DB2113359) and the Phase </w:t>
      </w:r>
      <w:proofErr w:type="spellStart"/>
      <w:r w:rsidRPr="00DA7D87">
        <w:t>IIa</w:t>
      </w:r>
      <w:proofErr w:type="spellEnd"/>
      <w:r w:rsidRPr="00DA7D87">
        <w:t xml:space="preserve"> safety/tolerability study of UMEC/VI 500/25 </w:t>
      </w:r>
      <w:r>
        <w:t>µg</w:t>
      </w:r>
      <w:r w:rsidRPr="00DA7D87">
        <w:t xml:space="preserve"> in COPD patients (DB2113120) have not been described in the efficacy section in this report, and the essential elements of the study design of these studies will be summarised here. Study DB2113359 was a Phase </w:t>
      </w:r>
      <w:proofErr w:type="spellStart"/>
      <w:r w:rsidRPr="00DA7D87">
        <w:t>IIIa</w:t>
      </w:r>
      <w:proofErr w:type="spellEnd"/>
      <w:r w:rsidRPr="00DA7D87">
        <w:t xml:space="preserve"> multicentre, randomised, </w:t>
      </w:r>
      <w:r>
        <w:t>double-blind</w:t>
      </w:r>
      <w:r w:rsidRPr="00DA7D87">
        <w:t xml:space="preserve">, </w:t>
      </w:r>
      <w:r w:rsidRPr="00C00B27">
        <w:t>placebo</w:t>
      </w:r>
      <w:r>
        <w:t>-controlled, parallel-</w:t>
      </w:r>
      <w:r w:rsidRPr="00DA7D87">
        <w:t xml:space="preserve">group study evaluating the safety and tolerability of UMEC/VI 125/25 </w:t>
      </w:r>
      <w:r>
        <w:t>µg</w:t>
      </w:r>
      <w:r w:rsidRPr="00DA7D87">
        <w:t xml:space="preserve"> and UMEC 125 </w:t>
      </w:r>
      <w:r>
        <w:t>µg</w:t>
      </w:r>
      <w:r w:rsidRPr="00DA7D87">
        <w:t xml:space="preserve"> compared with </w:t>
      </w:r>
      <w:r w:rsidRPr="00C00B27">
        <w:t>placebo</w:t>
      </w:r>
      <w:r w:rsidRPr="00DA7D87">
        <w:t xml:space="preserve">, when </w:t>
      </w:r>
      <w:r>
        <w:t xml:space="preserve">administered </w:t>
      </w:r>
      <w:r w:rsidRPr="00C00B27">
        <w:t>once daily</w:t>
      </w:r>
      <w:r>
        <w:t xml:space="preserve"> over 52 </w:t>
      </w:r>
      <w:r w:rsidRPr="00DA7D87">
        <w:t xml:space="preserve">weeks in subjects with COPD. Subjects were males or females, 40 years of age or older, with a diagnosis of COPD and </w:t>
      </w:r>
      <w:r>
        <w:t>≥ 10 pack-</w:t>
      </w:r>
      <w:r w:rsidRPr="00DA7D87">
        <w:t>years smoking histo</w:t>
      </w:r>
      <w:r>
        <w:t>ry, and had at screening a post-</w:t>
      </w:r>
      <w:r w:rsidRPr="00DA7D87">
        <w:t>salbutamol FEV1/FVC ratio of &lt;</w:t>
      </w:r>
      <w:r>
        <w:t xml:space="preserve"> </w:t>
      </w:r>
      <w:r w:rsidRPr="00DA7D87">
        <w:t xml:space="preserve">0.70, and a post-salbutamol FEV1 of </w:t>
      </w:r>
      <w:r>
        <w:t xml:space="preserve">≥ </w:t>
      </w:r>
      <w:r w:rsidRPr="00DA7D87">
        <w:t xml:space="preserve">35 and </w:t>
      </w:r>
      <w:r>
        <w:t xml:space="preserve">≤ </w:t>
      </w:r>
      <w:r w:rsidRPr="00DA7D87">
        <w:t xml:space="preserve">80% of predicted normal values. Eligible subjects were randomised, in a 2:2:1 ratio, to UMEC/VI 125/25 </w:t>
      </w:r>
      <w:r>
        <w:t>µg</w:t>
      </w:r>
      <w:r w:rsidRPr="00DA7D87">
        <w:t xml:space="preserve">, UMEC 125 </w:t>
      </w:r>
      <w:r>
        <w:t>µg</w:t>
      </w:r>
      <w:r w:rsidRPr="00DA7D87">
        <w:t xml:space="preserve">, and </w:t>
      </w:r>
      <w:r w:rsidRPr="00910E33">
        <w:t>placebo</w:t>
      </w:r>
      <w:r w:rsidRPr="00DA7D87">
        <w:t>, respectively. Safety endpoints were as previously described above. A total of 893 subjects were screened, 563 were randomised, and 562 received at least 1 dose of study drug and were included in the ITT population</w:t>
      </w:r>
      <w:r w:rsidRPr="00B33AC9">
        <w:rPr>
          <w:vertAlign w:val="superscript"/>
        </w:rPr>
        <w:footnoteReference w:id="56"/>
      </w:r>
      <w:r w:rsidRPr="00DA7D87">
        <w:t xml:space="preserve"> (226, 227 and 109 subjects in the UMEC/VI 125/25 </w:t>
      </w:r>
      <w:r>
        <w:t>µg</w:t>
      </w:r>
      <w:r w:rsidRPr="00DA7D87">
        <w:t xml:space="preserve">, UMEC 125 </w:t>
      </w:r>
      <w:r>
        <w:t>µg</w:t>
      </w:r>
      <w:r w:rsidRPr="00DA7D87">
        <w:t xml:space="preserve">, and </w:t>
      </w:r>
      <w:r w:rsidRPr="00910E33">
        <w:t>placebo</w:t>
      </w:r>
      <w:r w:rsidRPr="00DA7D87">
        <w:t xml:space="preserve"> groups, respectively). Baseline demographic and baseline characteristics were comparable across treatment groups. Overall, subjects had a mean (SD) age of 61.3 (8.92) years. The majority of subjects were male (67%; 374/562) and White (94%; 529/562), with a mean (SD) smoking pack years</w:t>
      </w:r>
      <w:r>
        <w:t xml:space="preserve"> of 41.7 (24.63). The mean post-</w:t>
      </w:r>
      <w:r w:rsidRPr="00DA7D87">
        <w:t>salbutamol percent predicted FEV1 was 54.7%.</w:t>
      </w:r>
    </w:p>
    <w:p w:rsidR="00B13321" w:rsidRPr="00DA7D87" w:rsidRDefault="00B13321" w:rsidP="008452BC">
      <w:r w:rsidRPr="00DA7D87">
        <w:t xml:space="preserve">Study DB2113120 was a Phase </w:t>
      </w:r>
      <w:proofErr w:type="spellStart"/>
      <w:r w:rsidRPr="00DA7D87">
        <w:t>IIa</w:t>
      </w:r>
      <w:proofErr w:type="spellEnd"/>
      <w:r w:rsidRPr="00DA7D87">
        <w:t xml:space="preserve"> multicentre, randomised, </w:t>
      </w:r>
      <w:r>
        <w:t>double-blind</w:t>
      </w:r>
      <w:r w:rsidRPr="00DA7D87">
        <w:t xml:space="preserve">, </w:t>
      </w:r>
      <w:r w:rsidRPr="00910E33">
        <w:t>placebo</w:t>
      </w:r>
      <w:r>
        <w:t xml:space="preserve">-controlled, parallel </w:t>
      </w:r>
      <w:r w:rsidRPr="00DA7D87">
        <w:t xml:space="preserve">group study evaluating the safety and tolerability of UMEC/VI 500/25 </w:t>
      </w:r>
      <w:r>
        <w:t>µg</w:t>
      </w:r>
      <w:r w:rsidRPr="00DA7D87">
        <w:t xml:space="preserve"> administered </w:t>
      </w:r>
      <w:r>
        <w:t>QD</w:t>
      </w:r>
      <w:r w:rsidRPr="00DA7D87">
        <w:t xml:space="preserve"> for 4 weeks in subjects with COPD. Subjects were males or females, 40 years of age or older, with a diagnosis of COPD and </w:t>
      </w:r>
      <w:r>
        <w:t xml:space="preserve">≥ </w:t>
      </w:r>
      <w:r w:rsidRPr="00DA7D87">
        <w:t>10 pack-years smoking histo</w:t>
      </w:r>
      <w:r>
        <w:t>ry, and had at screening a post-</w:t>
      </w:r>
      <w:r w:rsidRPr="00DA7D87">
        <w:t xml:space="preserve">salbutamol FEV1/FVC ratio of </w:t>
      </w:r>
      <w:r>
        <w:t>≤ 0.70, and a post-</w:t>
      </w:r>
      <w:r w:rsidRPr="00DA7D87">
        <w:t xml:space="preserve">salbutamol FEV1 of </w:t>
      </w:r>
      <w:r>
        <w:t xml:space="preserve">≤ </w:t>
      </w:r>
      <w:r w:rsidRPr="00DA7D87">
        <w:t xml:space="preserve">80% of predicted normal values. Eligible subjects were randomised in a 4:1 ratio, to receive either UMEC/VI 500/25 </w:t>
      </w:r>
      <w:r>
        <w:t>µg</w:t>
      </w:r>
      <w:r w:rsidRPr="00DA7D87">
        <w:t xml:space="preserve">, or </w:t>
      </w:r>
      <w:r w:rsidRPr="00910E33">
        <w:t>placebo</w:t>
      </w:r>
      <w:r w:rsidRPr="00DA7D87">
        <w:t>. Safety endpoints were as previously described above. A total of 77 subjects were screened, 52 were randomised and 51 were included in the ITT population</w:t>
      </w:r>
      <w:r w:rsidRPr="00B33AC9">
        <w:rPr>
          <w:vertAlign w:val="superscript"/>
        </w:rPr>
        <w:footnoteReference w:id="57"/>
      </w:r>
      <w:r w:rsidRPr="00DA7D87">
        <w:t xml:space="preserve"> (9 and 42 subjects in the </w:t>
      </w:r>
      <w:r w:rsidRPr="00910E33">
        <w:t>placebo</w:t>
      </w:r>
      <w:r w:rsidRPr="00DA7D87">
        <w:t xml:space="preserve"> and UMEC/VI 500/25 </w:t>
      </w:r>
      <w:r>
        <w:t>µg</w:t>
      </w:r>
      <w:r w:rsidRPr="00DA7D87">
        <w:t xml:space="preserve"> groups, respectively). Baseline demographic and baseline characteristics were generally comparable across treatment groups with the exception of gender, which showed a higher proportion of females in the UMEC/VI 500/25 </w:t>
      </w:r>
      <w:r>
        <w:t>µg</w:t>
      </w:r>
      <w:r w:rsidRPr="00DA7D87">
        <w:t xml:space="preserve"> group compared with the </w:t>
      </w:r>
      <w:r w:rsidRPr="00910E33">
        <w:t>placebo</w:t>
      </w:r>
      <w:r w:rsidRPr="00DA7D87">
        <w:t xml:space="preserve"> group (43% versus 22%, respectively). However, the small sample size in the </w:t>
      </w:r>
      <w:r w:rsidRPr="00910E33">
        <w:t>placebo</w:t>
      </w:r>
      <w:r w:rsidRPr="00DA7D87">
        <w:t xml:space="preserve"> group makes interpretation difficult. Overall, subjects had a mean (SD) age of 59.1 (9.43) years. The majority of subjects were male (61%; 31/51) and White (86%; 44/51), with a mean (SD) smoking pack years of 61.5 (</w:t>
      </w:r>
      <w:r>
        <w:t>30.29). The mean post-</w:t>
      </w:r>
      <w:r w:rsidRPr="00DA7D87">
        <w:t>salbutamol percent predicted FEV1 was 48.76%.</w:t>
      </w:r>
    </w:p>
    <w:p w:rsidR="00B13321" w:rsidRPr="008D4058" w:rsidRDefault="00B13321" w:rsidP="008C017B">
      <w:r>
        <w:rPr>
          <w:b/>
        </w:rPr>
        <w:t>Evaluator’s comments:</w:t>
      </w:r>
      <w:r w:rsidR="008A1EA7">
        <w:rPr>
          <w:b/>
        </w:rPr>
        <w:t xml:space="preserve"> </w:t>
      </w:r>
      <w:r w:rsidRPr="008D4058">
        <w:t>The safety evaluation parameters were appropriate. UMEC is a LAMA and VI is a LABA, and hence the main safety concerns with UMEC/VI will relate to known LAMA and LABA effects. The AEs of special interest addressed the known pharmacologic class effects of LAMA (e.g. cardiovascular effects, ocular disorders (e.g., blurred vision), urinary retention, gastrointestinal and gallbladder disorders, and anticholinergic effects) and of LABA (e.g. cardiovascular effects, metabolic effects (low potassium and elevated glucose) and tremors).</w:t>
      </w:r>
    </w:p>
    <w:p w:rsidR="00B13321" w:rsidRPr="008D4058" w:rsidRDefault="00B13321" w:rsidP="008C017B">
      <w:r w:rsidRPr="008D4058">
        <w:t xml:space="preserve">In this evaluation, the safety data of the 4 pivotal Phase III studies were evaluated individually, and were found to be consistent among all 4 studies. In addition, the study inclusion/exclusion criteria of the 4 pivotal Phase III studies were similar and the baseline demographic and disease </w:t>
      </w:r>
      <w:r w:rsidRPr="008D4058">
        <w:lastRenderedPageBreak/>
        <w:t>characteristics were also comparable across these 4 studies. In view of the above, the combined safety data in the 4 pivotal studies will be presented in this report.</w:t>
      </w:r>
    </w:p>
    <w:p w:rsidR="00B13321" w:rsidRPr="008D4058" w:rsidRDefault="00B13321" w:rsidP="008C017B">
      <w:r w:rsidRPr="008D4058">
        <w:t>The safety data o</w:t>
      </w:r>
      <w:r>
        <w:t>f the 2 non-</w:t>
      </w:r>
      <w:r w:rsidRPr="008D4058">
        <w:t xml:space="preserve">pivotal exercise tolerance studies were also evaluated individually, and were found to be consistent between both studies. The study </w:t>
      </w:r>
      <w:r>
        <w:t>design of these 2 non-</w:t>
      </w:r>
      <w:r w:rsidRPr="008D4058">
        <w:t>pivotal Phase III studies was similar and the baseline demographic characteristics were also comparable across these 2 studies. In view of the above, the comb</w:t>
      </w:r>
      <w:r>
        <w:t>ined safety data in these 2 non-</w:t>
      </w:r>
      <w:r w:rsidRPr="008D4058">
        <w:t>pivotal studies will be presented in this report.</w:t>
      </w:r>
    </w:p>
    <w:p w:rsidR="00B13321" w:rsidRPr="008D4058" w:rsidRDefault="00B13321" w:rsidP="008C017B">
      <w:r w:rsidRPr="008D4058">
        <w:t xml:space="preserve">As previously discussed </w:t>
      </w:r>
      <w:r>
        <w:t>(</w:t>
      </w:r>
      <w:r w:rsidRPr="008D4058">
        <w:t>in Section 3.1</w:t>
      </w:r>
      <w:r>
        <w:t>), the five dose-</w:t>
      </w:r>
      <w:r w:rsidRPr="008D4058">
        <w:t xml:space="preserve">finding studies in COPD patients and the Phase </w:t>
      </w:r>
      <w:proofErr w:type="spellStart"/>
      <w:r w:rsidRPr="008D4058">
        <w:t>IIa</w:t>
      </w:r>
      <w:proofErr w:type="spellEnd"/>
      <w:r w:rsidRPr="008D4058">
        <w:t xml:space="preserve"> safety/tolerability study of UMEC/VI in COPD patients (DB2113120) will be evaluated with regards to dose selection for the pivotal Phase III studies and whether the safety results were consistent with those of the pivotal studies. The safety data of these 6 Phase II studies were evaluated for the purpose of this submission, and were found to be generally consistent with the safety results of the pivotal studies and no major safety concerns were raised, and hence will not be elabor</w:t>
      </w:r>
      <w:r>
        <w:t>ated in the following sections.</w:t>
      </w:r>
    </w:p>
    <w:p w:rsidR="00B13321" w:rsidRPr="00DA7D87" w:rsidRDefault="00B13321" w:rsidP="008452BC">
      <w:pPr>
        <w:pStyle w:val="Heading3"/>
      </w:pPr>
      <w:bookmarkStart w:id="187" w:name="_Ref269204367"/>
      <w:bookmarkStart w:id="188" w:name="_Ref271195835"/>
      <w:bookmarkStart w:id="189" w:name="_Ref271195841"/>
      <w:bookmarkStart w:id="190" w:name="_Toc272414660"/>
      <w:bookmarkStart w:id="191" w:name="_Toc290846285"/>
      <w:bookmarkStart w:id="192" w:name="_Toc376461164"/>
      <w:bookmarkStart w:id="193" w:name="_Toc422852163"/>
      <w:r w:rsidRPr="00DA7D87">
        <w:t>Pivotal studies that assessed safety as a primary outcome</w:t>
      </w:r>
      <w:bookmarkEnd w:id="187"/>
      <w:bookmarkEnd w:id="188"/>
      <w:bookmarkEnd w:id="189"/>
      <w:bookmarkEnd w:id="190"/>
      <w:bookmarkEnd w:id="191"/>
      <w:bookmarkEnd w:id="192"/>
      <w:bookmarkEnd w:id="193"/>
    </w:p>
    <w:p w:rsidR="00B13321" w:rsidRPr="00DA7D87" w:rsidRDefault="00B13321" w:rsidP="008452BC">
      <w:r>
        <w:t xml:space="preserve">Not </w:t>
      </w:r>
      <w:r w:rsidRPr="00DA7D87">
        <w:t>applicable.</w:t>
      </w:r>
    </w:p>
    <w:p w:rsidR="00B13321" w:rsidRPr="00DA7D87" w:rsidRDefault="00B13321" w:rsidP="008452BC">
      <w:pPr>
        <w:pStyle w:val="Heading3"/>
      </w:pPr>
      <w:bookmarkStart w:id="194" w:name="_Toc241374318"/>
      <w:bookmarkStart w:id="195" w:name="_Ref271196630"/>
      <w:bookmarkStart w:id="196" w:name="_Toc272414662"/>
      <w:bookmarkStart w:id="197" w:name="_Toc290846300"/>
      <w:bookmarkStart w:id="198" w:name="_Toc376461165"/>
      <w:bookmarkStart w:id="199" w:name="_Toc422852164"/>
      <w:r w:rsidRPr="00DA7D87">
        <w:t>Patient exposure</w:t>
      </w:r>
      <w:bookmarkEnd w:id="194"/>
      <w:bookmarkEnd w:id="195"/>
      <w:bookmarkEnd w:id="196"/>
      <w:bookmarkEnd w:id="197"/>
      <w:bookmarkEnd w:id="198"/>
      <w:bookmarkEnd w:id="199"/>
    </w:p>
    <w:p w:rsidR="00B13321" w:rsidRDefault="00B13321" w:rsidP="008452BC">
      <w:r w:rsidRPr="00DA7D87">
        <w:t xml:space="preserve">For the 4 combined pivotal Phase III studies, the mean (SD) exposure was 136.6 (55.39), 150.1 (44.11), 147.6 (46.97), 146.7 (47.03), 144.5 (48.53), 145.3 (47.85) and 149.5 (45.74) days in the pooled </w:t>
      </w:r>
      <w:r w:rsidRPr="007F38FF">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w:t>
      </w:r>
      <w:r w:rsidR="00387A80">
        <w:t>ps, respectively (Table 16</w:t>
      </w:r>
      <w:r w:rsidRPr="00DA7D87">
        <w:t>). Overall, 73%, 84%, 82%, 82%, 79%, 79% and 85% of subjects in these respective groups had an exposure to study drug of &gt; 20 weeks.</w:t>
      </w:r>
    </w:p>
    <w:p w:rsidR="00B13321" w:rsidRDefault="00B13321" w:rsidP="008A1EA7">
      <w:pPr>
        <w:pStyle w:val="Tabletitle"/>
      </w:pPr>
      <w:proofErr w:type="gramStart"/>
      <w:r w:rsidRPr="008C01B2">
        <w:t xml:space="preserve">Table </w:t>
      </w:r>
      <w:r w:rsidR="00387A80">
        <w:t>16</w:t>
      </w:r>
      <w:r w:rsidRPr="008C01B2">
        <w:t>.</w:t>
      </w:r>
      <w:proofErr w:type="gramEnd"/>
      <w:r w:rsidRPr="008C01B2">
        <w:t xml:space="preserve"> </w:t>
      </w:r>
      <w:proofErr w:type="gramStart"/>
      <w:r w:rsidRPr="008C01B2">
        <w:t>Summary of Exposure (DB2113361, DB2113373, DB2113360, and DB2113374 ITT Population).</w:t>
      </w:r>
      <w:proofErr w:type="gramEnd"/>
    </w:p>
    <w:p w:rsidR="00B13321" w:rsidRPr="008C01B2" w:rsidRDefault="00B13321" w:rsidP="00B13321">
      <w:r>
        <w:rPr>
          <w:noProof/>
          <w:lang w:eastAsia="en-AU"/>
        </w:rPr>
        <w:drawing>
          <wp:inline distT="0" distB="0" distL="0" distR="0" wp14:anchorId="52D6A84C" wp14:editId="1003412E">
            <wp:extent cx="4457700" cy="2667000"/>
            <wp:effectExtent l="0" t="0" r="0" b="0"/>
            <wp:docPr id="60" name="Picture 60" descr="Table 16. Summary of Exposure (DB2113361, DB2113373, DB2113360, and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457700" cy="2667000"/>
                    </a:xfrm>
                    <a:prstGeom prst="rect">
                      <a:avLst/>
                    </a:prstGeom>
                  </pic:spPr>
                </pic:pic>
              </a:graphicData>
            </a:graphic>
          </wp:inline>
        </w:drawing>
      </w:r>
    </w:p>
    <w:p w:rsidR="00B13321" w:rsidRPr="00DA7D87" w:rsidRDefault="00B13321" w:rsidP="008452BC">
      <w:r w:rsidRPr="00DA7D87">
        <w:t xml:space="preserve">For the 2 combined exercise tolerance studies, the mean (SD) exposure was 77.8 (20.17), 80.5 (16.23), 80.4 (16.50), 81.4 (12.73), 77.7 (21.07) and 78.5 (19.39) days in the pooled </w:t>
      </w:r>
      <w:r w:rsidRPr="007F38FF">
        <w:t>placebo</w:t>
      </w:r>
      <w:r w:rsidRPr="00DA7D87">
        <w:t xml:space="preserve">, UMEC/VI 62.5/25 </w:t>
      </w:r>
      <w:r>
        <w:t>µg</w:t>
      </w:r>
      <w:r w:rsidRPr="00DA7D87">
        <w:t xml:space="preserve">, UMEC/VI 125/25 </w:t>
      </w:r>
      <w:r>
        <w:t>µg</w:t>
      </w:r>
      <w:r w:rsidRPr="00DA7D87">
        <w:t>,</w:t>
      </w:r>
      <w:r w:rsidRPr="007E1DF4">
        <w:t xml:space="preserve"> </w:t>
      </w:r>
      <w:r w:rsidRPr="00DA7D87">
        <w:t xml:space="preserve">UMEC 62.5 </w:t>
      </w:r>
      <w:r>
        <w:t>µg</w:t>
      </w:r>
      <w:r w:rsidRPr="00DA7D87">
        <w:t xml:space="preserve">, UMEC 125 </w:t>
      </w:r>
      <w:r>
        <w:t>µg</w:t>
      </w:r>
      <w:r w:rsidRPr="00DA7D87">
        <w:t xml:space="preserve">, and VI 25 </w:t>
      </w:r>
      <w:r>
        <w:t>µg</w:t>
      </w:r>
      <w:r w:rsidRPr="00DA7D87">
        <w:t xml:space="preserve"> groups, respectively. Overall, 62%, 65%, 69%, 67%, 63% and 66% of subjects in these respective groups had an exposure to study drug of &gt; 12 weeks.</w:t>
      </w:r>
    </w:p>
    <w:p w:rsidR="00B13321" w:rsidRPr="00DA7D87" w:rsidRDefault="00B13321" w:rsidP="00B13321">
      <w:r w:rsidRPr="00DA7D87">
        <w:lastRenderedPageBreak/>
        <w:t xml:space="preserve">In the </w:t>
      </w:r>
      <w:r>
        <w:t>12-month</w:t>
      </w:r>
      <w:r w:rsidRPr="00DA7D87">
        <w:t xml:space="preserve"> </w:t>
      </w:r>
      <w:r>
        <w:t>long-term</w:t>
      </w:r>
      <w:r w:rsidRPr="00DA7D87">
        <w:t xml:space="preserve"> safety study (DB2113359), the mean (SD) exposure was 269.4 (127.54), 269.0 (125.52) and 285.3 (114.18) days in the </w:t>
      </w:r>
      <w:r w:rsidRPr="007F38FF">
        <w:t>placebo</w:t>
      </w:r>
      <w:r w:rsidRPr="00DA7D87">
        <w:t xml:space="preserve">, UMEC 125 </w:t>
      </w:r>
      <w:r>
        <w:t>µg</w:t>
      </w:r>
      <w:r w:rsidRPr="00DA7D87">
        <w:t xml:space="preserve"> and UMEC/VI 125/25 </w:t>
      </w:r>
      <w:r>
        <w:t>µg</w:t>
      </w:r>
      <w:r w:rsidRPr="00DA7D87">
        <w:t xml:space="preserve"> groups, respectively. Overall, 65%, 64% and 66% of subjects in these respective groups had an exposure to study drug </w:t>
      </w:r>
      <w:r w:rsidRPr="007F38FF">
        <w:t xml:space="preserve">of </w:t>
      </w:r>
      <w:r w:rsidR="00387A80">
        <w:t>≥</w:t>
      </w:r>
      <w:r w:rsidRPr="00DA7D87">
        <w:t xml:space="preserve"> 274 days.</w:t>
      </w:r>
    </w:p>
    <w:p w:rsidR="00B13321" w:rsidRPr="00DA7D87" w:rsidRDefault="00B13321" w:rsidP="007E1DF4">
      <w:r>
        <w:rPr>
          <w:b/>
        </w:rPr>
        <w:t xml:space="preserve">Evaluator’s comments: </w:t>
      </w:r>
      <w:r w:rsidRPr="00DA7D87">
        <w:t>Overall, the study drug exposure is adequate to assess the safety profile of UMEC/VI.</w:t>
      </w:r>
    </w:p>
    <w:p w:rsidR="00B13321" w:rsidRPr="00DA7D87" w:rsidRDefault="00B13321" w:rsidP="008452BC">
      <w:pPr>
        <w:pStyle w:val="Heading3"/>
      </w:pPr>
      <w:bookmarkStart w:id="200" w:name="_Toc241374319"/>
      <w:bookmarkStart w:id="201" w:name="_Ref271044764"/>
      <w:bookmarkStart w:id="202" w:name="_Toc272414663"/>
      <w:bookmarkStart w:id="203" w:name="_Toc290846301"/>
      <w:bookmarkStart w:id="204" w:name="_Toc376461166"/>
      <w:bookmarkStart w:id="205" w:name="_Toc422852165"/>
      <w:r w:rsidRPr="00DA7D87">
        <w:t>Adverse events</w:t>
      </w:r>
      <w:bookmarkEnd w:id="200"/>
      <w:bookmarkEnd w:id="201"/>
      <w:bookmarkEnd w:id="202"/>
      <w:bookmarkEnd w:id="203"/>
      <w:bookmarkEnd w:id="204"/>
      <w:bookmarkEnd w:id="205"/>
    </w:p>
    <w:p w:rsidR="00B13321" w:rsidRPr="00DA7D87" w:rsidRDefault="00B13321" w:rsidP="008452BC">
      <w:pPr>
        <w:pStyle w:val="Heading4"/>
      </w:pPr>
      <w:bookmarkStart w:id="206" w:name="_Ref272317284"/>
      <w:bookmarkStart w:id="207" w:name="_Ref272333565"/>
      <w:bookmarkStart w:id="208" w:name="_Toc272414664"/>
      <w:bookmarkStart w:id="209" w:name="_Toc290846302"/>
      <w:bookmarkStart w:id="210" w:name="_Toc376461167"/>
      <w:r w:rsidRPr="00DA7D87">
        <w:t>All adverse events (irrespective of relationship to study treatment)</w:t>
      </w:r>
      <w:bookmarkEnd w:id="206"/>
      <w:bookmarkEnd w:id="207"/>
      <w:bookmarkEnd w:id="208"/>
      <w:bookmarkEnd w:id="209"/>
      <w:bookmarkEnd w:id="210"/>
    </w:p>
    <w:p w:rsidR="00B13321" w:rsidRPr="00DA7D87" w:rsidRDefault="00B13321" w:rsidP="008452BC">
      <w:pPr>
        <w:pStyle w:val="Heading5"/>
      </w:pPr>
      <w:bookmarkStart w:id="211" w:name="_Toc376461168"/>
      <w:r w:rsidRPr="00DA7D87">
        <w:t>Pivotal studies</w:t>
      </w:r>
      <w:bookmarkEnd w:id="211"/>
    </w:p>
    <w:p w:rsidR="00B13321" w:rsidRDefault="00B13321" w:rsidP="008452BC">
      <w:r w:rsidRPr="00DA7D87">
        <w:t>An overview of the number and percentage of subjects with AEs in each pooled treatment group is presen</w:t>
      </w:r>
      <w:r>
        <w:t xml:space="preserve">ted in Table </w:t>
      </w:r>
      <w:r w:rsidR="00387A80">
        <w:t>17</w:t>
      </w:r>
      <w:r w:rsidRPr="00DA7D87">
        <w:t>. The perc</w:t>
      </w:r>
      <w:r>
        <w:t>entages of subjects with any on-</w:t>
      </w:r>
      <w:r w:rsidRPr="00DA7D87">
        <w:t>treatment AEs</w:t>
      </w:r>
      <w:r w:rsidRPr="008C01B2">
        <w:rPr>
          <w:vertAlign w:val="superscript"/>
        </w:rPr>
        <w:footnoteReference w:id="58"/>
      </w:r>
      <w:r w:rsidRPr="008C01B2">
        <w:rPr>
          <w:vertAlign w:val="superscript"/>
        </w:rPr>
        <w:t xml:space="preserve"> </w:t>
      </w:r>
      <w:r w:rsidRPr="00DA7D87">
        <w:t xml:space="preserve">were comparable among treatment groups (48% </w:t>
      </w:r>
      <w:r>
        <w:t>(</w:t>
      </w:r>
      <w:r w:rsidRPr="00DA7D87">
        <w:t>264/555</w:t>
      </w:r>
      <w:r>
        <w:t>)</w:t>
      </w:r>
      <w:r w:rsidRPr="00DA7D87">
        <w:t xml:space="preserve">, 53% </w:t>
      </w:r>
      <w:r>
        <w:t>(</w:t>
      </w:r>
      <w:r w:rsidRPr="00DA7D87">
        <w:t>447/842</w:t>
      </w:r>
      <w:r>
        <w:t>)</w:t>
      </w:r>
      <w:r w:rsidRPr="00DA7D87">
        <w:t xml:space="preserve">, 53% </w:t>
      </w:r>
      <w:r>
        <w:t>(</w:t>
      </w:r>
      <w:r w:rsidRPr="00DA7D87">
        <w:t>438/832</w:t>
      </w:r>
      <w:r>
        <w:t>)</w:t>
      </w:r>
      <w:r w:rsidRPr="00DA7D87">
        <w:t xml:space="preserve">, 52% </w:t>
      </w:r>
      <w:r>
        <w:t>(</w:t>
      </w:r>
      <w:r w:rsidRPr="00DA7D87">
        <w:t>216/418</w:t>
      </w:r>
      <w:r>
        <w:t>)</w:t>
      </w:r>
      <w:r w:rsidRPr="00DA7D87">
        <w:t xml:space="preserve">, 55% </w:t>
      </w:r>
      <w:r>
        <w:t>(</w:t>
      </w:r>
      <w:r w:rsidRPr="00DA7D87">
        <w:t>348/629</w:t>
      </w:r>
      <w:r>
        <w:t>)</w:t>
      </w:r>
      <w:r w:rsidRPr="00DA7D87">
        <w:t xml:space="preserve">, 50% </w:t>
      </w:r>
      <w:r>
        <w:t>(</w:t>
      </w:r>
      <w:r w:rsidRPr="00DA7D87">
        <w:t>518/1034</w:t>
      </w:r>
      <w:r>
        <w:t>)</w:t>
      </w:r>
      <w:r w:rsidRPr="00DA7D87">
        <w:t xml:space="preserve">, and 49% </w:t>
      </w:r>
      <w:r>
        <w:t>(</w:t>
      </w:r>
      <w:r w:rsidRPr="00DA7D87">
        <w:t>208/423</w:t>
      </w:r>
      <w:r>
        <w:t>)</w:t>
      </w:r>
      <w:r w:rsidRPr="00DA7D87">
        <w:t xml:space="preserve"> in the pooled </w:t>
      </w:r>
      <w:r w:rsidRPr="00DD1C19">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w:t>
      </w:r>
    </w:p>
    <w:p w:rsidR="00B13321" w:rsidRDefault="00B13321" w:rsidP="00B13321">
      <w:pPr>
        <w:pStyle w:val="Tabletitle"/>
      </w:pPr>
      <w:proofErr w:type="gramStart"/>
      <w:r w:rsidRPr="008C01B2">
        <w:t xml:space="preserve">Table </w:t>
      </w:r>
      <w:r w:rsidR="00387A80">
        <w:t>17</w:t>
      </w:r>
      <w:r w:rsidRPr="008C01B2">
        <w:t>.</w:t>
      </w:r>
      <w:proofErr w:type="gramEnd"/>
      <w:r w:rsidRPr="008C01B2">
        <w:t xml:space="preserve"> </w:t>
      </w:r>
      <w:proofErr w:type="gramStart"/>
      <w:r w:rsidRPr="008C01B2">
        <w:t>Summary of Adverse Events (DB2113361, DB2113373, DB2113360, DB2113374 ITT Population)</w:t>
      </w:r>
      <w:r>
        <w:t>.</w:t>
      </w:r>
      <w:proofErr w:type="gramEnd"/>
    </w:p>
    <w:p w:rsidR="00B13321" w:rsidRPr="008C01B2" w:rsidRDefault="00B13321" w:rsidP="00B13321">
      <w:r>
        <w:rPr>
          <w:noProof/>
          <w:lang w:eastAsia="en-AU"/>
        </w:rPr>
        <w:drawing>
          <wp:inline distT="0" distB="0" distL="0" distR="0" wp14:anchorId="67E845D2" wp14:editId="54CB6766">
            <wp:extent cx="5173980" cy="2456535"/>
            <wp:effectExtent l="0" t="0" r="0" b="0"/>
            <wp:docPr id="59" name="Picture 59" descr="Table 17. Summary of Adverse Events (DB2113361, DB2113373, DB2113360, DB2113374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175697" cy="2457350"/>
                    </a:xfrm>
                    <a:prstGeom prst="rect">
                      <a:avLst/>
                    </a:prstGeom>
                  </pic:spPr>
                </pic:pic>
              </a:graphicData>
            </a:graphic>
          </wp:inline>
        </w:drawing>
      </w:r>
    </w:p>
    <w:p w:rsidR="00B13321" w:rsidRPr="00543D89" w:rsidRDefault="00B13321" w:rsidP="007E1DF4">
      <w:r>
        <w:t>On-treatment</w:t>
      </w:r>
      <w:r w:rsidRPr="00DA7D87">
        <w:t xml:space="preserve"> AEs that occurred in </w:t>
      </w:r>
      <w:r>
        <w:t xml:space="preserve">≥ </w:t>
      </w:r>
      <w:r w:rsidRPr="00DA7D87">
        <w:t>3% of subjects in any treatment group</w:t>
      </w:r>
      <w:r>
        <w:t xml:space="preserve"> were presented</w:t>
      </w:r>
      <w:r w:rsidRPr="00DA7D87">
        <w:t xml:space="preserve">. The most commonly reported </w:t>
      </w:r>
      <w:r>
        <w:t>on-treatment</w:t>
      </w:r>
      <w:r w:rsidRPr="00DA7D87">
        <w:t xml:space="preserve"> AEs by preferred term (PT) in the UMEC/VI 62.5/25 </w:t>
      </w:r>
      <w:r>
        <w:t>µg</w:t>
      </w:r>
      <w:r w:rsidRPr="00DA7D87">
        <w:t xml:space="preserve"> or UMEC/VI 125/25 </w:t>
      </w:r>
      <w:r>
        <w:t>µg</w:t>
      </w:r>
      <w:r w:rsidRPr="00DA7D87">
        <w:t xml:space="preserve"> group were headache (10%, 9%, 9%, 8%, 10%, 8% and 6% in the pooled </w:t>
      </w:r>
      <w:r w:rsidRPr="00DD1C19">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and </w:t>
      </w:r>
      <w:proofErr w:type="spellStart"/>
      <w:r w:rsidRPr="00DA7D87">
        <w:t>nasopharyngitis</w:t>
      </w:r>
      <w:proofErr w:type="spellEnd"/>
      <w:r w:rsidRPr="00DA7D87">
        <w:t xml:space="preserve"> (9%, 9%, 9%, 7%, 7%, 9% and 8%, respectively). </w:t>
      </w:r>
      <w:r>
        <w:t>On-treatment</w:t>
      </w:r>
      <w:r w:rsidRPr="00DA7D87">
        <w:t xml:space="preserve"> AEs reported by more than 1% of subjects in any UMEC/VI treatment group and having an incidence in any UMEC/VI group of greater than 1% over the incidence in the </w:t>
      </w:r>
      <w:r>
        <w:t>PLA</w:t>
      </w:r>
      <w:r w:rsidRPr="00DA7D87">
        <w:t xml:space="preserve"> group were cough, pharyngitis, dry mouth</w:t>
      </w:r>
      <w:r>
        <w:t>, and constipation</w:t>
      </w:r>
      <w:r w:rsidRPr="00DA7D87">
        <w:t>.</w:t>
      </w:r>
    </w:p>
    <w:p w:rsidR="00B13321" w:rsidRPr="00DA7D87" w:rsidRDefault="00B13321" w:rsidP="008452BC">
      <w:pPr>
        <w:pStyle w:val="Heading5"/>
      </w:pPr>
      <w:bookmarkStart w:id="212" w:name="_Toc376461169"/>
      <w:r w:rsidRPr="00DA7D87">
        <w:lastRenderedPageBreak/>
        <w:t>Other studies</w:t>
      </w:r>
      <w:bookmarkEnd w:id="212"/>
    </w:p>
    <w:p w:rsidR="00B13321" w:rsidRPr="00DA7D87" w:rsidRDefault="00B13321" w:rsidP="008452BC">
      <w:pPr>
        <w:pStyle w:val="Heading6"/>
      </w:pPr>
      <w:r w:rsidRPr="00DA7D87">
        <w:t>Exercise tolerance studies (DB2114417 and DB2114418)</w:t>
      </w:r>
    </w:p>
    <w:p w:rsidR="00B13321" w:rsidRPr="00DA7D87" w:rsidRDefault="00B13321" w:rsidP="008452BC">
      <w:r w:rsidRPr="00DA7D87">
        <w:t>The perc</w:t>
      </w:r>
      <w:r>
        <w:t>entages of subjects with any on-</w:t>
      </w:r>
      <w:r w:rsidRPr="00DA7D87">
        <w:t xml:space="preserve">treatment AEs were comparable among treatment groups (33% </w:t>
      </w:r>
      <w:r>
        <w:t>(</w:t>
      </w:r>
      <w:r w:rsidRPr="00DA7D87">
        <w:t>105/321</w:t>
      </w:r>
      <w:r>
        <w:t>)</w:t>
      </w:r>
      <w:r w:rsidRPr="00DA7D87">
        <w:t xml:space="preserve">, 33% </w:t>
      </w:r>
      <w:r>
        <w:t>(</w:t>
      </w:r>
      <w:r w:rsidRPr="00DA7D87">
        <w:t>92/282</w:t>
      </w:r>
      <w:r>
        <w:t>)</w:t>
      </w:r>
      <w:r w:rsidRPr="00DA7D87">
        <w:t xml:space="preserve">, 36% </w:t>
      </w:r>
      <w:r>
        <w:t>(</w:t>
      </w:r>
      <w:r w:rsidRPr="00DA7D87">
        <w:t>98/272</w:t>
      </w:r>
      <w:r>
        <w:t>)</w:t>
      </w:r>
      <w:r w:rsidRPr="00DA7D87">
        <w:t xml:space="preserve">, 20% </w:t>
      </w:r>
      <w:r>
        <w:t>(</w:t>
      </w:r>
      <w:r w:rsidRPr="00DA7D87">
        <w:t>18/89</w:t>
      </w:r>
      <w:r>
        <w:t>)</w:t>
      </w:r>
      <w:r w:rsidRPr="00DA7D87">
        <w:t xml:space="preserve">, 40% </w:t>
      </w:r>
      <w:r>
        <w:t>(</w:t>
      </w:r>
      <w:r w:rsidRPr="00DA7D87">
        <w:t>36/91</w:t>
      </w:r>
      <w:r>
        <w:t>)</w:t>
      </w:r>
      <w:r w:rsidRPr="00DA7D87">
        <w:t xml:space="preserve">, and 32% </w:t>
      </w:r>
      <w:r>
        <w:t>(</w:t>
      </w:r>
      <w:r w:rsidRPr="00DA7D87">
        <w:t>45/140</w:t>
      </w:r>
      <w:r>
        <w:t>)</w:t>
      </w:r>
      <w:r w:rsidRPr="00DA7D87">
        <w:t xml:space="preserve"> in the pooled </w:t>
      </w:r>
      <w:r w:rsidRPr="00DD1C19">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w:t>
      </w:r>
    </w:p>
    <w:p w:rsidR="00B13321" w:rsidRPr="00DA7D87" w:rsidRDefault="00B13321" w:rsidP="008452BC">
      <w:r>
        <w:t>On-treatment</w:t>
      </w:r>
      <w:r w:rsidRPr="00DA7D87">
        <w:t xml:space="preserve"> AEs that occurred in </w:t>
      </w:r>
      <w:r>
        <w:t xml:space="preserve">≥ </w:t>
      </w:r>
      <w:r w:rsidRPr="00DA7D87">
        <w:t xml:space="preserve">3% of subjects in any treatment group </w:t>
      </w:r>
      <w:r>
        <w:t>were</w:t>
      </w:r>
      <w:r w:rsidRPr="00DA7D87">
        <w:t xml:space="preserve"> presented</w:t>
      </w:r>
      <w:r>
        <w:t xml:space="preserve">. The most commonly reported on </w:t>
      </w:r>
      <w:r w:rsidRPr="00DA7D87">
        <w:t xml:space="preserve">treatment AE by preferred term in the UMEC/VI 62.5/25 </w:t>
      </w:r>
      <w:r>
        <w:t>µg</w:t>
      </w:r>
      <w:r w:rsidRPr="00DA7D87">
        <w:t xml:space="preserve"> or UMEC/VI 125/25 </w:t>
      </w:r>
      <w:r>
        <w:t>µg</w:t>
      </w:r>
      <w:r w:rsidRPr="00DA7D87">
        <w:t xml:space="preserve"> group was </w:t>
      </w:r>
      <w:proofErr w:type="spellStart"/>
      <w:r w:rsidRPr="00DA7D87">
        <w:t>nasopharyngitis</w:t>
      </w:r>
      <w:proofErr w:type="spellEnd"/>
      <w:r w:rsidRPr="00DA7D87">
        <w:t xml:space="preserve"> (6%, 5%, 4%, 6%, 5% and 3% in the pooled </w:t>
      </w:r>
      <w:r w:rsidRPr="00DD1C19">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w:t>
      </w:r>
    </w:p>
    <w:p w:rsidR="00B13321" w:rsidRPr="00DA7D87" w:rsidRDefault="00B13321" w:rsidP="008452BC">
      <w:pPr>
        <w:pStyle w:val="Heading6"/>
      </w:pPr>
      <w:r>
        <w:t>Long-term</w:t>
      </w:r>
      <w:r w:rsidRPr="00DA7D87">
        <w:t xml:space="preserve"> safety study (DB2113359)</w:t>
      </w:r>
    </w:p>
    <w:p w:rsidR="00B13321" w:rsidRPr="00DA7D87" w:rsidRDefault="00B13321" w:rsidP="008452BC">
      <w:r w:rsidRPr="00DA7D87">
        <w:t>The perc</w:t>
      </w:r>
      <w:r>
        <w:t>entages of subjects with any on-</w:t>
      </w:r>
      <w:r w:rsidRPr="00DA7D87">
        <w:t xml:space="preserve">treatment AEs were comparable among treatment groups (52% </w:t>
      </w:r>
      <w:r>
        <w:t>(</w:t>
      </w:r>
      <w:r w:rsidRPr="00DA7D87">
        <w:t>57/109</w:t>
      </w:r>
      <w:r>
        <w:t>)</w:t>
      </w:r>
      <w:r w:rsidRPr="00DA7D87">
        <w:t xml:space="preserve">, 58% </w:t>
      </w:r>
      <w:r>
        <w:t>(</w:t>
      </w:r>
      <w:r w:rsidRPr="00DA7D87">
        <w:t>132/227</w:t>
      </w:r>
      <w:r>
        <w:t>)</w:t>
      </w:r>
      <w:r w:rsidRPr="00DA7D87">
        <w:t xml:space="preserve"> and 53% </w:t>
      </w:r>
      <w:r>
        <w:t>(</w:t>
      </w:r>
      <w:r w:rsidRPr="00DA7D87">
        <w:t>120/226</w:t>
      </w:r>
      <w:r>
        <w:t>)</w:t>
      </w:r>
      <w:r w:rsidRPr="00DA7D87">
        <w:t xml:space="preserve"> in the </w:t>
      </w:r>
      <w:r w:rsidRPr="00DD1C19">
        <w:t>placebo</w:t>
      </w:r>
      <w:r w:rsidRPr="00DA7D87">
        <w:t xml:space="preserve">, UMEC 125 </w:t>
      </w:r>
      <w:r>
        <w:t>µg</w:t>
      </w:r>
      <w:r w:rsidRPr="00DA7D87">
        <w:t xml:space="preserve"> and UMEC/VI 125/25 </w:t>
      </w:r>
      <w:r>
        <w:t>µg</w:t>
      </w:r>
      <w:r w:rsidRPr="00DA7D87">
        <w:t xml:space="preserve"> groups, respectively).</w:t>
      </w:r>
    </w:p>
    <w:p w:rsidR="00B13321" w:rsidRDefault="00B13321" w:rsidP="008452BC">
      <w:r>
        <w:t>For on-treatment</w:t>
      </w:r>
      <w:r w:rsidRPr="00DA7D87">
        <w:t xml:space="preserve"> AEs that occurred in </w:t>
      </w:r>
      <w:r>
        <w:t xml:space="preserve">≥ </w:t>
      </w:r>
      <w:r w:rsidRPr="00DA7D87">
        <w:t>3% of subjects in any treatment group</w:t>
      </w:r>
      <w:r>
        <w:t xml:space="preserve"> t</w:t>
      </w:r>
      <w:r w:rsidRPr="00DA7D87">
        <w:t xml:space="preserve">he most commonly reported </w:t>
      </w:r>
      <w:r>
        <w:t>on-treatment</w:t>
      </w:r>
      <w:r w:rsidRPr="00DA7D87">
        <w:t xml:space="preserve"> AE by preferred term in the UMEC 125 </w:t>
      </w:r>
      <w:r>
        <w:t>µg</w:t>
      </w:r>
      <w:r w:rsidRPr="00DA7D87">
        <w:t xml:space="preserve"> or UMEC/VI 125/25 </w:t>
      </w:r>
      <w:r>
        <w:t>µg</w:t>
      </w:r>
      <w:r w:rsidRPr="00DA7D87">
        <w:t xml:space="preserve"> group was headache (8%, 11% and 9% in the </w:t>
      </w:r>
      <w:r w:rsidRPr="00DD1C19">
        <w:t>placebo</w:t>
      </w:r>
      <w:r w:rsidRPr="00DA7D87">
        <w:t xml:space="preserve">, UMEC 125 </w:t>
      </w:r>
      <w:r>
        <w:t>µg</w:t>
      </w:r>
      <w:r w:rsidRPr="00DA7D87">
        <w:t xml:space="preserve"> and UMEC/VI 125/25 </w:t>
      </w:r>
      <w:r>
        <w:t>µg</w:t>
      </w:r>
      <w:r w:rsidRPr="00DA7D87">
        <w:t xml:space="preserve"> groups, respectively).</w:t>
      </w:r>
    </w:p>
    <w:p w:rsidR="00B13321" w:rsidRPr="00DA7D87" w:rsidRDefault="00B13321" w:rsidP="008452BC">
      <w:pPr>
        <w:pStyle w:val="Heading4"/>
      </w:pPr>
      <w:bookmarkStart w:id="213" w:name="_Ref272333567"/>
      <w:bookmarkStart w:id="214" w:name="_Toc272414665"/>
      <w:bookmarkStart w:id="215" w:name="_Toc290846303"/>
      <w:bookmarkStart w:id="216" w:name="_Toc376461170"/>
      <w:r>
        <w:t>Treatment-related</w:t>
      </w:r>
      <w:r w:rsidRPr="00DA7D87">
        <w:t xml:space="preserve"> adverse events (adverse drug reactions)</w:t>
      </w:r>
      <w:bookmarkEnd w:id="213"/>
      <w:bookmarkEnd w:id="214"/>
      <w:bookmarkEnd w:id="215"/>
      <w:bookmarkEnd w:id="216"/>
    </w:p>
    <w:p w:rsidR="00B13321" w:rsidRPr="00DA7D87" w:rsidRDefault="00B13321" w:rsidP="008452BC">
      <w:pPr>
        <w:pStyle w:val="Heading5"/>
      </w:pPr>
      <w:bookmarkStart w:id="217" w:name="_Toc376461171"/>
      <w:r w:rsidRPr="00DA7D87">
        <w:t>Pivotal studies</w:t>
      </w:r>
      <w:bookmarkEnd w:id="217"/>
    </w:p>
    <w:p w:rsidR="00B13321" w:rsidRPr="00DA7D87" w:rsidRDefault="00B13321" w:rsidP="00813832">
      <w:r w:rsidRPr="00DA7D87">
        <w:t xml:space="preserve">The incidences of any </w:t>
      </w:r>
      <w:r>
        <w:t>treatment-related</w:t>
      </w:r>
      <w:r w:rsidRPr="00DA7D87">
        <w:t xml:space="preserve"> AEs were comparable among the pooled treatment groups (6% </w:t>
      </w:r>
      <w:r>
        <w:t>(</w:t>
      </w:r>
      <w:r w:rsidRPr="00DA7D87">
        <w:t>31/555</w:t>
      </w:r>
      <w:r>
        <w:t>)</w:t>
      </w:r>
      <w:r w:rsidRPr="00DA7D87">
        <w:t xml:space="preserve">, 6% </w:t>
      </w:r>
      <w:r>
        <w:t>(</w:t>
      </w:r>
      <w:r w:rsidRPr="00DA7D87">
        <w:t>52/842</w:t>
      </w:r>
      <w:r>
        <w:t>)</w:t>
      </w:r>
      <w:r w:rsidRPr="00DA7D87">
        <w:t xml:space="preserve">, 7% </w:t>
      </w:r>
      <w:r>
        <w:t>(</w:t>
      </w:r>
      <w:r w:rsidRPr="00DA7D87">
        <w:t>62/832</w:t>
      </w:r>
      <w:r>
        <w:t>)</w:t>
      </w:r>
      <w:r w:rsidRPr="00DA7D87">
        <w:t xml:space="preserve">, 8% </w:t>
      </w:r>
      <w:r>
        <w:t>(</w:t>
      </w:r>
      <w:r w:rsidRPr="00DA7D87">
        <w:t>34/418</w:t>
      </w:r>
      <w:r>
        <w:t>)</w:t>
      </w:r>
      <w:r w:rsidRPr="00DA7D87">
        <w:t xml:space="preserve">, 10% </w:t>
      </w:r>
      <w:r>
        <w:t>(</w:t>
      </w:r>
      <w:r w:rsidRPr="00DA7D87">
        <w:t>62/629</w:t>
      </w:r>
      <w:r>
        <w:t>)</w:t>
      </w:r>
      <w:r w:rsidRPr="00DA7D87">
        <w:t xml:space="preserve">, 7% </w:t>
      </w:r>
      <w:r>
        <w:t>(</w:t>
      </w:r>
      <w:r w:rsidRPr="00DA7D87">
        <w:t>68/1034</w:t>
      </w:r>
      <w:r>
        <w:t>)</w:t>
      </w:r>
      <w:r w:rsidRPr="00DA7D87">
        <w:t xml:space="preserve">, and 5% </w:t>
      </w:r>
      <w:r>
        <w:t>(</w:t>
      </w:r>
      <w:r w:rsidRPr="00DA7D87">
        <w:t>23/423</w:t>
      </w:r>
      <w:r>
        <w:t>)</w:t>
      </w:r>
      <w:r w:rsidRPr="00DA7D87">
        <w:t xml:space="preserve">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No </w:t>
      </w:r>
      <w:r>
        <w:t>treatment-related</w:t>
      </w:r>
      <w:r w:rsidRPr="00DA7D87">
        <w:t xml:space="preserve"> AEs by preferred term </w:t>
      </w:r>
      <w:proofErr w:type="gramStart"/>
      <w:r w:rsidRPr="00DA7D87">
        <w:t>was</w:t>
      </w:r>
      <w:proofErr w:type="gramEnd"/>
      <w:r w:rsidRPr="00DA7D87">
        <w:t xml:space="preserve"> reported in </w:t>
      </w:r>
      <w:r>
        <w:t xml:space="preserve">≥ </w:t>
      </w:r>
      <w:r w:rsidRPr="00DA7D87">
        <w:t xml:space="preserve">3% of subjects in any treatment group. No </w:t>
      </w:r>
      <w:r>
        <w:t>treatment-related</w:t>
      </w:r>
      <w:r w:rsidRPr="00DA7D87">
        <w:t xml:space="preserve"> AEs by preferred term </w:t>
      </w:r>
      <w:proofErr w:type="gramStart"/>
      <w:r w:rsidRPr="00DA7D87">
        <w:t>was</w:t>
      </w:r>
      <w:proofErr w:type="gramEnd"/>
      <w:r w:rsidRPr="00DA7D87">
        <w:t xml:space="preserve"> reported in </w:t>
      </w:r>
      <w:r>
        <w:t xml:space="preserve">≥ </w:t>
      </w:r>
      <w:r w:rsidRPr="00DA7D87">
        <w:t>1% of subject</w:t>
      </w:r>
      <w:r>
        <w:t>s in the pooled UMEC/VI 62.5/25 µg</w:t>
      </w:r>
      <w:r w:rsidRPr="00DA7D87">
        <w:t xml:space="preserve"> group. In the pooled UMEC/VI 125/25 </w:t>
      </w:r>
      <w:r>
        <w:t>µg</w:t>
      </w:r>
      <w:r w:rsidRPr="00DA7D87">
        <w:t xml:space="preserve"> group, the most commonly reported </w:t>
      </w:r>
      <w:r>
        <w:t>treatment-related</w:t>
      </w:r>
      <w:r w:rsidRPr="00DA7D87">
        <w:t xml:space="preserve"> AEs by preferred term were dry mouth (&lt;1%, &lt;1%, 1%, 0%, &lt;1%, &lt;1% and 1%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and cough (&lt;1%, &lt;1%, 1%, &lt;1%, 1%, &lt;1% and &lt;1%, respectively)</w:t>
      </w:r>
      <w:r>
        <w:t>.</w:t>
      </w:r>
    </w:p>
    <w:p w:rsidR="00B13321" w:rsidRPr="00DA7D87" w:rsidRDefault="00B13321" w:rsidP="00813832">
      <w:pPr>
        <w:pStyle w:val="Heading5"/>
      </w:pPr>
      <w:bookmarkStart w:id="218" w:name="_Toc376461172"/>
      <w:r w:rsidRPr="00DA7D87">
        <w:t>Other studies</w:t>
      </w:r>
      <w:bookmarkEnd w:id="218"/>
    </w:p>
    <w:p w:rsidR="00B13321" w:rsidRPr="00DA7D87" w:rsidRDefault="00B13321" w:rsidP="00813832">
      <w:pPr>
        <w:pStyle w:val="Heading6"/>
      </w:pPr>
      <w:r w:rsidRPr="00DA7D87">
        <w:t>Exercise tolerance studies (DB2114417 and DB2114418)</w:t>
      </w:r>
    </w:p>
    <w:p w:rsidR="00B13321" w:rsidRPr="00DA7D87" w:rsidRDefault="00B13321" w:rsidP="00813832">
      <w:r w:rsidRPr="00DA7D87">
        <w:t xml:space="preserve">The incidences of any </w:t>
      </w:r>
      <w:r>
        <w:t>treatment-related</w:t>
      </w:r>
      <w:r w:rsidRPr="00DA7D87">
        <w:t xml:space="preserve"> AEs were comparable among the pooled treatment groups (4% </w:t>
      </w:r>
      <w:r>
        <w:t>(</w:t>
      </w:r>
      <w:r w:rsidRPr="00DA7D87">
        <w:t>14/321</w:t>
      </w:r>
      <w:r>
        <w:t>)</w:t>
      </w:r>
      <w:r w:rsidRPr="00DA7D87">
        <w:t xml:space="preserve">, 4% </w:t>
      </w:r>
      <w:r>
        <w:t>(</w:t>
      </w:r>
      <w:r w:rsidRPr="00DA7D87">
        <w:t>12/282</w:t>
      </w:r>
      <w:r>
        <w:t>)</w:t>
      </w:r>
      <w:r w:rsidRPr="00DA7D87">
        <w:t xml:space="preserve">, 4% </w:t>
      </w:r>
      <w:r>
        <w:t>(</w:t>
      </w:r>
      <w:r w:rsidRPr="00DA7D87">
        <w:t>10/272</w:t>
      </w:r>
      <w:r>
        <w:t>)</w:t>
      </w:r>
      <w:r w:rsidRPr="00DA7D87">
        <w:t xml:space="preserve">, 0%, 4% </w:t>
      </w:r>
      <w:r>
        <w:t>(</w:t>
      </w:r>
      <w:r w:rsidRPr="00DA7D87">
        <w:t>4/91</w:t>
      </w:r>
      <w:r>
        <w:t>)</w:t>
      </w:r>
      <w:r w:rsidRPr="00DA7D87">
        <w:t xml:space="preserve">, and 4% </w:t>
      </w:r>
      <w:r>
        <w:t>(</w:t>
      </w:r>
      <w:r w:rsidRPr="00DA7D87">
        <w:t>5/140</w:t>
      </w:r>
      <w:r>
        <w:t>)</w:t>
      </w:r>
      <w:r w:rsidRPr="00DA7D87">
        <w:t xml:space="preserve">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No </w:t>
      </w:r>
      <w:r>
        <w:t>treatment-related</w:t>
      </w:r>
      <w:r w:rsidRPr="00DA7D87">
        <w:t xml:space="preserve"> AEs by preferred term were reported in </w:t>
      </w:r>
      <w:r>
        <w:t xml:space="preserve">≥ </w:t>
      </w:r>
      <w:r w:rsidRPr="00DA7D87">
        <w:t>3% of subjects in any tre</w:t>
      </w:r>
      <w:r>
        <w:t>atment group. No treatment-</w:t>
      </w:r>
      <w:r w:rsidRPr="00DA7D87">
        <w:t xml:space="preserve">related AEs by preferred term were reported in </w:t>
      </w:r>
      <w:r>
        <w:t xml:space="preserve">≥ </w:t>
      </w:r>
      <w:r w:rsidRPr="00DA7D87">
        <w:t xml:space="preserve">1% of subjects in the pooled UMEC/VI 62.5/25 </w:t>
      </w:r>
      <w:r>
        <w:t>µg</w:t>
      </w:r>
      <w:r w:rsidRPr="00DA7D87">
        <w:t xml:space="preserve"> group. In the pooled UMEC/VI 125/25 </w:t>
      </w:r>
      <w:r>
        <w:t>µg</w:t>
      </w:r>
      <w:r w:rsidRPr="00DA7D87">
        <w:t xml:space="preserve"> group, the m</w:t>
      </w:r>
      <w:r>
        <w:t>ost commonly reported treatment-</w:t>
      </w:r>
      <w:r w:rsidRPr="00DA7D87">
        <w:t xml:space="preserve">related AE by preferred term was cough (0%, 0%, 1%, 0%, 2%, and 0%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w:t>
      </w:r>
    </w:p>
    <w:p w:rsidR="00B13321" w:rsidRPr="00DA7D87" w:rsidRDefault="00B13321" w:rsidP="00813832">
      <w:pPr>
        <w:pStyle w:val="Heading6"/>
      </w:pPr>
      <w:r>
        <w:t>Long-term</w:t>
      </w:r>
      <w:r w:rsidRPr="00DA7D87">
        <w:t xml:space="preserve"> safety study (DB2113359)</w:t>
      </w:r>
    </w:p>
    <w:p w:rsidR="00B13321" w:rsidRPr="00DA7D87" w:rsidRDefault="00B13321" w:rsidP="00813832">
      <w:r>
        <w:t>The incidences of any treatment-</w:t>
      </w:r>
      <w:r w:rsidRPr="00DA7D87">
        <w:t xml:space="preserve">related AEs were comparable among the treatment groups (13% </w:t>
      </w:r>
      <w:r>
        <w:t>(</w:t>
      </w:r>
      <w:r w:rsidRPr="00DA7D87">
        <w:t>14/109</w:t>
      </w:r>
      <w:r>
        <w:t>)</w:t>
      </w:r>
      <w:r w:rsidRPr="00DA7D87">
        <w:t xml:space="preserve">, 12% </w:t>
      </w:r>
      <w:r>
        <w:t>(</w:t>
      </w:r>
      <w:r w:rsidRPr="00DA7D87">
        <w:t>28/227</w:t>
      </w:r>
      <w:r>
        <w:t>)</w:t>
      </w:r>
      <w:r w:rsidRPr="00DA7D87">
        <w:t xml:space="preserve"> and 12% </w:t>
      </w:r>
      <w:r>
        <w:t>(</w:t>
      </w:r>
      <w:r w:rsidRPr="00DA7D87">
        <w:t>26/226</w:t>
      </w:r>
      <w:r>
        <w:t>)</w:t>
      </w:r>
      <w:r w:rsidRPr="00DA7D87">
        <w:t xml:space="preserve"> in the </w:t>
      </w:r>
      <w:r w:rsidRPr="006F1512">
        <w:t>placebo</w:t>
      </w:r>
      <w:r w:rsidRPr="00DA7D87">
        <w:t xml:space="preserve">, UMEC 125 </w:t>
      </w:r>
      <w:r>
        <w:t>µg</w:t>
      </w:r>
      <w:r w:rsidRPr="00DA7D87">
        <w:t xml:space="preserve"> and UMEC/VI 125/25 </w:t>
      </w:r>
      <w:r>
        <w:t>µg</w:t>
      </w:r>
      <w:r w:rsidRPr="00DA7D87">
        <w:t xml:space="preserve"> groups, respectively). The m</w:t>
      </w:r>
      <w:r>
        <w:t>ost commonly reported treatment-</w:t>
      </w:r>
      <w:r w:rsidRPr="00DA7D87">
        <w:t xml:space="preserve">related AEs by </w:t>
      </w:r>
      <w:r w:rsidRPr="00DA7D87">
        <w:lastRenderedPageBreak/>
        <w:t xml:space="preserve">preferred term in the UMEC 125 </w:t>
      </w:r>
      <w:r>
        <w:t>µg</w:t>
      </w:r>
      <w:r w:rsidRPr="00DA7D87">
        <w:t xml:space="preserve"> or UMEC/VI 125/25 </w:t>
      </w:r>
      <w:r>
        <w:t>µg</w:t>
      </w:r>
      <w:r w:rsidRPr="00DA7D87">
        <w:t xml:space="preserve"> group was ventricular extra</w:t>
      </w:r>
      <w:r>
        <w:t xml:space="preserve"> </w:t>
      </w:r>
      <w:r w:rsidRPr="00DA7D87">
        <w:t xml:space="preserve">systoles (3% each in the </w:t>
      </w:r>
      <w:r>
        <w:t>PLA</w:t>
      </w:r>
      <w:r w:rsidRPr="00DA7D87">
        <w:t xml:space="preserve">, UMEC 125 </w:t>
      </w:r>
      <w:r>
        <w:t>µg</w:t>
      </w:r>
      <w:r w:rsidRPr="00DA7D87">
        <w:t xml:space="preserve"> and UMEC/VI 125/25 </w:t>
      </w:r>
      <w:r>
        <w:t>µg groups, respectively)</w:t>
      </w:r>
      <w:r w:rsidRPr="00DA7D87">
        <w:t>.</w:t>
      </w:r>
    </w:p>
    <w:p w:rsidR="00B13321" w:rsidRPr="00DA7D87" w:rsidRDefault="00B13321" w:rsidP="00813832">
      <w:pPr>
        <w:pStyle w:val="Heading4"/>
      </w:pPr>
      <w:bookmarkStart w:id="219" w:name="_Toc241374320"/>
      <w:bookmarkStart w:id="220" w:name="_Ref272333507"/>
      <w:bookmarkStart w:id="221" w:name="_Toc272414666"/>
      <w:bookmarkStart w:id="222" w:name="_Toc290846304"/>
      <w:bookmarkStart w:id="223" w:name="_Toc376461173"/>
      <w:r w:rsidRPr="00DA7D87">
        <w:t>Deaths and other serious adverse events</w:t>
      </w:r>
      <w:bookmarkEnd w:id="219"/>
      <w:bookmarkEnd w:id="220"/>
      <w:bookmarkEnd w:id="221"/>
      <w:bookmarkEnd w:id="222"/>
      <w:bookmarkEnd w:id="223"/>
    </w:p>
    <w:p w:rsidR="00B13321" w:rsidRPr="00DA7D87" w:rsidRDefault="00B13321" w:rsidP="00813832">
      <w:pPr>
        <w:pStyle w:val="Heading5"/>
      </w:pPr>
      <w:bookmarkStart w:id="224" w:name="_Toc376461174"/>
      <w:r w:rsidRPr="00DA7D87">
        <w:t>Pivotal studies</w:t>
      </w:r>
      <w:bookmarkEnd w:id="224"/>
    </w:p>
    <w:p w:rsidR="00B13321" w:rsidRDefault="00B13321" w:rsidP="00813832">
      <w:r w:rsidRPr="00DA7D87">
        <w:t>The incidences of deaths</w:t>
      </w:r>
      <w:r w:rsidRPr="001926DC">
        <w:rPr>
          <w:vertAlign w:val="superscript"/>
        </w:rPr>
        <w:footnoteReference w:id="59"/>
      </w:r>
      <w:r w:rsidRPr="00DA7D87">
        <w:t xml:space="preserve"> were comparable among the pooled treatment groups (&lt;1% </w:t>
      </w:r>
      <w:r>
        <w:t>(</w:t>
      </w:r>
      <w:r w:rsidRPr="00DA7D87">
        <w:t>2/555</w:t>
      </w:r>
      <w:r>
        <w:t>)</w:t>
      </w:r>
      <w:r w:rsidRPr="00DA7D87">
        <w:t xml:space="preserve">, &lt;1% </w:t>
      </w:r>
      <w:r>
        <w:t>(</w:t>
      </w:r>
      <w:r w:rsidRPr="00DA7D87">
        <w:t>5/842</w:t>
      </w:r>
      <w:r>
        <w:t>)</w:t>
      </w:r>
      <w:r w:rsidRPr="00DA7D87">
        <w:t xml:space="preserve">, &lt;1% </w:t>
      </w:r>
      <w:r>
        <w:t>(</w:t>
      </w:r>
      <w:r w:rsidRPr="00DA7D87">
        <w:t>1/832</w:t>
      </w:r>
      <w:r>
        <w:t>)</w:t>
      </w:r>
      <w:r w:rsidRPr="00DA7D87">
        <w:t xml:space="preserve">, &lt;1% </w:t>
      </w:r>
      <w:r>
        <w:t>(</w:t>
      </w:r>
      <w:r w:rsidRPr="00DA7D87">
        <w:t>3/418</w:t>
      </w:r>
      <w:r>
        <w:t>)</w:t>
      </w:r>
      <w:r w:rsidRPr="00DA7D87">
        <w:t xml:space="preserve">, &lt;1% </w:t>
      </w:r>
      <w:r>
        <w:t>(</w:t>
      </w:r>
      <w:r w:rsidRPr="00DA7D87">
        <w:t>2/629</w:t>
      </w:r>
      <w:r>
        <w:t>)</w:t>
      </w:r>
      <w:r w:rsidRPr="00DA7D87">
        <w:t xml:space="preserve">, &lt;1% </w:t>
      </w:r>
      <w:r>
        <w:t>(</w:t>
      </w:r>
      <w:r w:rsidRPr="00DA7D87">
        <w:t>6/1034</w:t>
      </w:r>
      <w:r>
        <w:t>)</w:t>
      </w:r>
      <w:r w:rsidRPr="00DA7D87">
        <w:t xml:space="preserve">, and &lt;1% </w:t>
      </w:r>
      <w:r>
        <w:t>(</w:t>
      </w:r>
      <w:r w:rsidRPr="00DA7D87">
        <w:t>2/423</w:t>
      </w:r>
      <w:r>
        <w:t>)</w:t>
      </w:r>
      <w:r w:rsidRPr="00DA7D87">
        <w:t xml:space="preserve">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Overall, the most frequently reported fatal AE was COPD, reported in 2 subjects (&lt;1%), 1 subject (&lt;1%) and 2 subjects (&lt;1%) in the UMEC/VI 62.5/25 </w:t>
      </w:r>
      <w:r>
        <w:t>µg</w:t>
      </w:r>
      <w:r w:rsidRPr="00DA7D87">
        <w:t xml:space="preserve">, UMEC 62.5 </w:t>
      </w:r>
      <w:r>
        <w:t>µg</w:t>
      </w:r>
      <w:r w:rsidRPr="00DA7D87">
        <w:t xml:space="preserve"> and VI 25 </w:t>
      </w:r>
      <w:r>
        <w:t>µg</w:t>
      </w:r>
      <w:r w:rsidRPr="00DA7D87">
        <w:t xml:space="preserve"> groups, respectively).</w:t>
      </w:r>
    </w:p>
    <w:p w:rsidR="00B13321" w:rsidRPr="00DA7D87" w:rsidRDefault="00B13321" w:rsidP="00813832">
      <w:r>
        <w:t>The incidence of on-</w:t>
      </w:r>
      <w:r w:rsidRPr="00DA7D87">
        <w:t xml:space="preserve">treatment SAEs was comparable among pooled treatment groups (5% </w:t>
      </w:r>
      <w:r>
        <w:t>(</w:t>
      </w:r>
      <w:r w:rsidRPr="00DA7D87">
        <w:t>26/555</w:t>
      </w:r>
      <w:r>
        <w:t>)</w:t>
      </w:r>
      <w:r w:rsidRPr="00DA7D87">
        <w:t xml:space="preserve">, 6% </w:t>
      </w:r>
      <w:r>
        <w:t>(</w:t>
      </w:r>
      <w:r w:rsidRPr="00DA7D87">
        <w:t>50/842</w:t>
      </w:r>
      <w:r>
        <w:t>)</w:t>
      </w:r>
      <w:r w:rsidRPr="00DA7D87">
        <w:t xml:space="preserve">, 5% </w:t>
      </w:r>
      <w:r>
        <w:t>(</w:t>
      </w:r>
      <w:r w:rsidRPr="00DA7D87">
        <w:t>43/832</w:t>
      </w:r>
      <w:r>
        <w:t>)</w:t>
      </w:r>
      <w:r w:rsidRPr="00DA7D87">
        <w:t xml:space="preserve">, 6% </w:t>
      </w:r>
      <w:r>
        <w:t>(</w:t>
      </w:r>
      <w:r w:rsidRPr="00DA7D87">
        <w:t>27/418</w:t>
      </w:r>
      <w:r>
        <w:t>)</w:t>
      </w:r>
      <w:r w:rsidRPr="00DA7D87">
        <w:t xml:space="preserve">, 6% </w:t>
      </w:r>
      <w:r>
        <w:t>(</w:t>
      </w:r>
      <w:r w:rsidRPr="00DA7D87">
        <w:t>37/629</w:t>
      </w:r>
      <w:r>
        <w:t>)</w:t>
      </w:r>
      <w:r w:rsidRPr="00DA7D87">
        <w:t xml:space="preserve">, 6% </w:t>
      </w:r>
      <w:r>
        <w:t>(</w:t>
      </w:r>
      <w:r w:rsidRPr="00DA7D87">
        <w:t>59/1034</w:t>
      </w:r>
      <w:r>
        <w:t>)</w:t>
      </w:r>
      <w:r w:rsidRPr="00DA7D87">
        <w:t xml:space="preserve">, and 5% </w:t>
      </w:r>
      <w:r>
        <w:t>(</w:t>
      </w:r>
      <w:r w:rsidRPr="00DA7D87">
        <w:t>22/423</w:t>
      </w:r>
      <w:r>
        <w:t>)</w:t>
      </w:r>
      <w:r w:rsidRPr="00DA7D87">
        <w:t xml:space="preserve">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w:t>
      </w:r>
      <w:r>
        <w:t>The most frequently reported on-</w:t>
      </w:r>
      <w:r w:rsidRPr="00DA7D87">
        <w:t xml:space="preserve">treatment SAE by preferred term in the UMEC/VI 62.5/25 </w:t>
      </w:r>
      <w:r>
        <w:t>µg</w:t>
      </w:r>
      <w:r w:rsidRPr="00DA7D87">
        <w:t xml:space="preserve"> or UMEC/VI 125/25 </w:t>
      </w:r>
      <w:r>
        <w:t>µg</w:t>
      </w:r>
      <w:r w:rsidRPr="00DA7D87">
        <w:t xml:space="preserve"> group was COPD (2%, 2%, 2%, 3%, &lt;</w:t>
      </w:r>
      <w:r>
        <w:t xml:space="preserve"> </w:t>
      </w:r>
      <w:r w:rsidRPr="00DA7D87">
        <w:t>1%, 1% and &lt;</w:t>
      </w:r>
      <w:r>
        <w:t xml:space="preserve"> </w:t>
      </w:r>
      <w:r w:rsidRPr="00DA7D87">
        <w:t xml:space="preserve">1%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w:t>
      </w:r>
      <w:r>
        <w:t>. The only on-</w:t>
      </w:r>
      <w:r w:rsidRPr="00DA7D87">
        <w:t>treatment SAE reported by 1% or more of subjects in any treatment group was COPD.</w:t>
      </w:r>
    </w:p>
    <w:p w:rsidR="00B13321" w:rsidRPr="00DA7D87" w:rsidRDefault="00B13321" w:rsidP="00813832">
      <w:r w:rsidRPr="00DA7D87">
        <w:t xml:space="preserve">The incidence of </w:t>
      </w:r>
      <w:r>
        <w:t>treatment-related</w:t>
      </w:r>
      <w:r w:rsidRPr="00DA7D87">
        <w:t xml:space="preserve"> SAEs was low across all treatment groups (0%, &lt;</w:t>
      </w:r>
      <w:r>
        <w:t xml:space="preserve"> </w:t>
      </w:r>
      <w:r w:rsidRPr="00DA7D87">
        <w:t xml:space="preserve">1% </w:t>
      </w:r>
      <w:r>
        <w:t>(</w:t>
      </w:r>
      <w:r w:rsidRPr="00DA7D87">
        <w:t>1/842</w:t>
      </w:r>
      <w:r>
        <w:t>)</w:t>
      </w:r>
      <w:r w:rsidRPr="00DA7D87">
        <w:t>, 0%, &lt;</w:t>
      </w:r>
      <w:r>
        <w:t xml:space="preserve"> </w:t>
      </w:r>
      <w:r w:rsidRPr="00DA7D87">
        <w:t xml:space="preserve">1% </w:t>
      </w:r>
      <w:r>
        <w:t>(</w:t>
      </w:r>
      <w:r w:rsidRPr="00DA7D87">
        <w:t>1/418</w:t>
      </w:r>
      <w:r>
        <w:t>)</w:t>
      </w:r>
      <w:r w:rsidRPr="00DA7D87">
        <w:t>, &lt;</w:t>
      </w:r>
      <w:r>
        <w:t xml:space="preserve"> </w:t>
      </w:r>
      <w:r w:rsidRPr="00DA7D87">
        <w:t xml:space="preserve">1% </w:t>
      </w:r>
      <w:r>
        <w:t>(</w:t>
      </w:r>
      <w:r w:rsidRPr="00DA7D87">
        <w:t>2/629</w:t>
      </w:r>
      <w:r>
        <w:t>)</w:t>
      </w:r>
      <w:r w:rsidRPr="00DA7D87">
        <w:t>, &lt;</w:t>
      </w:r>
      <w:r>
        <w:t xml:space="preserve"> </w:t>
      </w:r>
      <w:r w:rsidRPr="00DA7D87">
        <w:t xml:space="preserve">1% </w:t>
      </w:r>
      <w:r>
        <w:t>(</w:t>
      </w:r>
      <w:r w:rsidRPr="00DA7D87">
        <w:t>4/1034</w:t>
      </w:r>
      <w:r>
        <w:t>)</w:t>
      </w:r>
      <w:r w:rsidRPr="00DA7D87">
        <w:t xml:space="preserve">, and 0% in the pooled </w:t>
      </w:r>
      <w:r w:rsidRPr="006F151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 groups, respectively). No on-treatment treatment-</w:t>
      </w:r>
      <w:r w:rsidRPr="00DA7D87">
        <w:t xml:space="preserve">related SAE (by preferred term) was reported for more than 1 </w:t>
      </w:r>
      <w:r>
        <w:t>subject in any treatment group.</w:t>
      </w:r>
    </w:p>
    <w:p w:rsidR="00B13321" w:rsidRPr="00DA7D87" w:rsidRDefault="00B13321" w:rsidP="00813832">
      <w:pPr>
        <w:pStyle w:val="Heading5"/>
      </w:pPr>
      <w:bookmarkStart w:id="225" w:name="_Toc376461175"/>
      <w:r w:rsidRPr="00DA7D87">
        <w:t>Other studies</w:t>
      </w:r>
      <w:bookmarkEnd w:id="225"/>
    </w:p>
    <w:p w:rsidR="00B13321" w:rsidRPr="00DA7D87" w:rsidRDefault="00B13321" w:rsidP="00813832">
      <w:pPr>
        <w:pStyle w:val="Heading6"/>
      </w:pPr>
      <w:r w:rsidRPr="00DA7D87">
        <w:t>Exercise tolerance studies (DB2114417 and DB2114418)</w:t>
      </w:r>
    </w:p>
    <w:p w:rsidR="00B13321" w:rsidRPr="00DA7D87" w:rsidRDefault="00B13321" w:rsidP="00813832">
      <w:r w:rsidRPr="00DA7D87">
        <w:t>Overall, two deaths were reported in studies DB214417 and</w:t>
      </w:r>
      <w:r w:rsidR="00387A80">
        <w:t xml:space="preserve"> DB2114418, one in the UMEC 125 </w:t>
      </w:r>
      <w:r>
        <w:t>µg</w:t>
      </w:r>
      <w:r w:rsidRPr="00DA7D87">
        <w:t xml:space="preserve"> group (study DB214417; PT of death; the event was not considered to be related to study drug by the investigator) and one in the UMEC/VI 62.5/25 </w:t>
      </w:r>
      <w:r>
        <w:t>µg</w:t>
      </w:r>
      <w:r w:rsidRPr="00DA7D87">
        <w:t xml:space="preserve"> group (study DB214418; PT of lung neoplasm malignant and metastases to central nervous system; the event was not considered to be related to study drug by the investigator).</w:t>
      </w:r>
    </w:p>
    <w:p w:rsidR="00B13321" w:rsidRPr="00DA7D87" w:rsidRDefault="00B13321" w:rsidP="00813832">
      <w:r>
        <w:t>The incidence of on-</w:t>
      </w:r>
      <w:r w:rsidRPr="00DA7D87">
        <w:t xml:space="preserve">treatment SAEs was comparable among pooled treatment groups (3% </w:t>
      </w:r>
      <w:r>
        <w:t>(</w:t>
      </w:r>
      <w:r w:rsidRPr="00DA7D87">
        <w:t>10/321</w:t>
      </w:r>
      <w:r>
        <w:t>)</w:t>
      </w:r>
      <w:r w:rsidRPr="00DA7D87">
        <w:t xml:space="preserve">, 2% </w:t>
      </w:r>
      <w:r>
        <w:t>(</w:t>
      </w:r>
      <w:r w:rsidRPr="00DA7D87">
        <w:t>7/282</w:t>
      </w:r>
      <w:r>
        <w:t>)</w:t>
      </w:r>
      <w:r w:rsidRPr="00DA7D87">
        <w:t xml:space="preserve">, 3% </w:t>
      </w:r>
      <w:r>
        <w:t>(</w:t>
      </w:r>
      <w:r w:rsidRPr="00DA7D87">
        <w:t>9/272</w:t>
      </w:r>
      <w:r>
        <w:t>)</w:t>
      </w:r>
      <w:r w:rsidRPr="00DA7D87">
        <w:t xml:space="preserve">, 1% </w:t>
      </w:r>
      <w:r>
        <w:t>(</w:t>
      </w:r>
      <w:r w:rsidRPr="00DA7D87">
        <w:t>1/89</w:t>
      </w:r>
      <w:r>
        <w:t>)</w:t>
      </w:r>
      <w:r w:rsidRPr="00DA7D87">
        <w:t xml:space="preserve">, 4% </w:t>
      </w:r>
      <w:r>
        <w:t>(</w:t>
      </w:r>
      <w:r w:rsidRPr="00DA7D87">
        <w:t>4/91</w:t>
      </w:r>
      <w:r>
        <w:t>)</w:t>
      </w:r>
      <w:r w:rsidRPr="00DA7D87">
        <w:t xml:space="preserve">, and 6% </w:t>
      </w:r>
      <w:r>
        <w:t>(</w:t>
      </w:r>
      <w:r w:rsidRPr="00DA7D87">
        <w:t>9/140</w:t>
      </w:r>
      <w:r>
        <w:t>)</w:t>
      </w:r>
      <w:r w:rsidRPr="00DA7D87">
        <w:t xml:space="preserve"> in the pooled </w:t>
      </w:r>
      <w:r w:rsidRPr="004F488C">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No </w:t>
      </w:r>
      <w:r>
        <w:t>on-treatment</w:t>
      </w:r>
      <w:r w:rsidRPr="00DA7D87">
        <w:t xml:space="preserve"> SAEs by preferred term was reported in </w:t>
      </w:r>
      <w:r>
        <w:t xml:space="preserve">≥ </w:t>
      </w:r>
      <w:r w:rsidRPr="00DA7D87">
        <w:t xml:space="preserve">1% of subjects in the UMEC/VI 62.5/25 </w:t>
      </w:r>
      <w:r>
        <w:t>µg</w:t>
      </w:r>
      <w:r w:rsidRPr="00DA7D87">
        <w:t xml:space="preserve"> group. In the UMEC/VI 125/25 </w:t>
      </w:r>
      <w:r>
        <w:t>µg</w:t>
      </w:r>
      <w:r w:rsidRPr="00DA7D87">
        <w:t xml:space="preserve"> the most commonly reported </w:t>
      </w:r>
      <w:r>
        <w:t>on treatment</w:t>
      </w:r>
      <w:r w:rsidRPr="00DA7D87">
        <w:t xml:space="preserve"> SAEs by preferred term was COPD (&lt;</w:t>
      </w:r>
      <w:r>
        <w:t xml:space="preserve"> </w:t>
      </w:r>
      <w:r w:rsidRPr="00DA7D87">
        <w:t xml:space="preserve">1%, 0%, 1%, 0%, 0%, and 0% in the pooled </w:t>
      </w:r>
      <w:r w:rsidRPr="004F488C">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w:t>
      </w:r>
      <w:r>
        <w:t xml:space="preserve"> </w:t>
      </w:r>
      <w:r w:rsidRPr="00DA7D87">
        <w:t xml:space="preserve">Overall, only one subject had an </w:t>
      </w:r>
      <w:r>
        <w:t>on-treatment</w:t>
      </w:r>
      <w:r w:rsidRPr="00DA7D87">
        <w:t xml:space="preserve"> drug-related SAE (VI 25 </w:t>
      </w:r>
      <w:r>
        <w:t>µg</w:t>
      </w:r>
      <w:r w:rsidRPr="00DA7D87">
        <w:t xml:space="preserve"> treatment group; PT of </w:t>
      </w:r>
      <w:proofErr w:type="spellStart"/>
      <w:r w:rsidRPr="00DA7D87">
        <w:t>leukocytoclastic</w:t>
      </w:r>
      <w:proofErr w:type="spellEnd"/>
      <w:r w:rsidRPr="00DA7D87">
        <w:t xml:space="preserve"> vasculitis).</w:t>
      </w:r>
    </w:p>
    <w:p w:rsidR="00B13321" w:rsidRPr="00DA7D87" w:rsidRDefault="00B13321" w:rsidP="00813832">
      <w:pPr>
        <w:pStyle w:val="Heading6"/>
      </w:pPr>
      <w:r>
        <w:t>Long term</w:t>
      </w:r>
      <w:r w:rsidRPr="00DA7D87">
        <w:t xml:space="preserve"> safety study (DB2113359)</w:t>
      </w:r>
    </w:p>
    <w:p w:rsidR="00B13321" w:rsidRPr="00DA7D87" w:rsidRDefault="00B13321" w:rsidP="00813832">
      <w:r w:rsidRPr="00DA7D87">
        <w:t xml:space="preserve">A total of 5 </w:t>
      </w:r>
      <w:r>
        <w:t>on-treatment or post-</w:t>
      </w:r>
      <w:r w:rsidRPr="00DA7D87">
        <w:t xml:space="preserve">treatment fatal AEs were reported among 5 subjects in study DB2113359: 1 in the </w:t>
      </w:r>
      <w:r w:rsidRPr="004F488C">
        <w:t>placebo</w:t>
      </w:r>
      <w:r w:rsidRPr="00DA7D87">
        <w:t xml:space="preserve"> group (&lt;</w:t>
      </w:r>
      <w:r>
        <w:t xml:space="preserve"> </w:t>
      </w:r>
      <w:r w:rsidRPr="00DA7D87">
        <w:t xml:space="preserve">1%) and 4 in the UMEC 125 </w:t>
      </w:r>
      <w:r>
        <w:t>µg</w:t>
      </w:r>
      <w:r w:rsidRPr="00DA7D87">
        <w:t xml:space="preserve"> group (2%). None of the fatal AEs were considered related to study drug by the investigator.</w:t>
      </w:r>
    </w:p>
    <w:p w:rsidR="00B13321" w:rsidRPr="00DA7D87" w:rsidRDefault="00B13321" w:rsidP="00813832">
      <w:r w:rsidRPr="00DA7D87">
        <w:lastRenderedPageBreak/>
        <w:t xml:space="preserve">The incidence of </w:t>
      </w:r>
      <w:r>
        <w:t>on-treatment</w:t>
      </w:r>
      <w:r w:rsidRPr="00DA7D87">
        <w:t xml:space="preserve"> SAEs was comparable among treatment groups (6% </w:t>
      </w:r>
      <w:r>
        <w:t>(</w:t>
      </w:r>
      <w:r w:rsidRPr="00DA7D87">
        <w:t>7/109</w:t>
      </w:r>
      <w:r>
        <w:t>)</w:t>
      </w:r>
      <w:r w:rsidRPr="00DA7D87">
        <w:t xml:space="preserve">, 7% </w:t>
      </w:r>
      <w:r>
        <w:t>(</w:t>
      </w:r>
      <w:r w:rsidRPr="00DA7D87">
        <w:t>17/227</w:t>
      </w:r>
      <w:r>
        <w:t>)</w:t>
      </w:r>
      <w:r w:rsidRPr="00DA7D87">
        <w:t xml:space="preserve"> and 6% </w:t>
      </w:r>
      <w:r>
        <w:t>(</w:t>
      </w:r>
      <w:r w:rsidRPr="00DA7D87">
        <w:t>14/226</w:t>
      </w:r>
      <w:r>
        <w:t>)</w:t>
      </w:r>
      <w:r w:rsidRPr="00DA7D87">
        <w:t xml:space="preserve"> in the </w:t>
      </w:r>
      <w:r w:rsidRPr="004F488C">
        <w:t>placebo</w:t>
      </w:r>
      <w:r w:rsidRPr="00DA7D87">
        <w:t xml:space="preserve">, UMEC 125 </w:t>
      </w:r>
      <w:r>
        <w:t>µg</w:t>
      </w:r>
      <w:r w:rsidRPr="00DA7D87">
        <w:t xml:space="preserve"> and UMEC/VI 125/25 </w:t>
      </w:r>
      <w:r>
        <w:t>µg</w:t>
      </w:r>
      <w:r w:rsidRPr="00DA7D87">
        <w:t xml:space="preserve"> groups, respectively). The only </w:t>
      </w:r>
      <w:r>
        <w:t>on-treatment</w:t>
      </w:r>
      <w:r w:rsidRPr="00DA7D87">
        <w:t xml:space="preserve"> SAE by preferred term reported for &gt; 1% of subjects in any treatment group was COPD (3%, 2% and &lt;</w:t>
      </w:r>
      <w:r>
        <w:t xml:space="preserve"> </w:t>
      </w:r>
      <w:r w:rsidRPr="00DA7D87">
        <w:t xml:space="preserve">1% in the </w:t>
      </w:r>
      <w:r w:rsidRPr="004F488C">
        <w:t>placebo</w:t>
      </w:r>
      <w:r w:rsidRPr="00DA7D87">
        <w:t xml:space="preserve">, UMEC 125 </w:t>
      </w:r>
      <w:r>
        <w:t>µg</w:t>
      </w:r>
      <w:r w:rsidRPr="00DA7D87">
        <w:t xml:space="preserve"> and UMEC/VI 125/25 </w:t>
      </w:r>
      <w:r>
        <w:t>µg</w:t>
      </w:r>
      <w:r w:rsidRPr="00DA7D87">
        <w:t xml:space="preserve"> groups, respectively). Overall, only one subject had an </w:t>
      </w:r>
      <w:r>
        <w:t>on-treatment drug-</w:t>
      </w:r>
      <w:r w:rsidRPr="00DA7D87">
        <w:t xml:space="preserve">related SAE (UMEC 125 </w:t>
      </w:r>
      <w:r>
        <w:t>µg</w:t>
      </w:r>
      <w:r w:rsidRPr="00DA7D87">
        <w:t xml:space="preserve"> treatment group; PT of rhythm </w:t>
      </w:r>
      <w:proofErr w:type="spellStart"/>
      <w:r w:rsidRPr="00DA7D87">
        <w:t>idioventricular</w:t>
      </w:r>
      <w:proofErr w:type="spellEnd"/>
      <w:r w:rsidRPr="00DA7D87">
        <w:t>).</w:t>
      </w:r>
    </w:p>
    <w:p w:rsidR="00B13321" w:rsidRPr="00DA7D87" w:rsidRDefault="00B13321" w:rsidP="00813832">
      <w:pPr>
        <w:pStyle w:val="Heading4"/>
      </w:pPr>
      <w:bookmarkStart w:id="226" w:name="_Toc241374325"/>
      <w:bookmarkStart w:id="227" w:name="_Ref272333477"/>
      <w:bookmarkStart w:id="228" w:name="_Toc272414667"/>
      <w:bookmarkStart w:id="229" w:name="_Toc290846305"/>
      <w:bookmarkStart w:id="230" w:name="_Toc376461176"/>
      <w:r w:rsidRPr="00DA7D87">
        <w:t>Discontinuation due to adverse events</w:t>
      </w:r>
      <w:bookmarkEnd w:id="226"/>
      <w:bookmarkEnd w:id="227"/>
      <w:bookmarkEnd w:id="228"/>
      <w:bookmarkEnd w:id="229"/>
      <w:bookmarkEnd w:id="230"/>
    </w:p>
    <w:p w:rsidR="00B13321" w:rsidRPr="00DA7D87" w:rsidRDefault="00B13321" w:rsidP="00813832">
      <w:pPr>
        <w:pStyle w:val="Heading5"/>
      </w:pPr>
      <w:bookmarkStart w:id="231" w:name="_Toc376461177"/>
      <w:r w:rsidRPr="00DA7D87">
        <w:t>Pivotal studies</w:t>
      </w:r>
      <w:bookmarkEnd w:id="231"/>
    </w:p>
    <w:p w:rsidR="00B13321" w:rsidRPr="00DA7D87" w:rsidRDefault="00B13321" w:rsidP="00813832">
      <w:r w:rsidRPr="00DA7D87">
        <w:t xml:space="preserve">The incidence of any AEs resulting in discontinuation of study drug or withdrawal from study was comparable among pooled treatment groups (5% </w:t>
      </w:r>
      <w:r>
        <w:t>(</w:t>
      </w:r>
      <w:r w:rsidRPr="00DA7D87">
        <w:t>26/555</w:t>
      </w:r>
      <w:r>
        <w:t>)</w:t>
      </w:r>
      <w:r w:rsidRPr="00DA7D87">
        <w:t xml:space="preserve">, 6% </w:t>
      </w:r>
      <w:r>
        <w:t>(</w:t>
      </w:r>
      <w:r w:rsidRPr="00DA7D87">
        <w:t>50/842</w:t>
      </w:r>
      <w:r>
        <w:t>)</w:t>
      </w:r>
      <w:r w:rsidRPr="00DA7D87">
        <w:t xml:space="preserve">, 6% </w:t>
      </w:r>
      <w:r>
        <w:t>(</w:t>
      </w:r>
      <w:r w:rsidRPr="00DA7D87">
        <w:t>47/832</w:t>
      </w:r>
      <w:r>
        <w:t>)</w:t>
      </w:r>
      <w:r w:rsidRPr="00DA7D87">
        <w:t xml:space="preserve">, 7% </w:t>
      </w:r>
      <w:r>
        <w:t>(</w:t>
      </w:r>
      <w:r w:rsidRPr="00DA7D87">
        <w:t>31/418</w:t>
      </w:r>
      <w:r>
        <w:t>)</w:t>
      </w:r>
      <w:r w:rsidRPr="00DA7D87">
        <w:t xml:space="preserve">, 7% </w:t>
      </w:r>
      <w:r>
        <w:t>(</w:t>
      </w:r>
      <w:r w:rsidRPr="00DA7D87">
        <w:t>41/629</w:t>
      </w:r>
      <w:r>
        <w:t>)</w:t>
      </w:r>
      <w:r w:rsidRPr="00DA7D87">
        <w:t xml:space="preserve">, 6% </w:t>
      </w:r>
      <w:r>
        <w:t>(</w:t>
      </w:r>
      <w:r w:rsidRPr="00DA7D87">
        <w:t>59/1034</w:t>
      </w:r>
      <w:r>
        <w:t>)</w:t>
      </w:r>
      <w:r w:rsidRPr="00DA7D87">
        <w:t xml:space="preserve">, and 5% </w:t>
      </w:r>
      <w:r>
        <w:t>(</w:t>
      </w:r>
      <w:r w:rsidRPr="00DA7D87">
        <w:t>20/423</w:t>
      </w:r>
      <w:r>
        <w:t>)</w:t>
      </w:r>
      <w:r w:rsidRPr="00DA7D87">
        <w:t xml:space="preserve"> in the pooled </w:t>
      </w:r>
      <w:r w:rsidRPr="004F488C">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The most frequently reported AEs resulting in discontinuation of study drug or withdrawal from study in the UMEC/VI 62.5/25 </w:t>
      </w:r>
      <w:r>
        <w:t>µg</w:t>
      </w:r>
      <w:r w:rsidRPr="00DA7D87">
        <w:t xml:space="preserve"> or UMEC/VI 125/25 </w:t>
      </w:r>
      <w:r>
        <w:t>µg</w:t>
      </w:r>
      <w:r w:rsidRPr="00DA7D87">
        <w:t xml:space="preserve"> group was COPD (3%, 2%, 2%, 3%, 1%, 1% and &lt;</w:t>
      </w:r>
      <w:r>
        <w:t xml:space="preserve"> </w:t>
      </w:r>
      <w:r w:rsidRPr="00DA7D87">
        <w:t xml:space="preserve">1% in the pooled </w:t>
      </w:r>
      <w:r w:rsidRPr="004F488C">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w:t>
      </w:r>
    </w:p>
    <w:p w:rsidR="00B13321" w:rsidRPr="00DA7D87" w:rsidRDefault="00B13321" w:rsidP="00813832">
      <w:pPr>
        <w:pStyle w:val="Heading5"/>
      </w:pPr>
      <w:bookmarkStart w:id="232" w:name="_Toc376461178"/>
      <w:r w:rsidRPr="00DA7D87">
        <w:t>Other studies</w:t>
      </w:r>
      <w:bookmarkEnd w:id="232"/>
    </w:p>
    <w:p w:rsidR="00B13321" w:rsidRPr="00DA7D87" w:rsidRDefault="00B13321" w:rsidP="00813832">
      <w:pPr>
        <w:pStyle w:val="Heading6"/>
      </w:pPr>
      <w:r w:rsidRPr="00DA7D87">
        <w:t>Exercise tolerance studies (DB2114417 and DB2114418)</w:t>
      </w:r>
      <w:r>
        <w:t>.</w:t>
      </w:r>
    </w:p>
    <w:p w:rsidR="00B13321" w:rsidRPr="00DA7D87" w:rsidRDefault="00B13321" w:rsidP="00813832">
      <w:r w:rsidRPr="00DA7D87">
        <w:t xml:space="preserve">The incidence of any AEs resulting in discontinuation of study drug or withdrawal from study was comparable among pooled treatment groups (5% </w:t>
      </w:r>
      <w:r>
        <w:t>(</w:t>
      </w:r>
      <w:r w:rsidRPr="00DA7D87">
        <w:t>17/321</w:t>
      </w:r>
      <w:r>
        <w:t>)</w:t>
      </w:r>
      <w:r w:rsidRPr="00DA7D87">
        <w:t xml:space="preserve">, 4% </w:t>
      </w:r>
      <w:r>
        <w:t>(</w:t>
      </w:r>
      <w:r w:rsidRPr="00DA7D87">
        <w:t>10/282</w:t>
      </w:r>
      <w:r>
        <w:t>)</w:t>
      </w:r>
      <w:r w:rsidRPr="00DA7D87">
        <w:t xml:space="preserve">, 3% </w:t>
      </w:r>
      <w:r>
        <w:t>(</w:t>
      </w:r>
      <w:r w:rsidRPr="00DA7D87">
        <w:t>7/272</w:t>
      </w:r>
      <w:r>
        <w:t>)</w:t>
      </w:r>
      <w:r w:rsidRPr="00DA7D87">
        <w:t xml:space="preserve">, 2% </w:t>
      </w:r>
      <w:r>
        <w:t>(</w:t>
      </w:r>
      <w:r w:rsidRPr="00DA7D87">
        <w:t>2/89</w:t>
      </w:r>
      <w:r>
        <w:t>)</w:t>
      </w:r>
      <w:r w:rsidRPr="00DA7D87">
        <w:t xml:space="preserve">, 3% </w:t>
      </w:r>
      <w:r>
        <w:t>(</w:t>
      </w:r>
      <w:r w:rsidRPr="00DA7D87">
        <w:t>3/91</w:t>
      </w:r>
      <w:r>
        <w:t>)</w:t>
      </w:r>
      <w:r w:rsidRPr="00DA7D87">
        <w:t xml:space="preserve">, and 5% </w:t>
      </w:r>
      <w:r>
        <w:t>(</w:t>
      </w:r>
      <w:r w:rsidRPr="00DA7D87">
        <w:t>7/140</w:t>
      </w:r>
      <w:r>
        <w:t>)</w:t>
      </w:r>
      <w:r w:rsidRPr="00DA7D87">
        <w:t xml:space="preserve"> in the pooled </w:t>
      </w:r>
      <w:r w:rsidRPr="004F488C">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No AEs resulting in discontinuation of study drug or withdrawal from study by preferred term was reported in </w:t>
      </w:r>
      <w:r w:rsidR="00387A80">
        <w:t>≥ </w:t>
      </w:r>
      <w:r w:rsidRPr="00DA7D87">
        <w:t xml:space="preserve">1% of subjects in the UMEC/VI 62.5/25 </w:t>
      </w:r>
      <w:r>
        <w:t>µg</w:t>
      </w:r>
      <w:r w:rsidRPr="00DA7D87">
        <w:t xml:space="preserve"> group. In the UMEC/VI 125/25 </w:t>
      </w:r>
      <w:r>
        <w:t>µg</w:t>
      </w:r>
      <w:r w:rsidRPr="00DA7D87">
        <w:t xml:space="preserve"> group, the most commonly reported AE resulting in discontinuation of study drug or withdrawal from study by preferred term was COPD (&lt;</w:t>
      </w:r>
      <w:r>
        <w:t xml:space="preserve"> </w:t>
      </w:r>
      <w:r w:rsidRPr="00DA7D87">
        <w:t xml:space="preserve">1%, 0%, 1%, 0%, 0%, and 0% in the pooled </w:t>
      </w:r>
      <w:r w:rsidRPr="004F488C">
        <w:t>placebo</w:t>
      </w:r>
      <w:r w:rsidRPr="00DA7D87">
        <w:t>, U</w:t>
      </w:r>
      <w:r>
        <w:t>MEC/VI 62.5/25 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w:t>
      </w:r>
    </w:p>
    <w:p w:rsidR="00B13321" w:rsidRPr="00DA7D87" w:rsidRDefault="00B13321" w:rsidP="00813832">
      <w:pPr>
        <w:pStyle w:val="Heading6"/>
      </w:pPr>
      <w:r>
        <w:t>Long-term</w:t>
      </w:r>
      <w:r w:rsidRPr="00DA7D87">
        <w:t xml:space="preserve"> safety study (DB2113359)</w:t>
      </w:r>
    </w:p>
    <w:p w:rsidR="00B13321" w:rsidRPr="00DA7D87" w:rsidRDefault="00B13321" w:rsidP="00813832">
      <w:r w:rsidRPr="00DA7D87">
        <w:t xml:space="preserve">The incidence of any AEs resulting in discontinuation of study drug or withdrawal from study was comparable among treatment </w:t>
      </w:r>
      <w:r w:rsidRPr="004F488C">
        <w:t>groups (1</w:t>
      </w:r>
      <w:r w:rsidR="00DD5BB1">
        <w:t>1</w:t>
      </w:r>
      <w:r w:rsidRPr="004F488C">
        <w:t>% (1</w:t>
      </w:r>
      <w:r w:rsidR="00DD5BB1">
        <w:t>2</w:t>
      </w:r>
      <w:r w:rsidRPr="004F488C">
        <w:t>/109), 9</w:t>
      </w:r>
      <w:r w:rsidRPr="00DA7D87">
        <w:t xml:space="preserve">% </w:t>
      </w:r>
      <w:r>
        <w:t>(</w:t>
      </w:r>
      <w:r w:rsidRPr="00DA7D87">
        <w:t>21/227</w:t>
      </w:r>
      <w:r>
        <w:t>)</w:t>
      </w:r>
      <w:r w:rsidRPr="00DA7D87">
        <w:t xml:space="preserve"> and 8% </w:t>
      </w:r>
      <w:r>
        <w:t>(</w:t>
      </w:r>
      <w:r w:rsidRPr="00DA7D87">
        <w:t>17/226</w:t>
      </w:r>
      <w:r>
        <w:t>)</w:t>
      </w:r>
      <w:r w:rsidRPr="00DA7D87">
        <w:t xml:space="preserve"> in the </w:t>
      </w:r>
      <w:r w:rsidRPr="004F488C">
        <w:t>placebo</w:t>
      </w:r>
      <w:r w:rsidRPr="00DA7D87">
        <w:t xml:space="preserve">, UMEC 125 </w:t>
      </w:r>
      <w:r>
        <w:t>µg</w:t>
      </w:r>
      <w:r w:rsidRPr="00DA7D87">
        <w:t xml:space="preserve"> and UMEC/VI 125/25 </w:t>
      </w:r>
      <w:r>
        <w:t>µg</w:t>
      </w:r>
      <w:r w:rsidRPr="00DA7D87">
        <w:t xml:space="preserve"> groups, respectively). No AEs resulting in discontinuation of study drug or withdrawal from study by preferred term was reported in </w:t>
      </w:r>
      <w:r>
        <w:t>≥ </w:t>
      </w:r>
      <w:r w:rsidRPr="00DA7D87">
        <w:t xml:space="preserve">1% of subjects in the UMEC/VI 125/25 </w:t>
      </w:r>
      <w:r>
        <w:t>µg</w:t>
      </w:r>
      <w:r w:rsidRPr="00DA7D87">
        <w:t xml:space="preserve"> group. In the UMEC 125 </w:t>
      </w:r>
      <w:r>
        <w:t>µg</w:t>
      </w:r>
      <w:r w:rsidRPr="00DA7D87">
        <w:t xml:space="preserve"> group, the most commonly reported AEs resulting in discontinuation of study drug or withdrawal from study by preferred term was ventricular </w:t>
      </w:r>
      <w:proofErr w:type="spellStart"/>
      <w:r w:rsidRPr="00DA7D87">
        <w:t>extrasystoles</w:t>
      </w:r>
      <w:proofErr w:type="spellEnd"/>
      <w:r w:rsidRPr="00DA7D87">
        <w:t xml:space="preserve"> (&lt;</w:t>
      </w:r>
      <w:r>
        <w:t xml:space="preserve"> </w:t>
      </w:r>
      <w:r w:rsidRPr="00DA7D87">
        <w:t>1%, 2% and &lt;</w:t>
      </w:r>
      <w:r>
        <w:t xml:space="preserve"> </w:t>
      </w:r>
      <w:r w:rsidRPr="00DA7D87">
        <w:t xml:space="preserve">1% in the </w:t>
      </w:r>
      <w:r w:rsidRPr="004F488C">
        <w:t>placebo</w:t>
      </w:r>
      <w:r w:rsidRPr="00DA7D87">
        <w:t xml:space="preserve">, UMEC 125 </w:t>
      </w:r>
      <w:r>
        <w:t>µg</w:t>
      </w:r>
      <w:r w:rsidRPr="00DA7D87">
        <w:t xml:space="preserve"> and UMEC/VI 125/25 </w:t>
      </w:r>
      <w:r>
        <w:t>µg</w:t>
      </w:r>
      <w:r w:rsidRPr="00DA7D87">
        <w:t xml:space="preserve"> groups, respectively.</w:t>
      </w:r>
    </w:p>
    <w:p w:rsidR="00B13321" w:rsidRPr="00DA7D87" w:rsidRDefault="00B13321" w:rsidP="00813832">
      <w:pPr>
        <w:pStyle w:val="Heading3"/>
      </w:pPr>
      <w:bookmarkStart w:id="233" w:name="_Toc241374321"/>
      <w:bookmarkStart w:id="234" w:name="_Ref271044780"/>
      <w:bookmarkStart w:id="235" w:name="_Ref271196640"/>
      <w:bookmarkStart w:id="236" w:name="_Ref272333085"/>
      <w:bookmarkStart w:id="237" w:name="_Toc272414668"/>
      <w:bookmarkStart w:id="238" w:name="_Toc290846306"/>
      <w:bookmarkStart w:id="239" w:name="_Toc376461179"/>
      <w:bookmarkStart w:id="240" w:name="_Toc422852166"/>
      <w:r w:rsidRPr="00DA7D87">
        <w:t>Laboratory tests</w:t>
      </w:r>
      <w:bookmarkEnd w:id="233"/>
      <w:bookmarkEnd w:id="234"/>
      <w:bookmarkEnd w:id="235"/>
      <w:bookmarkEnd w:id="236"/>
      <w:bookmarkEnd w:id="237"/>
      <w:bookmarkEnd w:id="238"/>
      <w:bookmarkEnd w:id="239"/>
      <w:bookmarkEnd w:id="240"/>
    </w:p>
    <w:p w:rsidR="00B13321" w:rsidRPr="00DA7D87" w:rsidRDefault="00B13321" w:rsidP="00813832">
      <w:pPr>
        <w:pStyle w:val="Heading4"/>
      </w:pPr>
      <w:bookmarkStart w:id="241" w:name="_Toc376461180"/>
      <w:r w:rsidRPr="00DA7D87">
        <w:t>Clinical laboratory tests</w:t>
      </w:r>
      <w:bookmarkEnd w:id="241"/>
    </w:p>
    <w:p w:rsidR="00B13321" w:rsidRPr="00DA7D87" w:rsidRDefault="00B13321" w:rsidP="00813832">
      <w:pPr>
        <w:pStyle w:val="Heading5"/>
      </w:pPr>
      <w:bookmarkStart w:id="242" w:name="_Toc376461181"/>
      <w:r w:rsidRPr="00DA7D87">
        <w:t>Pivotal studies</w:t>
      </w:r>
      <w:bookmarkEnd w:id="242"/>
    </w:p>
    <w:p w:rsidR="00B13321" w:rsidRPr="00DA7D87" w:rsidRDefault="00B13321" w:rsidP="00813832">
      <w:r w:rsidRPr="00DA7D87">
        <w:t>Glucose and potassium results will be discussed under “Adverse events of special interest”. Analyses of other clinical laboratory tests (routine haematology and blood chemistry) did not raise any significant safety concerns. Incidence of adverse events relating to abnormal liver chemistry was low across treatment group</w:t>
      </w:r>
      <w:r>
        <w:t>s (&lt; 1% in all treatment groups</w:t>
      </w:r>
      <w:r w:rsidRPr="00DA7D87">
        <w:t xml:space="preserve">). Overall, three subjects (1 subject each in the UMEC 62.5 </w:t>
      </w:r>
      <w:r>
        <w:t>µg</w:t>
      </w:r>
      <w:r w:rsidRPr="00DA7D87">
        <w:t xml:space="preserve"> </w:t>
      </w:r>
      <w:r>
        <w:t>(</w:t>
      </w:r>
      <w:r w:rsidRPr="00DA7D87">
        <w:t>study DB2113373</w:t>
      </w:r>
      <w:r>
        <w:t>)</w:t>
      </w:r>
      <w:r w:rsidRPr="00DA7D87">
        <w:t xml:space="preserve">, UMEC 125 </w:t>
      </w:r>
      <w:r>
        <w:t>µg</w:t>
      </w:r>
      <w:r w:rsidRPr="00DA7D87">
        <w:t xml:space="preserve"> </w:t>
      </w:r>
      <w:r>
        <w:t>(</w:t>
      </w:r>
      <w:r w:rsidRPr="00DA7D87">
        <w:t>study DB2113374</w:t>
      </w:r>
      <w:r>
        <w:t>)</w:t>
      </w:r>
      <w:r w:rsidRPr="00DA7D87">
        <w:t xml:space="preserve"> and TIO 18 </w:t>
      </w:r>
      <w:r>
        <w:t>µg</w:t>
      </w:r>
      <w:r w:rsidRPr="00DA7D87">
        <w:t xml:space="preserve"> </w:t>
      </w:r>
      <w:r>
        <w:t>(</w:t>
      </w:r>
      <w:r w:rsidRPr="00DA7D87">
        <w:t xml:space="preserve">study DB2113374 </w:t>
      </w:r>
      <w:r>
        <w:t>)</w:t>
      </w:r>
      <w:r w:rsidRPr="00DA7D87">
        <w:t xml:space="preserve"> groups) were reported as having liver events </w:t>
      </w:r>
      <w:r w:rsidRPr="00DA7D87">
        <w:lastRenderedPageBreak/>
        <w:t>that exceeded the a priori liver chemistry stopping criteria</w:t>
      </w:r>
      <w:r w:rsidRPr="00BA0F92">
        <w:rPr>
          <w:vertAlign w:val="superscript"/>
        </w:rPr>
        <w:footnoteReference w:id="60"/>
      </w:r>
      <w:r w:rsidRPr="00DA7D87">
        <w:t xml:space="preserve"> and were withdrawn from the study.</w:t>
      </w:r>
    </w:p>
    <w:p w:rsidR="00B13321" w:rsidRPr="00DA7D87" w:rsidRDefault="00B13321" w:rsidP="00813832">
      <w:pPr>
        <w:pStyle w:val="Heading5"/>
      </w:pPr>
      <w:bookmarkStart w:id="243" w:name="_Toc376461182"/>
      <w:r w:rsidRPr="00DA7D87">
        <w:t>Other studies</w:t>
      </w:r>
      <w:bookmarkEnd w:id="243"/>
    </w:p>
    <w:p w:rsidR="00B13321" w:rsidRPr="00DA7D87" w:rsidRDefault="00B13321" w:rsidP="00813832">
      <w:pPr>
        <w:pStyle w:val="Heading6"/>
      </w:pPr>
      <w:r w:rsidRPr="00DA7D87">
        <w:t>Exercise tolerance studies (DB2114417 and DB2114418)</w:t>
      </w:r>
    </w:p>
    <w:p w:rsidR="00B13321" w:rsidRPr="00DA7D87" w:rsidRDefault="00B13321" w:rsidP="00813832">
      <w:r w:rsidRPr="00DA7D87">
        <w:t xml:space="preserve">Glucose and potassium results will be discussed under “Adverse events of special interest”. Analyses of other clinical laboratory tests (routine haematology and blood chemistry) did not raise any significant safety concerns. Overall, 2 subjects had adverse events relating to abnormal liver chemistry: 1 subject treated with </w:t>
      </w:r>
      <w:r>
        <w:t>PLA</w:t>
      </w:r>
      <w:r w:rsidRPr="00DA7D87">
        <w:t xml:space="preserve"> and 1 subject treated with UMEC/VI 62.5/25 </w:t>
      </w:r>
      <w:r>
        <w:t>µg</w:t>
      </w:r>
      <w:r w:rsidRPr="00DA7D87">
        <w:t>, reported AEs of hepatic enzyme increased and gamma-</w:t>
      </w:r>
      <w:proofErr w:type="spellStart"/>
      <w:r w:rsidRPr="00DA7D87">
        <w:t>glutamyl</w:t>
      </w:r>
      <w:proofErr w:type="spellEnd"/>
      <w:r w:rsidRPr="00DA7D87">
        <w:t xml:space="preserve"> </w:t>
      </w:r>
      <w:proofErr w:type="spellStart"/>
      <w:r w:rsidRPr="00DA7D87">
        <w:t>transferase</w:t>
      </w:r>
      <w:proofErr w:type="spellEnd"/>
      <w:r w:rsidRPr="00DA7D87">
        <w:t xml:space="preserve"> increased, respectively. No subjects liver events that exceeded the a priori liver chemistry stopping criteria.</w:t>
      </w:r>
    </w:p>
    <w:p w:rsidR="00B13321" w:rsidRPr="00DA7D87" w:rsidRDefault="00B13321" w:rsidP="00813832">
      <w:pPr>
        <w:pStyle w:val="Heading6"/>
      </w:pPr>
      <w:r>
        <w:t>Long-term</w:t>
      </w:r>
      <w:r w:rsidRPr="00DA7D87">
        <w:t xml:space="preserve"> safety study (DB2113359)</w:t>
      </w:r>
    </w:p>
    <w:p w:rsidR="00B13321" w:rsidRPr="00DA7D87" w:rsidRDefault="00B13321" w:rsidP="00813832">
      <w:r w:rsidRPr="00DA7D87">
        <w:t>Glucose and potassium results will be discussed under “Adverse events of special interest”. Analyses of other clinical laboratory tests (routine haematology and blood chemistry) did not raise any significant safety concerns. Incidence of adverse events relating to abnormal liver chemistry was low across treatment groups (&lt; 1% in all treatment groups).</w:t>
      </w:r>
      <w:r>
        <w:t xml:space="preserve"> </w:t>
      </w:r>
      <w:r w:rsidRPr="00DA7D87">
        <w:t>No subjects liver events that exceeded the a priori liver chemistry stopping criteria.</w:t>
      </w:r>
    </w:p>
    <w:p w:rsidR="00B13321" w:rsidRPr="00DA7D87" w:rsidRDefault="00B13321" w:rsidP="00813832">
      <w:pPr>
        <w:pStyle w:val="Heading4"/>
      </w:pPr>
      <w:bookmarkStart w:id="244" w:name="_Toc376461183"/>
      <w:r w:rsidRPr="00DA7D87">
        <w:t xml:space="preserve">Vital </w:t>
      </w:r>
      <w:r w:rsidR="00813832">
        <w:t>s</w:t>
      </w:r>
      <w:r w:rsidRPr="00DA7D87">
        <w:t>igns</w:t>
      </w:r>
      <w:bookmarkEnd w:id="244"/>
    </w:p>
    <w:p w:rsidR="00B13321" w:rsidRPr="00DA7D87" w:rsidRDefault="00B13321" w:rsidP="00813832">
      <w:pPr>
        <w:pStyle w:val="Heading5"/>
      </w:pPr>
      <w:bookmarkStart w:id="245" w:name="_Toc376461184"/>
      <w:r w:rsidRPr="00DA7D87">
        <w:t>Pivotal studies</w:t>
      </w:r>
      <w:bookmarkEnd w:id="245"/>
    </w:p>
    <w:p w:rsidR="00B13321" w:rsidRPr="00DA7D87" w:rsidRDefault="00B13321" w:rsidP="00813832">
      <w:r>
        <w:t xml:space="preserve">Maximum or minimum post </w:t>
      </w:r>
      <w:r w:rsidRPr="00DA7D87">
        <w:t xml:space="preserve">baseline mean changes from baseline in vital signs were similar across all treatment groups. Overall, LSM changes from baseline in vital signs were small across all </w:t>
      </w:r>
      <w:r>
        <w:t xml:space="preserve">pre- </w:t>
      </w:r>
      <w:r w:rsidRPr="00DA7D87">
        <w:t xml:space="preserve">and </w:t>
      </w:r>
      <w:r>
        <w:t>post-dose</w:t>
      </w:r>
      <w:r w:rsidRPr="00DA7D87">
        <w:t xml:space="preserve"> time points over the treatment period.</w:t>
      </w:r>
    </w:p>
    <w:p w:rsidR="00B13321" w:rsidRPr="00DA7D87" w:rsidRDefault="00B13321" w:rsidP="00813832">
      <w:pPr>
        <w:pStyle w:val="Heading5"/>
      </w:pPr>
      <w:bookmarkStart w:id="246" w:name="_Toc376461185"/>
      <w:r w:rsidRPr="00DA7D87">
        <w:t>Other studies</w:t>
      </w:r>
      <w:bookmarkEnd w:id="246"/>
    </w:p>
    <w:p w:rsidR="00B13321" w:rsidRPr="00DA7D87" w:rsidRDefault="00B13321" w:rsidP="00813832">
      <w:pPr>
        <w:pStyle w:val="Heading6"/>
      </w:pPr>
      <w:r w:rsidRPr="00DA7D87">
        <w:t>Exercise tolerance studies (DB2114417 and DB2114418)</w:t>
      </w:r>
    </w:p>
    <w:p w:rsidR="00B13321" w:rsidRPr="00DA7D87" w:rsidRDefault="00B13321" w:rsidP="00813832">
      <w:r>
        <w:t>Maximum or minimum post-</w:t>
      </w:r>
      <w:r w:rsidRPr="00DA7D87">
        <w:t xml:space="preserve">baseline mean changes from baseline in vital signs were similar across all treatment groups. Overall, LSM changes from baseline in vital </w:t>
      </w:r>
      <w:r>
        <w:t xml:space="preserve">signs were small across all pre- </w:t>
      </w:r>
      <w:r w:rsidRPr="00DA7D87">
        <w:t xml:space="preserve">and </w:t>
      </w:r>
      <w:r>
        <w:t>post-dose</w:t>
      </w:r>
      <w:r w:rsidRPr="00DA7D87">
        <w:t xml:space="preserve"> time points over the treatment period.</w:t>
      </w:r>
    </w:p>
    <w:p w:rsidR="00B13321" w:rsidRPr="00DA7D87" w:rsidRDefault="00B13321" w:rsidP="00813832">
      <w:pPr>
        <w:pStyle w:val="Heading6"/>
      </w:pPr>
      <w:r>
        <w:t>Long-term</w:t>
      </w:r>
      <w:r w:rsidRPr="00DA7D87">
        <w:t xml:space="preserve"> safety study (DB2113359)</w:t>
      </w:r>
    </w:p>
    <w:p w:rsidR="00B13321" w:rsidRPr="00DA7D87" w:rsidRDefault="00B13321" w:rsidP="00813832">
      <w:r w:rsidRPr="00DA7D87">
        <w:t xml:space="preserve">Maximum or minimum </w:t>
      </w:r>
      <w:r>
        <w:t>post-baseline</w:t>
      </w:r>
      <w:r w:rsidRPr="00DA7D87">
        <w:t xml:space="preserve"> mean changes from baseline in vital signs were similar across all treatment groups. Overall, LSM changes from baseline in vital </w:t>
      </w:r>
      <w:r>
        <w:t xml:space="preserve">signs were small across all pre- </w:t>
      </w:r>
      <w:r w:rsidRPr="00DA7D87">
        <w:t xml:space="preserve">and </w:t>
      </w:r>
      <w:r>
        <w:t>post-dose</w:t>
      </w:r>
      <w:r w:rsidRPr="00DA7D87">
        <w:t xml:space="preserve"> time points over the treatment period.</w:t>
      </w:r>
    </w:p>
    <w:p w:rsidR="00B13321" w:rsidRPr="00DA7D87" w:rsidRDefault="00B13321" w:rsidP="00813832">
      <w:pPr>
        <w:pStyle w:val="Heading4"/>
      </w:pPr>
      <w:bookmarkStart w:id="247" w:name="_Toc376461186"/>
      <w:r w:rsidRPr="00DA7D87">
        <w:t>Electrocardiograph</w:t>
      </w:r>
      <w:bookmarkEnd w:id="247"/>
    </w:p>
    <w:p w:rsidR="00B13321" w:rsidRPr="00DA7D87" w:rsidRDefault="00B13321" w:rsidP="00813832">
      <w:pPr>
        <w:pStyle w:val="Heading5"/>
      </w:pPr>
      <w:bookmarkStart w:id="248" w:name="_Toc376461187"/>
      <w:r w:rsidRPr="00DA7D87">
        <w:t>Pivotal studies</w:t>
      </w:r>
      <w:bookmarkEnd w:id="248"/>
    </w:p>
    <w:p w:rsidR="00B13321" w:rsidRPr="0032742E" w:rsidRDefault="00B13321" w:rsidP="00813832">
      <w:r w:rsidRPr="0032742E">
        <w:t>Analyses of the ECGs did not raise any significan</w:t>
      </w:r>
      <w:r>
        <w:t>t safety concerns. Maximum post-</w:t>
      </w:r>
      <w:r w:rsidRPr="0032742E">
        <w:t xml:space="preserve">baseline mean changes from baseline in ECG parameters were similar across treatment groups. Overall, LSM changes from baseline in </w:t>
      </w:r>
      <w:proofErr w:type="spellStart"/>
      <w:proofErr w:type="gramStart"/>
      <w:r w:rsidRPr="0032742E">
        <w:t>QTc</w:t>
      </w:r>
      <w:proofErr w:type="spellEnd"/>
      <w:r w:rsidRPr="0032742E">
        <w:t>(</w:t>
      </w:r>
      <w:proofErr w:type="gramEnd"/>
      <w:r w:rsidRPr="0032742E">
        <w:t>F), PR interval and heart rate wer</w:t>
      </w:r>
      <w:r>
        <w:t>e small across all assessed pre-</w:t>
      </w:r>
      <w:r w:rsidRPr="0032742E">
        <w:t xml:space="preserve">and </w:t>
      </w:r>
      <w:r>
        <w:t>post-</w:t>
      </w:r>
      <w:r w:rsidRPr="0032742E">
        <w:t xml:space="preserve">dose time points over the treatment period. Categorical summary of the frequency of change from baseline </w:t>
      </w:r>
      <w:proofErr w:type="spellStart"/>
      <w:proofErr w:type="gramStart"/>
      <w:r w:rsidRPr="0032742E">
        <w:t>QTc</w:t>
      </w:r>
      <w:proofErr w:type="spellEnd"/>
      <w:r w:rsidRPr="0032742E">
        <w:t>(</w:t>
      </w:r>
      <w:proofErr w:type="gramEnd"/>
      <w:r w:rsidRPr="0032742E">
        <w:t>F) showed that the majority of subjects across treatment groups (91</w:t>
      </w:r>
      <w:r>
        <w:t>% to 95%) reported maximum post-</w:t>
      </w:r>
      <w:r w:rsidRPr="0032742E">
        <w:t xml:space="preserve">baseline </w:t>
      </w:r>
      <w:proofErr w:type="spellStart"/>
      <w:r w:rsidRPr="0032742E">
        <w:t>QTc</w:t>
      </w:r>
      <w:proofErr w:type="spellEnd"/>
      <w:r w:rsidRPr="0032742E">
        <w:t>(F) values ≤ 450 milliseconds</w:t>
      </w:r>
      <w:r>
        <w:t>. The majority of maximum post-</w:t>
      </w:r>
      <w:r w:rsidRPr="0032742E">
        <w:t xml:space="preserve">baseline changes from baseline in </w:t>
      </w:r>
      <w:proofErr w:type="spellStart"/>
      <w:proofErr w:type="gramStart"/>
      <w:r w:rsidRPr="0032742E">
        <w:t>QTc</w:t>
      </w:r>
      <w:proofErr w:type="spellEnd"/>
      <w:r w:rsidRPr="0032742E">
        <w:t>(</w:t>
      </w:r>
      <w:proofErr w:type="gramEnd"/>
      <w:r w:rsidRPr="0032742E">
        <w:t xml:space="preserve">F) (75% to 79%) were within the </w:t>
      </w:r>
      <w:r w:rsidRPr="0032742E">
        <w:lastRenderedPageBreak/>
        <w:t>range of ≥ 0 to &lt; 30 milliseconds across all treatment groups. The proportion of subjec</w:t>
      </w:r>
      <w:r>
        <w:t>ts with maximum post-</w:t>
      </w:r>
      <w:r w:rsidRPr="0032742E">
        <w:t xml:space="preserve">baseline changes from baseline in </w:t>
      </w:r>
      <w:proofErr w:type="spellStart"/>
      <w:r w:rsidRPr="0032742E">
        <w:t>QTc</w:t>
      </w:r>
      <w:proofErr w:type="spellEnd"/>
      <w:r w:rsidRPr="0032742E">
        <w:t xml:space="preserve">(F) of ≥ 30 milliseconds was comparable across treatment groups (9% (52/555), 13% (110/842), 11% (93/832), 11% </w:t>
      </w:r>
      <w:r w:rsidRPr="00220A01">
        <w:t>(44/41</w:t>
      </w:r>
      <w:r w:rsidR="00DD5BB1">
        <w:t>7</w:t>
      </w:r>
      <w:r w:rsidRPr="0032742E">
        <w:t>), 10% (63/629), 10% (102/1034), and 12% (</w:t>
      </w:r>
      <w:r w:rsidRPr="00220A01">
        <w:t>49/423)</w:t>
      </w:r>
      <w:r w:rsidRPr="0032742E">
        <w:t xml:space="preserve"> in the pooled </w:t>
      </w:r>
      <w:r w:rsidRPr="00220A01">
        <w:t>placebo</w:t>
      </w:r>
      <w:r w:rsidRPr="0032742E">
        <w:t>, UMEC/VI 62.5/25 µg, UMEC/VI 125/25 µg, UMEC 62.5 µg, UMEC 125 µg, VI 25 µg and TIO 18 µg groups, respectively). The proportion of subjects with one or more abnormal, clinically signific</w:t>
      </w:r>
      <w:r>
        <w:t>ant ECG result at any time post-</w:t>
      </w:r>
      <w:r w:rsidRPr="0032742E">
        <w:t>baseline was similar across treatment groups (18% to 22%). Analyses of the specific ECG abnormalitie</w:t>
      </w:r>
      <w:r>
        <w:t>s for subjects with any post-</w:t>
      </w:r>
      <w:r w:rsidRPr="0032742E">
        <w:t xml:space="preserve">baseline abnormal, clinically significant ECG interpretation showed that incidences were comparable between active treatment groups and </w:t>
      </w:r>
      <w:r w:rsidRPr="00220A01">
        <w:t>placebo</w:t>
      </w:r>
      <w:r w:rsidRPr="0032742E">
        <w:t xml:space="preserve"> group.</w:t>
      </w:r>
    </w:p>
    <w:p w:rsidR="00B13321" w:rsidRPr="00DA7D87" w:rsidRDefault="00B13321" w:rsidP="00813832">
      <w:pPr>
        <w:pStyle w:val="Heading5"/>
      </w:pPr>
      <w:bookmarkStart w:id="249" w:name="_Toc376461188"/>
      <w:r w:rsidRPr="00DA7D87">
        <w:t>Other studies</w:t>
      </w:r>
      <w:bookmarkEnd w:id="249"/>
    </w:p>
    <w:p w:rsidR="00B13321" w:rsidRPr="00DA7D87" w:rsidRDefault="00B13321" w:rsidP="00813832">
      <w:pPr>
        <w:pStyle w:val="Heading6"/>
      </w:pPr>
      <w:r w:rsidRPr="00DA7D87">
        <w:t>Exercise tolerance studies (DB2114417 and DB2114418)</w:t>
      </w:r>
    </w:p>
    <w:p w:rsidR="00B13321" w:rsidRPr="00DA7D87" w:rsidRDefault="00B13321" w:rsidP="00813832">
      <w:r w:rsidRPr="00DA7D87">
        <w:t xml:space="preserve">Analyses of the ECGs did not raise any significant safety concerns. The proportion of subjects with one or more abnormal, clinically significant ECG result at any time </w:t>
      </w:r>
      <w:r>
        <w:t>post-baseline</w:t>
      </w:r>
      <w:r w:rsidRPr="00DA7D87">
        <w:t xml:space="preserve"> was higher in the UMEC 125 </w:t>
      </w:r>
      <w:r>
        <w:t>µg</w:t>
      </w:r>
      <w:r w:rsidRPr="00DA7D87">
        <w:t xml:space="preserve"> group (25%), but comparable among the other treatment groups (11% to 19%). The proportion of subjects with one or more abnormal, clinically significant ECG result at baseline was also higher in the UMEC 125 </w:t>
      </w:r>
      <w:r>
        <w:t>µg</w:t>
      </w:r>
      <w:r w:rsidRPr="00DA7D87">
        <w:t xml:space="preserve"> group (20%), compared to the other treatment groups (9% to13%).</w:t>
      </w:r>
    </w:p>
    <w:p w:rsidR="00B13321" w:rsidRPr="00DA7D87" w:rsidRDefault="00B13321" w:rsidP="00813832">
      <w:pPr>
        <w:pStyle w:val="Heading6"/>
      </w:pPr>
      <w:r>
        <w:t>Long-term</w:t>
      </w:r>
      <w:r w:rsidRPr="00DA7D87">
        <w:t xml:space="preserve"> safety study (DB2113359)</w:t>
      </w:r>
    </w:p>
    <w:p w:rsidR="00B13321" w:rsidRDefault="00B13321" w:rsidP="00813832">
      <w:r w:rsidRPr="00DA7D87">
        <w:t xml:space="preserve">Analyses of the ECGs did not raise any significant safety concerns. Maximum </w:t>
      </w:r>
      <w:r>
        <w:t>post-baseline</w:t>
      </w:r>
      <w:r w:rsidRPr="00DA7D87">
        <w:t xml:space="preserve"> mean changes from baseline in ECG parameters were similar across t</w:t>
      </w:r>
      <w:r>
        <w:t>reatment groups</w:t>
      </w:r>
      <w:r w:rsidRPr="00DA7D87">
        <w:t xml:space="preserve">. Overall, LSM changes from baseline in </w:t>
      </w:r>
      <w:proofErr w:type="spellStart"/>
      <w:proofErr w:type="gramStart"/>
      <w:r w:rsidRPr="00DA7D87">
        <w:t>QTc</w:t>
      </w:r>
      <w:proofErr w:type="spellEnd"/>
      <w:r w:rsidRPr="00DA7D87">
        <w:t>(</w:t>
      </w:r>
      <w:proofErr w:type="gramEnd"/>
      <w:r w:rsidRPr="00DA7D87">
        <w:t xml:space="preserve">F), PR interval and heart rate were small across all assessed </w:t>
      </w:r>
      <w:r>
        <w:t>pre-</w:t>
      </w:r>
      <w:r w:rsidRPr="00DA7D87">
        <w:t xml:space="preserve">and </w:t>
      </w:r>
      <w:r>
        <w:t>post-dose</w:t>
      </w:r>
      <w:r w:rsidRPr="00DA7D87">
        <w:t xml:space="preserve"> time points over the t</w:t>
      </w:r>
      <w:r>
        <w:t>reatment period</w:t>
      </w:r>
      <w:r w:rsidRPr="00DA7D87">
        <w:t xml:space="preserve">. Categorical summary of frequency of change from baseline </w:t>
      </w:r>
      <w:proofErr w:type="spellStart"/>
      <w:proofErr w:type="gramStart"/>
      <w:r w:rsidRPr="00DA7D87">
        <w:t>QTc</w:t>
      </w:r>
      <w:proofErr w:type="spellEnd"/>
      <w:r w:rsidRPr="00DA7D87">
        <w:t>(</w:t>
      </w:r>
      <w:proofErr w:type="gramEnd"/>
      <w:r w:rsidRPr="00DA7D87">
        <w:t xml:space="preserve">F) showed that the majority of subjects across treatment groups (90% to 91%) reported maximum </w:t>
      </w:r>
      <w:r>
        <w:t>post-baseline</w:t>
      </w:r>
      <w:r w:rsidRPr="00DA7D87">
        <w:t xml:space="preserve"> </w:t>
      </w:r>
      <w:proofErr w:type="spellStart"/>
      <w:r w:rsidRPr="00DA7D87">
        <w:t>QTc</w:t>
      </w:r>
      <w:proofErr w:type="spellEnd"/>
      <w:r w:rsidRPr="00DA7D87">
        <w:t xml:space="preserve">(F) values </w:t>
      </w:r>
      <w:r>
        <w:t xml:space="preserve">≤ </w:t>
      </w:r>
      <w:r w:rsidRPr="00DA7D87">
        <w:t xml:space="preserve">450 milliseconds. The majority of maximum </w:t>
      </w:r>
      <w:r>
        <w:t>post-baseline</w:t>
      </w:r>
      <w:r w:rsidRPr="00DA7D87">
        <w:t xml:space="preserve"> changes from baseline in </w:t>
      </w:r>
      <w:proofErr w:type="spellStart"/>
      <w:proofErr w:type="gramStart"/>
      <w:r w:rsidRPr="00DA7D87">
        <w:t>QTc</w:t>
      </w:r>
      <w:proofErr w:type="spellEnd"/>
      <w:r w:rsidRPr="00DA7D87">
        <w:t>(</w:t>
      </w:r>
      <w:proofErr w:type="gramEnd"/>
      <w:r w:rsidRPr="00DA7D87">
        <w:t xml:space="preserve">F) (71% to 78%) were within the range of </w:t>
      </w:r>
      <w:r>
        <w:t xml:space="preserve">≥ </w:t>
      </w:r>
      <w:r w:rsidRPr="00DA7D87">
        <w:t>0 to &lt;</w:t>
      </w:r>
      <w:r>
        <w:t xml:space="preserve"> </w:t>
      </w:r>
      <w:r w:rsidRPr="00DA7D87">
        <w:t xml:space="preserve">30 milliseconds across all treatment groups. The proportion of subjects with maximum </w:t>
      </w:r>
      <w:r>
        <w:t>post-baseline</w:t>
      </w:r>
      <w:r w:rsidRPr="00DA7D87">
        <w:t xml:space="preserve"> changes from baseline in </w:t>
      </w:r>
      <w:proofErr w:type="spellStart"/>
      <w:r w:rsidRPr="00DA7D87">
        <w:t>QTc</w:t>
      </w:r>
      <w:proofErr w:type="spellEnd"/>
      <w:r w:rsidRPr="00DA7D87">
        <w:t xml:space="preserve">(F) of </w:t>
      </w:r>
      <w:r>
        <w:t xml:space="preserve">≥ </w:t>
      </w:r>
      <w:r w:rsidRPr="00DA7D87">
        <w:t xml:space="preserve">30 milliseconds was comparable across treatment groups (15% </w:t>
      </w:r>
      <w:r>
        <w:t>(</w:t>
      </w:r>
      <w:r w:rsidRPr="00DA7D87">
        <w:t>16/109</w:t>
      </w:r>
      <w:r>
        <w:t>)</w:t>
      </w:r>
      <w:r w:rsidRPr="00DA7D87">
        <w:t xml:space="preserve">, 18% </w:t>
      </w:r>
      <w:r>
        <w:t>(</w:t>
      </w:r>
      <w:r w:rsidRPr="00DA7D87">
        <w:t>40/227</w:t>
      </w:r>
      <w:r>
        <w:t>)</w:t>
      </w:r>
      <w:r w:rsidRPr="00DA7D87">
        <w:t xml:space="preserve">, and 21% </w:t>
      </w:r>
      <w:r>
        <w:t>(</w:t>
      </w:r>
      <w:r w:rsidRPr="00DA7D87">
        <w:t>48/226</w:t>
      </w:r>
      <w:r>
        <w:t>)</w:t>
      </w:r>
      <w:r w:rsidRPr="00DA7D87">
        <w:t xml:space="preserve"> in the </w:t>
      </w:r>
      <w:r w:rsidRPr="00220A01">
        <w:t>placebo</w:t>
      </w:r>
      <w:r w:rsidRPr="00DA7D87">
        <w:t xml:space="preserve">, UMEC 125 </w:t>
      </w:r>
      <w:r>
        <w:t>µg</w:t>
      </w:r>
      <w:r w:rsidRPr="00DA7D87">
        <w:t xml:space="preserve"> and UMEC/VI 125/25 </w:t>
      </w:r>
      <w:r>
        <w:t>µg</w:t>
      </w:r>
      <w:r w:rsidRPr="00DA7D87">
        <w:t xml:space="preserve"> groups, respectively). The proportion of subjects with one or more abnormal, clinically significant ECG result at any time </w:t>
      </w:r>
      <w:r>
        <w:t>post-baseline</w:t>
      </w:r>
      <w:r w:rsidRPr="00DA7D87">
        <w:t xml:space="preserve"> was similar across treatment groups (23% to 26%).</w:t>
      </w:r>
    </w:p>
    <w:p w:rsidR="00B13321" w:rsidRPr="00DA7D87" w:rsidRDefault="00B13321" w:rsidP="00813832">
      <w:pPr>
        <w:pStyle w:val="Heading4"/>
      </w:pPr>
      <w:bookmarkStart w:id="250" w:name="_Toc376461189"/>
      <w:r w:rsidRPr="00DA7D87">
        <w:t>2</w:t>
      </w:r>
      <w:r>
        <w:t>4-hour</w:t>
      </w:r>
      <w:r w:rsidRPr="00DA7D87">
        <w:t xml:space="preserve"> </w:t>
      </w:r>
      <w:proofErr w:type="spellStart"/>
      <w:r w:rsidR="00813832">
        <w:t>h</w:t>
      </w:r>
      <w:r>
        <w:t>olter</w:t>
      </w:r>
      <w:proofErr w:type="spellEnd"/>
      <w:r w:rsidRPr="00DA7D87">
        <w:t xml:space="preserve"> monitoring</w:t>
      </w:r>
      <w:bookmarkEnd w:id="250"/>
    </w:p>
    <w:p w:rsidR="00B13321" w:rsidRPr="00DA7D87" w:rsidRDefault="00B13321" w:rsidP="00813832">
      <w:pPr>
        <w:pStyle w:val="Heading5"/>
      </w:pPr>
      <w:bookmarkStart w:id="251" w:name="_Toc376461190"/>
      <w:r w:rsidRPr="00DA7D87">
        <w:t>Pivotal studies</w:t>
      </w:r>
      <w:bookmarkEnd w:id="251"/>
    </w:p>
    <w:p w:rsidR="00B13321" w:rsidRPr="00DA7D87" w:rsidRDefault="00B13321" w:rsidP="00813832">
      <w:r>
        <w:t>Holter</w:t>
      </w:r>
      <w:r w:rsidRPr="00DA7D87">
        <w:t xml:space="preserve"> monitoring was conducted in a subset of subjects (the TFH population) in studies DB2113361 and DB2113373. A baseline </w:t>
      </w:r>
      <w:r>
        <w:t>Holter</w:t>
      </w:r>
      <w:r w:rsidRPr="00DA7D87">
        <w:t xml:space="preserve"> monitoring of 2</w:t>
      </w:r>
      <w:r>
        <w:t>4-hour</w:t>
      </w:r>
      <w:r w:rsidRPr="00DA7D87">
        <w:t xml:space="preserve"> duration was performed at screening. </w:t>
      </w:r>
      <w:r>
        <w:t>Post-treatment</w:t>
      </w:r>
      <w:r w:rsidRPr="00DA7D87">
        <w:t xml:space="preserve"> </w:t>
      </w:r>
      <w:r>
        <w:t>Holter</w:t>
      </w:r>
      <w:r w:rsidRPr="00DA7D87">
        <w:t xml:space="preserve"> monitoring was performed at Day 1, Month 3, and Month 6. Results showed that mean and maximum </w:t>
      </w:r>
      <w:r>
        <w:t>Holter</w:t>
      </w:r>
      <w:r w:rsidRPr="00DA7D87">
        <w:t xml:space="preserve"> heart rates for all active treatment groups (UMEC/VI, UMEC, and VI) were similar to those seen in the </w:t>
      </w:r>
      <w:r w:rsidRPr="00B34572">
        <w:t>placebo</w:t>
      </w:r>
      <w:r w:rsidRPr="00DA7D87">
        <w:t xml:space="preserve"> group. The proportion of subjects with one or more abnormal, clinically significant </w:t>
      </w:r>
      <w:r>
        <w:t>Holter</w:t>
      </w:r>
      <w:r w:rsidRPr="00DA7D87">
        <w:t xml:space="preserve"> ECG interpretation at any time </w:t>
      </w:r>
      <w:r>
        <w:t>post-baseline</w:t>
      </w:r>
      <w:r w:rsidRPr="00DA7D87">
        <w:t xml:space="preserve"> was 45% to 56% in the active treatment groups, compared with 60% in the </w:t>
      </w:r>
      <w:r w:rsidRPr="00B34572">
        <w:t>placebo</w:t>
      </w:r>
      <w:r w:rsidRPr="00DA7D87">
        <w:t xml:space="preserve"> group. Analyses of the specific </w:t>
      </w:r>
      <w:r>
        <w:t>Holter</w:t>
      </w:r>
      <w:r w:rsidRPr="00DA7D87">
        <w:t xml:space="preserve"> ECG abnormalities for subjects with any </w:t>
      </w:r>
      <w:r>
        <w:t>post-baseline</w:t>
      </w:r>
      <w:r w:rsidRPr="00DA7D87">
        <w:t xml:space="preserve"> abnormal, clinically significant </w:t>
      </w:r>
      <w:r>
        <w:t>Holter</w:t>
      </w:r>
      <w:r w:rsidRPr="00DA7D87">
        <w:t xml:space="preserve"> ECG interpretation showed that incidences were generally comparable between active treatment groups and </w:t>
      </w:r>
      <w:r w:rsidRPr="00B34572">
        <w:t>placebo</w:t>
      </w:r>
      <w:r w:rsidRPr="00DA7D87">
        <w:t xml:space="preserve"> group.</w:t>
      </w:r>
    </w:p>
    <w:p w:rsidR="00B13321" w:rsidRPr="00DA7D87" w:rsidRDefault="00B13321" w:rsidP="00813832">
      <w:pPr>
        <w:pStyle w:val="Heading5"/>
      </w:pPr>
      <w:bookmarkStart w:id="252" w:name="_Toc376461191"/>
      <w:r w:rsidRPr="00DA7D87">
        <w:t>Other studies</w:t>
      </w:r>
      <w:bookmarkEnd w:id="252"/>
    </w:p>
    <w:p w:rsidR="00B13321" w:rsidRPr="00DA7D87" w:rsidRDefault="00B13321" w:rsidP="00813832">
      <w:r w:rsidRPr="00DA7D87">
        <w:t xml:space="preserve">In the </w:t>
      </w:r>
      <w:r>
        <w:t>long-term</w:t>
      </w:r>
      <w:r w:rsidRPr="00DA7D87">
        <w:t xml:space="preserve"> safety study (DB2113359), </w:t>
      </w:r>
      <w:r>
        <w:t>Holter</w:t>
      </w:r>
      <w:r w:rsidRPr="00DA7D87">
        <w:t xml:space="preserve"> monitoring results showed that the proportion of subjects with one or more abnormal, clinically significant </w:t>
      </w:r>
      <w:r>
        <w:t>Holter</w:t>
      </w:r>
      <w:r w:rsidRPr="00DA7D87">
        <w:t xml:space="preserve"> ECG interpretation at any time </w:t>
      </w:r>
      <w:r>
        <w:t>post-baseline</w:t>
      </w:r>
      <w:r w:rsidRPr="00DA7D87">
        <w:t xml:space="preserve"> was comparable among treatment groups (52% to 55%). Analyses of the specific </w:t>
      </w:r>
      <w:r>
        <w:t>Holter</w:t>
      </w:r>
      <w:r w:rsidRPr="00DA7D87">
        <w:t xml:space="preserve"> ECG abnormalities for subjects with any </w:t>
      </w:r>
      <w:r>
        <w:t>post-baseline</w:t>
      </w:r>
      <w:r w:rsidRPr="00DA7D87">
        <w:t xml:space="preserve"> </w:t>
      </w:r>
      <w:r w:rsidRPr="00DA7D87">
        <w:lastRenderedPageBreak/>
        <w:t xml:space="preserve">abnormal, clinically significant </w:t>
      </w:r>
      <w:r>
        <w:t>Holter</w:t>
      </w:r>
      <w:r w:rsidRPr="00DA7D87">
        <w:t xml:space="preserve"> ECG interpretation showed that incidences were comparable among groups.</w:t>
      </w:r>
    </w:p>
    <w:p w:rsidR="00B13321" w:rsidRPr="00DA7D87" w:rsidRDefault="00B13321" w:rsidP="00813832">
      <w:pPr>
        <w:pStyle w:val="Heading4"/>
      </w:pPr>
      <w:bookmarkStart w:id="253" w:name="_Toc376461192"/>
      <w:r w:rsidRPr="00DA7D87">
        <w:t>AEs of special interest</w:t>
      </w:r>
      <w:bookmarkEnd w:id="253"/>
    </w:p>
    <w:p w:rsidR="00B13321" w:rsidRDefault="00B13321" w:rsidP="00813832">
      <w:r w:rsidRPr="00DA7D87">
        <w:t xml:space="preserve">The standardised </w:t>
      </w:r>
      <w:r w:rsidRPr="00F55DCF">
        <w:t xml:space="preserve">Medical Dictionary for Regulatory Activities </w:t>
      </w:r>
      <w:r>
        <w:t>(</w:t>
      </w:r>
      <w:proofErr w:type="spellStart"/>
      <w:r w:rsidRPr="00DA7D87">
        <w:t>MedDRA</w:t>
      </w:r>
      <w:proofErr w:type="spellEnd"/>
      <w:r>
        <w:t>)</w:t>
      </w:r>
      <w:r w:rsidRPr="00DA7D87">
        <w:t xml:space="preserve"> queries (SMQs) or </w:t>
      </w:r>
      <w:proofErr w:type="spellStart"/>
      <w:r w:rsidRPr="00DA7D87">
        <w:t>MedDRA</w:t>
      </w:r>
      <w:proofErr w:type="spellEnd"/>
      <w:r w:rsidRPr="00DA7D87">
        <w:t xml:space="preserve"> High Level Terms used for the </w:t>
      </w:r>
      <w:r>
        <w:t>adverse events of</w:t>
      </w:r>
      <w:r w:rsidRPr="00DA7D87">
        <w:t xml:space="preserve"> special interest (AESIs) </w:t>
      </w:r>
      <w:r w:rsidR="00387A80">
        <w:t>is presented in Table 18</w:t>
      </w:r>
      <w:r w:rsidRPr="00DA7D87">
        <w:t>.</w:t>
      </w:r>
    </w:p>
    <w:p w:rsidR="00B13321" w:rsidRDefault="00B13321" w:rsidP="00E76931">
      <w:pPr>
        <w:pStyle w:val="Tabletitle"/>
      </w:pPr>
      <w:proofErr w:type="gramStart"/>
      <w:r w:rsidRPr="00136688">
        <w:t xml:space="preserve">Table </w:t>
      </w:r>
      <w:r w:rsidR="00387A80">
        <w:t>18</w:t>
      </w:r>
      <w:r w:rsidRPr="00136688">
        <w:t>.</w:t>
      </w:r>
      <w:proofErr w:type="gramEnd"/>
      <w:r w:rsidRPr="00136688">
        <w:t xml:space="preserve"> </w:t>
      </w:r>
      <w:proofErr w:type="gramStart"/>
      <w:r w:rsidRPr="00136688">
        <w:t>Adverse Events of Special Interest Groups, Subgroups, and Selection of Terms</w:t>
      </w:r>
      <w:r>
        <w:t>.</w:t>
      </w:r>
      <w:proofErr w:type="gramEnd"/>
    </w:p>
    <w:p w:rsidR="00B13321" w:rsidRPr="00136688" w:rsidRDefault="00B13321" w:rsidP="00E76931">
      <w:r>
        <w:rPr>
          <w:noProof/>
          <w:lang w:eastAsia="en-AU"/>
        </w:rPr>
        <w:drawing>
          <wp:inline distT="0" distB="0" distL="0" distR="0" wp14:anchorId="590A74D0" wp14:editId="0130347F">
            <wp:extent cx="4741551" cy="5029200"/>
            <wp:effectExtent l="0" t="0" r="0" b="0"/>
            <wp:docPr id="72" name="Picture 72" descr="Table 18. Adverse Events of Special Interest Groups, Subgroups, and Selection of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741730" cy="5029390"/>
                    </a:xfrm>
                    <a:prstGeom prst="rect">
                      <a:avLst/>
                    </a:prstGeom>
                  </pic:spPr>
                </pic:pic>
              </a:graphicData>
            </a:graphic>
          </wp:inline>
        </w:drawing>
      </w:r>
    </w:p>
    <w:p w:rsidR="00B13321" w:rsidRPr="00DA7D87" w:rsidRDefault="00B13321" w:rsidP="00813832">
      <w:pPr>
        <w:pStyle w:val="Heading5"/>
      </w:pPr>
      <w:bookmarkStart w:id="254" w:name="_Toc376461193"/>
      <w:r w:rsidRPr="00DA7D87">
        <w:t>Pivotal studies</w:t>
      </w:r>
      <w:bookmarkEnd w:id="254"/>
    </w:p>
    <w:p w:rsidR="00B13321" w:rsidRDefault="00B13321" w:rsidP="00813832">
      <w:r w:rsidRPr="00DA7D87">
        <w:t xml:space="preserve">The incidence of </w:t>
      </w:r>
      <w:r>
        <w:t>on-treatment</w:t>
      </w:r>
      <w:r w:rsidRPr="00DA7D87">
        <w:t xml:space="preserve"> events in the cardiovascular special interest group was generally comparable across the pooled treatment groups (6% to 10%).</w:t>
      </w:r>
      <w:r>
        <w:t xml:space="preserve"> </w:t>
      </w:r>
      <w:r w:rsidRPr="00DA7D87">
        <w:t xml:space="preserve">The incidence of </w:t>
      </w:r>
      <w:r>
        <w:t>on-treatment</w:t>
      </w:r>
      <w:r w:rsidRPr="00DA7D87">
        <w:t xml:space="preserve"> cardiovascular AESIs by special interest subgroup</w:t>
      </w:r>
      <w:r>
        <w:t>s was shown. R</w:t>
      </w:r>
      <w:r w:rsidRPr="00DA7D87">
        <w:t>esults showed</w:t>
      </w:r>
      <w:r>
        <w:t xml:space="preserve"> that there </w:t>
      </w:r>
      <w:r w:rsidR="00DD5BB1">
        <w:t xml:space="preserve">were </w:t>
      </w:r>
      <w:r>
        <w:t>no obvious dose- or treatment-</w:t>
      </w:r>
      <w:r w:rsidRPr="00DA7D87">
        <w:t xml:space="preserve">related trends. Overall, the most commonly reported subgroup of </w:t>
      </w:r>
      <w:r>
        <w:t>on-treatment</w:t>
      </w:r>
      <w:r w:rsidRPr="00DA7D87">
        <w:t xml:space="preserve"> cardiovascular AESIs was cardiac arrhythmias (2% to 5% across treatment groups). The incidence of </w:t>
      </w:r>
      <w:r>
        <w:t>on-treatment</w:t>
      </w:r>
      <w:r w:rsidRPr="00DA7D87">
        <w:t xml:space="preserve"> cardiovascular AESIs by PT was low (all PTs were reported for </w:t>
      </w:r>
      <w:r>
        <w:t xml:space="preserve">≤ </w:t>
      </w:r>
      <w:r w:rsidRPr="00DA7D87">
        <w:t>1% of subjects by treatme</w:t>
      </w:r>
      <w:r>
        <w:t xml:space="preserve">nt group), and no obvious dose- </w:t>
      </w:r>
      <w:r w:rsidRPr="00DA7D87">
        <w:t>or tre</w:t>
      </w:r>
      <w:r>
        <w:t>atment-</w:t>
      </w:r>
      <w:r w:rsidRPr="00DA7D87">
        <w:t>related patterns identified.</w:t>
      </w:r>
    </w:p>
    <w:p w:rsidR="00B13321" w:rsidRPr="00DA7D87" w:rsidRDefault="00B13321" w:rsidP="00813832">
      <w:r w:rsidRPr="00DA7D87">
        <w:t xml:space="preserve">The incidence of </w:t>
      </w:r>
      <w:r>
        <w:t>on-treatment</w:t>
      </w:r>
      <w:r w:rsidRPr="00DA7D87">
        <w:t xml:space="preserve"> potassium AESIs was l</w:t>
      </w:r>
      <w:r>
        <w:t>ow (&lt; 1% in all treatment groups</w:t>
      </w:r>
      <w:r w:rsidRPr="00DA7D87">
        <w:t xml:space="preserve">) and all of these events were described by the PT “hypokalaemia”. The incidence of </w:t>
      </w:r>
      <w:r>
        <w:t>on-treatment</w:t>
      </w:r>
      <w:r w:rsidRPr="00DA7D87">
        <w:t xml:space="preserve"> glucose AESIs was low (&lt;</w:t>
      </w:r>
      <w:r>
        <w:t xml:space="preserve"> </w:t>
      </w:r>
      <w:r w:rsidRPr="00DA7D87">
        <w:t>1</w:t>
      </w:r>
      <w:r>
        <w:t>% to 2% across treatment groups</w:t>
      </w:r>
      <w:r w:rsidRPr="00DA7D87">
        <w:t xml:space="preserve">), as was the incidence of </w:t>
      </w:r>
      <w:r>
        <w:t>on-</w:t>
      </w:r>
      <w:r>
        <w:lastRenderedPageBreak/>
        <w:t>treatment</w:t>
      </w:r>
      <w:r w:rsidRPr="00DA7D87">
        <w:t xml:space="preserve"> glucose AESIs by PT (all PTs were reported for &lt;</w:t>
      </w:r>
      <w:r>
        <w:t xml:space="preserve"> </w:t>
      </w:r>
      <w:r w:rsidRPr="00DA7D87">
        <w:t>1% of subjects by treatme</w:t>
      </w:r>
      <w:r>
        <w:t>nt group), with no obvious dose- or treatment-</w:t>
      </w:r>
      <w:r w:rsidRPr="00DA7D87">
        <w:t xml:space="preserve">related patterns identified. The incidence of </w:t>
      </w:r>
      <w:r>
        <w:t>on-treatment</w:t>
      </w:r>
      <w:r w:rsidRPr="00DA7D87">
        <w:t xml:space="preserve"> tremor AESIs was low (&lt;</w:t>
      </w:r>
      <w:r>
        <w:t xml:space="preserve"> </w:t>
      </w:r>
      <w:r w:rsidRPr="00DA7D87">
        <w:t xml:space="preserve">1% in all treatment </w:t>
      </w:r>
      <w:r>
        <w:t>groups</w:t>
      </w:r>
      <w:r w:rsidRPr="00DA7D87">
        <w:t xml:space="preserve">) and all of these events were described by the PT “tremor”. The incidence of </w:t>
      </w:r>
      <w:r>
        <w:t>on-treatment</w:t>
      </w:r>
      <w:r w:rsidRPr="00DA7D87">
        <w:t xml:space="preserve"> urinary retention AESIs was also low (&lt;</w:t>
      </w:r>
      <w:r>
        <w:t xml:space="preserve"> </w:t>
      </w:r>
      <w:r w:rsidRPr="00DA7D87">
        <w:t>1% in all treatment groups). Three PTs were reported for this AESI group: urinary hesitation, urinary retention, and urine flow decreased (each reported for &lt;</w:t>
      </w:r>
      <w:r>
        <w:t xml:space="preserve"> </w:t>
      </w:r>
      <w:r w:rsidRPr="00DA7D87">
        <w:t>1% of subjects by treatm</w:t>
      </w:r>
      <w:r>
        <w:t>ent group), and no obvious dose- or treatment-</w:t>
      </w:r>
      <w:r w:rsidRPr="00DA7D87">
        <w:t xml:space="preserve">related patterns were identified. The incidence of </w:t>
      </w:r>
      <w:r>
        <w:t>on-treatment</w:t>
      </w:r>
      <w:r w:rsidRPr="00DA7D87">
        <w:t xml:space="preserve"> ocular AESIs was low (</w:t>
      </w:r>
      <w:r>
        <w:t>≤ 1% in all treatment groups</w:t>
      </w:r>
      <w:r w:rsidRPr="00DA7D87">
        <w:t xml:space="preserve">), as was the incidence of </w:t>
      </w:r>
      <w:r>
        <w:t>on-treatment</w:t>
      </w:r>
      <w:r w:rsidRPr="00DA7D87">
        <w:t xml:space="preserve"> ocular AESIs by PT (all PTs were reported for &lt;1% of subjects by treatme</w:t>
      </w:r>
      <w:r>
        <w:t>nt group), with no obvious dose- or treatment-</w:t>
      </w:r>
      <w:r w:rsidRPr="00DA7D87">
        <w:t xml:space="preserve">related patterns identified. The incidence of </w:t>
      </w:r>
      <w:r>
        <w:t>on-treatment</w:t>
      </w:r>
      <w:r w:rsidRPr="00DA7D87">
        <w:t xml:space="preserve"> gallbladder AESIs was low (</w:t>
      </w:r>
      <w:r w:rsidR="0014760C">
        <w:t>&lt;</w:t>
      </w:r>
      <w:r>
        <w:t xml:space="preserve"> 1% in all treatment groups</w:t>
      </w:r>
      <w:r w:rsidRPr="00DA7D87">
        <w:t xml:space="preserve">). The incidence of </w:t>
      </w:r>
      <w:r>
        <w:t>on-treatment</w:t>
      </w:r>
      <w:r w:rsidRPr="00DA7D87">
        <w:t xml:space="preserve"> gallbladder AESIs by PT was low (all PTs were reported for &lt;</w:t>
      </w:r>
      <w:r>
        <w:t xml:space="preserve"> </w:t>
      </w:r>
      <w:r w:rsidRPr="00DA7D87">
        <w:t xml:space="preserve">1% of subjects by treatment group), and no obvious </w:t>
      </w:r>
      <w:r>
        <w:t>dose-</w:t>
      </w:r>
      <w:r w:rsidRPr="00DA7D87">
        <w:t xml:space="preserve"> or </w:t>
      </w:r>
      <w:r>
        <w:t>treatment-related</w:t>
      </w:r>
      <w:r w:rsidRPr="00DA7D87">
        <w:t xml:space="preserve"> patterns were identified. The incidence of </w:t>
      </w:r>
      <w:r>
        <w:t>on-treatment</w:t>
      </w:r>
      <w:r w:rsidRPr="00DA7D87">
        <w:t xml:space="preserve"> intestinal obstruction AESIs was low (&lt;</w:t>
      </w:r>
      <w:r>
        <w:t xml:space="preserve"> </w:t>
      </w:r>
      <w:r w:rsidRPr="00DA7D87">
        <w:t>1% in all t</w:t>
      </w:r>
      <w:r>
        <w:t>reatment groups)</w:t>
      </w:r>
      <w:r w:rsidRPr="00DA7D87">
        <w:t>. Two PTs were reported for this AESI group: ileus and small intestinal obstruction (each reported for &lt;</w:t>
      </w:r>
      <w:r>
        <w:t xml:space="preserve"> </w:t>
      </w:r>
      <w:r w:rsidRPr="00DA7D87">
        <w:t xml:space="preserve">1% of subjects by treatment group), and no obvious </w:t>
      </w:r>
      <w:r>
        <w:t>dose-</w:t>
      </w:r>
      <w:r w:rsidRPr="00DA7D87">
        <w:t xml:space="preserve"> or </w:t>
      </w:r>
      <w:r>
        <w:t>treatment-related patterns were identified.</w:t>
      </w:r>
    </w:p>
    <w:p w:rsidR="00B13321" w:rsidRPr="00DA7D87" w:rsidRDefault="00B13321" w:rsidP="00813832">
      <w:r w:rsidRPr="00DA7D87">
        <w:t xml:space="preserve">The incidence of </w:t>
      </w:r>
      <w:r>
        <w:t>on-treatment</w:t>
      </w:r>
      <w:r w:rsidRPr="00DA7D87">
        <w:t xml:space="preserve"> anticholinergic effects AESIs was 3% to 5% in the UMEC/VI, UMEC and VI treatment groups, compared with 4% each in the TIO and </w:t>
      </w:r>
      <w:r w:rsidRPr="002C4159">
        <w:t>placebo</w:t>
      </w:r>
      <w:r w:rsidRPr="00DA7D87">
        <w:t xml:space="preserve"> groups. The incidence of </w:t>
      </w:r>
      <w:r>
        <w:t>on-treatment</w:t>
      </w:r>
      <w:r w:rsidRPr="00DA7D87">
        <w:t xml:space="preserve"> anticholinergic effects AESIs by PT was </w:t>
      </w:r>
      <w:r>
        <w:t xml:space="preserve">≤ </w:t>
      </w:r>
      <w:r w:rsidRPr="00DA7D87">
        <w:t>1% in all treatment groups, except for dry mouth (&lt;</w:t>
      </w:r>
      <w:r>
        <w:t xml:space="preserve"> </w:t>
      </w:r>
      <w:r w:rsidRPr="00DA7D87">
        <w:t>1%, &lt;</w:t>
      </w:r>
      <w:r>
        <w:t xml:space="preserve"> </w:t>
      </w:r>
      <w:r w:rsidRPr="00DA7D87">
        <w:t>1%, 2%, &lt;</w:t>
      </w:r>
      <w:r>
        <w:t xml:space="preserve"> </w:t>
      </w:r>
      <w:r w:rsidRPr="00DA7D87">
        <w:t>1%, &lt;</w:t>
      </w:r>
      <w:r>
        <w:t xml:space="preserve"> </w:t>
      </w:r>
      <w:r w:rsidRPr="00DA7D87">
        <w:t>1%, &lt;</w:t>
      </w:r>
      <w:r>
        <w:t xml:space="preserve"> </w:t>
      </w:r>
      <w:r w:rsidRPr="00DA7D87">
        <w:t xml:space="preserve">1% and 2% in the pooled </w:t>
      </w:r>
      <w:r w:rsidRPr="002C4159">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VI 25 </w:t>
      </w:r>
      <w:r>
        <w:t>µg</w:t>
      </w:r>
      <w:r w:rsidRPr="00DA7D87">
        <w:t xml:space="preserve"> and TIO 18 </w:t>
      </w:r>
      <w:r>
        <w:t>µg</w:t>
      </w:r>
      <w:r w:rsidRPr="00DA7D87">
        <w:t xml:space="preserve"> groups, respectively) and pyrexia (1%, &lt;</w:t>
      </w:r>
      <w:r>
        <w:t xml:space="preserve"> </w:t>
      </w:r>
      <w:r w:rsidRPr="00DA7D87">
        <w:t>1%, 2%, &lt;</w:t>
      </w:r>
      <w:r>
        <w:t xml:space="preserve"> </w:t>
      </w:r>
      <w:r w:rsidRPr="00DA7D87">
        <w:t>1%, 1%, 1% and &lt;</w:t>
      </w:r>
      <w:r>
        <w:t xml:space="preserve"> </w:t>
      </w:r>
      <w:r w:rsidRPr="00DA7D87">
        <w:t xml:space="preserve">1%, respectively). The incidence of </w:t>
      </w:r>
      <w:r>
        <w:t>on-treatment</w:t>
      </w:r>
      <w:r w:rsidRPr="00DA7D87">
        <w:t xml:space="preserve"> </w:t>
      </w:r>
      <w:r>
        <w:t>LRTI</w:t>
      </w:r>
      <w:r w:rsidRPr="00F55DCF">
        <w:t xml:space="preserve"> </w:t>
      </w:r>
      <w:r w:rsidRPr="00DA7D87">
        <w:t xml:space="preserve">and pneumonia AESIs was 1% to 3% in the UMEC/VI, UMEC and VI treatment groups, compared with 4% and 1% in the TIO and </w:t>
      </w:r>
      <w:r w:rsidRPr="002C4159">
        <w:t>placebo</w:t>
      </w:r>
      <w:r w:rsidRPr="00DA7D87">
        <w:t xml:space="preserve"> groups, respectively. The incidence of </w:t>
      </w:r>
      <w:r>
        <w:t>on-treatment</w:t>
      </w:r>
      <w:r w:rsidRPr="00DA7D87">
        <w:t xml:space="preserve"> LRTI and pneumonia AESIs by PT was low (all PTs were reported for </w:t>
      </w:r>
      <w:r>
        <w:t xml:space="preserve">≤ </w:t>
      </w:r>
      <w:r w:rsidRPr="00DA7D87">
        <w:t xml:space="preserve">1% of subjects by treatment group), and no obvious </w:t>
      </w:r>
      <w:r>
        <w:t>dose-</w:t>
      </w:r>
      <w:r w:rsidRPr="00DA7D87">
        <w:t xml:space="preserve"> or </w:t>
      </w:r>
      <w:r>
        <w:t>treatment-related</w:t>
      </w:r>
      <w:r w:rsidRPr="00DA7D87">
        <w:t xml:space="preserve"> patterns identified.</w:t>
      </w:r>
    </w:p>
    <w:p w:rsidR="00B13321" w:rsidRPr="00DA7D87" w:rsidRDefault="00B13321" w:rsidP="00813832">
      <w:pPr>
        <w:pStyle w:val="Heading5"/>
      </w:pPr>
      <w:bookmarkStart w:id="255" w:name="_Toc376461194"/>
      <w:r w:rsidRPr="00DA7D87">
        <w:t>Other studies</w:t>
      </w:r>
      <w:bookmarkEnd w:id="255"/>
    </w:p>
    <w:p w:rsidR="00B13321" w:rsidRPr="00DA7D87" w:rsidRDefault="00B13321" w:rsidP="00813832">
      <w:pPr>
        <w:pStyle w:val="Heading6"/>
      </w:pPr>
      <w:r w:rsidRPr="00DA7D87">
        <w:t>Exercise tolerance studies (DB2114417 and DB2114418)</w:t>
      </w:r>
    </w:p>
    <w:p w:rsidR="00B13321" w:rsidRDefault="00B13321" w:rsidP="00813832">
      <w:r w:rsidRPr="00DA7D87">
        <w:t xml:space="preserve">The incidence of </w:t>
      </w:r>
      <w:r>
        <w:t>on-treatment</w:t>
      </w:r>
      <w:r w:rsidRPr="00DA7D87">
        <w:t xml:space="preserve"> events in the cardiovascular special interest group was generally comparable across the pooled treatment groups (1% to 4%).</w:t>
      </w:r>
      <w:r>
        <w:t xml:space="preserve"> </w:t>
      </w:r>
      <w:r w:rsidRPr="00DA7D87">
        <w:t xml:space="preserve">The incidence of </w:t>
      </w:r>
      <w:r>
        <w:t>on-treatment</w:t>
      </w:r>
      <w:r w:rsidRPr="00DA7D87">
        <w:t xml:space="preserve"> cardiovascular AESIs by special interest subgroups </w:t>
      </w:r>
      <w:r>
        <w:t>was presented. R</w:t>
      </w:r>
      <w:r w:rsidRPr="00DA7D87">
        <w:t xml:space="preserve">esults showed that there were no obvious </w:t>
      </w:r>
      <w:r>
        <w:t>dose-</w:t>
      </w:r>
      <w:r w:rsidRPr="00DA7D87">
        <w:t xml:space="preserve"> or </w:t>
      </w:r>
      <w:r>
        <w:t>treatment-related</w:t>
      </w:r>
      <w:r w:rsidRPr="00DA7D87">
        <w:t xml:space="preserve"> trends. Overall, the most commonly reported subgroup of </w:t>
      </w:r>
      <w:r>
        <w:t>on-treatment</w:t>
      </w:r>
      <w:r w:rsidRPr="00DA7D87">
        <w:t xml:space="preserve"> cardiovascular AESIs was cardiac arrhythmias (&lt;</w:t>
      </w:r>
      <w:r>
        <w:t xml:space="preserve"> </w:t>
      </w:r>
      <w:r w:rsidRPr="00DA7D87">
        <w:t>1% to 2% across treatment groups) and hypertension (&lt;</w:t>
      </w:r>
      <w:r>
        <w:t xml:space="preserve"> </w:t>
      </w:r>
      <w:r w:rsidRPr="00DA7D87">
        <w:t xml:space="preserve">1% to 2% across treatment groups). The incidence of </w:t>
      </w:r>
      <w:r>
        <w:t>on-treatment</w:t>
      </w:r>
      <w:r w:rsidRPr="00DA7D87">
        <w:t xml:space="preserve"> cardiovascular AESIs by PT w</w:t>
      </w:r>
      <w:r w:rsidR="0014760C">
        <w:t>as</w:t>
      </w:r>
      <w:r w:rsidRPr="00DA7D87">
        <w:t xml:space="preserve"> low. All PTs were reported for </w:t>
      </w:r>
      <w:r>
        <w:t>≤ </w:t>
      </w:r>
      <w:r w:rsidRPr="00DA7D87">
        <w:t>1% of subjects by treatment group, with the exception of hypertension (&lt;</w:t>
      </w:r>
      <w:r>
        <w:t xml:space="preserve"> </w:t>
      </w:r>
      <w:r w:rsidRPr="00DA7D87">
        <w:t>1%, 0%, 2%, 1%, 1% and &lt;</w:t>
      </w:r>
      <w:r>
        <w:t xml:space="preserve"> </w:t>
      </w:r>
      <w:r w:rsidRPr="00DA7D87">
        <w:t xml:space="preserve">1% in the pooled </w:t>
      </w:r>
      <w:r w:rsidRPr="007A006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There was no obvious </w:t>
      </w:r>
      <w:r>
        <w:t>dose-</w:t>
      </w:r>
      <w:r w:rsidRPr="00DA7D87">
        <w:t xml:space="preserve"> or </w:t>
      </w:r>
      <w:r>
        <w:t>treatment-related</w:t>
      </w:r>
      <w:r w:rsidRPr="00DA7D87">
        <w:t xml:space="preserve"> pattern.</w:t>
      </w:r>
    </w:p>
    <w:p w:rsidR="00B13321" w:rsidRPr="00DA7D87" w:rsidRDefault="00B13321" w:rsidP="00813832">
      <w:r w:rsidRPr="00DA7D87">
        <w:t xml:space="preserve">The incidence of </w:t>
      </w:r>
      <w:r>
        <w:t>on-treatment</w:t>
      </w:r>
      <w:r w:rsidRPr="00DA7D87">
        <w:t xml:space="preserve"> potassium AESIs was low, with only one subject each in the UMEC/VI 62.5/25 </w:t>
      </w:r>
      <w:r>
        <w:t>µg</w:t>
      </w:r>
      <w:r w:rsidRPr="00DA7D87">
        <w:t xml:space="preserve"> and </w:t>
      </w:r>
      <w:r w:rsidRPr="007A0062">
        <w:t>placebo</w:t>
      </w:r>
      <w:r w:rsidRPr="00DA7D87">
        <w:t xml:space="preserve"> groups (&lt;</w:t>
      </w:r>
      <w:r>
        <w:t xml:space="preserve"> </w:t>
      </w:r>
      <w:r w:rsidRPr="00DA7D87">
        <w:t>1% each) reporting an event (both des</w:t>
      </w:r>
      <w:r>
        <w:t>cribed by the PT “hypokalaemia”</w:t>
      </w:r>
      <w:r w:rsidRPr="00DA7D87">
        <w:t xml:space="preserve">). The incidence of </w:t>
      </w:r>
      <w:r>
        <w:t>on-treatment</w:t>
      </w:r>
      <w:r w:rsidRPr="00DA7D87">
        <w:t xml:space="preserve"> glucose AESIs was low (</w:t>
      </w:r>
      <w:r>
        <w:t xml:space="preserve">≤ </w:t>
      </w:r>
      <w:r w:rsidRPr="00DA7D87">
        <w:t xml:space="preserve">1% in all treatment </w:t>
      </w:r>
      <w:r>
        <w:t>groups</w:t>
      </w:r>
      <w:r w:rsidRPr="00DA7D87">
        <w:t xml:space="preserve">), as was the incidence of </w:t>
      </w:r>
      <w:r>
        <w:t>on-treatment</w:t>
      </w:r>
      <w:r w:rsidRPr="00DA7D87">
        <w:t xml:space="preserve"> glucose AESIs by PT (all PTs were reported for </w:t>
      </w:r>
      <w:r>
        <w:t xml:space="preserve">≤ </w:t>
      </w:r>
      <w:r w:rsidRPr="00DA7D87">
        <w:t xml:space="preserve">1% of subjects by treatment group), with no obvious </w:t>
      </w:r>
      <w:r>
        <w:t>dose-</w:t>
      </w:r>
      <w:r w:rsidRPr="00DA7D87">
        <w:t xml:space="preserve"> or </w:t>
      </w:r>
      <w:r>
        <w:t>treatment-related</w:t>
      </w:r>
      <w:r w:rsidRPr="00DA7D87">
        <w:t xml:space="preserve"> patterns identified. The incidence of </w:t>
      </w:r>
      <w:r>
        <w:t>on-treatment</w:t>
      </w:r>
      <w:r w:rsidRPr="00DA7D87">
        <w:t xml:space="preserve"> tremor AESIs was low, with only one subject each in the UMEC/VI 62.5/25 </w:t>
      </w:r>
      <w:r>
        <w:t>µg</w:t>
      </w:r>
      <w:r w:rsidRPr="00DA7D87">
        <w:t xml:space="preserve"> and </w:t>
      </w:r>
      <w:r w:rsidRPr="007A0062">
        <w:t>placebo</w:t>
      </w:r>
      <w:r w:rsidRPr="00DA7D87">
        <w:t xml:space="preserve"> groups (&lt;</w:t>
      </w:r>
      <w:r>
        <w:t xml:space="preserve"> </w:t>
      </w:r>
      <w:r w:rsidRPr="00DA7D87">
        <w:t>1% each) reporting an event (bo</w:t>
      </w:r>
      <w:r>
        <w:t>th described by the PT “tremor”</w:t>
      </w:r>
      <w:r w:rsidRPr="00DA7D87">
        <w:t xml:space="preserve">). The incidence of </w:t>
      </w:r>
      <w:r>
        <w:t>on-treatment</w:t>
      </w:r>
      <w:r w:rsidRPr="00DA7D87">
        <w:t xml:space="preserve"> urinary retention AESIs was also low, with only one subject each in the UMEC/VI 62.5/25 </w:t>
      </w:r>
      <w:r>
        <w:t>µg</w:t>
      </w:r>
      <w:r w:rsidRPr="00DA7D87">
        <w:t xml:space="preserve"> and VI 25 </w:t>
      </w:r>
      <w:r>
        <w:t>µg</w:t>
      </w:r>
      <w:r w:rsidRPr="00DA7D87">
        <w:t xml:space="preserve"> groups (&lt;</w:t>
      </w:r>
      <w:r>
        <w:t xml:space="preserve"> </w:t>
      </w:r>
      <w:r w:rsidRPr="00DA7D87">
        <w:t>1% each) reporting an event (both describe</w:t>
      </w:r>
      <w:r>
        <w:t>d by the PT “urinary retention”</w:t>
      </w:r>
      <w:r w:rsidRPr="00DA7D87">
        <w:t xml:space="preserve">). The incidence of </w:t>
      </w:r>
      <w:r>
        <w:t>on-treatment</w:t>
      </w:r>
      <w:r w:rsidRPr="00DA7D87">
        <w:t xml:space="preserve"> ocular AESIs was low (</w:t>
      </w:r>
      <w:r>
        <w:t>≤ 1% in all treatment groups</w:t>
      </w:r>
      <w:r w:rsidRPr="00DA7D87">
        <w:t xml:space="preserve">), as was the incidence of </w:t>
      </w:r>
      <w:r>
        <w:t>on-</w:t>
      </w:r>
      <w:r>
        <w:lastRenderedPageBreak/>
        <w:t>treatment</w:t>
      </w:r>
      <w:r w:rsidRPr="00DA7D87">
        <w:t xml:space="preserve"> ocular AESIs by PT (all PTs were reported for </w:t>
      </w:r>
      <w:r>
        <w:t xml:space="preserve">≤ </w:t>
      </w:r>
      <w:r w:rsidRPr="00DA7D87">
        <w:t xml:space="preserve">1% of subjects by treatment group), with no obvious </w:t>
      </w:r>
      <w:r>
        <w:t>dose-</w:t>
      </w:r>
      <w:r w:rsidRPr="00DA7D87">
        <w:t xml:space="preserve"> or </w:t>
      </w:r>
      <w:r>
        <w:t>treatment-related patterns identified</w:t>
      </w:r>
      <w:r w:rsidRPr="00DA7D87">
        <w:t xml:space="preserve">. The incidence of </w:t>
      </w:r>
      <w:r>
        <w:t>on-treatment</w:t>
      </w:r>
      <w:r w:rsidRPr="00DA7D87">
        <w:t xml:space="preserve"> gallbladder AESIs was low, with only one subject (1%) in the UMEC 125 </w:t>
      </w:r>
      <w:r>
        <w:t>µg</w:t>
      </w:r>
      <w:r w:rsidRPr="00DA7D87">
        <w:t xml:space="preserve"> reporting an event (PT of “Porcelain gallbla</w:t>
      </w:r>
      <w:r>
        <w:t>dder”</w:t>
      </w:r>
      <w:r w:rsidRPr="00DA7D87">
        <w:t>). No subjects had a</w:t>
      </w:r>
      <w:r>
        <w:t>ny intestinal obstruction AESIs</w:t>
      </w:r>
      <w:r w:rsidRPr="00DA7D87">
        <w:t xml:space="preserve"> in these studies.</w:t>
      </w:r>
    </w:p>
    <w:p w:rsidR="00B13321" w:rsidRPr="00DA7D87" w:rsidRDefault="00B13321" w:rsidP="00813832">
      <w:r w:rsidRPr="00DA7D87">
        <w:t xml:space="preserve">The incidence of </w:t>
      </w:r>
      <w:r>
        <w:t>on treatment</w:t>
      </w:r>
      <w:r w:rsidRPr="00DA7D87">
        <w:t xml:space="preserve"> anticholinergic effects AESIs was 0% to 3% in the UMEC/VI, UMEC and VI treatment groups, compared with 2% in the </w:t>
      </w:r>
      <w:r w:rsidRPr="007A0062">
        <w:t>placebo</w:t>
      </w:r>
      <w:r w:rsidRPr="00DA7D87">
        <w:t xml:space="preserve"> group. The incidence of </w:t>
      </w:r>
      <w:r>
        <w:t>on-treatment</w:t>
      </w:r>
      <w:r w:rsidRPr="00DA7D87">
        <w:t xml:space="preserve"> anticholinergic effects AESIs by PT was </w:t>
      </w:r>
      <w:r>
        <w:t xml:space="preserve">≤ </w:t>
      </w:r>
      <w:r w:rsidRPr="00DA7D87">
        <w:t>1% in all treatment groups, except for dry mouth (&lt;</w:t>
      </w:r>
      <w:r>
        <w:t xml:space="preserve"> </w:t>
      </w:r>
      <w:r w:rsidRPr="00DA7D87">
        <w:t>1%, &lt;</w:t>
      </w:r>
      <w:r>
        <w:t xml:space="preserve"> </w:t>
      </w:r>
      <w:r w:rsidRPr="00DA7D87">
        <w:t xml:space="preserve">1%, 0%, 0%, 2% and 0% in the pooled </w:t>
      </w:r>
      <w:r w:rsidRPr="007A0062">
        <w:t>placebo</w:t>
      </w:r>
      <w:r w:rsidRPr="00DA7D87">
        <w:t xml:space="preserve">, UMEC/VI 62.5/25 </w:t>
      </w:r>
      <w:r>
        <w:t>µg</w:t>
      </w:r>
      <w:r w:rsidRPr="00DA7D87">
        <w:t xml:space="preserve">, UMEC/VI 125/25 </w:t>
      </w:r>
      <w:r>
        <w:t>µg</w:t>
      </w:r>
      <w:r w:rsidRPr="00DA7D87">
        <w:t xml:space="preserve">, UMEC 62.5 </w:t>
      </w:r>
      <w:r>
        <w:t>µg</w:t>
      </w:r>
      <w:r w:rsidRPr="00DA7D87">
        <w:t xml:space="preserve">, UMEC 125 </w:t>
      </w:r>
      <w:r>
        <w:t>µg</w:t>
      </w:r>
      <w:r w:rsidRPr="00DA7D87">
        <w:t xml:space="preserve">, and VI 25 </w:t>
      </w:r>
      <w:r>
        <w:t>µg</w:t>
      </w:r>
      <w:r w:rsidRPr="00DA7D87">
        <w:t xml:space="preserve"> groups, respectively). The incidence of </w:t>
      </w:r>
      <w:r>
        <w:t>on-treatment</w:t>
      </w:r>
      <w:r w:rsidRPr="00DA7D87">
        <w:t xml:space="preserve"> LRTI and pneumonia AESIs was low (</w:t>
      </w:r>
      <w:r>
        <w:t>≤ 1% in all treatment groups</w:t>
      </w:r>
      <w:r w:rsidRPr="00DA7D87">
        <w:t xml:space="preserve">), as was the incidence of </w:t>
      </w:r>
      <w:r>
        <w:t>on treatment</w:t>
      </w:r>
      <w:r w:rsidRPr="00DA7D87">
        <w:t xml:space="preserve"> LRTI and pneumonia AESIs by PT (all PTs were reported for </w:t>
      </w:r>
      <w:r>
        <w:t xml:space="preserve">≤ </w:t>
      </w:r>
      <w:r w:rsidRPr="00DA7D87">
        <w:t xml:space="preserve">1% of subjects by treatment group), and no with no obvious </w:t>
      </w:r>
      <w:r>
        <w:t>dose-</w:t>
      </w:r>
      <w:r w:rsidRPr="00DA7D87">
        <w:t xml:space="preserve"> or </w:t>
      </w:r>
      <w:r>
        <w:t>treatment-related</w:t>
      </w:r>
      <w:r w:rsidRPr="00DA7D87">
        <w:t xml:space="preserve"> patterns identified.</w:t>
      </w:r>
    </w:p>
    <w:p w:rsidR="00B13321" w:rsidRPr="00DA7D87" w:rsidRDefault="00B13321" w:rsidP="00813832">
      <w:pPr>
        <w:pStyle w:val="Heading6"/>
      </w:pPr>
      <w:r>
        <w:t>Long-term</w:t>
      </w:r>
      <w:r w:rsidRPr="00DA7D87">
        <w:t xml:space="preserve"> safety study (DB2113359)</w:t>
      </w:r>
    </w:p>
    <w:p w:rsidR="00B13321" w:rsidRDefault="00B13321" w:rsidP="00813832">
      <w:r w:rsidRPr="00DA7D87">
        <w:t xml:space="preserve">The incidence of </w:t>
      </w:r>
      <w:r>
        <w:t>on-treatment</w:t>
      </w:r>
      <w:r w:rsidRPr="00DA7D87">
        <w:t xml:space="preserve"> events in the cardiovascular special interest group was generally comparable across the treatment g</w:t>
      </w:r>
      <w:r>
        <w:t xml:space="preserve">roups (15% to 23%). </w:t>
      </w:r>
      <w:r w:rsidRPr="00DA7D87">
        <w:t xml:space="preserve">The incidence of </w:t>
      </w:r>
      <w:r>
        <w:t>on-treatment</w:t>
      </w:r>
      <w:r w:rsidRPr="00DA7D87">
        <w:t xml:space="preserve"> cardiovascular AESIs by special interest subgroups </w:t>
      </w:r>
      <w:r>
        <w:t>was</w:t>
      </w:r>
      <w:r w:rsidRPr="00DA7D87">
        <w:t xml:space="preserve"> presented, and results showed that there were no obvious </w:t>
      </w:r>
      <w:r>
        <w:t>dose-</w:t>
      </w:r>
      <w:r w:rsidRPr="00DA7D87">
        <w:t xml:space="preserve"> or </w:t>
      </w:r>
      <w:r>
        <w:t>treatment-related</w:t>
      </w:r>
      <w:r w:rsidRPr="00DA7D87">
        <w:t xml:space="preserve"> trends. Overall, the most commonly reported subgroup of </w:t>
      </w:r>
      <w:r>
        <w:t>on treatment</w:t>
      </w:r>
      <w:r w:rsidRPr="00DA7D87">
        <w:t xml:space="preserve"> cardiovascular AESIs was cardiac arrhythmias (12% to 17% across treatment groups) and hypertension (3% to 6% across treatment groups). Analyses of the incidence of </w:t>
      </w:r>
      <w:r>
        <w:t>on-treatment</w:t>
      </w:r>
      <w:r w:rsidRPr="00DA7D87">
        <w:t xml:space="preserve"> cardiovascular AESIs by PT showed that there were no obvious </w:t>
      </w:r>
      <w:r>
        <w:t>dose-</w:t>
      </w:r>
      <w:r w:rsidRPr="00DA7D87">
        <w:t xml:space="preserve"> or </w:t>
      </w:r>
      <w:r>
        <w:t>treatment-related</w:t>
      </w:r>
      <w:r w:rsidRPr="00DA7D87">
        <w:t xml:space="preserve"> patterns. The most commonly reported </w:t>
      </w:r>
      <w:r>
        <w:t>on-treatment</w:t>
      </w:r>
      <w:r w:rsidRPr="00DA7D87">
        <w:t xml:space="preserve"> cardiovascular AESIs by PT in the UMEC/VI 125/25 </w:t>
      </w:r>
      <w:r>
        <w:t>µg</w:t>
      </w:r>
      <w:r w:rsidRPr="00DA7D87">
        <w:t xml:space="preserve"> or UMEC 125 </w:t>
      </w:r>
      <w:r>
        <w:t>µg</w:t>
      </w:r>
      <w:r w:rsidRPr="00DA7D87">
        <w:t xml:space="preserve"> group was ventricular </w:t>
      </w:r>
      <w:proofErr w:type="spellStart"/>
      <w:r w:rsidRPr="00DA7D87">
        <w:t>extrasystoles</w:t>
      </w:r>
      <w:proofErr w:type="spellEnd"/>
      <w:r w:rsidRPr="00DA7D87">
        <w:t xml:space="preserve"> (5% each in the </w:t>
      </w:r>
      <w:r w:rsidRPr="007A0062">
        <w:t>placebo</w:t>
      </w:r>
      <w:r w:rsidRPr="00DA7D87">
        <w:t xml:space="preserve">, UMEC/VI 125/25 </w:t>
      </w:r>
      <w:r>
        <w:t>µg</w:t>
      </w:r>
      <w:r w:rsidRPr="00DA7D87">
        <w:t xml:space="preserve"> and UMEC 125 </w:t>
      </w:r>
      <w:r>
        <w:t>µg groups).</w:t>
      </w:r>
    </w:p>
    <w:p w:rsidR="00B13321" w:rsidRPr="00DA7D87" w:rsidRDefault="00B13321" w:rsidP="00813832">
      <w:r w:rsidRPr="00DA7D87">
        <w:t xml:space="preserve">The incidence of </w:t>
      </w:r>
      <w:r>
        <w:t>on-treatment</w:t>
      </w:r>
      <w:r w:rsidRPr="00DA7D87">
        <w:t xml:space="preserve"> potassium AESIs was low, with only one subject (in the UMEC 125 </w:t>
      </w:r>
      <w:r>
        <w:t>µg</w:t>
      </w:r>
      <w:r w:rsidRPr="00DA7D87">
        <w:t xml:space="preserve"> group; &lt;</w:t>
      </w:r>
      <w:r>
        <w:t xml:space="preserve"> </w:t>
      </w:r>
      <w:r w:rsidRPr="00DA7D87">
        <w:t>1%) reporting</w:t>
      </w:r>
      <w:r>
        <w:t xml:space="preserve"> an event (PT of “hypokalaemia”</w:t>
      </w:r>
      <w:r w:rsidRPr="00DA7D87">
        <w:t xml:space="preserve">). The incidence of </w:t>
      </w:r>
      <w:r>
        <w:t>on-treatment</w:t>
      </w:r>
      <w:r w:rsidRPr="00DA7D87">
        <w:t xml:space="preserve"> glucose AESIs was 0%, 4% and 1% in the </w:t>
      </w:r>
      <w:r w:rsidRPr="007A0062">
        <w:t>placebo</w:t>
      </w:r>
      <w:r w:rsidRPr="00DA7D87">
        <w:t xml:space="preserve">, UMEC/VI 125/25 </w:t>
      </w:r>
      <w:r>
        <w:t>µg</w:t>
      </w:r>
      <w:r w:rsidRPr="00DA7D87">
        <w:t xml:space="preserve"> and UMEC 125 </w:t>
      </w:r>
      <w:r>
        <w:t>µg</w:t>
      </w:r>
      <w:r w:rsidRPr="00DA7D87">
        <w:t xml:space="preserve"> groups, respectively. The incidence of </w:t>
      </w:r>
      <w:r>
        <w:t>on-treatment</w:t>
      </w:r>
      <w:r w:rsidRPr="00DA7D87">
        <w:t xml:space="preserve"> glucose AESIs by PT was low (all PTs were reported for </w:t>
      </w:r>
      <w:r>
        <w:t xml:space="preserve">≤ </w:t>
      </w:r>
      <w:r w:rsidRPr="00DA7D87">
        <w:t xml:space="preserve">1% of subjects by treatment group), and no obvious </w:t>
      </w:r>
      <w:r>
        <w:t>dose-</w:t>
      </w:r>
      <w:r w:rsidRPr="00DA7D87">
        <w:t xml:space="preserve"> or </w:t>
      </w:r>
      <w:r>
        <w:t>treatment-related</w:t>
      </w:r>
      <w:r w:rsidRPr="00DA7D87">
        <w:t xml:space="preserve"> patterns were identified. No subjects in study DB2113359 had an eve</w:t>
      </w:r>
      <w:r>
        <w:t>nt in the AESI group of tremors</w:t>
      </w:r>
      <w:r w:rsidRPr="00DA7D87">
        <w:t xml:space="preserve"> or urinary retention. The incidence of </w:t>
      </w:r>
      <w:r>
        <w:t>on-treatment</w:t>
      </w:r>
      <w:r w:rsidRPr="00DA7D87">
        <w:t xml:space="preserve"> ocular AESIs was l</w:t>
      </w:r>
      <w:r>
        <w:t>ow (&lt; 1% in all treatment groups</w:t>
      </w:r>
      <w:r w:rsidRPr="00DA7D87">
        <w:t xml:space="preserve">), as was the incidence of </w:t>
      </w:r>
      <w:r>
        <w:t>on-treatment</w:t>
      </w:r>
      <w:r w:rsidRPr="00DA7D87">
        <w:t xml:space="preserve"> ocular AESIs by PT (all PTs were reported for &lt;</w:t>
      </w:r>
      <w:r>
        <w:t> </w:t>
      </w:r>
      <w:r w:rsidRPr="00DA7D87">
        <w:t xml:space="preserve">1% of subjects by treatment group), with no obvious </w:t>
      </w:r>
      <w:r>
        <w:t>dose-</w:t>
      </w:r>
      <w:r w:rsidRPr="00DA7D87">
        <w:t xml:space="preserve"> or </w:t>
      </w:r>
      <w:r>
        <w:t>treatment-related</w:t>
      </w:r>
      <w:r w:rsidRPr="00DA7D87">
        <w:t xml:space="preserve"> patterns identified. The incidence of </w:t>
      </w:r>
      <w:r>
        <w:t>on-treatment</w:t>
      </w:r>
      <w:r w:rsidRPr="00DA7D87">
        <w:t xml:space="preserve"> gallbladder AESIs was low, with only 2 subject</w:t>
      </w:r>
      <w:r w:rsidR="0014760C">
        <w:t>s</w:t>
      </w:r>
      <w:r w:rsidRPr="00DA7D87">
        <w:t xml:space="preserve"> (&lt;</w:t>
      </w:r>
      <w:r>
        <w:t xml:space="preserve"> </w:t>
      </w:r>
      <w:r w:rsidRPr="00DA7D87">
        <w:t xml:space="preserve">1%) in the UMEC 125 </w:t>
      </w:r>
      <w:r>
        <w:t>µg</w:t>
      </w:r>
      <w:r w:rsidRPr="00DA7D87">
        <w:t xml:space="preserve"> reporting an event (PT of “</w:t>
      </w:r>
      <w:proofErr w:type="spellStart"/>
      <w:r w:rsidRPr="00DA7D87">
        <w:t>Cholelithiasis</w:t>
      </w:r>
      <w:proofErr w:type="spellEnd"/>
      <w:r w:rsidRPr="00DA7D87">
        <w:t>” and “</w:t>
      </w:r>
      <w:proofErr w:type="spellStart"/>
      <w:r w:rsidRPr="00DA7D87">
        <w:t>Cholecystitis</w:t>
      </w:r>
      <w:proofErr w:type="spellEnd"/>
      <w:r w:rsidRPr="00DA7D87">
        <w:t xml:space="preserve"> chronic”, respectively). No subjects had any intestinal obstruction AESIs.</w:t>
      </w:r>
    </w:p>
    <w:p w:rsidR="00B13321" w:rsidRPr="00DA7D87" w:rsidRDefault="00B13321" w:rsidP="00813832">
      <w:r w:rsidRPr="00DA7D87">
        <w:t xml:space="preserve">The incidence of </w:t>
      </w:r>
      <w:r>
        <w:t>on-treatment</w:t>
      </w:r>
      <w:r w:rsidRPr="00DA7D87">
        <w:t xml:space="preserve"> anticholinergic effects AESIs was low (2% in each treatment group). The incidence of </w:t>
      </w:r>
      <w:r>
        <w:t>on-treatment</w:t>
      </w:r>
      <w:r w:rsidRPr="00DA7D87">
        <w:t xml:space="preserve"> anticholinergic effects AESIs by PT was &lt;</w:t>
      </w:r>
      <w:r>
        <w:t xml:space="preserve"> </w:t>
      </w:r>
      <w:r w:rsidRPr="00DA7D87">
        <w:t xml:space="preserve">1% in all treatment groups, and no obvious </w:t>
      </w:r>
      <w:r>
        <w:t>dose-</w:t>
      </w:r>
      <w:r w:rsidRPr="00DA7D87">
        <w:t xml:space="preserve"> or </w:t>
      </w:r>
      <w:r>
        <w:t>treatment-related</w:t>
      </w:r>
      <w:r w:rsidRPr="00DA7D87">
        <w:t xml:space="preserve"> patterns were identified. The incidence of </w:t>
      </w:r>
      <w:r>
        <w:t>on-treatment</w:t>
      </w:r>
      <w:r w:rsidRPr="00DA7D87">
        <w:t xml:space="preserve"> LRTI and pneumonia AESIs was 2%, 2% and 5% in the </w:t>
      </w:r>
      <w:r w:rsidRPr="004E3355">
        <w:t>placebo</w:t>
      </w:r>
      <w:r w:rsidRPr="00DA7D87">
        <w:t xml:space="preserve">, UMEC/VI 125/25 </w:t>
      </w:r>
      <w:r>
        <w:t>µg</w:t>
      </w:r>
      <w:r w:rsidRPr="00DA7D87">
        <w:t xml:space="preserve"> and UMEC 125 </w:t>
      </w:r>
      <w:r>
        <w:t>µg</w:t>
      </w:r>
      <w:r w:rsidRPr="00DA7D87">
        <w:t xml:space="preserve"> groups, respectively. The incidence of </w:t>
      </w:r>
      <w:r>
        <w:t>on-treatment</w:t>
      </w:r>
      <w:r w:rsidRPr="00DA7D87">
        <w:t xml:space="preserve"> LRTI and pneumonia AESIs by PT was </w:t>
      </w:r>
      <w:r>
        <w:t xml:space="preserve">≤ </w:t>
      </w:r>
      <w:r w:rsidRPr="00DA7D87">
        <w:t xml:space="preserve">1% in all treatment groups, except for pneumonia (0%, 0% and 3% in the </w:t>
      </w:r>
      <w:r w:rsidRPr="004E3355">
        <w:t>placebo</w:t>
      </w:r>
      <w:r w:rsidRPr="00DA7D87">
        <w:t xml:space="preserve">, UMEC/VI 125/25 </w:t>
      </w:r>
      <w:r>
        <w:t>µg</w:t>
      </w:r>
      <w:r w:rsidRPr="00DA7D87">
        <w:t xml:space="preserve"> and UMEC 125 </w:t>
      </w:r>
      <w:r>
        <w:t>µg</w:t>
      </w:r>
      <w:r w:rsidRPr="00DA7D87">
        <w:t xml:space="preserve"> groups, respectively) and bronchitis (2%, &lt;</w:t>
      </w:r>
      <w:r>
        <w:t xml:space="preserve"> </w:t>
      </w:r>
      <w:r w:rsidRPr="00DA7D87">
        <w:t>1% and &lt;</w:t>
      </w:r>
      <w:r>
        <w:t xml:space="preserve"> </w:t>
      </w:r>
      <w:r w:rsidRPr="00DA7D87">
        <w:t>1%, respectively).</w:t>
      </w:r>
    </w:p>
    <w:p w:rsidR="00B13321" w:rsidRPr="00DA7D87" w:rsidRDefault="00B13321" w:rsidP="00813832">
      <w:pPr>
        <w:pStyle w:val="Heading3"/>
      </w:pPr>
      <w:bookmarkStart w:id="256" w:name="_Toc241374326"/>
      <w:bookmarkStart w:id="257" w:name="_Ref272333048"/>
      <w:bookmarkStart w:id="258" w:name="_Toc272414679"/>
      <w:bookmarkStart w:id="259" w:name="_Toc290846317"/>
      <w:bookmarkStart w:id="260" w:name="_Toc376461195"/>
      <w:bookmarkStart w:id="261" w:name="_Toc422852167"/>
      <w:r w:rsidRPr="00DA7D87">
        <w:t>Post-marketing experience</w:t>
      </w:r>
      <w:bookmarkEnd w:id="256"/>
      <w:bookmarkEnd w:id="257"/>
      <w:bookmarkEnd w:id="258"/>
      <w:bookmarkEnd w:id="259"/>
      <w:bookmarkEnd w:id="260"/>
      <w:bookmarkEnd w:id="261"/>
    </w:p>
    <w:p w:rsidR="00B13321" w:rsidRPr="00DA7D87" w:rsidRDefault="00B13321" w:rsidP="00813832">
      <w:r w:rsidRPr="00DA7D87">
        <w:t>Not applicable.</w:t>
      </w:r>
    </w:p>
    <w:p w:rsidR="00B13321" w:rsidRPr="00DA7D87" w:rsidRDefault="00B13321" w:rsidP="00813832">
      <w:pPr>
        <w:pStyle w:val="Heading3"/>
      </w:pPr>
      <w:bookmarkStart w:id="262" w:name="_Ref272333005"/>
      <w:bookmarkStart w:id="263" w:name="_Toc272414680"/>
      <w:bookmarkStart w:id="264" w:name="_Toc290846318"/>
      <w:bookmarkStart w:id="265" w:name="_Toc376461196"/>
      <w:bookmarkStart w:id="266" w:name="_Toc422852168"/>
      <w:r w:rsidRPr="00DA7D87">
        <w:lastRenderedPageBreak/>
        <w:t>Safety issues with the potential for major regulatory imp</w:t>
      </w:r>
      <w:bookmarkEnd w:id="262"/>
      <w:bookmarkEnd w:id="263"/>
      <w:r w:rsidRPr="00DA7D87">
        <w:t>act</w:t>
      </w:r>
      <w:bookmarkEnd w:id="264"/>
      <w:bookmarkEnd w:id="265"/>
      <w:bookmarkEnd w:id="266"/>
    </w:p>
    <w:p w:rsidR="00B13321" w:rsidRPr="00DA7D87" w:rsidRDefault="00B13321" w:rsidP="00813832">
      <w:pPr>
        <w:pStyle w:val="Heading4"/>
      </w:pPr>
      <w:bookmarkStart w:id="267" w:name="_Toc376461197"/>
      <w:r w:rsidRPr="00DA7D87">
        <w:t>Muscarinic antagonist class effects</w:t>
      </w:r>
      <w:bookmarkEnd w:id="267"/>
    </w:p>
    <w:p w:rsidR="00B13321" w:rsidRPr="00DA7D87" w:rsidRDefault="00B13321" w:rsidP="00813832">
      <w:r w:rsidRPr="00DA7D87">
        <w:t>Muscarinic antagonist pharmacological class effects include cardiovascular effects, ocular disorders, urinary retention, intestinal obstruction, gallbladder disorders, and anticholinergic effects. Overall, the results did not raise any particular safety concerns.</w:t>
      </w:r>
    </w:p>
    <w:p w:rsidR="00B13321" w:rsidRPr="00DA7D87" w:rsidRDefault="00B13321" w:rsidP="00813832">
      <w:pPr>
        <w:pStyle w:val="Heading4"/>
      </w:pPr>
      <w:bookmarkStart w:id="268" w:name="_Toc376461198"/>
      <w:r w:rsidRPr="00DA7D87">
        <w:t>Beta</w:t>
      </w:r>
      <w:r w:rsidRPr="004E3355">
        <w:rPr>
          <w:vertAlign w:val="subscript"/>
        </w:rPr>
        <w:t>2</w:t>
      </w:r>
      <w:r w:rsidRPr="00DA7D87">
        <w:t xml:space="preserve"> adrenergic agonist class effects</w:t>
      </w:r>
      <w:bookmarkEnd w:id="268"/>
    </w:p>
    <w:p w:rsidR="00B13321" w:rsidRPr="00DA7D87" w:rsidRDefault="00B13321" w:rsidP="00813832">
      <w:r w:rsidRPr="00DA7D87">
        <w:t>Beta</w:t>
      </w:r>
      <w:r w:rsidRPr="004E3355">
        <w:rPr>
          <w:vertAlign w:val="subscript"/>
        </w:rPr>
        <w:t>2</w:t>
      </w:r>
      <w:r w:rsidRPr="00DA7D87">
        <w:t xml:space="preserve"> adrenergic agonist pharmacological class effects include cardiovascular effects, hypokalaemia, elevated glucose and tremors. Overall, the results did not raise any particular safety concerns.</w:t>
      </w:r>
    </w:p>
    <w:p w:rsidR="00B13321" w:rsidRPr="00DA7D87" w:rsidRDefault="00B13321" w:rsidP="00813832">
      <w:pPr>
        <w:pStyle w:val="Heading3"/>
      </w:pPr>
      <w:bookmarkStart w:id="269" w:name="_Toc272414686"/>
      <w:bookmarkStart w:id="270" w:name="_Ref273005527"/>
      <w:bookmarkStart w:id="271" w:name="_Toc290846324"/>
      <w:bookmarkStart w:id="272" w:name="_Toc376461199"/>
      <w:bookmarkStart w:id="273" w:name="_Toc422852169"/>
      <w:r w:rsidRPr="00DA7D87">
        <w:t>Other safety issues</w:t>
      </w:r>
      <w:bookmarkEnd w:id="269"/>
      <w:bookmarkEnd w:id="270"/>
      <w:bookmarkEnd w:id="271"/>
      <w:bookmarkEnd w:id="272"/>
      <w:bookmarkEnd w:id="273"/>
    </w:p>
    <w:p w:rsidR="00B13321" w:rsidRPr="00DA7D87" w:rsidRDefault="00B13321" w:rsidP="00813832">
      <w:pPr>
        <w:pStyle w:val="Heading4"/>
      </w:pPr>
      <w:bookmarkStart w:id="274" w:name="_Toc241374322"/>
      <w:bookmarkStart w:id="275" w:name="_Ref272331212"/>
      <w:bookmarkStart w:id="276" w:name="_Toc272414687"/>
      <w:bookmarkStart w:id="277" w:name="_Toc290846325"/>
      <w:bookmarkStart w:id="278" w:name="_Toc376461200"/>
      <w:r w:rsidRPr="00DA7D87">
        <w:t>Safety in special populations</w:t>
      </w:r>
      <w:bookmarkEnd w:id="274"/>
      <w:bookmarkEnd w:id="275"/>
      <w:bookmarkEnd w:id="276"/>
      <w:bookmarkEnd w:id="277"/>
      <w:bookmarkEnd w:id="278"/>
    </w:p>
    <w:p w:rsidR="00B13321" w:rsidRPr="00DA7D87" w:rsidRDefault="00B13321" w:rsidP="00813832">
      <w:r w:rsidRPr="00DA7D87">
        <w:t xml:space="preserve">Subgroup analyses in the combined data of the 4 pivotal studies showed that the incidences of </w:t>
      </w:r>
      <w:r>
        <w:t>on-treatment</w:t>
      </w:r>
      <w:r w:rsidRPr="00DA7D87">
        <w:t xml:space="preserve"> AE, </w:t>
      </w:r>
      <w:r>
        <w:t>treatment-related</w:t>
      </w:r>
      <w:r w:rsidRPr="00DA7D87">
        <w:t xml:space="preserve"> AEs, SAEs, or AEs leading to permanent discontinuation of study drug were generally comparable across the subgroups of gender, age, salbutamol reversibility at screening and ICS use.</w:t>
      </w:r>
    </w:p>
    <w:p w:rsidR="00B13321" w:rsidRPr="00DA7D87" w:rsidRDefault="00B13321" w:rsidP="00813832">
      <w:pPr>
        <w:pStyle w:val="Heading3"/>
      </w:pPr>
      <w:bookmarkStart w:id="279" w:name="_Toc241374328"/>
      <w:bookmarkStart w:id="280" w:name="_Toc272414691"/>
      <w:bookmarkStart w:id="281" w:name="_Toc290846329"/>
      <w:bookmarkStart w:id="282" w:name="_Toc376461201"/>
      <w:bookmarkStart w:id="283" w:name="_Toc422852170"/>
      <w:r w:rsidRPr="00DA7D87">
        <w:t>Evaluator’s overall conclusions on clinical safety</w:t>
      </w:r>
      <w:bookmarkEnd w:id="279"/>
      <w:bookmarkEnd w:id="280"/>
      <w:bookmarkEnd w:id="281"/>
      <w:bookmarkEnd w:id="282"/>
      <w:bookmarkEnd w:id="283"/>
    </w:p>
    <w:p w:rsidR="00B13321" w:rsidRPr="00DA7D87" w:rsidRDefault="00B13321" w:rsidP="00813832">
      <w:r w:rsidRPr="00DA7D87">
        <w:t>Overall, the safety results did not raise any major safety concerns for either dose of UMEC/VI or its individual components</w:t>
      </w:r>
      <w:r>
        <w:t>. The overall incidences of all-</w:t>
      </w:r>
      <w:r w:rsidRPr="00DA7D87">
        <w:t xml:space="preserve">causality AEs, </w:t>
      </w:r>
      <w:r>
        <w:t>treatment-related</w:t>
      </w:r>
      <w:r w:rsidRPr="00DA7D87">
        <w:t xml:space="preserve"> AEs, SAEs and AEs leading to discontinuation were comparable between both doses of UMEC/VI and </w:t>
      </w:r>
      <w:r w:rsidRPr="004E3355">
        <w:t>placebo</w:t>
      </w:r>
      <w:r w:rsidRPr="00DA7D87">
        <w:t xml:space="preserve"> or TIO in the pivotal Phase III studies. These results were generally supported by those of the non-pivotal exercise tolerance studies and the </w:t>
      </w:r>
      <w:r>
        <w:t>long-term</w:t>
      </w:r>
      <w:r w:rsidRPr="00DA7D87">
        <w:t xml:space="preserve"> safety study. The commonly reported </w:t>
      </w:r>
      <w:r>
        <w:t>treatment-related</w:t>
      </w:r>
      <w:r w:rsidRPr="00DA7D87">
        <w:t xml:space="preserve"> AEs were those expected for a LABA and LAMA. Analyses of cardiovascular safety and of AEs related to muscarinic antagonist and beta</w:t>
      </w:r>
      <w:r w:rsidRPr="001365B7">
        <w:rPr>
          <w:vertAlign w:val="subscript"/>
        </w:rPr>
        <w:t>2</w:t>
      </w:r>
      <w:r w:rsidRPr="00DA7D87">
        <w:t xml:space="preserve"> adrenergic agonist pharmacological class effects did not raise major safety concerns. The incidences of these AEs were generally low and comparable between </w:t>
      </w:r>
      <w:r>
        <w:t>PLA</w:t>
      </w:r>
      <w:r w:rsidRPr="00DA7D87">
        <w:t xml:space="preserve"> and active treatment groups, with no obvious </w:t>
      </w:r>
      <w:r>
        <w:t>dose-</w:t>
      </w:r>
      <w:r w:rsidRPr="00DA7D87">
        <w:t xml:space="preserve"> or </w:t>
      </w:r>
      <w:r>
        <w:t>treatment-related</w:t>
      </w:r>
      <w:r w:rsidRPr="00DA7D87">
        <w:t xml:space="preserve"> trends detected.</w:t>
      </w:r>
    </w:p>
    <w:p w:rsidR="00B13321" w:rsidRDefault="00B13321" w:rsidP="00813832">
      <w:r>
        <w:t>With regards to potential drug/</w:t>
      </w:r>
      <w:r w:rsidRPr="00DA7D87">
        <w:t xml:space="preserve">drug interactions with known pharmacological smoking cessation agents, such as </w:t>
      </w:r>
      <w:proofErr w:type="spellStart"/>
      <w:r w:rsidRPr="00DA7D87">
        <w:t>varenicline</w:t>
      </w:r>
      <w:proofErr w:type="spellEnd"/>
      <w:r w:rsidRPr="00DA7D87">
        <w:t>, the sponsor had not provided any an</w:t>
      </w:r>
      <w:r>
        <w:t>alyses regarding potential drug-</w:t>
      </w:r>
      <w:r w:rsidRPr="00DA7D87">
        <w:t xml:space="preserve">drug interactions between UMEC/VI and </w:t>
      </w:r>
      <w:proofErr w:type="spellStart"/>
      <w:r w:rsidRPr="00DA7D87">
        <w:t>varenicline</w:t>
      </w:r>
      <w:proofErr w:type="spellEnd"/>
      <w:r w:rsidRPr="00DA7D87">
        <w:t xml:space="preserve">, or incidence of AEs with and without concomitant use of </w:t>
      </w:r>
      <w:proofErr w:type="spellStart"/>
      <w:r w:rsidRPr="00DA7D87">
        <w:t>varenicline</w:t>
      </w:r>
      <w:proofErr w:type="spellEnd"/>
      <w:r w:rsidRPr="00DA7D87">
        <w:t>.</w:t>
      </w:r>
      <w:r>
        <w:t xml:space="preserve"> </w:t>
      </w:r>
      <w:r w:rsidRPr="00DA7D87">
        <w:t xml:space="preserve">As smoking cessation plays an important role in the overall clinical management of patients with COPD, it is expected that in clinical settings, COPD patients being prescribed UMEC/VI would also be engaged in smoking cessation programs, which may include the use of </w:t>
      </w:r>
      <w:proofErr w:type="spellStart"/>
      <w:r w:rsidRPr="00DA7D87">
        <w:t>varenicline</w:t>
      </w:r>
      <w:proofErr w:type="spellEnd"/>
      <w:r w:rsidRPr="00DA7D87">
        <w:t xml:space="preserve">. It would therefore be clinically relevant to explore any potential safety issues with concomitant use of these 2 medications in the 4 pivotal studies. However, a look through the data of the 4 pivotal studies showed that the incidence of concomitant use of </w:t>
      </w:r>
      <w:proofErr w:type="spellStart"/>
      <w:r w:rsidRPr="00DA7D87">
        <w:t>varenicline</w:t>
      </w:r>
      <w:proofErr w:type="spellEnd"/>
      <w:r w:rsidRPr="00DA7D87">
        <w:t xml:space="preserve"> during the studies was very low (1% in each study). In view of this, additional safety analyses comparing results with and without concomitant use of </w:t>
      </w:r>
      <w:proofErr w:type="spellStart"/>
      <w:r w:rsidRPr="00DA7D87">
        <w:t>varenicline</w:t>
      </w:r>
      <w:proofErr w:type="spellEnd"/>
      <w:r w:rsidRPr="00DA7D87">
        <w:t xml:space="preserve"> in the 4 pivotal studies are not considered to be able to allow meaningful interpretation.</w:t>
      </w:r>
    </w:p>
    <w:p w:rsidR="00B13321" w:rsidRPr="00DA7D87" w:rsidRDefault="00B13321" w:rsidP="00813832">
      <w:r w:rsidRPr="004E3355">
        <w:t>Evaluation of the clinical overview in Module 2 of the submission dossier showed that the summary and conclusions were reasonable.</w:t>
      </w:r>
    </w:p>
    <w:p w:rsidR="00B13321" w:rsidRPr="00DA7D87" w:rsidRDefault="00B13321" w:rsidP="00813832">
      <w:pPr>
        <w:pStyle w:val="Heading2"/>
      </w:pPr>
      <w:bookmarkStart w:id="284" w:name="_Ref271136331"/>
      <w:bookmarkStart w:id="285" w:name="_Ref271136335"/>
      <w:bookmarkStart w:id="286" w:name="_Toc272414692"/>
      <w:bookmarkStart w:id="287" w:name="_Ref290633656"/>
      <w:bookmarkStart w:id="288" w:name="_Toc290846330"/>
      <w:bookmarkStart w:id="289" w:name="_Toc376461202"/>
      <w:bookmarkStart w:id="290" w:name="_Toc422852171"/>
      <w:r w:rsidRPr="003D07C6">
        <w:lastRenderedPageBreak/>
        <w:t>F</w:t>
      </w:r>
      <w:r w:rsidR="003F721D">
        <w:t>irst</w:t>
      </w:r>
      <w:r w:rsidRPr="00DA7D87">
        <w:t xml:space="preserve"> </w:t>
      </w:r>
      <w:r w:rsidR="003F721D" w:rsidRPr="00DA7D87">
        <w:t>round benefit-risk assessment</w:t>
      </w:r>
      <w:bookmarkEnd w:id="284"/>
      <w:bookmarkEnd w:id="285"/>
      <w:bookmarkEnd w:id="286"/>
      <w:bookmarkEnd w:id="287"/>
      <w:bookmarkEnd w:id="288"/>
      <w:bookmarkEnd w:id="289"/>
      <w:bookmarkEnd w:id="290"/>
    </w:p>
    <w:p w:rsidR="00B13321" w:rsidRPr="00DA7D87" w:rsidRDefault="00B13321" w:rsidP="00813832">
      <w:pPr>
        <w:pStyle w:val="Heading3"/>
      </w:pPr>
      <w:bookmarkStart w:id="291" w:name="_Toc236802592"/>
      <w:bookmarkStart w:id="292" w:name="_Toc241374331"/>
      <w:bookmarkStart w:id="293" w:name="_Ref272160836"/>
      <w:bookmarkStart w:id="294" w:name="_Toc272414693"/>
      <w:bookmarkStart w:id="295" w:name="_Toc290846331"/>
      <w:bookmarkStart w:id="296" w:name="_Toc376461203"/>
      <w:bookmarkStart w:id="297" w:name="_Toc422852172"/>
      <w:r w:rsidRPr="00DA7D87">
        <w:t>First round assessment of benefits</w:t>
      </w:r>
      <w:bookmarkEnd w:id="291"/>
      <w:bookmarkEnd w:id="292"/>
      <w:bookmarkEnd w:id="293"/>
      <w:bookmarkEnd w:id="294"/>
      <w:bookmarkEnd w:id="295"/>
      <w:bookmarkEnd w:id="296"/>
      <w:bookmarkEnd w:id="297"/>
    </w:p>
    <w:p w:rsidR="00B13321" w:rsidRPr="00DA7D87" w:rsidRDefault="00B13321" w:rsidP="00813832">
      <w:r w:rsidRPr="00DA7D87">
        <w:t xml:space="preserve">The potential benefit of UMEC/VI in the proposed usage is as a </w:t>
      </w:r>
      <w:r>
        <w:t>once-</w:t>
      </w:r>
      <w:r w:rsidRPr="004E3355">
        <w:t>daily</w:t>
      </w:r>
      <w:r w:rsidRPr="00DA7D87">
        <w:t xml:space="preserve"> maintenance bronchodilator treatment to relieve symptoms in adult patients with COPD. Overall, efficacy results were supportive of the efficacy claim of both doses of UMEC/VI (125/25 </w:t>
      </w:r>
      <w:r>
        <w:t>µg</w:t>
      </w:r>
      <w:r w:rsidRPr="00DA7D87">
        <w:t xml:space="preserve"> and 62.5/25 </w:t>
      </w:r>
      <w:r>
        <w:t>µg</w:t>
      </w:r>
      <w:r w:rsidRPr="00DA7D87">
        <w:t xml:space="preserve">) over </w:t>
      </w:r>
      <w:r w:rsidRPr="004E3355">
        <w:t>placebo</w:t>
      </w:r>
      <w:r w:rsidRPr="00DA7D87">
        <w:t xml:space="preserve"> in terms of lung function as well as symptom relief.</w:t>
      </w:r>
    </w:p>
    <w:p w:rsidR="00B13321" w:rsidRPr="00DA7D87" w:rsidRDefault="00B13321" w:rsidP="00813832">
      <w:r w:rsidRPr="00DA7D87">
        <w:t xml:space="preserve">The efficacy of UMEC/VI was evaluated through effects on lung function (FEV1) as well as effects on symptom relief and health outcomes, compared to </w:t>
      </w:r>
      <w:r w:rsidRPr="004E3355">
        <w:t>placebo</w:t>
      </w:r>
      <w:r w:rsidRPr="00DA7D87">
        <w:t xml:space="preserve"> and to </w:t>
      </w:r>
      <w:proofErr w:type="spellStart"/>
      <w:r w:rsidRPr="00DA7D87">
        <w:t>tiotropium</w:t>
      </w:r>
      <w:proofErr w:type="spellEnd"/>
      <w:r w:rsidRPr="00DA7D87">
        <w:t xml:space="preserve">. Analyses on the effects of UMEC/VI on FEV1 compared to </w:t>
      </w:r>
      <w:r w:rsidRPr="004E3355">
        <w:t>placebo</w:t>
      </w:r>
      <w:r w:rsidRPr="00DA7D87">
        <w:t xml:space="preserve"> in the two pivotal </w:t>
      </w:r>
      <w:r>
        <w:t>24-week</w:t>
      </w:r>
      <w:r w:rsidRPr="00DA7D87">
        <w:t xml:space="preserve"> </w:t>
      </w:r>
      <w:r w:rsidRPr="005D7A34">
        <w:t>placebo</w:t>
      </w:r>
      <w:r>
        <w:t>-controlled</w:t>
      </w:r>
      <w:r w:rsidRPr="00DA7D87">
        <w:t xml:space="preserve"> studies showed that after 24 weeks of treatment, both doses of UMEC/VI had statistically significant improvements over </w:t>
      </w:r>
      <w:r w:rsidRPr="004E3355">
        <w:t>placebo</w:t>
      </w:r>
      <w:r w:rsidRPr="00DA7D87">
        <w:t xml:space="preserve"> in trough FEV1 (difference over </w:t>
      </w:r>
      <w:r w:rsidRPr="004E3355">
        <w:t>placebo</w:t>
      </w:r>
      <w:r w:rsidRPr="00DA7D87">
        <w:t xml:space="preserve"> of 167 mL and 238 mL with UMEC/VI 62.5/25 </w:t>
      </w:r>
      <w:r>
        <w:t>µg</w:t>
      </w:r>
      <w:r w:rsidRPr="00DA7D87">
        <w:t xml:space="preserve"> and 125/25 </w:t>
      </w:r>
      <w:r>
        <w:t>µg</w:t>
      </w:r>
      <w:r w:rsidRPr="00DA7D87">
        <w:t xml:space="preserve">, respectively) and in weighted mean FEV1 over </w:t>
      </w:r>
      <w:r>
        <w:t xml:space="preserve">0 - </w:t>
      </w:r>
      <w:r w:rsidRPr="00DA7D87">
        <w:t xml:space="preserve">6 hours </w:t>
      </w:r>
      <w:r>
        <w:t>post-dose</w:t>
      </w:r>
      <w:r w:rsidRPr="00DA7D87">
        <w:t xml:space="preserve"> (difference over </w:t>
      </w:r>
      <w:r w:rsidRPr="004E3355">
        <w:t>placebo</w:t>
      </w:r>
      <w:r w:rsidRPr="00DA7D87">
        <w:t xml:space="preserve"> of 242 mL and 287 mL with UMEC/VI 62.5/25 </w:t>
      </w:r>
      <w:r>
        <w:t>µg</w:t>
      </w:r>
      <w:r w:rsidRPr="00DA7D87">
        <w:t xml:space="preserve"> and 125/25 </w:t>
      </w:r>
      <w:r>
        <w:t>µg</w:t>
      </w:r>
      <w:r w:rsidRPr="00DA7D87">
        <w:t xml:space="preserve">, respectively). Over the </w:t>
      </w:r>
      <w:r>
        <w:t>24-week</w:t>
      </w:r>
      <w:r w:rsidRPr="00DA7D87">
        <w:t xml:space="preserve"> treatment period, improvements with both doses of UMEC/VI in trough FEV</w:t>
      </w:r>
      <w:r>
        <w:t xml:space="preserve">1 and weighted mean FEV1 over 0 - </w:t>
      </w:r>
      <w:r w:rsidRPr="00DA7D87">
        <w:t xml:space="preserve">6 hours </w:t>
      </w:r>
      <w:r>
        <w:t>post-dose</w:t>
      </w:r>
      <w:r w:rsidRPr="00DA7D87">
        <w:t xml:space="preserve"> compared to </w:t>
      </w:r>
      <w:r w:rsidRPr="004E3355">
        <w:t>placebo</w:t>
      </w:r>
      <w:r w:rsidRPr="00DA7D87">
        <w:t xml:space="preserve"> were observed early and then maintained across the </w:t>
      </w:r>
      <w:r>
        <w:t>24-week</w:t>
      </w:r>
      <w:r w:rsidRPr="00DA7D87">
        <w:t xml:space="preserve"> treatment period.</w:t>
      </w:r>
    </w:p>
    <w:p w:rsidR="00B13321" w:rsidRPr="00DA7D87" w:rsidRDefault="00B13321" w:rsidP="00813832">
      <w:r w:rsidRPr="00DA7D87">
        <w:t xml:space="preserve">Analyses on the effects of UMEC/VI on FEV1 compared to </w:t>
      </w:r>
      <w:proofErr w:type="spellStart"/>
      <w:r w:rsidRPr="00DA7D87">
        <w:t>tiotropium</w:t>
      </w:r>
      <w:proofErr w:type="spellEnd"/>
      <w:r w:rsidRPr="00DA7D87">
        <w:t xml:space="preserve"> in the two pivotal </w:t>
      </w:r>
      <w:r>
        <w:t>24-week active-</w:t>
      </w:r>
      <w:r w:rsidRPr="00DA7D87">
        <w:t xml:space="preserve">controlled studies showed that after 24 weeks of treatment, both doses of UMEC/VI had improvements over </w:t>
      </w:r>
      <w:r w:rsidRPr="005D7A34">
        <w:t>placebo</w:t>
      </w:r>
      <w:r w:rsidRPr="00DA7D87">
        <w:t xml:space="preserve"> in trough FEV1 (difference over </w:t>
      </w:r>
      <w:proofErr w:type="spellStart"/>
      <w:r w:rsidRPr="00DA7D87">
        <w:t>tiotropium</w:t>
      </w:r>
      <w:proofErr w:type="spellEnd"/>
      <w:r w:rsidRPr="00DA7D87">
        <w:t xml:space="preserve"> of 60 to 90</w:t>
      </w:r>
      <w:r>
        <w:t xml:space="preserve"> mL and 74 to 88 </w:t>
      </w:r>
      <w:r w:rsidRPr="00DA7D87">
        <w:t xml:space="preserve">mL with UMEC/VI 62.5/25 </w:t>
      </w:r>
      <w:r>
        <w:t>µg</w:t>
      </w:r>
      <w:r w:rsidRPr="00DA7D87">
        <w:t xml:space="preserve"> and 125/25 </w:t>
      </w:r>
      <w:r>
        <w:t>µg</w:t>
      </w:r>
      <w:r w:rsidRPr="00DA7D87">
        <w:t>, respectively) a</w:t>
      </w:r>
      <w:r>
        <w:t xml:space="preserve">nd in weighted mean FEV1 over 0 - </w:t>
      </w:r>
      <w:r w:rsidRPr="00DA7D87">
        <w:t xml:space="preserve">6 hours </w:t>
      </w:r>
      <w:r>
        <w:t>post-dose</w:t>
      </w:r>
      <w:r w:rsidRPr="00DA7D87">
        <w:t xml:space="preserve"> (difference over </w:t>
      </w:r>
      <w:proofErr w:type="spellStart"/>
      <w:r w:rsidRPr="00DA7D87">
        <w:t>tiotropium</w:t>
      </w:r>
      <w:proofErr w:type="spellEnd"/>
      <w:r w:rsidRPr="00DA7D87">
        <w:t xml:space="preserve"> of 74 to 96 mL and 83 to 101 mL with UMEC/VI 62.5/25 </w:t>
      </w:r>
      <w:r>
        <w:t>µg</w:t>
      </w:r>
      <w:r w:rsidRPr="00DA7D87">
        <w:t xml:space="preserve"> and 125/25 </w:t>
      </w:r>
      <w:r>
        <w:t>µg</w:t>
      </w:r>
      <w:r w:rsidRPr="00DA7D87">
        <w:t>, respectively)</w:t>
      </w:r>
      <w:r w:rsidRPr="0011702E">
        <w:rPr>
          <w:vertAlign w:val="superscript"/>
        </w:rPr>
        <w:footnoteReference w:id="61"/>
      </w:r>
      <w:r w:rsidRPr="00DA7D87">
        <w:t xml:space="preserve">. Over the </w:t>
      </w:r>
      <w:r>
        <w:t>24-week</w:t>
      </w:r>
      <w:r w:rsidRPr="00DA7D87">
        <w:t xml:space="preserve"> treatment period, improvements with both doses of UMEC/VI in trough FEV</w:t>
      </w:r>
      <w:r>
        <w:t xml:space="preserve">1 and weighted mean FEV1 over 0 - </w:t>
      </w:r>
      <w:r w:rsidRPr="00DA7D87">
        <w:t xml:space="preserve">6 hours </w:t>
      </w:r>
      <w:r>
        <w:t>post-dose</w:t>
      </w:r>
      <w:r w:rsidRPr="00DA7D87">
        <w:t xml:space="preserve"> compared to </w:t>
      </w:r>
      <w:proofErr w:type="spellStart"/>
      <w:r w:rsidRPr="00DA7D87">
        <w:t>tiotropium</w:t>
      </w:r>
      <w:proofErr w:type="spellEnd"/>
      <w:r w:rsidRPr="00DA7D87">
        <w:t xml:space="preserve"> were observed early and then maintained across the </w:t>
      </w:r>
      <w:r>
        <w:t>24-week</w:t>
      </w:r>
      <w:r w:rsidRPr="00DA7D87">
        <w:t xml:space="preserve"> treatment period.</w:t>
      </w:r>
    </w:p>
    <w:p w:rsidR="00B13321" w:rsidRPr="00DA7D87" w:rsidRDefault="00B13321" w:rsidP="00813832">
      <w:r w:rsidRPr="00DA7D87">
        <w:t xml:space="preserve">Analyses on the effects of UMEC/VI on symptom relief and health outcomes compared to </w:t>
      </w:r>
      <w:r>
        <w:t>PLA</w:t>
      </w:r>
      <w:r w:rsidRPr="00DA7D87">
        <w:t xml:space="preserve"> in the two pivotal </w:t>
      </w:r>
      <w:r>
        <w:t>24-week</w:t>
      </w:r>
      <w:r w:rsidRPr="00DA7D87">
        <w:t xml:space="preserve"> </w:t>
      </w:r>
      <w:r w:rsidRPr="005D7A34">
        <w:t>placebo</w:t>
      </w:r>
      <w:r>
        <w:t>-controlled</w:t>
      </w:r>
      <w:r w:rsidRPr="00DA7D87">
        <w:t xml:space="preserve"> studies showed that after 24 weeks of treatment, both doses of UMEC/VI had statistically significant improvements over </w:t>
      </w:r>
      <w:r w:rsidRPr="005D7A34">
        <w:t>placebo</w:t>
      </w:r>
      <w:r w:rsidRPr="00DA7D87">
        <w:t xml:space="preserve"> in TDI focal scores (difference over </w:t>
      </w:r>
      <w:r w:rsidRPr="005D7A34">
        <w:t>placebo</w:t>
      </w:r>
      <w:r w:rsidRPr="00DA7D87">
        <w:t xml:space="preserve"> of 1.2 and 1.0 with UMEC/VI 62.5/25 </w:t>
      </w:r>
      <w:r>
        <w:t>µg</w:t>
      </w:r>
      <w:r w:rsidRPr="00DA7D87">
        <w:t xml:space="preserve"> and 125/25 </w:t>
      </w:r>
      <w:r>
        <w:t>µg</w:t>
      </w:r>
      <w:r w:rsidRPr="00DA7D87">
        <w:t>, respectively), and there were greater proportions of</w:t>
      </w:r>
      <w:r>
        <w:t xml:space="preserve"> </w:t>
      </w:r>
      <w:r w:rsidRPr="00DA7D87">
        <w:t xml:space="preserve">TDI responders (as defined by a </w:t>
      </w:r>
      <w:r>
        <w:t xml:space="preserve">≥ </w:t>
      </w:r>
      <w:r w:rsidRPr="00DA7D87">
        <w:t xml:space="preserve">1 unit value) compared with </w:t>
      </w:r>
      <w:r w:rsidRPr="005D7A34">
        <w:t>placebo</w:t>
      </w:r>
      <w:r w:rsidRPr="00DA7D87">
        <w:t xml:space="preserve"> for UMEC/VI 62.5/25 </w:t>
      </w:r>
      <w:r>
        <w:t>µg</w:t>
      </w:r>
      <w:r w:rsidRPr="00DA7D87">
        <w:t xml:space="preserve"> (58% </w:t>
      </w:r>
      <w:r w:rsidRPr="005D7A34">
        <w:t>vs.</w:t>
      </w:r>
      <w:r w:rsidRPr="00DA7D87">
        <w:t xml:space="preserve"> 41% with </w:t>
      </w:r>
      <w:r w:rsidRPr="005D7A34">
        <w:t>placebo</w:t>
      </w:r>
      <w:r w:rsidRPr="00DA7D87">
        <w:t xml:space="preserve">) and for UMEC/VI 125/25 </w:t>
      </w:r>
      <w:r>
        <w:t>µg</w:t>
      </w:r>
      <w:r w:rsidRPr="00DA7D87">
        <w:t xml:space="preserve"> (49% </w:t>
      </w:r>
      <w:r w:rsidRPr="005D7A34">
        <w:t>vs.</w:t>
      </w:r>
      <w:r w:rsidRPr="00DA7D87">
        <w:t xml:space="preserve"> 30% with </w:t>
      </w:r>
      <w:r w:rsidRPr="005D7A34">
        <w:t>placebo</w:t>
      </w:r>
      <w:r w:rsidRPr="00DA7D87">
        <w:t xml:space="preserve">). There were also statistically significantly greater reductions from baseline in rescue salbutamol use over Weeks 1 to 24 compared to </w:t>
      </w:r>
      <w:r w:rsidRPr="005D7A34">
        <w:t>placebo</w:t>
      </w:r>
      <w:r w:rsidRPr="00DA7D87">
        <w:t xml:space="preserve"> as well as greater changes from baseline in percentage of </w:t>
      </w:r>
      <w:proofErr w:type="spellStart"/>
      <w:r>
        <w:t>rescu</w:t>
      </w:r>
      <w:proofErr w:type="spellEnd"/>
      <w:r>
        <w:t>- free</w:t>
      </w:r>
      <w:r w:rsidRPr="00DA7D87">
        <w:t xml:space="preserve"> days over Weeks 1 to 24 compared with </w:t>
      </w:r>
      <w:r w:rsidRPr="005D7A34">
        <w:t>placebo</w:t>
      </w:r>
      <w:r w:rsidRPr="00DA7D87">
        <w:t xml:space="preserve">. Both doses of UMEC/VI also showed statistically significantly lower risk of COPD exacerbation compared with </w:t>
      </w:r>
      <w:r w:rsidRPr="005D7A34">
        <w:t>placebo</w:t>
      </w:r>
      <w:r>
        <w:t>.</w:t>
      </w:r>
    </w:p>
    <w:p w:rsidR="00B13321" w:rsidRPr="00DA7D87" w:rsidRDefault="00B13321" w:rsidP="00813832">
      <w:r w:rsidRPr="00DA7D87">
        <w:t>With regards to effects on exercise tolerance, analyses in one of the 2 exercise studies (DB2114418) showed statistically significantly greater</w:t>
      </w:r>
      <w:r>
        <w:t xml:space="preserve"> changes from baseline in the 3-</w:t>
      </w:r>
      <w:r w:rsidRPr="00DA7D87">
        <w:t xml:space="preserve">hour </w:t>
      </w:r>
      <w:r>
        <w:t>post-dose</w:t>
      </w:r>
      <w:r w:rsidRPr="00DA7D87">
        <w:t xml:space="preserve"> EET at Week 12 compared with </w:t>
      </w:r>
      <w:r w:rsidRPr="005D7A34">
        <w:t>placebo</w:t>
      </w:r>
      <w:r w:rsidRPr="00DA7D87">
        <w:t xml:space="preserve"> for both doses of UMEC/VI (difference over </w:t>
      </w:r>
      <w:r w:rsidRPr="005D7A34">
        <w:t>placebo</w:t>
      </w:r>
      <w:r w:rsidRPr="00DA7D87">
        <w:t xml:space="preserve"> of 69.4 seconds and 65.8 seconds for UMEC/VI 62.5/25 </w:t>
      </w:r>
      <w:r>
        <w:t>µg</w:t>
      </w:r>
      <w:r w:rsidRPr="00DA7D87">
        <w:t xml:space="preserve"> and UMEC/VI 125/25 </w:t>
      </w:r>
      <w:r>
        <w:t>µg</w:t>
      </w:r>
      <w:r w:rsidRPr="00DA7D87">
        <w:t>, respectively), while results in the other exercise study (DB2114417) showed no statistica</w:t>
      </w:r>
      <w:r>
        <w:t>lly significant difference in 3-</w:t>
      </w:r>
      <w:r w:rsidRPr="00DA7D87">
        <w:t xml:space="preserve">hour </w:t>
      </w:r>
      <w:r>
        <w:t>post-dose</w:t>
      </w:r>
      <w:r w:rsidRPr="00DA7D87">
        <w:t xml:space="preserve"> EET at Week 12 between either doses of UMEC/VI and </w:t>
      </w:r>
      <w:r w:rsidRPr="005D7A34">
        <w:t>placebo</w:t>
      </w:r>
      <w:r w:rsidRPr="00DA7D87">
        <w:t xml:space="preserve">. However, further analysis shows that this was due to a greater </w:t>
      </w:r>
      <w:r w:rsidRPr="005D7A34">
        <w:t>placebo</w:t>
      </w:r>
      <w:r w:rsidRPr="00DA7D87">
        <w:t xml:space="preserve"> response in study DB2114417 than was observed in the DB2114418 study, and the changes in EET from baseline were similar with both doses of UMEC/VI between both studies.</w:t>
      </w:r>
    </w:p>
    <w:p w:rsidR="00B13321" w:rsidRPr="00DA7D87" w:rsidRDefault="00B13321" w:rsidP="00813832">
      <w:r w:rsidRPr="00DA7D87">
        <w:lastRenderedPageBreak/>
        <w:t xml:space="preserve">Efficacy results in the pivotal studies showed no clear differentiation between the 2 doses of UMEC/VI. The two pivotal </w:t>
      </w:r>
      <w:r>
        <w:t>24-week</w:t>
      </w:r>
      <w:r w:rsidRPr="00DA7D87">
        <w:t xml:space="preserve"> active-controlled studies (DB211336</w:t>
      </w:r>
      <w:r>
        <w:t xml:space="preserve">0 and DB2113374) allowed within </w:t>
      </w:r>
      <w:r w:rsidRPr="00DA7D87">
        <w:t xml:space="preserve">study comparisons of the 2 doses and showed that in study DB2113360, change from baseline in trough FEV1 at Day 169 was 211 mL and 209 mL with UMEC/VI 62.5/25 </w:t>
      </w:r>
      <w:r>
        <w:t>µg</w:t>
      </w:r>
      <w:r w:rsidRPr="00DA7D87">
        <w:t xml:space="preserve"> and UMEC/VI 125/25 </w:t>
      </w:r>
      <w:r>
        <w:t>µg</w:t>
      </w:r>
      <w:r w:rsidRPr="00DA7D87">
        <w:t xml:space="preserve">, respectively (treatment difference over TIO of 90 mL and 88 mL, respectively), while in study DB2113374, change from baseline in trough FEV1 at Day 169 was 208 mL and 223 mL with UMEC/VI 62.5/25 </w:t>
      </w:r>
      <w:r>
        <w:t>µg</w:t>
      </w:r>
      <w:r w:rsidRPr="00DA7D87">
        <w:t xml:space="preserve"> and UMEC/VI 125/25 </w:t>
      </w:r>
      <w:r>
        <w:t>µg</w:t>
      </w:r>
      <w:r w:rsidRPr="00DA7D87">
        <w:t xml:space="preserve">, respectively (treatment difference over TIO of </w:t>
      </w:r>
      <w:r>
        <w:t>60 mL and 74 mL, respectively).</w:t>
      </w:r>
    </w:p>
    <w:p w:rsidR="00B13321" w:rsidRPr="00DA7D87" w:rsidRDefault="00B13321" w:rsidP="00813832">
      <w:r w:rsidRPr="00DA7D87">
        <w:t xml:space="preserve">Additional subgroup analyses on integrated data of the 4 pivotal efficacy studies showed that in the subgroup of subjects reversible to salbutamol at screening, there were greater improvements in </w:t>
      </w:r>
      <w:proofErr w:type="spellStart"/>
      <w:r w:rsidRPr="00DA7D87">
        <w:t>bronchodilatation</w:t>
      </w:r>
      <w:proofErr w:type="spellEnd"/>
      <w:r w:rsidRPr="00DA7D87">
        <w:t xml:space="preserve"> with UMEC/VI 125/25 </w:t>
      </w:r>
      <w:r>
        <w:t>µg</w:t>
      </w:r>
      <w:r w:rsidRPr="00DA7D87">
        <w:t xml:space="preserve"> (improvement over </w:t>
      </w:r>
      <w:r w:rsidRPr="001007A7">
        <w:t>placebo</w:t>
      </w:r>
      <w:r w:rsidRPr="00DA7D87">
        <w:t xml:space="preserve"> in trough FEV1 at Day 169 of 282 mL) compared with UMEC/VI 62.5/25 </w:t>
      </w:r>
      <w:r>
        <w:t>µg</w:t>
      </w:r>
      <w:r w:rsidRPr="00DA7D87">
        <w:t xml:space="preserve"> (improvement over </w:t>
      </w:r>
      <w:r w:rsidRPr="001007A7">
        <w:t>placebo</w:t>
      </w:r>
      <w:r w:rsidRPr="00DA7D87">
        <w:t xml:space="preserve"> of 225 mL), a pattern t</w:t>
      </w:r>
      <w:r>
        <w:t>hat was not observed in the non-</w:t>
      </w:r>
      <w:r w:rsidRPr="00DA7D87">
        <w:t xml:space="preserve">reversible subjects (improvement over </w:t>
      </w:r>
      <w:r w:rsidRPr="001007A7">
        <w:t>placebo</w:t>
      </w:r>
      <w:r w:rsidRPr="00DA7D87">
        <w:t xml:space="preserve"> of 181 mL and 188 mL with UMEC/VI 125/25 </w:t>
      </w:r>
      <w:r>
        <w:t>µg</w:t>
      </w:r>
      <w:r w:rsidRPr="00DA7D87">
        <w:t xml:space="preserve"> and UMEC/VI 62.5/25 </w:t>
      </w:r>
      <w:r>
        <w:t>µg</w:t>
      </w:r>
      <w:r w:rsidRPr="00DA7D87">
        <w:t xml:space="preserve">, respectively). This greater treatment response with UMEC/VI 125/25 </w:t>
      </w:r>
      <w:r>
        <w:t>µg</w:t>
      </w:r>
      <w:r w:rsidRPr="00DA7D87">
        <w:t xml:space="preserve"> than with UMEC/VI 62.5/25 </w:t>
      </w:r>
      <w:r>
        <w:t>µg</w:t>
      </w:r>
      <w:r w:rsidRPr="00DA7D87">
        <w:t xml:space="preserve"> in the reversible subgroup was also observed for the TDI focal scores, SGRQ scores, and rescue salbutamol use. The sponsor’s conclusions that the UMEC/VI dose of 62.5/25 </w:t>
      </w:r>
      <w:r>
        <w:t>µg</w:t>
      </w:r>
      <w:r w:rsidRPr="00DA7D87">
        <w:t xml:space="preserve"> would be appropriate for the majority of COPD pa</w:t>
      </w:r>
      <w:r w:rsidR="00387A80">
        <w:t>tients, and that UMEC/VI 125/25 </w:t>
      </w:r>
      <w:r>
        <w:t>µg</w:t>
      </w:r>
      <w:r w:rsidRPr="00DA7D87">
        <w:t xml:space="preserve"> could potentially offer additional benefit in some COPD patients who had salbutamol reversibility, were sound.</w:t>
      </w:r>
    </w:p>
    <w:p w:rsidR="00B13321" w:rsidRPr="00DA7D87" w:rsidRDefault="00B13321" w:rsidP="00813832">
      <w:pPr>
        <w:pStyle w:val="Heading3"/>
      </w:pPr>
      <w:bookmarkStart w:id="298" w:name="_Toc236802596"/>
      <w:bookmarkStart w:id="299" w:name="_Toc241374334"/>
      <w:bookmarkStart w:id="300" w:name="_Ref272160964"/>
      <w:bookmarkStart w:id="301" w:name="_Toc272414694"/>
      <w:bookmarkStart w:id="302" w:name="_Toc290846332"/>
      <w:bookmarkStart w:id="303" w:name="_Toc376461204"/>
      <w:bookmarkStart w:id="304" w:name="_Toc422852173"/>
      <w:r w:rsidRPr="00DA7D87">
        <w:t>First round assessment of risks</w:t>
      </w:r>
      <w:bookmarkEnd w:id="298"/>
      <w:bookmarkEnd w:id="299"/>
      <w:bookmarkEnd w:id="300"/>
      <w:bookmarkEnd w:id="301"/>
      <w:bookmarkEnd w:id="302"/>
      <w:bookmarkEnd w:id="303"/>
      <w:bookmarkEnd w:id="304"/>
    </w:p>
    <w:p w:rsidR="00B13321" w:rsidRPr="00DA7D87" w:rsidRDefault="00B13321" w:rsidP="00813832">
      <w:r w:rsidRPr="00DA7D87">
        <w:t>The risks of UMEC/VI in the proposed usage are:</w:t>
      </w:r>
    </w:p>
    <w:p w:rsidR="00B13321" w:rsidRPr="00DA7D87" w:rsidRDefault="00B13321" w:rsidP="00813832">
      <w:pPr>
        <w:pStyle w:val="ListBullet"/>
      </w:pPr>
      <w:r w:rsidRPr="00DA7D87">
        <w:t>Muscarinic antagonist pharmacological class effects</w:t>
      </w:r>
    </w:p>
    <w:p w:rsidR="00B13321" w:rsidRPr="00DA7D87" w:rsidRDefault="00B13321" w:rsidP="00813832">
      <w:pPr>
        <w:pStyle w:val="ListBullet"/>
      </w:pPr>
      <w:r w:rsidRPr="00DA7D87">
        <w:t>Beta</w:t>
      </w:r>
      <w:r w:rsidRPr="00AD36EB">
        <w:rPr>
          <w:vertAlign w:val="subscript"/>
        </w:rPr>
        <w:t>2</w:t>
      </w:r>
      <w:r w:rsidRPr="00DA7D87">
        <w:t xml:space="preserve"> adrenergic agonist pharmacological class effects</w:t>
      </w:r>
    </w:p>
    <w:p w:rsidR="00B13321" w:rsidRPr="00DA7D87" w:rsidRDefault="00B13321" w:rsidP="00813832">
      <w:r w:rsidRPr="00DA7D87">
        <w:t>In particular, as both LAMA and LABA have potential cardiovascular effects, and UMEC/VI consists of a combination of a LAMA and a LABA, adverse effects on the cardiovascular system needs to be assessed.</w:t>
      </w:r>
    </w:p>
    <w:p w:rsidR="00B13321" w:rsidRPr="00DA7D87" w:rsidRDefault="00B13321" w:rsidP="00813832">
      <w:r w:rsidRPr="00DA7D87">
        <w:t>Overall, analyses of cardiovascular safety and of AEs related to muscarinic antagonist and beta</w:t>
      </w:r>
      <w:r w:rsidRPr="00AD36EB">
        <w:rPr>
          <w:vertAlign w:val="subscript"/>
        </w:rPr>
        <w:t xml:space="preserve">2 </w:t>
      </w:r>
      <w:r w:rsidRPr="00DA7D87">
        <w:t xml:space="preserve">adrenergic agonist pharmacological class effects did not raise major safety concerns. In the pivotal studies, the incidence of </w:t>
      </w:r>
      <w:r>
        <w:t>on-treatment</w:t>
      </w:r>
      <w:r w:rsidRPr="00DA7D87">
        <w:t xml:space="preserve"> events in the cardiovascular special interest group was generally comparable across the pooled treatment groups (6% to 10%). The overall most commonly reported subgroup of </w:t>
      </w:r>
      <w:r>
        <w:t>o</w:t>
      </w:r>
      <w:r w:rsidR="00387A80">
        <w:t>n</w:t>
      </w:r>
      <w:r>
        <w:t>- treatment</w:t>
      </w:r>
      <w:r w:rsidRPr="00DA7D87">
        <w:t xml:space="preserve"> cardiovascular AESIs was cardiac arrhythmias, but the incidence was low and comparable across treatment groups (2% to 5% across treatment groups; 3% and 2% with UMEC/VI 62.5/25 </w:t>
      </w:r>
      <w:r>
        <w:t>µg</w:t>
      </w:r>
      <w:r w:rsidRPr="00DA7D87">
        <w:t xml:space="preserve"> and UMEC/VI 125/25 </w:t>
      </w:r>
      <w:r>
        <w:t>µg</w:t>
      </w:r>
      <w:r w:rsidRPr="00DA7D87">
        <w:t xml:space="preserve">, respectively compared with 3% with </w:t>
      </w:r>
      <w:r w:rsidRPr="001007A7">
        <w:t>placebo</w:t>
      </w:r>
      <w:r w:rsidRPr="00DA7D87">
        <w:t xml:space="preserve"> and 2% with </w:t>
      </w:r>
      <w:proofErr w:type="spellStart"/>
      <w:r w:rsidRPr="00DA7D87">
        <w:t>tiotropium</w:t>
      </w:r>
      <w:proofErr w:type="spellEnd"/>
      <w:r w:rsidRPr="00DA7D87">
        <w:t xml:space="preserve">). There were no obvious </w:t>
      </w:r>
      <w:r>
        <w:t>dose-</w:t>
      </w:r>
      <w:r w:rsidRPr="00DA7D87">
        <w:t xml:space="preserve"> or </w:t>
      </w:r>
      <w:r>
        <w:t>treatment-related</w:t>
      </w:r>
      <w:r w:rsidRPr="00DA7D87">
        <w:t xml:space="preserve"> trends. Results in the 2 exercise studies and the </w:t>
      </w:r>
      <w:r>
        <w:t>long-term</w:t>
      </w:r>
      <w:r w:rsidRPr="00DA7D87">
        <w:t xml:space="preserve"> safety studies were consistent with those in the pivotal studies. Cardiovascular effects were assessed via </w:t>
      </w:r>
      <w:r w:rsidR="00387A80">
        <w:t>H</w:t>
      </w:r>
      <w:r>
        <w:t>olter</w:t>
      </w:r>
      <w:r w:rsidRPr="00DA7D87">
        <w:t xml:space="preserve"> monitoring in a subset of subjects in the 2 </w:t>
      </w:r>
      <w:r w:rsidRPr="001007A7">
        <w:t>placebo</w:t>
      </w:r>
      <w:r>
        <w:t>-controlled</w:t>
      </w:r>
      <w:r w:rsidRPr="00DA7D87">
        <w:t xml:space="preserve"> pivotal studies and in the </w:t>
      </w:r>
      <w:r>
        <w:t>long-term</w:t>
      </w:r>
      <w:r w:rsidRPr="00DA7D87">
        <w:t xml:space="preserve"> safety study. Results did not raise major cardiovascular safety concerns for either dose of UMEC/VI. The proportion of subjects with one or more abnormal, clinically significant </w:t>
      </w:r>
      <w:r>
        <w:t>Holter</w:t>
      </w:r>
      <w:r w:rsidRPr="00DA7D87">
        <w:t xml:space="preserve"> ECG interpretation at any time </w:t>
      </w:r>
      <w:r>
        <w:t>post-baseline</w:t>
      </w:r>
      <w:r w:rsidRPr="00DA7D87">
        <w:t xml:space="preserve"> was 53% and 45% in the UMEC/VI 62.5/25 </w:t>
      </w:r>
      <w:r>
        <w:t>µg</w:t>
      </w:r>
      <w:r w:rsidRPr="00DA7D87">
        <w:t xml:space="preserve"> and UMEC/VI 125/25 </w:t>
      </w:r>
      <w:r>
        <w:t>µg</w:t>
      </w:r>
      <w:r w:rsidRPr="00DA7D87">
        <w:t xml:space="preserve"> groups, respectively, </w:t>
      </w:r>
      <w:r w:rsidRPr="001007A7">
        <w:t>vs.</w:t>
      </w:r>
      <w:r w:rsidRPr="00DA7D87">
        <w:t xml:space="preserve"> 60% in the </w:t>
      </w:r>
      <w:r w:rsidRPr="001007A7">
        <w:t>placebo</w:t>
      </w:r>
      <w:r>
        <w:t xml:space="preserve"> </w:t>
      </w:r>
      <w:r w:rsidRPr="00DA7D87">
        <w:t xml:space="preserve">group, in the 2 pivotal studies, while that in the </w:t>
      </w:r>
      <w:r>
        <w:t>long-term</w:t>
      </w:r>
      <w:r w:rsidRPr="00DA7D87">
        <w:t xml:space="preserve"> safety study was 55% in the UMEC/VI 125/25 </w:t>
      </w:r>
      <w:r>
        <w:t>µg</w:t>
      </w:r>
      <w:r w:rsidRPr="00DA7D87">
        <w:t xml:space="preserve"> group </w:t>
      </w:r>
      <w:r>
        <w:t>versus</w:t>
      </w:r>
      <w:r w:rsidRPr="00DA7D87">
        <w:t xml:space="preserve"> 52% in the </w:t>
      </w:r>
      <w:r w:rsidRPr="001007A7">
        <w:t>placebo</w:t>
      </w:r>
      <w:r w:rsidRPr="00DA7D87">
        <w:t xml:space="preserve"> group. The incidences of other AEs of special interest relating to muscarinic antagonist and </w:t>
      </w:r>
      <w:r>
        <w:t>beta</w:t>
      </w:r>
      <w:r w:rsidRPr="00DA7D87">
        <w:t xml:space="preserve">2 adrenergic agonist pharmacological class effects were generally low and comparable between </w:t>
      </w:r>
      <w:r w:rsidRPr="001007A7">
        <w:t>placebo</w:t>
      </w:r>
      <w:r w:rsidRPr="00DA7D87">
        <w:t xml:space="preserve"> and active treatment groups, with no obvious </w:t>
      </w:r>
      <w:r>
        <w:t>dose-</w:t>
      </w:r>
      <w:r w:rsidRPr="00DA7D87">
        <w:t xml:space="preserve"> or </w:t>
      </w:r>
      <w:r>
        <w:t>treatment-related</w:t>
      </w:r>
      <w:r w:rsidRPr="00DA7D87">
        <w:t xml:space="preserve"> trends detected.</w:t>
      </w:r>
    </w:p>
    <w:p w:rsidR="00B13321" w:rsidRPr="00DA7D87" w:rsidRDefault="00B13321" w:rsidP="00813832">
      <w:pPr>
        <w:pStyle w:val="Heading3"/>
      </w:pPr>
      <w:bookmarkStart w:id="305" w:name="_Toc236802597"/>
      <w:bookmarkStart w:id="306" w:name="_Toc241374335"/>
      <w:bookmarkStart w:id="307" w:name="_Toc272414695"/>
      <w:bookmarkStart w:id="308" w:name="_Toc290846333"/>
      <w:bookmarkStart w:id="309" w:name="_Toc422852174"/>
      <w:r w:rsidRPr="00DA7D87">
        <w:lastRenderedPageBreak/>
        <w:t>First round assessment of benefit-risk balance</w:t>
      </w:r>
      <w:bookmarkEnd w:id="305"/>
      <w:bookmarkEnd w:id="306"/>
      <w:bookmarkEnd w:id="307"/>
      <w:bookmarkEnd w:id="308"/>
      <w:bookmarkEnd w:id="309"/>
    </w:p>
    <w:p w:rsidR="00B13321" w:rsidRPr="00DA7D87" w:rsidRDefault="00B13321" w:rsidP="00813832">
      <w:r w:rsidRPr="00DA7D87">
        <w:t>The benefit-risk balance of UMEC/VI, given the proposed usage, is favourable.</w:t>
      </w:r>
    </w:p>
    <w:p w:rsidR="00B13321" w:rsidRDefault="00B13321" w:rsidP="00B13321">
      <w:r w:rsidRPr="00DA7D87">
        <w:t xml:space="preserve">Overall, analyses on effects of UMEC/VI on FEV1 compared to </w:t>
      </w:r>
      <w:r w:rsidRPr="001007A7">
        <w:t>placebo</w:t>
      </w:r>
      <w:r w:rsidRPr="00DA7D87">
        <w:t xml:space="preserve"> yielded results which were generally supportive of the efficacy claim of both doses of UMEC/VI (62.5/25 </w:t>
      </w:r>
      <w:r>
        <w:t>µg</w:t>
      </w:r>
      <w:r w:rsidRPr="00DA7D87">
        <w:t xml:space="preserve"> and 125/25 </w:t>
      </w:r>
      <w:r>
        <w:t>µg</w:t>
      </w:r>
      <w:r w:rsidRPr="00DA7D87">
        <w:t xml:space="preserve">) over </w:t>
      </w:r>
      <w:r w:rsidRPr="001007A7">
        <w:t>placebo</w:t>
      </w:r>
      <w:r w:rsidRPr="00DA7D87">
        <w:t xml:space="preserve">. Analyses on effects of UMEC/VI on symptom relief compared to </w:t>
      </w:r>
      <w:r w:rsidRPr="001007A7">
        <w:t>placebo</w:t>
      </w:r>
      <w:r w:rsidRPr="00DA7D87">
        <w:t xml:space="preserve"> also yielded results which were generally supportive of the efficacy claim of both doses of UMEC/VI over </w:t>
      </w:r>
      <w:r w:rsidRPr="001007A7">
        <w:t>placebo</w:t>
      </w:r>
      <w:r w:rsidRPr="00DA7D87">
        <w:t>. Safety results did not r</w:t>
      </w:r>
      <w:r>
        <w:t>aise any major safety concerns.</w:t>
      </w:r>
    </w:p>
    <w:p w:rsidR="00B13321" w:rsidRDefault="00B13321" w:rsidP="00813832">
      <w:pPr>
        <w:pStyle w:val="Heading2"/>
      </w:pPr>
      <w:bookmarkStart w:id="310" w:name="_Toc422852175"/>
      <w:r>
        <w:t>First round recommendation regarding authorisation</w:t>
      </w:r>
      <w:bookmarkEnd w:id="310"/>
    </w:p>
    <w:p w:rsidR="00B13321" w:rsidRPr="003D07C6" w:rsidRDefault="00B13321" w:rsidP="00813832">
      <w:r w:rsidRPr="003D07C6">
        <w:t xml:space="preserve">It is recommended that the application for the registration of UMEC/VI 62.5/25 </w:t>
      </w:r>
      <w:r>
        <w:t>µg</w:t>
      </w:r>
      <w:r w:rsidR="00387A80">
        <w:t xml:space="preserve"> and 125/25 </w:t>
      </w:r>
      <w:r>
        <w:t>µg</w:t>
      </w:r>
      <w:r>
        <w:rPr>
          <w:rStyle w:val="FootnoteReference"/>
        </w:rPr>
        <w:footnoteReference w:id="62"/>
      </w:r>
      <w:r w:rsidRPr="003D07C6">
        <w:t xml:space="preserve"> as a </w:t>
      </w:r>
      <w:r>
        <w:t>long term</w:t>
      </w:r>
      <w:r w:rsidRPr="003D07C6">
        <w:t xml:space="preserve"> </w:t>
      </w:r>
      <w:r>
        <w:t>QD</w:t>
      </w:r>
      <w:r w:rsidRPr="003D07C6">
        <w:t xml:space="preserve"> maintenance bronchodilator treatment to relieve symptoms in adult patients with COPD be approved.</w:t>
      </w:r>
    </w:p>
    <w:p w:rsidR="00B13321" w:rsidRPr="003D07C6" w:rsidRDefault="00B13321" w:rsidP="00813832">
      <w:r w:rsidRPr="001007A7">
        <w:t>This is subject to a satisfactory response to the clinical questions raised in Section 11</w:t>
      </w:r>
      <w:r>
        <w:t>.</w:t>
      </w:r>
    </w:p>
    <w:p w:rsidR="00B13321" w:rsidRPr="003D07C6" w:rsidRDefault="00B13321" w:rsidP="00813832">
      <w:pPr>
        <w:pStyle w:val="Heading2"/>
      </w:pPr>
      <w:bookmarkStart w:id="311" w:name="_Toc422852176"/>
      <w:r>
        <w:t>Clinical questions</w:t>
      </w:r>
      <w:bookmarkEnd w:id="311"/>
    </w:p>
    <w:p w:rsidR="00B13321" w:rsidRPr="003D07C6" w:rsidRDefault="00B13321" w:rsidP="00813832">
      <w:pPr>
        <w:pStyle w:val="Heading3"/>
      </w:pPr>
      <w:bookmarkStart w:id="312" w:name="_Toc272414702"/>
      <w:bookmarkStart w:id="313" w:name="_Toc290846342"/>
      <w:bookmarkStart w:id="314" w:name="_Toc376461212"/>
      <w:bookmarkStart w:id="315" w:name="_Toc422852177"/>
      <w:r w:rsidRPr="003D07C6">
        <w:t>Pharmacokinetics</w:t>
      </w:r>
      <w:bookmarkEnd w:id="312"/>
      <w:bookmarkEnd w:id="313"/>
      <w:bookmarkEnd w:id="314"/>
      <w:bookmarkEnd w:id="315"/>
    </w:p>
    <w:p w:rsidR="00B13321" w:rsidRPr="003D07C6" w:rsidRDefault="00B13321" w:rsidP="00813832">
      <w:proofErr w:type="gramStart"/>
      <w:r w:rsidRPr="003D07C6">
        <w:t>None.</w:t>
      </w:r>
      <w:proofErr w:type="gramEnd"/>
    </w:p>
    <w:p w:rsidR="00B13321" w:rsidRPr="003D07C6" w:rsidRDefault="00B13321" w:rsidP="00813832">
      <w:pPr>
        <w:pStyle w:val="Heading3"/>
      </w:pPr>
      <w:bookmarkStart w:id="316" w:name="_Toc272414703"/>
      <w:bookmarkStart w:id="317" w:name="_Toc290846343"/>
      <w:bookmarkStart w:id="318" w:name="_Toc376461213"/>
      <w:bookmarkStart w:id="319" w:name="_Toc422852178"/>
      <w:r w:rsidRPr="003D07C6">
        <w:t>Pharmacodynamics</w:t>
      </w:r>
      <w:bookmarkEnd w:id="316"/>
      <w:bookmarkEnd w:id="317"/>
      <w:bookmarkEnd w:id="318"/>
      <w:bookmarkEnd w:id="319"/>
    </w:p>
    <w:p w:rsidR="00B13321" w:rsidRPr="003D07C6" w:rsidRDefault="00B13321" w:rsidP="00813832">
      <w:proofErr w:type="gramStart"/>
      <w:r w:rsidRPr="003D07C6">
        <w:t>None.</w:t>
      </w:r>
      <w:proofErr w:type="gramEnd"/>
    </w:p>
    <w:p w:rsidR="00B13321" w:rsidRPr="003D07C6" w:rsidRDefault="00B13321" w:rsidP="00813832">
      <w:pPr>
        <w:pStyle w:val="Heading3"/>
      </w:pPr>
      <w:bookmarkStart w:id="320" w:name="_Toc272414704"/>
      <w:bookmarkStart w:id="321" w:name="_Toc290846344"/>
      <w:bookmarkStart w:id="322" w:name="_Toc376461214"/>
      <w:bookmarkStart w:id="323" w:name="_Toc422852179"/>
      <w:r w:rsidRPr="003D07C6">
        <w:t>Efficacy</w:t>
      </w:r>
      <w:bookmarkEnd w:id="320"/>
      <w:bookmarkEnd w:id="321"/>
      <w:bookmarkEnd w:id="322"/>
      <w:bookmarkEnd w:id="323"/>
    </w:p>
    <w:p w:rsidR="00B13321" w:rsidRPr="003D07C6" w:rsidRDefault="00B13321" w:rsidP="00813832">
      <w:pPr>
        <w:pStyle w:val="Numberbullet0"/>
      </w:pPr>
      <w:r w:rsidRPr="003D07C6">
        <w:t xml:space="preserve">Please provide </w:t>
      </w:r>
      <w:r>
        <w:t xml:space="preserve">clarification on how the twenty </w:t>
      </w:r>
      <w:r w:rsidRPr="003D07C6">
        <w:t>four hour population subsets in studies DB21133</w:t>
      </w:r>
      <w:r>
        <w:t>61 and DB2113373 were selected.</w:t>
      </w:r>
    </w:p>
    <w:p w:rsidR="00B13321" w:rsidRPr="003D07C6" w:rsidRDefault="00B13321" w:rsidP="00813832">
      <w:r>
        <w:t>Rationale for question: As discussed</w:t>
      </w:r>
      <w:r w:rsidRPr="003D07C6">
        <w:t xml:space="preserve">, it was not clearly explained in the </w:t>
      </w:r>
      <w:r w:rsidRPr="00F027A6">
        <w:t xml:space="preserve">clinical study reports </w:t>
      </w:r>
      <w:r>
        <w:t>(</w:t>
      </w:r>
      <w:r w:rsidRPr="003D07C6">
        <w:t>C</w:t>
      </w:r>
      <w:r>
        <w:t>SR) or protocols how the twenty-</w:t>
      </w:r>
      <w:r w:rsidRPr="003D07C6">
        <w:t>four hour population subset was selected. In the CSR, the sponsor had stated that in each of these studies, at selected study sites, a subset of approximately 198 planned subjects performed 2</w:t>
      </w:r>
      <w:r>
        <w:t>4-hour</w:t>
      </w:r>
      <w:r w:rsidRPr="003D07C6">
        <w:t xml:space="preserve"> serial spirometry during the study, but no further explanation was provided in the CSRs or protocols as to how the sites or the subset of subjects had been selected. This information would be important in the overall assessment of any potential bias in the study resul</w:t>
      </w:r>
      <w:r>
        <w:t>ts with regards to this subset.</w:t>
      </w:r>
    </w:p>
    <w:p w:rsidR="00B13321" w:rsidRPr="003D07C6" w:rsidRDefault="00B13321" w:rsidP="007E1DF4">
      <w:pPr>
        <w:pStyle w:val="Numberbullet0"/>
      </w:pPr>
      <w:r w:rsidRPr="003D07C6">
        <w:t>Please provide the baseline demographic and diseas</w:t>
      </w:r>
      <w:r>
        <w:t xml:space="preserve">e characteristics of the twenty </w:t>
      </w:r>
      <w:r w:rsidRPr="003D07C6">
        <w:t xml:space="preserve">four hour population in </w:t>
      </w:r>
      <w:r w:rsidRPr="007E1DF4">
        <w:t>studies</w:t>
      </w:r>
      <w:r w:rsidRPr="003D07C6">
        <w:t xml:space="preserve"> DB2113361, DB2113373</w:t>
      </w:r>
      <w:r>
        <w:t>.</w:t>
      </w:r>
    </w:p>
    <w:p w:rsidR="00B13321" w:rsidRPr="003D07C6" w:rsidRDefault="00B13321" w:rsidP="00813832">
      <w:r>
        <w:t>Rationale for question: As discussed</w:t>
      </w:r>
      <w:r w:rsidRPr="003D07C6">
        <w:t>, the baseline demographic and disease characteristics of the 2</w:t>
      </w:r>
      <w:r>
        <w:t>4-hour</w:t>
      </w:r>
      <w:r w:rsidRPr="003D07C6">
        <w:t xml:space="preserve"> subset (TFH population) were not provided, and hence comparability of these baseline characteristics across the treatment groups in this subset of study popul</w:t>
      </w:r>
      <w:r>
        <w:t>ation could not be ascertained.</w:t>
      </w:r>
    </w:p>
    <w:p w:rsidR="00B13321" w:rsidRPr="003D07C6" w:rsidRDefault="00B13321" w:rsidP="00813832">
      <w:pPr>
        <w:pStyle w:val="Numberbullet0"/>
      </w:pPr>
      <w:r w:rsidRPr="003D07C6">
        <w:t>Please elaborate on the sample size calculations for studies DB2113360 and DB2113374, with regards to the increased in the planned number of evaluable subjects in each arm from the calculated 111 to 146 subjects.</w:t>
      </w:r>
    </w:p>
    <w:p w:rsidR="00B13321" w:rsidRPr="00586F98" w:rsidRDefault="00B13321" w:rsidP="00813832">
      <w:r w:rsidRPr="003D07C6">
        <w:lastRenderedPageBreak/>
        <w:t>Rationale for question:</w:t>
      </w:r>
      <w:r>
        <w:t xml:space="preserve"> As discussed, </w:t>
      </w:r>
      <w:r w:rsidRPr="003D07C6">
        <w:t>the sponsor had stated that the planned number of evaluable subjects in each arm was increased from the calculated 111 to 146 subjects, in order to meet ICH E1A guidelines on exposure to new medicinal products. This referenced guidance document was looked through, but it remains unclear to the evaluator how the exact number of 146 subjects per treatment arm was derived. The arrival at this number was not further elaborated in the CSR, p</w:t>
      </w:r>
      <w:r>
        <w:t>rotocols or statistical plans.</w:t>
      </w:r>
    </w:p>
    <w:p w:rsidR="00B13321" w:rsidRPr="003D07C6" w:rsidRDefault="00B13321" w:rsidP="003F721D">
      <w:pPr>
        <w:pStyle w:val="Heading2"/>
      </w:pPr>
      <w:bookmarkStart w:id="324" w:name="_Toc422852180"/>
      <w:r>
        <w:t>Second round evaluation of clinical data submitted in response to questions</w:t>
      </w:r>
      <w:bookmarkEnd w:id="324"/>
    </w:p>
    <w:p w:rsidR="00B13321" w:rsidRPr="003D07C6" w:rsidRDefault="00B13321" w:rsidP="003F721D">
      <w:r w:rsidRPr="003D07C6">
        <w:t>Overall, the sponsor has adequately addressed all the questions posed in the first round of evaluation. In this section on the evaluation of the sponsor’s responses to the questions posed in the first round of evaluation, each question will be re-stated for ease of reference, followed by the evaluation.</w:t>
      </w:r>
    </w:p>
    <w:p w:rsidR="00B13321" w:rsidRPr="003D07C6" w:rsidRDefault="00B13321" w:rsidP="00B13321">
      <w:pPr>
        <w:rPr>
          <w:b/>
        </w:rPr>
      </w:pPr>
      <w:r w:rsidRPr="003D07C6">
        <w:rPr>
          <w:b/>
        </w:rPr>
        <w:t xml:space="preserve">Question </w:t>
      </w:r>
      <w:r w:rsidRPr="00250B54">
        <w:rPr>
          <w:b/>
        </w:rPr>
        <w:t>1</w:t>
      </w:r>
    </w:p>
    <w:p w:rsidR="00B13321" w:rsidRPr="00250B54" w:rsidRDefault="00B13321" w:rsidP="00B13321">
      <w:pPr>
        <w:rPr>
          <w:i/>
        </w:rPr>
      </w:pPr>
      <w:r w:rsidRPr="00250B54">
        <w:rPr>
          <w:i/>
        </w:rPr>
        <w:t>Please provide clarification on how the twenty four hour population subsets in studies DB2113361 and DB2113373 were selected.</w:t>
      </w:r>
    </w:p>
    <w:p w:rsidR="00B13321" w:rsidRPr="003D07C6" w:rsidRDefault="00B13321" w:rsidP="003F721D">
      <w:r w:rsidRPr="003D07C6">
        <w:t>The sponsor p</w:t>
      </w:r>
      <w:r>
        <w:t>rovided explanation that subset-</w:t>
      </w:r>
      <w:r w:rsidRPr="003D07C6">
        <w:t>specific investigational sites were used in studies DB2113373 and DB2113361 in order to limit selection bias. A feasibility analysis was conducted to identify sites with the ability to conduct 24 hour serial spirometry assessments. The majority of these subset sites were restricted to enrolling all patients into the 2</w:t>
      </w:r>
      <w:r>
        <w:t>4-hour</w:t>
      </w:r>
      <w:r w:rsidRPr="003D07C6">
        <w:t xml:space="preserve"> subset, and this reduced selection bias as there was no option for them t</w:t>
      </w:r>
      <w:r>
        <w:t xml:space="preserve">o enrol a patient into the non </w:t>
      </w:r>
      <w:r w:rsidRPr="003D07C6">
        <w:t>subset group. In study DB2113361, nine of the 14 sites (65%) that enrol</w:t>
      </w:r>
      <w:r>
        <w:t>led subset patients were subset-</w:t>
      </w:r>
      <w:r w:rsidRPr="003D07C6">
        <w:t>specific and in study DB2113373, nine of the 13 sites (69%) were subset</w:t>
      </w:r>
      <w:r>
        <w:t>-</w:t>
      </w:r>
      <w:r w:rsidRPr="003D07C6">
        <w:t>specific. Overall, the majority of patients in the 2</w:t>
      </w:r>
      <w:r>
        <w:t>4-hour</w:t>
      </w:r>
      <w:r w:rsidRPr="003D07C6">
        <w:t xml:space="preserve"> sub</w:t>
      </w:r>
      <w:r>
        <w:t>set were enrolled at the subset-specific sites (subset-</w:t>
      </w:r>
      <w:r w:rsidRPr="003D07C6">
        <w:t>specific sites enrolled 165 of 199 (83%) of subset subjects in study DB2113361 and 155 of 197 (79%) of subset subjects in study DB21133373), thus minimising the risk of selection bias.</w:t>
      </w:r>
    </w:p>
    <w:p w:rsidR="00B13321" w:rsidRPr="003D07C6" w:rsidRDefault="00B13321" w:rsidP="003F721D">
      <w:r w:rsidRPr="003D07C6">
        <w:t>The sponsor’s response to this question has not resulted in any changes to the conclusions of the first round of evaluation.</w:t>
      </w:r>
    </w:p>
    <w:p w:rsidR="00B13321" w:rsidRPr="003D07C6" w:rsidRDefault="00B13321" w:rsidP="00B13321">
      <w:pPr>
        <w:rPr>
          <w:b/>
        </w:rPr>
      </w:pPr>
      <w:r w:rsidRPr="003D07C6">
        <w:rPr>
          <w:b/>
        </w:rPr>
        <w:t xml:space="preserve">Question </w:t>
      </w:r>
      <w:r>
        <w:rPr>
          <w:b/>
        </w:rPr>
        <w:t>2</w:t>
      </w:r>
    </w:p>
    <w:p w:rsidR="00B13321" w:rsidRPr="00250B54" w:rsidRDefault="00B13321" w:rsidP="00B13321">
      <w:pPr>
        <w:rPr>
          <w:i/>
        </w:rPr>
      </w:pPr>
      <w:r w:rsidRPr="00250B54">
        <w:rPr>
          <w:i/>
        </w:rPr>
        <w:t>Please provide the baseline demographic and disease characteristics of the twenty four- hour population in studies DB2113361, DB2113373.</w:t>
      </w:r>
    </w:p>
    <w:p w:rsidR="00B13321" w:rsidRPr="003D07C6" w:rsidRDefault="00B13321" w:rsidP="003F721D">
      <w:r w:rsidRPr="003D07C6">
        <w:t>The sponsor provided the baseline demographics, COPD history, smoking history, and screening lung function and ICS use of the twenty four-hour populations in studies DB2113361 and DB2113373. The baseline demographic and disease characteristics for the twenty four-hour populations in these studies were generally comparable across treatment groups. The sponsor’s response to this question has not resulted in any changes to the conclusions of the first round of evaluation.</w:t>
      </w:r>
    </w:p>
    <w:p w:rsidR="00B13321" w:rsidRPr="003D07C6" w:rsidRDefault="00B13321" w:rsidP="00B13321">
      <w:pPr>
        <w:rPr>
          <w:b/>
        </w:rPr>
      </w:pPr>
      <w:r w:rsidRPr="003D07C6">
        <w:rPr>
          <w:b/>
        </w:rPr>
        <w:t xml:space="preserve">Question </w:t>
      </w:r>
      <w:r>
        <w:rPr>
          <w:b/>
        </w:rPr>
        <w:t>3</w:t>
      </w:r>
    </w:p>
    <w:p w:rsidR="00B13321" w:rsidRPr="00250B54" w:rsidRDefault="00B13321" w:rsidP="00B13321">
      <w:pPr>
        <w:rPr>
          <w:i/>
        </w:rPr>
      </w:pPr>
      <w:r w:rsidRPr="00250B54">
        <w:rPr>
          <w:i/>
        </w:rPr>
        <w:t>Please elaborate on the sample size calculations for studies DB2113360 and DB2113374, with regards to the increase in the planned number of evaluable subjects in each arm from the calculated 111 to 146 subjects.</w:t>
      </w:r>
    </w:p>
    <w:p w:rsidR="00B13321" w:rsidRPr="003D07C6" w:rsidRDefault="00B13321" w:rsidP="003F721D">
      <w:r w:rsidRPr="003D07C6">
        <w:t xml:space="preserve">The sponsor clarified that the increase in sample size was due to the need to maintain the conditional power for the comparisons in the meta-analysis at approximately 90%. For the comparison of each UMEC/VI dose with </w:t>
      </w:r>
      <w:proofErr w:type="spellStart"/>
      <w:r w:rsidRPr="003D07C6">
        <w:t>tiotropium</w:t>
      </w:r>
      <w:proofErr w:type="spellEnd"/>
      <w:r w:rsidRPr="003D07C6">
        <w:t xml:space="preserve"> (TIO) for the endpoint of TDI in the meta-analysis, statistical inference was conditional on having achieved statistical significance on the </w:t>
      </w:r>
      <w:r w:rsidRPr="003D07C6">
        <w:lastRenderedPageBreak/>
        <w:t>comparison of that dose with TIO on the individual study primary endpoint of trough FEV1 on Day 169 in each individual study, as determined by the specific testing hierarchy within each study. The power for the meta-analysis comparisons was thus affected by the fact that prior comparisons were required to be performed in the individual studies. In order to maintain the conditional power for the comparisons in the meta-analysis at approximately 90%, it was necessary to increase the power for the comparisons in the individual studies and hence increase the sample size in each treatment arm.</w:t>
      </w:r>
    </w:p>
    <w:p w:rsidR="00B13321" w:rsidRPr="00586F98" w:rsidRDefault="00B13321" w:rsidP="003F721D">
      <w:r w:rsidRPr="003D07C6">
        <w:t>Increasing the sample size to 146 subjects per arm provided 98% power to detect a 100</w:t>
      </w:r>
      <w:r>
        <w:t xml:space="preserve"> </w:t>
      </w:r>
      <w:r w:rsidRPr="003D07C6">
        <w:t>mL difference in trough FEV1 between treatment groups in each study and 96% power to detect a difference of 1 unit in TDI in the combined analysis. This gave conditional power for the comparison of UMEC/VI 125/25 with TIO for TDI of 92% and conditional power for the comparison of UMEC/VI 6</w:t>
      </w:r>
      <w:r>
        <w:t>2.5/25 with TIO for TDI of 89%.</w:t>
      </w:r>
    </w:p>
    <w:p w:rsidR="00B13321" w:rsidRDefault="00B13321" w:rsidP="003F721D">
      <w:pPr>
        <w:pStyle w:val="Heading2"/>
      </w:pPr>
      <w:bookmarkStart w:id="325" w:name="_Toc422852181"/>
      <w:r>
        <w:t>Second round benefit-risk assessment</w:t>
      </w:r>
      <w:bookmarkEnd w:id="325"/>
    </w:p>
    <w:p w:rsidR="00B13321" w:rsidRPr="003D07C6" w:rsidRDefault="00B13321" w:rsidP="003F721D">
      <w:pPr>
        <w:pStyle w:val="Heading3"/>
      </w:pPr>
      <w:bookmarkStart w:id="326" w:name="_Toc272414709"/>
      <w:bookmarkStart w:id="327" w:name="_Toc290846349"/>
      <w:bookmarkStart w:id="328" w:name="_Toc376461217"/>
      <w:bookmarkStart w:id="329" w:name="_Toc422852182"/>
      <w:r w:rsidRPr="003D07C6">
        <w:t>Second round assessment of benefits</w:t>
      </w:r>
      <w:bookmarkEnd w:id="326"/>
      <w:bookmarkEnd w:id="327"/>
      <w:bookmarkEnd w:id="328"/>
      <w:bookmarkEnd w:id="329"/>
    </w:p>
    <w:p w:rsidR="00B13321" w:rsidRPr="00985A39" w:rsidRDefault="00B13321" w:rsidP="003F721D">
      <w:bookmarkStart w:id="330" w:name="_Toc272414710"/>
      <w:bookmarkStart w:id="331" w:name="_Toc290846350"/>
      <w:r w:rsidRPr="003D07C6">
        <w:t xml:space="preserve">After consideration of the responses to clinical questions, the benefits of UMEC/VI in the proposed usage are unchanged from those identified </w:t>
      </w:r>
      <w:r w:rsidRPr="00985A39">
        <w:t>in Section 9.1.</w:t>
      </w:r>
    </w:p>
    <w:p w:rsidR="00B13321" w:rsidRPr="003D07C6" w:rsidRDefault="00B13321" w:rsidP="003F721D">
      <w:pPr>
        <w:pStyle w:val="Heading3"/>
      </w:pPr>
      <w:bookmarkStart w:id="332" w:name="_Toc376461218"/>
      <w:bookmarkStart w:id="333" w:name="_Toc422852183"/>
      <w:r w:rsidRPr="003D07C6">
        <w:t>Second round assessment of risks</w:t>
      </w:r>
      <w:bookmarkEnd w:id="330"/>
      <w:bookmarkEnd w:id="331"/>
      <w:bookmarkEnd w:id="332"/>
      <w:bookmarkEnd w:id="333"/>
    </w:p>
    <w:p w:rsidR="00B13321" w:rsidRPr="00985A39" w:rsidRDefault="00B13321" w:rsidP="003F721D">
      <w:bookmarkStart w:id="334" w:name="_Toc272414711"/>
      <w:bookmarkStart w:id="335" w:name="_Toc290846351"/>
      <w:r w:rsidRPr="003D07C6">
        <w:t xml:space="preserve">After consideration of the responses to clinical questions, the risks of UMEC/VI in the proposed usage are unchanged from those identified </w:t>
      </w:r>
      <w:r w:rsidRPr="00985A39">
        <w:t>in Section 9.2.</w:t>
      </w:r>
    </w:p>
    <w:p w:rsidR="00B13321" w:rsidRPr="003D07C6" w:rsidRDefault="00B13321" w:rsidP="003F721D">
      <w:pPr>
        <w:pStyle w:val="Heading3"/>
      </w:pPr>
      <w:bookmarkStart w:id="336" w:name="_Toc376461219"/>
      <w:bookmarkStart w:id="337" w:name="_Toc422852184"/>
      <w:r w:rsidRPr="003D07C6">
        <w:t>Second round assessment of benefit-risk balance</w:t>
      </w:r>
      <w:bookmarkEnd w:id="334"/>
      <w:bookmarkEnd w:id="335"/>
      <w:bookmarkEnd w:id="336"/>
      <w:bookmarkEnd w:id="337"/>
    </w:p>
    <w:p w:rsidR="00B13321" w:rsidRPr="00586F98" w:rsidRDefault="00B13321" w:rsidP="003F721D">
      <w:r w:rsidRPr="003D07C6">
        <w:t>The benefit-risk balance of UMEC/VI, given the</w:t>
      </w:r>
      <w:r>
        <w:t xml:space="preserve"> proposed usage, is favourable.</w:t>
      </w:r>
    </w:p>
    <w:p w:rsidR="00B13321" w:rsidRDefault="00B13321" w:rsidP="003F721D">
      <w:pPr>
        <w:pStyle w:val="Heading2"/>
      </w:pPr>
      <w:bookmarkStart w:id="338" w:name="_Toc422852185"/>
      <w:r>
        <w:t>Second round recommendation regarding authorisation</w:t>
      </w:r>
      <w:bookmarkEnd w:id="338"/>
    </w:p>
    <w:p w:rsidR="00B13321" w:rsidRPr="003D07C6" w:rsidRDefault="00B13321" w:rsidP="003F721D">
      <w:pPr>
        <w:rPr>
          <w:rFonts w:eastAsia="SimSun"/>
          <w:lang w:val="en-US" w:eastAsia="zh-CN"/>
        </w:rPr>
      </w:pPr>
      <w:r w:rsidRPr="004B6D57">
        <w:t xml:space="preserve">It is recommended that the application for the registration of UMEC/VI 62.5/25 </w:t>
      </w:r>
      <w:r>
        <w:t>µg</w:t>
      </w:r>
      <w:r w:rsidRPr="004B6D57">
        <w:t xml:space="preserve"> and 125/25 </w:t>
      </w:r>
      <w:r>
        <w:t>µg</w:t>
      </w:r>
      <w:r w:rsidRPr="004B6D57">
        <w:t xml:space="preserve"> as a </w:t>
      </w:r>
      <w:r>
        <w:t>long term</w:t>
      </w:r>
      <w:r w:rsidRPr="004B6D57">
        <w:t xml:space="preserve"> </w:t>
      </w:r>
      <w:r>
        <w:t>QD</w:t>
      </w:r>
      <w:r w:rsidRPr="004B6D57">
        <w:t xml:space="preserve"> maintenance bronchodilator treatment to relieve symptoms in adult patients with COPD be approved.</w:t>
      </w:r>
    </w:p>
    <w:p w:rsidR="00B13321" w:rsidRDefault="00B13321" w:rsidP="003F721D">
      <w:pPr>
        <w:pStyle w:val="Heading2"/>
      </w:pPr>
      <w:bookmarkStart w:id="339" w:name="_Toc422852186"/>
      <w:r>
        <w:t>References</w:t>
      </w:r>
      <w:bookmarkEnd w:id="339"/>
    </w:p>
    <w:p w:rsidR="00B13321" w:rsidRPr="003D07C6" w:rsidRDefault="00B13321" w:rsidP="003F721D">
      <w:proofErr w:type="gramStart"/>
      <w:r w:rsidRPr="003D07C6">
        <w:t>Australian Lung Foundation.</w:t>
      </w:r>
      <w:proofErr w:type="gramEnd"/>
      <w:r w:rsidRPr="003D07C6">
        <w:t xml:space="preserve"> The COPD‐X Plan: Australian and New Zealand Guidelines for the management of Chronic Obstructive Pulmonary Disease. 2010</w:t>
      </w:r>
      <w:r w:rsidR="00E76931">
        <w:t>.</w:t>
      </w:r>
    </w:p>
    <w:p w:rsidR="00B13321" w:rsidRPr="003D07C6" w:rsidRDefault="00B13321" w:rsidP="003F721D">
      <w:r w:rsidRPr="003D07C6">
        <w:t>European Medicines Agency, Guidelines on clinical investigation of medicinal products in the treatment of chronic obstructive pulmonary disease. 21 June 2012.</w:t>
      </w:r>
    </w:p>
    <w:p w:rsidR="00B13321" w:rsidRPr="003D07C6" w:rsidRDefault="00B13321" w:rsidP="003F721D">
      <w:r w:rsidRPr="003D07C6">
        <w:t>European Medicines Agency, Points to consider on the clinical investigation of medicinal products in the treatment of chronic obstructive pulmona</w:t>
      </w:r>
      <w:r>
        <w:t>ry disease (COPD), 19 May 1999.</w:t>
      </w:r>
    </w:p>
    <w:p w:rsidR="00B13321" w:rsidRPr="003D07C6" w:rsidRDefault="00B13321" w:rsidP="003F721D">
      <w:r w:rsidRPr="003D07C6">
        <w:t>European Medicines Agency, Points to consider on multiplicity in clinic</w:t>
      </w:r>
      <w:r>
        <w:t>al trials. 19th September 2002.</w:t>
      </w:r>
    </w:p>
    <w:p w:rsidR="00B13321" w:rsidRPr="003D07C6" w:rsidRDefault="00B13321" w:rsidP="003F721D">
      <w:r w:rsidRPr="003D07C6">
        <w:t xml:space="preserve">European Medicines Agency, Guideline on the requirements for clinical documentation for orally inhaled product (OIP) including the requirements for demonstration of therapeutic </w:t>
      </w:r>
      <w:r w:rsidRPr="003D07C6">
        <w:lastRenderedPageBreak/>
        <w:t>equivalence between two inhaled products for use in the treatment of asthma and chronic obstructive pulmonary disease (COPD) in adults and for use in the treatment of asthma in children an</w:t>
      </w:r>
      <w:r>
        <w:t>d adolescents. 22 January 2009.</w:t>
      </w:r>
    </w:p>
    <w:p w:rsidR="00B13321" w:rsidRPr="003D07C6" w:rsidRDefault="00B13321" w:rsidP="003F721D">
      <w:r w:rsidRPr="003D07C6">
        <w:t>European Medicines Agency, Note for Guidance on Fixed Dose Combination Medic</w:t>
      </w:r>
      <w:r>
        <w:t>inal Products. 19 February 2009.</w:t>
      </w:r>
    </w:p>
    <w:p w:rsidR="00B13321" w:rsidRPr="003D07C6" w:rsidRDefault="00B13321" w:rsidP="003F721D">
      <w:r w:rsidRPr="003D07C6">
        <w:t>FDA, Guidance for Industry- Chronic Obstructive Pulmonary Disease: Developing Dru</w:t>
      </w:r>
      <w:r>
        <w:t>gs for Treatment. November 2007.</w:t>
      </w:r>
    </w:p>
    <w:p w:rsidR="00B13321" w:rsidRPr="003D07C6" w:rsidRDefault="00B13321" w:rsidP="003F721D">
      <w:proofErr w:type="gramStart"/>
      <w:r w:rsidRPr="003D07C6">
        <w:t>FDA, CFR300.50 regulations on Fixed Dose Combination Prescription Drugs for Human Use.</w:t>
      </w:r>
      <w:proofErr w:type="gramEnd"/>
      <w:r w:rsidRPr="003D07C6">
        <w:t xml:space="preserve"> 1999</w:t>
      </w:r>
      <w:r w:rsidR="00E76931">
        <w:t>.</w:t>
      </w:r>
    </w:p>
    <w:p w:rsidR="00B13321" w:rsidRPr="003D07C6" w:rsidRDefault="00B13321" w:rsidP="003F721D">
      <w:proofErr w:type="gramStart"/>
      <w:r w:rsidRPr="003D07C6">
        <w:t>Global Initiative for Chronic Obstructive Lung Disease (GOLD), Global Strategy for the Diagnosis, Management and Prevention of COPD.</w:t>
      </w:r>
      <w:proofErr w:type="gramEnd"/>
      <w:r w:rsidRPr="003D07C6">
        <w:t xml:space="preserve"> 2011.</w:t>
      </w:r>
      <w:r>
        <w:t xml:space="preserve"> </w:t>
      </w:r>
      <w:r w:rsidRPr="00985A39">
        <w:t>http://www.goldcopd.org/uploads/users/files/GOLD_Report_2011_Feb21.pdf</w:t>
      </w:r>
      <w:r>
        <w:t xml:space="preserve"> </w:t>
      </w:r>
      <w:r w:rsidRPr="003D07C6">
        <w:t>(accessed 20th August 2013)</w:t>
      </w:r>
      <w:r>
        <w:t>.</w:t>
      </w:r>
    </w:p>
    <w:p w:rsidR="00B13321" w:rsidRPr="003D07C6" w:rsidRDefault="00B13321" w:rsidP="003F721D">
      <w:r w:rsidRPr="003D07C6">
        <w:t xml:space="preserve">ICH, Efficacy Guidelines E9: </w:t>
      </w:r>
      <w:r w:rsidRPr="00985A39">
        <w:t xml:space="preserve"> Statistical Principles for Clinical Trials</w:t>
      </w:r>
      <w:r w:rsidRPr="003D07C6">
        <w:t>. September 1998.</w:t>
      </w:r>
    </w:p>
    <w:p w:rsidR="00B13321" w:rsidRDefault="00B13321" w:rsidP="003F721D">
      <w:proofErr w:type="gramStart"/>
      <w:r w:rsidRPr="003D07C6">
        <w:t>ICH E1A.</w:t>
      </w:r>
      <w:proofErr w:type="gramEnd"/>
      <w:r w:rsidRPr="003D07C6">
        <w:t xml:space="preserve"> The Extent of Population Exposure to Assess Clinical Safety: For Drugs intended for Long Term Treatment of Non-Life Threatening Conditions. March 1995</w:t>
      </w:r>
      <w:r>
        <w:t>.</w:t>
      </w:r>
    </w:p>
    <w:p w:rsidR="002C336B" w:rsidRDefault="002C336B" w:rsidP="00B13321"/>
    <w:p w:rsidR="002C336B" w:rsidRDefault="002C336B" w:rsidP="00B13321">
      <w:pPr>
        <w:sectPr w:rsidR="002C336B" w:rsidSect="008D770F">
          <w:headerReference w:type="even" r:id="rId58"/>
          <w:headerReference w:type="default" r:id="rId59"/>
          <w:headerReference w:type="first" r:id="rId60"/>
          <w:footerReference w:type="first" r:id="rId61"/>
          <w:pgSz w:w="11906" w:h="16838" w:code="9"/>
          <w:pgMar w:top="1440" w:right="1440" w:bottom="1440" w:left="1440" w:header="907" w:footer="216" w:gutter="0"/>
          <w:cols w:space="708"/>
          <w:docGrid w:linePitch="360"/>
        </w:sectPr>
      </w:pPr>
    </w:p>
    <w:tbl>
      <w:tblPr>
        <w:tblW w:w="9145" w:type="dxa"/>
        <w:jc w:val="center"/>
        <w:tblInd w:w="-284" w:type="dxa"/>
        <w:tblLayout w:type="fixed"/>
        <w:tblCellMar>
          <w:left w:w="0" w:type="dxa"/>
          <w:right w:w="0" w:type="dxa"/>
        </w:tblCellMar>
        <w:tblLook w:val="04A0" w:firstRow="1" w:lastRow="0" w:firstColumn="1" w:lastColumn="0" w:noHBand="0" w:noVBand="1"/>
      </w:tblPr>
      <w:tblGrid>
        <w:gridCol w:w="9145"/>
      </w:tblGrid>
      <w:tr w:rsidR="00E5595D" w:rsidRPr="00487162" w:rsidTr="00E5595D">
        <w:trPr>
          <w:trHeight w:hRule="exact" w:val="565"/>
          <w:jc w:val="center"/>
        </w:trPr>
        <w:tc>
          <w:tcPr>
            <w:tcW w:w="9145" w:type="dxa"/>
          </w:tcPr>
          <w:bookmarkEnd w:id="1"/>
          <w:bookmarkEnd w:id="0"/>
          <w:bookmarkEnd w:id="3"/>
          <w:p w:rsidR="00E5595D" w:rsidRPr="00487162" w:rsidRDefault="00E5595D" w:rsidP="00E5595D">
            <w:pPr>
              <w:pStyle w:val="TGASignoff"/>
            </w:pPr>
            <w:r w:rsidRPr="00487162">
              <w:lastRenderedPageBreak/>
              <w:t>Therapeutic Goods Administration</w:t>
            </w:r>
          </w:p>
        </w:tc>
      </w:tr>
      <w:tr w:rsidR="00E5595D" w:rsidRPr="00487162" w:rsidTr="00E5595D">
        <w:trPr>
          <w:trHeight w:val="963"/>
          <w:jc w:val="center"/>
        </w:trPr>
        <w:tc>
          <w:tcPr>
            <w:tcW w:w="9145" w:type="dxa"/>
            <w:tcMar>
              <w:top w:w="28" w:type="dxa"/>
            </w:tcMar>
          </w:tcPr>
          <w:p w:rsidR="00E5595D" w:rsidRPr="00140FE3" w:rsidRDefault="00E5595D" w:rsidP="00E5595D">
            <w:pPr>
              <w:pStyle w:val="Address"/>
            </w:pPr>
            <w:r w:rsidRPr="00140FE3">
              <w:t>PO Bo</w:t>
            </w:r>
            <w:r w:rsidRPr="006F652C">
              <w:t>x 100 Woden ACT 2606 A</w:t>
            </w:r>
            <w:r w:rsidRPr="00140FE3">
              <w:t>ustralia</w:t>
            </w:r>
          </w:p>
          <w:p w:rsidR="00E5595D" w:rsidRPr="00140FE3" w:rsidRDefault="00E5595D" w:rsidP="00E5595D">
            <w:pPr>
              <w:pStyle w:val="Address"/>
            </w:pPr>
            <w:r w:rsidRPr="00140FE3">
              <w:t xml:space="preserve">Email: </w:t>
            </w:r>
            <w:hyperlink r:id="rId62" w:history="1">
              <w:r w:rsidRPr="004A3084">
                <w:rPr>
                  <w:rStyle w:val="Hyperlink"/>
                </w:rPr>
                <w:t>info@tga.gov.au</w:t>
              </w:r>
            </w:hyperlink>
            <w:r w:rsidRPr="00140FE3">
              <w:t xml:space="preserve">  Phone: 1800 020 653  Fax: 02 6232 8605</w:t>
            </w:r>
          </w:p>
          <w:p w:rsidR="00E5595D" w:rsidRPr="00CE5067" w:rsidRDefault="00661637" w:rsidP="00E5595D">
            <w:pPr>
              <w:pStyle w:val="Address"/>
              <w:rPr>
                <w:rStyle w:val="Hyperlink"/>
                <w:b/>
              </w:rPr>
            </w:pPr>
            <w:hyperlink r:id="rId63" w:history="1">
              <w:r w:rsidR="004D6ECD">
                <w:rPr>
                  <w:rStyle w:val="Hyperlink"/>
                  <w:b/>
                </w:rPr>
                <w:t>https://www.tga.gov.au/</w:t>
              </w:r>
            </w:hyperlink>
          </w:p>
        </w:tc>
      </w:tr>
      <w:tr w:rsidR="00E5595D" w:rsidRPr="00487162" w:rsidTr="00E5595D">
        <w:trPr>
          <w:trHeight w:val="251"/>
          <w:jc w:val="center"/>
        </w:trPr>
        <w:tc>
          <w:tcPr>
            <w:tcW w:w="9145" w:type="dxa"/>
            <w:tcMar>
              <w:top w:w="28" w:type="dxa"/>
            </w:tcMar>
          </w:tcPr>
          <w:p w:rsidR="00E5595D" w:rsidRPr="00CE5067" w:rsidRDefault="00E5595D" w:rsidP="00E5595D">
            <w:pPr>
              <w:pStyle w:val="Address"/>
            </w:pPr>
            <w:r w:rsidRPr="00CE5067">
              <w:t>Reference/Publication #</w:t>
            </w:r>
          </w:p>
        </w:tc>
      </w:tr>
    </w:tbl>
    <w:p w:rsidR="00774E1D" w:rsidRPr="00B13321" w:rsidRDefault="00774E1D" w:rsidP="00B13321"/>
    <w:sectPr w:rsidR="00774E1D" w:rsidRPr="00B13321" w:rsidSect="00E5595D">
      <w:headerReference w:type="even" r:id="rId64"/>
      <w:headerReference w:type="default" r:id="rId65"/>
      <w:footerReference w:type="default" r:id="rId66"/>
      <w:headerReference w:type="first" r:id="rId67"/>
      <w:footerReference w:type="first" r:id="rId68"/>
      <w:pgSz w:w="11906" w:h="16838" w:code="9"/>
      <w:pgMar w:top="13609" w:right="1701" w:bottom="709"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637" w:rsidRDefault="00661637" w:rsidP="00C40A36">
      <w:pPr>
        <w:spacing w:after="0"/>
      </w:pPr>
      <w:r>
        <w:separator/>
      </w:r>
    </w:p>
  </w:endnote>
  <w:endnote w:type="continuationSeparator" w:id="0">
    <w:p w:rsidR="00661637" w:rsidRDefault="0066163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3" w:usb1="080F0000" w:usb2="00000010" w:usb3="00000000" w:csb0="001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B74897" w:rsidRPr="00487162" w:rsidTr="00F96E45">
      <w:trPr>
        <w:trHeight w:val="269"/>
      </w:trPr>
      <w:tc>
        <w:tcPr>
          <w:tcW w:w="7655" w:type="dxa"/>
          <w:tcMar>
            <w:top w:w="142" w:type="dxa"/>
            <w:bottom w:w="0" w:type="dxa"/>
          </w:tcMar>
        </w:tcPr>
        <w:p w:rsidR="00B74897" w:rsidRPr="00487162" w:rsidRDefault="00B74897" w:rsidP="00486EA4">
          <w:pPr>
            <w:pStyle w:val="Footer"/>
          </w:pPr>
          <w:r>
            <w:t>Submission</w:t>
          </w:r>
          <w:r w:rsidRPr="00487162">
            <w:t xml:space="preserve"> PM-20</w:t>
          </w:r>
          <w:r>
            <w:t>13</w:t>
          </w:r>
          <w:r w:rsidRPr="00487162">
            <w:t>-</w:t>
          </w:r>
          <w:r>
            <w:t>00332</w:t>
          </w:r>
          <w:r w:rsidRPr="00487162">
            <w:t>-</w:t>
          </w:r>
          <w:r>
            <w:t>1</w:t>
          </w:r>
          <w:r w:rsidRPr="00487162">
            <w:t>-</w:t>
          </w:r>
          <w:r>
            <w:t xml:space="preserve">5 Extract from the Clinical Evaluation Report for </w:t>
          </w:r>
          <w:proofErr w:type="spellStart"/>
          <w:r>
            <w:t>Anoro</w:t>
          </w:r>
          <w:proofErr w:type="spellEnd"/>
          <w:r>
            <w:t xml:space="preserve"> </w:t>
          </w:r>
          <w:proofErr w:type="spellStart"/>
          <w:r>
            <w:t>Ellipta</w:t>
          </w:r>
          <w:proofErr w:type="spellEnd"/>
          <w:r>
            <w:t xml:space="preserve"> </w:t>
          </w:r>
          <w:proofErr w:type="spellStart"/>
          <w:r>
            <w:t>umeclidinium</w:t>
          </w:r>
          <w:proofErr w:type="spellEnd"/>
          <w:r>
            <w:t xml:space="preserve"> bromide and </w:t>
          </w:r>
          <w:proofErr w:type="spellStart"/>
          <w:r>
            <w:t>vilanterol</w:t>
          </w:r>
          <w:proofErr w:type="spellEnd"/>
          <w:r>
            <w:t xml:space="preserve"> </w:t>
          </w:r>
          <w:proofErr w:type="spellStart"/>
          <w:r>
            <w:t>trifenatate</w:t>
          </w:r>
          <w:proofErr w:type="spellEnd"/>
        </w:p>
      </w:tc>
      <w:tc>
        <w:tcPr>
          <w:tcW w:w="1206" w:type="dxa"/>
          <w:tcMar>
            <w:top w:w="142" w:type="dxa"/>
            <w:bottom w:w="0" w:type="dxa"/>
          </w:tcMar>
        </w:tcPr>
        <w:p w:rsidR="00B74897" w:rsidRPr="00981D66" w:rsidRDefault="00B74897"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1268C">
            <w:rPr>
              <w:noProof/>
            </w:rPr>
            <w:t>4</w:t>
          </w:r>
          <w:r w:rsidRPr="00981D66">
            <w:fldChar w:fldCharType="end"/>
          </w:r>
          <w:r w:rsidRPr="00981D66">
            <w:t xml:space="preserve"> of </w:t>
          </w:r>
          <w:r w:rsidR="00661637">
            <w:fldChar w:fldCharType="begin"/>
          </w:r>
          <w:r w:rsidR="00661637">
            <w:instrText xml:space="preserve"> NUMPAGES  \* Arabic  \* MERGEFORMAT </w:instrText>
          </w:r>
          <w:r w:rsidR="00661637">
            <w:fldChar w:fldCharType="separate"/>
          </w:r>
          <w:r w:rsidR="0011268C">
            <w:rPr>
              <w:noProof/>
            </w:rPr>
            <w:t>115</w:t>
          </w:r>
          <w:r w:rsidR="00661637">
            <w:rPr>
              <w:noProof/>
            </w:rPr>
            <w:fldChar w:fldCharType="end"/>
          </w:r>
        </w:p>
      </w:tc>
    </w:tr>
  </w:tbl>
  <w:p w:rsidR="00B74897" w:rsidRDefault="00B74897"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74897" w:rsidRPr="00487162" w:rsidTr="00E45619">
      <w:trPr>
        <w:trHeight w:val="269"/>
      </w:trPr>
      <w:tc>
        <w:tcPr>
          <w:tcW w:w="4519" w:type="dxa"/>
          <w:tcBorders>
            <w:top w:val="single" w:sz="4" w:space="0" w:color="auto"/>
          </w:tcBorders>
          <w:tcMar>
            <w:top w:w="142" w:type="dxa"/>
            <w:bottom w:w="0" w:type="dxa"/>
          </w:tcMar>
        </w:tcPr>
        <w:p w:rsidR="00B74897" w:rsidRPr="00487162" w:rsidRDefault="00B74897" w:rsidP="00FE1DEE">
          <w:pPr>
            <w:pStyle w:val="Footer"/>
          </w:pPr>
          <w:r w:rsidRPr="00487162">
            <w:t>Document title, Part #, Section # - Section title</w:t>
          </w:r>
        </w:p>
        <w:p w:rsidR="00B74897" w:rsidRPr="00487162" w:rsidRDefault="00B74897" w:rsidP="00FE1DEE">
          <w:pPr>
            <w:pStyle w:val="Footer"/>
          </w:pPr>
          <w:r w:rsidRPr="00487162">
            <w:t>V1.0 October 2010</w:t>
          </w:r>
        </w:p>
      </w:tc>
      <w:tc>
        <w:tcPr>
          <w:tcW w:w="4342" w:type="dxa"/>
          <w:tcBorders>
            <w:top w:val="single" w:sz="4" w:space="0" w:color="auto"/>
          </w:tcBorders>
          <w:tcMar>
            <w:top w:w="142" w:type="dxa"/>
            <w:bottom w:w="0" w:type="dxa"/>
          </w:tcMar>
        </w:tcPr>
        <w:p w:rsidR="00B74897" w:rsidRPr="00487162" w:rsidRDefault="00B7489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120</w:t>
            </w:r>
          </w:fldSimple>
        </w:p>
      </w:tc>
    </w:tr>
  </w:tbl>
  <w:p w:rsidR="00B74897" w:rsidRDefault="00B748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 w:rsidR="00B74897" w:rsidRDefault="00B7489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74897" w:rsidTr="0010601F">
      <w:trPr>
        <w:trHeight w:val="108"/>
      </w:trPr>
      <w:tc>
        <w:tcPr>
          <w:tcW w:w="8875" w:type="dxa"/>
          <w:gridSpan w:val="2"/>
          <w:tcBorders>
            <w:bottom w:val="single" w:sz="4" w:space="0" w:color="auto"/>
          </w:tcBorders>
          <w:tcMar>
            <w:right w:w="284" w:type="dxa"/>
          </w:tcMar>
        </w:tcPr>
        <w:p w:rsidR="00B74897" w:rsidRDefault="00B74897" w:rsidP="006E08B3">
          <w:pPr>
            <w:pStyle w:val="Heading3"/>
          </w:pPr>
          <w:r>
            <w:t>Copyright</w:t>
          </w:r>
        </w:p>
        <w:p w:rsidR="00B74897" w:rsidRDefault="00B74897" w:rsidP="006E08B3">
          <w:r>
            <w:rPr>
              <w:rFonts w:cs="Arial"/>
            </w:rPr>
            <w:t>©</w:t>
          </w:r>
          <w:r>
            <w:t xml:space="preserve"> Commonwealth of Australia [add year]</w:t>
          </w:r>
        </w:p>
        <w:p w:rsidR="00B74897" w:rsidRDefault="00B74897" w:rsidP="006E08B3"/>
        <w:p w:rsidR="00B74897" w:rsidRDefault="00B7489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74897" w:rsidRDefault="00B74897" w:rsidP="006E08B3"/>
        <w:p w:rsidR="00B74897" w:rsidRDefault="00B74897" w:rsidP="006E08B3">
          <w:pPr>
            <w:pStyle w:val="Heading3"/>
          </w:pPr>
          <w:r>
            <w:t>Confidentiality</w:t>
          </w:r>
        </w:p>
        <w:p w:rsidR="00B74897" w:rsidRDefault="00B7489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74897" w:rsidRDefault="00B74897" w:rsidP="006E08B3"/>
        <w:p w:rsidR="00B74897" w:rsidRDefault="00B74897" w:rsidP="006E08B3">
          <w:r>
            <w:t>For submission made by individuals, all personal details, other than your name, will be removed from your submission before it is published on the TGA’s Internet site.</w:t>
          </w:r>
        </w:p>
        <w:p w:rsidR="00B74897" w:rsidRDefault="00B74897" w:rsidP="006E08B3"/>
        <w:p w:rsidR="00B74897" w:rsidRDefault="00B7489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74897" w:rsidTr="0010601F">
      <w:trPr>
        <w:trHeight w:val="417"/>
      </w:trPr>
      <w:tc>
        <w:tcPr>
          <w:tcW w:w="4519" w:type="dxa"/>
          <w:tcBorders>
            <w:top w:val="single" w:sz="4" w:space="0" w:color="auto"/>
          </w:tcBorders>
          <w:tcMar>
            <w:top w:w="142" w:type="dxa"/>
            <w:bottom w:w="0" w:type="dxa"/>
          </w:tcMar>
        </w:tcPr>
        <w:p w:rsidR="00B74897" w:rsidRDefault="00B74897" w:rsidP="006E08B3">
          <w:r>
            <w:t>Document title, Part #, Section # - Section title</w:t>
          </w:r>
        </w:p>
        <w:p w:rsidR="00B74897" w:rsidRDefault="00B74897" w:rsidP="006E08B3">
          <w:r>
            <w:t>V1.0 October 2010</w:t>
          </w:r>
        </w:p>
      </w:tc>
      <w:tc>
        <w:tcPr>
          <w:tcW w:w="4356" w:type="dxa"/>
          <w:tcBorders>
            <w:top w:val="single" w:sz="4" w:space="0" w:color="auto"/>
          </w:tcBorders>
          <w:tcMar>
            <w:top w:w="142" w:type="dxa"/>
            <w:bottom w:w="0" w:type="dxa"/>
          </w:tcMar>
        </w:tcPr>
        <w:p w:rsidR="00B74897" w:rsidRDefault="00B7489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120</w:t>
            </w:r>
          </w:fldSimple>
          <w:r>
            <w:t xml:space="preserve"> </w:t>
          </w:r>
        </w:p>
      </w:tc>
    </w:tr>
  </w:tbl>
  <w:p w:rsidR="00B74897" w:rsidRDefault="00B74897"/>
  <w:p w:rsidR="00B74897" w:rsidRDefault="00B74897"/>
  <w:p w:rsidR="00B74897" w:rsidRDefault="00B748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637" w:rsidRDefault="00661637" w:rsidP="00C40A36">
      <w:pPr>
        <w:spacing w:after="0"/>
      </w:pPr>
      <w:r>
        <w:separator/>
      </w:r>
    </w:p>
  </w:footnote>
  <w:footnote w:type="continuationSeparator" w:id="0">
    <w:p w:rsidR="00661637" w:rsidRDefault="00661637" w:rsidP="00C40A36">
      <w:pPr>
        <w:spacing w:after="0"/>
      </w:pPr>
      <w:r>
        <w:continuationSeparator/>
      </w:r>
    </w:p>
  </w:footnote>
  <w:footnote w:id="1">
    <w:p w:rsidR="00B74897" w:rsidRPr="00B74897" w:rsidRDefault="00B74897" w:rsidP="004D6ECD">
      <w:pPr>
        <w:pStyle w:val="FootnoteText"/>
      </w:pPr>
      <w:r>
        <w:rPr>
          <w:rStyle w:val="FootnoteReference"/>
        </w:rPr>
        <w:footnoteRef/>
      </w:r>
      <w:r>
        <w:t xml:space="preserve"> </w:t>
      </w:r>
      <w:proofErr w:type="spellStart"/>
      <w:r>
        <w:rPr>
          <w:lang w:val="en-AU"/>
        </w:rPr>
        <w:t>Ultibro</w:t>
      </w:r>
      <w:proofErr w:type="spellEnd"/>
      <w:r>
        <w:rPr>
          <w:lang w:val="en-AU"/>
        </w:rPr>
        <w:t xml:space="preserve"> </w:t>
      </w:r>
      <w:proofErr w:type="spellStart"/>
      <w:r>
        <w:rPr>
          <w:lang w:val="en-AU"/>
        </w:rPr>
        <w:t>Breezhaler</w:t>
      </w:r>
      <w:proofErr w:type="spellEnd"/>
      <w:r>
        <w:rPr>
          <w:lang w:val="en-AU"/>
        </w:rPr>
        <w:t xml:space="preserve"> was </w:t>
      </w:r>
      <w:r w:rsidRPr="00B74897">
        <w:t>registered in Australia on 21 March 2014.</w:t>
      </w:r>
    </w:p>
  </w:footnote>
  <w:footnote w:id="2">
    <w:p w:rsidR="00B74897" w:rsidRPr="0031009C" w:rsidRDefault="00B74897" w:rsidP="006D1FCE">
      <w:pPr>
        <w:pStyle w:val="FootnoteText"/>
      </w:pPr>
      <w:r w:rsidRPr="0031009C">
        <w:rPr>
          <w:rStyle w:val="FootnoteReference"/>
          <w:sz w:val="18"/>
          <w:szCs w:val="18"/>
          <w:vertAlign w:val="baseline"/>
        </w:rPr>
        <w:footnoteRef/>
      </w:r>
      <w:r w:rsidRPr="0031009C">
        <w:t xml:space="preserve"> studies DB2114417/DB2114418 will be discussed in Efficacy Section and Safety Section of this report, while study DB2113359, which has no efficacy endpoints, will be discussed only in the Safety Section of this report.</w:t>
      </w:r>
    </w:p>
  </w:footnote>
  <w:footnote w:id="3">
    <w:p w:rsidR="00B74897" w:rsidRPr="00B965BD" w:rsidRDefault="00B74897" w:rsidP="00A96EA3">
      <w:pPr>
        <w:pStyle w:val="FootnoteText"/>
      </w:pPr>
      <w:r w:rsidRPr="00C34F83">
        <w:rPr>
          <w:rStyle w:val="FootnoteReference"/>
          <w:sz w:val="18"/>
          <w:szCs w:val="18"/>
        </w:rPr>
        <w:footnoteRef/>
      </w:r>
      <w:r w:rsidRPr="00B965BD">
        <w:t xml:space="preserve"> Dose selection for UMEC in the Phase </w:t>
      </w:r>
      <w:proofErr w:type="spellStart"/>
      <w:r w:rsidRPr="00B965BD">
        <w:t>IIb</w:t>
      </w:r>
      <w:proofErr w:type="spellEnd"/>
      <w:r w:rsidRPr="00B965BD">
        <w:t xml:space="preserve"> studies were based on results of single ascending dose studies in ipratropium-responsive healthy volunteers (study AC4105209) and ipratropium-responsive subjects with COPD (study AC4108123). Results of study AC4105209 showed that single-dose administration of 10 and 20 µg of UMEC had a negligible effect on FEV1 over 24 hours while 350 µg of UMEC had the greatest effect, with the remaining doses (UMEC 60, 100, 250 µg), and </w:t>
      </w:r>
      <w:proofErr w:type="spellStart"/>
      <w:r w:rsidRPr="00B965BD">
        <w:t>tiotropium</w:t>
      </w:r>
      <w:proofErr w:type="spellEnd"/>
      <w:r w:rsidRPr="00B965BD">
        <w:t xml:space="preserve"> falling in between. All doses were well tolerated. Based on this study, doses of UMEC of 10 and 20 µg were identified as unlikely to be effective. Results of study AC4108123 suggested that maximal </w:t>
      </w:r>
      <w:proofErr w:type="spellStart"/>
      <w:r w:rsidRPr="00B965BD">
        <w:t>bronchodilatation</w:t>
      </w:r>
      <w:proofErr w:type="spellEnd"/>
      <w:r w:rsidRPr="00B965BD">
        <w:t xml:space="preserve"> over 24 hours was obtained at UMEC dose of 500 µg and that UMEC 250 µg provided less, but still robust, </w:t>
      </w:r>
      <w:proofErr w:type="spellStart"/>
      <w:r w:rsidRPr="00B965BD">
        <w:t>bronchodilatory</w:t>
      </w:r>
      <w:proofErr w:type="spellEnd"/>
      <w:r w:rsidRPr="00B965BD">
        <w:t xml:space="preserve"> effect. The </w:t>
      </w:r>
      <w:proofErr w:type="spellStart"/>
      <w:r w:rsidRPr="00B965BD">
        <w:t>bronchodilatory</w:t>
      </w:r>
      <w:proofErr w:type="spellEnd"/>
      <w:r w:rsidRPr="00B965BD">
        <w:t xml:space="preserve"> benefit of the 3 doses of UMEC tested (250, 500, and 1000 µg) was generally similar to that of </w:t>
      </w:r>
      <w:proofErr w:type="spellStart"/>
      <w:r w:rsidRPr="00B965BD">
        <w:t>tiotropium</w:t>
      </w:r>
      <w:proofErr w:type="spellEnd"/>
      <w:r w:rsidRPr="00B965BD">
        <w:t xml:space="preserve"> over 12 hours and greater at trough.</w:t>
      </w:r>
    </w:p>
  </w:footnote>
  <w:footnote w:id="4">
    <w:p w:rsidR="00B74897" w:rsidRPr="00851DF8" w:rsidRDefault="00B74897" w:rsidP="00A96EA3">
      <w:pPr>
        <w:pStyle w:val="FootnoteText"/>
      </w:pPr>
      <w:r w:rsidRPr="00851DF8">
        <w:rPr>
          <w:rStyle w:val="FootnoteReference"/>
          <w:sz w:val="18"/>
          <w:szCs w:val="18"/>
        </w:rPr>
        <w:footnoteRef/>
      </w:r>
      <w:r w:rsidRPr="00851DF8">
        <w:t xml:space="preserve"> The sponsor considered a change in trough FEV1 of </w:t>
      </w:r>
      <w:r>
        <w:t>≥</w:t>
      </w:r>
      <w:r>
        <w:rPr>
          <w:lang w:val="en-AU"/>
        </w:rPr>
        <w:t xml:space="preserve"> </w:t>
      </w:r>
      <w:r w:rsidRPr="00851DF8">
        <w:t xml:space="preserve">100 mL to be clinically relevant based on literature which showed that this difference could be perceived by patients with COPD. The study had been powered to detect a treatment difference of 130 mL in change from baseline in trough FEV1, as the sponsor considered that this treatment difference would allow demonstration of an effect similar in magnitude to that obtained with </w:t>
      </w:r>
      <w:proofErr w:type="spellStart"/>
      <w:r w:rsidRPr="00851DF8">
        <w:t>tiotropium</w:t>
      </w:r>
      <w:proofErr w:type="spellEnd"/>
      <w:r w:rsidRPr="00851DF8">
        <w:t>.</w:t>
      </w:r>
    </w:p>
  </w:footnote>
  <w:footnote w:id="5">
    <w:p w:rsidR="00B74897" w:rsidRPr="004C52FE" w:rsidRDefault="00B74897" w:rsidP="00A96EA3">
      <w:pPr>
        <w:pStyle w:val="FootnoteText"/>
        <w:rPr>
          <w:lang w:val="en-AU"/>
        </w:rPr>
      </w:pPr>
      <w:r w:rsidRPr="004C52FE">
        <w:rPr>
          <w:rStyle w:val="FootnoteReference"/>
          <w:sz w:val="18"/>
          <w:szCs w:val="18"/>
        </w:rPr>
        <w:footnoteRef/>
      </w:r>
      <w:r w:rsidRPr="004C52FE">
        <w:t xml:space="preserve"> </w:t>
      </w:r>
      <w:r>
        <w:rPr>
          <w:lang w:val="en-AU"/>
        </w:rPr>
        <w:t>Erratum:</w:t>
      </w:r>
      <w:r w:rsidRPr="004C52FE">
        <w:rPr>
          <w:lang w:val="en-AU"/>
        </w:rPr>
        <w:t xml:space="preserve"> </w:t>
      </w:r>
      <w:r w:rsidRPr="00005671">
        <w:rPr>
          <w:lang w:val="en-AU"/>
        </w:rPr>
        <w:t>the correct values are 92% and 99%, respectively</w:t>
      </w:r>
      <w:r>
        <w:rPr>
          <w:lang w:val="en-AU"/>
        </w:rPr>
        <w:t>.</w:t>
      </w:r>
    </w:p>
  </w:footnote>
  <w:footnote w:id="6">
    <w:p w:rsidR="00B74897" w:rsidRPr="005A566C" w:rsidRDefault="00B74897" w:rsidP="008138BC">
      <w:pPr>
        <w:pStyle w:val="FootnoteText"/>
      </w:pPr>
      <w:r w:rsidRPr="005A566C">
        <w:rPr>
          <w:rStyle w:val="FootnoteReference"/>
          <w:sz w:val="18"/>
          <w:szCs w:val="18"/>
        </w:rPr>
        <w:footnoteRef/>
      </w:r>
      <w:r w:rsidRPr="005A566C">
        <w:t xml:space="preserve"> the US, Belgium, Denmark, Estonia, France, Germany, Hungary, Japan, the Netherlands, Norway, Philippines, Slovakia, Sweden, and Ukraine.</w:t>
      </w:r>
    </w:p>
  </w:footnote>
  <w:footnote w:id="7">
    <w:p w:rsidR="00B74897" w:rsidRPr="005A566C" w:rsidRDefault="00B74897" w:rsidP="008138BC">
      <w:pPr>
        <w:pStyle w:val="FootnoteText"/>
      </w:pPr>
      <w:r w:rsidRPr="005A566C">
        <w:rPr>
          <w:rStyle w:val="FootnoteReference"/>
          <w:sz w:val="18"/>
          <w:szCs w:val="18"/>
        </w:rPr>
        <w:footnoteRef/>
      </w:r>
      <w:r w:rsidRPr="005A566C">
        <w:t xml:space="preserve"> the US, Bulgaria, Canada, Chile, Czech Republic, Greece, Japan, Mexico, Poland, Russia, South Africa, Spain, and Thailand.</w:t>
      </w:r>
    </w:p>
  </w:footnote>
  <w:footnote w:id="8">
    <w:p w:rsidR="00B74897" w:rsidRPr="00F72EA6" w:rsidRDefault="00B74897" w:rsidP="00A24905">
      <w:pPr>
        <w:pStyle w:val="FootnoteText"/>
        <w:rPr>
          <w:rStyle w:val="FootnoteTextChar"/>
          <w:rFonts w:eastAsia="Cambria"/>
          <w:sz w:val="18"/>
          <w:szCs w:val="18"/>
        </w:rPr>
      </w:pPr>
      <w:r w:rsidRPr="005A566C">
        <w:rPr>
          <w:rStyle w:val="FootnoteReference"/>
          <w:sz w:val="18"/>
          <w:szCs w:val="18"/>
        </w:rPr>
        <w:footnoteRef/>
      </w:r>
      <w:r w:rsidRPr="005A566C">
        <w:t xml:space="preserve"> </w:t>
      </w:r>
      <w:r w:rsidRPr="00F72EA6">
        <w:rPr>
          <w:rStyle w:val="FootnoteTextChar"/>
          <w:rFonts w:eastAsia="Cambria"/>
          <w:sz w:val="18"/>
          <w:szCs w:val="18"/>
        </w:rPr>
        <w:t>Score 0 = not troubled with breathlessness except with strenuous exercise; Score 1 = troubled by shortness of breath when hurrying on the level or walking up a slight hill; Score 2 = walks slower than people of the same age on the level because of breathlessness or has to stop for breath when walking at own pace on the level; Score 3 = stops for breath after walking about 100 yards or after a few minutes on level; Score 4 = too breathless to leave the house or breathless when dressing or undressing.</w:t>
      </w:r>
    </w:p>
  </w:footnote>
  <w:footnote w:id="9">
    <w:p w:rsidR="00B74897" w:rsidRPr="00F72EA6" w:rsidRDefault="00B74897" w:rsidP="008138BC">
      <w:pPr>
        <w:pStyle w:val="FootnoteText"/>
      </w:pPr>
      <w:r w:rsidRPr="00F72EA6">
        <w:rPr>
          <w:rStyle w:val="FootnoteReference"/>
          <w:sz w:val="18"/>
          <w:szCs w:val="18"/>
        </w:rPr>
        <w:footnoteRef/>
      </w:r>
      <w:r w:rsidRPr="00F72EA6">
        <w:t xml:space="preserve"> Defined as oxygen therapy prescribed for &gt; 12 hours a day. As-needed oxygen use (i.e. ≤ 12 hours per day) was not exclusionary.</w:t>
      </w:r>
    </w:p>
  </w:footnote>
  <w:footnote w:id="10">
    <w:p w:rsidR="00B74897" w:rsidRPr="00F72EA6" w:rsidRDefault="00B74897" w:rsidP="008138BC">
      <w:pPr>
        <w:pStyle w:val="FootnoteText"/>
      </w:pPr>
      <w:r w:rsidRPr="00F72EA6">
        <w:rPr>
          <w:rStyle w:val="FootnoteReference"/>
          <w:sz w:val="18"/>
          <w:szCs w:val="18"/>
        </w:rPr>
        <w:footnoteRef/>
      </w:r>
      <w:r w:rsidRPr="00F72EA6">
        <w:t xml:space="preserve"> Subjects who were in the maintenance phase of a pulmonary rehabilitation program were not excluded.</w:t>
      </w:r>
    </w:p>
  </w:footnote>
  <w:footnote w:id="11">
    <w:p w:rsidR="00B74897" w:rsidRPr="00F72EA6" w:rsidRDefault="00B74897" w:rsidP="00A24905">
      <w:pPr>
        <w:pStyle w:val="FootnoteText"/>
      </w:pPr>
      <w:r w:rsidRPr="00F72EA6">
        <w:rPr>
          <w:rStyle w:val="FootnoteReference"/>
          <w:sz w:val="18"/>
          <w:szCs w:val="18"/>
        </w:rPr>
        <w:footnoteRef/>
      </w:r>
      <w:r w:rsidRPr="00F72EA6">
        <w:t xml:space="preserve"> </w:t>
      </w:r>
      <w:r w:rsidRPr="00F72EA6">
        <w:rPr>
          <w:lang w:val="en-GB"/>
        </w:rPr>
        <w:t xml:space="preserve">European Medicines Agency, </w:t>
      </w:r>
      <w:r w:rsidRPr="00F72EA6">
        <w:t>Guidelines on clinical investigation of medicinal products in the treatment of chronic obstructive pulmonary disease.</w:t>
      </w:r>
      <w:r w:rsidRPr="00F72EA6">
        <w:rPr>
          <w:i/>
        </w:rPr>
        <w:t xml:space="preserve"> </w:t>
      </w:r>
      <w:r w:rsidRPr="00F72EA6">
        <w:t>21 June 2012.</w:t>
      </w:r>
      <w:r w:rsidRPr="00F72EA6">
        <w:rPr>
          <w:i/>
        </w:rPr>
        <w:t xml:space="preserve"> </w:t>
      </w:r>
      <w:r w:rsidRPr="00F72EA6">
        <w:t xml:space="preserve">This EMA guideline was adopted by the EU </w:t>
      </w:r>
      <w:r w:rsidRPr="00A24905">
        <w:rPr>
          <w:rStyle w:val="ft"/>
          <w:rFonts w:cs="Arial"/>
          <w:color w:val="auto"/>
          <w:sz w:val="20"/>
          <w:szCs w:val="20"/>
        </w:rPr>
        <w:t>Committee for Medicinal Products for Human Use</w:t>
      </w:r>
      <w:r w:rsidRPr="00F72EA6">
        <w:t xml:space="preserve"> (CHMP) on 9 July 2012, and was intended to replace the TGA-adopted EMA guidelines “Points to consider on clinical investigation of medicinal products in the treatment of chronic obstructive pulmonary disease” (CPMP/EWP/562/98, 19 May 1999).</w:t>
      </w:r>
    </w:p>
  </w:footnote>
  <w:footnote w:id="12">
    <w:p w:rsidR="00B74897" w:rsidRPr="00F72EA6" w:rsidRDefault="00B74897" w:rsidP="008138BC">
      <w:pPr>
        <w:pStyle w:val="FootnoteText"/>
      </w:pPr>
      <w:r w:rsidRPr="00F72EA6">
        <w:rPr>
          <w:rStyle w:val="FootnoteReference"/>
          <w:sz w:val="18"/>
          <w:szCs w:val="18"/>
        </w:rPr>
        <w:footnoteRef/>
      </w:r>
      <w:r w:rsidRPr="00F72EA6">
        <w:t xml:space="preserve"> FDA, Guidance for Industry- Chronic Obstructive Pulmonary Disease: Developing Drugs for Treatment. November 2007</w:t>
      </w:r>
    </w:p>
  </w:footnote>
  <w:footnote w:id="13">
    <w:p w:rsidR="00B74897" w:rsidRPr="00F72EA6" w:rsidRDefault="00B74897" w:rsidP="008138BC">
      <w:pPr>
        <w:pStyle w:val="FootnoteText"/>
      </w:pPr>
      <w:r w:rsidRPr="00F72EA6">
        <w:rPr>
          <w:rStyle w:val="FootnoteReference"/>
          <w:sz w:val="18"/>
          <w:szCs w:val="18"/>
        </w:rPr>
        <w:footnoteRef/>
      </w:r>
      <w:r w:rsidRPr="00F72EA6">
        <w:t xml:space="preserve"> European Medicines Agency, Note for Guidance on Fixed Dose Combination Medicinal Products. 19 February 2009</w:t>
      </w:r>
    </w:p>
  </w:footnote>
  <w:footnote w:id="14">
    <w:p w:rsidR="00B74897" w:rsidRPr="00F72EA6" w:rsidRDefault="00B74897" w:rsidP="008138BC">
      <w:pPr>
        <w:pStyle w:val="FootnoteText"/>
      </w:pPr>
      <w:r w:rsidRPr="00BD17D2">
        <w:rPr>
          <w:rStyle w:val="FootnoteReference"/>
          <w:sz w:val="18"/>
          <w:szCs w:val="18"/>
        </w:rPr>
        <w:footnoteRef/>
      </w:r>
      <w:r w:rsidRPr="00BD17D2">
        <w:rPr>
          <w:vertAlign w:val="superscript"/>
        </w:rPr>
        <w:t xml:space="preserve"> </w:t>
      </w:r>
      <w:r w:rsidRPr="00F72EA6">
        <w:t>The sponsor had stated that the TDI focal score at Day 168 was considered a key secondary endpoint for submission to the European Medicines Agency (EMA) and other relevant regulatory authorities, and was considered an “other endpoint” for regulatory submission to the US Food and Drug Administration (FDA) and other relevant regulatory authorities</w:t>
      </w:r>
    </w:p>
  </w:footnote>
  <w:footnote w:id="15">
    <w:p w:rsidR="00B74897" w:rsidRPr="00F72EA6" w:rsidRDefault="00B74897" w:rsidP="008138BC">
      <w:pPr>
        <w:pStyle w:val="FootnoteText"/>
      </w:pPr>
      <w:r w:rsidRPr="00BD17D2">
        <w:rPr>
          <w:rStyle w:val="FootnoteReference"/>
          <w:sz w:val="18"/>
          <w:szCs w:val="18"/>
        </w:rPr>
        <w:footnoteRef/>
      </w:r>
      <w:r w:rsidRPr="00F72EA6">
        <w:t xml:space="preserve"> At Visit 2, the severity of dyspnoea at baseline was assessed using the Baseline Dyspnoea Index (BDI). At subsequent visits (Visits 4, 6, and 8) change from baseline was assessed using the TDI. The BDI is an interviewer-administered instrument used to measure the severity of dyspnoea in subjects at baseline, while the TDI (also interviewer-administered) measures changes in the subject’s dyspnoea from baseline. The scores in both the BDI and TDI evaluated ratings of dyspnoea for three different categories: functional impairment, magnitude of task, and magnitude of effort. For the BDI assessment of baseline dyspnoea, each of these categories has 5 possible scores ranging from 0 to 4 (with lower scores indicating more impairment), and hence the range of the total BDI focal score is 0 to 12. For the TDI assessment of change from baseline state, each of these categories has 7 possible scores ranging from -3 (major deterioration) to +3 (major improvement). The score for each component is added to give an overall score (called the TDI focal score) ranging from -9 to +9. A difference of 1 unit for the mean TDI focal score is considered to be clinically meaningful.</w:t>
      </w:r>
    </w:p>
  </w:footnote>
  <w:footnote w:id="16">
    <w:p w:rsidR="00B74897" w:rsidRPr="00F72EA6" w:rsidRDefault="00B74897" w:rsidP="008138BC">
      <w:pPr>
        <w:pStyle w:val="FootnoteText"/>
      </w:pPr>
      <w:r w:rsidRPr="00BD17D2">
        <w:rPr>
          <w:rStyle w:val="FootnoteReference"/>
          <w:sz w:val="18"/>
          <w:szCs w:val="18"/>
        </w:rPr>
        <w:footnoteRef/>
      </w:r>
      <w:r w:rsidRPr="00F72EA6">
        <w:t xml:space="preserve"> In both studies, at selected study sites, a subset of approximately 198 planned subjects performed 24-hour serial spirometry during the study (Visits 2, 6 and 8 [i.e. Day 1, Weeks 12 and 24, respectively]) for evaluation of lung function over the dosing period. This subset of subjects also performed 24-hour Holter monitoring.</w:t>
      </w:r>
    </w:p>
  </w:footnote>
  <w:footnote w:id="17">
    <w:p w:rsidR="00B74897" w:rsidRPr="00F72EA6" w:rsidRDefault="00B74897" w:rsidP="008138BC">
      <w:pPr>
        <w:pStyle w:val="FootnoteText"/>
      </w:pPr>
      <w:r w:rsidRPr="00BD17D2">
        <w:rPr>
          <w:rStyle w:val="FootnoteReference"/>
          <w:sz w:val="18"/>
          <w:szCs w:val="18"/>
        </w:rPr>
        <w:footnoteRef/>
      </w:r>
      <w:r w:rsidRPr="00F72EA6">
        <w:t xml:space="preserve"> The SOBDA is a patient-reported outcome instrument developed by the sponsor according to the FDA Guidance for Industry on Patient-Reported Outcome Measures for Use in Medical Product Development to Support </w:t>
      </w:r>
      <w:proofErr w:type="spellStart"/>
      <w:r w:rsidRPr="00F72EA6">
        <w:t>Labeling</w:t>
      </w:r>
      <w:proofErr w:type="spellEnd"/>
      <w:r w:rsidRPr="00F72EA6">
        <w:t xml:space="preserve"> Claims (FDA 2009), to assess dyspnoea or shortness of breath with daily activities, and to measure changes in shortness of breath over time in clinical trials. According to the sponsor, studies conducted by the sponsor showed that SOBDA was a reliable and valid instrument for measuring shortness of breath with daily activity for COPD patients. The SOBDA is made up of 13 items completed by the patient each evening just prior to bedtime. The patient was assigned a weekly mean SOBDA score ranging from 1 to 4 (greater scores indicate more severe breathlessness with daily activities) based on the mean of seven days of data (at least 4 of 7 days must be completed for a weekly mean to be calculated). Each daily score was computed as the mean of the scores on the 13 items (at least 7 out of 13 items must have non-missing response options for a daily mean to be calculated).</w:t>
      </w:r>
    </w:p>
  </w:footnote>
  <w:footnote w:id="18">
    <w:p w:rsidR="00B74897" w:rsidRPr="00F72EA6" w:rsidRDefault="00B74897" w:rsidP="008138BC">
      <w:pPr>
        <w:pStyle w:val="FootnoteText"/>
      </w:pPr>
      <w:r w:rsidRPr="00BD17D2">
        <w:rPr>
          <w:rStyle w:val="FootnoteReference"/>
          <w:sz w:val="18"/>
          <w:szCs w:val="18"/>
        </w:rPr>
        <w:footnoteRef/>
      </w:r>
      <w:r w:rsidRPr="00F72EA6">
        <w:t xml:space="preserve"> A COPD exacerbation was defined as an acute worsening of symptoms of COPD requiring the use of any treatment beyond study drug or rescue salbutamol. This included the use of systemic corticosteroids, antibiotics, and/or emergency treatment or hospitalisation.</w:t>
      </w:r>
    </w:p>
  </w:footnote>
  <w:footnote w:id="19">
    <w:p w:rsidR="00B74897" w:rsidRPr="00F72EA6" w:rsidRDefault="00B74897" w:rsidP="008138BC">
      <w:pPr>
        <w:pStyle w:val="FootnoteText"/>
      </w:pPr>
      <w:r w:rsidRPr="00F45853">
        <w:rPr>
          <w:rStyle w:val="FootnoteReference"/>
          <w:sz w:val="18"/>
          <w:szCs w:val="18"/>
        </w:rPr>
        <w:footnoteRef/>
      </w:r>
      <w:r w:rsidRPr="00F72EA6">
        <w:t xml:space="preserve"> The SGRQ consisted of 76 items grouped into 3 domains (symptoms, activity, and impact). The domain score was calculated as the sum of the weighted scores for the non-missing items within each domain, divided by the maximum possible score for those non-missing items and multiplied by 100. The SGRQ total score was calculated as the sum of the weighted scores from all 76 items, divided by the maximum possible score for the SGRQ, multiplied by 100. The SGRQ total score ranged from 0 to 100, with lower scores indicating better health status. A -4 unit difference was considered the minimum clinically important difference for the SGRQ.</w:t>
      </w:r>
    </w:p>
  </w:footnote>
  <w:footnote w:id="20">
    <w:p w:rsidR="00B74897" w:rsidRPr="00D66F1F" w:rsidRDefault="00B74897" w:rsidP="008138BC">
      <w:pPr>
        <w:pStyle w:val="FootnoteText"/>
      </w:pPr>
      <w:r w:rsidRPr="00F45853">
        <w:rPr>
          <w:rStyle w:val="FootnoteReference"/>
          <w:sz w:val="18"/>
          <w:szCs w:val="18"/>
        </w:rPr>
        <w:footnoteRef/>
      </w:r>
      <w:r w:rsidRPr="00D66F1F">
        <w:t xml:space="preserve"> Subjects with partial protocol deviations were included in the PP population but had their data excluded from PP analyses from the time of deviation onwards. The exception to this was a partial deviation which occurred prior to the start of treatment, in which case the subject would be excluded from the PP population. Subjects with time-point specific protocol deviations were included in the PP population but had the affected data excluded from PP analyses. Receipt of a study treatment other than the randomised treatment was considered a protocol deviation from the time of receiving incorrect treatment onwards.</w:t>
      </w:r>
    </w:p>
  </w:footnote>
  <w:footnote w:id="21">
    <w:p w:rsidR="00B74897" w:rsidRPr="00D66F1F" w:rsidRDefault="00B74897" w:rsidP="008138BC">
      <w:pPr>
        <w:pStyle w:val="FootnoteText"/>
      </w:pPr>
      <w:r w:rsidRPr="003D0B58">
        <w:rPr>
          <w:rStyle w:val="FootnoteReference"/>
          <w:sz w:val="18"/>
          <w:szCs w:val="18"/>
        </w:rPr>
        <w:footnoteRef/>
      </w:r>
      <w:r w:rsidRPr="00D66F1F">
        <w:t xml:space="preserve"> </w:t>
      </w:r>
      <w:proofErr w:type="spellStart"/>
      <w:r>
        <w:rPr>
          <w:lang w:val="en-AU"/>
        </w:rPr>
        <w:t>T</w:t>
      </w:r>
      <w:r w:rsidRPr="00D66F1F">
        <w:t>his</w:t>
      </w:r>
      <w:proofErr w:type="spellEnd"/>
      <w:r w:rsidRPr="00D66F1F">
        <w:t xml:space="preserve"> treatment difference was generally accepted as the minimally important difference for this endpoint.</w:t>
      </w:r>
    </w:p>
  </w:footnote>
  <w:footnote w:id="22">
    <w:p w:rsidR="00B74897" w:rsidRPr="00D66F1F" w:rsidRDefault="00B74897" w:rsidP="008138BC">
      <w:pPr>
        <w:pStyle w:val="FootnoteText"/>
      </w:pPr>
      <w:r w:rsidRPr="00D66F1F">
        <w:rPr>
          <w:rStyle w:val="FootnoteReference"/>
          <w:sz w:val="18"/>
          <w:szCs w:val="18"/>
        </w:rPr>
        <w:footnoteRef/>
      </w:r>
      <w:r w:rsidRPr="00D66F1F">
        <w:t xml:space="preserve"> </w:t>
      </w:r>
      <w:r w:rsidRPr="00D66F1F">
        <w:rPr>
          <w:lang w:val="en-GB"/>
        </w:rPr>
        <w:t xml:space="preserve">European Medicines Agency, </w:t>
      </w:r>
      <w:r w:rsidRPr="00D66F1F">
        <w:t>Points to consider on multiplicity in clinical trials. 19</w:t>
      </w:r>
      <w:r w:rsidRPr="00D66F1F">
        <w:rPr>
          <w:vertAlign w:val="superscript"/>
        </w:rPr>
        <w:t>th</w:t>
      </w:r>
      <w:r w:rsidRPr="00D66F1F">
        <w:t xml:space="preserve"> September 2002.</w:t>
      </w:r>
    </w:p>
  </w:footnote>
  <w:footnote w:id="23">
    <w:p w:rsidR="00B74897" w:rsidRPr="00D66F1F" w:rsidRDefault="00B74897" w:rsidP="008138BC">
      <w:pPr>
        <w:pStyle w:val="FootnoteText"/>
        <w:rPr>
          <w:lang w:val="en-US"/>
        </w:rPr>
      </w:pPr>
      <w:r w:rsidRPr="00D66F1F">
        <w:rPr>
          <w:rStyle w:val="FootnoteReference"/>
          <w:sz w:val="18"/>
          <w:szCs w:val="18"/>
        </w:rPr>
        <w:footnoteRef/>
      </w:r>
      <w:r w:rsidRPr="00D66F1F">
        <w:t xml:space="preserve"> This EMA guideline was adopted by the EU </w:t>
      </w:r>
      <w:r w:rsidRPr="00D66F1F">
        <w:rPr>
          <w:rStyle w:val="ft"/>
          <w:rFonts w:cs="Arial"/>
          <w:sz w:val="18"/>
          <w:szCs w:val="18"/>
        </w:rPr>
        <w:t>Committee for Medicinal Products for Human Use</w:t>
      </w:r>
      <w:r w:rsidRPr="00D66F1F">
        <w:t xml:space="preserve"> (CHMP) on 9 July 2012, and was intended to replace the TGA-adopted EMA guidelines “Points to consider on clinical investigation of medicinal products in the treatment of chronic obstructive pulmonary disease”</w:t>
      </w:r>
    </w:p>
  </w:footnote>
  <w:footnote w:id="24">
    <w:p w:rsidR="00B74897" w:rsidRPr="00335963" w:rsidRDefault="00B74897" w:rsidP="008138BC">
      <w:pPr>
        <w:pStyle w:val="FootnoteText"/>
      </w:pPr>
      <w:r w:rsidRPr="00335963">
        <w:rPr>
          <w:rStyle w:val="FootnoteReference"/>
          <w:sz w:val="18"/>
          <w:szCs w:val="18"/>
        </w:rPr>
        <w:footnoteRef/>
      </w:r>
      <w:r>
        <w:t xml:space="preserve"> GOLD</w:t>
      </w:r>
      <w:r w:rsidRPr="00335963">
        <w:t xml:space="preserve"> classifies COPD into 4 grades of severity: Grade I (mild; FEV1 </w:t>
      </w:r>
      <w:r>
        <w:t>≥</w:t>
      </w:r>
      <w:r>
        <w:rPr>
          <w:lang w:val="en-AU"/>
        </w:rPr>
        <w:t xml:space="preserve"> </w:t>
      </w:r>
      <w:r w:rsidRPr="00335963">
        <w:t xml:space="preserve">80% predicted), Grade II (moderate; FEV1 </w:t>
      </w:r>
      <w:r>
        <w:t>≥</w:t>
      </w:r>
      <w:r>
        <w:rPr>
          <w:lang w:val="en-AU"/>
        </w:rPr>
        <w:t xml:space="preserve"> </w:t>
      </w:r>
      <w:r w:rsidRPr="00335963">
        <w:t xml:space="preserve">50% and </w:t>
      </w:r>
      <w:r>
        <w:rPr>
          <w:lang w:val="en-AU"/>
        </w:rPr>
        <w:t xml:space="preserve">&lt; </w:t>
      </w:r>
      <w:r w:rsidRPr="00335963">
        <w:t xml:space="preserve">80% predicted), Grade III (severe; FEV1 </w:t>
      </w:r>
      <w:r>
        <w:t>≥</w:t>
      </w:r>
      <w:r w:rsidRPr="00335963">
        <w:t xml:space="preserve"> 30% and </w:t>
      </w:r>
      <w:r>
        <w:rPr>
          <w:lang w:val="en-AU"/>
        </w:rPr>
        <w:t xml:space="preserve">&lt; </w:t>
      </w:r>
      <w:r w:rsidRPr="00335963">
        <w:t>50% predicted), and Grade IV (very severe; FEV1</w:t>
      </w:r>
      <w:r>
        <w:rPr>
          <w:lang w:val="en-AU"/>
        </w:rPr>
        <w:t xml:space="preserve"> &lt; </w:t>
      </w:r>
      <w:r w:rsidRPr="00335963">
        <w:t>30% pr</w:t>
      </w:r>
      <w:r>
        <w:t>edicted). FEV1 is based on post</w:t>
      </w:r>
      <w:r>
        <w:rPr>
          <w:lang w:val="en-AU"/>
        </w:rPr>
        <w:t xml:space="preserve"> </w:t>
      </w:r>
      <w:r w:rsidRPr="00335963">
        <w:t>bronchodilator FEV1.</w:t>
      </w:r>
    </w:p>
  </w:footnote>
  <w:footnote w:id="25">
    <w:p w:rsidR="00B74897" w:rsidRPr="00A24905" w:rsidRDefault="00B74897" w:rsidP="008138BC">
      <w:pPr>
        <w:pStyle w:val="FootnoteText"/>
      </w:pPr>
      <w:r w:rsidRPr="00335963">
        <w:rPr>
          <w:rStyle w:val="FootnoteReference"/>
          <w:sz w:val="18"/>
          <w:szCs w:val="18"/>
        </w:rPr>
        <w:footnoteRef/>
      </w:r>
      <w:r w:rsidRPr="00335963">
        <w:t xml:space="preserve"> Global Initiative for Chronic Obstructive Lung Disease (GOLD),</w:t>
      </w:r>
      <w:r w:rsidRPr="00335963">
        <w:rPr>
          <w:i/>
        </w:rPr>
        <w:t xml:space="preserve"> </w:t>
      </w:r>
      <w:r w:rsidRPr="00A24905">
        <w:rPr>
          <w:rStyle w:val="Emphasis"/>
          <w:i w:val="0"/>
        </w:rPr>
        <w:t>Global Strategy for the Diagnosis, Management and Prevention of COPD</w:t>
      </w:r>
      <w:r w:rsidRPr="00A24905">
        <w:rPr>
          <w:i/>
        </w:rPr>
        <w:t xml:space="preserve">. </w:t>
      </w:r>
      <w:r w:rsidRPr="00A24905">
        <w:t>2011.</w:t>
      </w:r>
    </w:p>
  </w:footnote>
  <w:footnote w:id="26">
    <w:p w:rsidR="00B74897" w:rsidRPr="00836CCA" w:rsidRDefault="00B74897" w:rsidP="008138BC">
      <w:pPr>
        <w:pStyle w:val="FootnoteText"/>
        <w:rPr>
          <w:lang w:val="en-AU"/>
        </w:rPr>
      </w:pPr>
      <w:r>
        <w:rPr>
          <w:rStyle w:val="FootnoteReference"/>
        </w:rPr>
        <w:footnoteRef/>
      </w:r>
      <w:r>
        <w:t xml:space="preserve"> </w:t>
      </w:r>
      <w:r w:rsidRPr="00836CCA">
        <w:rPr>
          <w:lang w:val="en-AU"/>
        </w:rPr>
        <w:t>Erratum: UMEC 125</w:t>
      </w:r>
      <w:r w:rsidRPr="0076351C">
        <w:rPr>
          <w:rFonts w:eastAsia="Cambria"/>
          <w:kern w:val="0"/>
          <w:sz w:val="22"/>
          <w:szCs w:val="22"/>
          <w:lang w:val="en-AU" w:eastAsia="en-US"/>
        </w:rPr>
        <w:t xml:space="preserve"> </w:t>
      </w:r>
      <w:r w:rsidRPr="0076351C">
        <w:rPr>
          <w:lang w:val="en-AU"/>
        </w:rPr>
        <w:t>µg</w:t>
      </w:r>
      <w:r w:rsidRPr="00836CCA">
        <w:rPr>
          <w:lang w:val="en-AU"/>
        </w:rPr>
        <w:t xml:space="preserve"> should read VI 25 µg</w:t>
      </w:r>
    </w:p>
  </w:footnote>
  <w:footnote w:id="27">
    <w:p w:rsidR="00B74897" w:rsidRPr="00DD6BD0" w:rsidRDefault="00B74897" w:rsidP="007D5DFC">
      <w:pPr>
        <w:pStyle w:val="FootnoteText"/>
        <w:rPr>
          <w:lang w:val="en-AU"/>
        </w:rPr>
      </w:pPr>
      <w:r>
        <w:rPr>
          <w:rStyle w:val="FootnoteReference"/>
        </w:rPr>
        <w:footnoteRef/>
      </w:r>
      <w:r>
        <w:t xml:space="preserve"> </w:t>
      </w:r>
      <w:r w:rsidRPr="00DD6BD0">
        <w:t>ERRATUM “</w:t>
      </w:r>
      <w:r w:rsidRPr="00DD6BD0">
        <w:rPr>
          <w:lang w:val="en-AU"/>
        </w:rPr>
        <w:t>There was statistically significantly greater reduction from baseline in LSM rescue salbutamol use over Weeks 1 to 24 for the UMEC/VI 62.5/25 µg treatment group compared with the VI 25 µg treatment group. Comparison of UMEC/VI 62.5/25 µg with UMEC 62.5 µg for this endpoint yielded result that was not statistically significant.</w:t>
      </w:r>
      <w:r w:rsidRPr="00DD6BD0">
        <w:t>” Should read “</w:t>
      </w:r>
      <w:r w:rsidRPr="00DD6BD0">
        <w:rPr>
          <w:lang w:val="en-AU"/>
        </w:rPr>
        <w:t xml:space="preserve">There was statistically significantly greater reduction from baseline in LSM rescue salbutamol use over Weeks 1 to 24 for the UMEC/VI 62.5/25 µg treatment group compared with the </w:t>
      </w:r>
      <w:r w:rsidRPr="00DD6BD0">
        <w:t xml:space="preserve">UMEC </w:t>
      </w:r>
      <w:r w:rsidRPr="00DD6BD0">
        <w:rPr>
          <w:u w:val="single"/>
        </w:rPr>
        <w:t>6</w:t>
      </w:r>
      <w:r w:rsidRPr="00DD6BD0">
        <w:rPr>
          <w:u w:val="single"/>
          <w:lang w:val="en-AU"/>
        </w:rPr>
        <w:t>2</w:t>
      </w:r>
      <w:r w:rsidRPr="00DD6BD0">
        <w:rPr>
          <w:u w:val="single"/>
        </w:rPr>
        <w:t>.</w:t>
      </w:r>
      <w:r w:rsidRPr="00DD6BD0">
        <w:rPr>
          <w:u w:val="single"/>
          <w:lang w:val="en-AU"/>
        </w:rPr>
        <w:t>5</w:t>
      </w:r>
      <w:r w:rsidRPr="00DD6BD0">
        <w:rPr>
          <w:lang w:val="en-AU"/>
        </w:rPr>
        <w:t xml:space="preserve"> µg treatment group. Comparison of UMEC/VI 62.5/25 µg with </w:t>
      </w:r>
      <w:r w:rsidRPr="007D5DFC">
        <w:rPr>
          <w:b/>
        </w:rPr>
        <w:t>VI 25</w:t>
      </w:r>
      <w:r w:rsidRPr="00DD6BD0">
        <w:rPr>
          <w:lang w:val="en-AU"/>
        </w:rPr>
        <w:t xml:space="preserve"> µg for this endpoint yielded result that was not statistically significant.</w:t>
      </w:r>
      <w:r w:rsidRPr="00DD6BD0">
        <w:t>”</w:t>
      </w:r>
    </w:p>
  </w:footnote>
  <w:footnote w:id="28">
    <w:p w:rsidR="00B74897" w:rsidRPr="00973875" w:rsidRDefault="00B74897" w:rsidP="00DC532E">
      <w:pPr>
        <w:pStyle w:val="FootnoteText"/>
        <w:rPr>
          <w:lang w:val="en-AU"/>
        </w:rPr>
      </w:pPr>
      <w:r w:rsidRPr="00973875">
        <w:rPr>
          <w:rStyle w:val="FootnoteReference"/>
          <w:sz w:val="18"/>
          <w:szCs w:val="18"/>
        </w:rPr>
        <w:footnoteRef/>
      </w:r>
      <w:r w:rsidRPr="00973875">
        <w:t xml:space="preserve"> </w:t>
      </w:r>
      <w:proofErr w:type="spellStart"/>
      <w:r w:rsidRPr="00973875">
        <w:rPr>
          <w:lang w:val="en-AU"/>
        </w:rPr>
        <w:t>Erratum</w:t>
      </w:r>
      <w:proofErr w:type="gramStart"/>
      <w:r w:rsidRPr="00973875">
        <w:rPr>
          <w:lang w:val="en-AU"/>
        </w:rPr>
        <w:t>:the</w:t>
      </w:r>
      <w:proofErr w:type="spellEnd"/>
      <w:proofErr w:type="gramEnd"/>
      <w:r w:rsidRPr="00973875">
        <w:rPr>
          <w:lang w:val="en-AU"/>
        </w:rPr>
        <w:t xml:space="preserve"> corrected value is 28%.</w:t>
      </w:r>
    </w:p>
  </w:footnote>
  <w:footnote w:id="29">
    <w:p w:rsidR="00B74897" w:rsidRPr="00973875" w:rsidRDefault="00B74897" w:rsidP="00DC532E">
      <w:pPr>
        <w:pStyle w:val="FootnoteText"/>
        <w:rPr>
          <w:lang w:val="en-AU"/>
        </w:rPr>
      </w:pPr>
      <w:r w:rsidRPr="00973875">
        <w:rPr>
          <w:rStyle w:val="FootnoteReference"/>
          <w:sz w:val="18"/>
          <w:szCs w:val="18"/>
        </w:rPr>
        <w:footnoteRef/>
      </w:r>
      <w:r w:rsidRPr="00973875">
        <w:t xml:space="preserve"> </w:t>
      </w:r>
      <w:r w:rsidRPr="00973875">
        <w:rPr>
          <w:lang w:val="en-AU"/>
        </w:rPr>
        <w:t xml:space="preserve">Erratum: </w:t>
      </w:r>
      <w:r w:rsidRPr="00DB3AAF">
        <w:rPr>
          <w:lang w:val="en-AU"/>
        </w:rPr>
        <w:t>UMEC</w:t>
      </w:r>
      <w:r w:rsidRPr="00973875">
        <w:rPr>
          <w:lang w:val="en-AU"/>
        </w:rPr>
        <w:t xml:space="preserve"> 25 µg should read UMEC 125 µg.</w:t>
      </w:r>
    </w:p>
  </w:footnote>
  <w:footnote w:id="30">
    <w:p w:rsidR="00B74897" w:rsidRPr="00973875" w:rsidRDefault="00B74897" w:rsidP="00DC532E">
      <w:pPr>
        <w:pStyle w:val="FootnoteText"/>
        <w:rPr>
          <w:lang w:val="en-AU"/>
        </w:rPr>
      </w:pPr>
      <w:r w:rsidRPr="00DB3AAF">
        <w:rPr>
          <w:rStyle w:val="FootnoteReference"/>
          <w:sz w:val="18"/>
          <w:szCs w:val="18"/>
        </w:rPr>
        <w:footnoteRef/>
      </w:r>
      <w:r w:rsidR="00A460A5">
        <w:rPr>
          <w:lang w:val="en-AU"/>
        </w:rPr>
        <w:t xml:space="preserve"> </w:t>
      </w:r>
      <w:proofErr w:type="spellStart"/>
      <w:r w:rsidRPr="00973875">
        <w:t>Erratum:UMEC</w:t>
      </w:r>
      <w:proofErr w:type="spellEnd"/>
      <w:r w:rsidRPr="00973875">
        <w:t xml:space="preserve"> 125 </w:t>
      </w:r>
      <w:r w:rsidRPr="00973875">
        <w:rPr>
          <w:lang w:val="en-AU"/>
        </w:rPr>
        <w:t xml:space="preserve">µg </w:t>
      </w:r>
      <w:r w:rsidRPr="00973875">
        <w:t>should read UMEC 62.5</w:t>
      </w:r>
      <w:r w:rsidRPr="00973875">
        <w:rPr>
          <w:lang w:val="en-AU"/>
        </w:rPr>
        <w:t xml:space="preserve"> µg.</w:t>
      </w:r>
    </w:p>
  </w:footnote>
  <w:footnote w:id="31">
    <w:p w:rsidR="00B74897" w:rsidRPr="00973875" w:rsidRDefault="00B74897" w:rsidP="00DC532E">
      <w:pPr>
        <w:pStyle w:val="FootnoteText"/>
      </w:pPr>
      <w:r w:rsidRPr="00973875">
        <w:rPr>
          <w:rStyle w:val="FootnoteReference"/>
          <w:sz w:val="18"/>
          <w:szCs w:val="18"/>
        </w:rPr>
        <w:footnoteRef/>
      </w:r>
      <w:r w:rsidRPr="00973875">
        <w:t xml:space="preserve"> the US, Germany, Italy, Mexico, Peru, Poland, Romania, Russian Federation, and Ukraine</w:t>
      </w:r>
    </w:p>
  </w:footnote>
  <w:footnote w:id="32">
    <w:p w:rsidR="00B74897" w:rsidRPr="00973875" w:rsidRDefault="00B74897" w:rsidP="00DC532E">
      <w:pPr>
        <w:pStyle w:val="FootnoteText"/>
      </w:pPr>
      <w:r w:rsidRPr="00973875">
        <w:rPr>
          <w:rStyle w:val="FootnoteReference"/>
          <w:sz w:val="18"/>
          <w:szCs w:val="18"/>
        </w:rPr>
        <w:footnoteRef/>
      </w:r>
      <w:r w:rsidRPr="00973875">
        <w:t xml:space="preserve"> the US, Argentina, Australia, Canada, Chile, Germany, South Korea, Mexico, Romania, and South Africa</w:t>
      </w:r>
    </w:p>
  </w:footnote>
  <w:footnote w:id="33">
    <w:p w:rsidR="00B74897" w:rsidRPr="007478D4" w:rsidRDefault="00B74897" w:rsidP="00DC532E">
      <w:pPr>
        <w:pStyle w:val="FootnoteText"/>
      </w:pPr>
      <w:r w:rsidRPr="007478D4">
        <w:rPr>
          <w:rStyle w:val="FootnoteReference"/>
          <w:sz w:val="18"/>
          <w:szCs w:val="18"/>
        </w:rPr>
        <w:footnoteRef/>
      </w:r>
      <w:r w:rsidRPr="007478D4">
        <w:t xml:space="preserve"> European Medicines Agency, Note for Guidance on Fixed Dose Combination Medicinal Products. 19 February 2009</w:t>
      </w:r>
    </w:p>
  </w:footnote>
  <w:footnote w:id="34">
    <w:p w:rsidR="00B74897" w:rsidRPr="007478D4" w:rsidRDefault="00B74897" w:rsidP="00DC532E">
      <w:pPr>
        <w:pStyle w:val="FootnoteText"/>
      </w:pPr>
      <w:r w:rsidRPr="007478D4">
        <w:rPr>
          <w:rStyle w:val="FootnoteReference"/>
          <w:sz w:val="18"/>
          <w:szCs w:val="18"/>
        </w:rPr>
        <w:footnoteRef/>
      </w:r>
      <w:r w:rsidRPr="007478D4">
        <w:t xml:space="preserve"> Australian Product Information for </w:t>
      </w:r>
      <w:proofErr w:type="spellStart"/>
      <w:r w:rsidRPr="007478D4">
        <w:t>tiotropium</w:t>
      </w:r>
      <w:proofErr w:type="spellEnd"/>
      <w:r w:rsidRPr="007478D4">
        <w:t>. February 2013</w:t>
      </w:r>
    </w:p>
  </w:footnote>
  <w:footnote w:id="35">
    <w:p w:rsidR="00B74897" w:rsidRPr="007478D4" w:rsidRDefault="00B74897" w:rsidP="00DC532E">
      <w:pPr>
        <w:pStyle w:val="FootnoteText"/>
      </w:pPr>
      <w:r w:rsidRPr="007478D4">
        <w:rPr>
          <w:rStyle w:val="FootnoteReference"/>
          <w:sz w:val="18"/>
          <w:szCs w:val="18"/>
        </w:rPr>
        <w:footnoteRef/>
      </w:r>
      <w:r w:rsidRPr="007478D4">
        <w:t xml:space="preserve"> The EQ-5D is a standardised, non-disease-specific instrument for use as a measure of health outcome. The EQ-5D score ranges from -1 (worst possible health) to 1 (best possible health).</w:t>
      </w:r>
    </w:p>
  </w:footnote>
  <w:footnote w:id="36">
    <w:p w:rsidR="00B74897" w:rsidRPr="000E5E29" w:rsidRDefault="00B74897" w:rsidP="00DC532E">
      <w:pPr>
        <w:pStyle w:val="FootnoteText"/>
      </w:pPr>
      <w:r w:rsidRPr="007478D4">
        <w:rPr>
          <w:rStyle w:val="FootnoteReference"/>
          <w:sz w:val="18"/>
          <w:szCs w:val="18"/>
        </w:rPr>
        <w:footnoteRef/>
      </w:r>
      <w:r w:rsidRPr="007478D4">
        <w:t xml:space="preserve"> The CAT is a subject-completed instrument designed to measure overall COPD-related health status for the assessment and long-term follow-up of individual subjects. The instrument consists of eight items, each formatted as a semantic six-point differential scale (from 0 to 5), and was completed by the subject. A higher score represents a worse health status</w:t>
      </w:r>
      <w:r w:rsidRPr="000E5E29">
        <w:t xml:space="preserve">. </w:t>
      </w:r>
      <w:r w:rsidRPr="00973875">
        <w:t>http://www.catestonline.org/images/pdfs/CATest.pdf</w:t>
      </w:r>
      <w:r w:rsidRPr="000E5E29">
        <w:t xml:space="preserve"> </w:t>
      </w:r>
    </w:p>
  </w:footnote>
  <w:footnote w:id="37">
    <w:p w:rsidR="00B74897" w:rsidRPr="00DC2D81" w:rsidRDefault="00B74897" w:rsidP="00DC532E">
      <w:pPr>
        <w:pStyle w:val="FootnoteText"/>
      </w:pPr>
      <w:r w:rsidRPr="00DC2D81">
        <w:rPr>
          <w:rStyle w:val="FootnoteReference"/>
          <w:sz w:val="18"/>
          <w:szCs w:val="18"/>
        </w:rPr>
        <w:footnoteRef/>
      </w:r>
      <w:r w:rsidRPr="00DC2D81">
        <w:rPr>
          <w:vertAlign w:val="superscript"/>
        </w:rPr>
        <w:t xml:space="preserve"> </w:t>
      </w:r>
      <w:r w:rsidRPr="00DC2D81">
        <w:t>The number identifier of the Investigator has been redacted and replaced by X for confidentiality reasons.</w:t>
      </w:r>
    </w:p>
  </w:footnote>
  <w:footnote w:id="38">
    <w:p w:rsidR="00B74897" w:rsidRPr="000E5E29" w:rsidRDefault="00B74897" w:rsidP="00DC532E">
      <w:pPr>
        <w:pStyle w:val="FootnoteText"/>
        <w:rPr>
          <w:lang w:val="en-US"/>
        </w:rPr>
      </w:pPr>
      <w:r w:rsidRPr="000E5E29">
        <w:rPr>
          <w:rStyle w:val="FootnoteReference"/>
          <w:sz w:val="18"/>
          <w:szCs w:val="18"/>
        </w:rPr>
        <w:footnoteRef/>
      </w:r>
      <w:r w:rsidRPr="000E5E29">
        <w:t xml:space="preserve"> This involved the exclusion of 20 subjects randomised by this investigator: 4, 5, 6 and 5 subjects in the </w:t>
      </w:r>
      <w:r>
        <w:rPr>
          <w:kern w:val="0"/>
        </w:rPr>
        <w:t xml:space="preserve">VI 25 µg, </w:t>
      </w:r>
      <w:r w:rsidRPr="000E5E29">
        <w:rPr>
          <w:kern w:val="0"/>
        </w:rPr>
        <w:t xml:space="preserve">UMEC/VI 62.5/25 </w:t>
      </w:r>
      <w:r>
        <w:rPr>
          <w:kern w:val="0"/>
        </w:rPr>
        <w:t>µ</w:t>
      </w:r>
      <w:r w:rsidRPr="000E5E29">
        <w:rPr>
          <w:kern w:val="0"/>
        </w:rPr>
        <w:t xml:space="preserve">g, UMEC/VI 125/25 </w:t>
      </w:r>
      <w:r>
        <w:rPr>
          <w:kern w:val="0"/>
        </w:rPr>
        <w:t>µ</w:t>
      </w:r>
      <w:r w:rsidRPr="000E5E29">
        <w:rPr>
          <w:kern w:val="0"/>
        </w:rPr>
        <w:t xml:space="preserve">g and TIO 18 </w:t>
      </w:r>
      <w:r>
        <w:rPr>
          <w:kern w:val="0"/>
        </w:rPr>
        <w:t>µ</w:t>
      </w:r>
      <w:r w:rsidRPr="000E5E29">
        <w:rPr>
          <w:kern w:val="0"/>
        </w:rPr>
        <w:t>g groups, respectively</w:t>
      </w:r>
    </w:p>
  </w:footnote>
  <w:footnote w:id="39">
    <w:p w:rsidR="00B74897" w:rsidRPr="00973875" w:rsidRDefault="00B74897" w:rsidP="00B13321">
      <w:pPr>
        <w:pStyle w:val="FootnoteText"/>
        <w:rPr>
          <w:sz w:val="18"/>
          <w:szCs w:val="18"/>
          <w:lang w:val="en-AU"/>
        </w:rPr>
      </w:pPr>
      <w:r w:rsidRPr="003F0286">
        <w:rPr>
          <w:rStyle w:val="FootnoteReference"/>
          <w:sz w:val="18"/>
          <w:szCs w:val="18"/>
        </w:rPr>
        <w:footnoteRef/>
      </w:r>
      <w:r w:rsidRPr="00DC532E">
        <w:t xml:space="preserve"> </w:t>
      </w:r>
      <w:r w:rsidRPr="003F0286">
        <w:rPr>
          <w:sz w:val="18"/>
          <w:szCs w:val="18"/>
        </w:rPr>
        <w:t>ICH E1A. The Extent of Population Exposure to Assess Clinical Safety: For Drugs intended for Long Term Treatment of Non-Life Threatening Conditions. March 1995</w:t>
      </w:r>
      <w:r>
        <w:rPr>
          <w:sz w:val="18"/>
          <w:szCs w:val="18"/>
          <w:lang w:val="en-AU"/>
        </w:rPr>
        <w:t>.</w:t>
      </w:r>
    </w:p>
  </w:footnote>
  <w:footnote w:id="40">
    <w:p w:rsidR="00B74897" w:rsidRPr="00A35F91" w:rsidRDefault="00B74897" w:rsidP="00DC532E">
      <w:pPr>
        <w:pStyle w:val="FootnoteText"/>
      </w:pPr>
      <w:r w:rsidRPr="00A35F91">
        <w:rPr>
          <w:rStyle w:val="FootnoteReference"/>
          <w:sz w:val="18"/>
          <w:szCs w:val="18"/>
        </w:rPr>
        <w:footnoteRef/>
      </w:r>
      <w:r w:rsidRPr="00A35F91">
        <w:t xml:space="preserve"> due to a reported compliance value of 1400% for 1 subject in the UMEC/VI 125/25 </w:t>
      </w:r>
      <w:r>
        <w:rPr>
          <w:rFonts w:eastAsia="TimesNewRoman"/>
          <w:kern w:val="0"/>
          <w:lang w:val="en-US" w:eastAsia="en-US"/>
        </w:rPr>
        <w:t>µ</w:t>
      </w:r>
      <w:r w:rsidRPr="00A35F91">
        <w:rPr>
          <w:rFonts w:eastAsia="TimesNewRoman"/>
          <w:kern w:val="0"/>
          <w:lang w:val="en-US" w:eastAsia="en-US"/>
        </w:rPr>
        <w:t>g</w:t>
      </w:r>
      <w:r w:rsidRPr="00A35F91">
        <w:t xml:space="preserve"> group as a result of missing data needed for calculation of compliance</w:t>
      </w:r>
    </w:p>
  </w:footnote>
  <w:footnote w:id="41">
    <w:p w:rsidR="00B74897" w:rsidRPr="002B2878" w:rsidRDefault="00B74897" w:rsidP="00DC532E">
      <w:pPr>
        <w:pStyle w:val="FootnoteText"/>
        <w:rPr>
          <w:lang w:val="en-AU"/>
        </w:rPr>
      </w:pPr>
      <w:r>
        <w:rPr>
          <w:rStyle w:val="FootnoteReference"/>
        </w:rPr>
        <w:footnoteRef/>
      </w:r>
      <w:r>
        <w:t xml:space="preserve"> </w:t>
      </w:r>
      <w:r w:rsidRPr="002B2878">
        <w:rPr>
          <w:lang w:val="en-AU"/>
        </w:rPr>
        <w:t>Errata the corrected value is 65%</w:t>
      </w:r>
      <w:r>
        <w:rPr>
          <w:lang w:val="en-AU"/>
        </w:rPr>
        <w:t>.</w:t>
      </w:r>
    </w:p>
  </w:footnote>
  <w:footnote w:id="42">
    <w:p w:rsidR="00B74897" w:rsidRPr="007972CD" w:rsidRDefault="00B74897" w:rsidP="00DC532E">
      <w:pPr>
        <w:pStyle w:val="FootnoteText"/>
        <w:rPr>
          <w:lang w:val="en-AU"/>
        </w:rPr>
      </w:pPr>
      <w:r w:rsidRPr="007972CD">
        <w:rPr>
          <w:rStyle w:val="FootnoteReference"/>
          <w:sz w:val="18"/>
          <w:szCs w:val="18"/>
        </w:rPr>
        <w:footnoteRef/>
      </w:r>
      <w:r w:rsidRPr="007972CD">
        <w:t xml:space="preserve"> </w:t>
      </w:r>
      <w:r>
        <w:rPr>
          <w:lang w:val="en-AU"/>
        </w:rPr>
        <w:t xml:space="preserve">Errata: the corrected value is </w:t>
      </w:r>
      <w:r w:rsidRPr="007972CD">
        <w:rPr>
          <w:lang w:val="en-AU"/>
        </w:rPr>
        <w:t>p = 0.002</w:t>
      </w:r>
    </w:p>
  </w:footnote>
  <w:footnote w:id="43">
    <w:p w:rsidR="00B74897" w:rsidRPr="00510725" w:rsidRDefault="00B74897" w:rsidP="008A1EA7">
      <w:pPr>
        <w:pStyle w:val="FootnoteText"/>
        <w:rPr>
          <w:lang w:val="en-AU"/>
        </w:rPr>
      </w:pPr>
      <w:r>
        <w:rPr>
          <w:rStyle w:val="FootnoteReference"/>
        </w:rPr>
        <w:footnoteRef/>
      </w:r>
      <w:r>
        <w:t xml:space="preserve"> </w:t>
      </w:r>
      <w:r>
        <w:rPr>
          <w:lang w:val="en-AU"/>
        </w:rPr>
        <w:t xml:space="preserve">Errata: the correct values are </w:t>
      </w:r>
      <w:r w:rsidRPr="00510725">
        <w:rPr>
          <w:lang w:val="en-AU"/>
        </w:rPr>
        <w:t>2.1 and 1.9 x higher</w:t>
      </w:r>
    </w:p>
  </w:footnote>
  <w:footnote w:id="44">
    <w:p w:rsidR="00B74897" w:rsidRPr="00DC7579" w:rsidRDefault="00B74897" w:rsidP="008A1EA7">
      <w:pPr>
        <w:pStyle w:val="FootnoteText"/>
        <w:rPr>
          <w:lang w:val="en-AU"/>
        </w:rPr>
      </w:pPr>
      <w:r w:rsidRPr="00DC7579">
        <w:rPr>
          <w:rStyle w:val="FootnoteReference"/>
          <w:sz w:val="18"/>
          <w:szCs w:val="18"/>
        </w:rPr>
        <w:footnoteRef/>
      </w:r>
      <w:r w:rsidRPr="00DC7579">
        <w:t xml:space="preserve"> </w:t>
      </w:r>
      <w:r w:rsidRPr="00DC7579">
        <w:rPr>
          <w:lang w:val="en-AU"/>
        </w:rPr>
        <w:t>Errata: the corrected figures are 51%, 54%, 55% and 48%.</w:t>
      </w:r>
    </w:p>
  </w:footnote>
  <w:footnote w:id="45">
    <w:p w:rsidR="00B74897" w:rsidRPr="00AF02CA" w:rsidRDefault="00B74897" w:rsidP="008A1EA7">
      <w:pPr>
        <w:pStyle w:val="FootnoteText"/>
      </w:pPr>
      <w:r w:rsidRPr="00AF02CA">
        <w:rPr>
          <w:rStyle w:val="FootnoteReference"/>
          <w:sz w:val="18"/>
          <w:szCs w:val="18"/>
        </w:rPr>
        <w:footnoteRef/>
      </w:r>
      <w:r w:rsidRPr="00AF02CA">
        <w:t xml:space="preserve"> Study DB2114417 was conducted across 31 centres in the United States (US), Germany, United Kingdom (UK), Bulgaria, Estonia, and Russia. Study DB2114418 was conducted across 42 centres in the US, Czech Republic, South Africa, Denmark, Canada, Ukraine, and the UK.</w:t>
      </w:r>
    </w:p>
  </w:footnote>
  <w:footnote w:id="46">
    <w:p w:rsidR="00B74897" w:rsidRPr="00203A47" w:rsidRDefault="00B74897" w:rsidP="008A1EA7">
      <w:pPr>
        <w:pStyle w:val="FootnoteText"/>
      </w:pPr>
      <w:r w:rsidRPr="00203A47">
        <w:rPr>
          <w:rStyle w:val="FootnoteReference"/>
          <w:sz w:val="18"/>
          <w:szCs w:val="18"/>
        </w:rPr>
        <w:footnoteRef/>
      </w:r>
      <w:r w:rsidRPr="00203A47">
        <w:t xml:space="preserve"> This was carried out using the </w:t>
      </w:r>
      <w:proofErr w:type="spellStart"/>
      <w:r w:rsidRPr="00203A47">
        <w:t>Oxycon</w:t>
      </w:r>
      <w:proofErr w:type="spellEnd"/>
      <w:r w:rsidRPr="00203A47">
        <w:t xml:space="preserve"> mobile system, a mobile measuring unit which enabled the measurement of exercise inspiratory capacity and other CRM. This subset of subjects (the </w:t>
      </w:r>
      <w:proofErr w:type="spellStart"/>
      <w:r w:rsidRPr="00203A47">
        <w:t>Oxycon</w:t>
      </w:r>
      <w:proofErr w:type="spellEnd"/>
      <w:r w:rsidRPr="00203A47">
        <w:t xml:space="preserve">  population) was composed of subjects from the intent-to-treat (ITT) population for whom </w:t>
      </w:r>
      <w:proofErr w:type="spellStart"/>
      <w:r w:rsidRPr="00203A47">
        <w:t>Oxycon</w:t>
      </w:r>
      <w:proofErr w:type="spellEnd"/>
      <w:r w:rsidRPr="00203A47">
        <w:t xml:space="preserve"> data were collected for exercise inspiratory capacity (EIC) and other CRM (heart rate [HR], arterial oxygen saturation [SpO</w:t>
      </w:r>
      <w:r w:rsidRPr="00F41A7C">
        <w:rPr>
          <w:vertAlign w:val="subscript"/>
        </w:rPr>
        <w:t>2</w:t>
      </w:r>
      <w:r w:rsidRPr="00203A47">
        <w:t>], oxygen uptake [VO</w:t>
      </w:r>
      <w:r w:rsidRPr="00F41A7C">
        <w:rPr>
          <w:vertAlign w:val="subscript"/>
        </w:rPr>
        <w:t>2</w:t>
      </w:r>
      <w:r w:rsidRPr="00203A47">
        <w:t>], carbon dioxide production [VCO</w:t>
      </w:r>
      <w:r w:rsidRPr="00F41A7C">
        <w:rPr>
          <w:vertAlign w:val="subscript"/>
        </w:rPr>
        <w:t>2</w:t>
      </w:r>
      <w:r w:rsidRPr="00203A47">
        <w:t>], minute ventilation [</w:t>
      </w:r>
      <w:proofErr w:type="spellStart"/>
      <w:r w:rsidRPr="00203A47">
        <w:t>Ve</w:t>
      </w:r>
      <w:proofErr w:type="spellEnd"/>
      <w:r w:rsidRPr="00203A47">
        <w:t>], respiratory exchange ratio [RER], breathing frequency [Bf], tidal volume [</w:t>
      </w:r>
      <w:proofErr w:type="spellStart"/>
      <w:r w:rsidRPr="00203A47">
        <w:t>Vt</w:t>
      </w:r>
      <w:proofErr w:type="spellEnd"/>
      <w:r w:rsidRPr="00203A47">
        <w:t xml:space="preserve">], </w:t>
      </w:r>
      <w:proofErr w:type="spellStart"/>
      <w:r w:rsidRPr="00203A47">
        <w:t>Ve</w:t>
      </w:r>
      <w:proofErr w:type="spellEnd"/>
      <w:r w:rsidRPr="00203A47">
        <w:t>/VCO</w:t>
      </w:r>
      <w:r w:rsidRPr="00F41A7C">
        <w:rPr>
          <w:vertAlign w:val="subscript"/>
        </w:rPr>
        <w:t>2</w:t>
      </w:r>
      <w:r w:rsidRPr="00203A47">
        <w:t xml:space="preserve">, </w:t>
      </w:r>
      <w:proofErr w:type="spellStart"/>
      <w:r w:rsidRPr="00203A47">
        <w:t>Ve</w:t>
      </w:r>
      <w:proofErr w:type="spellEnd"/>
      <w:r w:rsidRPr="00203A47">
        <w:t>/VO</w:t>
      </w:r>
      <w:r w:rsidRPr="00F41A7C">
        <w:rPr>
          <w:vertAlign w:val="subscript"/>
        </w:rPr>
        <w:t>2</w:t>
      </w:r>
      <w:r w:rsidRPr="00203A47">
        <w:t>, fraction of inspired oxygen [FiO</w:t>
      </w:r>
      <w:r w:rsidRPr="00F41A7C">
        <w:rPr>
          <w:vertAlign w:val="subscript"/>
        </w:rPr>
        <w:t>2</w:t>
      </w:r>
      <w:r w:rsidRPr="00203A47">
        <w:t>], and RER/</w:t>
      </w:r>
      <w:proofErr w:type="spellStart"/>
      <w:r w:rsidRPr="00203A47">
        <w:t>Vt</w:t>
      </w:r>
      <w:proofErr w:type="spellEnd"/>
      <w:r w:rsidRPr="00203A47">
        <w:t>). Only CRM of HR and SpO</w:t>
      </w:r>
      <w:r w:rsidRPr="00CB3130">
        <w:rPr>
          <w:vertAlign w:val="subscript"/>
        </w:rPr>
        <w:t>2</w:t>
      </w:r>
      <w:r w:rsidRPr="00203A47">
        <w:t xml:space="preserve"> were</w:t>
      </w:r>
      <w:r w:rsidRPr="009A1AB4">
        <w:t xml:space="preserve"> </w:t>
      </w:r>
      <w:r w:rsidRPr="00203A47">
        <w:t>evaluated for subjects in the ITT population who were not included in the OX population (i.e. the Non-</w:t>
      </w:r>
      <w:proofErr w:type="spellStart"/>
      <w:r w:rsidRPr="00203A47">
        <w:t>Oxycon</w:t>
      </w:r>
      <w:proofErr w:type="spellEnd"/>
      <w:r w:rsidRPr="00203A47">
        <w:t xml:space="preserve"> [NOX] population).</w:t>
      </w:r>
    </w:p>
  </w:footnote>
  <w:footnote w:id="47">
    <w:p w:rsidR="00B74897" w:rsidRPr="008E0E9C" w:rsidRDefault="00B74897" w:rsidP="008A1EA7">
      <w:pPr>
        <w:pStyle w:val="FootnoteText"/>
      </w:pPr>
      <w:r w:rsidRPr="008E0E9C">
        <w:rPr>
          <w:rStyle w:val="FootnoteReference"/>
          <w:sz w:val="18"/>
          <w:szCs w:val="18"/>
        </w:rPr>
        <w:footnoteRef/>
      </w:r>
      <w:r w:rsidRPr="008E0E9C">
        <w:t xml:space="preserve"> Reversibility to salbutamol was defined as an increase in FEV1 of </w:t>
      </w:r>
      <w:r>
        <w:t>≥</w:t>
      </w:r>
      <w:r>
        <w:rPr>
          <w:lang w:val="en-AU"/>
        </w:rPr>
        <w:t xml:space="preserve"> </w:t>
      </w:r>
      <w:r w:rsidRPr="008E0E9C">
        <w:t xml:space="preserve">12% and </w:t>
      </w:r>
      <w:r>
        <w:t>≥</w:t>
      </w:r>
      <w:r>
        <w:rPr>
          <w:lang w:val="en-AU"/>
        </w:rPr>
        <w:t xml:space="preserve"> </w:t>
      </w:r>
      <w:r w:rsidRPr="008E0E9C">
        <w:t>200 mL following administration of 4 puffs of salbutamol.</w:t>
      </w:r>
    </w:p>
  </w:footnote>
  <w:footnote w:id="48">
    <w:p w:rsidR="00B74897" w:rsidRPr="0084794A" w:rsidRDefault="00B74897" w:rsidP="008A1EA7">
      <w:pPr>
        <w:pStyle w:val="FootnoteText"/>
        <w:rPr>
          <w:lang w:val="en-AU"/>
        </w:rPr>
      </w:pPr>
      <w:r w:rsidRPr="008E0E9C">
        <w:rPr>
          <w:rStyle w:val="FootnoteReference"/>
          <w:sz w:val="18"/>
          <w:szCs w:val="18"/>
        </w:rPr>
        <w:footnoteRef/>
      </w:r>
      <w:r w:rsidRPr="008E0E9C">
        <w:t xml:space="preserve"> Reversibility to salbutamol and ipratropium was defined as an increase in FEV1 of </w:t>
      </w:r>
      <w:r>
        <w:t>≥</w:t>
      </w:r>
      <w:r>
        <w:rPr>
          <w:lang w:val="en-AU"/>
        </w:rPr>
        <w:t xml:space="preserve"> </w:t>
      </w:r>
      <w:r w:rsidRPr="008E0E9C">
        <w:t xml:space="preserve">12% and </w:t>
      </w:r>
      <w:r>
        <w:t>≥</w:t>
      </w:r>
      <w:r>
        <w:rPr>
          <w:lang w:val="en-AU"/>
        </w:rPr>
        <w:t xml:space="preserve"> </w:t>
      </w:r>
      <w:r w:rsidRPr="008E0E9C">
        <w:t>200mL following administration of both salbutamol and ipratropium</w:t>
      </w:r>
      <w:r>
        <w:rPr>
          <w:lang w:val="en-AU"/>
        </w:rPr>
        <w:t>.</w:t>
      </w:r>
    </w:p>
  </w:footnote>
  <w:footnote w:id="49">
    <w:p w:rsidR="00B74897" w:rsidRPr="008E0E9C" w:rsidRDefault="00B74897" w:rsidP="008A1EA7">
      <w:pPr>
        <w:pStyle w:val="FootnoteText"/>
        <w:rPr>
          <w:lang w:val="en-US"/>
        </w:rPr>
      </w:pPr>
      <w:r w:rsidRPr="008E0E9C">
        <w:rPr>
          <w:rStyle w:val="FootnoteReference"/>
          <w:sz w:val="18"/>
          <w:szCs w:val="18"/>
        </w:rPr>
        <w:footnoteRef/>
      </w:r>
      <w:r w:rsidRPr="008E0E9C">
        <w:t xml:space="preserve"> </w:t>
      </w:r>
      <w:r w:rsidRPr="008E0E9C">
        <w:rPr>
          <w:lang w:val="en-US"/>
        </w:rPr>
        <w:t>Statistical significance for the treatment interactions analysis was p</w:t>
      </w:r>
      <w:r w:rsidRPr="008E0E9C">
        <w:rPr>
          <w:rFonts w:cs="Arial"/>
          <w:kern w:val="0"/>
        </w:rPr>
        <w:t xml:space="preserve"> </w:t>
      </w:r>
      <w:r>
        <w:rPr>
          <w:rFonts w:cs="Arial"/>
          <w:kern w:val="0"/>
        </w:rPr>
        <w:t>≤</w:t>
      </w:r>
      <w:r>
        <w:rPr>
          <w:rFonts w:cs="Arial"/>
          <w:kern w:val="0"/>
          <w:lang w:val="en-AU"/>
        </w:rPr>
        <w:t xml:space="preserve"> </w:t>
      </w:r>
      <w:r w:rsidRPr="008E0E9C">
        <w:rPr>
          <w:lang w:val="en-US"/>
        </w:rPr>
        <w:t>0.10</w:t>
      </w:r>
      <w:r>
        <w:rPr>
          <w:lang w:val="en-US"/>
        </w:rPr>
        <w:t>.</w:t>
      </w:r>
    </w:p>
  </w:footnote>
  <w:footnote w:id="50">
    <w:p w:rsidR="00B74897" w:rsidRPr="0097263C" w:rsidRDefault="00B74897" w:rsidP="008A1EA7">
      <w:pPr>
        <w:pStyle w:val="FootnoteText"/>
      </w:pPr>
      <w:r w:rsidRPr="0097263C">
        <w:rPr>
          <w:rStyle w:val="FootnoteReference"/>
          <w:sz w:val="18"/>
          <w:szCs w:val="18"/>
        </w:rPr>
        <w:footnoteRef/>
      </w:r>
      <w:r w:rsidRPr="0097263C">
        <w:t xml:space="preserve"> For regulatory agencies that consider the TDI score as a key secondary efficacy endpoint, these improvements in weighted mean FEV1 over 0-6 hours observed in both studies were not considered inferential as a prior comparison in the testing hierarchy did not achieve significance. For regulatory agencies that do not consider the TDI as a key secondary endpoint, these improvements were considered statistically significant.</w:t>
      </w:r>
    </w:p>
  </w:footnote>
  <w:footnote w:id="51">
    <w:p w:rsidR="00B74897" w:rsidRPr="0019381C" w:rsidRDefault="00B74897" w:rsidP="008A1EA7">
      <w:pPr>
        <w:pStyle w:val="FootnoteText"/>
        <w:rPr>
          <w:lang w:val="en-AU"/>
        </w:rPr>
      </w:pPr>
      <w:r w:rsidRPr="0019381C">
        <w:rPr>
          <w:rStyle w:val="FootnoteReference"/>
          <w:sz w:val="18"/>
          <w:szCs w:val="18"/>
        </w:rPr>
        <w:footnoteRef/>
      </w:r>
      <w:r w:rsidRPr="0019381C">
        <w:t xml:space="preserve"> </w:t>
      </w:r>
      <w:r w:rsidRPr="0019381C">
        <w:rPr>
          <w:lang w:val="en-AU"/>
        </w:rPr>
        <w:t>Errata: the corrected value is p ≤ 0.003</w:t>
      </w:r>
    </w:p>
  </w:footnote>
  <w:footnote w:id="52">
    <w:p w:rsidR="00B74897" w:rsidRPr="00706719" w:rsidRDefault="00B74897" w:rsidP="008A1EA7">
      <w:pPr>
        <w:pStyle w:val="FootnoteText"/>
        <w:rPr>
          <w:lang w:val="en-AU"/>
        </w:rPr>
      </w:pPr>
      <w:r w:rsidRPr="00706719">
        <w:rPr>
          <w:rStyle w:val="FootnoteReference"/>
          <w:sz w:val="18"/>
          <w:szCs w:val="18"/>
        </w:rPr>
        <w:footnoteRef/>
      </w:r>
      <w:r w:rsidRPr="00706719">
        <w:t xml:space="preserve"> </w:t>
      </w:r>
      <w:r w:rsidRPr="00706719">
        <w:rPr>
          <w:lang w:val="en-AU"/>
        </w:rPr>
        <w:t>Erratum: the correct figure is 28%.</w:t>
      </w:r>
    </w:p>
  </w:footnote>
  <w:footnote w:id="53">
    <w:p w:rsidR="00B74897" w:rsidRPr="00754F6A" w:rsidRDefault="00B74897" w:rsidP="008A1EA7">
      <w:pPr>
        <w:pStyle w:val="FootnoteText"/>
        <w:rPr>
          <w:lang w:val="en-AU"/>
        </w:rPr>
      </w:pPr>
      <w:r w:rsidRPr="00754F6A">
        <w:rPr>
          <w:rStyle w:val="FootnoteReference"/>
          <w:sz w:val="18"/>
          <w:szCs w:val="18"/>
        </w:rPr>
        <w:footnoteRef/>
      </w:r>
      <w:r w:rsidRPr="00754F6A">
        <w:t xml:space="preserve"> </w:t>
      </w:r>
      <w:r w:rsidRPr="00754F6A">
        <w:rPr>
          <w:lang w:val="en-AU"/>
        </w:rPr>
        <w:t>Erratum: correct text should read with TIO</w:t>
      </w:r>
    </w:p>
  </w:footnote>
  <w:footnote w:id="54">
    <w:p w:rsidR="00B74897" w:rsidRPr="00683165" w:rsidRDefault="00B74897" w:rsidP="008A1EA7">
      <w:pPr>
        <w:pStyle w:val="FootnoteText"/>
      </w:pPr>
      <w:r w:rsidRPr="00683165">
        <w:rPr>
          <w:rStyle w:val="FootnoteReference"/>
          <w:sz w:val="18"/>
          <w:szCs w:val="18"/>
        </w:rPr>
        <w:footnoteRef/>
      </w:r>
      <w:r w:rsidRPr="00683165">
        <w:t xml:space="preserve"> For regulatory agencies that consider the TDI score as a key secondary efficacy endpoint, these improvemen</w:t>
      </w:r>
      <w:r>
        <w:t>ts in weighted mean FEV1 over 0</w:t>
      </w:r>
      <w:r>
        <w:rPr>
          <w:lang w:val="en-AU"/>
        </w:rPr>
        <w:t xml:space="preserve"> to </w:t>
      </w:r>
      <w:r w:rsidRPr="00683165">
        <w:t>6 hours observed in both studies were not considered inferential as a prior comparison in the testing hierarchy did not achieve significance. For regulatory agencies that do not consider the TDI as a key secondary endpoint, these improvements were considered statistically significant.</w:t>
      </w:r>
    </w:p>
  </w:footnote>
  <w:footnote w:id="55">
    <w:p w:rsidR="00B74897" w:rsidRPr="00683165" w:rsidRDefault="00B74897" w:rsidP="008A1EA7">
      <w:pPr>
        <w:pStyle w:val="FootnoteText"/>
      </w:pPr>
      <w:r w:rsidRPr="00683165">
        <w:rPr>
          <w:rStyle w:val="FootnoteReference"/>
          <w:sz w:val="18"/>
          <w:szCs w:val="18"/>
        </w:rPr>
        <w:footnoteRef/>
      </w:r>
      <w:r w:rsidRPr="00683165">
        <w:t xml:space="preserve"> defined as an increase in FEV1 of </w:t>
      </w:r>
      <w:r>
        <w:t>≥</w:t>
      </w:r>
      <w:r>
        <w:rPr>
          <w:lang w:val="en-AU"/>
        </w:rPr>
        <w:t xml:space="preserve"> </w:t>
      </w:r>
      <w:r w:rsidRPr="00683165">
        <w:t xml:space="preserve">12% and </w:t>
      </w:r>
      <w:r>
        <w:t>≥</w:t>
      </w:r>
      <w:r>
        <w:rPr>
          <w:lang w:val="en-AU"/>
        </w:rPr>
        <w:t xml:space="preserve"> </w:t>
      </w:r>
      <w:r w:rsidRPr="00683165">
        <w:t>200 mL following administration of 4 puffs of salbutamol</w:t>
      </w:r>
    </w:p>
  </w:footnote>
  <w:footnote w:id="56">
    <w:p w:rsidR="00B74897" w:rsidRPr="00330A47" w:rsidRDefault="00B74897" w:rsidP="008A1EA7">
      <w:pPr>
        <w:pStyle w:val="FootnoteText"/>
      </w:pPr>
      <w:r w:rsidRPr="00330A47">
        <w:rPr>
          <w:rStyle w:val="FootnoteReference"/>
          <w:sz w:val="18"/>
          <w:szCs w:val="18"/>
        </w:rPr>
        <w:footnoteRef/>
      </w:r>
      <w:r w:rsidRPr="00330A47">
        <w:t xml:space="preserve"> One subject was randomised in error but did not receive study drug and was therefore not included in the ITT population.</w:t>
      </w:r>
    </w:p>
  </w:footnote>
  <w:footnote w:id="57">
    <w:p w:rsidR="00B74897" w:rsidRPr="00330A47" w:rsidRDefault="00B74897" w:rsidP="008A1EA7">
      <w:pPr>
        <w:pStyle w:val="FootnoteText"/>
        <w:rPr>
          <w:lang w:val="en-US"/>
        </w:rPr>
      </w:pPr>
      <w:r w:rsidRPr="00330A47">
        <w:rPr>
          <w:rStyle w:val="FootnoteReference"/>
          <w:sz w:val="18"/>
          <w:szCs w:val="18"/>
        </w:rPr>
        <w:footnoteRef/>
      </w:r>
      <w:r w:rsidRPr="00330A47">
        <w:t xml:space="preserve"> one subject was randomised in error but did not receive study drug and was therefore not included in the ITT population.</w:t>
      </w:r>
    </w:p>
  </w:footnote>
  <w:footnote w:id="58">
    <w:p w:rsidR="00B74897" w:rsidRPr="008C01B2" w:rsidRDefault="00B74897" w:rsidP="00E76931">
      <w:pPr>
        <w:pStyle w:val="FootnoteText"/>
      </w:pPr>
      <w:r w:rsidRPr="008C01B2">
        <w:rPr>
          <w:rStyle w:val="FootnoteReference"/>
          <w:sz w:val="18"/>
          <w:szCs w:val="18"/>
        </w:rPr>
        <w:footnoteRef/>
      </w:r>
      <w:r w:rsidRPr="008C01B2">
        <w:t xml:space="preserve"> AEs with onset dates during treatment period up to on the day after the last day of treatment were considered on-treatment. If the AE onset date was missing or partial then the AE was considered on-treatment unless there was evidence to the contrary.</w:t>
      </w:r>
    </w:p>
  </w:footnote>
  <w:footnote w:id="59">
    <w:p w:rsidR="00B74897" w:rsidRPr="001926DC" w:rsidRDefault="00B74897" w:rsidP="00E76931">
      <w:pPr>
        <w:pStyle w:val="FootnoteText"/>
      </w:pPr>
      <w:r w:rsidRPr="001926DC">
        <w:rPr>
          <w:rStyle w:val="FootnoteReference"/>
          <w:sz w:val="18"/>
          <w:szCs w:val="18"/>
        </w:rPr>
        <w:footnoteRef/>
      </w:r>
      <w:r w:rsidRPr="001926DC">
        <w:t xml:space="preserve"> All fatal AEs were included, regardless of the date of death in relationship to the date of the last recorded dose of study drug.</w:t>
      </w:r>
    </w:p>
  </w:footnote>
  <w:footnote w:id="60">
    <w:p w:rsidR="00B74897" w:rsidRPr="0032742E" w:rsidRDefault="00B74897" w:rsidP="00E76931">
      <w:pPr>
        <w:pStyle w:val="FootnoteText"/>
        <w:rPr>
          <w:rFonts w:cs="Cambria"/>
        </w:rPr>
      </w:pPr>
      <w:r w:rsidRPr="0032742E">
        <w:rPr>
          <w:rStyle w:val="FootnoteReference"/>
          <w:sz w:val="18"/>
          <w:szCs w:val="18"/>
        </w:rPr>
        <w:footnoteRef/>
      </w:r>
      <w:r w:rsidRPr="0032742E">
        <w:t xml:space="preserve"> These stopping criteria were: ALT </w:t>
      </w:r>
      <w:r>
        <w:t>≥</w:t>
      </w:r>
      <w:r w:rsidRPr="0032742E">
        <w:t xml:space="preserve"> 3xULN and bilirubin </w:t>
      </w:r>
      <w:r>
        <w:t>≥</w:t>
      </w:r>
      <w:r w:rsidRPr="0032742E">
        <w:t xml:space="preserve"> 2xULN (&gt; 35% direct bilirubin) (or ALT ≥ 3xULN and INR &gt; 1.5, if INR measured); ALT ≥ 8xULN; ALT ≥ 5xULN but &lt; 8xULN persists for ≥ 2 weeks; ALT ≥ 3xULN if associated with the appearance or worsening of symptoms of hepatitis or hypersensitivity such as fatigue, nausea, vomiting, right upper quadrant pain or tenderness, fever, rash, or eosinophilia; ALT ≥ 5xULN but &lt; 8xULN and cannot be monitored weekly for &gt; 2 weeks</w:t>
      </w:r>
    </w:p>
  </w:footnote>
  <w:footnote w:id="61">
    <w:p w:rsidR="00B74897" w:rsidRPr="00AD36EB" w:rsidRDefault="00B74897" w:rsidP="00E76931">
      <w:pPr>
        <w:pStyle w:val="FootnoteText"/>
        <w:rPr>
          <w:lang w:val="en-AU"/>
        </w:rPr>
      </w:pPr>
      <w:r w:rsidRPr="00AD36EB">
        <w:rPr>
          <w:rStyle w:val="FootnoteReference"/>
          <w:sz w:val="18"/>
          <w:szCs w:val="18"/>
        </w:rPr>
        <w:footnoteRef/>
      </w:r>
      <w:r w:rsidRPr="00AD36EB">
        <w:t xml:space="preserve"> </w:t>
      </w:r>
      <w:r>
        <w:rPr>
          <w:lang w:val="en-AU"/>
        </w:rPr>
        <w:t>S</w:t>
      </w:r>
      <w:proofErr w:type="spellStart"/>
      <w:r w:rsidRPr="00AD36EB">
        <w:t>tatistical</w:t>
      </w:r>
      <w:proofErr w:type="spellEnd"/>
      <w:r w:rsidRPr="00AD36EB">
        <w:t xml:space="preserve"> significance could not be claimed for these comparisons in study DB2113374 as a result of a prior test in the predefined testing hierarchy not achieving statistical significance in study DB2113374</w:t>
      </w:r>
      <w:r>
        <w:rPr>
          <w:lang w:val="en-AU"/>
        </w:rPr>
        <w:t>.</w:t>
      </w:r>
    </w:p>
  </w:footnote>
  <w:footnote w:id="62">
    <w:p w:rsidR="00B74897" w:rsidRPr="007C6E51" w:rsidRDefault="00B74897" w:rsidP="00E76931">
      <w:pPr>
        <w:pStyle w:val="FootnoteText"/>
        <w:rPr>
          <w:lang w:val="en-AU"/>
        </w:rPr>
      </w:pPr>
      <w:r w:rsidRPr="007C6E51">
        <w:rPr>
          <w:rStyle w:val="FootnoteReference"/>
          <w:sz w:val="18"/>
          <w:szCs w:val="18"/>
        </w:rPr>
        <w:footnoteRef/>
      </w:r>
      <w:r w:rsidRPr="007C6E51">
        <w:rPr>
          <w:lang w:val="en-AU"/>
        </w:rPr>
        <w:t xml:space="preserve"> Note: the sponsor subsequently withdrew the part of the application to register the UMEC/VI 125/25 µg strength.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Pr>
      <w:rPr>
        <w:noProof/>
        <w:lang w:eastAsia="en-AU"/>
      </w:rPr>
    </w:pPr>
    <w:r w:rsidRPr="002D545C">
      <w:rPr>
        <w:noProof/>
        <w:lang w:eastAsia="en-AU"/>
      </w:rPr>
      <w:drawing>
        <wp:anchor distT="0" distB="0" distL="114300" distR="114300" simplePos="0" relativeHeight="251659264" behindDoc="1" locked="0" layoutInCell="1" allowOverlap="1" wp14:anchorId="62447550" wp14:editId="77557BF0">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74897" w:rsidRDefault="00B74897" w:rsidP="00593AD1">
    <w:pPr>
      <w:pStyle w:val="HeaderNoLine"/>
    </w:pPr>
    <w:r>
      <w:rPr>
        <w:noProof/>
        <w:lang w:eastAsia="en-AU"/>
      </w:rPr>
      <w:drawing>
        <wp:inline distT="0" distB="0" distL="0" distR="0" wp14:anchorId="2580AC63" wp14:editId="546211BA">
          <wp:extent cx="5394960" cy="7635240"/>
          <wp:effectExtent l="0" t="0" r="0" b="0"/>
          <wp:docPr id="149" name="Picture 149"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394960" cy="76352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pPr>
      <w:pStyle w:val="Header"/>
    </w:pPr>
  </w:p>
  <w:p w:rsidR="00B74897" w:rsidRDefault="00B74897"/>
  <w:p w:rsidR="00B74897" w:rsidRDefault="00B7489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Pr="00E24EE8" w:rsidRDefault="00B74897" w:rsidP="00E24EE8">
    <w:pPr>
      <w:pStyle w:val="Header"/>
      <w:pBdr>
        <w:bottom w:val="none" w:sz="0" w:space="0"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897" w:rsidRDefault="00B74897" w:rsidP="006E08B3">
    <w:r>
      <w:t>Therapeutic Goods Administration</w:t>
    </w:r>
  </w:p>
  <w:p w:rsidR="00B74897" w:rsidRDefault="00B74897" w:rsidP="006D03E5"/>
  <w:p w:rsidR="00B74897" w:rsidRDefault="00B74897"/>
  <w:p w:rsidR="00B74897" w:rsidRDefault="00B7489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6CCD06"/>
    <w:lvl w:ilvl="0">
      <w:start w:val="1"/>
      <w:numFmt w:val="decimal"/>
      <w:lvlText w:val="%1."/>
      <w:lvlJc w:val="left"/>
      <w:pPr>
        <w:tabs>
          <w:tab w:val="num" w:pos="1492"/>
        </w:tabs>
        <w:ind w:left="1492" w:hanging="360"/>
      </w:pPr>
    </w:lvl>
  </w:abstractNum>
  <w:abstractNum w:abstractNumId="1">
    <w:nsid w:val="FFFFFF7D"/>
    <w:multiLevelType w:val="singleLevel"/>
    <w:tmpl w:val="03424728"/>
    <w:lvl w:ilvl="0">
      <w:start w:val="1"/>
      <w:numFmt w:val="decimal"/>
      <w:lvlText w:val="%1."/>
      <w:lvlJc w:val="left"/>
      <w:pPr>
        <w:tabs>
          <w:tab w:val="num" w:pos="1209"/>
        </w:tabs>
        <w:ind w:left="1209" w:hanging="360"/>
      </w:pPr>
    </w:lvl>
  </w:abstractNum>
  <w:abstractNum w:abstractNumId="2">
    <w:nsid w:val="FFFFFF7E"/>
    <w:multiLevelType w:val="singleLevel"/>
    <w:tmpl w:val="3B8E4888"/>
    <w:lvl w:ilvl="0">
      <w:start w:val="1"/>
      <w:numFmt w:val="decimal"/>
      <w:lvlText w:val="%1."/>
      <w:lvlJc w:val="left"/>
      <w:pPr>
        <w:tabs>
          <w:tab w:val="num" w:pos="926"/>
        </w:tabs>
        <w:ind w:left="926" w:hanging="360"/>
      </w:pPr>
    </w:lvl>
  </w:abstractNum>
  <w:abstractNum w:abstractNumId="3">
    <w:nsid w:val="FFFFFF7F"/>
    <w:multiLevelType w:val="singleLevel"/>
    <w:tmpl w:val="082E23E4"/>
    <w:lvl w:ilvl="0">
      <w:start w:val="1"/>
      <w:numFmt w:val="decimal"/>
      <w:lvlText w:val="%1."/>
      <w:lvlJc w:val="left"/>
      <w:pPr>
        <w:tabs>
          <w:tab w:val="num" w:pos="643"/>
        </w:tabs>
        <w:ind w:left="643" w:hanging="360"/>
      </w:pPr>
    </w:lvl>
  </w:abstractNum>
  <w:abstractNum w:abstractNumId="4">
    <w:nsid w:val="FFFFFF80"/>
    <w:multiLevelType w:val="singleLevel"/>
    <w:tmpl w:val="846A4CE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C21B1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3DECEB14"/>
    <w:lvl w:ilvl="0">
      <w:start w:val="1"/>
      <w:numFmt w:val="decimal"/>
      <w:lvlText w:val="%1."/>
      <w:lvlJc w:val="left"/>
      <w:pPr>
        <w:tabs>
          <w:tab w:val="num" w:pos="360"/>
        </w:tabs>
        <w:ind w:left="360" w:hanging="360"/>
      </w:pPr>
    </w:lvl>
  </w:abstractNum>
  <w:abstractNum w:abstractNumId="7">
    <w:nsid w:val="FFFFFF89"/>
    <w:multiLevelType w:val="singleLevel"/>
    <w:tmpl w:val="9C46B0B8"/>
    <w:lvl w:ilvl="0">
      <w:start w:val="1"/>
      <w:numFmt w:val="bullet"/>
      <w:lvlText w:val=""/>
      <w:lvlJc w:val="left"/>
      <w:pPr>
        <w:tabs>
          <w:tab w:val="num" w:pos="360"/>
        </w:tabs>
        <w:ind w:left="360" w:hanging="360"/>
      </w:pPr>
      <w:rPr>
        <w:rFonts w:ascii="Symbol" w:hAnsi="Symbol" w:hint="default"/>
      </w:rPr>
    </w:lvl>
  </w:abstractNum>
  <w:abstractNum w:abstractNumId="8">
    <w:nsid w:val="FFFFFFFE"/>
    <w:multiLevelType w:val="singleLevel"/>
    <w:tmpl w:val="BCFA3ED6"/>
    <w:lvl w:ilvl="0">
      <w:numFmt w:val="decimal"/>
      <w:lvlText w:val="*"/>
      <w:lvlJc w:val="left"/>
    </w:lvl>
  </w:abstractNum>
  <w:abstractNum w:abstractNumId="9">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0">
    <w:nsid w:val="08E26DE0"/>
    <w:multiLevelType w:val="hybridMultilevel"/>
    <w:tmpl w:val="E160BD84"/>
    <w:lvl w:ilvl="0" w:tplc="F09651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4">
    <w:nsid w:val="26FD7ABF"/>
    <w:multiLevelType w:val="hybridMultilevel"/>
    <w:tmpl w:val="26F29AEC"/>
    <w:lvl w:ilvl="0" w:tplc="04090001">
      <w:start w:val="1"/>
      <w:numFmt w:val="bullet"/>
      <w:lvlText w:val=""/>
      <w:lvlJc w:val="left"/>
      <w:pPr>
        <w:tabs>
          <w:tab w:val="num" w:pos="360"/>
        </w:tabs>
        <w:ind w:left="360" w:hanging="360"/>
      </w:pPr>
      <w:rPr>
        <w:rFonts w:ascii="Symbol" w:hAnsi="Symbol" w:hint="default"/>
      </w:rPr>
    </w:lvl>
    <w:lvl w:ilvl="1" w:tplc="3EA00D90">
      <w:start w:val="2003"/>
      <w:numFmt w:val="bullet"/>
      <w:lvlText w:val="-"/>
      <w:lvlJc w:val="left"/>
      <w:pPr>
        <w:tabs>
          <w:tab w:val="num" w:pos="1080"/>
        </w:tabs>
        <w:ind w:left="1080" w:hanging="360"/>
      </w:pPr>
      <w:rPr>
        <w:rFonts w:ascii="Times New Roman" w:eastAsia="SimSun" w:hAnsi="Times New Roman"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2B6D4298"/>
    <w:multiLevelType w:val="hybridMultilevel"/>
    <w:tmpl w:val="8140117C"/>
    <w:lvl w:ilvl="0" w:tplc="5298F4DE">
      <w:start w:val="2003"/>
      <w:numFmt w:val="bullet"/>
      <w:lvlText w:val="-"/>
      <w:lvlJc w:val="left"/>
      <w:pPr>
        <w:tabs>
          <w:tab w:val="num" w:pos="1080"/>
        </w:tabs>
        <w:ind w:left="1080" w:hanging="360"/>
      </w:pPr>
      <w:rPr>
        <w:rFonts w:ascii="Times New Roman" w:eastAsia="SimSu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2DDD44AB"/>
    <w:multiLevelType w:val="hybridMultilevel"/>
    <w:tmpl w:val="13389610"/>
    <w:lvl w:ilvl="0" w:tplc="0C090001">
      <w:start w:val="4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0">
    <w:nsid w:val="44373A61"/>
    <w:multiLevelType w:val="hybridMultilevel"/>
    <w:tmpl w:val="C284E11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448E33A1"/>
    <w:multiLevelType w:val="hybridMultilevel"/>
    <w:tmpl w:val="A282CB92"/>
    <w:lvl w:ilvl="0" w:tplc="22183780">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29315E0"/>
    <w:multiLevelType w:val="hybridMultilevel"/>
    <w:tmpl w:val="CD2C8E82"/>
    <w:lvl w:ilvl="0" w:tplc="10F04E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57076D7D"/>
    <w:multiLevelType w:val="multilevel"/>
    <w:tmpl w:val="FE1E91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5">
    <w:nsid w:val="5FD81EDC"/>
    <w:multiLevelType w:val="hybridMultilevel"/>
    <w:tmpl w:val="4CB072FE"/>
    <w:lvl w:ilvl="0" w:tplc="F096512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61A25F2A"/>
    <w:multiLevelType w:val="hybridMultilevel"/>
    <w:tmpl w:val="201E8D6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9">
    <w:nsid w:val="6AE40C24"/>
    <w:multiLevelType w:val="hybridMultilevel"/>
    <w:tmpl w:val="CA12A6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AE40DDD"/>
    <w:multiLevelType w:val="singleLevel"/>
    <w:tmpl w:val="FD066F64"/>
    <w:lvl w:ilvl="0">
      <w:start w:val="2"/>
      <w:numFmt w:val="decimal"/>
      <w:lvlText w:val="%1."/>
      <w:legacy w:legacy="1" w:legacySpace="0" w:legacyIndent="360"/>
      <w:lvlJc w:val="left"/>
      <w:rPr>
        <w:rFonts w:ascii="Times New Roman" w:hAnsi="Times New Roman" w:cs="Times New Roman" w:hint="default"/>
      </w:rPr>
    </w:lvl>
  </w:abstractNum>
  <w:abstractNum w:abstractNumId="31">
    <w:nsid w:val="6D0B1B75"/>
    <w:multiLevelType w:val="multilevel"/>
    <w:tmpl w:val="856639CA"/>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559"/>
        </w:tabs>
        <w:ind w:left="1559" w:hanging="141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32">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B7C08C8"/>
    <w:multiLevelType w:val="singleLevel"/>
    <w:tmpl w:val="0B843200"/>
    <w:lvl w:ilvl="0">
      <w:start w:val="1998"/>
      <w:numFmt w:val="decimal"/>
      <w:lvlText w:val="%1"/>
      <w:lvlJc w:val="left"/>
      <w:pPr>
        <w:tabs>
          <w:tab w:val="num" w:pos="750"/>
        </w:tabs>
        <w:ind w:left="750" w:hanging="750"/>
      </w:pPr>
      <w:rPr>
        <w:rFonts w:hint="default"/>
      </w:rPr>
    </w:lvl>
  </w:abstractNum>
  <w:abstractNum w:abstractNumId="35">
    <w:nsid w:val="7D27035C"/>
    <w:multiLevelType w:val="singleLevel"/>
    <w:tmpl w:val="2D9AF280"/>
    <w:lvl w:ilvl="0">
      <w:start w:val="1"/>
      <w:numFmt w:val="decimal"/>
      <w:lvlText w:val="%1."/>
      <w:legacy w:legacy="1" w:legacySpace="0" w:legacyIndent="360"/>
      <w:lvlJc w:val="left"/>
      <w:rPr>
        <w:rFonts w:ascii="Times New Roman" w:hAnsi="Times New Roman" w:cs="Times New Roman" w:hint="default"/>
      </w:rPr>
    </w:lvl>
  </w:abstractNum>
  <w:num w:numId="1">
    <w:abstractNumId w:val="13"/>
  </w:num>
  <w:num w:numId="2">
    <w:abstractNumId w:val="11"/>
  </w:num>
  <w:num w:numId="3">
    <w:abstractNumId w:val="13"/>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31"/>
  </w:num>
  <w:num w:numId="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7"/>
  </w:num>
  <w:num w:numId="8">
    <w:abstractNumId w:val="19"/>
  </w:num>
  <w:num w:numId="9">
    <w:abstractNumId w:val="9"/>
  </w:num>
  <w:num w:numId="10">
    <w:abstractNumId w:val="24"/>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12"/>
  </w:num>
  <w:num w:numId="14">
    <w:abstractNumId w:val="33"/>
  </w:num>
  <w:num w:numId="15">
    <w:abstractNumId w:val="22"/>
  </w:num>
  <w:num w:numId="16">
    <w:abstractNumId w:val="27"/>
  </w:num>
  <w:num w:numId="17">
    <w:abstractNumId w:val="28"/>
  </w:num>
  <w:num w:numId="18">
    <w:abstractNumId w:val="18"/>
  </w:num>
  <w:num w:numId="19">
    <w:abstractNumId w:val="10"/>
  </w:num>
  <w:num w:numId="2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5"/>
  </w:num>
  <w:num w:numId="23">
    <w:abstractNumId w:val="8"/>
    <w:lvlOverride w:ilvl="0">
      <w:lvl w:ilvl="0">
        <w:numFmt w:val="bullet"/>
        <w:lvlText w:val=""/>
        <w:legacy w:legacy="1" w:legacySpace="0" w:legacyIndent="360"/>
        <w:lvlJc w:val="left"/>
        <w:rPr>
          <w:rFonts w:ascii="Symbol" w:hAnsi="Symbol" w:cs="Symbol" w:hint="default"/>
        </w:rPr>
      </w:lvl>
    </w:lvlOverride>
  </w:num>
  <w:num w:numId="24">
    <w:abstractNumId w:val="35"/>
  </w:num>
  <w:num w:numId="25">
    <w:abstractNumId w:val="30"/>
  </w:num>
  <w:num w:numId="26">
    <w:abstractNumId w:val="14"/>
  </w:num>
  <w:num w:numId="27">
    <w:abstractNumId w:val="15"/>
  </w:num>
  <w:num w:numId="28">
    <w:abstractNumId w:val="34"/>
  </w:num>
  <w:num w:numId="29">
    <w:abstractNumId w:val="29"/>
  </w:num>
  <w:num w:numId="30">
    <w:abstractNumId w:val="16"/>
  </w:num>
  <w:num w:numId="31">
    <w:abstractNumId w:val="21"/>
  </w:num>
  <w:num w:numId="32">
    <w:abstractNumId w:val="5"/>
  </w:num>
  <w:num w:numId="33">
    <w:abstractNumId w:val="4"/>
  </w:num>
  <w:num w:numId="34">
    <w:abstractNumId w:val="6"/>
  </w:num>
  <w:num w:numId="35">
    <w:abstractNumId w:val="3"/>
  </w:num>
  <w:num w:numId="36">
    <w:abstractNumId w:val="2"/>
  </w:num>
  <w:num w:numId="37">
    <w:abstractNumId w:val="1"/>
  </w:num>
  <w:num w:numId="38">
    <w:abstractNumId w:val="0"/>
  </w:num>
  <w:num w:numId="39">
    <w:abstractNumId w:val="23"/>
  </w:num>
  <w:num w:numId="40">
    <w:abstractNumId w:val="20"/>
  </w:num>
  <w:num w:numId="41">
    <w:abstractNumId w:val="7"/>
  </w:num>
  <w:num w:numId="42">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4"/>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2089"/>
    <w:rsid w:val="00004734"/>
    <w:rsid w:val="00005671"/>
    <w:rsid w:val="00006B22"/>
    <w:rsid w:val="00010AA8"/>
    <w:rsid w:val="0001276A"/>
    <w:rsid w:val="0001724B"/>
    <w:rsid w:val="000246AE"/>
    <w:rsid w:val="00025C67"/>
    <w:rsid w:val="00027A82"/>
    <w:rsid w:val="00031A3C"/>
    <w:rsid w:val="00036B95"/>
    <w:rsid w:val="000401E8"/>
    <w:rsid w:val="00040ACB"/>
    <w:rsid w:val="0004254D"/>
    <w:rsid w:val="00050E25"/>
    <w:rsid w:val="0005559E"/>
    <w:rsid w:val="00055EA0"/>
    <w:rsid w:val="00061440"/>
    <w:rsid w:val="0006604B"/>
    <w:rsid w:val="00066B4E"/>
    <w:rsid w:val="000702F6"/>
    <w:rsid w:val="00077775"/>
    <w:rsid w:val="00083DDF"/>
    <w:rsid w:val="00090471"/>
    <w:rsid w:val="00091339"/>
    <w:rsid w:val="000A3AED"/>
    <w:rsid w:val="000A63AF"/>
    <w:rsid w:val="000A6C85"/>
    <w:rsid w:val="000B3532"/>
    <w:rsid w:val="000B3A75"/>
    <w:rsid w:val="000B76D6"/>
    <w:rsid w:val="000C5307"/>
    <w:rsid w:val="000C690F"/>
    <w:rsid w:val="000D1295"/>
    <w:rsid w:val="000D391B"/>
    <w:rsid w:val="000D3D6D"/>
    <w:rsid w:val="000D4FC7"/>
    <w:rsid w:val="000E1EA3"/>
    <w:rsid w:val="000E5E29"/>
    <w:rsid w:val="000F02F9"/>
    <w:rsid w:val="000F1444"/>
    <w:rsid w:val="000F4869"/>
    <w:rsid w:val="000F5B42"/>
    <w:rsid w:val="000F6399"/>
    <w:rsid w:val="000F699E"/>
    <w:rsid w:val="000F6E6F"/>
    <w:rsid w:val="001007A7"/>
    <w:rsid w:val="00100E19"/>
    <w:rsid w:val="00104613"/>
    <w:rsid w:val="00105BA8"/>
    <w:rsid w:val="0010601F"/>
    <w:rsid w:val="0010788A"/>
    <w:rsid w:val="00107A31"/>
    <w:rsid w:val="00110EA5"/>
    <w:rsid w:val="0011268C"/>
    <w:rsid w:val="00112F56"/>
    <w:rsid w:val="00113F3F"/>
    <w:rsid w:val="0011685B"/>
    <w:rsid w:val="0011702E"/>
    <w:rsid w:val="00125318"/>
    <w:rsid w:val="001305A2"/>
    <w:rsid w:val="00132BBF"/>
    <w:rsid w:val="00133238"/>
    <w:rsid w:val="001365B7"/>
    <w:rsid w:val="00136688"/>
    <w:rsid w:val="00136866"/>
    <w:rsid w:val="0014197B"/>
    <w:rsid w:val="001428BF"/>
    <w:rsid w:val="0014313D"/>
    <w:rsid w:val="001447CD"/>
    <w:rsid w:val="0014760C"/>
    <w:rsid w:val="001516B1"/>
    <w:rsid w:val="00154EBB"/>
    <w:rsid w:val="00156316"/>
    <w:rsid w:val="00160307"/>
    <w:rsid w:val="0016055B"/>
    <w:rsid w:val="00160AF2"/>
    <w:rsid w:val="00164A0A"/>
    <w:rsid w:val="00165389"/>
    <w:rsid w:val="0017078F"/>
    <w:rsid w:val="00176239"/>
    <w:rsid w:val="0017693F"/>
    <w:rsid w:val="00180CAD"/>
    <w:rsid w:val="0018110E"/>
    <w:rsid w:val="00181684"/>
    <w:rsid w:val="00182E67"/>
    <w:rsid w:val="001843C6"/>
    <w:rsid w:val="001850E0"/>
    <w:rsid w:val="001926DC"/>
    <w:rsid w:val="0019381C"/>
    <w:rsid w:val="001A2158"/>
    <w:rsid w:val="001A525F"/>
    <w:rsid w:val="001B09F9"/>
    <w:rsid w:val="001B45FB"/>
    <w:rsid w:val="001B5D98"/>
    <w:rsid w:val="001B6448"/>
    <w:rsid w:val="001C643E"/>
    <w:rsid w:val="001D1DD0"/>
    <w:rsid w:val="001D2B62"/>
    <w:rsid w:val="001D40CB"/>
    <w:rsid w:val="001E07CF"/>
    <w:rsid w:val="001E09D3"/>
    <w:rsid w:val="001E59F1"/>
    <w:rsid w:val="001F49EB"/>
    <w:rsid w:val="001F6CBA"/>
    <w:rsid w:val="00201D4E"/>
    <w:rsid w:val="00203A47"/>
    <w:rsid w:val="002076C9"/>
    <w:rsid w:val="00216724"/>
    <w:rsid w:val="00220A01"/>
    <w:rsid w:val="00220B8A"/>
    <w:rsid w:val="0022119E"/>
    <w:rsid w:val="0022377B"/>
    <w:rsid w:val="002257F3"/>
    <w:rsid w:val="002310A5"/>
    <w:rsid w:val="00233456"/>
    <w:rsid w:val="002339A5"/>
    <w:rsid w:val="00236CC4"/>
    <w:rsid w:val="002427C2"/>
    <w:rsid w:val="00250B54"/>
    <w:rsid w:val="00257848"/>
    <w:rsid w:val="00257AFF"/>
    <w:rsid w:val="002666AC"/>
    <w:rsid w:val="0027084A"/>
    <w:rsid w:val="00286434"/>
    <w:rsid w:val="00286C59"/>
    <w:rsid w:val="0028745E"/>
    <w:rsid w:val="00292113"/>
    <w:rsid w:val="00292AA6"/>
    <w:rsid w:val="002942D1"/>
    <w:rsid w:val="0029501A"/>
    <w:rsid w:val="00296478"/>
    <w:rsid w:val="002A0476"/>
    <w:rsid w:val="002B1638"/>
    <w:rsid w:val="002B2878"/>
    <w:rsid w:val="002C336B"/>
    <w:rsid w:val="002C4159"/>
    <w:rsid w:val="002C63ED"/>
    <w:rsid w:val="002D18B4"/>
    <w:rsid w:val="002D545C"/>
    <w:rsid w:val="002D6161"/>
    <w:rsid w:val="002E4C9A"/>
    <w:rsid w:val="002E6905"/>
    <w:rsid w:val="002F11F8"/>
    <w:rsid w:val="002F3F56"/>
    <w:rsid w:val="002F43E6"/>
    <w:rsid w:val="002F44B5"/>
    <w:rsid w:val="002F7BF8"/>
    <w:rsid w:val="00301DD5"/>
    <w:rsid w:val="0031009C"/>
    <w:rsid w:val="00311AC0"/>
    <w:rsid w:val="00314E5C"/>
    <w:rsid w:val="0032583B"/>
    <w:rsid w:val="0032742E"/>
    <w:rsid w:val="00327883"/>
    <w:rsid w:val="00330A47"/>
    <w:rsid w:val="00331EDE"/>
    <w:rsid w:val="00332EC4"/>
    <w:rsid w:val="003334F5"/>
    <w:rsid w:val="003336D2"/>
    <w:rsid w:val="00335504"/>
    <w:rsid w:val="00335963"/>
    <w:rsid w:val="00335AD2"/>
    <w:rsid w:val="00340D46"/>
    <w:rsid w:val="00346A99"/>
    <w:rsid w:val="003521E8"/>
    <w:rsid w:val="0036209F"/>
    <w:rsid w:val="00362B7E"/>
    <w:rsid w:val="00362FE8"/>
    <w:rsid w:val="00365348"/>
    <w:rsid w:val="003725AA"/>
    <w:rsid w:val="00372648"/>
    <w:rsid w:val="003728F3"/>
    <w:rsid w:val="00373E17"/>
    <w:rsid w:val="0037494D"/>
    <w:rsid w:val="0037496E"/>
    <w:rsid w:val="003749CE"/>
    <w:rsid w:val="0037623D"/>
    <w:rsid w:val="00384617"/>
    <w:rsid w:val="00386150"/>
    <w:rsid w:val="003872C4"/>
    <w:rsid w:val="003874CE"/>
    <w:rsid w:val="00387A80"/>
    <w:rsid w:val="00390900"/>
    <w:rsid w:val="00393230"/>
    <w:rsid w:val="00396C92"/>
    <w:rsid w:val="003A1030"/>
    <w:rsid w:val="003A7F6C"/>
    <w:rsid w:val="003B0EBF"/>
    <w:rsid w:val="003B1113"/>
    <w:rsid w:val="003B418C"/>
    <w:rsid w:val="003B4D60"/>
    <w:rsid w:val="003B634F"/>
    <w:rsid w:val="003B7E39"/>
    <w:rsid w:val="003C08A0"/>
    <w:rsid w:val="003C58DC"/>
    <w:rsid w:val="003C69CF"/>
    <w:rsid w:val="003D07C6"/>
    <w:rsid w:val="003D0A3B"/>
    <w:rsid w:val="003D0B58"/>
    <w:rsid w:val="003D1E62"/>
    <w:rsid w:val="003D5D55"/>
    <w:rsid w:val="003D7D21"/>
    <w:rsid w:val="003E20A6"/>
    <w:rsid w:val="003E2486"/>
    <w:rsid w:val="003E3208"/>
    <w:rsid w:val="003E4B59"/>
    <w:rsid w:val="003F0286"/>
    <w:rsid w:val="003F02B6"/>
    <w:rsid w:val="003F0B04"/>
    <w:rsid w:val="003F2263"/>
    <w:rsid w:val="003F2AB6"/>
    <w:rsid w:val="003F721D"/>
    <w:rsid w:val="0040134E"/>
    <w:rsid w:val="00411DAA"/>
    <w:rsid w:val="00412A12"/>
    <w:rsid w:val="00415D59"/>
    <w:rsid w:val="0042200E"/>
    <w:rsid w:val="00423F7D"/>
    <w:rsid w:val="0042481D"/>
    <w:rsid w:val="00427A4C"/>
    <w:rsid w:val="004300D1"/>
    <w:rsid w:val="0043797D"/>
    <w:rsid w:val="00437FD0"/>
    <w:rsid w:val="00440A2D"/>
    <w:rsid w:val="00441B71"/>
    <w:rsid w:val="00445305"/>
    <w:rsid w:val="004502F9"/>
    <w:rsid w:val="0045050A"/>
    <w:rsid w:val="00451E1A"/>
    <w:rsid w:val="00454278"/>
    <w:rsid w:val="004564A7"/>
    <w:rsid w:val="004617BF"/>
    <w:rsid w:val="00463658"/>
    <w:rsid w:val="00463E31"/>
    <w:rsid w:val="004722CC"/>
    <w:rsid w:val="00472DF7"/>
    <w:rsid w:val="00474EA3"/>
    <w:rsid w:val="00474EF0"/>
    <w:rsid w:val="00480D66"/>
    <w:rsid w:val="00481429"/>
    <w:rsid w:val="00486EA4"/>
    <w:rsid w:val="004936E4"/>
    <w:rsid w:val="00494E60"/>
    <w:rsid w:val="00497487"/>
    <w:rsid w:val="004A345D"/>
    <w:rsid w:val="004A7E13"/>
    <w:rsid w:val="004B2B33"/>
    <w:rsid w:val="004B32C4"/>
    <w:rsid w:val="004B7B76"/>
    <w:rsid w:val="004C0A5C"/>
    <w:rsid w:val="004C2DCA"/>
    <w:rsid w:val="004C52FE"/>
    <w:rsid w:val="004C6BD3"/>
    <w:rsid w:val="004D1A04"/>
    <w:rsid w:val="004D5347"/>
    <w:rsid w:val="004D6ECD"/>
    <w:rsid w:val="004E3355"/>
    <w:rsid w:val="004E41A3"/>
    <w:rsid w:val="004E7A47"/>
    <w:rsid w:val="004F0F38"/>
    <w:rsid w:val="004F488C"/>
    <w:rsid w:val="004F4AF5"/>
    <w:rsid w:val="00501921"/>
    <w:rsid w:val="00510725"/>
    <w:rsid w:val="005148D0"/>
    <w:rsid w:val="005253D1"/>
    <w:rsid w:val="00530354"/>
    <w:rsid w:val="0053089D"/>
    <w:rsid w:val="0053625B"/>
    <w:rsid w:val="005365BE"/>
    <w:rsid w:val="00537B40"/>
    <w:rsid w:val="005434C6"/>
    <w:rsid w:val="00543B39"/>
    <w:rsid w:val="00543D89"/>
    <w:rsid w:val="00545789"/>
    <w:rsid w:val="00545E54"/>
    <w:rsid w:val="00550096"/>
    <w:rsid w:val="00555E04"/>
    <w:rsid w:val="00557FF9"/>
    <w:rsid w:val="00562944"/>
    <w:rsid w:val="00572593"/>
    <w:rsid w:val="00576378"/>
    <w:rsid w:val="00577945"/>
    <w:rsid w:val="00577E38"/>
    <w:rsid w:val="00582EDF"/>
    <w:rsid w:val="00584151"/>
    <w:rsid w:val="00585322"/>
    <w:rsid w:val="00585469"/>
    <w:rsid w:val="005857C6"/>
    <w:rsid w:val="00586F98"/>
    <w:rsid w:val="00592F6E"/>
    <w:rsid w:val="00593AD1"/>
    <w:rsid w:val="00593EF4"/>
    <w:rsid w:val="00595271"/>
    <w:rsid w:val="00595A93"/>
    <w:rsid w:val="00597990"/>
    <w:rsid w:val="005A4349"/>
    <w:rsid w:val="005A566C"/>
    <w:rsid w:val="005A68B6"/>
    <w:rsid w:val="005C25D3"/>
    <w:rsid w:val="005C5570"/>
    <w:rsid w:val="005C5A5A"/>
    <w:rsid w:val="005C79A4"/>
    <w:rsid w:val="005D5442"/>
    <w:rsid w:val="005D646F"/>
    <w:rsid w:val="005D7A34"/>
    <w:rsid w:val="00600BE3"/>
    <w:rsid w:val="00600CC4"/>
    <w:rsid w:val="00600D48"/>
    <w:rsid w:val="00602376"/>
    <w:rsid w:val="00603115"/>
    <w:rsid w:val="00603F32"/>
    <w:rsid w:val="0061557B"/>
    <w:rsid w:val="00620406"/>
    <w:rsid w:val="00630CF7"/>
    <w:rsid w:val="00632398"/>
    <w:rsid w:val="00634AE7"/>
    <w:rsid w:val="006378B4"/>
    <w:rsid w:val="00640FC3"/>
    <w:rsid w:val="00642020"/>
    <w:rsid w:val="00644D18"/>
    <w:rsid w:val="00646206"/>
    <w:rsid w:val="0065337B"/>
    <w:rsid w:val="0065419D"/>
    <w:rsid w:val="006604D8"/>
    <w:rsid w:val="00661637"/>
    <w:rsid w:val="00664A5B"/>
    <w:rsid w:val="00666019"/>
    <w:rsid w:val="006763D2"/>
    <w:rsid w:val="00680C08"/>
    <w:rsid w:val="00683165"/>
    <w:rsid w:val="00683FD0"/>
    <w:rsid w:val="0069127F"/>
    <w:rsid w:val="006931B1"/>
    <w:rsid w:val="00697ED3"/>
    <w:rsid w:val="006A15C0"/>
    <w:rsid w:val="006A23F5"/>
    <w:rsid w:val="006A2E15"/>
    <w:rsid w:val="006A3E63"/>
    <w:rsid w:val="006B1267"/>
    <w:rsid w:val="006B126F"/>
    <w:rsid w:val="006C130C"/>
    <w:rsid w:val="006C23F4"/>
    <w:rsid w:val="006C3E2A"/>
    <w:rsid w:val="006C642F"/>
    <w:rsid w:val="006D03E5"/>
    <w:rsid w:val="006D1FCE"/>
    <w:rsid w:val="006D5D3E"/>
    <w:rsid w:val="006E08B3"/>
    <w:rsid w:val="006F1512"/>
    <w:rsid w:val="006F17AC"/>
    <w:rsid w:val="006F181B"/>
    <w:rsid w:val="006F1D37"/>
    <w:rsid w:val="006F26D0"/>
    <w:rsid w:val="006F2796"/>
    <w:rsid w:val="006F3442"/>
    <w:rsid w:val="006F4D43"/>
    <w:rsid w:val="006F4F18"/>
    <w:rsid w:val="006F572E"/>
    <w:rsid w:val="007046D6"/>
    <w:rsid w:val="00705DB0"/>
    <w:rsid w:val="00706719"/>
    <w:rsid w:val="0071108D"/>
    <w:rsid w:val="00722B57"/>
    <w:rsid w:val="007262EF"/>
    <w:rsid w:val="0074253D"/>
    <w:rsid w:val="00742B55"/>
    <w:rsid w:val="0074429B"/>
    <w:rsid w:val="007445CA"/>
    <w:rsid w:val="0074514C"/>
    <w:rsid w:val="007478D4"/>
    <w:rsid w:val="007513B4"/>
    <w:rsid w:val="00754F6A"/>
    <w:rsid w:val="007615BC"/>
    <w:rsid w:val="00761694"/>
    <w:rsid w:val="00762F05"/>
    <w:rsid w:val="0076351C"/>
    <w:rsid w:val="007652FF"/>
    <w:rsid w:val="00770EF1"/>
    <w:rsid w:val="00773D95"/>
    <w:rsid w:val="00773EF7"/>
    <w:rsid w:val="00774E1D"/>
    <w:rsid w:val="0077675A"/>
    <w:rsid w:val="00780355"/>
    <w:rsid w:val="00780C64"/>
    <w:rsid w:val="00785721"/>
    <w:rsid w:val="00793A59"/>
    <w:rsid w:val="007956DD"/>
    <w:rsid w:val="00796B42"/>
    <w:rsid w:val="007972CD"/>
    <w:rsid w:val="007A0062"/>
    <w:rsid w:val="007B6E9F"/>
    <w:rsid w:val="007C1216"/>
    <w:rsid w:val="007C1AF7"/>
    <w:rsid w:val="007C6E51"/>
    <w:rsid w:val="007D2AFE"/>
    <w:rsid w:val="007D4916"/>
    <w:rsid w:val="007D5296"/>
    <w:rsid w:val="007D5DFC"/>
    <w:rsid w:val="007E1106"/>
    <w:rsid w:val="007E1DF4"/>
    <w:rsid w:val="007E6E27"/>
    <w:rsid w:val="007F1F9C"/>
    <w:rsid w:val="007F38FF"/>
    <w:rsid w:val="00805D27"/>
    <w:rsid w:val="008120A3"/>
    <w:rsid w:val="00812F34"/>
    <w:rsid w:val="00813832"/>
    <w:rsid w:val="008138BC"/>
    <w:rsid w:val="00816A1F"/>
    <w:rsid w:val="00821776"/>
    <w:rsid w:val="008321F5"/>
    <w:rsid w:val="00832369"/>
    <w:rsid w:val="00834660"/>
    <w:rsid w:val="00836BC2"/>
    <w:rsid w:val="00836CCA"/>
    <w:rsid w:val="008408D9"/>
    <w:rsid w:val="008414A0"/>
    <w:rsid w:val="008452BC"/>
    <w:rsid w:val="0084794A"/>
    <w:rsid w:val="00851DF8"/>
    <w:rsid w:val="008520A2"/>
    <w:rsid w:val="00854149"/>
    <w:rsid w:val="00855E36"/>
    <w:rsid w:val="0085641B"/>
    <w:rsid w:val="00857136"/>
    <w:rsid w:val="008643A6"/>
    <w:rsid w:val="0086559B"/>
    <w:rsid w:val="008679EE"/>
    <w:rsid w:val="0087709D"/>
    <w:rsid w:val="00884233"/>
    <w:rsid w:val="00886D15"/>
    <w:rsid w:val="00887DD8"/>
    <w:rsid w:val="00887E1B"/>
    <w:rsid w:val="00892687"/>
    <w:rsid w:val="00892A3E"/>
    <w:rsid w:val="008942C7"/>
    <w:rsid w:val="00896018"/>
    <w:rsid w:val="008960DD"/>
    <w:rsid w:val="0089635C"/>
    <w:rsid w:val="008A1360"/>
    <w:rsid w:val="008A1623"/>
    <w:rsid w:val="008A1EA7"/>
    <w:rsid w:val="008A2B9D"/>
    <w:rsid w:val="008A5E0B"/>
    <w:rsid w:val="008A6D59"/>
    <w:rsid w:val="008B345A"/>
    <w:rsid w:val="008B4B03"/>
    <w:rsid w:val="008B596F"/>
    <w:rsid w:val="008B5A3E"/>
    <w:rsid w:val="008C017B"/>
    <w:rsid w:val="008C01B2"/>
    <w:rsid w:val="008C159F"/>
    <w:rsid w:val="008C1623"/>
    <w:rsid w:val="008C1850"/>
    <w:rsid w:val="008C51A9"/>
    <w:rsid w:val="008C60E9"/>
    <w:rsid w:val="008C79AA"/>
    <w:rsid w:val="008D2427"/>
    <w:rsid w:val="008D4058"/>
    <w:rsid w:val="008D770F"/>
    <w:rsid w:val="008E0E9C"/>
    <w:rsid w:val="008E1C8C"/>
    <w:rsid w:val="008E6E8E"/>
    <w:rsid w:val="008E7846"/>
    <w:rsid w:val="008F1CCC"/>
    <w:rsid w:val="008F2967"/>
    <w:rsid w:val="008F6943"/>
    <w:rsid w:val="00902A21"/>
    <w:rsid w:val="009050D1"/>
    <w:rsid w:val="00910BED"/>
    <w:rsid w:val="00910E33"/>
    <w:rsid w:val="00920330"/>
    <w:rsid w:val="009219D7"/>
    <w:rsid w:val="00922D53"/>
    <w:rsid w:val="00923B70"/>
    <w:rsid w:val="00924482"/>
    <w:rsid w:val="00930237"/>
    <w:rsid w:val="0094461F"/>
    <w:rsid w:val="0094599B"/>
    <w:rsid w:val="00946EA5"/>
    <w:rsid w:val="0095160F"/>
    <w:rsid w:val="00963C08"/>
    <w:rsid w:val="0096583A"/>
    <w:rsid w:val="0097263C"/>
    <w:rsid w:val="00973875"/>
    <w:rsid w:val="00981D66"/>
    <w:rsid w:val="0098585A"/>
    <w:rsid w:val="00985A39"/>
    <w:rsid w:val="0098669D"/>
    <w:rsid w:val="00990431"/>
    <w:rsid w:val="00991185"/>
    <w:rsid w:val="00992415"/>
    <w:rsid w:val="00992AC0"/>
    <w:rsid w:val="00994C95"/>
    <w:rsid w:val="00995BA4"/>
    <w:rsid w:val="009A1AB4"/>
    <w:rsid w:val="009A4CED"/>
    <w:rsid w:val="009A690D"/>
    <w:rsid w:val="009B1B32"/>
    <w:rsid w:val="009B1D12"/>
    <w:rsid w:val="009B416B"/>
    <w:rsid w:val="009B53C8"/>
    <w:rsid w:val="009C004D"/>
    <w:rsid w:val="009C4BD5"/>
    <w:rsid w:val="009D04CD"/>
    <w:rsid w:val="009D7B77"/>
    <w:rsid w:val="009E0BB0"/>
    <w:rsid w:val="009E0FFD"/>
    <w:rsid w:val="009E21AD"/>
    <w:rsid w:val="009E3FBB"/>
    <w:rsid w:val="009F45D2"/>
    <w:rsid w:val="00A04658"/>
    <w:rsid w:val="00A07A13"/>
    <w:rsid w:val="00A102E4"/>
    <w:rsid w:val="00A12C42"/>
    <w:rsid w:val="00A14DF7"/>
    <w:rsid w:val="00A2142B"/>
    <w:rsid w:val="00A235D9"/>
    <w:rsid w:val="00A24905"/>
    <w:rsid w:val="00A3246D"/>
    <w:rsid w:val="00A35F91"/>
    <w:rsid w:val="00A36FA7"/>
    <w:rsid w:val="00A460A5"/>
    <w:rsid w:val="00A475B7"/>
    <w:rsid w:val="00A47AF7"/>
    <w:rsid w:val="00A47C3E"/>
    <w:rsid w:val="00A50226"/>
    <w:rsid w:val="00A547A9"/>
    <w:rsid w:val="00A56C22"/>
    <w:rsid w:val="00A60BAD"/>
    <w:rsid w:val="00A63454"/>
    <w:rsid w:val="00A63798"/>
    <w:rsid w:val="00A65F35"/>
    <w:rsid w:val="00A70E6D"/>
    <w:rsid w:val="00A722A1"/>
    <w:rsid w:val="00A81D01"/>
    <w:rsid w:val="00A964D1"/>
    <w:rsid w:val="00A96EA3"/>
    <w:rsid w:val="00A97182"/>
    <w:rsid w:val="00A977BD"/>
    <w:rsid w:val="00AA01C0"/>
    <w:rsid w:val="00AA0DB7"/>
    <w:rsid w:val="00AA0ED0"/>
    <w:rsid w:val="00AA3499"/>
    <w:rsid w:val="00AA3686"/>
    <w:rsid w:val="00AA4A86"/>
    <w:rsid w:val="00AA6979"/>
    <w:rsid w:val="00AC2B40"/>
    <w:rsid w:val="00AC2BB2"/>
    <w:rsid w:val="00AC2C3C"/>
    <w:rsid w:val="00AC512D"/>
    <w:rsid w:val="00AC525F"/>
    <w:rsid w:val="00AC57E5"/>
    <w:rsid w:val="00AD36EB"/>
    <w:rsid w:val="00AD4C98"/>
    <w:rsid w:val="00AD7A73"/>
    <w:rsid w:val="00AE01C2"/>
    <w:rsid w:val="00AE2C6B"/>
    <w:rsid w:val="00AE65EB"/>
    <w:rsid w:val="00AE67A7"/>
    <w:rsid w:val="00AE6D7D"/>
    <w:rsid w:val="00AE7BA3"/>
    <w:rsid w:val="00AF02CA"/>
    <w:rsid w:val="00AF04C8"/>
    <w:rsid w:val="00AF1D94"/>
    <w:rsid w:val="00AF2054"/>
    <w:rsid w:val="00AF40E7"/>
    <w:rsid w:val="00AF60C5"/>
    <w:rsid w:val="00B001C6"/>
    <w:rsid w:val="00B009C6"/>
    <w:rsid w:val="00B01548"/>
    <w:rsid w:val="00B02208"/>
    <w:rsid w:val="00B04A79"/>
    <w:rsid w:val="00B10C8A"/>
    <w:rsid w:val="00B1117E"/>
    <w:rsid w:val="00B13321"/>
    <w:rsid w:val="00B1425E"/>
    <w:rsid w:val="00B1460B"/>
    <w:rsid w:val="00B21070"/>
    <w:rsid w:val="00B21D29"/>
    <w:rsid w:val="00B25034"/>
    <w:rsid w:val="00B268FD"/>
    <w:rsid w:val="00B31134"/>
    <w:rsid w:val="00B33588"/>
    <w:rsid w:val="00B33863"/>
    <w:rsid w:val="00B33AC9"/>
    <w:rsid w:val="00B34572"/>
    <w:rsid w:val="00B3567E"/>
    <w:rsid w:val="00B37D17"/>
    <w:rsid w:val="00B4175E"/>
    <w:rsid w:val="00B43030"/>
    <w:rsid w:val="00B452CE"/>
    <w:rsid w:val="00B474D4"/>
    <w:rsid w:val="00B54921"/>
    <w:rsid w:val="00B54C25"/>
    <w:rsid w:val="00B567FA"/>
    <w:rsid w:val="00B57EC9"/>
    <w:rsid w:val="00B622E8"/>
    <w:rsid w:val="00B647A2"/>
    <w:rsid w:val="00B6512B"/>
    <w:rsid w:val="00B74897"/>
    <w:rsid w:val="00B76B91"/>
    <w:rsid w:val="00B77EB1"/>
    <w:rsid w:val="00B80494"/>
    <w:rsid w:val="00B811C6"/>
    <w:rsid w:val="00B85A87"/>
    <w:rsid w:val="00B90316"/>
    <w:rsid w:val="00B92E08"/>
    <w:rsid w:val="00B935B1"/>
    <w:rsid w:val="00B965BD"/>
    <w:rsid w:val="00B96EBE"/>
    <w:rsid w:val="00BA0F92"/>
    <w:rsid w:val="00BB034C"/>
    <w:rsid w:val="00BB6ED8"/>
    <w:rsid w:val="00BC259E"/>
    <w:rsid w:val="00BC2D5A"/>
    <w:rsid w:val="00BC622A"/>
    <w:rsid w:val="00BC7FD3"/>
    <w:rsid w:val="00BD17D2"/>
    <w:rsid w:val="00BD45E3"/>
    <w:rsid w:val="00BD56D7"/>
    <w:rsid w:val="00BE0A78"/>
    <w:rsid w:val="00BE6252"/>
    <w:rsid w:val="00BE79F0"/>
    <w:rsid w:val="00BF046D"/>
    <w:rsid w:val="00BF1190"/>
    <w:rsid w:val="00BF1584"/>
    <w:rsid w:val="00BF5B1B"/>
    <w:rsid w:val="00BF5D04"/>
    <w:rsid w:val="00C00B27"/>
    <w:rsid w:val="00C1164D"/>
    <w:rsid w:val="00C1622D"/>
    <w:rsid w:val="00C16861"/>
    <w:rsid w:val="00C21709"/>
    <w:rsid w:val="00C22678"/>
    <w:rsid w:val="00C2396A"/>
    <w:rsid w:val="00C3117B"/>
    <w:rsid w:val="00C34372"/>
    <w:rsid w:val="00C34F83"/>
    <w:rsid w:val="00C404A6"/>
    <w:rsid w:val="00C40A36"/>
    <w:rsid w:val="00C43F8B"/>
    <w:rsid w:val="00C44419"/>
    <w:rsid w:val="00C45E7B"/>
    <w:rsid w:val="00C471B1"/>
    <w:rsid w:val="00C515DA"/>
    <w:rsid w:val="00C533F2"/>
    <w:rsid w:val="00C60742"/>
    <w:rsid w:val="00C618F7"/>
    <w:rsid w:val="00C61CBA"/>
    <w:rsid w:val="00C6316B"/>
    <w:rsid w:val="00C634A9"/>
    <w:rsid w:val="00C64586"/>
    <w:rsid w:val="00C70D53"/>
    <w:rsid w:val="00C72B59"/>
    <w:rsid w:val="00C73015"/>
    <w:rsid w:val="00C73D0B"/>
    <w:rsid w:val="00C772FF"/>
    <w:rsid w:val="00C7766F"/>
    <w:rsid w:val="00C801AF"/>
    <w:rsid w:val="00C80256"/>
    <w:rsid w:val="00C811C0"/>
    <w:rsid w:val="00C82552"/>
    <w:rsid w:val="00C95B35"/>
    <w:rsid w:val="00CA74A3"/>
    <w:rsid w:val="00CB3130"/>
    <w:rsid w:val="00CB34FE"/>
    <w:rsid w:val="00CB6BC0"/>
    <w:rsid w:val="00CC1B7C"/>
    <w:rsid w:val="00CC1DF7"/>
    <w:rsid w:val="00CC727F"/>
    <w:rsid w:val="00CF0081"/>
    <w:rsid w:val="00CF15C3"/>
    <w:rsid w:val="00CF2B6F"/>
    <w:rsid w:val="00CF40B4"/>
    <w:rsid w:val="00CF58B6"/>
    <w:rsid w:val="00D01729"/>
    <w:rsid w:val="00D017ED"/>
    <w:rsid w:val="00D040D3"/>
    <w:rsid w:val="00D04C65"/>
    <w:rsid w:val="00D12482"/>
    <w:rsid w:val="00D224FE"/>
    <w:rsid w:val="00D27393"/>
    <w:rsid w:val="00D36FF4"/>
    <w:rsid w:val="00D40B53"/>
    <w:rsid w:val="00D533B9"/>
    <w:rsid w:val="00D53592"/>
    <w:rsid w:val="00D53A31"/>
    <w:rsid w:val="00D62188"/>
    <w:rsid w:val="00D632F5"/>
    <w:rsid w:val="00D6493E"/>
    <w:rsid w:val="00D66F1F"/>
    <w:rsid w:val="00D7301E"/>
    <w:rsid w:val="00D83AE1"/>
    <w:rsid w:val="00D855D4"/>
    <w:rsid w:val="00D8784C"/>
    <w:rsid w:val="00D90C7C"/>
    <w:rsid w:val="00D93466"/>
    <w:rsid w:val="00D96323"/>
    <w:rsid w:val="00DA1124"/>
    <w:rsid w:val="00DA14D3"/>
    <w:rsid w:val="00DA7D87"/>
    <w:rsid w:val="00DB3AAF"/>
    <w:rsid w:val="00DB75B7"/>
    <w:rsid w:val="00DB76AE"/>
    <w:rsid w:val="00DC2D81"/>
    <w:rsid w:val="00DC532E"/>
    <w:rsid w:val="00DC54AE"/>
    <w:rsid w:val="00DC6E02"/>
    <w:rsid w:val="00DC7579"/>
    <w:rsid w:val="00DD1C19"/>
    <w:rsid w:val="00DD1EE4"/>
    <w:rsid w:val="00DD5BB1"/>
    <w:rsid w:val="00DD6BD0"/>
    <w:rsid w:val="00DE02AE"/>
    <w:rsid w:val="00DE0AF1"/>
    <w:rsid w:val="00DF1AD9"/>
    <w:rsid w:val="00DF1D7F"/>
    <w:rsid w:val="00DF4BE4"/>
    <w:rsid w:val="00DF5A24"/>
    <w:rsid w:val="00E02FB4"/>
    <w:rsid w:val="00E07F15"/>
    <w:rsid w:val="00E20571"/>
    <w:rsid w:val="00E235F7"/>
    <w:rsid w:val="00E23659"/>
    <w:rsid w:val="00E239D4"/>
    <w:rsid w:val="00E24EE8"/>
    <w:rsid w:val="00E26130"/>
    <w:rsid w:val="00E2741C"/>
    <w:rsid w:val="00E350C2"/>
    <w:rsid w:val="00E40B22"/>
    <w:rsid w:val="00E45619"/>
    <w:rsid w:val="00E456D7"/>
    <w:rsid w:val="00E4588F"/>
    <w:rsid w:val="00E46DA3"/>
    <w:rsid w:val="00E51BB1"/>
    <w:rsid w:val="00E546EC"/>
    <w:rsid w:val="00E5595D"/>
    <w:rsid w:val="00E602A7"/>
    <w:rsid w:val="00E607BB"/>
    <w:rsid w:val="00E62437"/>
    <w:rsid w:val="00E624A5"/>
    <w:rsid w:val="00E714D9"/>
    <w:rsid w:val="00E7344E"/>
    <w:rsid w:val="00E76931"/>
    <w:rsid w:val="00E814E0"/>
    <w:rsid w:val="00E9104D"/>
    <w:rsid w:val="00E936E3"/>
    <w:rsid w:val="00E95887"/>
    <w:rsid w:val="00E95F50"/>
    <w:rsid w:val="00EA5E9D"/>
    <w:rsid w:val="00EB0798"/>
    <w:rsid w:val="00EB40AD"/>
    <w:rsid w:val="00EB586E"/>
    <w:rsid w:val="00EB5C41"/>
    <w:rsid w:val="00EB5FC8"/>
    <w:rsid w:val="00ED3CAD"/>
    <w:rsid w:val="00ED4A24"/>
    <w:rsid w:val="00ED52E4"/>
    <w:rsid w:val="00ED5A41"/>
    <w:rsid w:val="00ED70DC"/>
    <w:rsid w:val="00EE1DE8"/>
    <w:rsid w:val="00F027A6"/>
    <w:rsid w:val="00F033EC"/>
    <w:rsid w:val="00F04F68"/>
    <w:rsid w:val="00F11842"/>
    <w:rsid w:val="00F12670"/>
    <w:rsid w:val="00F14B27"/>
    <w:rsid w:val="00F20036"/>
    <w:rsid w:val="00F21E2A"/>
    <w:rsid w:val="00F3148D"/>
    <w:rsid w:val="00F325C5"/>
    <w:rsid w:val="00F32FE0"/>
    <w:rsid w:val="00F35298"/>
    <w:rsid w:val="00F41A7C"/>
    <w:rsid w:val="00F42986"/>
    <w:rsid w:val="00F45853"/>
    <w:rsid w:val="00F46F47"/>
    <w:rsid w:val="00F47333"/>
    <w:rsid w:val="00F47E37"/>
    <w:rsid w:val="00F53C07"/>
    <w:rsid w:val="00F54B65"/>
    <w:rsid w:val="00F55DCF"/>
    <w:rsid w:val="00F560E8"/>
    <w:rsid w:val="00F640B6"/>
    <w:rsid w:val="00F65C57"/>
    <w:rsid w:val="00F72EA6"/>
    <w:rsid w:val="00F80E40"/>
    <w:rsid w:val="00F848D9"/>
    <w:rsid w:val="00F87BB3"/>
    <w:rsid w:val="00F96E45"/>
    <w:rsid w:val="00F97073"/>
    <w:rsid w:val="00FA5B82"/>
    <w:rsid w:val="00FA639E"/>
    <w:rsid w:val="00FA74F7"/>
    <w:rsid w:val="00FB713B"/>
    <w:rsid w:val="00FC25E4"/>
    <w:rsid w:val="00FC4C34"/>
    <w:rsid w:val="00FC4EF7"/>
    <w:rsid w:val="00FE0415"/>
    <w:rsid w:val="00FE1DEE"/>
    <w:rsid w:val="00FE5DF4"/>
    <w:rsid w:val="00FF2126"/>
    <w:rsid w:val="00FF35FB"/>
    <w:rsid w:val="00FF4081"/>
    <w:rsid w:val="00FF4544"/>
    <w:rsid w:val="00FF5755"/>
    <w:rsid w:val="00FF641E"/>
    <w:rsid w:val="00FF69BE"/>
    <w:rsid w:val="00FF78C8"/>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0"/>
    <w:lsdException w:name="Subtitle" w:semiHidden="0" w:uiPriority="11" w:unhideWhenUsed="0"/>
    <w:lsdException w:name="Date" w:semiHidden="0" w:unhideWhenUsed="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B7489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tabs>
        <w:tab w:val="clear" w:pos="1022"/>
        <w:tab w:val="num" w:pos="1135"/>
      </w:tabs>
      <w:adjustRightInd w:val="0"/>
      <w:snapToGrid w:val="0"/>
      <w:spacing w:before="400" w:line="220" w:lineRule="atLeast"/>
      <w:ind w:left="1135"/>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D90C7C"/>
    <w:pPr>
      <w:keepNext/>
      <w:outlineLvl w:val="6"/>
    </w:pPr>
    <w:rPr>
      <w:b/>
    </w:rPr>
  </w:style>
  <w:style w:type="paragraph" w:styleId="Heading8">
    <w:name w:val="heading 8"/>
    <w:basedOn w:val="Normal"/>
    <w:next w:val="Normal"/>
    <w:link w:val="Heading8Char"/>
    <w:qFormat/>
    <w:rsid w:val="00DA7D87"/>
    <w:pPr>
      <w:keepNext/>
      <w:spacing w:before="0" w:line="240" w:lineRule="auto"/>
      <w:outlineLvl w:val="7"/>
    </w:pPr>
    <w:rPr>
      <w:rFonts w:ascii="Calibri" w:eastAsia="Times New Roman" w:hAnsi="Calibri"/>
      <w:b/>
      <w:iCs/>
      <w:sz w:val="20"/>
      <w:szCs w:val="24"/>
      <w:lang w:eastAsia="en-AU"/>
    </w:rPr>
  </w:style>
  <w:style w:type="paragraph" w:styleId="Heading9">
    <w:name w:val="heading 9"/>
    <w:basedOn w:val="Normal"/>
    <w:next w:val="Normal"/>
    <w:link w:val="Heading9Char"/>
    <w:qFormat/>
    <w:rsid w:val="00DA7D87"/>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644D18"/>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644D18"/>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138BC"/>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D90C7C"/>
    <w:rPr>
      <w:rFonts w:ascii="Cambria" w:eastAsia="Cambria" w:hAnsi="Cambria" w:cs="Times New Roman"/>
      <w:b/>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3"/>
    <w:qFormat/>
    <w:rsid w:val="004C2DCA"/>
    <w:pPr>
      <w:numPr>
        <w:numId w:val="4"/>
      </w:numPr>
    </w:pPr>
  </w:style>
  <w:style w:type="paragraph" w:customStyle="1" w:styleId="Numberbullet2">
    <w:name w:val="Number bullet 2"/>
    <w:basedOn w:val="ListBullet2"/>
    <w:uiPriority w:val="3"/>
    <w:qFormat/>
    <w:rsid w:val="004C2DCA"/>
    <w:pPr>
      <w:numPr>
        <w:numId w:val="4"/>
      </w:numPr>
    </w:pPr>
  </w:style>
  <w:style w:type="paragraph" w:customStyle="1" w:styleId="Numberbullet3">
    <w:name w:val="Number bullet 3"/>
    <w:basedOn w:val="ListBullet3"/>
    <w:uiPriority w:val="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4D6ECD"/>
    <w:pPr>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4D6ECD"/>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A96EA3"/>
    <w:pPr>
      <w:spacing w:before="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4D6ECD"/>
    <w:pPr>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4D6ECD"/>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22119E"/>
    <w:pPr>
      <w:numPr>
        <w:numId w:val="7"/>
      </w:numPr>
      <w:spacing w:after="0" w:line="240" w:lineRule="auto"/>
    </w:pPr>
    <w:rPr>
      <w:rFonts w:eastAsia="Times New Roman"/>
      <w:kern w:val="24"/>
      <w:szCs w:val="24"/>
      <w:lang w:eastAsia="en-AU"/>
    </w:rPr>
  </w:style>
  <w:style w:type="paragraph" w:customStyle="1" w:styleId="Bullet2">
    <w:name w:val="Bullet 2"/>
    <w:basedOn w:val="Bullet1"/>
    <w:rsid w:val="0022119E"/>
    <w:pPr>
      <w:numPr>
        <w:numId w:val="8"/>
      </w:numPr>
    </w:pPr>
  </w:style>
  <w:style w:type="paragraph" w:styleId="FootnoteText">
    <w:name w:val="footnote text"/>
    <w:basedOn w:val="Normal"/>
    <w:link w:val="FootnoteTextChar"/>
    <w:semiHidden/>
    <w:rsid w:val="0022119E"/>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val="x-none" w:eastAsia="x-none"/>
    </w:rPr>
  </w:style>
  <w:style w:type="character" w:customStyle="1" w:styleId="FootnoteTextChar">
    <w:name w:val="Footnote Text Char"/>
    <w:basedOn w:val="DefaultParagraphFont"/>
    <w:link w:val="FootnoteText"/>
    <w:semiHidden/>
    <w:rsid w:val="0022119E"/>
    <w:rPr>
      <w:rFonts w:ascii="Cambria" w:eastAsia="Times New Roman" w:hAnsi="Cambria" w:cs="Times New Roman"/>
      <w:kern w:val="16"/>
      <w:sz w:val="20"/>
      <w:szCs w:val="20"/>
      <w:lang w:val="x-none" w:eastAsia="x-none"/>
    </w:rPr>
  </w:style>
  <w:style w:type="character" w:styleId="FootnoteReference">
    <w:name w:val="footnote reference"/>
    <w:semiHidden/>
    <w:rsid w:val="0022119E"/>
    <w:rPr>
      <w:vertAlign w:val="superscript"/>
    </w:rPr>
  </w:style>
  <w:style w:type="paragraph" w:customStyle="1" w:styleId="CommentDot">
    <w:name w:val="Comment Dot"/>
    <w:basedOn w:val="Normal"/>
    <w:qFormat/>
    <w:rsid w:val="00BC259E"/>
    <w:pPr>
      <w:numPr>
        <w:numId w:val="9"/>
      </w:num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ind w:left="1418" w:hanging="284"/>
    </w:pPr>
    <w:rPr>
      <w:rFonts w:ascii="Calibri" w:eastAsia="Times New Roman" w:hAnsi="Calibri" w:cs="Arial"/>
      <w:kern w:val="16"/>
      <w:lang w:eastAsia="en-AU"/>
    </w:rPr>
  </w:style>
  <w:style w:type="character" w:customStyle="1" w:styleId="ft">
    <w:name w:val="ft"/>
    <w:rsid w:val="00BC259E"/>
    <w:rPr>
      <w:b w:val="0"/>
      <w:bCs w:val="0"/>
      <w:color w:val="222222"/>
      <w:sz w:val="27"/>
      <w:szCs w:val="27"/>
    </w:rPr>
  </w:style>
  <w:style w:type="character" w:styleId="Emphasis">
    <w:name w:val="Emphasis"/>
    <w:qFormat/>
    <w:rsid w:val="00603115"/>
    <w:rPr>
      <w:i/>
      <w:iCs/>
    </w:rPr>
  </w:style>
  <w:style w:type="character" w:customStyle="1" w:styleId="Heading8Char">
    <w:name w:val="Heading 8 Char"/>
    <w:basedOn w:val="DefaultParagraphFont"/>
    <w:link w:val="Heading8"/>
    <w:rsid w:val="00DA7D87"/>
    <w:rPr>
      <w:rFonts w:ascii="Calibri" w:eastAsia="Times New Roman" w:hAnsi="Calibri" w:cs="Times New Roman"/>
      <w:b/>
      <w:iCs/>
      <w:sz w:val="20"/>
      <w:szCs w:val="24"/>
      <w:lang w:eastAsia="en-AU"/>
    </w:rPr>
  </w:style>
  <w:style w:type="character" w:customStyle="1" w:styleId="Heading9Char">
    <w:name w:val="Heading 9 Char"/>
    <w:basedOn w:val="DefaultParagraphFont"/>
    <w:link w:val="Heading9"/>
    <w:rsid w:val="00DA7D87"/>
    <w:rPr>
      <w:rFonts w:ascii="Arial" w:eastAsia="Times New Roman" w:hAnsi="Arial" w:cs="Arial"/>
      <w:kern w:val="16"/>
      <w:u w:val="single"/>
      <w:lang w:eastAsia="en-AU"/>
    </w:rPr>
  </w:style>
  <w:style w:type="paragraph" w:customStyle="1" w:styleId="Heading0inTOC">
    <w:name w:val="Heading 0 (in TOC)"/>
    <w:basedOn w:val="Heading1"/>
    <w:next w:val="Normal"/>
    <w:rsid w:val="00DA7D87"/>
    <w:pPr>
      <w:keepLines w:val="0"/>
      <w:numPr>
        <w:numId w:val="0"/>
      </w:numPr>
      <w:adjustRightInd/>
      <w:snapToGrid/>
      <w:spacing w:before="0" w:after="120" w:line="240" w:lineRule="auto"/>
    </w:pPr>
    <w:rPr>
      <w:rFonts w:ascii="Cambria" w:hAnsi="Cambria" w:cs="Times New Roman"/>
      <w:bCs w:val="0"/>
      <w:caps/>
      <w:kern w:val="16"/>
      <w:sz w:val="22"/>
      <w:szCs w:val="24"/>
      <w:lang w:val="x-none" w:eastAsia="x-none"/>
    </w:rPr>
  </w:style>
  <w:style w:type="character" w:styleId="PageNumber">
    <w:name w:val="page number"/>
    <w:rsid w:val="00DA7D87"/>
    <w:rPr>
      <w:sz w:val="20"/>
    </w:rPr>
  </w:style>
  <w:style w:type="paragraph" w:customStyle="1" w:styleId="TableBullet">
    <w:name w:val="Table Bullet"/>
    <w:basedOn w:val="Normal"/>
    <w:rsid w:val="00DA7D87"/>
    <w:pPr>
      <w:numPr>
        <w:numId w:val="12"/>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DA7D87"/>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DA7D87"/>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DA7D87"/>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DA7D87"/>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DA7D87"/>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DA7D87"/>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DA7D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DA7D87"/>
    <w:rPr>
      <w:rFonts w:ascii="Cambria" w:eastAsia="Times New Roman" w:hAnsi="Cambria" w:cs="Times New Roman"/>
      <w:kern w:val="16"/>
      <w:sz w:val="20"/>
      <w:szCs w:val="20"/>
      <w:lang w:eastAsia="en-AU"/>
    </w:rPr>
  </w:style>
  <w:style w:type="character" w:styleId="EndnoteReference">
    <w:name w:val="endnote reference"/>
    <w:semiHidden/>
    <w:rsid w:val="00DA7D87"/>
    <w:rPr>
      <w:dstrike w:val="0"/>
      <w:vertAlign w:val="baseline"/>
    </w:rPr>
  </w:style>
  <w:style w:type="paragraph" w:customStyle="1" w:styleId="Abbreviations">
    <w:name w:val="Abbreviations"/>
    <w:basedOn w:val="Normal"/>
    <w:rsid w:val="00DA7D87"/>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DA7D87"/>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DA7D8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DA7D87"/>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Instructions1">
    <w:name w:val="Instructions 1"/>
    <w:basedOn w:val="Normal"/>
    <w:qFormat/>
    <w:rsid w:val="00DA7D87"/>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DA7D87"/>
    <w:pPr>
      <w:numPr>
        <w:numId w:val="17"/>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rsid w:val="00DA7D87"/>
    <w:rPr>
      <w:sz w:val="16"/>
      <w:szCs w:val="16"/>
    </w:rPr>
  </w:style>
  <w:style w:type="paragraph" w:styleId="CommentText">
    <w:name w:val="annotation text"/>
    <w:basedOn w:val="Normal"/>
    <w:link w:val="CommentTextChar"/>
    <w:rsid w:val="00DA7D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val="x-none" w:eastAsia="x-none"/>
    </w:rPr>
  </w:style>
  <w:style w:type="character" w:customStyle="1" w:styleId="CommentTextChar">
    <w:name w:val="Comment Text Char"/>
    <w:basedOn w:val="DefaultParagraphFont"/>
    <w:link w:val="CommentText"/>
    <w:rsid w:val="00DA7D87"/>
    <w:rPr>
      <w:rFonts w:ascii="Times New Roman" w:eastAsia="Times New Roman" w:hAnsi="Times New Roman" w:cs="Times New Roman"/>
      <w:kern w:val="16"/>
      <w:sz w:val="20"/>
      <w:szCs w:val="20"/>
      <w:lang w:val="x-none" w:eastAsia="x-none"/>
    </w:rPr>
  </w:style>
  <w:style w:type="paragraph" w:styleId="CommentSubject">
    <w:name w:val="annotation subject"/>
    <w:basedOn w:val="CommentText"/>
    <w:next w:val="CommentText"/>
    <w:link w:val="CommentSubjectChar"/>
    <w:rsid w:val="00DA7D87"/>
    <w:rPr>
      <w:b/>
      <w:bCs/>
    </w:rPr>
  </w:style>
  <w:style w:type="character" w:customStyle="1" w:styleId="CommentSubjectChar">
    <w:name w:val="Comment Subject Char"/>
    <w:basedOn w:val="CommentTextChar"/>
    <w:link w:val="CommentSubject"/>
    <w:rsid w:val="00DA7D87"/>
    <w:rPr>
      <w:rFonts w:ascii="Times New Roman" w:eastAsia="Times New Roman" w:hAnsi="Times New Roman" w:cs="Times New Roman"/>
      <w:b/>
      <w:bCs/>
      <w:kern w:val="16"/>
      <w:sz w:val="20"/>
      <w:szCs w:val="20"/>
      <w:lang w:val="x-none" w:eastAsia="x-none"/>
    </w:rPr>
  </w:style>
  <w:style w:type="paragraph" w:customStyle="1" w:styleId="Contentslist1">
    <w:name w:val="Contents list 1"/>
    <w:basedOn w:val="Normal"/>
    <w:qFormat/>
    <w:rsid w:val="00DA7D87"/>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DA7D87"/>
    <w:pPr>
      <w:spacing w:before="0" w:after="0"/>
    </w:pPr>
    <w:rPr>
      <w:b w:val="0"/>
    </w:rPr>
  </w:style>
  <w:style w:type="character" w:customStyle="1" w:styleId="st1">
    <w:name w:val="st1"/>
    <w:rsid w:val="00DA7D87"/>
    <w:rPr>
      <w:b w:val="0"/>
      <w:bCs w:val="0"/>
      <w:color w:val="222222"/>
      <w:sz w:val="27"/>
      <w:szCs w:val="27"/>
    </w:rPr>
  </w:style>
  <w:style w:type="character" w:customStyle="1" w:styleId="doctitle3">
    <w:name w:val="doc_title3"/>
    <w:rsid w:val="00DA7D87"/>
    <w:rPr>
      <w:sz w:val="19"/>
      <w:szCs w:val="19"/>
    </w:rPr>
  </w:style>
  <w:style w:type="character" w:styleId="Strong">
    <w:name w:val="Strong"/>
    <w:uiPriority w:val="22"/>
    <w:qFormat/>
    <w:rsid w:val="00DA7D87"/>
    <w:rPr>
      <w:b/>
      <w:bCs/>
    </w:rPr>
  </w:style>
  <w:style w:type="character" w:customStyle="1" w:styleId="Char">
    <w:name w:val="Char"/>
    <w:rsid w:val="00DA7D87"/>
    <w:rPr>
      <w:rFonts w:ascii="Cambria" w:hAnsi="Cambria"/>
      <w:kern w:val="16"/>
      <w:sz w:val="22"/>
      <w:szCs w:val="24"/>
      <w:lang w:val="en-AU" w:eastAsia="en-AU" w:bidi="ar-SA"/>
    </w:rPr>
  </w:style>
  <w:style w:type="character" w:customStyle="1" w:styleId="Bullet1CharCharCharCharCharCharCharCharCharChar">
    <w:name w:val="Bullet 1 Char Char Char Char Char Char Char Char Char Char"/>
    <w:link w:val="Bullet1CharCharCharCharCharCharCharCharChar"/>
    <w:rsid w:val="00DA7D87"/>
    <w:rPr>
      <w:rFonts w:ascii="Cambria" w:hAnsi="Cambria"/>
      <w:kern w:val="24"/>
      <w:szCs w:val="24"/>
      <w:lang w:eastAsia="en-AU"/>
    </w:rPr>
  </w:style>
  <w:style w:type="paragraph" w:customStyle="1" w:styleId="Bullet1CharCharCharCharCharCharCharCharChar">
    <w:name w:val="Bullet 1 Char Char Char Char Char Char Char Char Char"/>
    <w:basedOn w:val="Normal"/>
    <w:link w:val="Bullet1CharCharCharCharCharCharCharCharCharChar"/>
    <w:rsid w:val="00DA7D87"/>
    <w:pPr>
      <w:tabs>
        <w:tab w:val="num" w:pos="284"/>
      </w:tabs>
      <w:spacing w:after="0" w:line="240" w:lineRule="auto"/>
      <w:ind w:left="284" w:hanging="284"/>
    </w:pPr>
    <w:rPr>
      <w:rFonts w:eastAsiaTheme="minorHAnsi" w:cstheme="minorBidi"/>
      <w:kern w:val="24"/>
      <w:szCs w:val="24"/>
      <w:lang w:eastAsia="en-AU"/>
    </w:rPr>
  </w:style>
  <w:style w:type="paragraph" w:customStyle="1" w:styleId="Bullet1CharCharCharCharCharCharCharChar">
    <w:name w:val="Bullet 1 Char Char Char Char Char Char Char Char"/>
    <w:basedOn w:val="Normal"/>
    <w:rsid w:val="00DA7D87"/>
    <w:pPr>
      <w:tabs>
        <w:tab w:val="num" w:pos="284"/>
      </w:tabs>
      <w:spacing w:after="0" w:line="240" w:lineRule="auto"/>
      <w:ind w:left="284" w:hanging="284"/>
    </w:pPr>
    <w:rPr>
      <w:rFonts w:eastAsia="Times New Roman"/>
      <w:kern w:val="24"/>
      <w:szCs w:val="24"/>
      <w:lang w:eastAsia="en-AU"/>
    </w:rPr>
  </w:style>
  <w:style w:type="paragraph" w:styleId="Revision">
    <w:name w:val="Revision"/>
    <w:hidden/>
    <w:uiPriority w:val="99"/>
    <w:semiHidden/>
    <w:rsid w:val="00DA7D87"/>
    <w:pPr>
      <w:spacing w:after="0" w:line="240" w:lineRule="auto"/>
    </w:pPr>
    <w:rPr>
      <w:rFonts w:ascii="Cambria" w:eastAsia="Times New Roman" w:hAnsi="Cambria" w:cs="Times New Roman"/>
      <w:kern w:val="16"/>
      <w:szCs w:val="24"/>
      <w:lang w:eastAsia="en-AU"/>
    </w:rPr>
  </w:style>
  <w:style w:type="paragraph" w:styleId="BodyText">
    <w:name w:val="Body Text"/>
    <w:basedOn w:val="Normal"/>
    <w:link w:val="BodyTextChar"/>
    <w:rsid w:val="00DA7D87"/>
    <w:pPr>
      <w:spacing w:before="0" w:after="0" w:line="240" w:lineRule="auto"/>
    </w:pPr>
    <w:rPr>
      <w:rFonts w:ascii="Times New Roman" w:eastAsia="Times New Roman" w:hAnsi="Times New Roman"/>
      <w:b/>
      <w:sz w:val="20"/>
      <w:szCs w:val="20"/>
      <w:lang w:val="en-US"/>
    </w:rPr>
  </w:style>
  <w:style w:type="character" w:customStyle="1" w:styleId="BodyTextChar">
    <w:name w:val="Body Text Char"/>
    <w:basedOn w:val="DefaultParagraphFont"/>
    <w:link w:val="BodyText"/>
    <w:rsid w:val="00DA7D87"/>
    <w:rPr>
      <w:rFonts w:ascii="Times New Roman" w:eastAsia="Times New Roman" w:hAnsi="Times New Roman" w:cs="Times New Roman"/>
      <w:b/>
      <w:sz w:val="20"/>
      <w:szCs w:val="20"/>
      <w:lang w:val="en-US"/>
    </w:rPr>
  </w:style>
  <w:style w:type="character" w:customStyle="1" w:styleId="ti">
    <w:name w:val="ti"/>
    <w:rsid w:val="00DA7D87"/>
  </w:style>
  <w:style w:type="character" w:customStyle="1" w:styleId="journalname">
    <w:name w:val="journalname"/>
    <w:rsid w:val="00DA7D87"/>
  </w:style>
  <w:style w:type="character" w:customStyle="1" w:styleId="maintext">
    <w:name w:val="maintext"/>
    <w:rsid w:val="00DA7D87"/>
  </w:style>
  <w:style w:type="character" w:customStyle="1" w:styleId="scopustermhighlightcolor">
    <w:name w:val="scopustermhighlightcolor"/>
    <w:rsid w:val="00DA7D87"/>
  </w:style>
  <w:style w:type="character" w:customStyle="1" w:styleId="databold">
    <w:name w:val="data_bold"/>
    <w:uiPriority w:val="99"/>
    <w:rsid w:val="00DA7D87"/>
    <w:rPr>
      <w:rFonts w:cs="Times New Roman"/>
    </w:rPr>
  </w:style>
  <w:style w:type="paragraph" w:customStyle="1" w:styleId="t1">
    <w:name w:val="t1"/>
    <w:basedOn w:val="Normal"/>
    <w:rsid w:val="00DA7D87"/>
    <w:pPr>
      <w:spacing w:before="0" w:after="0" w:line="280" w:lineRule="atLeast"/>
    </w:pPr>
    <w:rPr>
      <w:rFonts w:ascii="Times New Roman" w:eastAsia="Times New Roman" w:hAnsi="Times New Roman"/>
      <w:sz w:val="24"/>
      <w:szCs w:val="20"/>
      <w:lang w:val="en-US"/>
    </w:rPr>
  </w:style>
  <w:style w:type="paragraph" w:customStyle="1" w:styleId="p7">
    <w:name w:val="p7"/>
    <w:basedOn w:val="Normal"/>
    <w:rsid w:val="00DA7D87"/>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styleId="ListParagraph">
    <w:name w:val="List Paragraph"/>
    <w:basedOn w:val="Normal"/>
    <w:uiPriority w:val="34"/>
    <w:qFormat/>
    <w:rsid w:val="00DA7D87"/>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TabletextChar">
    <w:name w:val="Table text Char"/>
    <w:basedOn w:val="DefaultParagraphFont"/>
    <w:link w:val="Tabletext"/>
    <w:rsid w:val="00AF40E7"/>
    <w:rPr>
      <w:rFonts w:ascii="Cambria" w:eastAsia="Cambria" w:hAnsi="Cambria" w:cs="Times New Roman"/>
      <w:sz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16338">
      <w:bodyDiv w:val="1"/>
      <w:marLeft w:val="0"/>
      <w:marRight w:val="0"/>
      <w:marTop w:val="0"/>
      <w:marBottom w:val="0"/>
      <w:divBdr>
        <w:top w:val="none" w:sz="0" w:space="0" w:color="auto"/>
        <w:left w:val="none" w:sz="0" w:space="0" w:color="auto"/>
        <w:bottom w:val="none" w:sz="0" w:space="0" w:color="auto"/>
        <w:right w:val="none" w:sz="0" w:space="0" w:color="auto"/>
      </w:divBdr>
    </w:div>
    <w:div w:id="87454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tga.gov.au/" TargetMode="Externa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header" Target="header3.xml"/><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2.xml"/><Relationship Id="rId10" Type="http://schemas.openxmlformats.org/officeDocument/2006/relationships/hyperlink" Target="https://www.tga.gov.au/product-information-pi"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header" Target="header5.xml"/><Relationship Id="rId65"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eader" Target="header6.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header" Target="header4.xml"/><Relationship Id="rId67"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mailto:info@tga.gov.au" TargetMode="External"/><Relationship Id="rId7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68877-D544-4675-8B5E-A2180F48C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115</Pages>
  <Words>47005</Words>
  <Characters>246778</Characters>
  <Application>Microsoft Office Word</Application>
  <DocSecurity>0</DocSecurity>
  <Lines>4182</Lines>
  <Paragraphs>1288</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Umeclidinium bromide and Vilanterol trifenatate</vt:lpstr>
    </vt:vector>
  </TitlesOfParts>
  <Company>Department of Health Therapeutic Goods Administration</Company>
  <LinksUpToDate>false</LinksUpToDate>
  <CharactersWithSpaces>292495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Umeclidinium bromide and Vilanterol trifenatate</dc:title>
  <dc:subject>prescription medicine regulation</dc:subject>
  <dc:creator>Therapeutic Goods Administration</dc:creator>
  <cp:keywords>clinical, evaluation, report, medicine, assessment, regulation, australia, umeclidinium, bromide, vilanterol, trifenatate, anoro, ellipta</cp:keywords>
  <cp:lastModifiedBy>Sheppard, Fran</cp:lastModifiedBy>
  <cp:revision>24</cp:revision>
  <cp:lastPrinted>2015-03-11T05:06:00Z</cp:lastPrinted>
  <dcterms:created xsi:type="dcterms:W3CDTF">2015-04-07T03:36:00Z</dcterms:created>
  <dcterms:modified xsi:type="dcterms:W3CDTF">2015-06-23T09:46:00Z</dcterms:modified>
</cp:coreProperties>
</file>