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0B" w:rsidRPr="00203C20" w:rsidRDefault="00A07727" w:rsidP="00293F0B">
      <w:pPr>
        <w:spacing w:after="240"/>
        <w:jc w:val="center"/>
        <w:rPr>
          <w:rFonts w:ascii="Arial" w:hAnsi="Arial" w:cs="Arial"/>
          <w:b/>
          <w:sz w:val="24"/>
          <w:szCs w:val="24"/>
        </w:rPr>
      </w:pPr>
      <w:bookmarkStart w:id="0" w:name="_GoBack"/>
      <w:bookmarkEnd w:id="0"/>
      <w:r>
        <w:rPr>
          <w:rFonts w:ascii="Arial" w:hAnsi="Arial" w:cs="Arial"/>
          <w:b/>
          <w:sz w:val="24"/>
          <w:szCs w:val="24"/>
        </w:rPr>
        <w:t>INCRUSE</w:t>
      </w:r>
      <w:r w:rsidR="0037098C" w:rsidRPr="00203C20">
        <w:rPr>
          <w:rFonts w:ascii="Arial" w:hAnsi="Arial" w:cs="Arial"/>
          <w:b/>
          <w:sz w:val="24"/>
          <w:szCs w:val="24"/>
          <w:vertAlign w:val="superscript"/>
        </w:rPr>
        <w:t>®</w:t>
      </w:r>
      <w:r w:rsidR="00293F0B" w:rsidRPr="00203C20">
        <w:rPr>
          <w:rFonts w:ascii="Arial" w:hAnsi="Arial" w:cs="Arial"/>
          <w:b/>
          <w:sz w:val="24"/>
          <w:szCs w:val="24"/>
        </w:rPr>
        <w:t xml:space="preserve"> ELLIPTA</w:t>
      </w:r>
      <w:r w:rsidR="00835916" w:rsidRPr="00203C20">
        <w:rPr>
          <w:rFonts w:ascii="Arial" w:hAnsi="Arial" w:cs="Arial"/>
          <w:b/>
          <w:sz w:val="24"/>
          <w:szCs w:val="24"/>
          <w:vertAlign w:val="superscript"/>
        </w:rPr>
        <w:t>®</w:t>
      </w:r>
    </w:p>
    <w:p w:rsidR="007A4294" w:rsidRPr="00203C20" w:rsidRDefault="0077380F" w:rsidP="00197076">
      <w:pPr>
        <w:spacing w:before="120"/>
        <w:jc w:val="center"/>
        <w:rPr>
          <w:rFonts w:ascii="Arial" w:hAnsi="Arial" w:cs="Arial"/>
          <w:b/>
          <w:sz w:val="24"/>
          <w:szCs w:val="24"/>
        </w:rPr>
      </w:pPr>
      <w:r w:rsidRPr="00203C20">
        <w:rPr>
          <w:rFonts w:ascii="Arial" w:hAnsi="Arial" w:cs="Arial"/>
          <w:b/>
          <w:sz w:val="24"/>
          <w:szCs w:val="24"/>
        </w:rPr>
        <w:t>PRODUCT INFORMATION</w:t>
      </w:r>
    </w:p>
    <w:p w:rsidR="007A0414" w:rsidRPr="009221C3" w:rsidRDefault="007A0414" w:rsidP="00197076">
      <w:pPr>
        <w:spacing w:before="120"/>
        <w:jc w:val="center"/>
        <w:rPr>
          <w:rFonts w:ascii="Arial" w:hAnsi="Arial" w:cs="Arial"/>
          <w:b/>
          <w:sz w:val="22"/>
          <w:szCs w:val="22"/>
        </w:rPr>
      </w:pPr>
    </w:p>
    <w:p w:rsidR="00773D97" w:rsidRDefault="0077380F" w:rsidP="00773D97">
      <w:pPr>
        <w:pStyle w:val="Heading1"/>
        <w:rPr>
          <w:rFonts w:cs="Arial"/>
          <w:sz w:val="22"/>
          <w:szCs w:val="22"/>
        </w:rPr>
      </w:pPr>
      <w:r w:rsidRPr="00773D97">
        <w:t>NAME OF THE MEDICINE</w:t>
      </w:r>
      <w:r w:rsidR="00C556BA" w:rsidRPr="00763D7C">
        <w:rPr>
          <w:rFonts w:cs="Arial"/>
          <w:sz w:val="22"/>
          <w:szCs w:val="22"/>
        </w:rPr>
        <w:tab/>
      </w:r>
      <w:r w:rsidR="00C556BA" w:rsidRPr="00763D7C">
        <w:rPr>
          <w:rFonts w:cs="Arial"/>
          <w:sz w:val="22"/>
          <w:szCs w:val="22"/>
        </w:rPr>
        <w:tab/>
      </w:r>
    </w:p>
    <w:p w:rsidR="00E81E59" w:rsidRPr="00763D7C" w:rsidRDefault="00E677B4" w:rsidP="00E81E59">
      <w:pPr>
        <w:spacing w:before="120"/>
        <w:jc w:val="both"/>
        <w:rPr>
          <w:rFonts w:ascii="Arial" w:hAnsi="Arial" w:cs="Arial"/>
          <w:sz w:val="22"/>
          <w:szCs w:val="22"/>
        </w:rPr>
      </w:pPr>
      <w:proofErr w:type="spellStart"/>
      <w:r w:rsidRPr="00763D7C">
        <w:rPr>
          <w:rFonts w:ascii="Arial" w:hAnsi="Arial" w:cs="Arial"/>
          <w:sz w:val="22"/>
          <w:szCs w:val="22"/>
        </w:rPr>
        <w:t>U</w:t>
      </w:r>
      <w:r w:rsidR="003B025F" w:rsidRPr="00763D7C">
        <w:rPr>
          <w:rFonts w:ascii="Arial" w:hAnsi="Arial" w:cs="Arial"/>
          <w:sz w:val="22"/>
          <w:szCs w:val="22"/>
        </w:rPr>
        <w:t>meclidinium</w:t>
      </w:r>
      <w:proofErr w:type="spellEnd"/>
      <w:r>
        <w:rPr>
          <w:rFonts w:ascii="Arial" w:hAnsi="Arial" w:cs="Arial"/>
          <w:sz w:val="22"/>
          <w:szCs w:val="22"/>
        </w:rPr>
        <w:t xml:space="preserve"> (as bromide)</w:t>
      </w:r>
    </w:p>
    <w:p w:rsidR="003B025F" w:rsidRPr="00763D7C" w:rsidRDefault="003B025F"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b/>
          <w:szCs w:val="22"/>
        </w:rPr>
      </w:pPr>
      <w:r w:rsidRPr="00763D7C">
        <w:rPr>
          <w:rFonts w:ascii="Arial" w:hAnsi="Arial" w:cs="Arial"/>
          <w:b/>
          <w:szCs w:val="22"/>
        </w:rPr>
        <w:t xml:space="preserve">Structure of </w:t>
      </w:r>
      <w:proofErr w:type="spellStart"/>
      <w:r w:rsidRPr="00763D7C">
        <w:rPr>
          <w:rFonts w:ascii="Arial" w:hAnsi="Arial" w:cs="Arial"/>
          <w:b/>
          <w:szCs w:val="22"/>
        </w:rPr>
        <w:t>umeclidinium</w:t>
      </w:r>
      <w:proofErr w:type="spellEnd"/>
      <w:r w:rsidR="00F11C97" w:rsidRPr="00763D7C">
        <w:rPr>
          <w:rFonts w:ascii="Arial" w:hAnsi="Arial" w:cs="Arial"/>
          <w:b/>
          <w:szCs w:val="22"/>
        </w:rPr>
        <w:t xml:space="preserve"> bromide</w:t>
      </w:r>
      <w:r w:rsidRPr="00763D7C">
        <w:rPr>
          <w:rFonts w:ascii="Arial" w:hAnsi="Arial" w:cs="Arial"/>
          <w:b/>
          <w:szCs w:val="22"/>
        </w:rPr>
        <w:t>:</w:t>
      </w:r>
      <w:r w:rsidRPr="00763D7C">
        <w:rPr>
          <w:rFonts w:ascii="Arial" w:hAnsi="Arial" w:cs="Arial"/>
          <w:b/>
          <w:szCs w:val="22"/>
        </w:rPr>
        <w:tab/>
      </w: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tabs>
          <w:tab w:val="left" w:pos="2880"/>
        </w:tabs>
        <w:spacing w:after="120"/>
        <w:ind w:left="2880" w:hanging="2880"/>
        <w:outlineLvl w:val="0"/>
        <w:rPr>
          <w:rFonts w:ascii="Arial" w:hAnsi="Arial" w:cs="Arial"/>
          <w:szCs w:val="22"/>
        </w:rPr>
      </w:pPr>
    </w:p>
    <w:p w:rsidR="00293F0B" w:rsidRPr="00763D7C" w:rsidRDefault="00293F0B" w:rsidP="00293F0B">
      <w:pPr>
        <w:tabs>
          <w:tab w:val="left" w:pos="2880"/>
        </w:tabs>
        <w:spacing w:after="120"/>
        <w:ind w:left="2880" w:hanging="2880"/>
        <w:outlineLvl w:val="0"/>
        <w:rPr>
          <w:rFonts w:ascii="Arial" w:hAnsi="Arial" w:cs="Arial"/>
          <w:szCs w:val="22"/>
        </w:rPr>
      </w:pPr>
      <w:r w:rsidRPr="00763D7C">
        <w:rPr>
          <w:rFonts w:ascii="Calibri" w:hAnsi="Calibri"/>
          <w:sz w:val="22"/>
          <w:szCs w:val="22"/>
        </w:rPr>
        <w:object w:dxaOrig="3845" w:dyaOrig="1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93.75pt" o:ole="" filled="t">
            <v:imagedata r:id="rId9" o:title=""/>
          </v:shape>
          <o:OLEObject Type="Embed" ProgID="ChemDraw.Document.6.0" ShapeID="_x0000_i1025" DrawAspect="Content" ObjectID="_1498654673" r:id="rId10"/>
        </w:object>
      </w:r>
    </w:p>
    <w:p w:rsidR="00293F0B" w:rsidRPr="00763D7C" w:rsidRDefault="00293F0B" w:rsidP="00293F0B">
      <w:pPr>
        <w:tabs>
          <w:tab w:val="left" w:pos="2880"/>
        </w:tabs>
        <w:spacing w:after="120"/>
        <w:ind w:left="2880" w:hanging="2880"/>
        <w:outlineLvl w:val="0"/>
        <w:rPr>
          <w:rFonts w:ascii="Arial" w:hAnsi="Arial" w:cs="Arial"/>
          <w:szCs w:val="22"/>
        </w:rPr>
      </w:pPr>
    </w:p>
    <w:p w:rsidR="00293F0B" w:rsidRPr="00763D7C" w:rsidRDefault="00293F0B" w:rsidP="00293F0B">
      <w:pPr>
        <w:tabs>
          <w:tab w:val="left" w:pos="2880"/>
        </w:tabs>
        <w:spacing w:after="120"/>
        <w:ind w:left="2880" w:hanging="2880"/>
        <w:outlineLvl w:val="0"/>
        <w:rPr>
          <w:rFonts w:ascii="Arial" w:hAnsi="Arial" w:cs="Arial"/>
          <w:b/>
          <w:szCs w:val="22"/>
        </w:rPr>
      </w:pPr>
    </w:p>
    <w:p w:rsidR="00293F0B" w:rsidRPr="00763D7C" w:rsidRDefault="00293F0B" w:rsidP="00293F0B">
      <w:pPr>
        <w:autoSpaceDE w:val="0"/>
        <w:autoSpaceDN w:val="0"/>
        <w:adjustRightInd w:val="0"/>
        <w:spacing w:after="120"/>
        <w:ind w:left="2880" w:hanging="2880"/>
        <w:rPr>
          <w:rFonts w:ascii="Arial" w:hAnsi="Arial" w:cs="Arial"/>
          <w:sz w:val="22"/>
          <w:szCs w:val="22"/>
        </w:rPr>
      </w:pPr>
      <w:r w:rsidRPr="00763D7C">
        <w:rPr>
          <w:rFonts w:ascii="Arial" w:hAnsi="Arial" w:cs="Arial"/>
          <w:b/>
          <w:sz w:val="22"/>
          <w:szCs w:val="22"/>
        </w:rPr>
        <w:t>Chemical Name:</w:t>
      </w:r>
      <w:r w:rsidRPr="00763D7C">
        <w:rPr>
          <w:rFonts w:ascii="Arial" w:hAnsi="Arial" w:cs="Arial"/>
          <w:sz w:val="22"/>
          <w:szCs w:val="22"/>
        </w:rPr>
        <w:tab/>
        <w:t>The chemical name of umeclidinium bromide is 1-Azoniabicyclo[2.2.2]octane, 4- (hydroxydiphenylmethyl)-1-[2-(phenylmethoxy)ethyl]-, bromide (1:1)</w:t>
      </w:r>
    </w:p>
    <w:p w:rsidR="00293F0B" w:rsidRPr="00763D7C" w:rsidRDefault="00293F0B" w:rsidP="00293F0B">
      <w:pPr>
        <w:autoSpaceDE w:val="0"/>
        <w:autoSpaceDN w:val="0"/>
        <w:adjustRightInd w:val="0"/>
        <w:spacing w:after="120"/>
        <w:rPr>
          <w:rFonts w:ascii="Arial" w:hAnsi="Arial" w:cs="Arial"/>
          <w:sz w:val="22"/>
          <w:szCs w:val="22"/>
        </w:rPr>
      </w:pPr>
    </w:p>
    <w:p w:rsidR="00293F0B" w:rsidRPr="00763D7C" w:rsidRDefault="00293F0B" w:rsidP="00293F0B">
      <w:pPr>
        <w:autoSpaceDE w:val="0"/>
        <w:autoSpaceDN w:val="0"/>
        <w:adjustRightInd w:val="0"/>
        <w:spacing w:after="120"/>
        <w:rPr>
          <w:rFonts w:ascii="Arial" w:hAnsi="Arial" w:cs="Arial"/>
          <w:sz w:val="22"/>
          <w:szCs w:val="24"/>
        </w:rPr>
      </w:pPr>
      <w:r w:rsidRPr="00763D7C">
        <w:rPr>
          <w:rFonts w:ascii="Arial" w:hAnsi="Arial" w:cs="Arial"/>
          <w:b/>
          <w:sz w:val="22"/>
          <w:szCs w:val="22"/>
        </w:rPr>
        <w:t>Molecular Formula:</w:t>
      </w:r>
      <w:r w:rsidRPr="00763D7C">
        <w:rPr>
          <w:rFonts w:ascii="Arial" w:hAnsi="Arial" w:cs="Arial"/>
          <w:sz w:val="22"/>
          <w:szCs w:val="22"/>
        </w:rPr>
        <w:tab/>
      </w:r>
      <w:r w:rsidRPr="00763D7C">
        <w:rPr>
          <w:rFonts w:ascii="Arial" w:hAnsi="Arial" w:cs="Arial"/>
          <w:sz w:val="22"/>
          <w:szCs w:val="22"/>
        </w:rPr>
        <w:tab/>
        <w:t>Umeclidinium bromide: C</w:t>
      </w:r>
      <w:r w:rsidRPr="00763D7C">
        <w:rPr>
          <w:rFonts w:ascii="Arial" w:hAnsi="Arial" w:cs="Arial"/>
          <w:sz w:val="22"/>
          <w:szCs w:val="22"/>
          <w:vertAlign w:val="subscript"/>
        </w:rPr>
        <w:t>29</w:t>
      </w:r>
      <w:r w:rsidRPr="00763D7C">
        <w:rPr>
          <w:rFonts w:ascii="Arial" w:hAnsi="Arial" w:cs="Arial"/>
          <w:sz w:val="22"/>
          <w:szCs w:val="22"/>
        </w:rPr>
        <w:t>H</w:t>
      </w:r>
      <w:r w:rsidRPr="00763D7C">
        <w:rPr>
          <w:rFonts w:ascii="Arial" w:hAnsi="Arial" w:cs="Arial"/>
          <w:sz w:val="22"/>
          <w:szCs w:val="22"/>
          <w:vertAlign w:val="subscript"/>
        </w:rPr>
        <w:t>34</w:t>
      </w:r>
      <w:r w:rsidRPr="00763D7C">
        <w:rPr>
          <w:rFonts w:ascii="Arial" w:hAnsi="Arial" w:cs="Arial"/>
          <w:sz w:val="22"/>
          <w:szCs w:val="22"/>
        </w:rPr>
        <w:t>BrNO</w:t>
      </w:r>
      <w:r w:rsidRPr="00763D7C">
        <w:rPr>
          <w:rFonts w:ascii="Arial" w:hAnsi="Arial" w:cs="Arial"/>
          <w:sz w:val="22"/>
          <w:szCs w:val="22"/>
          <w:vertAlign w:val="subscript"/>
        </w:rPr>
        <w:t>2</w:t>
      </w:r>
      <w:r w:rsidRPr="00763D7C">
        <w:rPr>
          <w:rFonts w:ascii="Arial" w:hAnsi="Arial" w:cs="Arial"/>
          <w:sz w:val="22"/>
          <w:szCs w:val="22"/>
        </w:rPr>
        <w:t xml:space="preserve"> </w:t>
      </w:r>
    </w:p>
    <w:p w:rsidR="00293F0B" w:rsidRPr="00F11C97" w:rsidRDefault="00293F0B" w:rsidP="00293F0B">
      <w:pPr>
        <w:tabs>
          <w:tab w:val="left" w:pos="2880"/>
        </w:tabs>
        <w:spacing w:after="120"/>
        <w:outlineLvl w:val="0"/>
        <w:rPr>
          <w:rFonts w:ascii="Arial" w:hAnsi="Arial" w:cs="Arial"/>
          <w:sz w:val="22"/>
          <w:szCs w:val="22"/>
        </w:rPr>
      </w:pPr>
    </w:p>
    <w:p w:rsidR="00293F0B" w:rsidRPr="00F11C97" w:rsidRDefault="00293F0B" w:rsidP="00293F0B">
      <w:pPr>
        <w:tabs>
          <w:tab w:val="left" w:pos="2880"/>
          <w:tab w:val="left" w:pos="5339"/>
        </w:tabs>
        <w:spacing w:after="120"/>
        <w:ind w:left="2880" w:hanging="2880"/>
        <w:outlineLvl w:val="0"/>
        <w:rPr>
          <w:rFonts w:ascii="Arial" w:hAnsi="Arial" w:cs="Arial"/>
          <w:sz w:val="22"/>
          <w:szCs w:val="24"/>
        </w:rPr>
      </w:pPr>
      <w:r w:rsidRPr="00F11C97">
        <w:rPr>
          <w:rFonts w:ascii="Arial" w:hAnsi="Arial" w:cs="Arial"/>
          <w:b/>
          <w:sz w:val="22"/>
          <w:szCs w:val="22"/>
        </w:rPr>
        <w:t>CAS Number:</w:t>
      </w:r>
      <w:r w:rsidRPr="00F11C97">
        <w:rPr>
          <w:rFonts w:ascii="Arial" w:hAnsi="Arial" w:cs="Arial"/>
          <w:b/>
          <w:sz w:val="22"/>
          <w:szCs w:val="22"/>
        </w:rPr>
        <w:tab/>
      </w:r>
      <w:r w:rsidRPr="00F11C97">
        <w:rPr>
          <w:rFonts w:ascii="Arial" w:hAnsi="Arial" w:cs="Arial"/>
          <w:sz w:val="22"/>
          <w:szCs w:val="22"/>
        </w:rPr>
        <w:t>Umeclidinium bromide: 869113-09-7</w:t>
      </w:r>
    </w:p>
    <w:p w:rsidR="00C556BA" w:rsidRPr="009221C3" w:rsidRDefault="00E81E59" w:rsidP="00773D97">
      <w:pPr>
        <w:pStyle w:val="Heading1"/>
      </w:pPr>
      <w:r w:rsidRPr="009221C3">
        <w:t>DESCRIPTION</w:t>
      </w:r>
    </w:p>
    <w:p w:rsidR="00293F0B" w:rsidRPr="009221C3" w:rsidRDefault="00F370E3" w:rsidP="00A44041">
      <w:pPr>
        <w:spacing w:after="120"/>
        <w:rPr>
          <w:rFonts w:ascii="Arial" w:hAnsi="Arial" w:cs="Arial"/>
          <w:sz w:val="22"/>
          <w:szCs w:val="22"/>
        </w:rPr>
      </w:pPr>
      <w:r>
        <w:rPr>
          <w:rFonts w:ascii="Arial" w:hAnsi="Arial" w:cs="Arial"/>
          <w:sz w:val="22"/>
          <w:szCs w:val="22"/>
        </w:rPr>
        <w:t xml:space="preserve">Umeclidinium </w:t>
      </w:r>
      <w:r w:rsidR="00EF312D">
        <w:rPr>
          <w:rFonts w:ascii="Arial" w:hAnsi="Arial" w:cs="Arial"/>
          <w:sz w:val="22"/>
          <w:szCs w:val="22"/>
        </w:rPr>
        <w:t xml:space="preserve">bromide </w:t>
      </w:r>
      <w:r>
        <w:rPr>
          <w:rFonts w:ascii="Arial" w:hAnsi="Arial" w:cs="Arial"/>
          <w:sz w:val="22"/>
          <w:szCs w:val="22"/>
        </w:rPr>
        <w:t xml:space="preserve">is </w:t>
      </w:r>
      <w:r w:rsidR="00293F0B" w:rsidRPr="009221C3">
        <w:rPr>
          <w:rFonts w:ascii="Arial" w:hAnsi="Arial" w:cs="Arial"/>
          <w:sz w:val="22"/>
          <w:szCs w:val="22"/>
        </w:rPr>
        <w:t>slightly soluble in water and slightly soluble in methanol, ethanol, acetonitrile and propan-1-ol.</w:t>
      </w:r>
    </w:p>
    <w:p w:rsidR="00293F0B" w:rsidRPr="009221C3" w:rsidRDefault="00A07727" w:rsidP="00A44041">
      <w:pPr>
        <w:spacing w:after="120"/>
        <w:rPr>
          <w:rFonts w:ascii="Arial" w:hAnsi="Arial" w:cs="Arial"/>
          <w:sz w:val="22"/>
          <w:szCs w:val="22"/>
        </w:rPr>
      </w:pPr>
      <w:r>
        <w:rPr>
          <w:rFonts w:ascii="Arial" w:hAnsi="Arial" w:cs="Arial"/>
          <w:sz w:val="22"/>
          <w:szCs w:val="22"/>
        </w:rPr>
        <w:t>Incruse</w:t>
      </w:r>
      <w:r w:rsidR="00293F0B" w:rsidRPr="009221C3">
        <w:rPr>
          <w:rFonts w:ascii="Arial" w:hAnsi="Arial" w:cs="Arial"/>
          <w:sz w:val="22"/>
          <w:szCs w:val="22"/>
        </w:rPr>
        <w:t xml:space="preserve"> Ellipta is a moulded plastic inhaler with a light grey body, a </w:t>
      </w:r>
      <w:r w:rsidR="00773D97">
        <w:rPr>
          <w:rFonts w:ascii="Arial" w:hAnsi="Arial" w:cs="Arial"/>
          <w:sz w:val="22"/>
          <w:szCs w:val="22"/>
        </w:rPr>
        <w:t>light green</w:t>
      </w:r>
      <w:r w:rsidR="00293F0B" w:rsidRPr="009221C3">
        <w:rPr>
          <w:rFonts w:ascii="Arial" w:hAnsi="Arial" w:cs="Arial"/>
          <w:sz w:val="22"/>
          <w:szCs w:val="22"/>
        </w:rPr>
        <w:t xml:space="preserve"> mouthpiece cover and a dose counter, packed in a foil tray which contains a desiccant packet. The tray is sealed with a peelable foil lid. The inhaler contains </w:t>
      </w:r>
      <w:r w:rsidR="00773D97">
        <w:rPr>
          <w:rFonts w:ascii="Arial" w:hAnsi="Arial" w:cs="Arial"/>
          <w:sz w:val="22"/>
          <w:szCs w:val="22"/>
        </w:rPr>
        <w:t>an</w:t>
      </w:r>
      <w:r w:rsidR="00293F0B" w:rsidRPr="009221C3">
        <w:rPr>
          <w:rFonts w:ascii="Arial" w:hAnsi="Arial" w:cs="Arial"/>
          <w:sz w:val="22"/>
          <w:szCs w:val="22"/>
        </w:rPr>
        <w:t xml:space="preserve"> aluminium foil laminate strip of either 30 or 7 regularly distributed blisters, each containing a white powder.</w:t>
      </w:r>
    </w:p>
    <w:p w:rsidR="00A44041" w:rsidRPr="009221C3" w:rsidRDefault="00A07727" w:rsidP="00A44041">
      <w:pPr>
        <w:spacing w:after="120"/>
        <w:rPr>
          <w:rFonts w:ascii="Arial" w:hAnsi="Arial" w:cs="Arial"/>
          <w:sz w:val="22"/>
          <w:szCs w:val="22"/>
        </w:rPr>
      </w:pPr>
      <w:r>
        <w:rPr>
          <w:rFonts w:ascii="Arial" w:hAnsi="Arial" w:cs="Arial"/>
          <w:sz w:val="22"/>
          <w:szCs w:val="22"/>
        </w:rPr>
        <w:t>Incruse</w:t>
      </w:r>
      <w:r w:rsidR="00293F0B" w:rsidRPr="009221C3">
        <w:rPr>
          <w:rFonts w:ascii="Arial" w:hAnsi="Arial" w:cs="Arial"/>
          <w:sz w:val="22"/>
          <w:szCs w:val="22"/>
        </w:rPr>
        <w:t xml:space="preserve"> Ellipta also contains the excipients lactose (which contains milk protein) and magnesium stearate.</w:t>
      </w:r>
    </w:p>
    <w:p w:rsidR="0077380F" w:rsidRPr="009221C3" w:rsidRDefault="0077380F" w:rsidP="00773D97">
      <w:pPr>
        <w:pStyle w:val="Heading1"/>
      </w:pPr>
      <w:r w:rsidRPr="009221C3">
        <w:t>PHARMACOLOGY</w:t>
      </w:r>
    </w:p>
    <w:p w:rsidR="007E1D80" w:rsidRPr="0032667F" w:rsidRDefault="007E1D80" w:rsidP="0032667F">
      <w:pPr>
        <w:pStyle w:val="Heading2"/>
        <w:rPr>
          <w:rFonts w:eastAsia="MS Mincho"/>
        </w:rPr>
      </w:pPr>
      <w:r w:rsidRPr="0032667F">
        <w:rPr>
          <w:rFonts w:eastAsia="MS Mincho"/>
        </w:rPr>
        <w:t>Mechanism of action</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Umeclidinium is a long acting muscarinic receptor antagonist (also referred to as an anticholinergic). It is a quinuclidine derivative that is a muscarinic receptor antagonist with activity across multiple muscarinic cholinergic receptor subtypes. Umeclidinium exerts its </w:t>
      </w:r>
      <w:r w:rsidRPr="009221C3">
        <w:rPr>
          <w:rFonts w:ascii="Arial" w:hAnsi="Arial" w:cs="Arial"/>
          <w:sz w:val="22"/>
          <w:szCs w:val="22"/>
        </w:rPr>
        <w:lastRenderedPageBreak/>
        <w:t xml:space="preserve">bronchodilatory activity by competitively inhibiting the binding of acetylcholine with muscarinic acetylcholine receptors on airway smooth muscle. It demonstrates slow reversibility at the human M3 muscarinic receptor subtype in vitro and a long duration of action in vivo when administered directly to the lungs in pre-clinical models. </w:t>
      </w:r>
    </w:p>
    <w:p w:rsidR="00A44041" w:rsidRPr="009221C3" w:rsidRDefault="00A44041" w:rsidP="00A44041">
      <w:pPr>
        <w:spacing w:after="120"/>
        <w:rPr>
          <w:rFonts w:ascii="Arial" w:hAnsi="Arial" w:cs="Arial"/>
          <w:sz w:val="22"/>
          <w:szCs w:val="22"/>
        </w:rPr>
      </w:pPr>
    </w:p>
    <w:p w:rsidR="007E1D80" w:rsidRPr="009221C3" w:rsidRDefault="007E1D80" w:rsidP="00773D97">
      <w:pPr>
        <w:pStyle w:val="Heading2"/>
        <w:rPr>
          <w:rFonts w:eastAsia="MS Mincho"/>
          <w:snapToGrid w:val="0"/>
          <w:lang w:eastAsia="en-US"/>
        </w:rPr>
      </w:pPr>
      <w:r w:rsidRPr="009221C3">
        <w:rPr>
          <w:rFonts w:eastAsia="MS Mincho"/>
          <w:snapToGrid w:val="0"/>
          <w:lang w:eastAsia="en-US"/>
        </w:rPr>
        <w:t xml:space="preserve">Pharmacodynamic effects </w:t>
      </w:r>
    </w:p>
    <w:p w:rsidR="00E677B4" w:rsidRDefault="00E677B4" w:rsidP="00CB68E9">
      <w:pPr>
        <w:rPr>
          <w:rFonts w:ascii="Arial" w:hAnsi="Arial" w:cs="Arial"/>
          <w:sz w:val="22"/>
          <w:szCs w:val="22"/>
        </w:rPr>
      </w:pPr>
      <w:r w:rsidRPr="006354C2">
        <w:rPr>
          <w:rFonts w:ascii="Arial" w:hAnsi="Arial" w:cs="Arial"/>
          <w:sz w:val="22"/>
          <w:szCs w:val="22"/>
        </w:rPr>
        <w:t xml:space="preserve">Improvement in lung function over placebo was seen at 15 minutes (the first time point assessed after dosing) and was maintained over 24 hours. There was no evidence for tachyphylaxis to the bronchodilator effect after repeated dosing of </w:t>
      </w:r>
      <w:r w:rsidR="00A07727">
        <w:rPr>
          <w:rFonts w:ascii="Arial" w:hAnsi="Arial" w:cs="Arial"/>
          <w:sz w:val="22"/>
          <w:szCs w:val="22"/>
        </w:rPr>
        <w:t>Incruse</w:t>
      </w:r>
      <w:r w:rsidRPr="006354C2">
        <w:rPr>
          <w:rFonts w:ascii="Arial" w:hAnsi="Arial" w:cs="Arial"/>
          <w:sz w:val="22"/>
          <w:szCs w:val="22"/>
        </w:rPr>
        <w:t xml:space="preserve"> Ellipta 62.5 micrograms for up to 52 weeks.</w:t>
      </w:r>
    </w:p>
    <w:p w:rsidR="00E677B4" w:rsidRDefault="00E677B4" w:rsidP="00CB68E9">
      <w:pPr>
        <w:rPr>
          <w:rFonts w:ascii="Arial" w:hAnsi="Arial" w:cs="Arial"/>
          <w:sz w:val="22"/>
          <w:szCs w:val="22"/>
        </w:rPr>
      </w:pPr>
    </w:p>
    <w:p w:rsidR="00CB68E9" w:rsidRDefault="00CB68E9" w:rsidP="00CB68E9">
      <w:pPr>
        <w:rPr>
          <w:rFonts w:ascii="Arial" w:hAnsi="Arial" w:cs="Arial"/>
          <w:sz w:val="22"/>
          <w:szCs w:val="22"/>
        </w:rPr>
      </w:pPr>
      <w:r w:rsidRPr="00CB68E9">
        <w:rPr>
          <w:rFonts w:ascii="Arial" w:hAnsi="Arial" w:cs="Arial"/>
          <w:sz w:val="22"/>
          <w:szCs w:val="22"/>
        </w:rPr>
        <w:t xml:space="preserve">In a 24-week, placebo controlled clinical efficacy study </w:t>
      </w:r>
      <w:r w:rsidR="00A07727">
        <w:rPr>
          <w:rFonts w:ascii="Arial" w:hAnsi="Arial" w:cs="Arial"/>
          <w:sz w:val="22"/>
          <w:szCs w:val="22"/>
        </w:rPr>
        <w:t>Incruse</w:t>
      </w:r>
      <w:r>
        <w:rPr>
          <w:rFonts w:ascii="Arial" w:hAnsi="Arial" w:cs="Arial"/>
          <w:sz w:val="22"/>
          <w:szCs w:val="22"/>
        </w:rPr>
        <w:t xml:space="preserve"> Ellipta</w:t>
      </w:r>
      <w:r w:rsidRPr="00CB68E9">
        <w:rPr>
          <w:rFonts w:ascii="Arial" w:hAnsi="Arial" w:cs="Arial"/>
          <w:sz w:val="22"/>
          <w:szCs w:val="22"/>
        </w:rPr>
        <w:t xml:space="preserve"> 62.5 micrograms increased forced expiratory volume in one second (FEV</w:t>
      </w:r>
      <w:r w:rsidRPr="00CB68E9">
        <w:rPr>
          <w:rFonts w:ascii="Arial" w:hAnsi="Arial" w:cs="Arial"/>
          <w:sz w:val="22"/>
          <w:szCs w:val="22"/>
          <w:vertAlign w:val="subscript"/>
        </w:rPr>
        <w:t>1</w:t>
      </w:r>
      <w:r w:rsidRPr="00CB68E9">
        <w:rPr>
          <w:rFonts w:ascii="Arial" w:hAnsi="Arial" w:cs="Arial"/>
          <w:sz w:val="22"/>
          <w:szCs w:val="22"/>
        </w:rPr>
        <w:t>) after the first dose on Day 1 with an improvement of 0.07 L at 15 minutes compared with placebo (p&lt;0.001). The increase from baseline to peak FEV</w:t>
      </w:r>
      <w:r w:rsidRPr="00CB68E9">
        <w:rPr>
          <w:rFonts w:ascii="Arial" w:hAnsi="Arial" w:cs="Arial"/>
          <w:sz w:val="22"/>
          <w:szCs w:val="22"/>
          <w:vertAlign w:val="subscript"/>
        </w:rPr>
        <w:t>1</w:t>
      </w:r>
      <w:r w:rsidRPr="00CB68E9">
        <w:rPr>
          <w:rFonts w:ascii="Arial" w:hAnsi="Arial" w:cs="Arial"/>
          <w:sz w:val="22"/>
          <w:szCs w:val="22"/>
        </w:rPr>
        <w:t xml:space="preserve"> over the first 6 hours post-dose at Day 1 was 0.23 L with umeclidinium 62.5 micrograms compared with 0.11 L for placebo.  The increase from baseline to peak FEV</w:t>
      </w:r>
      <w:r w:rsidRPr="00CB68E9">
        <w:rPr>
          <w:rFonts w:ascii="Arial" w:hAnsi="Arial" w:cs="Arial"/>
          <w:sz w:val="22"/>
          <w:szCs w:val="22"/>
          <w:vertAlign w:val="subscript"/>
        </w:rPr>
        <w:t>1</w:t>
      </w:r>
      <w:r w:rsidRPr="00CB68E9">
        <w:rPr>
          <w:rFonts w:ascii="Arial" w:hAnsi="Arial" w:cs="Arial"/>
          <w:sz w:val="22"/>
          <w:szCs w:val="22"/>
        </w:rPr>
        <w:t xml:space="preserve"> over the first 6 hours post-dose at Week 24 was 0.23 L with umeclidinium 62.5 micrograms compared with 0.10 L for placebo.</w:t>
      </w:r>
    </w:p>
    <w:p w:rsidR="00CB68E9" w:rsidRPr="00CB68E9" w:rsidRDefault="00CB68E9" w:rsidP="00CB68E9">
      <w:pPr>
        <w:rPr>
          <w:rFonts w:ascii="Arial" w:hAnsi="Arial" w:cs="Arial"/>
          <w:sz w:val="22"/>
          <w:szCs w:val="22"/>
        </w:rPr>
      </w:pPr>
    </w:p>
    <w:p w:rsidR="007E1D80" w:rsidRPr="00203C20" w:rsidRDefault="007E1D80" w:rsidP="000C63C2">
      <w:pPr>
        <w:pStyle w:val="NoNumHead5"/>
        <w:spacing w:after="120"/>
        <w:rPr>
          <w:bCs w:val="0"/>
          <w:iCs w:val="0"/>
          <w:lang w:val="en-AU" w:eastAsia="en-AU"/>
        </w:rPr>
      </w:pPr>
      <w:r w:rsidRPr="00203C20">
        <w:rPr>
          <w:bCs w:val="0"/>
          <w:iCs w:val="0"/>
          <w:lang w:val="en-AU" w:eastAsia="en-AU"/>
        </w:rPr>
        <w:t>Cardiovascular effects</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 xml:space="preserve">The effect of </w:t>
      </w:r>
      <w:r w:rsidR="00CB68E9">
        <w:rPr>
          <w:rFonts w:ascii="Arial" w:hAnsi="Arial" w:cs="Arial"/>
          <w:sz w:val="22"/>
          <w:szCs w:val="22"/>
        </w:rPr>
        <w:t>umeclidinium 500 micrograms</w:t>
      </w:r>
      <w:r w:rsidRPr="009221C3">
        <w:rPr>
          <w:rFonts w:ascii="Arial" w:hAnsi="Arial" w:cs="Arial"/>
          <w:sz w:val="22"/>
          <w:szCs w:val="22"/>
        </w:rPr>
        <w:t xml:space="preserve"> on the QT interval was evaluated in a placebo and moxifloxacin controlled QT study</w:t>
      </w:r>
      <w:r w:rsidR="00CB68E9">
        <w:rPr>
          <w:rFonts w:ascii="Arial" w:hAnsi="Arial" w:cs="Arial"/>
          <w:sz w:val="22"/>
          <w:szCs w:val="22"/>
        </w:rPr>
        <w:t xml:space="preserve"> of </w:t>
      </w:r>
      <w:r w:rsidRPr="009221C3">
        <w:rPr>
          <w:rFonts w:ascii="Arial" w:hAnsi="Arial" w:cs="Arial"/>
          <w:sz w:val="22"/>
          <w:szCs w:val="22"/>
        </w:rPr>
        <w:t>103 healthy volunteers</w:t>
      </w:r>
      <w:r w:rsidR="00CB68E9">
        <w:rPr>
          <w:rFonts w:ascii="Arial" w:hAnsi="Arial" w:cs="Arial"/>
          <w:sz w:val="22"/>
          <w:szCs w:val="22"/>
        </w:rPr>
        <w:t>.  Following repeat doses of 500 micrograms once daily for 10 days</w:t>
      </w:r>
      <w:r w:rsidRPr="009221C3">
        <w:rPr>
          <w:rFonts w:ascii="Arial" w:hAnsi="Arial" w:cs="Arial"/>
          <w:sz w:val="22"/>
          <w:szCs w:val="22"/>
        </w:rPr>
        <w:t xml:space="preserve">, no clinically relevant effect on prolongation of QT interval (corrected using the Fridericia method) was observed. </w:t>
      </w:r>
    </w:p>
    <w:p w:rsidR="00E8070F" w:rsidRPr="009221C3" w:rsidRDefault="00E8070F" w:rsidP="00A44041">
      <w:pPr>
        <w:spacing w:after="120"/>
        <w:jc w:val="both"/>
        <w:rPr>
          <w:rFonts w:ascii="Arial" w:hAnsi="Arial" w:cs="Arial"/>
          <w:sz w:val="22"/>
          <w:szCs w:val="22"/>
        </w:rPr>
      </w:pPr>
    </w:p>
    <w:p w:rsidR="00D06FFC" w:rsidRPr="009221C3" w:rsidRDefault="00D06FFC" w:rsidP="00773D97">
      <w:pPr>
        <w:pStyle w:val="Heading2"/>
      </w:pPr>
      <w:r w:rsidRPr="009221C3">
        <w:t>Pharmacokinetics</w:t>
      </w: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Absorption</w:t>
      </w:r>
    </w:p>
    <w:p w:rsidR="007E1D80" w:rsidRDefault="007E1D80" w:rsidP="00A44041">
      <w:pPr>
        <w:spacing w:after="120"/>
        <w:rPr>
          <w:rFonts w:ascii="Arial" w:hAnsi="Arial" w:cs="Arial"/>
          <w:sz w:val="22"/>
          <w:szCs w:val="22"/>
        </w:rPr>
      </w:pPr>
      <w:r w:rsidRPr="009221C3">
        <w:rPr>
          <w:rFonts w:ascii="Arial" w:hAnsi="Arial" w:cs="Arial"/>
          <w:sz w:val="22"/>
          <w:szCs w:val="22"/>
        </w:rPr>
        <w:t>Following inhaled administration of umeclidinium in healthy volunteers, C</w:t>
      </w:r>
      <w:r w:rsidRPr="00385B7E">
        <w:rPr>
          <w:rFonts w:ascii="Arial" w:hAnsi="Arial" w:cs="Arial"/>
          <w:sz w:val="22"/>
          <w:szCs w:val="22"/>
          <w:vertAlign w:val="subscript"/>
        </w:rPr>
        <w:t>max</w:t>
      </w:r>
      <w:r w:rsidRPr="009221C3">
        <w:rPr>
          <w:rFonts w:ascii="Arial" w:hAnsi="Arial" w:cs="Arial"/>
          <w:sz w:val="22"/>
          <w:szCs w:val="22"/>
        </w:rPr>
        <w:t xml:space="preserve"> occurred at 5 to 15 minutes. The absolute bioavailability of inhaled umeclidinium was on average 13% of the dose, with negligible contribution from oral absorption. Following repeat dosing of inhaled umeclidinium,</w:t>
      </w:r>
      <w:r w:rsidR="00034A68">
        <w:rPr>
          <w:rFonts w:ascii="Arial" w:hAnsi="Arial" w:cs="Arial"/>
          <w:sz w:val="22"/>
          <w:szCs w:val="22"/>
        </w:rPr>
        <w:t xml:space="preserve"> </w:t>
      </w:r>
      <w:r w:rsidRPr="009221C3">
        <w:rPr>
          <w:rFonts w:ascii="Arial" w:hAnsi="Arial" w:cs="Arial"/>
          <w:sz w:val="22"/>
          <w:szCs w:val="22"/>
        </w:rPr>
        <w:t xml:space="preserve">steady state was achieved within 7 to 10 days with 1.5 to 2-fold accumulation. Umeclidinium systemic exposure following inhaled administration </w:t>
      </w:r>
      <w:r w:rsidR="00CB68E9">
        <w:rPr>
          <w:rFonts w:ascii="Arial" w:hAnsi="Arial" w:cs="Arial"/>
          <w:sz w:val="22"/>
          <w:szCs w:val="22"/>
        </w:rPr>
        <w:t>was dose proportional</w:t>
      </w:r>
      <w:r w:rsidRPr="009221C3">
        <w:rPr>
          <w:rFonts w:ascii="Arial" w:hAnsi="Arial" w:cs="Arial"/>
          <w:sz w:val="22"/>
          <w:szCs w:val="22"/>
        </w:rPr>
        <w:t>.</w:t>
      </w:r>
    </w:p>
    <w:p w:rsidR="00203C20" w:rsidRPr="009221C3" w:rsidRDefault="00203C20" w:rsidP="00203C20">
      <w:pPr>
        <w:rPr>
          <w:rFonts w:ascii="Arial" w:hAnsi="Arial" w:cs="Arial"/>
          <w:sz w:val="22"/>
          <w:szCs w:val="22"/>
        </w:rPr>
      </w:pP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Distribution</w:t>
      </w:r>
    </w:p>
    <w:p w:rsidR="007E1D80" w:rsidRDefault="007E1D80" w:rsidP="00A44041">
      <w:pPr>
        <w:spacing w:after="120"/>
        <w:rPr>
          <w:rFonts w:ascii="Arial" w:hAnsi="Arial" w:cs="Arial"/>
          <w:sz w:val="22"/>
          <w:szCs w:val="22"/>
        </w:rPr>
      </w:pPr>
      <w:r w:rsidRPr="009221C3">
        <w:rPr>
          <w:rFonts w:ascii="Arial" w:hAnsi="Arial" w:cs="Arial"/>
          <w:sz w:val="22"/>
          <w:szCs w:val="22"/>
        </w:rPr>
        <w:t xml:space="preserve">Following intravenous administration to healthy subjects, the mean volume of distribution was 86 litres. </w:t>
      </w:r>
      <w:r w:rsidRPr="00CB68E9">
        <w:rPr>
          <w:rFonts w:ascii="Arial" w:hAnsi="Arial" w:cs="Arial"/>
          <w:i/>
          <w:sz w:val="22"/>
          <w:szCs w:val="22"/>
        </w:rPr>
        <w:t>In vitro</w:t>
      </w:r>
      <w:r w:rsidRPr="009221C3">
        <w:rPr>
          <w:rFonts w:ascii="Arial" w:hAnsi="Arial" w:cs="Arial"/>
          <w:sz w:val="22"/>
          <w:szCs w:val="22"/>
        </w:rPr>
        <w:t xml:space="preserve"> plasma protein binding in human plasma was on average 89%. </w:t>
      </w:r>
    </w:p>
    <w:p w:rsidR="00203C20" w:rsidRPr="009221C3" w:rsidRDefault="00203C20" w:rsidP="00203C20">
      <w:pPr>
        <w:rPr>
          <w:rFonts w:ascii="Arial" w:hAnsi="Arial" w:cs="Arial"/>
          <w:sz w:val="22"/>
          <w:szCs w:val="22"/>
        </w:rPr>
      </w:pPr>
    </w:p>
    <w:p w:rsidR="00D06FFC" w:rsidRPr="009221C3" w:rsidRDefault="00D06FFC" w:rsidP="000C63C2">
      <w:pPr>
        <w:keepNext/>
        <w:spacing w:after="120"/>
        <w:jc w:val="both"/>
        <w:rPr>
          <w:rFonts w:ascii="Arial" w:hAnsi="Arial" w:cs="Arial"/>
          <w:b/>
          <w:i/>
          <w:sz w:val="22"/>
          <w:szCs w:val="22"/>
        </w:rPr>
      </w:pPr>
      <w:r w:rsidRPr="009221C3">
        <w:rPr>
          <w:rFonts w:ascii="Arial" w:hAnsi="Arial" w:cs="Arial"/>
          <w:b/>
          <w:i/>
          <w:sz w:val="22"/>
          <w:szCs w:val="22"/>
        </w:rPr>
        <w:t>Metabolism</w:t>
      </w:r>
    </w:p>
    <w:p w:rsidR="007E1D80" w:rsidRDefault="007E1D80" w:rsidP="00A44041">
      <w:pPr>
        <w:spacing w:after="120"/>
        <w:rPr>
          <w:rFonts w:ascii="Arial" w:hAnsi="Arial" w:cs="Arial"/>
          <w:sz w:val="22"/>
          <w:szCs w:val="22"/>
        </w:rPr>
      </w:pPr>
      <w:r w:rsidRPr="00CB68E9">
        <w:rPr>
          <w:rFonts w:ascii="Arial" w:hAnsi="Arial" w:cs="Arial"/>
          <w:i/>
          <w:sz w:val="22"/>
          <w:szCs w:val="22"/>
        </w:rPr>
        <w:t>In vitro</w:t>
      </w:r>
      <w:r w:rsidRPr="009221C3">
        <w:rPr>
          <w:rFonts w:ascii="Arial" w:hAnsi="Arial" w:cs="Arial"/>
          <w:sz w:val="22"/>
          <w:szCs w:val="22"/>
        </w:rPr>
        <w:t xml:space="preserve"> studies showed that umeclidinium is metabolised principally by the enzyme P450 CYP2D6 and is a substrate for the P-glycoprotein (P</w:t>
      </w:r>
      <w:r w:rsidR="005840D7">
        <w:rPr>
          <w:rFonts w:ascii="Arial" w:hAnsi="Arial" w:cs="Arial"/>
          <w:sz w:val="22"/>
          <w:szCs w:val="22"/>
        </w:rPr>
        <w:t>-</w:t>
      </w:r>
      <w:r w:rsidRPr="009221C3">
        <w:rPr>
          <w:rFonts w:ascii="Arial" w:hAnsi="Arial" w:cs="Arial"/>
          <w:sz w:val="22"/>
          <w:szCs w:val="22"/>
        </w:rPr>
        <w:t>gp) transporter. The primary metabolic routes for umeclidinium are oxidative (hydroxylation, O</w:t>
      </w:r>
      <w:r w:rsidRPr="009221C3">
        <w:rPr>
          <w:rFonts w:ascii="Arial" w:hAnsi="Arial" w:cs="Arial"/>
          <w:sz w:val="22"/>
          <w:szCs w:val="22"/>
        </w:rPr>
        <w:noBreakHyphen/>
        <w:t>dealkylation) followed by conjugation (glucuronidation, etc), resulting in a range of metabolites with either reduced pharmacological activity or for which the pharmacological activity has not been established. Systemic exposure to the metabolites is low.</w:t>
      </w:r>
    </w:p>
    <w:p w:rsidR="00203C20" w:rsidRPr="009221C3" w:rsidRDefault="00203C20" w:rsidP="00203C20">
      <w:pPr>
        <w:rPr>
          <w:rFonts w:ascii="Arial" w:hAnsi="Arial" w:cs="Arial"/>
          <w:sz w:val="22"/>
          <w:szCs w:val="22"/>
        </w:rPr>
      </w:pPr>
    </w:p>
    <w:p w:rsidR="00D06FFC" w:rsidRPr="009221C3" w:rsidRDefault="00E81E59" w:rsidP="000C63C2">
      <w:pPr>
        <w:keepNext/>
        <w:spacing w:after="120"/>
        <w:jc w:val="both"/>
        <w:rPr>
          <w:rFonts w:ascii="Arial" w:hAnsi="Arial" w:cs="Arial"/>
          <w:b/>
          <w:i/>
          <w:sz w:val="22"/>
          <w:szCs w:val="22"/>
        </w:rPr>
      </w:pPr>
      <w:r w:rsidRPr="009221C3">
        <w:rPr>
          <w:rFonts w:ascii="Arial" w:hAnsi="Arial" w:cs="Arial"/>
          <w:b/>
          <w:i/>
          <w:sz w:val="22"/>
          <w:szCs w:val="22"/>
        </w:rPr>
        <w:lastRenderedPageBreak/>
        <w:t>Excretion</w:t>
      </w:r>
    </w:p>
    <w:p w:rsidR="007E1D80" w:rsidRPr="009221C3" w:rsidRDefault="007E1D80" w:rsidP="00A44041">
      <w:pPr>
        <w:spacing w:after="120"/>
        <w:rPr>
          <w:rFonts w:ascii="Arial" w:hAnsi="Arial" w:cs="Arial"/>
          <w:sz w:val="22"/>
          <w:szCs w:val="22"/>
        </w:rPr>
      </w:pPr>
      <w:r w:rsidRPr="009221C3">
        <w:rPr>
          <w:rFonts w:ascii="Arial" w:hAnsi="Arial" w:cs="Arial"/>
          <w:sz w:val="22"/>
          <w:szCs w:val="22"/>
        </w:rPr>
        <w:t>Plasma clearance following intravenous administration was 151 litres/hour. Following intravenous administration, approximately 58% of the administered radiolabelled dose (or 73% of the recovered radioactivity) was excreted in faeces by 192 hours post-dose.    Urinary elimination accounted for 22% of the administered radiolabelled dose by 168 hours (27% of recovered radioactivity). The excretion of the drug-related material in the faeces following intravenous dosing indicated secretion into the bile. Following oral administration to healthy male subjects, total radioactivity was excreted primarily in faeces (92% of the administered radiolabelled dose or 99% of the recovered radioactivity) by 168 hours post</w:t>
      </w:r>
      <w:r w:rsidRPr="009221C3">
        <w:rPr>
          <w:rFonts w:ascii="Arial" w:hAnsi="Arial" w:cs="Arial"/>
          <w:sz w:val="22"/>
          <w:szCs w:val="22"/>
        </w:rPr>
        <w:noBreakHyphen/>
        <w:t>dose. Less than 1% of the orally administered dose (1% of recovered radioactivity) was excreted in urine, suggesting negligible absorption following oral administration. Umeclidinium plasma elimination half-life following inhaled dosing for 10 days averaged 19 hours, with 3% to 4% drug excreted unchanged in urine at steady</w:t>
      </w:r>
      <w:r w:rsidRPr="009221C3">
        <w:rPr>
          <w:rFonts w:ascii="Arial" w:hAnsi="Arial" w:cs="Arial"/>
          <w:sz w:val="22"/>
          <w:szCs w:val="22"/>
        </w:rPr>
        <w:noBreakHyphen/>
        <w:t>state.</w:t>
      </w:r>
    </w:p>
    <w:p w:rsidR="00E8070F" w:rsidRPr="009221C3" w:rsidRDefault="00E8070F" w:rsidP="00203C20">
      <w:pPr>
        <w:rPr>
          <w:rFonts w:ascii="Arial" w:hAnsi="Arial" w:cs="Arial"/>
          <w:sz w:val="22"/>
          <w:szCs w:val="22"/>
        </w:rPr>
      </w:pPr>
    </w:p>
    <w:p w:rsidR="006A580B" w:rsidRPr="009221C3" w:rsidRDefault="006A580B" w:rsidP="000C63C2">
      <w:pPr>
        <w:pStyle w:val="NoNumHead4"/>
        <w:spacing w:before="0" w:after="120"/>
        <w:rPr>
          <w:rFonts w:eastAsia="MS Mincho"/>
          <w:lang w:val="en-AU"/>
        </w:rPr>
      </w:pPr>
      <w:r w:rsidRPr="009221C3">
        <w:rPr>
          <w:rFonts w:eastAsia="MS Mincho"/>
          <w:lang w:val="en-AU"/>
        </w:rPr>
        <w:t>Special patient populations</w:t>
      </w:r>
    </w:p>
    <w:p w:rsidR="006A580B" w:rsidRPr="00773D97" w:rsidRDefault="006A580B" w:rsidP="000C63C2">
      <w:pPr>
        <w:pStyle w:val="NoNumHead4"/>
        <w:spacing w:before="0" w:after="120"/>
        <w:rPr>
          <w:rFonts w:eastAsia="MS Mincho"/>
          <w:i/>
          <w:lang w:val="en-AU"/>
        </w:rPr>
      </w:pPr>
      <w:r w:rsidRPr="00773D97">
        <w:rPr>
          <w:rFonts w:eastAsia="MS Mincho"/>
          <w:i/>
          <w:lang w:val="en-AU"/>
        </w:rPr>
        <w:t>Elderly</w:t>
      </w:r>
    </w:p>
    <w:p w:rsidR="006A580B" w:rsidRDefault="006A580B" w:rsidP="00577DCC">
      <w:pPr>
        <w:spacing w:after="120"/>
        <w:rPr>
          <w:rFonts w:ascii="Arial" w:hAnsi="Arial" w:cs="Arial"/>
          <w:sz w:val="22"/>
          <w:szCs w:val="22"/>
        </w:rPr>
      </w:pPr>
      <w:r w:rsidRPr="009221C3">
        <w:rPr>
          <w:rFonts w:ascii="Arial" w:hAnsi="Arial" w:cs="Arial"/>
          <w:sz w:val="22"/>
          <w:szCs w:val="22"/>
        </w:rPr>
        <w:t xml:space="preserve">A population pharmacokinetic analysis showed that pharmacokinetics of umeclidinium </w:t>
      </w:r>
      <w:r w:rsidR="00CB68E9">
        <w:rPr>
          <w:rFonts w:ascii="Arial" w:hAnsi="Arial" w:cs="Arial"/>
          <w:sz w:val="22"/>
          <w:szCs w:val="22"/>
        </w:rPr>
        <w:t>are</w:t>
      </w:r>
      <w:r w:rsidRPr="009221C3">
        <w:rPr>
          <w:rFonts w:ascii="Arial" w:hAnsi="Arial" w:cs="Arial"/>
          <w:sz w:val="22"/>
          <w:szCs w:val="22"/>
        </w:rPr>
        <w:t xml:space="preserve"> similar between COPD patients 65 years and older and those younger than 65 years of age.</w:t>
      </w:r>
    </w:p>
    <w:p w:rsidR="00203C20" w:rsidRPr="009221C3" w:rsidRDefault="00203C20" w:rsidP="00203C20">
      <w:pPr>
        <w:rPr>
          <w:rFonts w:ascii="Arial" w:hAnsi="Arial" w:cs="Arial"/>
          <w:sz w:val="22"/>
          <w:szCs w:val="22"/>
        </w:rPr>
      </w:pPr>
    </w:p>
    <w:p w:rsidR="006A580B" w:rsidRPr="00773D97" w:rsidRDefault="006A580B" w:rsidP="00347F38">
      <w:pPr>
        <w:pStyle w:val="NoNumHead4"/>
        <w:spacing w:before="0" w:after="120"/>
        <w:rPr>
          <w:rFonts w:eastAsia="MS Mincho"/>
          <w:i/>
          <w:lang w:val="en-AU"/>
        </w:rPr>
      </w:pPr>
      <w:r w:rsidRPr="00773D97">
        <w:rPr>
          <w:rFonts w:eastAsia="MS Mincho"/>
          <w:i/>
          <w:lang w:val="en-AU"/>
        </w:rPr>
        <w:t>Renal impairment</w:t>
      </w:r>
    </w:p>
    <w:p w:rsidR="006A580B" w:rsidRDefault="006A580B" w:rsidP="000C63C2">
      <w:pPr>
        <w:spacing w:after="120"/>
        <w:rPr>
          <w:rFonts w:ascii="Arial" w:hAnsi="Arial" w:cs="Arial"/>
          <w:sz w:val="22"/>
          <w:szCs w:val="22"/>
        </w:rPr>
      </w:pPr>
      <w:r w:rsidRPr="009221C3">
        <w:rPr>
          <w:rFonts w:ascii="Arial" w:hAnsi="Arial" w:cs="Arial"/>
          <w:sz w:val="22"/>
          <w:szCs w:val="22"/>
        </w:rPr>
        <w:t xml:space="preserve">Subjects with severe renal impairment </w:t>
      </w:r>
      <w:r w:rsidR="00CB68E9">
        <w:rPr>
          <w:rFonts w:ascii="Arial" w:hAnsi="Arial" w:cs="Arial"/>
          <w:sz w:val="22"/>
          <w:szCs w:val="22"/>
        </w:rPr>
        <w:t xml:space="preserve">(creatinine clearance &lt;30 mL/min) </w:t>
      </w:r>
      <w:r w:rsidRPr="009221C3">
        <w:rPr>
          <w:rFonts w:ascii="Arial" w:hAnsi="Arial" w:cs="Arial"/>
          <w:sz w:val="22"/>
          <w:szCs w:val="22"/>
        </w:rPr>
        <w:t>showed no evidence of an in</w:t>
      </w:r>
      <w:r w:rsidR="00CB68E9">
        <w:rPr>
          <w:rFonts w:ascii="Arial" w:hAnsi="Arial" w:cs="Arial"/>
          <w:sz w:val="22"/>
          <w:szCs w:val="22"/>
        </w:rPr>
        <w:t xml:space="preserve">crease in systemic exposure to </w:t>
      </w:r>
      <w:r w:rsidRPr="009221C3">
        <w:rPr>
          <w:rFonts w:ascii="Arial" w:hAnsi="Arial" w:cs="Arial"/>
          <w:sz w:val="22"/>
          <w:szCs w:val="22"/>
        </w:rPr>
        <w:t>umeclidinium (C</w:t>
      </w:r>
      <w:r w:rsidRPr="008131F3">
        <w:rPr>
          <w:rFonts w:ascii="Arial" w:hAnsi="Arial" w:cs="Arial"/>
          <w:sz w:val="22"/>
          <w:szCs w:val="22"/>
          <w:vertAlign w:val="subscript"/>
        </w:rPr>
        <w:t>max</w:t>
      </w:r>
      <w:r w:rsidRPr="009221C3">
        <w:rPr>
          <w:rFonts w:ascii="Arial" w:hAnsi="Arial" w:cs="Arial"/>
          <w:sz w:val="22"/>
          <w:szCs w:val="22"/>
        </w:rPr>
        <w:t xml:space="preserve"> and AUC), and no evidence of altered protein binding between subjects with severe renal impairment and healthy volunteers. </w:t>
      </w:r>
    </w:p>
    <w:p w:rsidR="00203C20" w:rsidRPr="009221C3" w:rsidRDefault="00203C20" w:rsidP="00203C20">
      <w:pPr>
        <w:rPr>
          <w:rFonts w:ascii="Arial" w:hAnsi="Arial" w:cs="Arial"/>
          <w:sz w:val="22"/>
          <w:szCs w:val="22"/>
        </w:rPr>
      </w:pPr>
    </w:p>
    <w:p w:rsidR="006A580B" w:rsidRPr="00773D97" w:rsidRDefault="006A580B" w:rsidP="000C63C2">
      <w:pPr>
        <w:pStyle w:val="NoNumHead4"/>
        <w:spacing w:before="0" w:after="120"/>
        <w:rPr>
          <w:rFonts w:eastAsia="MS Mincho"/>
          <w:i/>
          <w:lang w:val="en-AU"/>
        </w:rPr>
      </w:pPr>
      <w:r w:rsidRPr="00773D97">
        <w:rPr>
          <w:rFonts w:eastAsia="MS Mincho"/>
          <w:i/>
          <w:lang w:val="en-AU"/>
        </w:rPr>
        <w:t>Hepatic impairment</w:t>
      </w:r>
    </w:p>
    <w:p w:rsidR="006A580B" w:rsidRDefault="006A580B" w:rsidP="00A44041">
      <w:pPr>
        <w:spacing w:after="120"/>
        <w:rPr>
          <w:rFonts w:ascii="Arial" w:hAnsi="Arial" w:cs="Arial"/>
          <w:sz w:val="22"/>
          <w:szCs w:val="22"/>
        </w:rPr>
      </w:pPr>
      <w:r w:rsidRPr="009221C3">
        <w:rPr>
          <w:rFonts w:ascii="Arial" w:hAnsi="Arial" w:cs="Arial"/>
          <w:sz w:val="22"/>
          <w:szCs w:val="22"/>
        </w:rPr>
        <w:t>Subjects with moderate hepatic impairment showed no evidence of an i</w:t>
      </w:r>
      <w:r w:rsidR="00CB68E9">
        <w:rPr>
          <w:rFonts w:ascii="Arial" w:hAnsi="Arial" w:cs="Arial"/>
          <w:sz w:val="22"/>
          <w:szCs w:val="22"/>
        </w:rPr>
        <w:t xml:space="preserve">ncrease in systemic exposure to </w:t>
      </w:r>
      <w:r w:rsidRPr="009221C3">
        <w:rPr>
          <w:rFonts w:ascii="Arial" w:hAnsi="Arial" w:cs="Arial"/>
          <w:sz w:val="22"/>
          <w:szCs w:val="22"/>
        </w:rPr>
        <w:t>umeclidinium (C</w:t>
      </w:r>
      <w:r w:rsidRPr="008131F3">
        <w:rPr>
          <w:rFonts w:ascii="Arial" w:hAnsi="Arial" w:cs="Arial"/>
          <w:sz w:val="22"/>
          <w:szCs w:val="22"/>
          <w:vertAlign w:val="subscript"/>
        </w:rPr>
        <w:t>max</w:t>
      </w:r>
      <w:r w:rsidRPr="009221C3">
        <w:rPr>
          <w:rFonts w:ascii="Arial" w:hAnsi="Arial" w:cs="Arial"/>
          <w:sz w:val="22"/>
          <w:szCs w:val="22"/>
        </w:rPr>
        <w:t xml:space="preserve"> and AUC), and no evidence of altered protein binding between subjects with moderate hepatic impairment and healthy volunteers. </w:t>
      </w:r>
      <w:r w:rsidR="00A07727">
        <w:rPr>
          <w:rFonts w:ascii="Arial" w:hAnsi="Arial" w:cs="Arial"/>
          <w:sz w:val="22"/>
          <w:szCs w:val="22"/>
        </w:rPr>
        <w:t>Incruse</w:t>
      </w:r>
      <w:r w:rsidR="00347F38" w:rsidRPr="009221C3">
        <w:rPr>
          <w:rFonts w:ascii="Arial" w:hAnsi="Arial" w:cs="Arial"/>
          <w:sz w:val="22"/>
          <w:szCs w:val="22"/>
        </w:rPr>
        <w:t xml:space="preserve"> Ellipta </w:t>
      </w:r>
      <w:r w:rsidRPr="009221C3">
        <w:rPr>
          <w:rFonts w:ascii="Arial" w:hAnsi="Arial" w:cs="Arial"/>
          <w:sz w:val="22"/>
          <w:szCs w:val="22"/>
        </w:rPr>
        <w:t>has not been evaluated in subjects with severe hepatic impairment.</w:t>
      </w:r>
    </w:p>
    <w:p w:rsidR="00203C20" w:rsidRPr="009221C3" w:rsidRDefault="00203C20" w:rsidP="00203C20">
      <w:pPr>
        <w:rPr>
          <w:rFonts w:ascii="Arial" w:hAnsi="Arial" w:cs="Arial"/>
          <w:sz w:val="22"/>
          <w:szCs w:val="22"/>
        </w:rPr>
      </w:pPr>
    </w:p>
    <w:p w:rsidR="006A580B" w:rsidRPr="009221C3" w:rsidRDefault="006A580B" w:rsidP="000C63C2">
      <w:pPr>
        <w:pStyle w:val="NoNumHead4"/>
        <w:spacing w:before="0" w:after="120"/>
        <w:rPr>
          <w:rFonts w:eastAsia="MS Mincho"/>
          <w:lang w:val="en-AU"/>
        </w:rPr>
      </w:pPr>
      <w:r w:rsidRPr="009221C3">
        <w:rPr>
          <w:rFonts w:eastAsia="MS Mincho"/>
          <w:lang w:val="en-AU"/>
        </w:rPr>
        <w:t>Other patient characteristics</w:t>
      </w:r>
    </w:p>
    <w:p w:rsidR="006A580B" w:rsidRPr="009221C3" w:rsidRDefault="006A580B" w:rsidP="00A44041">
      <w:pPr>
        <w:spacing w:after="120"/>
        <w:rPr>
          <w:rFonts w:ascii="Arial" w:hAnsi="Arial" w:cs="Arial"/>
          <w:sz w:val="22"/>
          <w:szCs w:val="22"/>
        </w:rPr>
      </w:pPr>
      <w:r w:rsidRPr="009221C3">
        <w:rPr>
          <w:rFonts w:ascii="Arial" w:hAnsi="Arial" w:cs="Arial"/>
          <w:sz w:val="22"/>
          <w:szCs w:val="22"/>
        </w:rPr>
        <w:t>A population pharmacokinetic analysis showed that no dose adjustment is required for umeclidinium based on the effect of age, race, gender, inhaled corticosteroid use, or weight. A study in CYP2D6 poor metabolisers showed no evidence of a clinically significant effect of CYP2D6 genetic polymorphism on systemic exposure to umeclidinium.</w:t>
      </w:r>
    </w:p>
    <w:p w:rsidR="00347F38" w:rsidRPr="009221C3" w:rsidRDefault="00347F38" w:rsidP="00347F38">
      <w:pPr>
        <w:spacing w:after="120"/>
        <w:rPr>
          <w:rFonts w:ascii="Arial" w:hAnsi="Arial" w:cs="Arial"/>
          <w:sz w:val="22"/>
          <w:szCs w:val="22"/>
        </w:rPr>
      </w:pPr>
    </w:p>
    <w:p w:rsidR="0077380F" w:rsidRPr="009221C3" w:rsidRDefault="0077380F" w:rsidP="00773D97">
      <w:pPr>
        <w:pStyle w:val="Heading1"/>
      </w:pPr>
      <w:r w:rsidRPr="009221C3">
        <w:t>CLINICAL TRIALS</w:t>
      </w:r>
    </w:p>
    <w:p w:rsidR="006A580B" w:rsidRDefault="006A580B" w:rsidP="00347F38">
      <w:pPr>
        <w:spacing w:after="120"/>
        <w:rPr>
          <w:rFonts w:ascii="Arial" w:hAnsi="Arial" w:cs="Arial"/>
          <w:sz w:val="22"/>
          <w:szCs w:val="22"/>
        </w:rPr>
      </w:pPr>
      <w:r w:rsidRPr="009221C3">
        <w:rPr>
          <w:rFonts w:ascii="Arial" w:hAnsi="Arial" w:cs="Arial"/>
          <w:sz w:val="22"/>
          <w:szCs w:val="22"/>
        </w:rPr>
        <w:t xml:space="preserve">The efficacy of </w:t>
      </w:r>
      <w:r w:rsidR="00A07727">
        <w:rPr>
          <w:rFonts w:ascii="Arial" w:hAnsi="Arial" w:cs="Arial"/>
          <w:sz w:val="22"/>
          <w:szCs w:val="22"/>
        </w:rPr>
        <w:t>Incruse</w:t>
      </w:r>
      <w:r w:rsidR="00347F38" w:rsidRPr="009221C3">
        <w:rPr>
          <w:rFonts w:ascii="Arial" w:hAnsi="Arial" w:cs="Arial"/>
          <w:sz w:val="22"/>
          <w:szCs w:val="22"/>
        </w:rPr>
        <w:t xml:space="preserve"> Ellipta </w:t>
      </w:r>
      <w:r w:rsidRPr="009221C3">
        <w:rPr>
          <w:rFonts w:ascii="Arial" w:hAnsi="Arial" w:cs="Arial"/>
          <w:sz w:val="22"/>
          <w:szCs w:val="22"/>
        </w:rPr>
        <w:t>administered once daily w</w:t>
      </w:r>
      <w:r w:rsidR="00347F38" w:rsidRPr="009221C3">
        <w:rPr>
          <w:rFonts w:ascii="Arial" w:hAnsi="Arial" w:cs="Arial"/>
          <w:sz w:val="22"/>
          <w:szCs w:val="22"/>
        </w:rPr>
        <w:t>as</w:t>
      </w:r>
      <w:r w:rsidRPr="009221C3">
        <w:rPr>
          <w:rFonts w:ascii="Arial" w:hAnsi="Arial" w:cs="Arial"/>
          <w:sz w:val="22"/>
          <w:szCs w:val="22"/>
        </w:rPr>
        <w:t xml:space="preserve"> evaluated in </w:t>
      </w:r>
      <w:r w:rsidR="00CA058B">
        <w:rPr>
          <w:rFonts w:ascii="Arial" w:hAnsi="Arial" w:cs="Arial"/>
          <w:sz w:val="22"/>
          <w:szCs w:val="22"/>
        </w:rPr>
        <w:t xml:space="preserve">two placebo controlled </w:t>
      </w:r>
      <w:r w:rsidR="008955D7">
        <w:rPr>
          <w:rFonts w:ascii="Arial" w:hAnsi="Arial" w:cs="Arial"/>
          <w:sz w:val="22"/>
          <w:szCs w:val="22"/>
        </w:rPr>
        <w:t xml:space="preserve">clinical </w:t>
      </w:r>
      <w:r w:rsidRPr="009221C3">
        <w:rPr>
          <w:rFonts w:ascii="Arial" w:hAnsi="Arial" w:cs="Arial"/>
          <w:sz w:val="22"/>
          <w:szCs w:val="22"/>
        </w:rPr>
        <w:t>studies</w:t>
      </w:r>
      <w:r w:rsidR="008955D7">
        <w:rPr>
          <w:rFonts w:ascii="Arial" w:hAnsi="Arial" w:cs="Arial"/>
          <w:sz w:val="22"/>
          <w:szCs w:val="22"/>
        </w:rPr>
        <w:t>,</w:t>
      </w:r>
      <w:r w:rsidRPr="009221C3">
        <w:rPr>
          <w:rFonts w:ascii="Arial" w:hAnsi="Arial" w:cs="Arial"/>
          <w:sz w:val="22"/>
          <w:szCs w:val="22"/>
        </w:rPr>
        <w:t xml:space="preserve"> in adult patients with a clinical diagnosis of COPD; </w:t>
      </w:r>
      <w:r w:rsidR="00CA058B">
        <w:rPr>
          <w:rFonts w:ascii="Arial" w:hAnsi="Arial" w:cs="Arial"/>
          <w:sz w:val="22"/>
          <w:szCs w:val="22"/>
        </w:rPr>
        <w:t>a</w:t>
      </w:r>
      <w:r w:rsidRPr="009221C3">
        <w:rPr>
          <w:rFonts w:ascii="Arial" w:hAnsi="Arial" w:cs="Arial"/>
          <w:sz w:val="22"/>
          <w:szCs w:val="22"/>
        </w:rPr>
        <w:t xml:space="preserve"> 12-week </w:t>
      </w:r>
      <w:r w:rsidR="00CA058B">
        <w:rPr>
          <w:rFonts w:ascii="Arial" w:hAnsi="Arial" w:cs="Arial"/>
          <w:sz w:val="22"/>
          <w:szCs w:val="22"/>
        </w:rPr>
        <w:t>study (AC4115408) and a 24 week study (DB2113373).</w:t>
      </w:r>
    </w:p>
    <w:p w:rsidR="00203C20" w:rsidRPr="009221C3" w:rsidRDefault="00203C20" w:rsidP="00203C20">
      <w:pPr>
        <w:rPr>
          <w:rFonts w:ascii="Arial" w:hAnsi="Arial" w:cs="Arial"/>
          <w:sz w:val="22"/>
          <w:szCs w:val="22"/>
        </w:rPr>
      </w:pPr>
    </w:p>
    <w:p w:rsidR="00675F23" w:rsidRPr="00675F23" w:rsidRDefault="00675F23" w:rsidP="005D4DCB">
      <w:pPr>
        <w:pStyle w:val="Heading2"/>
        <w:pageBreakBefore/>
      </w:pPr>
      <w:r w:rsidRPr="00675F23">
        <w:lastRenderedPageBreak/>
        <w:t>Placebo Controlled Studies</w:t>
      </w:r>
    </w:p>
    <w:p w:rsidR="00CA058B" w:rsidRPr="00CA058B" w:rsidRDefault="00CA058B" w:rsidP="00CA058B">
      <w:pPr>
        <w:pStyle w:val="NormalWeb"/>
        <w:rPr>
          <w:rFonts w:ascii="Arial" w:hAnsi="Arial" w:cs="Arial"/>
          <w:sz w:val="22"/>
          <w:szCs w:val="22"/>
        </w:rPr>
      </w:pPr>
      <w:r w:rsidRPr="00CA058B">
        <w:rPr>
          <w:rFonts w:ascii="Arial" w:hAnsi="Arial" w:cs="Arial"/>
          <w:sz w:val="22"/>
          <w:szCs w:val="22"/>
        </w:rPr>
        <w:t xml:space="preserve">In the 12-week study, </w:t>
      </w:r>
      <w:r w:rsidR="00A07727">
        <w:rPr>
          <w:rFonts w:ascii="Arial" w:hAnsi="Arial" w:cs="Arial"/>
          <w:sz w:val="22"/>
          <w:szCs w:val="22"/>
        </w:rPr>
        <w:t>Incruse</w:t>
      </w:r>
      <w:r w:rsidRPr="009221C3">
        <w:rPr>
          <w:rFonts w:ascii="Arial" w:hAnsi="Arial" w:cs="Arial"/>
          <w:sz w:val="22"/>
          <w:szCs w:val="22"/>
        </w:rPr>
        <w:t xml:space="preserve"> Ellipta</w:t>
      </w:r>
      <w:r w:rsidRPr="00CA058B">
        <w:rPr>
          <w:rFonts w:ascii="Arial" w:hAnsi="Arial" w:cs="Arial"/>
          <w:sz w:val="22"/>
          <w:szCs w:val="22"/>
        </w:rPr>
        <w:t xml:space="preserve"> demonstrated statistically significant and clinically meaningful improvements in measures of lung function (as defined by change from baseline trough FEV</w:t>
      </w:r>
      <w:r w:rsidRPr="00CA058B">
        <w:rPr>
          <w:rFonts w:ascii="Arial" w:hAnsi="Arial" w:cs="Arial"/>
          <w:sz w:val="22"/>
          <w:szCs w:val="22"/>
          <w:vertAlign w:val="subscript"/>
        </w:rPr>
        <w:t>1</w:t>
      </w:r>
      <w:r w:rsidRPr="00CA058B">
        <w:rPr>
          <w:rFonts w:ascii="Arial" w:hAnsi="Arial" w:cs="Arial"/>
          <w:sz w:val="22"/>
          <w:szCs w:val="22"/>
        </w:rPr>
        <w:t xml:space="preserve"> at Week 12, which was the primary efficacy endpoint compared with placebo (see </w:t>
      </w:r>
      <w:r w:rsidRPr="00CA058B">
        <w:rPr>
          <w:rFonts w:ascii="Arial" w:hAnsi="Arial" w:cs="Arial"/>
          <w:i/>
          <w:sz w:val="22"/>
          <w:szCs w:val="22"/>
        </w:rPr>
        <w:t>Table 1</w:t>
      </w:r>
      <w:r w:rsidRPr="00CA058B">
        <w:rPr>
          <w:rFonts w:ascii="Arial" w:hAnsi="Arial" w:cs="Arial"/>
          <w:sz w:val="22"/>
          <w:szCs w:val="22"/>
        </w:rPr>
        <w:t xml:space="preserve">). The bronchodilatory effects with </w:t>
      </w:r>
      <w:r w:rsidR="00A07727">
        <w:rPr>
          <w:rFonts w:ascii="Arial" w:hAnsi="Arial" w:cs="Arial"/>
          <w:sz w:val="22"/>
          <w:szCs w:val="22"/>
        </w:rPr>
        <w:t>Incruse</w:t>
      </w:r>
      <w:r w:rsidRPr="009221C3">
        <w:rPr>
          <w:rFonts w:ascii="Arial" w:hAnsi="Arial" w:cs="Arial"/>
          <w:sz w:val="22"/>
          <w:szCs w:val="22"/>
        </w:rPr>
        <w:t xml:space="preserve"> Ellipta</w:t>
      </w:r>
      <w:r w:rsidRPr="00CA058B">
        <w:rPr>
          <w:rFonts w:ascii="Arial" w:hAnsi="Arial" w:cs="Arial"/>
          <w:sz w:val="22"/>
          <w:szCs w:val="22"/>
        </w:rPr>
        <w:t xml:space="preserve"> compared with placebo were evident after the first day of treatment and were maintained over the 12</w:t>
      </w:r>
      <w:r w:rsidRPr="00CA058B">
        <w:rPr>
          <w:rFonts w:ascii="Arial" w:hAnsi="Arial" w:cs="Arial"/>
          <w:sz w:val="22"/>
          <w:szCs w:val="22"/>
        </w:rPr>
        <w:noBreakHyphen/>
        <w:t>week treatment period.</w:t>
      </w:r>
    </w:p>
    <w:p w:rsidR="00203C20" w:rsidRDefault="00203C20" w:rsidP="00CA058B">
      <w:pPr>
        <w:rPr>
          <w:rFonts w:ascii="Arial" w:hAnsi="Arial" w:cs="Arial"/>
          <w:b/>
          <w:sz w:val="22"/>
          <w:szCs w:val="22"/>
        </w:rPr>
      </w:pPr>
    </w:p>
    <w:p w:rsidR="00CA058B" w:rsidRPr="00CA058B" w:rsidRDefault="00CA058B" w:rsidP="00CA058B">
      <w:pPr>
        <w:rPr>
          <w:rFonts w:ascii="Arial" w:hAnsi="Arial" w:cs="Arial"/>
          <w:b/>
          <w:sz w:val="22"/>
          <w:szCs w:val="22"/>
        </w:rPr>
      </w:pPr>
      <w:r w:rsidRPr="00CA058B">
        <w:rPr>
          <w:rFonts w:ascii="Arial" w:hAnsi="Arial" w:cs="Arial"/>
          <w:b/>
          <w:sz w:val="22"/>
          <w:szCs w:val="22"/>
        </w:rPr>
        <w:t>Table 1. Primary efficacy endpoint at Week 12 (Study AC4115408)</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653"/>
        <w:gridCol w:w="1654"/>
        <w:gridCol w:w="1654"/>
      </w:tblGrid>
      <w:tr w:rsidR="00CA058B" w:rsidRPr="00CA058B" w:rsidTr="00CA058B">
        <w:trPr>
          <w:tblHeader/>
        </w:trPr>
        <w:tc>
          <w:tcPr>
            <w:tcW w:w="2802" w:type="dxa"/>
            <w:vMerge w:val="restart"/>
            <w:shd w:val="clear" w:color="auto" w:fill="auto"/>
            <w:vAlign w:val="center"/>
          </w:tcPr>
          <w:p w:rsidR="00CA058B" w:rsidRPr="00CA058B" w:rsidRDefault="00CA058B" w:rsidP="00432DE7">
            <w:pPr>
              <w:pStyle w:val="tabletextNS"/>
              <w:keepNext/>
              <w:keepLines/>
              <w:spacing w:before="60"/>
              <w:rPr>
                <w:rFonts w:ascii="Arial" w:hAnsi="Arial" w:cs="Arial"/>
                <w:b/>
                <w:sz w:val="22"/>
                <w:szCs w:val="22"/>
              </w:rPr>
            </w:pPr>
          </w:p>
        </w:tc>
        <w:tc>
          <w:tcPr>
            <w:tcW w:w="4961" w:type="dxa"/>
            <w:gridSpan w:val="3"/>
            <w:shd w:val="clear" w:color="auto" w:fill="auto"/>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Trough FEV</w:t>
            </w:r>
            <w:r w:rsidRPr="00CA058B">
              <w:rPr>
                <w:rFonts w:ascii="Arial" w:hAnsi="Arial" w:cs="Arial"/>
                <w:b/>
                <w:sz w:val="22"/>
                <w:szCs w:val="22"/>
                <w:vertAlign w:val="subscript"/>
              </w:rPr>
              <w:t>1</w:t>
            </w:r>
            <w:r w:rsidRPr="00CA058B">
              <w:rPr>
                <w:rFonts w:ascii="Arial" w:hAnsi="Arial" w:cs="Arial"/>
                <w:b/>
                <w:sz w:val="22"/>
                <w:szCs w:val="22"/>
              </w:rPr>
              <w:t xml:space="preserve"> (L) </w:t>
            </w:r>
          </w:p>
        </w:tc>
      </w:tr>
      <w:tr w:rsidR="00CA058B" w:rsidRPr="00CA058B" w:rsidTr="00CA058B">
        <w:trPr>
          <w:trHeight w:val="688"/>
        </w:trPr>
        <w:tc>
          <w:tcPr>
            <w:tcW w:w="2802" w:type="dxa"/>
            <w:vMerge/>
            <w:shd w:val="clear" w:color="auto" w:fill="auto"/>
            <w:vAlign w:val="bottom"/>
          </w:tcPr>
          <w:p w:rsidR="00CA058B" w:rsidRPr="00CA058B" w:rsidRDefault="00CA058B" w:rsidP="00432DE7">
            <w:pPr>
              <w:pStyle w:val="tabletextNS"/>
              <w:keepNext/>
              <w:keepLines/>
              <w:spacing w:before="60" w:after="40"/>
              <w:ind w:firstLine="91"/>
              <w:rPr>
                <w:rFonts w:ascii="Arial" w:hAnsi="Arial" w:cs="Arial"/>
                <w:b/>
                <w:sz w:val="22"/>
                <w:szCs w:val="22"/>
              </w:rPr>
            </w:pPr>
          </w:p>
        </w:tc>
        <w:tc>
          <w:tcPr>
            <w:tcW w:w="1653"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Difference from Placebo</w:t>
            </w:r>
          </w:p>
        </w:tc>
      </w:tr>
      <w:tr w:rsidR="00CA058B" w:rsidRPr="00CA058B" w:rsidTr="00CA058B">
        <w:trPr>
          <w:trHeight w:val="688"/>
        </w:trPr>
        <w:tc>
          <w:tcPr>
            <w:tcW w:w="2802" w:type="dxa"/>
            <w:vMerge/>
            <w:shd w:val="clear" w:color="auto" w:fill="auto"/>
            <w:vAlign w:val="bottom"/>
          </w:tcPr>
          <w:p w:rsidR="00CA058B" w:rsidRPr="00CA058B" w:rsidRDefault="00CA058B" w:rsidP="00432DE7">
            <w:pPr>
              <w:pStyle w:val="tabletextNS"/>
              <w:keepNext/>
              <w:keepLines/>
              <w:spacing w:before="60" w:after="40"/>
              <w:ind w:firstLine="91"/>
              <w:rPr>
                <w:rFonts w:ascii="Arial" w:hAnsi="Arial" w:cs="Arial"/>
                <w:b/>
                <w:sz w:val="22"/>
                <w:szCs w:val="22"/>
              </w:rPr>
            </w:pPr>
          </w:p>
        </w:tc>
        <w:tc>
          <w:tcPr>
            <w:tcW w:w="1653"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Baseline (SD)</w:t>
            </w: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 xml:space="preserve">Change from baseline </w:t>
            </w:r>
            <w:r w:rsidRPr="00CA058B">
              <w:rPr>
                <w:rFonts w:ascii="Arial" w:hAnsi="Arial" w:cs="Arial"/>
                <w:b/>
                <w:sz w:val="22"/>
                <w:szCs w:val="22"/>
              </w:rPr>
              <w:br/>
              <w:t>(SE)</w:t>
            </w: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 xml:space="preserve">Treatment </w:t>
            </w:r>
            <w:r w:rsidRPr="00CA058B">
              <w:rPr>
                <w:rFonts w:ascii="Arial" w:hAnsi="Arial" w:cs="Arial"/>
                <w:b/>
                <w:sz w:val="22"/>
                <w:szCs w:val="22"/>
              </w:rPr>
              <w:br/>
              <w:t xml:space="preserve">Difference </w:t>
            </w:r>
            <w:r w:rsidRPr="00CA058B">
              <w:rPr>
                <w:rFonts w:ascii="Arial" w:hAnsi="Arial" w:cs="Arial"/>
                <w:b/>
                <w:sz w:val="22"/>
                <w:szCs w:val="22"/>
              </w:rPr>
              <w:br/>
              <w:t xml:space="preserve">(95% CI) </w:t>
            </w:r>
          </w:p>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p-value</w:t>
            </w:r>
          </w:p>
        </w:tc>
      </w:tr>
      <w:tr w:rsidR="00CA058B" w:rsidRPr="00CA058B" w:rsidTr="00CA058B">
        <w:tc>
          <w:tcPr>
            <w:tcW w:w="2802" w:type="dxa"/>
            <w:shd w:val="clear" w:color="auto" w:fill="auto"/>
            <w:vAlign w:val="center"/>
          </w:tcPr>
          <w:p w:rsidR="00CA058B" w:rsidRPr="00CA058B" w:rsidRDefault="00CA058B" w:rsidP="00432DE7">
            <w:pPr>
              <w:pStyle w:val="tabletextNS"/>
              <w:keepNext/>
              <w:keepLines/>
              <w:spacing w:before="60"/>
              <w:rPr>
                <w:rFonts w:ascii="Arial" w:hAnsi="Arial" w:cs="Arial"/>
                <w:b/>
                <w:kern w:val="24"/>
                <w:sz w:val="22"/>
                <w:szCs w:val="22"/>
              </w:rPr>
            </w:pPr>
            <w:r w:rsidRPr="00CA058B">
              <w:rPr>
                <w:rFonts w:ascii="Arial" w:hAnsi="Arial" w:cs="Arial"/>
                <w:b/>
                <w:kern w:val="24"/>
                <w:sz w:val="22"/>
                <w:szCs w:val="22"/>
              </w:rPr>
              <w:t>Study AC4115408</w:t>
            </w:r>
          </w:p>
        </w:tc>
        <w:tc>
          <w:tcPr>
            <w:tcW w:w="1653"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r>
      <w:tr w:rsidR="00CA058B" w:rsidRPr="00CA058B" w:rsidTr="00CA058B">
        <w:tc>
          <w:tcPr>
            <w:tcW w:w="2802" w:type="dxa"/>
            <w:tcBorders>
              <w:bottom w:val="single" w:sz="4" w:space="0" w:color="auto"/>
            </w:tcBorders>
            <w:vAlign w:val="center"/>
          </w:tcPr>
          <w:p w:rsidR="00CA058B" w:rsidRPr="00CA058B" w:rsidRDefault="00A07727" w:rsidP="00432DE7">
            <w:pPr>
              <w:pStyle w:val="tabletextNS"/>
              <w:keepNext/>
              <w:keepLines/>
              <w:spacing w:before="60"/>
              <w:rPr>
                <w:rFonts w:ascii="Arial" w:hAnsi="Arial" w:cs="Arial"/>
                <w:kern w:val="24"/>
                <w:sz w:val="22"/>
                <w:szCs w:val="22"/>
                <w:lang w:val="en-US"/>
              </w:rPr>
            </w:pPr>
            <w:r>
              <w:rPr>
                <w:rFonts w:ascii="Arial" w:hAnsi="Arial" w:cs="Arial"/>
                <w:sz w:val="22"/>
                <w:szCs w:val="22"/>
              </w:rPr>
              <w:t>Incruse</w:t>
            </w:r>
            <w:r w:rsidR="00432DE7" w:rsidRPr="009221C3">
              <w:rPr>
                <w:rFonts w:ascii="Arial" w:hAnsi="Arial" w:cs="Arial"/>
                <w:sz w:val="22"/>
                <w:szCs w:val="22"/>
              </w:rPr>
              <w:t xml:space="preserve"> Ellipta</w:t>
            </w:r>
            <w:r w:rsidR="00CA058B" w:rsidRPr="00CA058B">
              <w:rPr>
                <w:rFonts w:ascii="Arial" w:hAnsi="Arial" w:cs="Arial"/>
                <w:kern w:val="24"/>
                <w:sz w:val="22"/>
                <w:szCs w:val="22"/>
                <w:lang w:val="en-US"/>
              </w:rPr>
              <w:br/>
              <w:t xml:space="preserve">62.5 </w:t>
            </w:r>
            <w:r w:rsidR="008F5A0C">
              <w:rPr>
                <w:rFonts w:ascii="Arial" w:hAnsi="Arial" w:cs="Arial"/>
                <w:kern w:val="24"/>
                <w:sz w:val="22"/>
                <w:szCs w:val="22"/>
                <w:lang w:val="en-US"/>
              </w:rPr>
              <w:t>micrograms</w:t>
            </w:r>
            <w:r w:rsidR="008F5A0C" w:rsidRPr="00CA058B">
              <w:rPr>
                <w:rFonts w:ascii="Arial" w:hAnsi="Arial" w:cs="Arial"/>
                <w:kern w:val="24"/>
                <w:sz w:val="22"/>
                <w:szCs w:val="22"/>
                <w:lang w:val="en-US"/>
              </w:rPr>
              <w:t xml:space="preserve"> </w:t>
            </w:r>
            <w:r w:rsidR="00CA058B" w:rsidRPr="00CA058B">
              <w:rPr>
                <w:rFonts w:ascii="Arial" w:hAnsi="Arial" w:cs="Arial"/>
                <w:kern w:val="24"/>
                <w:sz w:val="22"/>
                <w:szCs w:val="22"/>
                <w:lang w:val="en-US"/>
              </w:rPr>
              <w:t>OD</w:t>
            </w:r>
          </w:p>
          <w:p w:rsidR="00CA058B" w:rsidRPr="00CA058B" w:rsidRDefault="00CA058B" w:rsidP="00432DE7">
            <w:pPr>
              <w:pStyle w:val="tabletextNS"/>
              <w:keepNext/>
              <w:keepLines/>
              <w:spacing w:before="60"/>
              <w:rPr>
                <w:rFonts w:ascii="Arial" w:hAnsi="Arial" w:cs="Arial"/>
                <w:kern w:val="24"/>
                <w:sz w:val="22"/>
                <w:szCs w:val="22"/>
              </w:rPr>
            </w:pPr>
            <w:r w:rsidRPr="00CA058B">
              <w:rPr>
                <w:rFonts w:ascii="Arial" w:hAnsi="Arial" w:cs="Arial"/>
                <w:kern w:val="24"/>
                <w:sz w:val="22"/>
                <w:szCs w:val="22"/>
                <w:lang w:val="en-US"/>
              </w:rPr>
              <w:t>(n= 69)</w:t>
            </w:r>
          </w:p>
        </w:tc>
        <w:tc>
          <w:tcPr>
            <w:tcW w:w="1653" w:type="dxa"/>
            <w:tcBorders>
              <w:bottom w:val="single" w:sz="4" w:space="0" w:color="auto"/>
            </w:tcBorders>
            <w:vAlign w:val="center"/>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1.26 (0.57)</w:t>
            </w:r>
          </w:p>
        </w:tc>
        <w:tc>
          <w:tcPr>
            <w:tcW w:w="1654" w:type="dxa"/>
            <w:tcBorders>
              <w:bottom w:val="single" w:sz="4" w:space="0" w:color="auto"/>
            </w:tcBorders>
            <w:vAlign w:val="center"/>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0.12 (0.03)</w:t>
            </w:r>
          </w:p>
        </w:tc>
        <w:tc>
          <w:tcPr>
            <w:tcW w:w="1654" w:type="dxa"/>
            <w:tcBorders>
              <w:bottom w:val="single" w:sz="4" w:space="0" w:color="auto"/>
            </w:tcBorders>
            <w:vAlign w:val="bottom"/>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0.13</w:t>
            </w:r>
            <w:r w:rsidRPr="00CA058B">
              <w:rPr>
                <w:rFonts w:ascii="Arial" w:hAnsi="Arial" w:cs="Arial"/>
                <w:sz w:val="22"/>
                <w:szCs w:val="22"/>
                <w:lang w:val="en-US"/>
              </w:rPr>
              <w:br/>
              <w:t>(0.05,0.20)</w:t>
            </w:r>
          </w:p>
          <w:p w:rsidR="00CA058B" w:rsidRPr="00CA058B" w:rsidRDefault="00CA058B" w:rsidP="00432DE7">
            <w:pPr>
              <w:pStyle w:val="tabletextNS"/>
              <w:keepNext/>
              <w:keepLines/>
              <w:spacing w:before="60"/>
              <w:jc w:val="center"/>
              <w:rPr>
                <w:rFonts w:ascii="Arial" w:hAnsi="Arial" w:cs="Arial"/>
                <w:sz w:val="22"/>
                <w:szCs w:val="22"/>
              </w:rPr>
            </w:pPr>
            <w:r w:rsidRPr="00CA058B">
              <w:rPr>
                <w:rFonts w:ascii="Arial" w:hAnsi="Arial" w:cs="Arial"/>
                <w:sz w:val="22"/>
                <w:szCs w:val="22"/>
                <w:lang w:val="en-US"/>
              </w:rPr>
              <w:t>&lt;0.001</w:t>
            </w:r>
          </w:p>
        </w:tc>
      </w:tr>
      <w:tr w:rsidR="00CA058B" w:rsidRPr="00CA058B" w:rsidTr="00CA058B">
        <w:tc>
          <w:tcPr>
            <w:tcW w:w="2802" w:type="dxa"/>
            <w:shd w:val="clear" w:color="auto" w:fill="auto"/>
            <w:vAlign w:val="center"/>
          </w:tcPr>
          <w:p w:rsidR="00CA058B" w:rsidRPr="00CA058B" w:rsidRDefault="00CA058B" w:rsidP="00432DE7">
            <w:pPr>
              <w:pStyle w:val="tabletextNS"/>
              <w:keepNext/>
              <w:keepLines/>
              <w:spacing w:before="60"/>
              <w:rPr>
                <w:rFonts w:ascii="Arial" w:hAnsi="Arial" w:cs="Arial"/>
                <w:kern w:val="24"/>
                <w:sz w:val="22"/>
                <w:szCs w:val="22"/>
                <w:lang w:val="en-US"/>
              </w:rPr>
            </w:pPr>
            <w:r w:rsidRPr="00CA058B">
              <w:rPr>
                <w:rFonts w:ascii="Arial" w:hAnsi="Arial" w:cs="Arial"/>
                <w:kern w:val="24"/>
                <w:sz w:val="22"/>
                <w:szCs w:val="22"/>
                <w:lang w:val="en-US"/>
              </w:rPr>
              <w:t>Placebo</w:t>
            </w:r>
          </w:p>
          <w:p w:rsidR="00CA058B" w:rsidRPr="00CA058B" w:rsidRDefault="00CA058B" w:rsidP="00432DE7">
            <w:pPr>
              <w:pStyle w:val="tabletextNS"/>
              <w:keepNext/>
              <w:keepLines/>
              <w:spacing w:before="60"/>
              <w:rPr>
                <w:rFonts w:ascii="Arial" w:hAnsi="Arial" w:cs="Arial"/>
                <w:b/>
                <w:kern w:val="24"/>
                <w:sz w:val="22"/>
                <w:szCs w:val="22"/>
              </w:rPr>
            </w:pPr>
            <w:r w:rsidRPr="00CA058B">
              <w:rPr>
                <w:rFonts w:ascii="Arial" w:hAnsi="Arial" w:cs="Arial"/>
                <w:kern w:val="24"/>
                <w:sz w:val="22"/>
                <w:szCs w:val="22"/>
                <w:lang w:val="en-US"/>
              </w:rPr>
              <w:t>(n=68)</w:t>
            </w:r>
          </w:p>
        </w:tc>
        <w:tc>
          <w:tcPr>
            <w:tcW w:w="1653"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1.21 (0.43)</w:t>
            </w: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-0.01 (0.03)</w:t>
            </w:r>
          </w:p>
        </w:tc>
        <w:tc>
          <w:tcPr>
            <w:tcW w:w="1654" w:type="dxa"/>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r w:rsidRPr="00CA058B">
              <w:rPr>
                <w:rFonts w:ascii="Arial" w:hAnsi="Arial" w:cs="Arial"/>
                <w:sz w:val="22"/>
                <w:szCs w:val="22"/>
                <w:lang w:val="en-US"/>
              </w:rPr>
              <w:t>-</w:t>
            </w:r>
          </w:p>
        </w:tc>
      </w:tr>
    </w:tbl>
    <w:p w:rsidR="00CA058B" w:rsidRPr="00CA058B" w:rsidRDefault="00CA058B" w:rsidP="00CA058B">
      <w:pPr>
        <w:keepNext/>
        <w:spacing w:before="120"/>
        <w:rPr>
          <w:rFonts w:ascii="Arial" w:hAnsi="Arial" w:cs="Arial"/>
          <w:lang w:val="en-US"/>
        </w:rPr>
      </w:pPr>
      <w:r w:rsidRPr="00CA058B">
        <w:rPr>
          <w:rFonts w:ascii="Arial" w:hAnsi="Arial" w:cs="Arial"/>
          <w:lang w:val="en-US"/>
        </w:rPr>
        <w:t>Abbreviations: CI= confidence interval; FEV</w:t>
      </w:r>
      <w:r w:rsidRPr="00CA058B">
        <w:rPr>
          <w:rFonts w:ascii="Arial" w:hAnsi="Arial" w:cs="Arial"/>
          <w:vertAlign w:val="subscript"/>
          <w:lang w:val="en-US"/>
        </w:rPr>
        <w:t>1</w:t>
      </w:r>
      <w:r w:rsidRPr="00CA058B">
        <w:rPr>
          <w:rFonts w:ascii="Arial" w:hAnsi="Arial" w:cs="Arial"/>
          <w:lang w:val="en-US"/>
        </w:rPr>
        <w:t xml:space="preserve">= forced expiratory volume in 1 second; L= </w:t>
      </w:r>
      <w:r w:rsidRPr="00CA058B">
        <w:rPr>
          <w:rFonts w:ascii="Arial" w:hAnsi="Arial" w:cs="Arial"/>
        </w:rPr>
        <w:t>litres</w:t>
      </w:r>
      <w:r w:rsidRPr="00CA058B">
        <w:rPr>
          <w:rFonts w:ascii="Arial" w:hAnsi="Arial" w:cs="Arial"/>
          <w:lang w:val="en-US" w:eastAsia="en-US"/>
        </w:rPr>
        <w:t xml:space="preserve">; n= number randomized to treatment; OD= once daily; </w:t>
      </w:r>
      <w:r w:rsidRPr="00CA058B">
        <w:rPr>
          <w:rFonts w:ascii="Arial" w:hAnsi="Arial" w:cs="Arial"/>
          <w:lang w:val="en-US"/>
        </w:rPr>
        <w:t xml:space="preserve">SD= standard deviation; SE= standard error. </w:t>
      </w:r>
    </w:p>
    <w:p w:rsidR="00CA058B" w:rsidRPr="00CA058B" w:rsidRDefault="00CA058B" w:rsidP="00CA058B">
      <w:pPr>
        <w:keepNext/>
        <w:rPr>
          <w:rFonts w:ascii="Arial" w:hAnsi="Arial" w:cs="Arial"/>
          <w:sz w:val="22"/>
          <w:szCs w:val="22"/>
          <w:lang w:val="en-US"/>
        </w:rPr>
      </w:pPr>
    </w:p>
    <w:p w:rsidR="00CA058B" w:rsidRDefault="00A07727" w:rsidP="00CA058B">
      <w:pPr>
        <w:rPr>
          <w:rFonts w:ascii="Arial" w:hAnsi="Arial" w:cs="Arial"/>
          <w:sz w:val="22"/>
          <w:szCs w:val="22"/>
        </w:rPr>
      </w:pPr>
      <w:r>
        <w:rPr>
          <w:rFonts w:ascii="Arial" w:hAnsi="Arial" w:cs="Arial"/>
          <w:sz w:val="22"/>
          <w:szCs w:val="22"/>
        </w:rPr>
        <w:t>Incruse</w:t>
      </w:r>
      <w:r w:rsidR="00CA058B" w:rsidRPr="009221C3">
        <w:rPr>
          <w:rFonts w:ascii="Arial" w:hAnsi="Arial" w:cs="Arial"/>
          <w:sz w:val="22"/>
          <w:szCs w:val="22"/>
        </w:rPr>
        <w:t xml:space="preserve"> Ellipta</w:t>
      </w:r>
      <w:r w:rsidR="00CA058B" w:rsidRPr="00CA058B">
        <w:rPr>
          <w:rFonts w:ascii="Arial" w:hAnsi="Arial" w:cs="Arial"/>
          <w:sz w:val="22"/>
          <w:szCs w:val="22"/>
        </w:rPr>
        <w:t xml:space="preserve"> demonstrated a statistically significant greater improvement from baseline in weighted mean FEV</w:t>
      </w:r>
      <w:r w:rsidR="00CA058B" w:rsidRPr="00CA058B">
        <w:rPr>
          <w:rFonts w:ascii="Arial" w:hAnsi="Arial" w:cs="Arial"/>
          <w:sz w:val="22"/>
          <w:szCs w:val="22"/>
          <w:vertAlign w:val="subscript"/>
        </w:rPr>
        <w:t xml:space="preserve">1 </w:t>
      </w:r>
      <w:r w:rsidR="00CA058B" w:rsidRPr="00CA058B">
        <w:rPr>
          <w:rFonts w:ascii="Arial" w:hAnsi="Arial" w:cs="Arial"/>
          <w:sz w:val="22"/>
          <w:szCs w:val="22"/>
        </w:rPr>
        <w:t>over 0-6 hours post-dose at Week 12</w:t>
      </w:r>
      <w:r w:rsidR="00CA058B" w:rsidRPr="00CA058B">
        <w:rPr>
          <w:rFonts w:ascii="Arial" w:hAnsi="Arial" w:cs="Arial"/>
          <w:color w:val="0000FF"/>
          <w:sz w:val="22"/>
          <w:szCs w:val="22"/>
        </w:rPr>
        <w:t xml:space="preserve"> </w:t>
      </w:r>
      <w:r w:rsidR="00CA058B" w:rsidRPr="00CA058B">
        <w:rPr>
          <w:rFonts w:ascii="Arial" w:hAnsi="Arial" w:cs="Arial"/>
          <w:sz w:val="22"/>
          <w:szCs w:val="22"/>
        </w:rPr>
        <w:t>compared with placebo (0.17 L (p&lt;0.001)).</w:t>
      </w:r>
    </w:p>
    <w:p w:rsidR="00CA058B" w:rsidRPr="00CA058B" w:rsidRDefault="00CA058B" w:rsidP="00CA058B">
      <w:pPr>
        <w:rPr>
          <w:rFonts w:ascii="Arial" w:hAnsi="Arial" w:cs="Arial"/>
          <w:sz w:val="22"/>
          <w:szCs w:val="22"/>
        </w:rPr>
      </w:pPr>
    </w:p>
    <w:p w:rsidR="00CA058B" w:rsidRDefault="00CA058B" w:rsidP="00CA058B">
      <w:pPr>
        <w:rPr>
          <w:rFonts w:ascii="Arial" w:hAnsi="Arial" w:cs="Arial"/>
          <w:sz w:val="22"/>
          <w:szCs w:val="22"/>
        </w:rPr>
      </w:pPr>
      <w:r w:rsidRPr="00CA058B">
        <w:rPr>
          <w:rFonts w:ascii="Arial" w:hAnsi="Arial" w:cs="Arial"/>
          <w:sz w:val="22"/>
          <w:szCs w:val="22"/>
        </w:rPr>
        <w:t xml:space="preserve">The percentage of patients receiving </w:t>
      </w:r>
      <w:r w:rsidR="00A07727">
        <w:rPr>
          <w:rFonts w:ascii="Arial" w:hAnsi="Arial" w:cs="Arial"/>
          <w:sz w:val="22"/>
          <w:szCs w:val="22"/>
        </w:rPr>
        <w:t>Incruse</w:t>
      </w:r>
      <w:r w:rsidRPr="009221C3">
        <w:rPr>
          <w:rFonts w:ascii="Arial" w:hAnsi="Arial" w:cs="Arial"/>
          <w:sz w:val="22"/>
          <w:szCs w:val="22"/>
        </w:rPr>
        <w:t xml:space="preserve"> Ellipta</w:t>
      </w:r>
      <w:r w:rsidRPr="00CA058B">
        <w:rPr>
          <w:rFonts w:ascii="Arial" w:hAnsi="Arial" w:cs="Arial"/>
          <w:sz w:val="22"/>
          <w:szCs w:val="22"/>
        </w:rPr>
        <w:t xml:space="preserve"> that responded with a minimum clinically important difference (MCID) of </w:t>
      </w:r>
      <w:r w:rsidRPr="00CA058B">
        <w:rPr>
          <w:rFonts w:ascii="Arial" w:hAnsi="Arial" w:cs="Arial"/>
          <w:sz w:val="22"/>
          <w:szCs w:val="22"/>
        </w:rPr>
        <w:sym w:font="Symbol" w:char="F0B3"/>
      </w:r>
      <w:r w:rsidRPr="00CA058B">
        <w:rPr>
          <w:rFonts w:ascii="Arial" w:hAnsi="Arial" w:cs="Arial"/>
          <w:sz w:val="22"/>
          <w:szCs w:val="22"/>
        </w:rPr>
        <w:t xml:space="preserve">1 unit Transition Dyspnoea Index (TDI) focal score at Week 12 was 38% (24/64) compared with 15% (8/53) for placebo. The odds of being a TDI responder vs. a non responder, was statistically significantly greater for </w:t>
      </w:r>
      <w:r w:rsidR="00A07727">
        <w:rPr>
          <w:rFonts w:ascii="Arial" w:hAnsi="Arial" w:cs="Arial"/>
          <w:sz w:val="22"/>
          <w:szCs w:val="22"/>
        </w:rPr>
        <w:t>Incruse</w:t>
      </w:r>
      <w:r w:rsidRPr="009221C3">
        <w:rPr>
          <w:rFonts w:ascii="Arial" w:hAnsi="Arial" w:cs="Arial"/>
          <w:sz w:val="22"/>
          <w:szCs w:val="22"/>
        </w:rPr>
        <w:t xml:space="preserve"> Ellipta</w:t>
      </w:r>
      <w:r w:rsidRPr="00CA058B">
        <w:rPr>
          <w:rFonts w:ascii="Arial" w:hAnsi="Arial" w:cs="Arial"/>
          <w:sz w:val="22"/>
          <w:szCs w:val="22"/>
        </w:rPr>
        <w:t xml:space="preserve"> compared with placebo at Week 12 (Odds Ratio 3.4 (95% CI 1.3,8.4), p=0.009).</w:t>
      </w:r>
    </w:p>
    <w:p w:rsidR="00CA058B" w:rsidRDefault="00CA058B" w:rsidP="00CA058B">
      <w:pPr>
        <w:rPr>
          <w:rFonts w:ascii="Arial" w:hAnsi="Arial" w:cs="Arial"/>
          <w:sz w:val="22"/>
          <w:szCs w:val="22"/>
        </w:rPr>
      </w:pPr>
    </w:p>
    <w:p w:rsidR="00CA058B" w:rsidRDefault="00A07727" w:rsidP="00CA058B">
      <w:pPr>
        <w:rPr>
          <w:rFonts w:ascii="Arial" w:hAnsi="Arial" w:cs="Arial"/>
          <w:sz w:val="22"/>
          <w:szCs w:val="22"/>
        </w:rPr>
      </w:pPr>
      <w:r>
        <w:rPr>
          <w:rFonts w:ascii="Arial" w:hAnsi="Arial" w:cs="Arial"/>
          <w:sz w:val="22"/>
          <w:szCs w:val="22"/>
        </w:rPr>
        <w:t>Incruse</w:t>
      </w:r>
      <w:r w:rsidR="00CA058B" w:rsidRPr="009221C3">
        <w:rPr>
          <w:rFonts w:ascii="Arial" w:hAnsi="Arial" w:cs="Arial"/>
          <w:sz w:val="22"/>
          <w:szCs w:val="22"/>
        </w:rPr>
        <w:t xml:space="preserve"> Ellipta</w:t>
      </w:r>
      <w:r w:rsidR="00CA058B" w:rsidRPr="00CA058B">
        <w:rPr>
          <w:rFonts w:ascii="Arial" w:hAnsi="Arial" w:cs="Arial"/>
          <w:sz w:val="22"/>
          <w:szCs w:val="22"/>
        </w:rPr>
        <w:t xml:space="preserve"> demonstrated statistically significant improvements from placebo in the change from baseline in total score at Week 12 for the St. George’s Respiratory Questionnaire (SGRQ), a disease</w:t>
      </w:r>
      <w:r w:rsidR="00CA058B" w:rsidRPr="00CA058B">
        <w:rPr>
          <w:rFonts w:ascii="Arial" w:hAnsi="Arial" w:cs="Arial"/>
          <w:sz w:val="22"/>
          <w:szCs w:val="22"/>
        </w:rPr>
        <w:noBreakHyphen/>
        <w:t xml:space="preserve">specific health status measure (-7.90 units) (p&lt;0.001). The percentage of patients receiving </w:t>
      </w:r>
      <w:r>
        <w:rPr>
          <w:rFonts w:ascii="Arial" w:hAnsi="Arial" w:cs="Arial"/>
          <w:sz w:val="22"/>
          <w:szCs w:val="22"/>
        </w:rPr>
        <w:t>Incruse</w:t>
      </w:r>
      <w:r w:rsidR="00CA058B" w:rsidRPr="009221C3">
        <w:rPr>
          <w:rFonts w:ascii="Arial" w:hAnsi="Arial" w:cs="Arial"/>
          <w:sz w:val="22"/>
          <w:szCs w:val="22"/>
        </w:rPr>
        <w:t xml:space="preserve"> Ellipta</w:t>
      </w:r>
      <w:r w:rsidR="00CA058B" w:rsidRPr="00CA058B">
        <w:rPr>
          <w:rFonts w:ascii="Arial" w:hAnsi="Arial" w:cs="Arial"/>
          <w:sz w:val="22"/>
          <w:szCs w:val="22"/>
        </w:rPr>
        <w:t xml:space="preserve"> that responded with a reduction of </w:t>
      </w:r>
      <w:r w:rsidR="00CA058B" w:rsidRPr="00CA058B">
        <w:rPr>
          <w:rFonts w:ascii="Arial" w:hAnsi="Arial" w:cs="Arial"/>
          <w:sz w:val="22"/>
          <w:szCs w:val="22"/>
        </w:rPr>
        <w:sym w:font="Symbol" w:char="F0B3"/>
      </w:r>
      <w:r w:rsidR="00CA058B" w:rsidRPr="00CA058B">
        <w:rPr>
          <w:rFonts w:ascii="Arial" w:hAnsi="Arial" w:cs="Arial"/>
          <w:sz w:val="22"/>
          <w:szCs w:val="22"/>
        </w:rPr>
        <w:t xml:space="preserve">4 units (MCID) in SGRQ total score at Week 12 was 44% (28/63) compared with 26% (14/54) for placebo. The odds of being a SGRQ responder vs. a non responder, was statistically significantly greater for </w:t>
      </w:r>
      <w:r>
        <w:rPr>
          <w:rFonts w:ascii="Arial" w:hAnsi="Arial" w:cs="Arial"/>
          <w:sz w:val="22"/>
          <w:szCs w:val="22"/>
        </w:rPr>
        <w:t>Incruse</w:t>
      </w:r>
      <w:r w:rsidR="00CA058B" w:rsidRPr="009221C3">
        <w:rPr>
          <w:rFonts w:ascii="Arial" w:hAnsi="Arial" w:cs="Arial"/>
          <w:sz w:val="22"/>
          <w:szCs w:val="22"/>
        </w:rPr>
        <w:t xml:space="preserve"> Ellipta</w:t>
      </w:r>
      <w:r w:rsidR="00CA058B" w:rsidRPr="00CA058B">
        <w:rPr>
          <w:rFonts w:ascii="Arial" w:hAnsi="Arial" w:cs="Arial"/>
          <w:sz w:val="22"/>
          <w:szCs w:val="22"/>
        </w:rPr>
        <w:t xml:space="preserve"> compared with placebo at Week 12 (Odds Ratio 2.44 (95% CI 1.08,</w:t>
      </w:r>
      <w:r w:rsidR="00CA058B">
        <w:rPr>
          <w:rFonts w:ascii="Arial" w:hAnsi="Arial" w:cs="Arial"/>
          <w:sz w:val="22"/>
          <w:szCs w:val="22"/>
        </w:rPr>
        <w:t xml:space="preserve"> </w:t>
      </w:r>
      <w:r w:rsidR="00CA058B" w:rsidRPr="00CA058B">
        <w:rPr>
          <w:rFonts w:ascii="Arial" w:hAnsi="Arial" w:cs="Arial"/>
          <w:sz w:val="22"/>
          <w:szCs w:val="22"/>
        </w:rPr>
        <w:t>5.50), p=0.032).</w:t>
      </w:r>
    </w:p>
    <w:p w:rsidR="00CA058B" w:rsidRPr="00CA058B" w:rsidRDefault="00CA058B" w:rsidP="00CA058B">
      <w:pPr>
        <w:rPr>
          <w:rFonts w:ascii="Arial" w:hAnsi="Arial" w:cs="Arial"/>
          <w:sz w:val="22"/>
          <w:szCs w:val="22"/>
        </w:rPr>
      </w:pPr>
    </w:p>
    <w:p w:rsidR="00CA058B" w:rsidRDefault="00CA058B" w:rsidP="00CA058B">
      <w:pPr>
        <w:rPr>
          <w:rFonts w:ascii="Arial" w:hAnsi="Arial" w:cs="Arial"/>
          <w:sz w:val="22"/>
          <w:szCs w:val="22"/>
        </w:rPr>
      </w:pPr>
      <w:r w:rsidRPr="00CA058B">
        <w:rPr>
          <w:rFonts w:ascii="Arial" w:hAnsi="Arial" w:cs="Arial"/>
          <w:sz w:val="22"/>
          <w:szCs w:val="22"/>
        </w:rPr>
        <w:lastRenderedPageBreak/>
        <w:t xml:space="preserve">In addition, patients treated with </w:t>
      </w:r>
      <w:r w:rsidR="00A07727">
        <w:rPr>
          <w:rFonts w:ascii="Arial" w:hAnsi="Arial" w:cs="Arial"/>
          <w:sz w:val="22"/>
          <w:szCs w:val="22"/>
        </w:rPr>
        <w:t>Incruse</w:t>
      </w:r>
      <w:r w:rsidRPr="009221C3">
        <w:rPr>
          <w:rFonts w:ascii="Arial" w:hAnsi="Arial" w:cs="Arial"/>
          <w:sz w:val="22"/>
          <w:szCs w:val="22"/>
        </w:rPr>
        <w:t xml:space="preserve"> Ellipta</w:t>
      </w:r>
      <w:r w:rsidRPr="00CA058B" w:rsidDel="00DB145A">
        <w:rPr>
          <w:rFonts w:ascii="Arial" w:hAnsi="Arial" w:cs="Arial"/>
          <w:sz w:val="22"/>
          <w:szCs w:val="22"/>
        </w:rPr>
        <w:t xml:space="preserve"> </w:t>
      </w:r>
      <w:r w:rsidRPr="00CA058B">
        <w:rPr>
          <w:rFonts w:ascii="Arial" w:hAnsi="Arial" w:cs="Arial"/>
          <w:sz w:val="22"/>
          <w:szCs w:val="22"/>
        </w:rPr>
        <w:t>required less rescue salbutamol over the 12-week treatment period than those treated with placebo (mean reduction of 0.7 puffs per day and the difference from placebo was statistically significant (p=0.025)).</w:t>
      </w:r>
    </w:p>
    <w:p w:rsidR="00CA058B" w:rsidRPr="00CA058B" w:rsidRDefault="00CA058B" w:rsidP="00CA058B">
      <w:pPr>
        <w:rPr>
          <w:rFonts w:ascii="Arial" w:hAnsi="Arial" w:cs="Arial"/>
          <w:sz w:val="22"/>
          <w:szCs w:val="22"/>
        </w:rPr>
      </w:pPr>
    </w:p>
    <w:p w:rsidR="00CA058B" w:rsidRDefault="00CA058B" w:rsidP="00CA058B">
      <w:pPr>
        <w:rPr>
          <w:rFonts w:ascii="Arial" w:hAnsi="Arial" w:cs="Arial"/>
          <w:sz w:val="22"/>
          <w:szCs w:val="22"/>
        </w:rPr>
      </w:pPr>
      <w:r w:rsidRPr="00CA058B">
        <w:rPr>
          <w:rFonts w:ascii="Arial" w:hAnsi="Arial" w:cs="Arial"/>
          <w:sz w:val="22"/>
          <w:szCs w:val="22"/>
        </w:rPr>
        <w:t xml:space="preserve">In the 24-week study, DB2113373, </w:t>
      </w:r>
      <w:r w:rsidR="00A07727">
        <w:rPr>
          <w:rFonts w:ascii="Arial" w:hAnsi="Arial" w:cs="Arial"/>
          <w:sz w:val="22"/>
          <w:szCs w:val="22"/>
        </w:rPr>
        <w:t>Incruse</w:t>
      </w:r>
      <w:r w:rsidR="00432DE7" w:rsidRPr="009221C3">
        <w:rPr>
          <w:rFonts w:ascii="Arial" w:hAnsi="Arial" w:cs="Arial"/>
          <w:sz w:val="22"/>
          <w:szCs w:val="22"/>
        </w:rPr>
        <w:t xml:space="preserve"> Ellipta</w:t>
      </w:r>
      <w:r w:rsidRPr="00CA058B">
        <w:rPr>
          <w:rFonts w:ascii="Arial" w:hAnsi="Arial" w:cs="Arial"/>
          <w:sz w:val="22"/>
          <w:szCs w:val="22"/>
        </w:rPr>
        <w:t xml:space="preserve"> demonstrated statistically significant improvements in lung function (as defined by change from baseline trough FEV</w:t>
      </w:r>
      <w:r w:rsidRPr="00CA058B">
        <w:rPr>
          <w:rFonts w:ascii="Arial" w:hAnsi="Arial" w:cs="Arial"/>
          <w:sz w:val="22"/>
          <w:szCs w:val="22"/>
          <w:vertAlign w:val="subscript"/>
        </w:rPr>
        <w:t xml:space="preserve">1 </w:t>
      </w:r>
      <w:r w:rsidRPr="00CA058B">
        <w:rPr>
          <w:rFonts w:ascii="Arial" w:hAnsi="Arial" w:cs="Arial"/>
          <w:sz w:val="22"/>
          <w:szCs w:val="22"/>
        </w:rPr>
        <w:t xml:space="preserve">at Week 24 , which was the primary efficacy endpoint compared with placebo (see </w:t>
      </w:r>
      <w:r w:rsidRPr="00CA058B">
        <w:rPr>
          <w:rFonts w:ascii="Arial" w:hAnsi="Arial" w:cs="Arial"/>
          <w:i/>
          <w:sz w:val="22"/>
          <w:szCs w:val="22"/>
        </w:rPr>
        <w:t>Table 2</w:t>
      </w:r>
      <w:r w:rsidRPr="00CA058B">
        <w:rPr>
          <w:rFonts w:ascii="Arial" w:hAnsi="Arial" w:cs="Arial"/>
          <w:sz w:val="22"/>
          <w:szCs w:val="22"/>
        </w:rPr>
        <w:t xml:space="preserve">). The bronchodilatory effects with </w:t>
      </w:r>
      <w:r w:rsidR="00A07727">
        <w:rPr>
          <w:rFonts w:ascii="Arial" w:hAnsi="Arial" w:cs="Arial"/>
          <w:sz w:val="22"/>
          <w:szCs w:val="22"/>
        </w:rPr>
        <w:t>Incruse</w:t>
      </w:r>
      <w:r w:rsidR="00432DE7" w:rsidRPr="009221C3">
        <w:rPr>
          <w:rFonts w:ascii="Arial" w:hAnsi="Arial" w:cs="Arial"/>
          <w:sz w:val="22"/>
          <w:szCs w:val="22"/>
        </w:rPr>
        <w:t xml:space="preserve"> Ellipta</w:t>
      </w:r>
      <w:r w:rsidRPr="00CA058B">
        <w:rPr>
          <w:rFonts w:ascii="Arial" w:hAnsi="Arial" w:cs="Arial"/>
          <w:sz w:val="22"/>
          <w:szCs w:val="22"/>
        </w:rPr>
        <w:t xml:space="preserve"> compared with placebo were evident after the first day of treatment and were maintained over the 24-week treatment period.</w:t>
      </w:r>
    </w:p>
    <w:p w:rsidR="00CA058B" w:rsidRPr="00CA058B" w:rsidRDefault="00CA058B" w:rsidP="00CA058B">
      <w:pPr>
        <w:rPr>
          <w:rFonts w:ascii="Arial" w:hAnsi="Arial" w:cs="Arial"/>
          <w:sz w:val="22"/>
          <w:szCs w:val="22"/>
        </w:rPr>
      </w:pPr>
    </w:p>
    <w:p w:rsidR="00203C20" w:rsidRDefault="00203C20" w:rsidP="00CA058B">
      <w:pPr>
        <w:rPr>
          <w:rFonts w:ascii="Arial" w:hAnsi="Arial" w:cs="Arial"/>
          <w:b/>
          <w:sz w:val="22"/>
          <w:szCs w:val="22"/>
        </w:rPr>
      </w:pPr>
    </w:p>
    <w:p w:rsidR="00B912F6" w:rsidRDefault="00B912F6" w:rsidP="00CA058B">
      <w:pPr>
        <w:rPr>
          <w:rFonts w:ascii="Arial" w:hAnsi="Arial" w:cs="Arial"/>
          <w:b/>
          <w:sz w:val="22"/>
          <w:szCs w:val="22"/>
        </w:rPr>
      </w:pPr>
    </w:p>
    <w:p w:rsidR="00B912F6" w:rsidRDefault="00B912F6" w:rsidP="00CA058B">
      <w:pPr>
        <w:rPr>
          <w:rFonts w:ascii="Arial" w:hAnsi="Arial" w:cs="Arial"/>
          <w:b/>
          <w:sz w:val="22"/>
          <w:szCs w:val="22"/>
        </w:rPr>
      </w:pPr>
    </w:p>
    <w:p w:rsidR="00CA058B" w:rsidRPr="00CA058B" w:rsidRDefault="00CA058B" w:rsidP="00CA058B">
      <w:pPr>
        <w:rPr>
          <w:rFonts w:ascii="Arial" w:hAnsi="Arial" w:cs="Arial"/>
          <w:b/>
          <w:sz w:val="22"/>
          <w:szCs w:val="22"/>
        </w:rPr>
      </w:pPr>
      <w:r w:rsidRPr="00CA058B">
        <w:rPr>
          <w:rFonts w:ascii="Arial" w:hAnsi="Arial" w:cs="Arial"/>
          <w:b/>
          <w:sz w:val="22"/>
          <w:szCs w:val="22"/>
        </w:rPr>
        <w:t>Table 2. Primary efficacy endpoint at Week 24 (Study DB2113373)</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559"/>
        <w:gridCol w:w="1559"/>
        <w:gridCol w:w="1560"/>
      </w:tblGrid>
      <w:tr w:rsidR="00CA058B" w:rsidRPr="00CA058B" w:rsidTr="00CA058B">
        <w:trPr>
          <w:tblHeader/>
        </w:trPr>
        <w:tc>
          <w:tcPr>
            <w:tcW w:w="3085" w:type="dxa"/>
            <w:vMerge w:val="restart"/>
            <w:shd w:val="clear" w:color="auto" w:fill="auto"/>
            <w:vAlign w:val="center"/>
          </w:tcPr>
          <w:p w:rsidR="00CA058B" w:rsidRPr="00CA058B" w:rsidRDefault="00CA058B" w:rsidP="00432DE7">
            <w:pPr>
              <w:pStyle w:val="tabletextNS"/>
              <w:keepNext/>
              <w:keepLines/>
              <w:spacing w:before="60"/>
              <w:rPr>
                <w:rFonts w:ascii="Arial" w:hAnsi="Arial" w:cs="Arial"/>
                <w:b/>
                <w:sz w:val="22"/>
                <w:szCs w:val="22"/>
              </w:rPr>
            </w:pPr>
          </w:p>
        </w:tc>
        <w:tc>
          <w:tcPr>
            <w:tcW w:w="4678" w:type="dxa"/>
            <w:gridSpan w:val="3"/>
            <w:shd w:val="clear" w:color="auto" w:fill="auto"/>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Trough FEV</w:t>
            </w:r>
            <w:r w:rsidRPr="00CA058B">
              <w:rPr>
                <w:rFonts w:ascii="Arial" w:hAnsi="Arial" w:cs="Arial"/>
                <w:b/>
                <w:sz w:val="22"/>
                <w:szCs w:val="22"/>
                <w:vertAlign w:val="subscript"/>
              </w:rPr>
              <w:t>1</w:t>
            </w:r>
            <w:r w:rsidRPr="00CA058B">
              <w:rPr>
                <w:rFonts w:ascii="Arial" w:hAnsi="Arial" w:cs="Arial"/>
                <w:b/>
                <w:sz w:val="22"/>
                <w:szCs w:val="22"/>
              </w:rPr>
              <w:t xml:space="preserve"> (L) </w:t>
            </w:r>
          </w:p>
        </w:tc>
      </w:tr>
      <w:tr w:rsidR="00CA058B" w:rsidRPr="00CA058B" w:rsidTr="00CA058B">
        <w:trPr>
          <w:trHeight w:val="688"/>
        </w:trPr>
        <w:tc>
          <w:tcPr>
            <w:tcW w:w="3085" w:type="dxa"/>
            <w:vMerge/>
            <w:tcBorders>
              <w:bottom w:val="single" w:sz="4" w:space="0" w:color="auto"/>
            </w:tcBorders>
            <w:shd w:val="clear" w:color="auto" w:fill="auto"/>
            <w:vAlign w:val="bottom"/>
          </w:tcPr>
          <w:p w:rsidR="00CA058B" w:rsidRPr="00CA058B" w:rsidRDefault="00CA058B" w:rsidP="00432DE7">
            <w:pPr>
              <w:pStyle w:val="tabletextNS"/>
              <w:keepNext/>
              <w:keepLines/>
              <w:spacing w:before="60" w:after="40"/>
              <w:ind w:firstLine="91"/>
              <w:rPr>
                <w:rFonts w:ascii="Arial" w:hAnsi="Arial" w:cs="Arial"/>
                <w:b/>
                <w:sz w:val="22"/>
                <w:szCs w:val="22"/>
              </w:rPr>
            </w:pPr>
          </w:p>
        </w:tc>
        <w:tc>
          <w:tcPr>
            <w:tcW w:w="1559" w:type="dxa"/>
            <w:tcBorders>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p>
        </w:tc>
        <w:tc>
          <w:tcPr>
            <w:tcW w:w="1559" w:type="dxa"/>
            <w:tcBorders>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p>
        </w:tc>
        <w:tc>
          <w:tcPr>
            <w:tcW w:w="1560"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Difference from Placebo</w:t>
            </w:r>
          </w:p>
        </w:tc>
      </w:tr>
      <w:tr w:rsidR="00CA058B" w:rsidRPr="00CA058B" w:rsidTr="00CA058B">
        <w:trPr>
          <w:trHeight w:val="688"/>
        </w:trPr>
        <w:tc>
          <w:tcPr>
            <w:tcW w:w="3085" w:type="dxa"/>
            <w:vMerge/>
            <w:tcBorders>
              <w:bottom w:val="single" w:sz="4" w:space="0" w:color="auto"/>
            </w:tcBorders>
            <w:shd w:val="clear" w:color="auto" w:fill="auto"/>
            <w:vAlign w:val="bottom"/>
          </w:tcPr>
          <w:p w:rsidR="00CA058B" w:rsidRPr="00CA058B" w:rsidRDefault="00CA058B" w:rsidP="00432DE7">
            <w:pPr>
              <w:pStyle w:val="tabletextNS"/>
              <w:keepNext/>
              <w:keepLines/>
              <w:spacing w:before="60" w:after="40"/>
              <w:ind w:firstLine="91"/>
              <w:rPr>
                <w:rFonts w:ascii="Arial" w:hAnsi="Arial" w:cs="Arial"/>
                <w:b/>
                <w:sz w:val="22"/>
                <w:szCs w:val="22"/>
              </w:rPr>
            </w:pPr>
          </w:p>
        </w:tc>
        <w:tc>
          <w:tcPr>
            <w:tcW w:w="1559" w:type="dxa"/>
            <w:tcBorders>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Baseline (SD)</w:t>
            </w:r>
          </w:p>
        </w:tc>
        <w:tc>
          <w:tcPr>
            <w:tcW w:w="1559" w:type="dxa"/>
            <w:tcBorders>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 xml:space="preserve">Change from baseline </w:t>
            </w:r>
            <w:r w:rsidRPr="00CA058B">
              <w:rPr>
                <w:rFonts w:ascii="Arial" w:hAnsi="Arial" w:cs="Arial"/>
                <w:b/>
                <w:sz w:val="22"/>
                <w:szCs w:val="22"/>
              </w:rPr>
              <w:br/>
              <w:t>(SE)</w:t>
            </w:r>
          </w:p>
        </w:tc>
        <w:tc>
          <w:tcPr>
            <w:tcW w:w="1560"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 xml:space="preserve">Treatment </w:t>
            </w:r>
            <w:r w:rsidRPr="00CA058B">
              <w:rPr>
                <w:rFonts w:ascii="Arial" w:hAnsi="Arial" w:cs="Arial"/>
                <w:b/>
                <w:sz w:val="22"/>
                <w:szCs w:val="22"/>
              </w:rPr>
              <w:br/>
              <w:t xml:space="preserve">Difference </w:t>
            </w:r>
            <w:r w:rsidRPr="00CA058B">
              <w:rPr>
                <w:rFonts w:ascii="Arial" w:hAnsi="Arial" w:cs="Arial"/>
                <w:b/>
                <w:sz w:val="22"/>
                <w:szCs w:val="22"/>
              </w:rPr>
              <w:br/>
              <w:t xml:space="preserve">(95% CI) </w:t>
            </w:r>
          </w:p>
          <w:p w:rsidR="00CA058B" w:rsidRPr="00CA058B" w:rsidRDefault="00CA058B" w:rsidP="00432DE7">
            <w:pPr>
              <w:pStyle w:val="tabletextNS"/>
              <w:keepNext/>
              <w:keepLines/>
              <w:spacing w:before="60"/>
              <w:jc w:val="center"/>
              <w:rPr>
                <w:rFonts w:ascii="Arial" w:hAnsi="Arial" w:cs="Arial"/>
                <w:b/>
                <w:sz w:val="22"/>
                <w:szCs w:val="22"/>
              </w:rPr>
            </w:pPr>
            <w:r w:rsidRPr="00CA058B">
              <w:rPr>
                <w:rFonts w:ascii="Arial" w:hAnsi="Arial" w:cs="Arial"/>
                <w:b/>
                <w:sz w:val="22"/>
                <w:szCs w:val="22"/>
              </w:rPr>
              <w:t>p-value</w:t>
            </w:r>
          </w:p>
        </w:tc>
      </w:tr>
      <w:tr w:rsidR="00CA058B" w:rsidRPr="00CA058B" w:rsidTr="00CA058B">
        <w:tc>
          <w:tcPr>
            <w:tcW w:w="3085"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rPr>
                <w:rFonts w:ascii="Arial" w:hAnsi="Arial" w:cs="Arial"/>
                <w:b/>
                <w:kern w:val="24"/>
                <w:sz w:val="22"/>
                <w:szCs w:val="22"/>
              </w:rPr>
            </w:pPr>
            <w:r w:rsidRPr="00CA058B">
              <w:rPr>
                <w:rFonts w:ascii="Arial" w:hAnsi="Arial" w:cs="Arial"/>
                <w:b/>
                <w:kern w:val="24"/>
                <w:sz w:val="22"/>
                <w:szCs w:val="22"/>
              </w:rPr>
              <w:t>Study DB2113373</w:t>
            </w:r>
          </w:p>
        </w:tc>
        <w:tc>
          <w:tcPr>
            <w:tcW w:w="1559"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c>
          <w:tcPr>
            <w:tcW w:w="1559"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c>
          <w:tcPr>
            <w:tcW w:w="1560" w:type="dxa"/>
            <w:tcBorders>
              <w:top w:val="single" w:sz="4" w:space="0" w:color="auto"/>
              <w:bottom w:val="single" w:sz="4" w:space="0" w:color="auto"/>
            </w:tcBorders>
            <w:shd w:val="clear" w:color="auto" w:fill="auto"/>
            <w:vAlign w:val="center"/>
          </w:tcPr>
          <w:p w:rsidR="00CA058B" w:rsidRPr="00CA058B" w:rsidRDefault="00CA058B" w:rsidP="00432DE7">
            <w:pPr>
              <w:pStyle w:val="tabletextNS"/>
              <w:keepNext/>
              <w:keepLines/>
              <w:spacing w:before="60"/>
              <w:jc w:val="center"/>
              <w:rPr>
                <w:rFonts w:ascii="Arial" w:hAnsi="Arial" w:cs="Arial"/>
                <w:sz w:val="22"/>
                <w:szCs w:val="22"/>
                <w:lang w:val="en-US"/>
              </w:rPr>
            </w:pPr>
          </w:p>
        </w:tc>
      </w:tr>
      <w:tr w:rsidR="00CA058B" w:rsidRPr="00CA058B" w:rsidTr="00CA058B">
        <w:tc>
          <w:tcPr>
            <w:tcW w:w="3085" w:type="dxa"/>
            <w:tcBorders>
              <w:top w:val="single" w:sz="4" w:space="0" w:color="auto"/>
              <w:bottom w:val="nil"/>
            </w:tcBorders>
            <w:vAlign w:val="center"/>
          </w:tcPr>
          <w:p w:rsidR="00CA058B" w:rsidRPr="00CA058B" w:rsidRDefault="00A07727" w:rsidP="00432DE7">
            <w:pPr>
              <w:pStyle w:val="tabletextNS"/>
              <w:keepNext/>
              <w:keepLines/>
              <w:spacing w:before="60"/>
              <w:rPr>
                <w:rFonts w:ascii="Arial" w:hAnsi="Arial" w:cs="Arial"/>
                <w:kern w:val="24"/>
                <w:sz w:val="22"/>
                <w:szCs w:val="22"/>
                <w:lang w:val="en-US"/>
              </w:rPr>
            </w:pPr>
            <w:r>
              <w:rPr>
                <w:rFonts w:ascii="Arial" w:hAnsi="Arial" w:cs="Arial"/>
                <w:sz w:val="22"/>
                <w:szCs w:val="22"/>
              </w:rPr>
              <w:t>Incruse</w:t>
            </w:r>
            <w:r w:rsidR="00432DE7" w:rsidRPr="009221C3">
              <w:rPr>
                <w:rFonts w:ascii="Arial" w:hAnsi="Arial" w:cs="Arial"/>
                <w:sz w:val="22"/>
                <w:szCs w:val="22"/>
              </w:rPr>
              <w:t xml:space="preserve"> Ellipta</w:t>
            </w:r>
            <w:r w:rsidR="00CA058B" w:rsidRPr="00CA058B">
              <w:rPr>
                <w:rFonts w:ascii="Arial" w:hAnsi="Arial" w:cs="Arial"/>
                <w:kern w:val="24"/>
                <w:sz w:val="22"/>
                <w:szCs w:val="22"/>
                <w:lang w:val="en-US"/>
              </w:rPr>
              <w:br/>
              <w:t xml:space="preserve">62.5 </w:t>
            </w:r>
            <w:r w:rsidR="008F5A0C">
              <w:rPr>
                <w:rFonts w:ascii="Arial" w:hAnsi="Arial" w:cs="Arial"/>
                <w:kern w:val="24"/>
                <w:sz w:val="22"/>
                <w:szCs w:val="22"/>
                <w:lang w:val="en-US"/>
              </w:rPr>
              <w:t>micrograms</w:t>
            </w:r>
            <w:r w:rsidR="00CA058B" w:rsidRPr="00CA058B">
              <w:rPr>
                <w:rFonts w:ascii="Arial" w:hAnsi="Arial" w:cs="Arial"/>
                <w:kern w:val="24"/>
                <w:sz w:val="22"/>
                <w:szCs w:val="22"/>
                <w:lang w:val="en-US"/>
              </w:rPr>
              <w:t xml:space="preserve"> OD</w:t>
            </w:r>
          </w:p>
          <w:p w:rsidR="00CA058B" w:rsidRPr="00CA058B" w:rsidRDefault="00CA058B" w:rsidP="00432DE7">
            <w:pPr>
              <w:pStyle w:val="tabletextNS"/>
              <w:keepNext/>
              <w:keepLines/>
              <w:spacing w:before="60"/>
              <w:rPr>
                <w:rFonts w:ascii="Arial" w:hAnsi="Arial" w:cs="Arial"/>
                <w:kern w:val="24"/>
                <w:sz w:val="22"/>
                <w:szCs w:val="22"/>
              </w:rPr>
            </w:pPr>
            <w:r w:rsidRPr="00CA058B">
              <w:rPr>
                <w:rFonts w:ascii="Arial" w:hAnsi="Arial" w:cs="Arial"/>
                <w:kern w:val="24"/>
                <w:sz w:val="22"/>
                <w:szCs w:val="22"/>
                <w:lang w:val="en-US"/>
              </w:rPr>
              <w:t>(n= 418)</w:t>
            </w:r>
          </w:p>
        </w:tc>
        <w:tc>
          <w:tcPr>
            <w:tcW w:w="1559" w:type="dxa"/>
            <w:tcBorders>
              <w:top w:val="single" w:sz="4" w:space="0" w:color="auto"/>
              <w:bottom w:val="nil"/>
            </w:tcBorders>
            <w:vAlign w:val="center"/>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1.20 (0.49)</w:t>
            </w:r>
          </w:p>
        </w:tc>
        <w:tc>
          <w:tcPr>
            <w:tcW w:w="1559" w:type="dxa"/>
            <w:tcBorders>
              <w:top w:val="single" w:sz="4" w:space="0" w:color="auto"/>
              <w:bottom w:val="nil"/>
            </w:tcBorders>
            <w:vAlign w:val="center"/>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0.12 (0.01)</w:t>
            </w:r>
          </w:p>
        </w:tc>
        <w:tc>
          <w:tcPr>
            <w:tcW w:w="1560" w:type="dxa"/>
            <w:tcBorders>
              <w:top w:val="single" w:sz="4" w:space="0" w:color="auto"/>
              <w:bottom w:val="nil"/>
            </w:tcBorders>
            <w:vAlign w:val="bottom"/>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0.12</w:t>
            </w:r>
            <w:r w:rsidRPr="00CA058B">
              <w:rPr>
                <w:rFonts w:ascii="Arial" w:hAnsi="Arial" w:cs="Arial"/>
                <w:sz w:val="22"/>
                <w:szCs w:val="22"/>
                <w:lang w:val="en-US"/>
              </w:rPr>
              <w:br/>
              <w:t>(0.08,0.16)</w:t>
            </w:r>
          </w:p>
          <w:p w:rsidR="00CA058B" w:rsidRPr="00CA058B" w:rsidRDefault="00CA058B" w:rsidP="00432DE7">
            <w:pPr>
              <w:pStyle w:val="tabletextNS"/>
              <w:keepNext/>
              <w:keepLines/>
              <w:pageBreakBefore/>
              <w:spacing w:before="60"/>
              <w:jc w:val="center"/>
              <w:rPr>
                <w:rFonts w:ascii="Arial" w:hAnsi="Arial" w:cs="Arial"/>
                <w:sz w:val="22"/>
                <w:szCs w:val="22"/>
              </w:rPr>
            </w:pPr>
            <w:r w:rsidRPr="00CA058B">
              <w:rPr>
                <w:rFonts w:ascii="Arial" w:hAnsi="Arial" w:cs="Arial"/>
                <w:sz w:val="22"/>
                <w:szCs w:val="22"/>
                <w:lang w:val="en-US"/>
              </w:rPr>
              <w:t>&lt;0.001</w:t>
            </w:r>
          </w:p>
        </w:tc>
      </w:tr>
      <w:tr w:rsidR="00CA058B" w:rsidRPr="00CA058B" w:rsidTr="00CA058B">
        <w:tc>
          <w:tcPr>
            <w:tcW w:w="3085" w:type="dxa"/>
            <w:tcBorders>
              <w:top w:val="single" w:sz="4" w:space="0" w:color="auto"/>
              <w:bottom w:val="single" w:sz="4" w:space="0" w:color="auto"/>
            </w:tcBorders>
            <w:vAlign w:val="center"/>
          </w:tcPr>
          <w:p w:rsidR="00CA058B" w:rsidRPr="00CA058B" w:rsidRDefault="00CA058B" w:rsidP="00432DE7">
            <w:pPr>
              <w:pStyle w:val="tabletextNS"/>
              <w:keepNext/>
              <w:keepLines/>
              <w:spacing w:before="60"/>
              <w:rPr>
                <w:rFonts w:ascii="Arial" w:hAnsi="Arial" w:cs="Arial"/>
                <w:kern w:val="24"/>
                <w:sz w:val="22"/>
                <w:szCs w:val="22"/>
                <w:lang w:val="en-US"/>
              </w:rPr>
            </w:pPr>
            <w:r w:rsidRPr="00CA058B">
              <w:rPr>
                <w:rFonts w:ascii="Arial" w:hAnsi="Arial" w:cs="Arial"/>
                <w:kern w:val="24"/>
                <w:sz w:val="22"/>
                <w:szCs w:val="22"/>
                <w:lang w:val="en-US"/>
              </w:rPr>
              <w:t>Placebo</w:t>
            </w:r>
          </w:p>
          <w:p w:rsidR="00CA058B" w:rsidRPr="00CA058B" w:rsidRDefault="00CA058B" w:rsidP="00432DE7">
            <w:pPr>
              <w:pStyle w:val="tabletextNS"/>
              <w:keepNext/>
              <w:keepLines/>
              <w:spacing w:before="60"/>
              <w:rPr>
                <w:rFonts w:ascii="Arial" w:hAnsi="Arial" w:cs="Arial"/>
                <w:kern w:val="24"/>
                <w:sz w:val="22"/>
                <w:szCs w:val="22"/>
                <w:lang w:val="en-US"/>
              </w:rPr>
            </w:pPr>
            <w:r w:rsidRPr="00CA058B">
              <w:rPr>
                <w:rFonts w:ascii="Arial" w:hAnsi="Arial" w:cs="Arial"/>
                <w:kern w:val="24"/>
                <w:sz w:val="22"/>
                <w:szCs w:val="22"/>
                <w:lang w:val="en-US"/>
              </w:rPr>
              <w:t>(n=280)</w:t>
            </w:r>
          </w:p>
        </w:tc>
        <w:tc>
          <w:tcPr>
            <w:tcW w:w="1559" w:type="dxa"/>
            <w:tcBorders>
              <w:top w:val="single" w:sz="4" w:space="0" w:color="auto"/>
              <w:bottom w:val="single" w:sz="4" w:space="0" w:color="auto"/>
            </w:tcBorders>
            <w:vAlign w:val="center"/>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1.20 (0.47)</w:t>
            </w:r>
          </w:p>
        </w:tc>
        <w:tc>
          <w:tcPr>
            <w:tcW w:w="1559" w:type="dxa"/>
            <w:tcBorders>
              <w:top w:val="single" w:sz="4" w:space="0" w:color="auto"/>
              <w:bottom w:val="single" w:sz="4" w:space="0" w:color="auto"/>
            </w:tcBorders>
            <w:vAlign w:val="center"/>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0.00 (0.02)</w:t>
            </w:r>
          </w:p>
        </w:tc>
        <w:tc>
          <w:tcPr>
            <w:tcW w:w="1560" w:type="dxa"/>
            <w:tcBorders>
              <w:top w:val="single" w:sz="4" w:space="0" w:color="auto"/>
              <w:bottom w:val="single" w:sz="4" w:space="0" w:color="auto"/>
            </w:tcBorders>
            <w:vAlign w:val="center"/>
          </w:tcPr>
          <w:p w:rsidR="00CA058B" w:rsidRPr="00CA058B" w:rsidRDefault="00CA058B" w:rsidP="00432DE7">
            <w:pPr>
              <w:pStyle w:val="tabletextNS"/>
              <w:keepNext/>
              <w:keepLines/>
              <w:pageBreakBefore/>
              <w:spacing w:before="60"/>
              <w:jc w:val="center"/>
              <w:rPr>
                <w:rFonts w:ascii="Arial" w:hAnsi="Arial" w:cs="Arial"/>
                <w:sz w:val="22"/>
                <w:szCs w:val="22"/>
                <w:lang w:val="en-US"/>
              </w:rPr>
            </w:pPr>
            <w:r w:rsidRPr="00CA058B">
              <w:rPr>
                <w:rFonts w:ascii="Arial" w:hAnsi="Arial" w:cs="Arial"/>
                <w:sz w:val="22"/>
                <w:szCs w:val="22"/>
                <w:lang w:val="en-US"/>
              </w:rPr>
              <w:t>-</w:t>
            </w:r>
          </w:p>
        </w:tc>
      </w:tr>
    </w:tbl>
    <w:p w:rsidR="00CA058B" w:rsidRPr="00CA058B" w:rsidRDefault="00CA058B" w:rsidP="00CA058B">
      <w:pPr>
        <w:keepNext/>
        <w:spacing w:before="120"/>
        <w:rPr>
          <w:rFonts w:ascii="Arial" w:hAnsi="Arial" w:cs="Arial"/>
          <w:lang w:val="en-US"/>
        </w:rPr>
      </w:pPr>
      <w:r w:rsidRPr="00CA058B">
        <w:rPr>
          <w:rFonts w:ascii="Arial" w:hAnsi="Arial" w:cs="Arial"/>
          <w:lang w:val="en-US"/>
        </w:rPr>
        <w:t>Abbreviations: CI= confidence interval; FEV</w:t>
      </w:r>
      <w:r w:rsidRPr="00CA058B">
        <w:rPr>
          <w:rFonts w:ascii="Arial" w:hAnsi="Arial" w:cs="Arial"/>
          <w:vertAlign w:val="subscript"/>
          <w:lang w:val="en-US"/>
        </w:rPr>
        <w:t>1</w:t>
      </w:r>
      <w:r w:rsidRPr="00CA058B">
        <w:rPr>
          <w:rFonts w:ascii="Arial" w:hAnsi="Arial" w:cs="Arial"/>
          <w:lang w:val="en-US"/>
        </w:rPr>
        <w:t xml:space="preserve">= forced expiratory volume in 1 second; L= </w:t>
      </w:r>
      <w:r w:rsidRPr="00CA058B">
        <w:rPr>
          <w:rFonts w:ascii="Arial" w:hAnsi="Arial" w:cs="Arial"/>
        </w:rPr>
        <w:t>litres</w:t>
      </w:r>
      <w:r w:rsidRPr="00CA058B">
        <w:rPr>
          <w:rFonts w:ascii="Arial" w:hAnsi="Arial" w:cs="Arial"/>
          <w:lang w:val="en-US" w:eastAsia="en-US"/>
        </w:rPr>
        <w:t xml:space="preserve">; n= number randomized to treatment; OD= once daily; </w:t>
      </w:r>
      <w:r w:rsidRPr="00CA058B">
        <w:rPr>
          <w:rFonts w:ascii="Arial" w:hAnsi="Arial" w:cs="Arial"/>
          <w:lang w:val="en-US"/>
        </w:rPr>
        <w:t xml:space="preserve">SD= standard deviation; SE= standard error. </w:t>
      </w:r>
    </w:p>
    <w:p w:rsidR="00CA058B" w:rsidRPr="00CA058B" w:rsidRDefault="00CA058B" w:rsidP="00CA058B">
      <w:pPr>
        <w:keepNext/>
        <w:rPr>
          <w:rFonts w:ascii="Arial" w:hAnsi="Arial" w:cs="Arial"/>
          <w:sz w:val="22"/>
          <w:szCs w:val="22"/>
          <w:lang w:val="en-US"/>
        </w:rPr>
      </w:pPr>
    </w:p>
    <w:p w:rsidR="00CA058B" w:rsidRDefault="00A07727" w:rsidP="00CA058B">
      <w:pPr>
        <w:rPr>
          <w:rFonts w:ascii="Arial" w:hAnsi="Arial" w:cs="Arial"/>
          <w:sz w:val="22"/>
          <w:szCs w:val="22"/>
        </w:rPr>
      </w:pPr>
      <w:r>
        <w:rPr>
          <w:rFonts w:ascii="Arial" w:hAnsi="Arial" w:cs="Arial"/>
          <w:sz w:val="22"/>
          <w:szCs w:val="22"/>
        </w:rPr>
        <w:t>Incruse</w:t>
      </w:r>
      <w:r w:rsidR="00432DE7" w:rsidRPr="009221C3">
        <w:rPr>
          <w:rFonts w:ascii="Arial" w:hAnsi="Arial" w:cs="Arial"/>
          <w:sz w:val="22"/>
          <w:szCs w:val="22"/>
        </w:rPr>
        <w:t xml:space="preserve"> Ellipta</w:t>
      </w:r>
      <w:r w:rsidR="00CA058B" w:rsidRPr="00CA058B">
        <w:rPr>
          <w:rFonts w:ascii="Arial" w:hAnsi="Arial" w:cs="Arial"/>
          <w:sz w:val="22"/>
          <w:szCs w:val="22"/>
        </w:rPr>
        <w:t xml:space="preserve"> demonstrated a statistically significant greater improvement from baseline in weighted mean FEV</w:t>
      </w:r>
      <w:r w:rsidR="00CA058B" w:rsidRPr="00CA058B">
        <w:rPr>
          <w:rFonts w:ascii="Arial" w:hAnsi="Arial" w:cs="Arial"/>
          <w:sz w:val="22"/>
          <w:szCs w:val="22"/>
          <w:vertAlign w:val="subscript"/>
        </w:rPr>
        <w:t>1</w:t>
      </w:r>
      <w:r w:rsidR="00CA058B" w:rsidRPr="00CA058B">
        <w:rPr>
          <w:rFonts w:ascii="Arial" w:hAnsi="Arial" w:cs="Arial"/>
          <w:sz w:val="22"/>
          <w:szCs w:val="22"/>
        </w:rPr>
        <w:t xml:space="preserve"> over 0-6 hours post-dose at Week 24 compared with placebo (0.15L; p&lt;0.001).</w:t>
      </w:r>
    </w:p>
    <w:p w:rsidR="00432DE7" w:rsidRPr="00CA058B" w:rsidRDefault="00432DE7" w:rsidP="00CA058B">
      <w:pPr>
        <w:rPr>
          <w:rFonts w:ascii="Arial" w:hAnsi="Arial" w:cs="Arial"/>
          <w:sz w:val="22"/>
          <w:szCs w:val="22"/>
        </w:rPr>
      </w:pPr>
    </w:p>
    <w:p w:rsidR="00CA058B" w:rsidRDefault="00CA058B" w:rsidP="00CA058B">
      <w:pPr>
        <w:rPr>
          <w:rFonts w:ascii="Arial" w:hAnsi="Arial" w:cs="Arial"/>
          <w:sz w:val="22"/>
          <w:szCs w:val="22"/>
        </w:rPr>
      </w:pPr>
      <w:r w:rsidRPr="00CA058B">
        <w:rPr>
          <w:rFonts w:ascii="Arial" w:hAnsi="Arial" w:cs="Arial"/>
          <w:sz w:val="22"/>
          <w:szCs w:val="22"/>
        </w:rPr>
        <w:t xml:space="preserve">A statistically significant improvement from placebo in the TDI focal score at Week 24 was demonstrated for </w:t>
      </w:r>
      <w:r w:rsidR="00A07727">
        <w:rPr>
          <w:rFonts w:ascii="Arial" w:hAnsi="Arial" w:cs="Arial"/>
          <w:sz w:val="22"/>
          <w:szCs w:val="22"/>
        </w:rPr>
        <w:t>Incruse</w:t>
      </w:r>
      <w:r w:rsidR="00432DE7" w:rsidRPr="009221C3">
        <w:rPr>
          <w:rFonts w:ascii="Arial" w:hAnsi="Arial" w:cs="Arial"/>
          <w:sz w:val="22"/>
          <w:szCs w:val="22"/>
        </w:rPr>
        <w:t xml:space="preserve"> Ellipta</w:t>
      </w:r>
      <w:r w:rsidRPr="00CA058B">
        <w:rPr>
          <w:rFonts w:ascii="Arial" w:hAnsi="Arial" w:cs="Arial"/>
          <w:sz w:val="22"/>
          <w:szCs w:val="22"/>
        </w:rPr>
        <w:t xml:space="preserve"> (1.0 units) (p&lt;0.001). The percentage of patients receiving </w:t>
      </w:r>
      <w:r w:rsidR="00A07727">
        <w:rPr>
          <w:rFonts w:ascii="Arial" w:hAnsi="Arial" w:cs="Arial"/>
          <w:sz w:val="22"/>
          <w:szCs w:val="22"/>
        </w:rPr>
        <w:t>Incruse</w:t>
      </w:r>
      <w:r w:rsidR="00432DE7" w:rsidRPr="009221C3">
        <w:rPr>
          <w:rFonts w:ascii="Arial" w:hAnsi="Arial" w:cs="Arial"/>
          <w:sz w:val="22"/>
          <w:szCs w:val="22"/>
        </w:rPr>
        <w:t xml:space="preserve"> Ellipta</w:t>
      </w:r>
      <w:r w:rsidRPr="00CA058B">
        <w:rPr>
          <w:rFonts w:ascii="Arial" w:hAnsi="Arial" w:cs="Arial"/>
          <w:sz w:val="22"/>
          <w:szCs w:val="22"/>
        </w:rPr>
        <w:t xml:space="preserve"> that responded with a minimum clinically important difference (MCID) of </w:t>
      </w:r>
      <w:r w:rsidRPr="00CA058B">
        <w:rPr>
          <w:rFonts w:ascii="Arial" w:hAnsi="Arial" w:cs="Arial"/>
          <w:sz w:val="22"/>
          <w:szCs w:val="22"/>
        </w:rPr>
        <w:sym w:font="Symbol" w:char="F0B3"/>
      </w:r>
      <w:r w:rsidRPr="00CA058B">
        <w:rPr>
          <w:rFonts w:ascii="Arial" w:hAnsi="Arial" w:cs="Arial"/>
          <w:sz w:val="22"/>
          <w:szCs w:val="22"/>
        </w:rPr>
        <w:t xml:space="preserve">1 unit TDI focal score at Week 24 was 53% (207/394) compared with 41% (106/260) for placebo. The odds of being a TDI responder vs. a non responder, was statistically significantly greater for </w:t>
      </w:r>
      <w:r w:rsidR="00A07727">
        <w:rPr>
          <w:rFonts w:ascii="Arial" w:hAnsi="Arial" w:cs="Arial"/>
          <w:sz w:val="22"/>
          <w:szCs w:val="22"/>
        </w:rPr>
        <w:t>Incruse</w:t>
      </w:r>
      <w:r w:rsidR="00144CB4" w:rsidRPr="009221C3">
        <w:rPr>
          <w:rFonts w:ascii="Arial" w:hAnsi="Arial" w:cs="Arial"/>
          <w:sz w:val="22"/>
          <w:szCs w:val="22"/>
        </w:rPr>
        <w:t xml:space="preserve"> Ellipta</w:t>
      </w:r>
      <w:r w:rsidR="00144CB4">
        <w:rPr>
          <w:rFonts w:ascii="Arial" w:hAnsi="Arial" w:cs="Arial"/>
          <w:sz w:val="22"/>
          <w:szCs w:val="22"/>
        </w:rPr>
        <w:t xml:space="preserve"> </w:t>
      </w:r>
      <w:r w:rsidRPr="00CA058B">
        <w:rPr>
          <w:rFonts w:ascii="Arial" w:hAnsi="Arial" w:cs="Arial"/>
          <w:sz w:val="22"/>
          <w:szCs w:val="22"/>
        </w:rPr>
        <w:t>compared with placebo at Week 24 (Odds Ratio 1.6 (95% CI 1.2,</w:t>
      </w:r>
      <w:r w:rsidR="00144CB4">
        <w:rPr>
          <w:rFonts w:ascii="Arial" w:hAnsi="Arial" w:cs="Arial"/>
          <w:sz w:val="22"/>
          <w:szCs w:val="22"/>
        </w:rPr>
        <w:t xml:space="preserve"> </w:t>
      </w:r>
      <w:r w:rsidRPr="00CA058B">
        <w:rPr>
          <w:rFonts w:ascii="Arial" w:hAnsi="Arial" w:cs="Arial"/>
          <w:sz w:val="22"/>
          <w:szCs w:val="22"/>
        </w:rPr>
        <w:t>2.3), p=0.002).</w:t>
      </w:r>
    </w:p>
    <w:p w:rsidR="00144CB4" w:rsidRPr="00CA058B" w:rsidRDefault="00144CB4" w:rsidP="00CA058B">
      <w:pPr>
        <w:rPr>
          <w:rFonts w:ascii="Arial" w:hAnsi="Arial" w:cs="Arial"/>
          <w:sz w:val="22"/>
          <w:szCs w:val="22"/>
        </w:rPr>
      </w:pPr>
    </w:p>
    <w:p w:rsidR="00CA058B" w:rsidRDefault="00CA058B" w:rsidP="00CA058B">
      <w:pPr>
        <w:rPr>
          <w:rFonts w:ascii="Arial" w:hAnsi="Arial" w:cs="Arial"/>
          <w:sz w:val="22"/>
          <w:szCs w:val="22"/>
        </w:rPr>
      </w:pPr>
      <w:r w:rsidRPr="00CA058B">
        <w:rPr>
          <w:rFonts w:ascii="Arial" w:hAnsi="Arial" w:cs="Arial"/>
          <w:sz w:val="22"/>
          <w:szCs w:val="22"/>
        </w:rPr>
        <w:t>A statistically significant improvement from placebo in the change from baseline in total score at Week 24 for the St. George’s Respiratory Questionnaire (SGRQ), a disease</w:t>
      </w:r>
      <w:r w:rsidRPr="00CA058B">
        <w:rPr>
          <w:rFonts w:ascii="Arial" w:hAnsi="Arial" w:cs="Arial"/>
          <w:sz w:val="22"/>
          <w:szCs w:val="22"/>
        </w:rPr>
        <w:noBreakHyphen/>
        <w:t xml:space="preserve">specific health status measure, was also demonstrated for </w:t>
      </w:r>
      <w:r w:rsidR="00A07727">
        <w:rPr>
          <w:rFonts w:ascii="Arial" w:hAnsi="Arial" w:cs="Arial"/>
          <w:sz w:val="22"/>
          <w:szCs w:val="22"/>
        </w:rPr>
        <w:t>Incruse</w:t>
      </w:r>
      <w:r w:rsidR="00144CB4" w:rsidRPr="009221C3">
        <w:rPr>
          <w:rFonts w:ascii="Arial" w:hAnsi="Arial" w:cs="Arial"/>
          <w:sz w:val="22"/>
          <w:szCs w:val="22"/>
        </w:rPr>
        <w:t xml:space="preserve"> Ellipta</w:t>
      </w:r>
      <w:r w:rsidRPr="00CA058B">
        <w:rPr>
          <w:rFonts w:ascii="Arial" w:hAnsi="Arial" w:cs="Arial"/>
          <w:sz w:val="22"/>
          <w:szCs w:val="22"/>
        </w:rPr>
        <w:t xml:space="preserve"> (-4.69 units) (p</w:t>
      </w:r>
      <w:r w:rsidRPr="00CA058B">
        <w:rPr>
          <w:rFonts w:ascii="Arial" w:hAnsi="Arial" w:cs="Arial"/>
          <w:sz w:val="22"/>
          <w:szCs w:val="22"/>
        </w:rPr>
        <w:sym w:font="Symbol" w:char="F0A3"/>
      </w:r>
      <w:r w:rsidRPr="00CA058B">
        <w:rPr>
          <w:rFonts w:ascii="Arial" w:hAnsi="Arial" w:cs="Arial"/>
          <w:sz w:val="22"/>
          <w:szCs w:val="22"/>
        </w:rPr>
        <w:t xml:space="preserve">0.001). The percentage of patients receiving </w:t>
      </w:r>
      <w:r w:rsidR="00A07727">
        <w:rPr>
          <w:rFonts w:ascii="Arial" w:hAnsi="Arial" w:cs="Arial"/>
          <w:sz w:val="22"/>
          <w:szCs w:val="22"/>
        </w:rPr>
        <w:t>Incruse</w:t>
      </w:r>
      <w:r w:rsidR="00144CB4" w:rsidRPr="009221C3">
        <w:rPr>
          <w:rFonts w:ascii="Arial" w:hAnsi="Arial" w:cs="Arial"/>
          <w:sz w:val="22"/>
          <w:szCs w:val="22"/>
        </w:rPr>
        <w:t xml:space="preserve"> Ellipta</w:t>
      </w:r>
      <w:r w:rsidRPr="00CA058B">
        <w:rPr>
          <w:rFonts w:ascii="Arial" w:hAnsi="Arial" w:cs="Arial"/>
          <w:sz w:val="22"/>
          <w:szCs w:val="22"/>
        </w:rPr>
        <w:t xml:space="preserve"> that responded with a reduction of </w:t>
      </w:r>
      <w:r w:rsidRPr="00CA058B">
        <w:rPr>
          <w:rFonts w:ascii="Arial" w:hAnsi="Arial" w:cs="Arial"/>
          <w:sz w:val="22"/>
          <w:szCs w:val="22"/>
        </w:rPr>
        <w:sym w:font="Symbol" w:char="F0B3"/>
      </w:r>
      <w:r w:rsidRPr="00CA058B">
        <w:rPr>
          <w:rFonts w:ascii="Arial" w:hAnsi="Arial" w:cs="Arial"/>
          <w:sz w:val="22"/>
          <w:szCs w:val="22"/>
        </w:rPr>
        <w:t xml:space="preserve">4 units (MCID) in SGRQ total score at Week 24 was 44% (172/388) compared with 34% (86/254) for placebo. The odds of being a SGRQ responder vs. a non responder, was statistically significantly greater for </w:t>
      </w:r>
      <w:r w:rsidR="00A07727">
        <w:rPr>
          <w:rFonts w:ascii="Arial" w:hAnsi="Arial" w:cs="Arial"/>
          <w:sz w:val="22"/>
          <w:szCs w:val="22"/>
        </w:rPr>
        <w:t>Incruse</w:t>
      </w:r>
      <w:r w:rsidR="00144CB4" w:rsidRPr="009221C3">
        <w:rPr>
          <w:rFonts w:ascii="Arial" w:hAnsi="Arial" w:cs="Arial"/>
          <w:sz w:val="22"/>
          <w:szCs w:val="22"/>
        </w:rPr>
        <w:t xml:space="preserve"> Ellipta</w:t>
      </w:r>
      <w:r w:rsidRPr="00CA058B">
        <w:rPr>
          <w:rFonts w:ascii="Arial" w:hAnsi="Arial" w:cs="Arial"/>
          <w:sz w:val="22"/>
          <w:szCs w:val="22"/>
        </w:rPr>
        <w:t xml:space="preserve"> compared with placebo at Week 24 (Odds Ratio 1.6 (95% CI 1.2,2.3), p=0.003).</w:t>
      </w:r>
    </w:p>
    <w:p w:rsidR="00144CB4" w:rsidRPr="00CA058B" w:rsidRDefault="00144CB4" w:rsidP="00CA058B">
      <w:pPr>
        <w:rPr>
          <w:rFonts w:ascii="Arial" w:hAnsi="Arial" w:cs="Arial"/>
          <w:sz w:val="22"/>
          <w:szCs w:val="22"/>
        </w:rPr>
      </w:pPr>
    </w:p>
    <w:p w:rsidR="00CA058B" w:rsidRPr="00CA058B" w:rsidRDefault="00CA058B" w:rsidP="00CA058B">
      <w:pPr>
        <w:rPr>
          <w:rFonts w:ascii="Arial" w:hAnsi="Arial" w:cs="Arial"/>
          <w:sz w:val="22"/>
          <w:szCs w:val="22"/>
        </w:rPr>
      </w:pPr>
      <w:r w:rsidRPr="00CA058B">
        <w:rPr>
          <w:rFonts w:ascii="Arial" w:hAnsi="Arial" w:cs="Arial"/>
          <w:sz w:val="22"/>
          <w:szCs w:val="22"/>
        </w:rPr>
        <w:t xml:space="preserve">Treatment with </w:t>
      </w:r>
      <w:r w:rsidR="00A07727">
        <w:rPr>
          <w:rFonts w:ascii="Arial" w:hAnsi="Arial" w:cs="Arial"/>
          <w:sz w:val="22"/>
          <w:szCs w:val="22"/>
        </w:rPr>
        <w:t>Incruse</w:t>
      </w:r>
      <w:r w:rsidR="00144CB4" w:rsidRPr="009221C3">
        <w:rPr>
          <w:rFonts w:ascii="Arial" w:hAnsi="Arial" w:cs="Arial"/>
          <w:sz w:val="22"/>
          <w:szCs w:val="22"/>
        </w:rPr>
        <w:t xml:space="preserve"> Ellipta</w:t>
      </w:r>
      <w:r w:rsidRPr="00CA058B">
        <w:rPr>
          <w:rFonts w:ascii="Arial" w:hAnsi="Arial" w:cs="Arial"/>
          <w:sz w:val="22"/>
          <w:szCs w:val="22"/>
        </w:rPr>
        <w:t xml:space="preserve"> lowered the risk of a COPD exacerbation compared with placebo (analysis of time to first exacerbation; Hazard Ratio 0.6, p=0.035, risk reduction 40%).</w:t>
      </w:r>
    </w:p>
    <w:p w:rsidR="004F640B" w:rsidRPr="009221C3" w:rsidRDefault="004F640B" w:rsidP="003F4366">
      <w:pPr>
        <w:spacing w:after="120"/>
        <w:rPr>
          <w:rFonts w:ascii="Arial" w:hAnsi="Arial" w:cs="Arial"/>
          <w:sz w:val="22"/>
          <w:szCs w:val="22"/>
        </w:rPr>
      </w:pPr>
    </w:p>
    <w:p w:rsidR="0077380F" w:rsidRPr="009221C3" w:rsidRDefault="0077380F" w:rsidP="00773D97">
      <w:pPr>
        <w:pStyle w:val="Heading1"/>
      </w:pPr>
      <w:r w:rsidRPr="009221C3">
        <w:t>INDICATIONS</w:t>
      </w:r>
    </w:p>
    <w:p w:rsidR="00293F0B" w:rsidRPr="009221C3" w:rsidRDefault="00A07727" w:rsidP="00351530">
      <w:pPr>
        <w:autoSpaceDE w:val="0"/>
        <w:autoSpaceDN w:val="0"/>
        <w:adjustRightInd w:val="0"/>
        <w:spacing w:after="120"/>
        <w:rPr>
          <w:rFonts w:ascii="Arial" w:hAnsi="Arial" w:cs="Arial"/>
          <w:sz w:val="22"/>
          <w:szCs w:val="22"/>
        </w:rPr>
      </w:pPr>
      <w:r>
        <w:rPr>
          <w:rFonts w:ascii="Arial" w:hAnsi="Arial" w:cs="Arial"/>
          <w:sz w:val="22"/>
          <w:szCs w:val="22"/>
        </w:rPr>
        <w:t>Incruse</w:t>
      </w:r>
      <w:r w:rsidR="00293F0B" w:rsidRPr="009221C3">
        <w:rPr>
          <w:rFonts w:ascii="Arial" w:hAnsi="Arial" w:cs="Arial"/>
          <w:sz w:val="22"/>
          <w:szCs w:val="22"/>
        </w:rPr>
        <w:t xml:space="preserve"> Ellipta is indicated as a long-term once daily maintenance bronchodilator treatment to relieve symptoms in adult patients with chronic obstructive pulmonary disease (COPD).</w:t>
      </w:r>
    </w:p>
    <w:p w:rsidR="0077380F" w:rsidRPr="009221C3" w:rsidRDefault="0077380F" w:rsidP="00773D97">
      <w:pPr>
        <w:pStyle w:val="Heading1"/>
      </w:pPr>
      <w:r w:rsidRPr="009221C3">
        <w:t>CONTRAINDICATIONS</w:t>
      </w:r>
    </w:p>
    <w:p w:rsidR="00203C20" w:rsidRPr="009221C3" w:rsidRDefault="00A07727" w:rsidP="00203C20">
      <w:pPr>
        <w:spacing w:before="120" w:after="240"/>
        <w:jc w:val="both"/>
        <w:rPr>
          <w:rFonts w:ascii="Arial" w:hAnsi="Arial" w:cs="Arial"/>
          <w:sz w:val="22"/>
          <w:szCs w:val="22"/>
        </w:rPr>
      </w:pPr>
      <w:r>
        <w:rPr>
          <w:rFonts w:ascii="Arial" w:hAnsi="Arial" w:cs="Arial"/>
          <w:sz w:val="22"/>
          <w:szCs w:val="22"/>
        </w:rPr>
        <w:t>Incruse</w:t>
      </w:r>
      <w:r w:rsidR="005A75C8" w:rsidRPr="00420350">
        <w:rPr>
          <w:rFonts w:ascii="Arial" w:hAnsi="Arial" w:cs="Arial"/>
          <w:sz w:val="22"/>
          <w:szCs w:val="22"/>
        </w:rPr>
        <w:t xml:space="preserve"> Ellipta is contraindicated in patients with severe milk-protein allergy</w:t>
      </w:r>
      <w:r w:rsidR="006519D6" w:rsidRPr="00420350">
        <w:rPr>
          <w:rFonts w:ascii="Arial" w:hAnsi="Arial" w:cs="Arial"/>
          <w:sz w:val="22"/>
          <w:szCs w:val="22"/>
        </w:rPr>
        <w:t xml:space="preserve"> or who have demonstrated hypersensitivity to either umeclidinium or any of the excipients.</w:t>
      </w:r>
    </w:p>
    <w:p w:rsidR="0077380F" w:rsidRPr="009221C3" w:rsidRDefault="0077380F" w:rsidP="00773D97">
      <w:pPr>
        <w:pStyle w:val="Heading1"/>
      </w:pPr>
      <w:r w:rsidRPr="009221C3">
        <w:t>PRECAUTIONS</w:t>
      </w:r>
    </w:p>
    <w:p w:rsidR="005E5A6A" w:rsidRPr="00472BC6" w:rsidRDefault="005E5A6A" w:rsidP="005E5A6A">
      <w:pPr>
        <w:spacing w:after="120"/>
        <w:rPr>
          <w:rFonts w:ascii="Arial" w:hAnsi="Arial" w:cs="Arial"/>
          <w:sz w:val="22"/>
          <w:szCs w:val="22"/>
          <w:u w:val="single"/>
        </w:rPr>
      </w:pPr>
      <w:r w:rsidRPr="00472BC6">
        <w:rPr>
          <w:rFonts w:ascii="Arial" w:hAnsi="Arial" w:cs="Arial"/>
          <w:sz w:val="22"/>
          <w:szCs w:val="22"/>
          <w:u w:val="single"/>
        </w:rPr>
        <w:t>Asthma</w:t>
      </w:r>
    </w:p>
    <w:p w:rsidR="00DE64D8" w:rsidRDefault="00DE64D8" w:rsidP="00577DCC">
      <w:pPr>
        <w:spacing w:after="120"/>
        <w:rPr>
          <w:rFonts w:ascii="Arial" w:hAnsi="Arial" w:cs="Arial"/>
          <w:sz w:val="22"/>
          <w:szCs w:val="22"/>
        </w:rPr>
      </w:pPr>
      <w:r w:rsidRPr="00DE64D8">
        <w:rPr>
          <w:rFonts w:ascii="Arial" w:hAnsi="Arial" w:cs="Arial"/>
          <w:sz w:val="22"/>
          <w:szCs w:val="22"/>
        </w:rPr>
        <w:t xml:space="preserve">The use of </w:t>
      </w:r>
      <w:r>
        <w:rPr>
          <w:rFonts w:ascii="Arial" w:hAnsi="Arial" w:cs="Arial"/>
          <w:sz w:val="22"/>
          <w:szCs w:val="22"/>
        </w:rPr>
        <w:t>Incruse</w:t>
      </w:r>
      <w:r w:rsidRPr="00DE64D8">
        <w:rPr>
          <w:rFonts w:ascii="Arial" w:hAnsi="Arial" w:cs="Arial"/>
          <w:sz w:val="22"/>
          <w:szCs w:val="22"/>
        </w:rPr>
        <w:t xml:space="preserve"> Ellipta has not been studied in patients with asthma, and is not recommended in this patient population.</w:t>
      </w:r>
    </w:p>
    <w:p w:rsidR="005E5A6A" w:rsidRPr="00472BC6" w:rsidRDefault="005E5A6A" w:rsidP="005E5A6A">
      <w:pPr>
        <w:spacing w:after="120"/>
        <w:rPr>
          <w:rFonts w:ascii="Arial" w:hAnsi="Arial" w:cs="Arial"/>
          <w:sz w:val="22"/>
          <w:szCs w:val="22"/>
          <w:u w:val="single"/>
        </w:rPr>
      </w:pPr>
      <w:r w:rsidRPr="00472BC6">
        <w:rPr>
          <w:rFonts w:ascii="Arial" w:hAnsi="Arial" w:cs="Arial"/>
          <w:sz w:val="22"/>
          <w:szCs w:val="22"/>
          <w:u w:val="single"/>
        </w:rPr>
        <w:t>Deterioration of Disease</w:t>
      </w:r>
    </w:p>
    <w:p w:rsidR="005A75C8" w:rsidRPr="009221C3" w:rsidRDefault="00A07727" w:rsidP="00577DCC">
      <w:pPr>
        <w:spacing w:after="120"/>
        <w:rPr>
          <w:rFonts w:ascii="Arial" w:hAnsi="Arial" w:cs="Arial"/>
          <w:sz w:val="22"/>
          <w:szCs w:val="22"/>
        </w:rPr>
      </w:pPr>
      <w:r>
        <w:rPr>
          <w:rFonts w:ascii="Arial" w:hAnsi="Arial" w:cs="Arial"/>
          <w:sz w:val="22"/>
          <w:szCs w:val="22"/>
        </w:rPr>
        <w:t>Incruse</w:t>
      </w:r>
      <w:r w:rsidR="009221C3" w:rsidRPr="009221C3">
        <w:rPr>
          <w:rFonts w:ascii="Arial" w:hAnsi="Arial" w:cs="Arial"/>
          <w:sz w:val="22"/>
          <w:szCs w:val="22"/>
        </w:rPr>
        <w:t xml:space="preserve"> Ellipta </w:t>
      </w:r>
      <w:r w:rsidR="005A75C8" w:rsidRPr="009221C3">
        <w:rPr>
          <w:rFonts w:ascii="Arial" w:hAnsi="Arial" w:cs="Arial"/>
          <w:sz w:val="22"/>
          <w:szCs w:val="22"/>
        </w:rPr>
        <w:t xml:space="preserve">is intended for the </w:t>
      </w:r>
      <w:r w:rsidR="00EF05A1">
        <w:rPr>
          <w:rFonts w:ascii="Arial" w:hAnsi="Arial" w:cs="Arial"/>
          <w:sz w:val="22"/>
          <w:szCs w:val="22"/>
        </w:rPr>
        <w:t xml:space="preserve">long-term </w:t>
      </w:r>
      <w:r w:rsidR="005A75C8" w:rsidRPr="009221C3">
        <w:rPr>
          <w:rFonts w:ascii="Arial" w:hAnsi="Arial" w:cs="Arial"/>
          <w:sz w:val="22"/>
          <w:szCs w:val="22"/>
        </w:rPr>
        <w:t>maintenance treatment of COPD. It should not be used for the relief of acute symptoms, i.e. as rescue therapy for the treatment of</w:t>
      </w:r>
      <w:r w:rsidR="005A75C8" w:rsidRPr="009221C3" w:rsidDel="00D037C6">
        <w:rPr>
          <w:rFonts w:ascii="Arial" w:hAnsi="Arial" w:cs="Arial"/>
          <w:sz w:val="22"/>
          <w:szCs w:val="22"/>
        </w:rPr>
        <w:t xml:space="preserve"> </w:t>
      </w:r>
      <w:r w:rsidR="005A75C8" w:rsidRPr="009221C3">
        <w:rPr>
          <w:rFonts w:ascii="Arial" w:hAnsi="Arial" w:cs="Arial"/>
          <w:sz w:val="22"/>
          <w:szCs w:val="22"/>
        </w:rPr>
        <w:t>acute episodes of bronchospasm. Acute symptoms should be treated with an inhaled short-acting bronchodilator. Increasing use of short-acting bronchodilators to relieve symptoms indicates deterioration of control and patients should be reviewed by a physician.</w:t>
      </w:r>
    </w:p>
    <w:p w:rsidR="005E5A6A" w:rsidRPr="00472BC6" w:rsidRDefault="005E5A6A" w:rsidP="005E5A6A">
      <w:pPr>
        <w:spacing w:after="120"/>
        <w:rPr>
          <w:rFonts w:ascii="Arial" w:hAnsi="Arial" w:cs="Arial"/>
          <w:sz w:val="22"/>
          <w:szCs w:val="22"/>
          <w:u w:val="single"/>
        </w:rPr>
      </w:pPr>
      <w:r w:rsidRPr="00472BC6">
        <w:rPr>
          <w:rFonts w:ascii="Arial" w:hAnsi="Arial" w:cs="Arial"/>
          <w:sz w:val="22"/>
          <w:szCs w:val="22"/>
          <w:u w:val="single"/>
        </w:rPr>
        <w:t>Paradoxical Bronchospasm</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As with other inhalation therapies, administration of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 xml:space="preserve">may produce paradoxical bronchospasm that may be life threatening. Treatment with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should be discontinued if paradoxical bronchospasm occurs and alternative therapy instituted if necessary.</w:t>
      </w:r>
    </w:p>
    <w:p w:rsidR="005E5A6A" w:rsidRPr="00472BC6" w:rsidRDefault="005E5A6A" w:rsidP="005E5A6A">
      <w:pPr>
        <w:spacing w:after="120"/>
        <w:rPr>
          <w:rFonts w:ascii="Arial" w:hAnsi="Arial" w:cs="Arial"/>
          <w:sz w:val="22"/>
          <w:szCs w:val="22"/>
          <w:u w:val="single"/>
        </w:rPr>
      </w:pPr>
      <w:r w:rsidRPr="00472BC6">
        <w:rPr>
          <w:rFonts w:ascii="Arial" w:hAnsi="Arial" w:cs="Arial"/>
          <w:sz w:val="22"/>
          <w:szCs w:val="22"/>
          <w:u w:val="single"/>
        </w:rPr>
        <w:t>Cardiovascul</w:t>
      </w:r>
      <w:r w:rsidR="00DD1C62">
        <w:rPr>
          <w:rFonts w:ascii="Arial" w:hAnsi="Arial" w:cs="Arial"/>
          <w:sz w:val="22"/>
          <w:szCs w:val="22"/>
          <w:u w:val="single"/>
        </w:rPr>
        <w:t>ar</w:t>
      </w:r>
      <w:r w:rsidRPr="00472BC6">
        <w:rPr>
          <w:rFonts w:ascii="Arial" w:hAnsi="Arial" w:cs="Arial"/>
          <w:sz w:val="22"/>
          <w:szCs w:val="22"/>
          <w:u w:val="single"/>
        </w:rPr>
        <w:t xml:space="preserve"> Effects</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Cardiovascular effects, s</w:t>
      </w:r>
      <w:r w:rsidR="009F0241">
        <w:rPr>
          <w:rFonts w:ascii="Arial" w:hAnsi="Arial" w:cs="Arial"/>
          <w:sz w:val="22"/>
          <w:szCs w:val="22"/>
        </w:rPr>
        <w:t xml:space="preserve">uch as cardiac arrhythmias e.g. </w:t>
      </w:r>
      <w:r w:rsidRPr="009221C3">
        <w:rPr>
          <w:rFonts w:ascii="Arial" w:hAnsi="Arial" w:cs="Arial"/>
          <w:sz w:val="22"/>
          <w:szCs w:val="22"/>
        </w:rPr>
        <w:t>atrial fibrillation and tachycardia, may</w:t>
      </w:r>
      <w:r w:rsidR="009F0241">
        <w:rPr>
          <w:rFonts w:ascii="Arial" w:hAnsi="Arial" w:cs="Arial"/>
          <w:sz w:val="22"/>
          <w:szCs w:val="22"/>
        </w:rPr>
        <w:t xml:space="preserve"> </w:t>
      </w:r>
      <w:r w:rsidRPr="009221C3">
        <w:rPr>
          <w:rFonts w:ascii="Arial" w:hAnsi="Arial" w:cs="Arial"/>
          <w:sz w:val="22"/>
          <w:szCs w:val="22"/>
        </w:rPr>
        <w:t xml:space="preserve">be seen after the administration of muscarinic receptor antagonists, including </w:t>
      </w:r>
      <w:r w:rsidR="00A07727">
        <w:rPr>
          <w:rFonts w:ascii="Arial" w:hAnsi="Arial" w:cs="Arial"/>
          <w:sz w:val="22"/>
          <w:szCs w:val="22"/>
        </w:rPr>
        <w:t>Incruse</w:t>
      </w:r>
      <w:r w:rsidR="009221C3" w:rsidRPr="009221C3">
        <w:rPr>
          <w:rFonts w:ascii="Arial" w:hAnsi="Arial" w:cs="Arial"/>
          <w:sz w:val="22"/>
          <w:szCs w:val="22"/>
        </w:rPr>
        <w:t xml:space="preserve"> Ellipta</w:t>
      </w:r>
      <w:r w:rsidRPr="009221C3">
        <w:rPr>
          <w:rFonts w:ascii="Arial" w:hAnsi="Arial" w:cs="Arial"/>
          <w:sz w:val="22"/>
          <w:szCs w:val="22"/>
        </w:rPr>
        <w:t xml:space="preserve">. Therefore,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 xml:space="preserve">should be used with caution in patients with severe cardiovascular </w:t>
      </w:r>
      <w:r w:rsidR="009F0241">
        <w:rPr>
          <w:rFonts w:ascii="Arial" w:hAnsi="Arial" w:cs="Arial"/>
          <w:sz w:val="22"/>
          <w:szCs w:val="22"/>
        </w:rPr>
        <w:t>disorders, particularly cardiac arrhythmias</w:t>
      </w:r>
      <w:r w:rsidRPr="009221C3">
        <w:rPr>
          <w:rFonts w:ascii="Arial" w:hAnsi="Arial" w:cs="Arial"/>
          <w:sz w:val="22"/>
          <w:szCs w:val="22"/>
        </w:rPr>
        <w:t>.</w:t>
      </w:r>
    </w:p>
    <w:p w:rsidR="00B67D3C" w:rsidRPr="00472BC6" w:rsidRDefault="00B67D3C" w:rsidP="00B67D3C">
      <w:pPr>
        <w:spacing w:after="120"/>
        <w:rPr>
          <w:rFonts w:ascii="Arial" w:hAnsi="Arial" w:cs="Arial"/>
          <w:sz w:val="22"/>
          <w:szCs w:val="22"/>
          <w:u w:val="single"/>
        </w:rPr>
      </w:pPr>
      <w:r w:rsidRPr="00472BC6">
        <w:rPr>
          <w:rFonts w:ascii="Arial" w:hAnsi="Arial" w:cs="Arial"/>
          <w:sz w:val="22"/>
          <w:szCs w:val="22"/>
          <w:u w:val="single"/>
        </w:rPr>
        <w:t>Antimuscarinic Activity</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Consistent with its antimuscarinic activity,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should be used with caution in patients with narrow-angle glaucoma or urinary retention.</w:t>
      </w:r>
    </w:p>
    <w:p w:rsidR="00B67D3C" w:rsidRPr="00472BC6" w:rsidRDefault="00B67D3C" w:rsidP="00B67D3C">
      <w:pPr>
        <w:spacing w:after="120"/>
        <w:rPr>
          <w:rFonts w:ascii="Arial" w:hAnsi="Arial" w:cs="Arial"/>
          <w:sz w:val="22"/>
          <w:szCs w:val="22"/>
          <w:u w:val="single"/>
        </w:rPr>
      </w:pPr>
      <w:r w:rsidRPr="00472BC6">
        <w:rPr>
          <w:rFonts w:ascii="Arial" w:hAnsi="Arial" w:cs="Arial"/>
          <w:sz w:val="22"/>
          <w:szCs w:val="22"/>
          <w:u w:val="single"/>
        </w:rPr>
        <w:t>Excipients</w:t>
      </w:r>
    </w:p>
    <w:p w:rsidR="005A75C8" w:rsidRPr="009221C3" w:rsidRDefault="00B67D3C" w:rsidP="00203C20">
      <w:pPr>
        <w:rPr>
          <w:rFonts w:ascii="Arial" w:hAnsi="Arial" w:cs="Arial"/>
          <w:sz w:val="22"/>
          <w:szCs w:val="22"/>
        </w:rPr>
      </w:pPr>
      <w:r>
        <w:rPr>
          <w:rFonts w:ascii="Arial" w:hAnsi="Arial" w:cs="Arial"/>
          <w:sz w:val="22"/>
          <w:szCs w:val="22"/>
        </w:rPr>
        <w:t>Patients with rare hereditary problems of galactose intolerance, the Lapp lactase deficiency or glucose-galactose malabsorption should not take INCRUSE ELLPTA.</w:t>
      </w:r>
    </w:p>
    <w:p w:rsidR="00C63332" w:rsidRPr="009221C3" w:rsidRDefault="00242B97" w:rsidP="005D4DCB">
      <w:pPr>
        <w:pStyle w:val="Heading2"/>
        <w:pageBreakBefore/>
      </w:pPr>
      <w:r w:rsidRPr="009221C3">
        <w:lastRenderedPageBreak/>
        <w:t xml:space="preserve">Effects on </w:t>
      </w:r>
      <w:r w:rsidR="00C63332" w:rsidRPr="009221C3">
        <w:t>Fertility:</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There are no data on the effects of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 xml:space="preserve">on human fertility. </w:t>
      </w:r>
      <w:r w:rsidR="00916142">
        <w:rPr>
          <w:rFonts w:ascii="Arial" w:hAnsi="Arial" w:cs="Arial"/>
          <w:sz w:val="22"/>
          <w:szCs w:val="22"/>
        </w:rPr>
        <w:t>S</w:t>
      </w:r>
      <w:r w:rsidRPr="009221C3">
        <w:rPr>
          <w:rFonts w:ascii="Arial" w:hAnsi="Arial" w:cs="Arial"/>
          <w:sz w:val="22"/>
          <w:szCs w:val="22"/>
        </w:rPr>
        <w:t>tudies</w:t>
      </w:r>
      <w:r w:rsidR="00916142">
        <w:rPr>
          <w:rFonts w:ascii="Arial" w:hAnsi="Arial" w:cs="Arial"/>
          <w:sz w:val="22"/>
          <w:szCs w:val="22"/>
        </w:rPr>
        <w:t xml:space="preserve"> in rats</w:t>
      </w:r>
      <w:r w:rsidRPr="009221C3">
        <w:rPr>
          <w:rFonts w:ascii="Arial" w:hAnsi="Arial" w:cs="Arial"/>
          <w:sz w:val="22"/>
          <w:szCs w:val="22"/>
        </w:rPr>
        <w:t xml:space="preserve"> </w:t>
      </w:r>
      <w:r w:rsidR="00916142">
        <w:rPr>
          <w:rFonts w:ascii="Arial" w:hAnsi="Arial" w:cs="Arial"/>
          <w:sz w:val="22"/>
          <w:szCs w:val="22"/>
        </w:rPr>
        <w:t xml:space="preserve">showed </w:t>
      </w:r>
      <w:r w:rsidRPr="009221C3">
        <w:rPr>
          <w:rFonts w:ascii="Arial" w:hAnsi="Arial" w:cs="Arial"/>
          <w:sz w:val="22"/>
          <w:szCs w:val="22"/>
        </w:rPr>
        <w:t xml:space="preserve">no effects of umeclidinium </w:t>
      </w:r>
      <w:r w:rsidR="009221C3" w:rsidRPr="009221C3">
        <w:rPr>
          <w:rFonts w:ascii="Arial" w:hAnsi="Arial" w:cs="Arial"/>
          <w:sz w:val="22"/>
          <w:szCs w:val="22"/>
        </w:rPr>
        <w:t>on</w:t>
      </w:r>
      <w:r w:rsidR="00916142">
        <w:rPr>
          <w:rFonts w:ascii="Arial" w:hAnsi="Arial" w:cs="Arial"/>
          <w:sz w:val="22"/>
          <w:szCs w:val="22"/>
        </w:rPr>
        <w:t xml:space="preserve"> male or female</w:t>
      </w:r>
      <w:r w:rsidR="009221C3" w:rsidRPr="009221C3">
        <w:rPr>
          <w:rFonts w:ascii="Arial" w:hAnsi="Arial" w:cs="Arial"/>
          <w:sz w:val="22"/>
          <w:szCs w:val="22"/>
        </w:rPr>
        <w:t xml:space="preserve"> fertility</w:t>
      </w:r>
      <w:r w:rsidR="00916142">
        <w:rPr>
          <w:rFonts w:ascii="Arial" w:hAnsi="Arial" w:cs="Arial"/>
          <w:sz w:val="22"/>
          <w:szCs w:val="22"/>
        </w:rPr>
        <w:t xml:space="preserve"> at doses producing very large multiples of the systemic exposure in patients</w:t>
      </w:r>
      <w:r w:rsidR="009221C3" w:rsidRPr="009221C3">
        <w:rPr>
          <w:rFonts w:ascii="Arial" w:hAnsi="Arial" w:cs="Arial"/>
          <w:sz w:val="22"/>
          <w:szCs w:val="22"/>
        </w:rPr>
        <w:t>.</w:t>
      </w:r>
      <w:r w:rsidRPr="009221C3">
        <w:rPr>
          <w:rFonts w:ascii="Arial" w:hAnsi="Arial" w:cs="Arial"/>
          <w:sz w:val="22"/>
          <w:szCs w:val="22"/>
        </w:rPr>
        <w:t xml:space="preserve"> </w:t>
      </w:r>
    </w:p>
    <w:p w:rsidR="000B3F7C" w:rsidRPr="009221C3" w:rsidRDefault="000B3F7C" w:rsidP="00203C20">
      <w:pPr>
        <w:rPr>
          <w:rFonts w:ascii="Arial" w:hAnsi="Arial" w:cs="Arial"/>
          <w:sz w:val="22"/>
          <w:szCs w:val="22"/>
        </w:rPr>
      </w:pPr>
    </w:p>
    <w:p w:rsidR="00C63332" w:rsidRPr="009221C3" w:rsidRDefault="00242B97" w:rsidP="00773D97">
      <w:pPr>
        <w:pStyle w:val="Heading2"/>
      </w:pPr>
      <w:r w:rsidRPr="00BF7A0D">
        <w:t xml:space="preserve">Use in </w:t>
      </w:r>
      <w:r w:rsidR="00C63332" w:rsidRPr="00420350">
        <w:t>Pregnancy</w:t>
      </w:r>
      <w:r w:rsidRPr="00420350">
        <w:t xml:space="preserve"> (</w:t>
      </w:r>
      <w:r w:rsidRPr="00420350">
        <w:rPr>
          <w:color w:val="000000"/>
        </w:rPr>
        <w:t>Category</w:t>
      </w:r>
      <w:r w:rsidR="004F640B" w:rsidRPr="00420350">
        <w:rPr>
          <w:color w:val="000000"/>
        </w:rPr>
        <w:t xml:space="preserve"> </w:t>
      </w:r>
      <w:r w:rsidR="00BF7A0D" w:rsidRPr="00420350">
        <w:rPr>
          <w:color w:val="000000"/>
        </w:rPr>
        <w:t>B</w:t>
      </w:r>
      <w:r w:rsidR="00916142">
        <w:rPr>
          <w:color w:val="000000"/>
        </w:rPr>
        <w:t>1</w:t>
      </w:r>
      <w:r w:rsidRPr="00420350">
        <w:t>)</w:t>
      </w:r>
      <w:r w:rsidR="00C63332" w:rsidRPr="00420350">
        <w:t>:</w:t>
      </w:r>
    </w:p>
    <w:p w:rsidR="005A75C8" w:rsidRPr="009221C3" w:rsidRDefault="005A75C8" w:rsidP="00916142">
      <w:pPr>
        <w:spacing w:after="120"/>
        <w:rPr>
          <w:rFonts w:ascii="Arial" w:hAnsi="Arial" w:cs="Arial"/>
          <w:sz w:val="22"/>
          <w:szCs w:val="22"/>
        </w:rPr>
      </w:pPr>
      <w:r w:rsidRPr="009221C3">
        <w:rPr>
          <w:rFonts w:ascii="Arial" w:hAnsi="Arial" w:cs="Arial"/>
          <w:sz w:val="22"/>
          <w:szCs w:val="22"/>
        </w:rPr>
        <w:t>There</w:t>
      </w:r>
      <w:r w:rsidR="00CD411F">
        <w:rPr>
          <w:rFonts w:ascii="Arial" w:hAnsi="Arial" w:cs="Arial"/>
          <w:sz w:val="22"/>
          <w:szCs w:val="22"/>
        </w:rPr>
        <w:t xml:space="preserve"> is a</w:t>
      </w:r>
      <w:r w:rsidRPr="009221C3">
        <w:rPr>
          <w:rFonts w:ascii="Arial" w:hAnsi="Arial" w:cs="Arial"/>
          <w:sz w:val="22"/>
          <w:szCs w:val="22"/>
        </w:rPr>
        <w:t xml:space="preserve"> limited amount of data from the use of </w:t>
      </w:r>
      <w:r w:rsidR="00A07727">
        <w:rPr>
          <w:rFonts w:ascii="Arial" w:hAnsi="Arial" w:cs="Arial"/>
          <w:sz w:val="22"/>
          <w:szCs w:val="22"/>
        </w:rPr>
        <w:t>Incruse</w:t>
      </w:r>
      <w:r w:rsidR="009221C3" w:rsidRPr="009221C3">
        <w:rPr>
          <w:rFonts w:ascii="Arial" w:hAnsi="Arial" w:cs="Arial"/>
          <w:sz w:val="22"/>
          <w:szCs w:val="22"/>
        </w:rPr>
        <w:t xml:space="preserve"> Ellipta </w:t>
      </w:r>
      <w:r w:rsidRPr="009221C3">
        <w:rPr>
          <w:rFonts w:ascii="Arial" w:hAnsi="Arial" w:cs="Arial"/>
          <w:sz w:val="22"/>
          <w:szCs w:val="22"/>
        </w:rPr>
        <w:t>in pregnant women.</w:t>
      </w:r>
      <w:r w:rsidR="00916142" w:rsidRPr="00916142">
        <w:t xml:space="preserve"> </w:t>
      </w:r>
      <w:r w:rsidR="00916142">
        <w:t xml:space="preserve"> </w:t>
      </w:r>
      <w:r w:rsidR="00916142" w:rsidRPr="00916142">
        <w:rPr>
          <w:rFonts w:ascii="Arial" w:hAnsi="Arial" w:cs="Arial"/>
          <w:sz w:val="22"/>
          <w:szCs w:val="22"/>
        </w:rPr>
        <w:t>Embryo</w:t>
      </w:r>
      <w:r w:rsidR="00B1405D">
        <w:rPr>
          <w:rFonts w:ascii="Arial" w:hAnsi="Arial" w:cs="Arial"/>
          <w:sz w:val="22"/>
          <w:szCs w:val="22"/>
        </w:rPr>
        <w:t>-</w:t>
      </w:r>
      <w:r w:rsidR="00916142" w:rsidRPr="00916142">
        <w:rPr>
          <w:rFonts w:ascii="Arial" w:hAnsi="Arial" w:cs="Arial"/>
          <w:sz w:val="22"/>
          <w:szCs w:val="22"/>
        </w:rPr>
        <w:t>f</w:t>
      </w:r>
      <w:r w:rsidR="00724541">
        <w:rPr>
          <w:rFonts w:ascii="Arial" w:hAnsi="Arial" w:cs="Arial"/>
          <w:sz w:val="22"/>
          <w:szCs w:val="22"/>
        </w:rPr>
        <w:t>o</w:t>
      </w:r>
      <w:r w:rsidR="00916142" w:rsidRPr="00916142">
        <w:rPr>
          <w:rFonts w:ascii="Arial" w:hAnsi="Arial" w:cs="Arial"/>
          <w:sz w:val="22"/>
          <w:szCs w:val="22"/>
        </w:rPr>
        <w:t>etal development was unaffected by umeclidinium in rats</w:t>
      </w:r>
      <w:r w:rsidR="00916142">
        <w:rPr>
          <w:rFonts w:ascii="Arial" w:hAnsi="Arial" w:cs="Arial"/>
          <w:sz w:val="22"/>
          <w:szCs w:val="22"/>
        </w:rPr>
        <w:t xml:space="preserve"> </w:t>
      </w:r>
      <w:r w:rsidR="00916142" w:rsidRPr="00916142">
        <w:rPr>
          <w:rFonts w:ascii="Arial" w:hAnsi="Arial" w:cs="Arial"/>
          <w:sz w:val="22"/>
          <w:szCs w:val="22"/>
        </w:rPr>
        <w:t xml:space="preserve">treated at up to 278 </w:t>
      </w:r>
      <w:r w:rsidR="008A055B">
        <w:rPr>
          <w:rFonts w:ascii="Arial" w:hAnsi="Arial" w:cs="Arial"/>
          <w:sz w:val="22"/>
          <w:szCs w:val="22"/>
        </w:rPr>
        <w:t>micrograms</w:t>
      </w:r>
      <w:r w:rsidR="00916142" w:rsidRPr="00916142">
        <w:rPr>
          <w:rFonts w:ascii="Arial" w:hAnsi="Arial" w:cs="Arial"/>
          <w:sz w:val="22"/>
          <w:szCs w:val="22"/>
        </w:rPr>
        <w:t>/kg/day by inhalation (estimated to yield 50 times the plasma AUC</w:t>
      </w:r>
      <w:r w:rsidR="00916142">
        <w:rPr>
          <w:rFonts w:ascii="Arial" w:hAnsi="Arial" w:cs="Arial"/>
          <w:sz w:val="22"/>
          <w:szCs w:val="22"/>
        </w:rPr>
        <w:t xml:space="preserve"> </w:t>
      </w:r>
      <w:r w:rsidR="00916142" w:rsidRPr="00916142">
        <w:rPr>
          <w:rFonts w:ascii="Arial" w:hAnsi="Arial" w:cs="Arial"/>
          <w:sz w:val="22"/>
          <w:szCs w:val="22"/>
        </w:rPr>
        <w:t xml:space="preserve">in patients at the maximum </w:t>
      </w:r>
      <w:r w:rsidR="00916142">
        <w:rPr>
          <w:rFonts w:ascii="Arial" w:hAnsi="Arial" w:cs="Arial"/>
          <w:sz w:val="22"/>
          <w:szCs w:val="22"/>
        </w:rPr>
        <w:t xml:space="preserve">recommended human dose of 62.5 </w:t>
      </w:r>
      <w:r w:rsidR="008A055B">
        <w:rPr>
          <w:rFonts w:ascii="Arial" w:hAnsi="Arial" w:cs="Arial"/>
          <w:sz w:val="22"/>
          <w:szCs w:val="22"/>
        </w:rPr>
        <w:t>micrograms</w:t>
      </w:r>
      <w:r w:rsidR="00916142" w:rsidRPr="00916142">
        <w:rPr>
          <w:rFonts w:ascii="Arial" w:hAnsi="Arial" w:cs="Arial"/>
          <w:sz w:val="22"/>
          <w:szCs w:val="22"/>
        </w:rPr>
        <w:t xml:space="preserve"> per day) and in rabbits</w:t>
      </w:r>
      <w:r w:rsidR="00916142">
        <w:rPr>
          <w:rFonts w:ascii="Arial" w:hAnsi="Arial" w:cs="Arial"/>
          <w:sz w:val="22"/>
          <w:szCs w:val="22"/>
        </w:rPr>
        <w:t xml:space="preserve"> </w:t>
      </w:r>
      <w:r w:rsidR="00916142" w:rsidRPr="00916142">
        <w:rPr>
          <w:rFonts w:ascii="Arial" w:hAnsi="Arial" w:cs="Arial"/>
          <w:sz w:val="22"/>
          <w:szCs w:val="22"/>
        </w:rPr>
        <w:t xml:space="preserve">treated at up to 306 </w:t>
      </w:r>
      <w:r w:rsidR="008A055B">
        <w:rPr>
          <w:rFonts w:ascii="Arial" w:hAnsi="Arial" w:cs="Arial"/>
          <w:sz w:val="22"/>
          <w:szCs w:val="22"/>
        </w:rPr>
        <w:t>micrograms</w:t>
      </w:r>
      <w:r w:rsidR="00916142" w:rsidRPr="00916142">
        <w:rPr>
          <w:rFonts w:ascii="Arial" w:hAnsi="Arial" w:cs="Arial"/>
          <w:sz w:val="22"/>
          <w:szCs w:val="22"/>
        </w:rPr>
        <w:t xml:space="preserve">/kg/day by inhalation or up to 180 </w:t>
      </w:r>
      <w:r w:rsidR="008A055B">
        <w:rPr>
          <w:rFonts w:ascii="Arial" w:hAnsi="Arial" w:cs="Arial"/>
          <w:sz w:val="22"/>
          <w:szCs w:val="22"/>
        </w:rPr>
        <w:t>micrograms</w:t>
      </w:r>
      <w:r w:rsidR="00916142" w:rsidRPr="00916142">
        <w:rPr>
          <w:rFonts w:ascii="Arial" w:hAnsi="Arial" w:cs="Arial"/>
          <w:sz w:val="22"/>
          <w:szCs w:val="22"/>
        </w:rPr>
        <w:t>/kg/day subcutaneously</w:t>
      </w:r>
      <w:r w:rsidR="00916142">
        <w:rPr>
          <w:rFonts w:ascii="Arial" w:hAnsi="Arial" w:cs="Arial"/>
          <w:sz w:val="22"/>
          <w:szCs w:val="22"/>
        </w:rPr>
        <w:t xml:space="preserve"> </w:t>
      </w:r>
      <w:r w:rsidR="00916142" w:rsidRPr="00916142">
        <w:rPr>
          <w:rFonts w:ascii="Arial" w:hAnsi="Arial" w:cs="Arial"/>
          <w:sz w:val="22"/>
          <w:szCs w:val="22"/>
        </w:rPr>
        <w:t>(yielding 35 and ~200 times the plasma AUC in patients).</w:t>
      </w:r>
    </w:p>
    <w:p w:rsidR="005A75C8" w:rsidRPr="009221C3" w:rsidRDefault="00A07727" w:rsidP="00577DCC">
      <w:pPr>
        <w:spacing w:after="120"/>
        <w:rPr>
          <w:rFonts w:ascii="Arial" w:hAnsi="Arial" w:cs="Arial"/>
          <w:sz w:val="22"/>
          <w:szCs w:val="22"/>
        </w:rPr>
      </w:pPr>
      <w:r>
        <w:rPr>
          <w:rFonts w:ascii="Arial" w:hAnsi="Arial" w:cs="Arial"/>
          <w:sz w:val="22"/>
          <w:szCs w:val="22"/>
        </w:rPr>
        <w:t>Incruse</w:t>
      </w:r>
      <w:r w:rsidR="009221C3" w:rsidRPr="009221C3">
        <w:rPr>
          <w:rFonts w:ascii="Arial" w:hAnsi="Arial" w:cs="Arial"/>
          <w:sz w:val="22"/>
          <w:szCs w:val="22"/>
        </w:rPr>
        <w:t xml:space="preserve"> Ellipta </w:t>
      </w:r>
      <w:r w:rsidR="005A75C8" w:rsidRPr="009221C3">
        <w:rPr>
          <w:rFonts w:ascii="Arial" w:hAnsi="Arial" w:cs="Arial"/>
          <w:sz w:val="22"/>
          <w:szCs w:val="22"/>
        </w:rPr>
        <w:t xml:space="preserve">should </w:t>
      </w:r>
      <w:r w:rsidR="00B1405D">
        <w:rPr>
          <w:rFonts w:ascii="Arial" w:hAnsi="Arial" w:cs="Arial"/>
          <w:sz w:val="22"/>
          <w:szCs w:val="22"/>
        </w:rPr>
        <w:t xml:space="preserve">only </w:t>
      </w:r>
      <w:r w:rsidR="005A75C8" w:rsidRPr="009221C3">
        <w:rPr>
          <w:rFonts w:ascii="Arial" w:hAnsi="Arial" w:cs="Arial"/>
          <w:sz w:val="22"/>
          <w:szCs w:val="22"/>
        </w:rPr>
        <w:t xml:space="preserve">be used during pregnancy if the expected benefit to the mother justifies the potential risk to the </w:t>
      </w:r>
      <w:r w:rsidR="009C2789">
        <w:rPr>
          <w:rFonts w:ascii="Arial" w:hAnsi="Arial" w:cs="Arial"/>
          <w:sz w:val="22"/>
          <w:szCs w:val="22"/>
        </w:rPr>
        <w:t>foetus</w:t>
      </w:r>
      <w:r w:rsidR="005A75C8" w:rsidRPr="009221C3">
        <w:rPr>
          <w:rFonts w:ascii="Arial" w:hAnsi="Arial" w:cs="Arial"/>
          <w:sz w:val="22"/>
          <w:szCs w:val="22"/>
        </w:rPr>
        <w:t>.</w:t>
      </w:r>
    </w:p>
    <w:p w:rsidR="000B3F7C" w:rsidRPr="009221C3" w:rsidRDefault="000B3F7C" w:rsidP="00577DCC">
      <w:pPr>
        <w:spacing w:after="120"/>
        <w:rPr>
          <w:rFonts w:ascii="Arial" w:hAnsi="Arial" w:cs="Arial"/>
          <w:sz w:val="22"/>
          <w:szCs w:val="22"/>
        </w:rPr>
      </w:pPr>
    </w:p>
    <w:p w:rsidR="00C63332" w:rsidRPr="009221C3" w:rsidRDefault="00242B97" w:rsidP="00773D97">
      <w:pPr>
        <w:pStyle w:val="Heading2"/>
      </w:pPr>
      <w:r w:rsidRPr="009221C3">
        <w:t xml:space="preserve">Use in </w:t>
      </w:r>
      <w:r w:rsidR="00C63332" w:rsidRPr="009221C3">
        <w:t>Lactation:</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It is unknown whether umeclidinium </w:t>
      </w:r>
      <w:r w:rsidR="00CD411F">
        <w:rPr>
          <w:rFonts w:ascii="Arial" w:hAnsi="Arial" w:cs="Arial"/>
          <w:sz w:val="22"/>
          <w:szCs w:val="22"/>
        </w:rPr>
        <w:t>is</w:t>
      </w:r>
      <w:r w:rsidRPr="009221C3">
        <w:rPr>
          <w:rFonts w:ascii="Arial" w:hAnsi="Arial" w:cs="Arial"/>
          <w:sz w:val="22"/>
          <w:szCs w:val="22"/>
        </w:rPr>
        <w:t xml:space="preserve"> excreted in human milk. A risk to breastfed newborns/infants cannot be excluded.</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 decision must be made whether to discontinue breastfeeding or to discontinue </w:t>
      </w:r>
      <w:r w:rsidR="00A07727">
        <w:rPr>
          <w:rFonts w:ascii="Arial" w:hAnsi="Arial" w:cs="Arial"/>
          <w:sz w:val="22"/>
          <w:szCs w:val="22"/>
        </w:rPr>
        <w:t>Incruse</w:t>
      </w:r>
      <w:r w:rsidR="009221C3">
        <w:rPr>
          <w:rFonts w:ascii="Arial" w:hAnsi="Arial" w:cs="Arial"/>
          <w:sz w:val="22"/>
          <w:szCs w:val="22"/>
        </w:rPr>
        <w:t xml:space="preserve"> Ellipta </w:t>
      </w:r>
      <w:r w:rsidRPr="009221C3">
        <w:rPr>
          <w:rFonts w:ascii="Arial" w:hAnsi="Arial" w:cs="Arial"/>
          <w:sz w:val="22"/>
          <w:szCs w:val="22"/>
        </w:rPr>
        <w:t>therapy taking into account the benefit of breastfeeding for the child and the benefit of therapy for the woman.</w:t>
      </w:r>
    </w:p>
    <w:p w:rsidR="009221C3" w:rsidRDefault="009221C3" w:rsidP="00242B97">
      <w:pPr>
        <w:jc w:val="both"/>
        <w:rPr>
          <w:rFonts w:ascii="Arial" w:hAnsi="Arial" w:cs="Arial"/>
          <w:b/>
          <w:sz w:val="22"/>
          <w:szCs w:val="22"/>
        </w:rPr>
      </w:pPr>
    </w:p>
    <w:p w:rsidR="00242B97" w:rsidRPr="009221C3" w:rsidRDefault="00242B97" w:rsidP="00773D97">
      <w:pPr>
        <w:pStyle w:val="Heading2"/>
      </w:pPr>
      <w:r w:rsidRPr="009221C3">
        <w:t>Paediatric Use:</w:t>
      </w:r>
    </w:p>
    <w:p w:rsidR="006A580B" w:rsidRDefault="00B67D3C" w:rsidP="00577DCC">
      <w:pPr>
        <w:spacing w:after="120"/>
        <w:rPr>
          <w:rFonts w:ascii="Arial" w:hAnsi="Arial" w:cs="Arial"/>
          <w:sz w:val="22"/>
          <w:szCs w:val="22"/>
        </w:rPr>
      </w:pPr>
      <w:r>
        <w:rPr>
          <w:rFonts w:ascii="Arial" w:hAnsi="Arial" w:cs="Arial"/>
          <w:sz w:val="22"/>
          <w:szCs w:val="22"/>
        </w:rPr>
        <w:t>This product should not be used in children.</w:t>
      </w:r>
    </w:p>
    <w:p w:rsidR="009221C3" w:rsidRPr="009221C3" w:rsidRDefault="009221C3" w:rsidP="00577DCC">
      <w:pPr>
        <w:spacing w:after="120"/>
        <w:rPr>
          <w:rFonts w:ascii="Arial" w:hAnsi="Arial" w:cs="Arial"/>
          <w:sz w:val="22"/>
          <w:szCs w:val="22"/>
        </w:rPr>
      </w:pPr>
    </w:p>
    <w:p w:rsidR="00242B97" w:rsidRPr="009221C3" w:rsidRDefault="00242B97" w:rsidP="00773D97">
      <w:pPr>
        <w:pStyle w:val="Heading2"/>
      </w:pPr>
      <w:r w:rsidRPr="009221C3">
        <w:t xml:space="preserve">Use in </w:t>
      </w:r>
      <w:r w:rsidR="00A93928" w:rsidRPr="009221C3">
        <w:t xml:space="preserve">the </w:t>
      </w:r>
      <w:r w:rsidRPr="009221C3">
        <w:t>Elderly:</w:t>
      </w:r>
    </w:p>
    <w:p w:rsidR="00242B97" w:rsidRDefault="008A1EF6" w:rsidP="00577DCC">
      <w:pPr>
        <w:spacing w:after="120"/>
        <w:rPr>
          <w:rFonts w:ascii="Arial" w:hAnsi="Arial" w:cs="Arial"/>
          <w:sz w:val="22"/>
          <w:szCs w:val="22"/>
        </w:rPr>
      </w:pPr>
      <w:r w:rsidRPr="00420350">
        <w:rPr>
          <w:rFonts w:ascii="Arial" w:hAnsi="Arial" w:cs="Arial"/>
          <w:sz w:val="22"/>
          <w:szCs w:val="22"/>
        </w:rPr>
        <w:t>There are no special precautions for use in the elderly</w:t>
      </w:r>
      <w:r w:rsidR="009221C3" w:rsidRPr="00420350">
        <w:rPr>
          <w:rFonts w:ascii="Arial" w:hAnsi="Arial" w:cs="Arial"/>
          <w:sz w:val="22"/>
          <w:szCs w:val="22"/>
        </w:rPr>
        <w:t>.</w:t>
      </w:r>
    </w:p>
    <w:p w:rsidR="009221C3" w:rsidRPr="009221C3" w:rsidRDefault="009221C3" w:rsidP="00203C20">
      <w:pPr>
        <w:rPr>
          <w:rFonts w:ascii="Arial" w:hAnsi="Arial" w:cs="Arial"/>
          <w:sz w:val="22"/>
          <w:szCs w:val="22"/>
        </w:rPr>
      </w:pPr>
    </w:p>
    <w:p w:rsidR="00E81E59" w:rsidRPr="009221C3" w:rsidRDefault="00E81E59" w:rsidP="00773D97">
      <w:pPr>
        <w:pStyle w:val="Heading2"/>
      </w:pPr>
      <w:r w:rsidRPr="009221C3">
        <w:t>Genotoxicity:</w:t>
      </w:r>
    </w:p>
    <w:p w:rsidR="00E81E59" w:rsidRPr="009221C3" w:rsidRDefault="008A1EF6" w:rsidP="0087188D">
      <w:pPr>
        <w:spacing w:after="120"/>
        <w:rPr>
          <w:rFonts w:ascii="Arial" w:hAnsi="Arial" w:cs="Arial"/>
          <w:sz w:val="22"/>
          <w:szCs w:val="22"/>
        </w:rPr>
      </w:pPr>
      <w:r w:rsidRPr="009221C3">
        <w:rPr>
          <w:rFonts w:ascii="Arial" w:hAnsi="Arial" w:cs="Arial"/>
          <w:sz w:val="22"/>
          <w:szCs w:val="22"/>
        </w:rPr>
        <w:t>Umeclidinium was not genotoxic in a standard battery of studies</w:t>
      </w:r>
      <w:r w:rsidR="0087188D">
        <w:rPr>
          <w:rFonts w:ascii="Arial" w:hAnsi="Arial" w:cs="Arial"/>
          <w:sz w:val="22"/>
          <w:szCs w:val="22"/>
        </w:rPr>
        <w:t>, comprising</w:t>
      </w:r>
      <w:r w:rsidR="0087188D" w:rsidRPr="0087188D">
        <w:rPr>
          <w:rFonts w:ascii="Arial" w:hAnsi="Arial" w:cs="Arial"/>
          <w:sz w:val="22"/>
          <w:szCs w:val="22"/>
        </w:rPr>
        <w:t xml:space="preserve"> bacterial</w:t>
      </w:r>
      <w:r w:rsidR="0087188D">
        <w:rPr>
          <w:rFonts w:ascii="Arial" w:hAnsi="Arial" w:cs="Arial"/>
          <w:sz w:val="22"/>
          <w:szCs w:val="22"/>
        </w:rPr>
        <w:t xml:space="preserve"> </w:t>
      </w:r>
      <w:r w:rsidR="0087188D" w:rsidRPr="0087188D">
        <w:rPr>
          <w:rFonts w:ascii="Arial" w:hAnsi="Arial" w:cs="Arial"/>
          <w:sz w:val="22"/>
          <w:szCs w:val="22"/>
        </w:rPr>
        <w:t>mutation assays, the mouse lymphoma tk assay and the rat bone marrow micronucleus</w:t>
      </w:r>
      <w:r w:rsidR="0087188D">
        <w:rPr>
          <w:rFonts w:ascii="Arial" w:hAnsi="Arial" w:cs="Arial"/>
          <w:sz w:val="22"/>
          <w:szCs w:val="22"/>
        </w:rPr>
        <w:t xml:space="preserve"> </w:t>
      </w:r>
      <w:r w:rsidR="0087188D" w:rsidRPr="0087188D">
        <w:rPr>
          <w:rFonts w:ascii="Arial" w:hAnsi="Arial" w:cs="Arial"/>
          <w:sz w:val="22"/>
          <w:szCs w:val="22"/>
        </w:rPr>
        <w:t>test.</w:t>
      </w:r>
    </w:p>
    <w:p w:rsidR="00CD411F" w:rsidRDefault="00CD411F" w:rsidP="000C63C2">
      <w:pPr>
        <w:keepNext/>
        <w:rPr>
          <w:rFonts w:ascii="Arial" w:hAnsi="Arial" w:cs="Arial"/>
          <w:b/>
          <w:sz w:val="22"/>
          <w:szCs w:val="22"/>
        </w:rPr>
      </w:pPr>
    </w:p>
    <w:p w:rsidR="00242B97" w:rsidRPr="009221C3" w:rsidRDefault="00242B97" w:rsidP="00773D97">
      <w:pPr>
        <w:pStyle w:val="Heading2"/>
      </w:pPr>
      <w:r w:rsidRPr="009221C3">
        <w:t>Carcinogenicity:</w:t>
      </w:r>
    </w:p>
    <w:p w:rsidR="008A1EF6" w:rsidRPr="009221C3" w:rsidRDefault="008A1EF6" w:rsidP="0087188D">
      <w:pPr>
        <w:spacing w:after="120"/>
        <w:rPr>
          <w:rFonts w:ascii="Arial" w:hAnsi="Arial" w:cs="Arial"/>
          <w:sz w:val="22"/>
          <w:szCs w:val="22"/>
        </w:rPr>
      </w:pPr>
      <w:r w:rsidRPr="009221C3">
        <w:rPr>
          <w:rFonts w:ascii="Arial" w:hAnsi="Arial" w:cs="Arial"/>
          <w:sz w:val="22"/>
          <w:szCs w:val="22"/>
        </w:rPr>
        <w:t xml:space="preserve">Umeclidinium was not carcinogenic in </w:t>
      </w:r>
      <w:r w:rsidR="0087188D">
        <w:rPr>
          <w:rFonts w:ascii="Arial" w:hAnsi="Arial" w:cs="Arial"/>
          <w:sz w:val="22"/>
          <w:szCs w:val="22"/>
        </w:rPr>
        <w:t>2-year</w:t>
      </w:r>
      <w:r w:rsidRPr="009221C3">
        <w:rPr>
          <w:rFonts w:ascii="Arial" w:hAnsi="Arial" w:cs="Arial"/>
          <w:sz w:val="22"/>
          <w:szCs w:val="22"/>
        </w:rPr>
        <w:t xml:space="preserve"> inhalation studies in mice or rats at </w:t>
      </w:r>
      <w:r w:rsidR="0087188D" w:rsidRPr="0087188D">
        <w:rPr>
          <w:rFonts w:ascii="Arial" w:hAnsi="Arial" w:cs="Arial"/>
          <w:sz w:val="22"/>
          <w:szCs w:val="22"/>
        </w:rPr>
        <w:t>doses yielding systemic exposure levels (plasma AUC) up to</w:t>
      </w:r>
      <w:r w:rsidR="0087188D">
        <w:rPr>
          <w:rFonts w:ascii="Arial" w:hAnsi="Arial" w:cs="Arial"/>
          <w:sz w:val="22"/>
          <w:szCs w:val="22"/>
        </w:rPr>
        <w:t xml:space="preserve"> </w:t>
      </w:r>
      <w:r w:rsidR="0087188D" w:rsidRPr="0087188D">
        <w:rPr>
          <w:rFonts w:ascii="Arial" w:hAnsi="Arial" w:cs="Arial"/>
          <w:sz w:val="22"/>
          <w:szCs w:val="22"/>
        </w:rPr>
        <w:t>26 or 22</w:t>
      </w:r>
      <w:r w:rsidRPr="009221C3">
        <w:rPr>
          <w:rFonts w:ascii="Arial" w:hAnsi="Arial" w:cs="Arial"/>
          <w:sz w:val="22"/>
          <w:szCs w:val="22"/>
        </w:rPr>
        <w:t xml:space="preserve"> times the human clinical exposure of umeclidinium</w:t>
      </w:r>
      <w:r w:rsidR="009221C3">
        <w:rPr>
          <w:rFonts w:ascii="Arial" w:hAnsi="Arial" w:cs="Arial"/>
          <w:sz w:val="22"/>
          <w:szCs w:val="22"/>
        </w:rPr>
        <w:t xml:space="preserve"> </w:t>
      </w:r>
      <w:r w:rsidR="0087188D" w:rsidRPr="0087188D">
        <w:t xml:space="preserve"> </w:t>
      </w:r>
      <w:r w:rsidR="0087188D" w:rsidRPr="0087188D">
        <w:rPr>
          <w:rFonts w:ascii="Arial" w:hAnsi="Arial" w:cs="Arial"/>
          <w:sz w:val="22"/>
          <w:szCs w:val="22"/>
        </w:rPr>
        <w:t>at the</w:t>
      </w:r>
      <w:r w:rsidR="0087188D">
        <w:rPr>
          <w:rFonts w:ascii="Arial" w:hAnsi="Arial" w:cs="Arial"/>
          <w:sz w:val="22"/>
          <w:szCs w:val="22"/>
        </w:rPr>
        <w:t xml:space="preserve"> </w:t>
      </w:r>
      <w:r w:rsidR="0087188D" w:rsidRPr="0087188D">
        <w:rPr>
          <w:rFonts w:ascii="Arial" w:hAnsi="Arial" w:cs="Arial"/>
          <w:sz w:val="22"/>
          <w:szCs w:val="22"/>
        </w:rPr>
        <w:t xml:space="preserve">maximum recommended dose of 62.5 </w:t>
      </w:r>
      <w:r w:rsidR="008A055B">
        <w:rPr>
          <w:rFonts w:ascii="Arial" w:hAnsi="Arial" w:cs="Arial"/>
          <w:sz w:val="22"/>
          <w:szCs w:val="22"/>
        </w:rPr>
        <w:t>micrograms</w:t>
      </w:r>
      <w:r w:rsidR="0087188D" w:rsidRPr="0087188D">
        <w:rPr>
          <w:rFonts w:ascii="Arial" w:hAnsi="Arial" w:cs="Arial"/>
          <w:sz w:val="22"/>
          <w:szCs w:val="22"/>
        </w:rPr>
        <w:t xml:space="preserve"> per day</w:t>
      </w:r>
      <w:r w:rsidR="0087188D">
        <w:rPr>
          <w:rFonts w:ascii="Arial" w:hAnsi="Arial" w:cs="Arial"/>
          <w:sz w:val="22"/>
          <w:szCs w:val="22"/>
        </w:rPr>
        <w:t xml:space="preserve"> in the respective species</w:t>
      </w:r>
      <w:r w:rsidRPr="009221C3">
        <w:rPr>
          <w:rFonts w:ascii="Arial" w:hAnsi="Arial" w:cs="Arial"/>
          <w:sz w:val="22"/>
          <w:szCs w:val="22"/>
        </w:rPr>
        <w:t>.</w:t>
      </w:r>
    </w:p>
    <w:p w:rsidR="009221C3" w:rsidRDefault="009221C3" w:rsidP="00242B97">
      <w:pPr>
        <w:jc w:val="both"/>
        <w:rPr>
          <w:rFonts w:ascii="Arial" w:hAnsi="Arial" w:cs="Arial"/>
          <w:b/>
          <w:sz w:val="22"/>
          <w:szCs w:val="22"/>
        </w:rPr>
      </w:pPr>
    </w:p>
    <w:p w:rsidR="00242B97" w:rsidRPr="009221C3" w:rsidRDefault="00242B97" w:rsidP="00773D97">
      <w:pPr>
        <w:pStyle w:val="Heading2"/>
      </w:pPr>
      <w:r w:rsidRPr="009221C3">
        <w:t>Effect on Laboratory Tests:</w:t>
      </w:r>
    </w:p>
    <w:p w:rsidR="00E8070F" w:rsidRDefault="008A1EF6" w:rsidP="00577DCC">
      <w:pPr>
        <w:spacing w:after="120"/>
        <w:rPr>
          <w:rFonts w:ascii="Arial" w:hAnsi="Arial" w:cs="Arial"/>
          <w:sz w:val="22"/>
          <w:szCs w:val="22"/>
        </w:rPr>
      </w:pPr>
      <w:r w:rsidRPr="00420350">
        <w:rPr>
          <w:rFonts w:ascii="Arial" w:hAnsi="Arial" w:cs="Arial"/>
          <w:sz w:val="22"/>
          <w:szCs w:val="22"/>
        </w:rPr>
        <w:t>Interactions with laboratory tests have not been established.</w:t>
      </w:r>
    </w:p>
    <w:p w:rsidR="00203C20" w:rsidRPr="009221C3" w:rsidRDefault="00203C20" w:rsidP="00203C20">
      <w:pPr>
        <w:rPr>
          <w:rFonts w:ascii="Arial" w:hAnsi="Arial" w:cs="Arial"/>
          <w:sz w:val="22"/>
          <w:szCs w:val="22"/>
        </w:rPr>
      </w:pPr>
    </w:p>
    <w:p w:rsidR="005A75C8" w:rsidRPr="00773D97" w:rsidRDefault="005A75C8" w:rsidP="00773D97">
      <w:pPr>
        <w:pStyle w:val="Heading2"/>
      </w:pPr>
      <w:r w:rsidRPr="00773D97">
        <w:t xml:space="preserve">Ability to </w:t>
      </w:r>
      <w:r w:rsidR="00A52F10">
        <w:t>P</w:t>
      </w:r>
      <w:r w:rsidRPr="00773D97">
        <w:t xml:space="preserve">erform </w:t>
      </w:r>
      <w:r w:rsidR="00A52F10">
        <w:t>T</w:t>
      </w:r>
      <w:r w:rsidRPr="00773D97">
        <w:t xml:space="preserve">asks that </w:t>
      </w:r>
      <w:r w:rsidR="00A52F10">
        <w:t>R</w:t>
      </w:r>
      <w:r w:rsidRPr="00773D97">
        <w:t>equire Judgement, Motor or Cognitive Skills</w:t>
      </w:r>
    </w:p>
    <w:p w:rsidR="005A75C8" w:rsidRPr="009221C3" w:rsidRDefault="005A75C8" w:rsidP="00577DCC">
      <w:pPr>
        <w:spacing w:after="120"/>
        <w:rPr>
          <w:rFonts w:ascii="Arial" w:hAnsi="Arial" w:cs="Arial"/>
          <w:sz w:val="22"/>
          <w:szCs w:val="22"/>
        </w:rPr>
      </w:pPr>
      <w:r w:rsidRPr="00420350">
        <w:rPr>
          <w:rFonts w:ascii="Arial" w:hAnsi="Arial" w:cs="Arial"/>
          <w:sz w:val="22"/>
          <w:szCs w:val="22"/>
        </w:rPr>
        <w:t xml:space="preserve">There have been no studies to investigate the effect of </w:t>
      </w:r>
      <w:r w:rsidR="00A07727">
        <w:rPr>
          <w:rFonts w:ascii="Arial" w:hAnsi="Arial" w:cs="Arial"/>
          <w:sz w:val="22"/>
          <w:szCs w:val="22"/>
        </w:rPr>
        <w:t>Incruse</w:t>
      </w:r>
      <w:r w:rsidR="006F03BB" w:rsidRPr="00420350">
        <w:rPr>
          <w:rFonts w:ascii="Arial" w:hAnsi="Arial" w:cs="Arial"/>
          <w:sz w:val="22"/>
          <w:szCs w:val="22"/>
        </w:rPr>
        <w:t xml:space="preserve"> Ellipta </w:t>
      </w:r>
      <w:r w:rsidRPr="00420350">
        <w:rPr>
          <w:rFonts w:ascii="Arial" w:hAnsi="Arial" w:cs="Arial"/>
          <w:sz w:val="22"/>
          <w:szCs w:val="22"/>
        </w:rPr>
        <w:t xml:space="preserve">on the ability to perform tasks that require judgement, motor or cognitive skills. </w:t>
      </w:r>
      <w:r w:rsidR="00420350">
        <w:rPr>
          <w:rFonts w:ascii="Arial" w:hAnsi="Arial" w:cs="Arial"/>
          <w:sz w:val="22"/>
          <w:szCs w:val="22"/>
        </w:rPr>
        <w:t xml:space="preserve"> </w:t>
      </w:r>
      <w:r w:rsidR="001D3BD3">
        <w:rPr>
          <w:rFonts w:ascii="Arial" w:hAnsi="Arial" w:cs="Arial"/>
          <w:sz w:val="22"/>
          <w:szCs w:val="22"/>
        </w:rPr>
        <w:t xml:space="preserve">There have been no adverse effects associated with </w:t>
      </w:r>
      <w:r w:rsidR="00A07727">
        <w:rPr>
          <w:rFonts w:ascii="Arial" w:hAnsi="Arial" w:cs="Arial"/>
          <w:sz w:val="22"/>
          <w:szCs w:val="22"/>
        </w:rPr>
        <w:t>Incruse</w:t>
      </w:r>
      <w:r w:rsidR="008B2231" w:rsidRPr="00420350">
        <w:rPr>
          <w:rFonts w:ascii="Arial" w:hAnsi="Arial" w:cs="Arial"/>
          <w:sz w:val="22"/>
          <w:szCs w:val="22"/>
        </w:rPr>
        <w:t xml:space="preserve"> Ellipta</w:t>
      </w:r>
      <w:r w:rsidR="001D3BD3">
        <w:rPr>
          <w:rFonts w:ascii="Arial" w:hAnsi="Arial" w:cs="Arial"/>
          <w:sz w:val="22"/>
          <w:szCs w:val="22"/>
        </w:rPr>
        <w:t xml:space="preserve"> that would affect the ability to perform tasks that require judgement, motor or cognitive skills.</w:t>
      </w:r>
    </w:p>
    <w:p w:rsidR="00E8070F" w:rsidRPr="009221C3" w:rsidRDefault="00E8070F" w:rsidP="00577DCC">
      <w:pPr>
        <w:spacing w:after="120"/>
        <w:rPr>
          <w:rFonts w:ascii="Arial" w:hAnsi="Arial" w:cs="Arial"/>
          <w:sz w:val="22"/>
          <w:szCs w:val="22"/>
        </w:rPr>
      </w:pPr>
    </w:p>
    <w:p w:rsidR="00E81E59" w:rsidRDefault="00E81E59" w:rsidP="00773D97">
      <w:pPr>
        <w:pStyle w:val="Heading1"/>
      </w:pPr>
      <w:r w:rsidRPr="009221C3">
        <w:t xml:space="preserve">INTERACTIONS WITH </w:t>
      </w:r>
      <w:r w:rsidR="004F640B" w:rsidRPr="009221C3">
        <w:t>OTHER MEDICINES</w:t>
      </w:r>
    </w:p>
    <w:p w:rsidR="00392DBA" w:rsidRDefault="00773D97" w:rsidP="000C63C2">
      <w:pPr>
        <w:keepNext/>
        <w:spacing w:after="120"/>
        <w:jc w:val="both"/>
        <w:rPr>
          <w:rFonts w:ascii="Arial" w:hAnsi="Arial" w:cs="Arial"/>
          <w:sz w:val="22"/>
          <w:szCs w:val="22"/>
        </w:rPr>
      </w:pPr>
      <w:r w:rsidRPr="00652AFF">
        <w:rPr>
          <w:rFonts w:ascii="Arial" w:hAnsi="Arial" w:cs="Arial"/>
          <w:sz w:val="22"/>
          <w:szCs w:val="22"/>
        </w:rPr>
        <w:t>Clinically significant drug interactions mediated by umeclidinium at clinical doses are considered unlikely due to the low plasma concentrations achieved after inhaled dosing</w:t>
      </w:r>
      <w:r>
        <w:rPr>
          <w:rFonts w:ascii="Arial" w:hAnsi="Arial" w:cs="Arial"/>
          <w:sz w:val="22"/>
          <w:szCs w:val="22"/>
        </w:rPr>
        <w:t>.</w:t>
      </w:r>
    </w:p>
    <w:p w:rsidR="00203C20" w:rsidRDefault="00203C20" w:rsidP="00203C20">
      <w:pPr>
        <w:keepNext/>
        <w:jc w:val="both"/>
        <w:rPr>
          <w:rFonts w:ascii="Arial" w:hAnsi="Arial" w:cs="Arial"/>
          <w:b/>
          <w:sz w:val="22"/>
          <w:szCs w:val="22"/>
        </w:rPr>
      </w:pPr>
    </w:p>
    <w:p w:rsidR="00E8070F" w:rsidRDefault="00C879B5" w:rsidP="00773D97">
      <w:pPr>
        <w:pStyle w:val="Heading2"/>
      </w:pPr>
      <w:r>
        <w:t>Interaction with P-glycoprotein inhibitors</w:t>
      </w:r>
    </w:p>
    <w:p w:rsidR="00EA6120" w:rsidRPr="00EA6120" w:rsidRDefault="00EA6120" w:rsidP="00EA6120">
      <w:pPr>
        <w:rPr>
          <w:rFonts w:ascii="Arial" w:hAnsi="Arial" w:cs="Arial"/>
          <w:sz w:val="22"/>
          <w:szCs w:val="22"/>
          <w:lang w:val="en-GB"/>
        </w:rPr>
      </w:pPr>
      <w:r w:rsidRPr="00EA6120">
        <w:rPr>
          <w:rFonts w:ascii="Arial" w:hAnsi="Arial" w:cs="Arial"/>
          <w:sz w:val="22"/>
          <w:szCs w:val="22"/>
          <w:lang w:val="en-GB"/>
        </w:rPr>
        <w:t>Umeclidinium is a substrate of P</w:t>
      </w:r>
      <w:r w:rsidRPr="00EA6120">
        <w:rPr>
          <w:rFonts w:ascii="Arial" w:hAnsi="Arial" w:cs="Arial"/>
          <w:sz w:val="22"/>
          <w:szCs w:val="22"/>
          <w:lang w:val="en-GB"/>
        </w:rPr>
        <w:noBreakHyphen/>
        <w:t>glycoprotein (P</w:t>
      </w:r>
      <w:r w:rsidRPr="00EA6120">
        <w:rPr>
          <w:rFonts w:ascii="Arial" w:hAnsi="Arial" w:cs="Arial"/>
          <w:sz w:val="22"/>
          <w:szCs w:val="22"/>
          <w:lang w:val="en-GB"/>
        </w:rPr>
        <w:noBreakHyphen/>
        <w:t xml:space="preserve">gp) </w:t>
      </w:r>
      <w:r>
        <w:rPr>
          <w:rFonts w:ascii="Arial" w:hAnsi="Arial" w:cs="Arial"/>
          <w:sz w:val="22"/>
          <w:szCs w:val="22"/>
          <w:lang w:val="en-GB"/>
        </w:rPr>
        <w:t>transporter</w:t>
      </w:r>
      <w:r w:rsidRPr="00EA6120">
        <w:rPr>
          <w:rFonts w:ascii="Arial" w:hAnsi="Arial" w:cs="Arial"/>
          <w:sz w:val="22"/>
          <w:szCs w:val="22"/>
          <w:lang w:val="en-GB"/>
        </w:rPr>
        <w:t>. The effect of the P-gp transporter inhibitor verapamil (240 mg once daily) on the steady-state pharmacokinetics of umeclidinium was assessed in healthy volunteers. No effect of verapamil was observed on umeclidinium C</w:t>
      </w:r>
      <w:r w:rsidRPr="00EA6120">
        <w:rPr>
          <w:rFonts w:ascii="Arial" w:hAnsi="Arial" w:cs="Arial"/>
          <w:sz w:val="22"/>
          <w:szCs w:val="22"/>
          <w:vertAlign w:val="subscript"/>
          <w:lang w:val="en-GB"/>
        </w:rPr>
        <w:t>max</w:t>
      </w:r>
      <w:r w:rsidRPr="00EA6120">
        <w:rPr>
          <w:rFonts w:ascii="Arial" w:hAnsi="Arial" w:cs="Arial"/>
          <w:sz w:val="22"/>
          <w:szCs w:val="22"/>
          <w:lang w:val="en-GB"/>
        </w:rPr>
        <w:t>. An approximately 1.4</w:t>
      </w:r>
      <w:r w:rsidRPr="00EA6120">
        <w:rPr>
          <w:rFonts w:ascii="Arial" w:hAnsi="Arial" w:cs="Arial"/>
          <w:sz w:val="22"/>
          <w:szCs w:val="22"/>
          <w:lang w:val="en-GB"/>
        </w:rPr>
        <w:noBreakHyphen/>
        <w:t xml:space="preserve">fold increase in umeclidinium AUC was observed. </w:t>
      </w:r>
    </w:p>
    <w:p w:rsidR="00392DBA" w:rsidRPr="00943375" w:rsidRDefault="00392DBA" w:rsidP="00392DBA">
      <w:pPr>
        <w:spacing w:after="120"/>
        <w:rPr>
          <w:rFonts w:ascii="Arial" w:hAnsi="Arial" w:cs="Arial"/>
          <w:sz w:val="22"/>
          <w:szCs w:val="22"/>
        </w:rPr>
      </w:pPr>
      <w:r w:rsidRPr="00943375">
        <w:rPr>
          <w:rFonts w:ascii="Arial" w:hAnsi="Arial" w:cs="Arial"/>
          <w:sz w:val="22"/>
          <w:szCs w:val="22"/>
          <w:lang w:val="en-GB"/>
        </w:rPr>
        <w:t>Based on the magnitude of these changes, no clinically relevant drug interaction is expected when umeclidinium is co-administered with P</w:t>
      </w:r>
      <w:r w:rsidRPr="00943375">
        <w:rPr>
          <w:rFonts w:ascii="Arial" w:hAnsi="Arial" w:cs="Arial"/>
          <w:sz w:val="22"/>
          <w:szCs w:val="22"/>
          <w:lang w:val="en-GB"/>
        </w:rPr>
        <w:noBreakHyphen/>
        <w:t>gp inhibitors.</w:t>
      </w:r>
    </w:p>
    <w:p w:rsidR="00943375" w:rsidRDefault="00943375" w:rsidP="00C879B5">
      <w:pPr>
        <w:spacing w:after="120"/>
        <w:rPr>
          <w:rFonts w:ascii="Arial" w:hAnsi="Arial" w:cs="Arial"/>
          <w:sz w:val="22"/>
          <w:szCs w:val="22"/>
        </w:rPr>
      </w:pPr>
    </w:p>
    <w:p w:rsidR="00392DBA" w:rsidRPr="00097B4F" w:rsidRDefault="00392DBA" w:rsidP="00773D97">
      <w:pPr>
        <w:pStyle w:val="Heading2"/>
      </w:pPr>
      <w:r w:rsidRPr="00097B4F">
        <w:t>Interaction with CYP</w:t>
      </w:r>
      <w:r>
        <w:t>2D6</w:t>
      </w:r>
      <w:r w:rsidRPr="00097B4F">
        <w:t xml:space="preserve"> inhibitors</w:t>
      </w:r>
    </w:p>
    <w:p w:rsidR="00F643B6" w:rsidRPr="00943375" w:rsidRDefault="00392DBA" w:rsidP="00F643B6">
      <w:pPr>
        <w:autoSpaceDE w:val="0"/>
        <w:autoSpaceDN w:val="0"/>
        <w:adjustRightInd w:val="0"/>
        <w:rPr>
          <w:rFonts w:ascii="Arial" w:hAnsi="Arial" w:cs="Arial"/>
          <w:sz w:val="22"/>
          <w:szCs w:val="22"/>
        </w:rPr>
      </w:pPr>
      <w:r>
        <w:rPr>
          <w:rFonts w:ascii="Arial" w:hAnsi="Arial" w:cs="Arial"/>
          <w:sz w:val="22"/>
          <w:szCs w:val="22"/>
        </w:rPr>
        <w:t>U</w:t>
      </w:r>
      <w:r w:rsidRPr="00C879B5">
        <w:rPr>
          <w:rFonts w:ascii="Arial" w:hAnsi="Arial" w:cs="Arial"/>
          <w:sz w:val="22"/>
          <w:szCs w:val="22"/>
        </w:rPr>
        <w:t xml:space="preserve">meclidinium </w:t>
      </w:r>
      <w:r>
        <w:rPr>
          <w:rFonts w:ascii="Arial" w:hAnsi="Arial" w:cs="Arial"/>
          <w:sz w:val="22"/>
          <w:szCs w:val="22"/>
        </w:rPr>
        <w:t>is a</w:t>
      </w:r>
      <w:r w:rsidRPr="00C879B5">
        <w:rPr>
          <w:rFonts w:ascii="Arial" w:hAnsi="Arial" w:cs="Arial"/>
          <w:sz w:val="22"/>
          <w:szCs w:val="22"/>
        </w:rPr>
        <w:t xml:space="preserve"> substrate of </w:t>
      </w:r>
      <w:r>
        <w:rPr>
          <w:rFonts w:ascii="Arial" w:hAnsi="Arial" w:cs="Arial"/>
          <w:sz w:val="22"/>
          <w:szCs w:val="22"/>
        </w:rPr>
        <w:t>CYP2D6</w:t>
      </w:r>
      <w:r w:rsidRPr="00C879B5">
        <w:rPr>
          <w:rFonts w:ascii="Arial" w:hAnsi="Arial" w:cs="Arial"/>
          <w:sz w:val="22"/>
          <w:szCs w:val="22"/>
        </w:rPr>
        <w:t xml:space="preserve">. </w:t>
      </w:r>
      <w:r w:rsidR="00943375" w:rsidRPr="00943375">
        <w:rPr>
          <w:rFonts w:ascii="Arial" w:hAnsi="Arial" w:cs="Arial"/>
          <w:sz w:val="22"/>
          <w:szCs w:val="22"/>
        </w:rPr>
        <w:t>The effect of a CYP2D6 poor metaboliser genotype on the steady-state pharmacokinetics of umeclidinium was assessed in healthy volunteers (CYP2D6 normal metabolisers and CYP2D6 poor metabolisers). No clinically meaningful difference in systemic exposure to umeclidinium (500 micrograms) was observed following repeat daily inhaled dosing to normal and CYP2D6 poor metaboliser subjects.</w:t>
      </w:r>
    </w:p>
    <w:p w:rsidR="00C879B5" w:rsidRPr="009221C3" w:rsidRDefault="00C879B5" w:rsidP="00C879B5">
      <w:pPr>
        <w:spacing w:after="120"/>
        <w:jc w:val="both"/>
        <w:rPr>
          <w:rFonts w:ascii="Arial" w:hAnsi="Arial" w:cs="Arial"/>
          <w:b/>
          <w:sz w:val="22"/>
          <w:szCs w:val="22"/>
        </w:rPr>
      </w:pPr>
    </w:p>
    <w:p w:rsidR="0077380F" w:rsidRPr="006354C2" w:rsidRDefault="0077380F" w:rsidP="00773D97">
      <w:pPr>
        <w:pStyle w:val="Heading1"/>
      </w:pPr>
      <w:r w:rsidRPr="006354C2">
        <w:t>AD</w:t>
      </w:r>
      <w:smartTag w:uri="schemas-GSKSiteLocations-com/fourthcoffee" w:element="flavor">
        <w:r w:rsidRPr="006354C2">
          <w:t>VER</w:t>
        </w:r>
      </w:smartTag>
      <w:r w:rsidRPr="006354C2">
        <w:t>SE EFFECTS</w:t>
      </w:r>
    </w:p>
    <w:p w:rsidR="00E677B4" w:rsidRPr="006354C2" w:rsidRDefault="00E677B4" w:rsidP="00E677B4">
      <w:pPr>
        <w:autoSpaceDE w:val="0"/>
        <w:autoSpaceDN w:val="0"/>
        <w:adjustRightInd w:val="0"/>
        <w:spacing w:before="120" w:after="240"/>
        <w:rPr>
          <w:rFonts w:ascii="Arial" w:hAnsi="Arial" w:cs="Arial"/>
          <w:sz w:val="22"/>
          <w:szCs w:val="22"/>
        </w:rPr>
      </w:pPr>
      <w:r w:rsidRPr="006354C2">
        <w:rPr>
          <w:rFonts w:ascii="Arial" w:hAnsi="Arial" w:cs="Arial"/>
          <w:sz w:val="22"/>
          <w:szCs w:val="22"/>
        </w:rPr>
        <w:t xml:space="preserve">Clinical trial data </w:t>
      </w:r>
    </w:p>
    <w:p w:rsidR="00E677B4" w:rsidRPr="006354C2" w:rsidRDefault="00E677B4" w:rsidP="00E677B4">
      <w:pPr>
        <w:autoSpaceDE w:val="0"/>
        <w:autoSpaceDN w:val="0"/>
        <w:adjustRightInd w:val="0"/>
        <w:rPr>
          <w:rFonts w:ascii="Arial" w:hAnsi="Arial" w:cs="Arial"/>
          <w:sz w:val="22"/>
          <w:szCs w:val="22"/>
        </w:rPr>
      </w:pPr>
      <w:r w:rsidRPr="006354C2">
        <w:rPr>
          <w:rFonts w:ascii="Arial" w:hAnsi="Arial" w:cs="Arial"/>
          <w:sz w:val="22"/>
          <w:szCs w:val="22"/>
        </w:rPr>
        <w:t xml:space="preserve">Table 1 shows all adverse events that occurred with a frequency of greater than 1% in either of the groups receiving </w:t>
      </w:r>
      <w:r w:rsidR="00A07727">
        <w:rPr>
          <w:rFonts w:ascii="Arial" w:hAnsi="Arial" w:cs="Arial"/>
          <w:sz w:val="22"/>
          <w:szCs w:val="22"/>
        </w:rPr>
        <w:t>Incruse</w:t>
      </w:r>
      <w:r w:rsidRPr="006354C2">
        <w:rPr>
          <w:rFonts w:ascii="Arial" w:hAnsi="Arial" w:cs="Arial"/>
          <w:sz w:val="22"/>
          <w:szCs w:val="22"/>
        </w:rPr>
        <w:t xml:space="preserve"> Ellipta in the four 24-week well-controlled studies where the rates in either of the groups receiving </w:t>
      </w:r>
      <w:r w:rsidR="00A07727">
        <w:rPr>
          <w:rFonts w:ascii="Arial" w:hAnsi="Arial" w:cs="Arial"/>
          <w:sz w:val="22"/>
          <w:szCs w:val="22"/>
        </w:rPr>
        <w:t>Incruse</w:t>
      </w:r>
      <w:r w:rsidRPr="006354C2">
        <w:rPr>
          <w:rFonts w:ascii="Arial" w:hAnsi="Arial" w:cs="Arial"/>
          <w:sz w:val="22"/>
          <w:szCs w:val="22"/>
        </w:rPr>
        <w:t xml:space="preserve"> Ellipta exceeded placebo by greater than 1%. </w:t>
      </w:r>
    </w:p>
    <w:p w:rsidR="00B14BAF" w:rsidRPr="006354C2" w:rsidRDefault="00B14BAF" w:rsidP="00E677B4">
      <w:pPr>
        <w:autoSpaceDE w:val="0"/>
        <w:autoSpaceDN w:val="0"/>
        <w:adjustRightInd w:val="0"/>
        <w:rPr>
          <w:rFonts w:ascii="Arial" w:hAnsi="Arial" w:cs="Arial"/>
          <w:sz w:val="22"/>
          <w:szCs w:val="22"/>
        </w:rPr>
      </w:pPr>
    </w:p>
    <w:p w:rsidR="009B088E" w:rsidRPr="006354C2" w:rsidRDefault="009B088E" w:rsidP="009B088E">
      <w:pPr>
        <w:rPr>
          <w:rFonts w:ascii="Arial" w:hAnsi="Arial" w:cs="Arial"/>
          <w:b/>
        </w:rPr>
      </w:pPr>
      <w:r w:rsidRPr="006354C2">
        <w:rPr>
          <w:rFonts w:ascii="Arial" w:hAnsi="Arial" w:cs="Arial"/>
          <w:b/>
        </w:rPr>
        <w:t xml:space="preserve">Table </w:t>
      </w:r>
      <w:r w:rsidR="004D21D2">
        <w:rPr>
          <w:rFonts w:ascii="Arial" w:hAnsi="Arial" w:cs="Arial"/>
          <w:b/>
        </w:rPr>
        <w:t>3</w:t>
      </w:r>
      <w:r w:rsidR="004D21D2" w:rsidRPr="006354C2">
        <w:rPr>
          <w:rFonts w:ascii="Arial" w:hAnsi="Arial" w:cs="Arial"/>
          <w:b/>
        </w:rPr>
        <w:t xml:space="preserve"> </w:t>
      </w:r>
      <w:r w:rsidRPr="006354C2">
        <w:rPr>
          <w:rFonts w:ascii="Arial" w:hAnsi="Arial" w:cs="Arial"/>
          <w:b/>
        </w:rPr>
        <w:t xml:space="preserve">Adverse Events with &gt;1% Incidence and greater than Placebo by 1% with </w:t>
      </w:r>
      <w:r w:rsidR="00A07727">
        <w:rPr>
          <w:rFonts w:ascii="Arial" w:hAnsi="Arial" w:cs="Arial"/>
          <w:b/>
        </w:rPr>
        <w:t>INCRUSE</w:t>
      </w:r>
      <w:r w:rsidRPr="006354C2">
        <w:rPr>
          <w:rFonts w:ascii="Arial" w:hAnsi="Arial" w:cs="Arial"/>
          <w:b/>
        </w:rPr>
        <w:t xml:space="preserve"> ELLIPTA in Subjects with COPD</w:t>
      </w:r>
    </w:p>
    <w:p w:rsidR="00B14BAF" w:rsidRPr="006354C2" w:rsidRDefault="00B14BAF" w:rsidP="00B14BAF">
      <w:pPr>
        <w:autoSpaceDE w:val="0"/>
        <w:autoSpaceDN w:val="0"/>
        <w:adjustRightInd w:val="0"/>
        <w:spacing w:before="15" w:line="240" w:lineRule="exact"/>
        <w:rPr>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3528"/>
        <w:gridCol w:w="1680"/>
        <w:gridCol w:w="1680"/>
        <w:gridCol w:w="1670"/>
      </w:tblGrid>
      <w:tr w:rsidR="00B14BAF" w:rsidRPr="006354C2" w:rsidTr="00B14BAF">
        <w:trPr>
          <w:trHeight w:hRule="exact" w:val="238"/>
          <w:jc w:val="right"/>
        </w:trPr>
        <w:tc>
          <w:tcPr>
            <w:tcW w:w="3528" w:type="dxa"/>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rPr>
                <w:sz w:val="24"/>
                <w:szCs w:val="24"/>
              </w:rPr>
            </w:pPr>
          </w:p>
        </w:tc>
        <w:tc>
          <w:tcPr>
            <w:tcW w:w="5030" w:type="dxa"/>
            <w:gridSpan w:val="3"/>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1588" w:right="-20"/>
              <w:rPr>
                <w:sz w:val="24"/>
                <w:szCs w:val="24"/>
              </w:rPr>
            </w:pPr>
            <w:r w:rsidRPr="006354C2">
              <w:rPr>
                <w:rFonts w:ascii="Arial Narrow" w:hAnsi="Arial Narrow" w:cs="Arial Narrow"/>
                <w:b/>
                <w:bCs/>
              </w:rPr>
              <w:t>Number</w:t>
            </w:r>
            <w:r w:rsidRPr="006354C2">
              <w:rPr>
                <w:rFonts w:ascii="Arial Narrow" w:hAnsi="Arial Narrow" w:cs="Arial Narrow"/>
                <w:b/>
                <w:bCs/>
                <w:spacing w:val="-5"/>
              </w:rPr>
              <w:t xml:space="preserve"> </w:t>
            </w:r>
            <w:r w:rsidRPr="006354C2">
              <w:rPr>
                <w:rFonts w:ascii="Arial Narrow" w:hAnsi="Arial Narrow" w:cs="Arial Narrow"/>
                <w:b/>
                <w:bCs/>
              </w:rPr>
              <w:t>(%)</w:t>
            </w:r>
            <w:r w:rsidRPr="006354C2">
              <w:rPr>
                <w:rFonts w:ascii="Arial Narrow" w:hAnsi="Arial Narrow" w:cs="Arial Narrow"/>
                <w:b/>
                <w:bCs/>
                <w:spacing w:val="-2"/>
              </w:rPr>
              <w:t xml:space="preserve"> </w:t>
            </w:r>
            <w:r w:rsidRPr="006354C2">
              <w:rPr>
                <w:rFonts w:ascii="Arial Narrow" w:hAnsi="Arial Narrow" w:cs="Arial Narrow"/>
                <w:b/>
                <w:bCs/>
              </w:rPr>
              <w:t>of</w:t>
            </w:r>
            <w:r w:rsidRPr="006354C2">
              <w:rPr>
                <w:rFonts w:ascii="Arial Narrow" w:hAnsi="Arial Narrow" w:cs="Arial Narrow"/>
                <w:b/>
                <w:bCs/>
                <w:spacing w:val="-1"/>
              </w:rPr>
              <w:t xml:space="preserve"> </w:t>
            </w:r>
            <w:r w:rsidRPr="006354C2">
              <w:rPr>
                <w:rFonts w:ascii="Arial Narrow" w:hAnsi="Arial Narrow" w:cs="Arial Narrow"/>
                <w:b/>
                <w:bCs/>
              </w:rPr>
              <w:t>Subjects</w:t>
            </w:r>
          </w:p>
        </w:tc>
      </w:tr>
      <w:tr w:rsidR="00B14BAF" w:rsidRPr="006354C2" w:rsidTr="00B14BAF">
        <w:trPr>
          <w:trHeight w:hRule="exact" w:val="470"/>
          <w:jc w:val="right"/>
        </w:trPr>
        <w:tc>
          <w:tcPr>
            <w:tcW w:w="3528" w:type="dxa"/>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before="9" w:line="100" w:lineRule="exact"/>
              <w:rPr>
                <w:sz w:val="10"/>
                <w:szCs w:val="10"/>
              </w:rPr>
            </w:pPr>
          </w:p>
          <w:p w:rsidR="00B14BAF" w:rsidRPr="006354C2" w:rsidRDefault="00B14BAF">
            <w:pPr>
              <w:autoSpaceDE w:val="0"/>
              <w:autoSpaceDN w:val="0"/>
              <w:adjustRightInd w:val="0"/>
              <w:ind w:left="1170" w:right="-20"/>
              <w:rPr>
                <w:sz w:val="24"/>
                <w:szCs w:val="24"/>
              </w:rPr>
            </w:pPr>
            <w:r w:rsidRPr="006354C2">
              <w:rPr>
                <w:rFonts w:ascii="Arial Narrow" w:hAnsi="Arial Narrow" w:cs="Arial Narrow"/>
                <w:b/>
                <w:bCs/>
              </w:rPr>
              <w:t>Preferred</w:t>
            </w:r>
            <w:r w:rsidRPr="006354C2">
              <w:rPr>
                <w:rFonts w:ascii="Arial Narrow" w:hAnsi="Arial Narrow" w:cs="Arial Narrow"/>
                <w:b/>
                <w:bCs/>
                <w:spacing w:val="-7"/>
              </w:rPr>
              <w:t xml:space="preserve"> </w:t>
            </w:r>
            <w:r w:rsidRPr="006354C2">
              <w:rPr>
                <w:rFonts w:ascii="Arial Narrow" w:hAnsi="Arial Narrow" w:cs="Arial Narrow"/>
                <w:b/>
                <w:bCs/>
              </w:rPr>
              <w:t>Term</w:t>
            </w:r>
          </w:p>
        </w:tc>
        <w:tc>
          <w:tcPr>
            <w:tcW w:w="1680" w:type="dxa"/>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6" w:lineRule="exact"/>
              <w:ind w:left="520" w:right="-20"/>
              <w:rPr>
                <w:rFonts w:ascii="Arial Narrow" w:hAnsi="Arial Narrow" w:cs="Arial Narrow"/>
              </w:rPr>
            </w:pPr>
            <w:r w:rsidRPr="006354C2">
              <w:rPr>
                <w:rFonts w:ascii="Arial Narrow" w:hAnsi="Arial Narrow" w:cs="Arial Narrow"/>
                <w:b/>
                <w:bCs/>
              </w:rPr>
              <w:t>Placebo</w:t>
            </w:r>
          </w:p>
          <w:p w:rsidR="00B14BAF" w:rsidRPr="006354C2" w:rsidRDefault="00B14BAF">
            <w:pPr>
              <w:autoSpaceDE w:val="0"/>
              <w:autoSpaceDN w:val="0"/>
              <w:adjustRightInd w:val="0"/>
              <w:spacing w:line="228" w:lineRule="exact"/>
              <w:ind w:left="534" w:right="-20"/>
              <w:rPr>
                <w:sz w:val="24"/>
                <w:szCs w:val="24"/>
              </w:rPr>
            </w:pPr>
            <w:r w:rsidRPr="006354C2">
              <w:rPr>
                <w:rFonts w:ascii="Arial Narrow" w:hAnsi="Arial Narrow" w:cs="Arial Narrow"/>
                <w:b/>
                <w:bCs/>
              </w:rPr>
              <w:t>(N=623)</w:t>
            </w:r>
          </w:p>
        </w:tc>
        <w:tc>
          <w:tcPr>
            <w:tcW w:w="1680" w:type="dxa"/>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before="1" w:line="228" w:lineRule="exact"/>
              <w:ind w:left="534" w:right="360" w:hanging="125"/>
              <w:rPr>
                <w:sz w:val="24"/>
                <w:szCs w:val="24"/>
              </w:rPr>
            </w:pPr>
            <w:r w:rsidRPr="006354C2">
              <w:rPr>
                <w:rFonts w:ascii="Arial Narrow" w:hAnsi="Arial Narrow" w:cs="Arial Narrow"/>
                <w:b/>
                <w:bCs/>
              </w:rPr>
              <w:t>UMEC</w:t>
            </w:r>
            <w:r w:rsidRPr="006354C2">
              <w:rPr>
                <w:rFonts w:ascii="Arial Narrow" w:hAnsi="Arial Narrow" w:cs="Arial Narrow"/>
                <w:b/>
                <w:bCs/>
                <w:spacing w:val="-5"/>
              </w:rPr>
              <w:t xml:space="preserve"> </w:t>
            </w:r>
            <w:r w:rsidRPr="006354C2">
              <w:rPr>
                <w:rFonts w:ascii="Arial Narrow" w:hAnsi="Arial Narrow" w:cs="Arial Narrow"/>
                <w:b/>
                <w:bCs/>
              </w:rPr>
              <w:t>62.5</w:t>
            </w:r>
            <w:r w:rsidRPr="006354C2">
              <w:rPr>
                <w:rFonts w:ascii="Arial Narrow" w:hAnsi="Arial Narrow" w:cs="Arial Narrow"/>
                <w:b/>
                <w:bCs/>
                <w:spacing w:val="-4"/>
              </w:rPr>
              <w:t xml:space="preserve"> </w:t>
            </w:r>
            <w:r w:rsidRPr="006354C2">
              <w:rPr>
                <w:rFonts w:ascii="Arial Narrow" w:hAnsi="Arial Narrow" w:cs="Arial Narrow"/>
                <w:b/>
                <w:bCs/>
              </w:rPr>
              <w:t>(N=487)</w:t>
            </w:r>
          </w:p>
        </w:tc>
        <w:tc>
          <w:tcPr>
            <w:tcW w:w="1670" w:type="dxa"/>
            <w:tcBorders>
              <w:top w:val="single" w:sz="4" w:space="0" w:color="000000"/>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before="1" w:line="228" w:lineRule="exact"/>
              <w:ind w:left="534" w:right="365" w:hanging="101"/>
              <w:rPr>
                <w:sz w:val="24"/>
                <w:szCs w:val="24"/>
              </w:rPr>
            </w:pPr>
            <w:r w:rsidRPr="006354C2">
              <w:rPr>
                <w:rFonts w:ascii="Arial Narrow" w:hAnsi="Arial Narrow" w:cs="Arial Narrow"/>
                <w:b/>
                <w:bCs/>
              </w:rPr>
              <w:t>UMEC</w:t>
            </w:r>
            <w:r w:rsidRPr="006354C2">
              <w:rPr>
                <w:rFonts w:ascii="Arial Narrow" w:hAnsi="Arial Narrow" w:cs="Arial Narrow"/>
                <w:b/>
                <w:bCs/>
                <w:spacing w:val="-5"/>
              </w:rPr>
              <w:t xml:space="preserve"> </w:t>
            </w:r>
            <w:r w:rsidRPr="006354C2">
              <w:rPr>
                <w:rFonts w:ascii="Arial Narrow" w:hAnsi="Arial Narrow" w:cs="Arial Narrow"/>
                <w:b/>
                <w:bCs/>
              </w:rPr>
              <w:t>125</w:t>
            </w:r>
            <w:r w:rsidRPr="006354C2">
              <w:rPr>
                <w:rFonts w:ascii="Arial Narrow" w:hAnsi="Arial Narrow" w:cs="Arial Narrow"/>
                <w:b/>
                <w:bCs/>
                <w:spacing w:val="-3"/>
              </w:rPr>
              <w:t xml:space="preserve"> </w:t>
            </w:r>
            <w:r w:rsidRPr="006354C2">
              <w:rPr>
                <w:rFonts w:ascii="Arial Narrow" w:hAnsi="Arial Narrow" w:cs="Arial Narrow"/>
                <w:b/>
                <w:bCs/>
              </w:rPr>
              <w:t>(N=698)</w:t>
            </w:r>
          </w:p>
        </w:tc>
      </w:tr>
      <w:tr w:rsidR="00B14BAF" w:rsidRPr="006354C2" w:rsidTr="00B14BAF">
        <w:trPr>
          <w:trHeight w:hRule="exact" w:val="566"/>
          <w:jc w:val="right"/>
        </w:trPr>
        <w:tc>
          <w:tcPr>
            <w:tcW w:w="3528"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rFonts w:ascii="Arial Narrow" w:hAnsi="Arial Narrow" w:cs="Arial Narrow"/>
                <w:b/>
              </w:rPr>
            </w:pPr>
            <w:r w:rsidRPr="006354C2">
              <w:rPr>
                <w:rFonts w:ascii="Arial Narrow" w:hAnsi="Arial Narrow" w:cs="Arial Narrow"/>
                <w:b/>
              </w:rPr>
              <w:t>Respiratory, Thoracic and Mediastinal Disorders</w:t>
            </w: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7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rFonts w:ascii="Arial Narrow" w:hAnsi="Arial Narrow" w:cs="Arial Narrow"/>
              </w:rPr>
            </w:pPr>
          </w:p>
        </w:tc>
      </w:tr>
      <w:tr w:rsidR="00B14BAF" w:rsidRPr="006354C2" w:rsidTr="00B14BAF">
        <w:trPr>
          <w:trHeight w:hRule="exact" w:val="238"/>
          <w:jc w:val="right"/>
        </w:trPr>
        <w:tc>
          <w:tcPr>
            <w:tcW w:w="3528"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sz w:val="24"/>
                <w:szCs w:val="24"/>
              </w:rPr>
            </w:pPr>
            <w:r w:rsidRPr="006354C2">
              <w:rPr>
                <w:rFonts w:ascii="Arial Narrow" w:hAnsi="Arial Narrow" w:cs="Arial Narrow"/>
              </w:rPr>
              <w:t>Cough</w:t>
            </w:r>
          </w:p>
        </w:tc>
        <w:tc>
          <w:tcPr>
            <w:tcW w:w="168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24</w:t>
            </w:r>
            <w:r w:rsidRPr="006354C2">
              <w:rPr>
                <w:rFonts w:ascii="Arial Narrow" w:hAnsi="Arial Narrow" w:cs="Arial Narrow"/>
                <w:spacing w:val="-1"/>
              </w:rPr>
              <w:t xml:space="preserve"> </w:t>
            </w:r>
            <w:r w:rsidRPr="006354C2">
              <w:rPr>
                <w:rFonts w:ascii="Arial Narrow" w:hAnsi="Arial Narrow" w:cs="Arial Narrow"/>
                <w:w w:val="99"/>
              </w:rPr>
              <w:t>(4)</w:t>
            </w:r>
          </w:p>
        </w:tc>
        <w:tc>
          <w:tcPr>
            <w:tcW w:w="168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16</w:t>
            </w:r>
            <w:r w:rsidRPr="006354C2">
              <w:rPr>
                <w:rFonts w:ascii="Arial Narrow" w:hAnsi="Arial Narrow" w:cs="Arial Narrow"/>
                <w:spacing w:val="-1"/>
              </w:rPr>
              <w:t xml:space="preserve"> </w:t>
            </w:r>
            <w:r w:rsidRPr="006354C2">
              <w:rPr>
                <w:rFonts w:ascii="Arial Narrow" w:hAnsi="Arial Narrow" w:cs="Arial Narrow"/>
                <w:w w:val="99"/>
              </w:rPr>
              <w:t>(3)</w:t>
            </w:r>
          </w:p>
        </w:tc>
        <w:tc>
          <w:tcPr>
            <w:tcW w:w="167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sz w:val="24"/>
                <w:szCs w:val="24"/>
              </w:rPr>
            </w:pPr>
            <w:r w:rsidRPr="006354C2">
              <w:rPr>
                <w:rFonts w:ascii="Arial Narrow" w:hAnsi="Arial Narrow" w:cs="Arial Narrow"/>
              </w:rPr>
              <w:t>34</w:t>
            </w:r>
            <w:r w:rsidRPr="006354C2">
              <w:rPr>
                <w:rFonts w:ascii="Arial Narrow" w:hAnsi="Arial Narrow" w:cs="Arial Narrow"/>
                <w:spacing w:val="-1"/>
              </w:rPr>
              <w:t xml:space="preserve"> </w:t>
            </w:r>
            <w:r w:rsidRPr="006354C2">
              <w:rPr>
                <w:rFonts w:ascii="Arial Narrow" w:hAnsi="Arial Narrow" w:cs="Arial Narrow"/>
                <w:w w:val="99"/>
              </w:rPr>
              <w:t>(5)</w:t>
            </w:r>
          </w:p>
        </w:tc>
      </w:tr>
      <w:tr w:rsidR="00B14BAF" w:rsidRPr="006354C2" w:rsidTr="00B14BAF">
        <w:trPr>
          <w:trHeight w:hRule="exact" w:val="240"/>
          <w:jc w:val="right"/>
        </w:trPr>
        <w:tc>
          <w:tcPr>
            <w:tcW w:w="3528"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rFonts w:ascii="Arial Narrow" w:hAnsi="Arial Narrow" w:cs="Arial Narrow"/>
                <w:b/>
              </w:rPr>
            </w:pPr>
            <w:r w:rsidRPr="006354C2">
              <w:rPr>
                <w:rFonts w:ascii="Arial Narrow" w:hAnsi="Arial Narrow" w:cs="Arial Narrow"/>
                <w:b/>
              </w:rPr>
              <w:lastRenderedPageBreak/>
              <w:t>Infections and Infestations</w:t>
            </w: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7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rFonts w:ascii="Arial Narrow" w:hAnsi="Arial Narrow" w:cs="Arial Narrow"/>
              </w:rPr>
            </w:pPr>
          </w:p>
        </w:tc>
      </w:tr>
      <w:tr w:rsidR="00B14BAF" w:rsidRPr="006354C2" w:rsidTr="00B14BAF">
        <w:trPr>
          <w:trHeight w:hRule="exact" w:val="240"/>
          <w:jc w:val="right"/>
        </w:trPr>
        <w:tc>
          <w:tcPr>
            <w:tcW w:w="3528"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sz w:val="24"/>
                <w:szCs w:val="24"/>
              </w:rPr>
            </w:pPr>
            <w:r w:rsidRPr="006354C2">
              <w:rPr>
                <w:rFonts w:ascii="Arial Narrow" w:hAnsi="Arial Narrow" w:cs="Arial Narrow"/>
              </w:rPr>
              <w:t>Upper</w:t>
            </w:r>
            <w:r w:rsidRPr="006354C2">
              <w:rPr>
                <w:rFonts w:ascii="Arial Narrow" w:hAnsi="Arial Narrow" w:cs="Arial Narrow"/>
                <w:spacing w:val="-4"/>
              </w:rPr>
              <w:t xml:space="preserve"> </w:t>
            </w:r>
            <w:r w:rsidRPr="006354C2">
              <w:rPr>
                <w:rFonts w:ascii="Arial Narrow" w:hAnsi="Arial Narrow" w:cs="Arial Narrow"/>
              </w:rPr>
              <w:t>respiratory</w:t>
            </w:r>
            <w:r w:rsidRPr="006354C2">
              <w:rPr>
                <w:rFonts w:ascii="Arial Narrow" w:hAnsi="Arial Narrow" w:cs="Arial Narrow"/>
                <w:spacing w:val="-8"/>
              </w:rPr>
              <w:t xml:space="preserve"> </w:t>
            </w:r>
            <w:r w:rsidRPr="006354C2">
              <w:rPr>
                <w:rFonts w:ascii="Arial Narrow" w:hAnsi="Arial Narrow" w:cs="Arial Narrow"/>
              </w:rPr>
              <w:t>tract</w:t>
            </w:r>
            <w:r w:rsidRPr="006354C2">
              <w:rPr>
                <w:rFonts w:ascii="Arial Narrow" w:hAnsi="Arial Narrow" w:cs="Arial Narrow"/>
                <w:spacing w:val="-3"/>
              </w:rPr>
              <w:t xml:space="preserve"> </w:t>
            </w:r>
            <w:r w:rsidRPr="006354C2">
              <w:rPr>
                <w:rFonts w:ascii="Arial Narrow" w:hAnsi="Arial Narrow" w:cs="Arial Narrow"/>
              </w:rPr>
              <w:t>infection</w:t>
            </w:r>
          </w:p>
        </w:tc>
        <w:tc>
          <w:tcPr>
            <w:tcW w:w="168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21</w:t>
            </w:r>
            <w:r w:rsidRPr="006354C2">
              <w:rPr>
                <w:rFonts w:ascii="Arial Narrow" w:hAnsi="Arial Narrow" w:cs="Arial Narrow"/>
                <w:spacing w:val="-1"/>
              </w:rPr>
              <w:t xml:space="preserve"> </w:t>
            </w:r>
            <w:r w:rsidRPr="006354C2">
              <w:rPr>
                <w:rFonts w:ascii="Arial Narrow" w:hAnsi="Arial Narrow" w:cs="Arial Narrow"/>
                <w:w w:val="99"/>
              </w:rPr>
              <w:t>(3)</w:t>
            </w:r>
          </w:p>
        </w:tc>
        <w:tc>
          <w:tcPr>
            <w:tcW w:w="168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23</w:t>
            </w:r>
            <w:r w:rsidRPr="006354C2">
              <w:rPr>
                <w:rFonts w:ascii="Arial Narrow" w:hAnsi="Arial Narrow" w:cs="Arial Narrow"/>
                <w:spacing w:val="-1"/>
              </w:rPr>
              <w:t xml:space="preserve"> </w:t>
            </w:r>
            <w:r w:rsidRPr="006354C2">
              <w:rPr>
                <w:rFonts w:ascii="Arial Narrow" w:hAnsi="Arial Narrow" w:cs="Arial Narrow"/>
                <w:w w:val="99"/>
              </w:rPr>
              <w:t>(5)</w:t>
            </w:r>
          </w:p>
        </w:tc>
        <w:tc>
          <w:tcPr>
            <w:tcW w:w="167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sz w:val="24"/>
                <w:szCs w:val="24"/>
              </w:rPr>
            </w:pPr>
            <w:r w:rsidRPr="006354C2">
              <w:rPr>
                <w:rFonts w:ascii="Arial Narrow" w:hAnsi="Arial Narrow" w:cs="Arial Narrow"/>
              </w:rPr>
              <w:t>25</w:t>
            </w:r>
            <w:r w:rsidRPr="006354C2">
              <w:rPr>
                <w:rFonts w:ascii="Arial Narrow" w:hAnsi="Arial Narrow" w:cs="Arial Narrow"/>
                <w:spacing w:val="-1"/>
              </w:rPr>
              <w:t xml:space="preserve"> </w:t>
            </w:r>
            <w:r w:rsidRPr="006354C2">
              <w:rPr>
                <w:rFonts w:ascii="Arial Narrow" w:hAnsi="Arial Narrow" w:cs="Arial Narrow"/>
                <w:w w:val="99"/>
              </w:rPr>
              <w:t>(4)</w:t>
            </w:r>
          </w:p>
        </w:tc>
      </w:tr>
      <w:tr w:rsidR="00B14BAF" w:rsidRPr="006354C2" w:rsidTr="009B088E">
        <w:trPr>
          <w:trHeight w:hRule="exact" w:val="240"/>
          <w:jc w:val="right"/>
        </w:trPr>
        <w:tc>
          <w:tcPr>
            <w:tcW w:w="3528"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rFonts w:ascii="Arial Narrow" w:hAnsi="Arial Narrow" w:cs="Arial Narrow"/>
              </w:rPr>
            </w:pPr>
            <w:r w:rsidRPr="006354C2">
              <w:rPr>
                <w:rFonts w:ascii="Arial Narrow" w:hAnsi="Arial Narrow" w:cs="Arial Narrow"/>
              </w:rPr>
              <w:t>Viral</w:t>
            </w:r>
            <w:r w:rsidRPr="006354C2">
              <w:rPr>
                <w:rFonts w:ascii="Arial Narrow" w:hAnsi="Arial Narrow" w:cs="Arial Narrow"/>
                <w:spacing w:val="-3"/>
              </w:rPr>
              <w:t xml:space="preserve"> </w:t>
            </w:r>
            <w:r w:rsidRPr="006354C2">
              <w:rPr>
                <w:rFonts w:ascii="Arial Narrow" w:hAnsi="Arial Narrow" w:cs="Arial Narrow"/>
              </w:rPr>
              <w:t>upper</w:t>
            </w:r>
            <w:r w:rsidRPr="006354C2">
              <w:rPr>
                <w:rFonts w:ascii="Arial Narrow" w:hAnsi="Arial Narrow" w:cs="Arial Narrow"/>
                <w:spacing w:val="-4"/>
              </w:rPr>
              <w:t xml:space="preserve"> </w:t>
            </w:r>
            <w:r w:rsidRPr="006354C2">
              <w:rPr>
                <w:rFonts w:ascii="Arial Narrow" w:hAnsi="Arial Narrow" w:cs="Arial Narrow"/>
              </w:rPr>
              <w:t>respiratory</w:t>
            </w:r>
            <w:r w:rsidRPr="006354C2">
              <w:rPr>
                <w:rFonts w:ascii="Arial Narrow" w:hAnsi="Arial Narrow" w:cs="Arial Narrow"/>
                <w:spacing w:val="-8"/>
              </w:rPr>
              <w:t xml:space="preserve"> </w:t>
            </w:r>
            <w:r w:rsidRPr="006354C2">
              <w:rPr>
                <w:rFonts w:ascii="Arial Narrow" w:hAnsi="Arial Narrow" w:cs="Arial Narrow"/>
              </w:rPr>
              <w:t>tract</w:t>
            </w:r>
            <w:r w:rsidRPr="006354C2">
              <w:rPr>
                <w:rFonts w:ascii="Arial Narrow" w:hAnsi="Arial Narrow" w:cs="Arial Narrow"/>
                <w:spacing w:val="-3"/>
              </w:rPr>
              <w:t xml:space="preserve"> </w:t>
            </w:r>
            <w:r w:rsidRPr="006354C2">
              <w:rPr>
                <w:rFonts w:ascii="Arial Narrow" w:hAnsi="Arial Narrow" w:cs="Arial Narrow"/>
              </w:rPr>
              <w:t>infection</w:t>
            </w:r>
          </w:p>
        </w:tc>
        <w:tc>
          <w:tcPr>
            <w:tcW w:w="168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r w:rsidRPr="006354C2">
              <w:rPr>
                <w:rFonts w:ascii="Arial Narrow" w:hAnsi="Arial Narrow" w:cs="Arial Narrow"/>
              </w:rPr>
              <w:t xml:space="preserve">1 </w:t>
            </w:r>
            <w:r w:rsidRPr="006354C2">
              <w:rPr>
                <w:rFonts w:ascii="Arial Narrow" w:hAnsi="Arial Narrow" w:cs="Arial Narrow"/>
                <w:w w:val="99"/>
              </w:rPr>
              <w:t>(&lt;1)</w:t>
            </w:r>
          </w:p>
        </w:tc>
        <w:tc>
          <w:tcPr>
            <w:tcW w:w="168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r w:rsidRPr="006354C2">
              <w:rPr>
                <w:rFonts w:ascii="Arial Narrow" w:hAnsi="Arial Narrow" w:cs="Arial Narrow"/>
              </w:rPr>
              <w:t xml:space="preserve">7 </w:t>
            </w:r>
            <w:r w:rsidRPr="006354C2">
              <w:rPr>
                <w:rFonts w:ascii="Arial Narrow" w:hAnsi="Arial Narrow" w:cs="Arial Narrow"/>
                <w:w w:val="99"/>
              </w:rPr>
              <w:t>(1)</w:t>
            </w:r>
          </w:p>
        </w:tc>
        <w:tc>
          <w:tcPr>
            <w:tcW w:w="1670" w:type="dxa"/>
            <w:tcBorders>
              <w:left w:val="single" w:sz="4" w:space="0" w:color="000000"/>
              <w:bottom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rFonts w:ascii="Arial Narrow" w:hAnsi="Arial Narrow" w:cs="Arial Narrow"/>
              </w:rPr>
            </w:pPr>
            <w:r w:rsidRPr="006354C2">
              <w:rPr>
                <w:rFonts w:ascii="Arial Narrow" w:hAnsi="Arial Narrow" w:cs="Arial Narrow"/>
              </w:rPr>
              <w:t xml:space="preserve">1 </w:t>
            </w:r>
            <w:r w:rsidRPr="006354C2">
              <w:rPr>
                <w:rFonts w:ascii="Arial Narrow" w:hAnsi="Arial Narrow" w:cs="Arial Narrow"/>
                <w:w w:val="99"/>
              </w:rPr>
              <w:t>(&lt;1)</w:t>
            </w:r>
          </w:p>
        </w:tc>
      </w:tr>
      <w:tr w:rsidR="00B14BAF" w:rsidRPr="006354C2" w:rsidTr="009B088E">
        <w:trPr>
          <w:trHeight w:hRule="exact" w:val="240"/>
          <w:jc w:val="right"/>
        </w:trPr>
        <w:tc>
          <w:tcPr>
            <w:tcW w:w="3528" w:type="dxa"/>
            <w:tcBorders>
              <w:top w:val="single" w:sz="4" w:space="0" w:color="000000"/>
              <w:left w:val="single" w:sz="4" w:space="0" w:color="000000"/>
              <w:right w:val="single" w:sz="4" w:space="0" w:color="000000"/>
            </w:tcBorders>
          </w:tcPr>
          <w:p w:rsidR="00B14BAF" w:rsidRPr="006354C2" w:rsidRDefault="009B088E">
            <w:pPr>
              <w:autoSpaceDE w:val="0"/>
              <w:autoSpaceDN w:val="0"/>
              <w:adjustRightInd w:val="0"/>
              <w:spacing w:line="223" w:lineRule="exact"/>
              <w:ind w:left="102" w:right="-20"/>
              <w:rPr>
                <w:rFonts w:ascii="Arial Narrow" w:hAnsi="Arial Narrow" w:cs="Arial Narrow"/>
                <w:b/>
              </w:rPr>
            </w:pPr>
            <w:r w:rsidRPr="006354C2">
              <w:rPr>
                <w:rFonts w:ascii="Arial Narrow" w:hAnsi="Arial Narrow" w:cs="Arial Narrow"/>
                <w:b/>
              </w:rPr>
              <w:t>Vascular Disorders</w:t>
            </w: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8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rFonts w:ascii="Arial Narrow" w:hAnsi="Arial Narrow" w:cs="Arial Narrow"/>
              </w:rPr>
            </w:pPr>
          </w:p>
        </w:tc>
        <w:tc>
          <w:tcPr>
            <w:tcW w:w="1670" w:type="dxa"/>
            <w:tcBorders>
              <w:top w:val="single" w:sz="4" w:space="0" w:color="000000"/>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rFonts w:ascii="Arial Narrow" w:hAnsi="Arial Narrow" w:cs="Arial Narrow"/>
              </w:rPr>
            </w:pPr>
          </w:p>
        </w:tc>
      </w:tr>
      <w:tr w:rsidR="00B14BAF" w:rsidRPr="006354C2" w:rsidTr="004D21D2">
        <w:trPr>
          <w:trHeight w:hRule="exact" w:val="240"/>
          <w:jc w:val="right"/>
        </w:trPr>
        <w:tc>
          <w:tcPr>
            <w:tcW w:w="3528"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102" w:right="-20"/>
              <w:rPr>
                <w:sz w:val="24"/>
                <w:szCs w:val="24"/>
              </w:rPr>
            </w:pPr>
            <w:r w:rsidRPr="006354C2">
              <w:rPr>
                <w:rFonts w:ascii="Arial Narrow" w:hAnsi="Arial Narrow" w:cs="Arial Narrow"/>
              </w:rPr>
              <w:t>Hypertension</w:t>
            </w:r>
          </w:p>
        </w:tc>
        <w:tc>
          <w:tcPr>
            <w:tcW w:w="168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10</w:t>
            </w:r>
            <w:r w:rsidRPr="006354C2">
              <w:rPr>
                <w:rFonts w:ascii="Arial Narrow" w:hAnsi="Arial Narrow" w:cs="Arial Narrow"/>
                <w:spacing w:val="-1"/>
              </w:rPr>
              <w:t xml:space="preserve"> </w:t>
            </w:r>
            <w:r w:rsidRPr="006354C2">
              <w:rPr>
                <w:rFonts w:ascii="Arial Narrow" w:hAnsi="Arial Narrow" w:cs="Arial Narrow"/>
                <w:w w:val="99"/>
              </w:rPr>
              <w:t>(2)</w:t>
            </w:r>
          </w:p>
        </w:tc>
        <w:tc>
          <w:tcPr>
            <w:tcW w:w="168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6"/>
              <w:jc w:val="center"/>
              <w:rPr>
                <w:sz w:val="24"/>
                <w:szCs w:val="24"/>
              </w:rPr>
            </w:pPr>
            <w:r w:rsidRPr="006354C2">
              <w:rPr>
                <w:rFonts w:ascii="Arial Narrow" w:hAnsi="Arial Narrow" w:cs="Arial Narrow"/>
              </w:rPr>
              <w:t>10</w:t>
            </w:r>
            <w:r w:rsidRPr="006354C2">
              <w:rPr>
                <w:rFonts w:ascii="Arial Narrow" w:hAnsi="Arial Narrow" w:cs="Arial Narrow"/>
                <w:spacing w:val="-1"/>
              </w:rPr>
              <w:t xml:space="preserve"> </w:t>
            </w:r>
            <w:r w:rsidRPr="006354C2">
              <w:rPr>
                <w:rFonts w:ascii="Arial Narrow" w:hAnsi="Arial Narrow" w:cs="Arial Narrow"/>
                <w:w w:val="99"/>
              </w:rPr>
              <w:t>(2)</w:t>
            </w:r>
          </w:p>
        </w:tc>
        <w:tc>
          <w:tcPr>
            <w:tcW w:w="1670" w:type="dxa"/>
            <w:tcBorders>
              <w:left w:val="single" w:sz="4" w:space="0" w:color="000000"/>
              <w:right w:val="single" w:sz="4" w:space="0" w:color="000000"/>
            </w:tcBorders>
          </w:tcPr>
          <w:p w:rsidR="00B14BAF" w:rsidRPr="006354C2" w:rsidRDefault="00B14BAF">
            <w:pPr>
              <w:autoSpaceDE w:val="0"/>
              <w:autoSpaceDN w:val="0"/>
              <w:adjustRightInd w:val="0"/>
              <w:spacing w:line="223" w:lineRule="exact"/>
              <w:ind w:left="583" w:right="562"/>
              <w:jc w:val="center"/>
              <w:rPr>
                <w:sz w:val="24"/>
                <w:szCs w:val="24"/>
              </w:rPr>
            </w:pPr>
            <w:r w:rsidRPr="006354C2">
              <w:rPr>
                <w:rFonts w:ascii="Arial Narrow" w:hAnsi="Arial Narrow" w:cs="Arial Narrow"/>
              </w:rPr>
              <w:t>19</w:t>
            </w:r>
            <w:r w:rsidRPr="006354C2">
              <w:rPr>
                <w:rFonts w:ascii="Arial Narrow" w:hAnsi="Arial Narrow" w:cs="Arial Narrow"/>
                <w:spacing w:val="-1"/>
              </w:rPr>
              <w:t xml:space="preserve"> </w:t>
            </w:r>
            <w:r w:rsidRPr="006354C2">
              <w:rPr>
                <w:rFonts w:ascii="Arial Narrow" w:hAnsi="Arial Narrow" w:cs="Arial Narrow"/>
                <w:w w:val="99"/>
              </w:rPr>
              <w:t>(3)</w:t>
            </w:r>
          </w:p>
        </w:tc>
      </w:tr>
      <w:tr w:rsidR="004D21D2" w:rsidRPr="006354C2" w:rsidTr="009B088E">
        <w:trPr>
          <w:trHeight w:hRule="exact" w:val="240"/>
          <w:jc w:val="right"/>
        </w:trPr>
        <w:tc>
          <w:tcPr>
            <w:tcW w:w="3528"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3" w:lineRule="exact"/>
              <w:ind w:left="102" w:right="-20"/>
              <w:rPr>
                <w:rFonts w:ascii="Arial Narrow" w:hAnsi="Arial Narrow" w:cs="Arial Narrow"/>
              </w:rPr>
            </w:pPr>
            <w:r w:rsidRPr="006354C2">
              <w:rPr>
                <w:rFonts w:ascii="Arial Narrow" w:hAnsi="Arial Narrow" w:cs="Arial Narrow"/>
              </w:rPr>
              <w:t>Contusion</w:t>
            </w:r>
          </w:p>
        </w:tc>
        <w:tc>
          <w:tcPr>
            <w:tcW w:w="168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3" w:lineRule="exact"/>
              <w:ind w:left="583" w:right="566"/>
              <w:jc w:val="center"/>
              <w:rPr>
                <w:rFonts w:ascii="Arial Narrow" w:hAnsi="Arial Narrow" w:cs="Arial Narrow"/>
              </w:rPr>
            </w:pPr>
            <w:r w:rsidRPr="006354C2">
              <w:rPr>
                <w:rFonts w:ascii="Arial Narrow" w:hAnsi="Arial Narrow" w:cs="Arial Narrow"/>
              </w:rPr>
              <w:t xml:space="preserve">1 </w:t>
            </w:r>
            <w:r w:rsidRPr="006354C2">
              <w:rPr>
                <w:rFonts w:ascii="Arial Narrow" w:hAnsi="Arial Narrow" w:cs="Arial Narrow"/>
                <w:w w:val="99"/>
              </w:rPr>
              <w:t>(&lt;1)</w:t>
            </w:r>
          </w:p>
        </w:tc>
        <w:tc>
          <w:tcPr>
            <w:tcW w:w="168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3" w:lineRule="exact"/>
              <w:ind w:left="583" w:right="566"/>
              <w:jc w:val="center"/>
              <w:rPr>
                <w:rFonts w:ascii="Arial Narrow" w:hAnsi="Arial Narrow" w:cs="Arial Narrow"/>
              </w:rPr>
            </w:pPr>
            <w:r w:rsidRPr="006354C2">
              <w:rPr>
                <w:rFonts w:ascii="Arial Narrow" w:hAnsi="Arial Narrow" w:cs="Arial Narrow"/>
              </w:rPr>
              <w:t xml:space="preserve">7 </w:t>
            </w:r>
            <w:r w:rsidRPr="006354C2">
              <w:rPr>
                <w:rFonts w:ascii="Arial Narrow" w:hAnsi="Arial Narrow" w:cs="Arial Narrow"/>
                <w:w w:val="99"/>
              </w:rPr>
              <w:t>(1)</w:t>
            </w:r>
          </w:p>
        </w:tc>
        <w:tc>
          <w:tcPr>
            <w:tcW w:w="167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3" w:lineRule="exact"/>
              <w:ind w:left="583" w:right="562"/>
              <w:jc w:val="center"/>
              <w:rPr>
                <w:rFonts w:ascii="Arial Narrow" w:hAnsi="Arial Narrow" w:cs="Arial Narrow"/>
              </w:rPr>
            </w:pPr>
            <w:r w:rsidRPr="006354C2">
              <w:rPr>
                <w:rFonts w:ascii="Arial Narrow" w:hAnsi="Arial Narrow" w:cs="Arial Narrow"/>
              </w:rPr>
              <w:t xml:space="preserve">4 </w:t>
            </w:r>
            <w:r w:rsidRPr="006354C2">
              <w:rPr>
                <w:rFonts w:ascii="Arial Narrow" w:hAnsi="Arial Narrow" w:cs="Arial Narrow"/>
                <w:w w:val="99"/>
              </w:rPr>
              <w:t>(&lt;1)</w:t>
            </w:r>
          </w:p>
        </w:tc>
      </w:tr>
      <w:tr w:rsidR="004D21D2" w:rsidRPr="006354C2" w:rsidTr="009B088E">
        <w:trPr>
          <w:trHeight w:hRule="exact" w:val="240"/>
          <w:jc w:val="right"/>
        </w:trPr>
        <w:tc>
          <w:tcPr>
            <w:tcW w:w="3528" w:type="dxa"/>
            <w:tcBorders>
              <w:top w:val="single" w:sz="4" w:space="0" w:color="000000"/>
              <w:left w:val="single" w:sz="4" w:space="0" w:color="000000"/>
            </w:tcBorders>
          </w:tcPr>
          <w:p w:rsidR="004D21D2" w:rsidRPr="006354C2" w:rsidRDefault="004D21D2">
            <w:pPr>
              <w:autoSpaceDE w:val="0"/>
              <w:autoSpaceDN w:val="0"/>
              <w:adjustRightInd w:val="0"/>
              <w:spacing w:line="223" w:lineRule="exact"/>
              <w:ind w:left="102" w:right="-20"/>
              <w:rPr>
                <w:rFonts w:ascii="Arial Narrow" w:hAnsi="Arial Narrow" w:cs="Arial Narrow"/>
                <w:b/>
              </w:rPr>
            </w:pPr>
            <w:r w:rsidRPr="006354C2">
              <w:rPr>
                <w:rFonts w:ascii="Arial Narrow" w:hAnsi="Arial Narrow" w:cs="Arial Narrow"/>
                <w:b/>
              </w:rPr>
              <w:t>Immune System Disorders</w:t>
            </w:r>
          </w:p>
        </w:tc>
        <w:tc>
          <w:tcPr>
            <w:tcW w:w="1680" w:type="dxa"/>
            <w:tcBorders>
              <w:top w:val="single" w:sz="4" w:space="0" w:color="000000"/>
            </w:tcBorders>
          </w:tcPr>
          <w:p w:rsidR="004D21D2" w:rsidRPr="006354C2" w:rsidRDefault="004D21D2">
            <w:pPr>
              <w:autoSpaceDE w:val="0"/>
              <w:autoSpaceDN w:val="0"/>
              <w:adjustRightInd w:val="0"/>
              <w:spacing w:line="223" w:lineRule="exact"/>
              <w:ind w:left="629" w:right="612"/>
              <w:jc w:val="center"/>
              <w:rPr>
                <w:rFonts w:ascii="Arial Narrow" w:hAnsi="Arial Narrow" w:cs="Arial Narrow"/>
              </w:rPr>
            </w:pPr>
          </w:p>
        </w:tc>
        <w:tc>
          <w:tcPr>
            <w:tcW w:w="1680" w:type="dxa"/>
            <w:tcBorders>
              <w:top w:val="single" w:sz="4" w:space="0" w:color="000000"/>
            </w:tcBorders>
          </w:tcPr>
          <w:p w:rsidR="004D21D2" w:rsidRPr="006354C2" w:rsidRDefault="004D21D2">
            <w:pPr>
              <w:autoSpaceDE w:val="0"/>
              <w:autoSpaceDN w:val="0"/>
              <w:adjustRightInd w:val="0"/>
              <w:spacing w:line="223" w:lineRule="exact"/>
              <w:ind w:left="583" w:right="566"/>
              <w:jc w:val="center"/>
              <w:rPr>
                <w:rFonts w:ascii="Arial Narrow" w:hAnsi="Arial Narrow" w:cs="Arial Narrow"/>
              </w:rPr>
            </w:pPr>
          </w:p>
        </w:tc>
        <w:tc>
          <w:tcPr>
            <w:tcW w:w="1670" w:type="dxa"/>
            <w:tcBorders>
              <w:top w:val="single" w:sz="4" w:space="0" w:color="000000"/>
              <w:right w:val="single" w:sz="4" w:space="0" w:color="000000"/>
            </w:tcBorders>
          </w:tcPr>
          <w:p w:rsidR="004D21D2" w:rsidRPr="006354C2" w:rsidRDefault="004D21D2">
            <w:pPr>
              <w:autoSpaceDE w:val="0"/>
              <w:autoSpaceDN w:val="0"/>
              <w:adjustRightInd w:val="0"/>
              <w:spacing w:line="223" w:lineRule="exact"/>
              <w:ind w:left="583" w:right="562"/>
              <w:jc w:val="center"/>
              <w:rPr>
                <w:rFonts w:ascii="Arial Narrow" w:hAnsi="Arial Narrow" w:cs="Arial Narrow"/>
              </w:rPr>
            </w:pPr>
          </w:p>
        </w:tc>
      </w:tr>
      <w:tr w:rsidR="004D21D2" w:rsidRPr="006354C2" w:rsidTr="009B088E">
        <w:trPr>
          <w:trHeight w:hRule="exact" w:val="240"/>
          <w:jc w:val="right"/>
        </w:trPr>
        <w:tc>
          <w:tcPr>
            <w:tcW w:w="3528" w:type="dxa"/>
            <w:tcBorders>
              <w:left w:val="single" w:sz="4" w:space="0" w:color="000000"/>
              <w:bottom w:val="single" w:sz="4" w:space="0" w:color="000000"/>
            </w:tcBorders>
          </w:tcPr>
          <w:p w:rsidR="004D21D2" w:rsidRPr="006354C2" w:rsidRDefault="004D21D2">
            <w:pPr>
              <w:autoSpaceDE w:val="0"/>
              <w:autoSpaceDN w:val="0"/>
              <w:adjustRightInd w:val="0"/>
              <w:spacing w:line="223" w:lineRule="exact"/>
              <w:ind w:left="102" w:right="-20"/>
              <w:rPr>
                <w:sz w:val="24"/>
                <w:szCs w:val="24"/>
              </w:rPr>
            </w:pPr>
            <w:r w:rsidRPr="006354C2">
              <w:rPr>
                <w:rFonts w:ascii="Arial Narrow" w:hAnsi="Arial Narrow" w:cs="Arial Narrow"/>
              </w:rPr>
              <w:t>Arthralgia</w:t>
            </w:r>
          </w:p>
        </w:tc>
        <w:tc>
          <w:tcPr>
            <w:tcW w:w="1680" w:type="dxa"/>
            <w:tcBorders>
              <w:bottom w:val="single" w:sz="4" w:space="0" w:color="000000"/>
            </w:tcBorders>
          </w:tcPr>
          <w:p w:rsidR="004D21D2" w:rsidRPr="006354C2" w:rsidRDefault="004D21D2">
            <w:pPr>
              <w:autoSpaceDE w:val="0"/>
              <w:autoSpaceDN w:val="0"/>
              <w:adjustRightInd w:val="0"/>
              <w:spacing w:line="223" w:lineRule="exact"/>
              <w:ind w:left="629" w:right="612"/>
              <w:jc w:val="center"/>
              <w:rPr>
                <w:sz w:val="24"/>
                <w:szCs w:val="24"/>
              </w:rPr>
            </w:pPr>
            <w:r w:rsidRPr="006354C2">
              <w:rPr>
                <w:rFonts w:ascii="Arial Narrow" w:hAnsi="Arial Narrow" w:cs="Arial Narrow"/>
              </w:rPr>
              <w:t xml:space="preserve">9 </w:t>
            </w:r>
            <w:r w:rsidRPr="006354C2">
              <w:rPr>
                <w:rFonts w:ascii="Arial Narrow" w:hAnsi="Arial Narrow" w:cs="Arial Narrow"/>
                <w:w w:val="99"/>
              </w:rPr>
              <w:t>(1)</w:t>
            </w:r>
          </w:p>
        </w:tc>
        <w:tc>
          <w:tcPr>
            <w:tcW w:w="1680" w:type="dxa"/>
            <w:tcBorders>
              <w:bottom w:val="single" w:sz="4" w:space="0" w:color="000000"/>
            </w:tcBorders>
          </w:tcPr>
          <w:p w:rsidR="004D21D2" w:rsidRPr="006354C2" w:rsidRDefault="004D21D2">
            <w:pPr>
              <w:autoSpaceDE w:val="0"/>
              <w:autoSpaceDN w:val="0"/>
              <w:adjustRightInd w:val="0"/>
              <w:spacing w:line="223" w:lineRule="exact"/>
              <w:ind w:left="583" w:right="566"/>
              <w:jc w:val="center"/>
              <w:rPr>
                <w:sz w:val="24"/>
                <w:szCs w:val="24"/>
              </w:rPr>
            </w:pPr>
            <w:r w:rsidRPr="006354C2">
              <w:rPr>
                <w:rFonts w:ascii="Arial Narrow" w:hAnsi="Arial Narrow" w:cs="Arial Narrow"/>
              </w:rPr>
              <w:t>12</w:t>
            </w:r>
            <w:r w:rsidRPr="006354C2">
              <w:rPr>
                <w:rFonts w:ascii="Arial Narrow" w:hAnsi="Arial Narrow" w:cs="Arial Narrow"/>
                <w:spacing w:val="-1"/>
              </w:rPr>
              <w:t xml:space="preserve"> </w:t>
            </w:r>
            <w:r w:rsidRPr="006354C2">
              <w:rPr>
                <w:rFonts w:ascii="Arial Narrow" w:hAnsi="Arial Narrow" w:cs="Arial Narrow"/>
                <w:w w:val="99"/>
              </w:rPr>
              <w:t>(2)</w:t>
            </w:r>
          </w:p>
        </w:tc>
        <w:tc>
          <w:tcPr>
            <w:tcW w:w="1670" w:type="dxa"/>
            <w:tcBorders>
              <w:bottom w:val="single" w:sz="4" w:space="0" w:color="000000"/>
              <w:right w:val="single" w:sz="4" w:space="0" w:color="000000"/>
            </w:tcBorders>
          </w:tcPr>
          <w:p w:rsidR="004D21D2" w:rsidRPr="006354C2" w:rsidRDefault="004D21D2">
            <w:pPr>
              <w:autoSpaceDE w:val="0"/>
              <w:autoSpaceDN w:val="0"/>
              <w:adjustRightInd w:val="0"/>
              <w:spacing w:line="223" w:lineRule="exact"/>
              <w:ind w:left="583" w:right="562"/>
              <w:jc w:val="center"/>
              <w:rPr>
                <w:sz w:val="24"/>
                <w:szCs w:val="24"/>
              </w:rPr>
            </w:pPr>
            <w:r w:rsidRPr="006354C2">
              <w:rPr>
                <w:rFonts w:ascii="Arial Narrow" w:hAnsi="Arial Narrow" w:cs="Arial Narrow"/>
              </w:rPr>
              <w:t>11</w:t>
            </w:r>
            <w:r w:rsidRPr="006354C2">
              <w:rPr>
                <w:rFonts w:ascii="Arial Narrow" w:hAnsi="Arial Narrow" w:cs="Arial Narrow"/>
                <w:spacing w:val="-1"/>
              </w:rPr>
              <w:t xml:space="preserve"> </w:t>
            </w:r>
            <w:r w:rsidRPr="006354C2">
              <w:rPr>
                <w:rFonts w:ascii="Arial Narrow" w:hAnsi="Arial Narrow" w:cs="Arial Narrow"/>
                <w:w w:val="99"/>
              </w:rPr>
              <w:t>(2)</w:t>
            </w:r>
          </w:p>
        </w:tc>
      </w:tr>
      <w:tr w:rsidR="004D21D2" w:rsidRPr="006354C2" w:rsidTr="009B088E">
        <w:trPr>
          <w:trHeight w:hRule="exact" w:val="238"/>
          <w:jc w:val="right"/>
        </w:trPr>
        <w:tc>
          <w:tcPr>
            <w:tcW w:w="3528" w:type="dxa"/>
            <w:tcBorders>
              <w:top w:val="single" w:sz="4" w:space="0" w:color="000000"/>
              <w:left w:val="single" w:sz="4" w:space="0" w:color="000000"/>
              <w:right w:val="single" w:sz="4" w:space="0" w:color="000000"/>
            </w:tcBorders>
          </w:tcPr>
          <w:p w:rsidR="004D21D2" w:rsidRPr="006354C2" w:rsidRDefault="004D21D2">
            <w:pPr>
              <w:autoSpaceDE w:val="0"/>
              <w:autoSpaceDN w:val="0"/>
              <w:adjustRightInd w:val="0"/>
              <w:spacing w:line="223" w:lineRule="exact"/>
              <w:ind w:left="102" w:right="-20"/>
              <w:rPr>
                <w:sz w:val="24"/>
                <w:szCs w:val="24"/>
              </w:rPr>
            </w:pPr>
          </w:p>
        </w:tc>
        <w:tc>
          <w:tcPr>
            <w:tcW w:w="1680" w:type="dxa"/>
            <w:tcBorders>
              <w:top w:val="single" w:sz="4" w:space="0" w:color="000000"/>
              <w:left w:val="single" w:sz="4" w:space="0" w:color="000000"/>
              <w:right w:val="single" w:sz="4" w:space="0" w:color="000000"/>
            </w:tcBorders>
          </w:tcPr>
          <w:p w:rsidR="004D21D2" w:rsidRPr="006354C2" w:rsidRDefault="004D21D2">
            <w:pPr>
              <w:autoSpaceDE w:val="0"/>
              <w:autoSpaceDN w:val="0"/>
              <w:adjustRightInd w:val="0"/>
              <w:spacing w:line="223" w:lineRule="exact"/>
              <w:ind w:left="583" w:right="561"/>
              <w:jc w:val="center"/>
              <w:rPr>
                <w:sz w:val="24"/>
                <w:szCs w:val="24"/>
              </w:rPr>
            </w:pPr>
          </w:p>
        </w:tc>
        <w:tc>
          <w:tcPr>
            <w:tcW w:w="1680" w:type="dxa"/>
            <w:tcBorders>
              <w:top w:val="single" w:sz="4" w:space="0" w:color="000000"/>
              <w:left w:val="single" w:sz="4" w:space="0" w:color="000000"/>
              <w:right w:val="single" w:sz="4" w:space="0" w:color="000000"/>
            </w:tcBorders>
          </w:tcPr>
          <w:p w:rsidR="004D21D2" w:rsidRPr="006354C2" w:rsidRDefault="004D21D2">
            <w:pPr>
              <w:autoSpaceDE w:val="0"/>
              <w:autoSpaceDN w:val="0"/>
              <w:adjustRightInd w:val="0"/>
              <w:spacing w:line="223" w:lineRule="exact"/>
              <w:ind w:left="629" w:right="612"/>
              <w:jc w:val="center"/>
              <w:rPr>
                <w:sz w:val="24"/>
                <w:szCs w:val="24"/>
              </w:rPr>
            </w:pPr>
          </w:p>
        </w:tc>
        <w:tc>
          <w:tcPr>
            <w:tcW w:w="1670" w:type="dxa"/>
            <w:tcBorders>
              <w:top w:val="single" w:sz="4" w:space="0" w:color="000000"/>
              <w:left w:val="single" w:sz="4" w:space="0" w:color="000000"/>
              <w:right w:val="single" w:sz="4" w:space="0" w:color="000000"/>
            </w:tcBorders>
          </w:tcPr>
          <w:p w:rsidR="004D21D2" w:rsidRPr="006354C2" w:rsidRDefault="004D21D2">
            <w:pPr>
              <w:autoSpaceDE w:val="0"/>
              <w:autoSpaceDN w:val="0"/>
              <w:adjustRightInd w:val="0"/>
              <w:spacing w:line="223" w:lineRule="exact"/>
              <w:ind w:left="583" w:right="557"/>
              <w:jc w:val="center"/>
              <w:rPr>
                <w:sz w:val="24"/>
                <w:szCs w:val="24"/>
              </w:rPr>
            </w:pPr>
          </w:p>
        </w:tc>
      </w:tr>
      <w:tr w:rsidR="004D21D2" w:rsidRPr="006354C2" w:rsidTr="009B088E">
        <w:trPr>
          <w:trHeight w:hRule="exact" w:val="240"/>
          <w:jc w:val="right"/>
        </w:trPr>
        <w:tc>
          <w:tcPr>
            <w:tcW w:w="3528"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6" w:lineRule="exact"/>
              <w:ind w:left="102" w:right="-20"/>
              <w:rPr>
                <w:sz w:val="24"/>
                <w:szCs w:val="24"/>
              </w:rPr>
            </w:pPr>
          </w:p>
        </w:tc>
        <w:tc>
          <w:tcPr>
            <w:tcW w:w="168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6" w:lineRule="exact"/>
              <w:ind w:left="583" w:right="561"/>
              <w:jc w:val="center"/>
              <w:rPr>
                <w:sz w:val="24"/>
                <w:szCs w:val="24"/>
              </w:rPr>
            </w:pPr>
          </w:p>
        </w:tc>
        <w:tc>
          <w:tcPr>
            <w:tcW w:w="168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6" w:lineRule="exact"/>
              <w:ind w:left="629" w:right="612"/>
              <w:jc w:val="center"/>
              <w:rPr>
                <w:sz w:val="24"/>
                <w:szCs w:val="24"/>
              </w:rPr>
            </w:pPr>
          </w:p>
        </w:tc>
        <w:tc>
          <w:tcPr>
            <w:tcW w:w="1670" w:type="dxa"/>
            <w:tcBorders>
              <w:left w:val="single" w:sz="4" w:space="0" w:color="000000"/>
              <w:bottom w:val="single" w:sz="4" w:space="0" w:color="000000"/>
              <w:right w:val="single" w:sz="4" w:space="0" w:color="000000"/>
            </w:tcBorders>
          </w:tcPr>
          <w:p w:rsidR="004D21D2" w:rsidRPr="006354C2" w:rsidRDefault="004D21D2">
            <w:pPr>
              <w:autoSpaceDE w:val="0"/>
              <w:autoSpaceDN w:val="0"/>
              <w:adjustRightInd w:val="0"/>
              <w:spacing w:line="226" w:lineRule="exact"/>
              <w:ind w:left="583" w:right="557"/>
              <w:jc w:val="center"/>
              <w:rPr>
                <w:sz w:val="24"/>
                <w:szCs w:val="24"/>
              </w:rPr>
            </w:pPr>
          </w:p>
        </w:tc>
      </w:tr>
    </w:tbl>
    <w:p w:rsidR="00654D24" w:rsidRPr="006354C2" w:rsidRDefault="00654D24" w:rsidP="00E677B4">
      <w:pPr>
        <w:autoSpaceDE w:val="0"/>
        <w:autoSpaceDN w:val="0"/>
        <w:adjustRightInd w:val="0"/>
        <w:rPr>
          <w:rFonts w:ascii="Arial" w:hAnsi="Arial" w:cs="Arial"/>
          <w:i/>
          <w:sz w:val="22"/>
          <w:szCs w:val="22"/>
        </w:rPr>
      </w:pPr>
    </w:p>
    <w:p w:rsidR="00654D24" w:rsidRPr="006354C2" w:rsidRDefault="00654D24" w:rsidP="00E677B4">
      <w:pPr>
        <w:autoSpaceDE w:val="0"/>
        <w:autoSpaceDN w:val="0"/>
        <w:adjustRightInd w:val="0"/>
        <w:rPr>
          <w:rFonts w:ascii="Arial" w:hAnsi="Arial" w:cs="Arial"/>
          <w:i/>
          <w:sz w:val="22"/>
          <w:szCs w:val="22"/>
        </w:rPr>
      </w:pPr>
    </w:p>
    <w:p w:rsidR="00E677B4" w:rsidRPr="006354C2" w:rsidRDefault="00D62AAF" w:rsidP="00E677B4">
      <w:pPr>
        <w:autoSpaceDE w:val="0"/>
        <w:autoSpaceDN w:val="0"/>
        <w:adjustRightInd w:val="0"/>
        <w:rPr>
          <w:rFonts w:ascii="Arial" w:hAnsi="Arial" w:cs="Arial"/>
          <w:i/>
          <w:sz w:val="22"/>
          <w:szCs w:val="22"/>
        </w:rPr>
      </w:pPr>
      <w:r w:rsidRPr="006354C2">
        <w:rPr>
          <w:rFonts w:ascii="Arial" w:hAnsi="Arial" w:cs="Arial"/>
          <w:i/>
          <w:sz w:val="22"/>
          <w:szCs w:val="22"/>
        </w:rPr>
        <w:t>52 week study</w:t>
      </w:r>
    </w:p>
    <w:p w:rsidR="00D62AAF" w:rsidRDefault="00B833BE" w:rsidP="00C66CB0">
      <w:pPr>
        <w:rPr>
          <w:lang w:eastAsia="en-US"/>
        </w:rPr>
      </w:pPr>
      <w:r w:rsidRPr="006354C2">
        <w:rPr>
          <w:rFonts w:ascii="Arial" w:hAnsi="Arial" w:cs="Arial"/>
          <w:sz w:val="22"/>
          <w:szCs w:val="22"/>
        </w:rPr>
        <w:t xml:space="preserve">In a long-term safety study, 336 subjects (n=227 umeclidinium 125 </w:t>
      </w:r>
      <w:r w:rsidR="008F5A0C">
        <w:rPr>
          <w:rFonts w:ascii="Arial" w:hAnsi="Arial" w:cs="Arial"/>
          <w:sz w:val="22"/>
          <w:szCs w:val="22"/>
        </w:rPr>
        <w:t>micrograms</w:t>
      </w:r>
      <w:r w:rsidRPr="006354C2">
        <w:rPr>
          <w:rFonts w:ascii="Arial" w:hAnsi="Arial" w:cs="Arial"/>
          <w:sz w:val="22"/>
          <w:szCs w:val="22"/>
        </w:rPr>
        <w:t>, n=109 placebo) were treated for up to 52 weeks with umeclidinium</w:t>
      </w:r>
      <w:r w:rsidRPr="006354C2" w:rsidDel="00B16AD5">
        <w:rPr>
          <w:rFonts w:ascii="Arial" w:hAnsi="Arial" w:cs="Arial"/>
          <w:sz w:val="22"/>
          <w:szCs w:val="22"/>
        </w:rPr>
        <w:t xml:space="preserve"> </w:t>
      </w:r>
      <w:r w:rsidRPr="006354C2">
        <w:rPr>
          <w:rFonts w:ascii="Arial" w:hAnsi="Arial" w:cs="Arial"/>
          <w:sz w:val="22"/>
          <w:szCs w:val="22"/>
        </w:rPr>
        <w:t>125 </w:t>
      </w:r>
      <w:r w:rsidR="008F5A0C">
        <w:rPr>
          <w:rFonts w:ascii="Arial" w:hAnsi="Arial" w:cs="Arial"/>
          <w:sz w:val="22"/>
          <w:szCs w:val="22"/>
        </w:rPr>
        <w:t>micrograms</w:t>
      </w:r>
      <w:r w:rsidRPr="006354C2">
        <w:rPr>
          <w:rFonts w:ascii="Arial" w:hAnsi="Arial" w:cs="Arial"/>
          <w:sz w:val="22"/>
          <w:szCs w:val="22"/>
        </w:rPr>
        <w:t xml:space="preserve"> or placebo. The demographic and baseline characteristics of the long-term safety study were similar to those of the efficacy studies. In addition to the adverse events listed in</w:t>
      </w:r>
      <w:r w:rsidR="004F52BA">
        <w:rPr>
          <w:rFonts w:ascii="Arial" w:hAnsi="Arial" w:cs="Arial"/>
          <w:sz w:val="22"/>
          <w:szCs w:val="22"/>
        </w:rPr>
        <w:t xml:space="preserve"> </w:t>
      </w:r>
      <w:r w:rsidR="004D21D2">
        <w:rPr>
          <w:rFonts w:ascii="Arial" w:hAnsi="Arial" w:cs="Arial"/>
          <w:sz w:val="22"/>
          <w:szCs w:val="22"/>
        </w:rPr>
        <w:t>Table 3</w:t>
      </w:r>
      <w:r w:rsidRPr="006354C2">
        <w:rPr>
          <w:rFonts w:ascii="Arial" w:hAnsi="Arial" w:cs="Arial"/>
          <w:sz w:val="22"/>
          <w:szCs w:val="22"/>
        </w:rPr>
        <w:t>, the adverse events reported in subjects receiving umeclidinium 125 </w:t>
      </w:r>
      <w:r w:rsidR="008F5A0C">
        <w:rPr>
          <w:rFonts w:ascii="Arial" w:hAnsi="Arial" w:cs="Arial"/>
          <w:sz w:val="22"/>
          <w:szCs w:val="22"/>
        </w:rPr>
        <w:t>micrograms</w:t>
      </w:r>
      <w:r w:rsidRPr="006354C2">
        <w:rPr>
          <w:rFonts w:ascii="Arial" w:hAnsi="Arial" w:cs="Arial"/>
          <w:sz w:val="22"/>
          <w:szCs w:val="22"/>
        </w:rPr>
        <w:t xml:space="preserve"> with a frequency of greater than 1% and exceeding the rate in subjects receiving placebo by greater than 1% in this study were: nasopharyngitis (umeclidinium 125 </w:t>
      </w:r>
      <w:r w:rsidR="008F5A0C">
        <w:rPr>
          <w:rFonts w:ascii="Arial" w:hAnsi="Arial" w:cs="Arial"/>
          <w:sz w:val="22"/>
          <w:szCs w:val="22"/>
        </w:rPr>
        <w:t>micrograms</w:t>
      </w:r>
      <w:r w:rsidRPr="006354C2">
        <w:rPr>
          <w:rFonts w:ascii="Arial" w:hAnsi="Arial" w:cs="Arial"/>
          <w:sz w:val="22"/>
          <w:szCs w:val="22"/>
        </w:rPr>
        <w:t xml:space="preserve"> 9%, placebo 5%), supraventricular extrasystoles (umeclidinium 125 </w:t>
      </w:r>
      <w:r w:rsidR="008F5A0C">
        <w:rPr>
          <w:rFonts w:ascii="Arial" w:hAnsi="Arial" w:cs="Arial"/>
          <w:sz w:val="22"/>
          <w:szCs w:val="22"/>
        </w:rPr>
        <w:t>micrograms</w:t>
      </w:r>
      <w:r w:rsidRPr="006354C2">
        <w:rPr>
          <w:rFonts w:ascii="Arial" w:hAnsi="Arial" w:cs="Arial"/>
          <w:sz w:val="22"/>
          <w:szCs w:val="22"/>
        </w:rPr>
        <w:t xml:space="preserve"> 3%, placebo &lt;1%), supraventricular tachycardia (umeclidinium 125 </w:t>
      </w:r>
      <w:r w:rsidR="008F5A0C">
        <w:rPr>
          <w:rFonts w:ascii="Arial" w:hAnsi="Arial" w:cs="Arial"/>
          <w:sz w:val="22"/>
          <w:szCs w:val="22"/>
        </w:rPr>
        <w:t>micrograms</w:t>
      </w:r>
      <w:r w:rsidRPr="006354C2">
        <w:rPr>
          <w:rFonts w:ascii="Arial" w:hAnsi="Arial" w:cs="Arial"/>
          <w:sz w:val="22"/>
          <w:szCs w:val="22"/>
        </w:rPr>
        <w:t xml:space="preserve"> 3%, placebo &lt;1%), rhythm idioventricular (umeclidinium 125 </w:t>
      </w:r>
      <w:r w:rsidR="008F5A0C">
        <w:rPr>
          <w:rFonts w:ascii="Arial" w:hAnsi="Arial" w:cs="Arial"/>
          <w:sz w:val="22"/>
          <w:szCs w:val="22"/>
        </w:rPr>
        <w:t>micrograms</w:t>
      </w:r>
      <w:r w:rsidRPr="006354C2">
        <w:rPr>
          <w:rFonts w:ascii="Arial" w:hAnsi="Arial" w:cs="Arial"/>
          <w:sz w:val="22"/>
          <w:szCs w:val="22"/>
        </w:rPr>
        <w:t xml:space="preserve"> 2%, placebo 0%), and urinary tract infection (umeclidinium 125 </w:t>
      </w:r>
      <w:r w:rsidR="008F5A0C">
        <w:rPr>
          <w:rFonts w:ascii="Arial" w:hAnsi="Arial" w:cs="Arial"/>
          <w:sz w:val="22"/>
          <w:szCs w:val="22"/>
        </w:rPr>
        <w:t>micrograms</w:t>
      </w:r>
      <w:r w:rsidRPr="006354C2">
        <w:rPr>
          <w:rFonts w:ascii="Arial" w:hAnsi="Arial" w:cs="Arial"/>
          <w:sz w:val="22"/>
          <w:szCs w:val="22"/>
        </w:rPr>
        <w:t xml:space="preserve"> 2%, placebo 0%).</w:t>
      </w:r>
    </w:p>
    <w:p w:rsidR="00D62AAF" w:rsidRDefault="00D62AAF" w:rsidP="00C66CB0">
      <w:pPr>
        <w:rPr>
          <w:lang w:eastAsia="en-US"/>
        </w:rPr>
      </w:pPr>
    </w:p>
    <w:p w:rsidR="00D62AAF" w:rsidRPr="00C66CB0" w:rsidRDefault="00D62AAF" w:rsidP="00C66CB0">
      <w:pPr>
        <w:rPr>
          <w:lang w:eastAsia="en-US"/>
        </w:rPr>
      </w:pPr>
    </w:p>
    <w:p w:rsidR="000E4CE7" w:rsidRDefault="005A75C8" w:rsidP="00577DCC">
      <w:pPr>
        <w:spacing w:after="120"/>
        <w:rPr>
          <w:rFonts w:ascii="Arial" w:hAnsi="Arial" w:cs="Arial"/>
          <w:sz w:val="22"/>
          <w:szCs w:val="22"/>
        </w:rPr>
      </w:pPr>
      <w:r w:rsidRPr="009221C3">
        <w:rPr>
          <w:rFonts w:ascii="Arial" w:hAnsi="Arial" w:cs="Arial"/>
          <w:sz w:val="22"/>
          <w:szCs w:val="22"/>
        </w:rPr>
        <w:t xml:space="preserve">The safety profile of </w:t>
      </w:r>
      <w:r w:rsidR="00A07727">
        <w:rPr>
          <w:rFonts w:ascii="Arial" w:hAnsi="Arial" w:cs="Arial"/>
          <w:sz w:val="22"/>
          <w:szCs w:val="22"/>
        </w:rPr>
        <w:t>Incruse</w:t>
      </w:r>
      <w:r w:rsidR="006F03BB">
        <w:rPr>
          <w:rFonts w:ascii="Arial" w:hAnsi="Arial" w:cs="Arial"/>
          <w:sz w:val="22"/>
          <w:szCs w:val="22"/>
        </w:rPr>
        <w:t xml:space="preserve"> Ellipta </w:t>
      </w:r>
      <w:r w:rsidR="000E4CE7">
        <w:rPr>
          <w:rFonts w:ascii="Arial" w:hAnsi="Arial" w:cs="Arial"/>
          <w:sz w:val="22"/>
          <w:szCs w:val="22"/>
        </w:rPr>
        <w:t>was evaluated from 1663</w:t>
      </w:r>
      <w:r w:rsidRPr="009221C3">
        <w:rPr>
          <w:rFonts w:ascii="Arial" w:hAnsi="Arial" w:cs="Arial"/>
          <w:sz w:val="22"/>
          <w:szCs w:val="22"/>
        </w:rPr>
        <w:t xml:space="preserve"> patients with COPD who received dose</w:t>
      </w:r>
      <w:r w:rsidR="000E4CE7">
        <w:rPr>
          <w:rFonts w:ascii="Arial" w:hAnsi="Arial" w:cs="Arial"/>
          <w:sz w:val="22"/>
          <w:szCs w:val="22"/>
        </w:rPr>
        <w:t>s</w:t>
      </w:r>
      <w:r w:rsidRPr="009221C3">
        <w:rPr>
          <w:rFonts w:ascii="Arial" w:hAnsi="Arial" w:cs="Arial"/>
          <w:sz w:val="22"/>
          <w:szCs w:val="22"/>
        </w:rPr>
        <w:t xml:space="preserve"> of </w:t>
      </w:r>
      <w:r w:rsidR="000E4CE7">
        <w:rPr>
          <w:rFonts w:ascii="Arial" w:hAnsi="Arial" w:cs="Arial"/>
          <w:sz w:val="22"/>
          <w:szCs w:val="22"/>
        </w:rPr>
        <w:t xml:space="preserve">62.5 micrograms or greater for up to one year.  </w:t>
      </w:r>
      <w:r w:rsidRPr="009221C3">
        <w:rPr>
          <w:rFonts w:ascii="Arial" w:hAnsi="Arial" w:cs="Arial"/>
          <w:sz w:val="22"/>
          <w:szCs w:val="22"/>
        </w:rPr>
        <w:t xml:space="preserve">This includes </w:t>
      </w:r>
      <w:r w:rsidR="000E4CE7">
        <w:rPr>
          <w:rFonts w:ascii="Arial" w:hAnsi="Arial" w:cs="Arial"/>
          <w:sz w:val="22"/>
          <w:szCs w:val="22"/>
        </w:rPr>
        <w:t>576</w:t>
      </w:r>
      <w:r w:rsidRPr="009221C3">
        <w:rPr>
          <w:rFonts w:ascii="Arial" w:hAnsi="Arial" w:cs="Arial"/>
          <w:sz w:val="22"/>
          <w:szCs w:val="22"/>
        </w:rPr>
        <w:t xml:space="preserve"> patients who received</w:t>
      </w:r>
      <w:r w:rsidR="000E4CE7">
        <w:rPr>
          <w:rFonts w:ascii="Arial" w:hAnsi="Arial" w:cs="Arial"/>
          <w:sz w:val="22"/>
          <w:szCs w:val="22"/>
        </w:rPr>
        <w:t xml:space="preserve"> the recommended dose of 62.5</w:t>
      </w:r>
      <w:r w:rsidRPr="009221C3">
        <w:rPr>
          <w:rFonts w:ascii="Arial" w:hAnsi="Arial" w:cs="Arial"/>
          <w:sz w:val="22"/>
          <w:szCs w:val="22"/>
        </w:rPr>
        <w:t xml:space="preserve"> micrograms once daily. </w:t>
      </w:r>
    </w:p>
    <w:p w:rsidR="005A75C8" w:rsidRDefault="005A75C8" w:rsidP="00577DCC">
      <w:pPr>
        <w:spacing w:after="120"/>
        <w:rPr>
          <w:rFonts w:ascii="Arial" w:hAnsi="Arial" w:cs="Arial"/>
          <w:sz w:val="22"/>
          <w:szCs w:val="22"/>
        </w:rPr>
      </w:pPr>
      <w:r w:rsidRPr="009221C3">
        <w:rPr>
          <w:rFonts w:ascii="Arial" w:hAnsi="Arial" w:cs="Arial"/>
          <w:sz w:val="22"/>
          <w:szCs w:val="22"/>
        </w:rPr>
        <w:t>The adverse reactions identified from the</w:t>
      </w:r>
      <w:r w:rsidR="000E4CE7">
        <w:rPr>
          <w:rFonts w:ascii="Arial" w:hAnsi="Arial" w:cs="Arial"/>
          <w:sz w:val="22"/>
          <w:szCs w:val="22"/>
        </w:rPr>
        <w:t xml:space="preserve"> four pivotal</w:t>
      </w:r>
      <w:r w:rsidRPr="009221C3">
        <w:rPr>
          <w:rFonts w:ascii="Arial" w:hAnsi="Arial" w:cs="Arial"/>
          <w:sz w:val="22"/>
          <w:szCs w:val="22"/>
        </w:rPr>
        <w:t xml:space="preserve"> studies a</w:t>
      </w:r>
      <w:r w:rsidR="000E4CE7">
        <w:rPr>
          <w:rFonts w:ascii="Arial" w:hAnsi="Arial" w:cs="Arial"/>
          <w:sz w:val="22"/>
          <w:szCs w:val="22"/>
        </w:rPr>
        <w:t xml:space="preserve">nd the long term safety study (which involved 1,412 patients who received </w:t>
      </w:r>
      <w:r w:rsidR="00A07727">
        <w:rPr>
          <w:rFonts w:ascii="Arial" w:hAnsi="Arial" w:cs="Arial"/>
          <w:sz w:val="22"/>
          <w:szCs w:val="22"/>
        </w:rPr>
        <w:t>Incruse</w:t>
      </w:r>
      <w:r w:rsidR="000E4CE7">
        <w:rPr>
          <w:rFonts w:ascii="Arial" w:hAnsi="Arial" w:cs="Arial"/>
          <w:sz w:val="22"/>
          <w:szCs w:val="22"/>
        </w:rPr>
        <w:t xml:space="preserve"> Ellipta) a</w:t>
      </w:r>
      <w:r w:rsidRPr="009221C3">
        <w:rPr>
          <w:rFonts w:ascii="Arial" w:hAnsi="Arial" w:cs="Arial"/>
          <w:sz w:val="22"/>
          <w:szCs w:val="22"/>
        </w:rPr>
        <w:t>re presented in the table below.</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Adverse drug reactions (ADRs) are listed below by MedDRA system organ class and by frequency. The following convention has been used for the classification of adverse reactions: </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Very common:</w:t>
      </w:r>
      <w:r w:rsidRPr="009221C3">
        <w:rPr>
          <w:rFonts w:ascii="Arial" w:hAnsi="Arial" w:cs="Arial"/>
          <w:sz w:val="22"/>
          <w:szCs w:val="22"/>
        </w:rPr>
        <w:tab/>
        <w:t>≥1/10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Common: </w:t>
      </w:r>
      <w:r w:rsidRPr="009221C3">
        <w:rPr>
          <w:rFonts w:ascii="Arial" w:hAnsi="Arial" w:cs="Arial"/>
          <w:sz w:val="22"/>
          <w:szCs w:val="22"/>
        </w:rPr>
        <w:tab/>
        <w:t>≥1/100 to &lt;1/10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 xml:space="preserve">Uncommon: </w:t>
      </w:r>
      <w:r w:rsidRPr="009221C3">
        <w:rPr>
          <w:rFonts w:ascii="Arial" w:hAnsi="Arial" w:cs="Arial"/>
          <w:sz w:val="22"/>
          <w:szCs w:val="22"/>
        </w:rPr>
        <w:tab/>
        <w:t>≥1/1000 to &lt;1/100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Rare</w:t>
      </w:r>
      <w:r w:rsidR="00351530">
        <w:rPr>
          <w:rFonts w:ascii="Arial" w:hAnsi="Arial" w:cs="Arial"/>
          <w:sz w:val="22"/>
          <w:szCs w:val="22"/>
        </w:rPr>
        <w:t>:</w:t>
      </w:r>
      <w:r w:rsidRPr="009221C3">
        <w:rPr>
          <w:rFonts w:ascii="Arial" w:hAnsi="Arial" w:cs="Arial"/>
          <w:sz w:val="22"/>
          <w:szCs w:val="22"/>
        </w:rPr>
        <w:tab/>
      </w:r>
      <w:r w:rsidR="004D29F6">
        <w:rPr>
          <w:rFonts w:ascii="Arial" w:hAnsi="Arial" w:cs="Arial"/>
          <w:sz w:val="22"/>
          <w:szCs w:val="22"/>
        </w:rPr>
        <w:tab/>
      </w:r>
      <w:r w:rsidRPr="009221C3">
        <w:rPr>
          <w:rFonts w:ascii="Arial" w:hAnsi="Arial" w:cs="Arial"/>
          <w:sz w:val="22"/>
          <w:szCs w:val="22"/>
        </w:rPr>
        <w:t>≥1/10000 to &lt;1/1000</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Very rare</w:t>
      </w:r>
      <w:r w:rsidR="00351530">
        <w:rPr>
          <w:rFonts w:ascii="Arial" w:hAnsi="Arial" w:cs="Arial"/>
          <w:sz w:val="22"/>
          <w:szCs w:val="22"/>
        </w:rPr>
        <w:t>:</w:t>
      </w:r>
      <w:r w:rsidRPr="009221C3">
        <w:rPr>
          <w:rFonts w:ascii="Arial" w:hAnsi="Arial" w:cs="Arial"/>
          <w:sz w:val="22"/>
          <w:szCs w:val="22"/>
        </w:rPr>
        <w:tab/>
        <w:t>&lt;1/10000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3874"/>
        <w:gridCol w:w="1990"/>
      </w:tblGrid>
      <w:tr w:rsidR="005A75C8" w:rsidRPr="009221C3" w:rsidTr="005A75C8">
        <w:trPr>
          <w:tblHeader/>
        </w:trPr>
        <w:tc>
          <w:tcPr>
            <w:tcW w:w="2455" w:type="dxa"/>
            <w:vAlign w:val="center"/>
          </w:tcPr>
          <w:p w:rsidR="005A75C8" w:rsidRPr="0032667F" w:rsidRDefault="005A75C8" w:rsidP="00652AFF">
            <w:pPr>
              <w:keepNext/>
              <w:keepLines/>
              <w:spacing w:before="120"/>
              <w:jc w:val="center"/>
              <w:rPr>
                <w:rFonts w:ascii="Arial" w:hAnsi="Arial" w:cs="Arial"/>
                <w:b/>
                <w:noProof/>
                <w:sz w:val="22"/>
                <w:szCs w:val="22"/>
              </w:rPr>
            </w:pPr>
            <w:r w:rsidRPr="0032667F">
              <w:rPr>
                <w:rFonts w:ascii="Arial" w:hAnsi="Arial" w:cs="Arial"/>
                <w:b/>
                <w:iCs/>
                <w:sz w:val="22"/>
                <w:szCs w:val="22"/>
                <w:u w:val="single"/>
                <w:lang w:eastAsia="en-US"/>
              </w:rPr>
              <w:t>MedDRA</w:t>
            </w:r>
            <w:r w:rsidRPr="0032667F">
              <w:rPr>
                <w:rFonts w:ascii="Arial" w:hAnsi="Arial" w:cs="Arial"/>
                <w:b/>
                <w:noProof/>
                <w:sz w:val="22"/>
                <w:szCs w:val="22"/>
              </w:rPr>
              <w:t xml:space="preserve"> </w:t>
            </w:r>
          </w:p>
          <w:p w:rsidR="005A75C8" w:rsidRPr="0032667F" w:rsidRDefault="005A75C8" w:rsidP="00652AFF">
            <w:pPr>
              <w:keepNext/>
              <w:keepLines/>
              <w:spacing w:before="120"/>
              <w:jc w:val="center"/>
              <w:rPr>
                <w:rFonts w:ascii="Arial" w:hAnsi="Arial" w:cs="Arial"/>
                <w:b/>
                <w:noProof/>
                <w:sz w:val="22"/>
                <w:szCs w:val="22"/>
              </w:rPr>
            </w:pPr>
            <w:r w:rsidRPr="0032667F">
              <w:rPr>
                <w:rFonts w:ascii="Arial" w:hAnsi="Arial" w:cs="Arial"/>
                <w:b/>
                <w:noProof/>
                <w:sz w:val="22"/>
                <w:szCs w:val="22"/>
              </w:rPr>
              <w:t>System organ class</w:t>
            </w:r>
          </w:p>
        </w:tc>
        <w:tc>
          <w:tcPr>
            <w:tcW w:w="3874" w:type="dxa"/>
            <w:vAlign w:val="center"/>
          </w:tcPr>
          <w:p w:rsidR="005A75C8" w:rsidRPr="0032667F" w:rsidRDefault="005A75C8" w:rsidP="00652AFF">
            <w:pPr>
              <w:keepNext/>
              <w:keepLines/>
              <w:spacing w:before="120"/>
              <w:jc w:val="center"/>
              <w:rPr>
                <w:rFonts w:ascii="Arial" w:hAnsi="Arial" w:cs="Arial"/>
                <w:b/>
                <w:noProof/>
                <w:sz w:val="22"/>
                <w:szCs w:val="22"/>
              </w:rPr>
            </w:pPr>
            <w:r w:rsidRPr="0032667F">
              <w:rPr>
                <w:rFonts w:ascii="Arial" w:hAnsi="Arial" w:cs="Arial"/>
                <w:b/>
                <w:noProof/>
                <w:sz w:val="22"/>
                <w:szCs w:val="22"/>
              </w:rPr>
              <w:t>Adverse reaction(s)</w:t>
            </w:r>
          </w:p>
        </w:tc>
        <w:tc>
          <w:tcPr>
            <w:tcW w:w="1990" w:type="dxa"/>
            <w:vAlign w:val="center"/>
          </w:tcPr>
          <w:p w:rsidR="005A75C8" w:rsidRPr="0032667F" w:rsidRDefault="005A75C8" w:rsidP="00652AFF">
            <w:pPr>
              <w:keepNext/>
              <w:keepLines/>
              <w:spacing w:before="120"/>
              <w:jc w:val="center"/>
              <w:rPr>
                <w:rFonts w:ascii="Arial" w:hAnsi="Arial" w:cs="Arial"/>
                <w:b/>
                <w:noProof/>
                <w:sz w:val="22"/>
                <w:szCs w:val="22"/>
              </w:rPr>
            </w:pPr>
            <w:r w:rsidRPr="0032667F">
              <w:rPr>
                <w:rFonts w:ascii="Arial" w:hAnsi="Arial" w:cs="Arial"/>
                <w:b/>
                <w:noProof/>
                <w:sz w:val="22"/>
                <w:szCs w:val="22"/>
              </w:rPr>
              <w:t>Frequency</w:t>
            </w:r>
          </w:p>
        </w:tc>
      </w:tr>
      <w:tr w:rsidR="005A75C8" w:rsidRPr="009221C3" w:rsidTr="005A75C8">
        <w:tc>
          <w:tcPr>
            <w:tcW w:w="2455" w:type="dxa"/>
          </w:tcPr>
          <w:p w:rsidR="005A75C8" w:rsidRPr="0032667F" w:rsidRDefault="005A75C8" w:rsidP="001673AA">
            <w:pPr>
              <w:spacing w:before="120"/>
              <w:rPr>
                <w:rFonts w:ascii="Arial" w:hAnsi="Arial" w:cs="Arial"/>
                <w:iCs/>
                <w:sz w:val="22"/>
                <w:szCs w:val="22"/>
                <w:lang w:eastAsia="en-US"/>
              </w:rPr>
            </w:pPr>
            <w:r w:rsidRPr="0032667F">
              <w:rPr>
                <w:rFonts w:ascii="Arial" w:hAnsi="Arial" w:cs="Arial"/>
                <w:color w:val="000000"/>
                <w:sz w:val="22"/>
                <w:szCs w:val="22"/>
              </w:rPr>
              <w:t>Infections and infestations</w:t>
            </w:r>
          </w:p>
        </w:tc>
        <w:tc>
          <w:tcPr>
            <w:tcW w:w="3874" w:type="dxa"/>
          </w:tcPr>
          <w:p w:rsidR="005A75C8" w:rsidRPr="0032667F" w:rsidRDefault="000E4CE7" w:rsidP="001673AA">
            <w:pPr>
              <w:spacing w:before="120"/>
              <w:rPr>
                <w:rFonts w:ascii="Arial" w:hAnsi="Arial" w:cs="Arial"/>
                <w:sz w:val="22"/>
                <w:szCs w:val="22"/>
              </w:rPr>
            </w:pPr>
            <w:r w:rsidRPr="0032667F">
              <w:rPr>
                <w:rFonts w:ascii="Arial" w:hAnsi="Arial" w:cs="Arial"/>
                <w:sz w:val="22"/>
                <w:szCs w:val="22"/>
              </w:rPr>
              <w:t>Upper Respiratory Tract Infection</w:t>
            </w:r>
          </w:p>
        </w:tc>
        <w:tc>
          <w:tcPr>
            <w:tcW w:w="1990" w:type="dxa"/>
          </w:tcPr>
          <w:p w:rsidR="005A75C8" w:rsidRPr="0032667F" w:rsidRDefault="005A75C8" w:rsidP="001673AA">
            <w:pPr>
              <w:spacing w:before="120"/>
              <w:rPr>
                <w:rFonts w:ascii="Arial" w:hAnsi="Arial" w:cs="Arial"/>
                <w:sz w:val="22"/>
                <w:szCs w:val="22"/>
              </w:rPr>
            </w:pPr>
            <w:r w:rsidRPr="0032667F">
              <w:rPr>
                <w:rFonts w:ascii="Arial" w:hAnsi="Arial" w:cs="Arial"/>
                <w:sz w:val="22"/>
                <w:szCs w:val="22"/>
              </w:rPr>
              <w:t>Common</w:t>
            </w:r>
          </w:p>
        </w:tc>
      </w:tr>
      <w:tr w:rsidR="005A75C8" w:rsidRPr="009221C3" w:rsidTr="005A75C8">
        <w:tc>
          <w:tcPr>
            <w:tcW w:w="2455" w:type="dxa"/>
          </w:tcPr>
          <w:p w:rsidR="005A75C8" w:rsidRPr="0032667F" w:rsidRDefault="005A75C8" w:rsidP="001673AA">
            <w:pPr>
              <w:spacing w:before="120"/>
              <w:rPr>
                <w:rFonts w:ascii="Arial" w:hAnsi="Arial" w:cs="Arial"/>
                <w:sz w:val="22"/>
                <w:szCs w:val="22"/>
              </w:rPr>
            </w:pPr>
            <w:r w:rsidRPr="0032667F">
              <w:rPr>
                <w:rFonts w:ascii="Arial" w:hAnsi="Arial" w:cs="Arial"/>
                <w:iCs/>
                <w:sz w:val="22"/>
                <w:szCs w:val="22"/>
                <w:lang w:eastAsia="en-US"/>
              </w:rPr>
              <w:t>Cardiac Disorders</w:t>
            </w:r>
          </w:p>
        </w:tc>
        <w:tc>
          <w:tcPr>
            <w:tcW w:w="3874" w:type="dxa"/>
          </w:tcPr>
          <w:p w:rsidR="005A75C8" w:rsidRPr="0032667F" w:rsidRDefault="005A75C8" w:rsidP="001673AA">
            <w:pPr>
              <w:spacing w:before="120"/>
              <w:rPr>
                <w:rFonts w:ascii="Arial" w:hAnsi="Arial" w:cs="Arial"/>
                <w:sz w:val="22"/>
                <w:szCs w:val="22"/>
              </w:rPr>
            </w:pPr>
            <w:r w:rsidRPr="0032667F">
              <w:rPr>
                <w:rFonts w:ascii="Arial" w:hAnsi="Arial" w:cs="Arial"/>
                <w:sz w:val="22"/>
                <w:szCs w:val="22"/>
              </w:rPr>
              <w:t>Atrial Fibrillation</w:t>
            </w:r>
          </w:p>
          <w:p w:rsidR="000E4CE7" w:rsidRPr="0032667F" w:rsidRDefault="000E4CE7" w:rsidP="001673AA">
            <w:pPr>
              <w:spacing w:before="120"/>
              <w:rPr>
                <w:rFonts w:ascii="Arial" w:hAnsi="Arial" w:cs="Arial"/>
                <w:sz w:val="22"/>
                <w:szCs w:val="22"/>
              </w:rPr>
            </w:pPr>
            <w:r w:rsidRPr="0032667F">
              <w:rPr>
                <w:rFonts w:ascii="Arial" w:hAnsi="Arial" w:cs="Arial"/>
                <w:sz w:val="22"/>
                <w:szCs w:val="22"/>
              </w:rPr>
              <w:t>Supraventricular tachycardia</w:t>
            </w:r>
          </w:p>
          <w:p w:rsidR="005A75C8" w:rsidRPr="0032667F" w:rsidRDefault="005A75C8" w:rsidP="001673AA">
            <w:pPr>
              <w:spacing w:before="120"/>
              <w:rPr>
                <w:rFonts w:ascii="Arial" w:hAnsi="Arial" w:cs="Arial"/>
                <w:sz w:val="22"/>
                <w:szCs w:val="22"/>
              </w:rPr>
            </w:pPr>
            <w:r w:rsidRPr="0032667F">
              <w:rPr>
                <w:rFonts w:ascii="Arial" w:hAnsi="Arial" w:cs="Arial"/>
                <w:sz w:val="22"/>
                <w:szCs w:val="22"/>
              </w:rPr>
              <w:t>Tachycardia</w:t>
            </w:r>
          </w:p>
        </w:tc>
        <w:tc>
          <w:tcPr>
            <w:tcW w:w="1990" w:type="dxa"/>
          </w:tcPr>
          <w:p w:rsidR="005A75C8" w:rsidRPr="0032667F" w:rsidRDefault="005A75C8" w:rsidP="001673AA">
            <w:pPr>
              <w:spacing w:before="120"/>
              <w:rPr>
                <w:rFonts w:ascii="Arial" w:hAnsi="Arial" w:cs="Arial"/>
                <w:sz w:val="22"/>
                <w:szCs w:val="22"/>
              </w:rPr>
            </w:pPr>
            <w:r w:rsidRPr="0032667F">
              <w:rPr>
                <w:rFonts w:ascii="Arial" w:hAnsi="Arial" w:cs="Arial"/>
                <w:sz w:val="22"/>
                <w:szCs w:val="22"/>
              </w:rPr>
              <w:t>Uncommon</w:t>
            </w:r>
          </w:p>
          <w:p w:rsidR="005A75C8" w:rsidRPr="0032667F" w:rsidRDefault="005A75C8" w:rsidP="001673AA">
            <w:pPr>
              <w:spacing w:before="120"/>
              <w:rPr>
                <w:rFonts w:ascii="Arial" w:hAnsi="Arial" w:cs="Arial"/>
                <w:sz w:val="22"/>
                <w:szCs w:val="22"/>
              </w:rPr>
            </w:pPr>
            <w:r w:rsidRPr="0032667F">
              <w:rPr>
                <w:rFonts w:ascii="Arial" w:hAnsi="Arial" w:cs="Arial"/>
                <w:sz w:val="22"/>
                <w:szCs w:val="22"/>
              </w:rPr>
              <w:t>Uncommon</w:t>
            </w:r>
          </w:p>
          <w:p w:rsidR="000E4CE7" w:rsidRPr="0032667F" w:rsidRDefault="000E4CE7" w:rsidP="001673AA">
            <w:pPr>
              <w:spacing w:before="120"/>
              <w:rPr>
                <w:rFonts w:ascii="Arial" w:hAnsi="Arial" w:cs="Arial"/>
                <w:sz w:val="22"/>
                <w:szCs w:val="22"/>
              </w:rPr>
            </w:pPr>
            <w:r w:rsidRPr="0032667F">
              <w:rPr>
                <w:rFonts w:ascii="Arial" w:hAnsi="Arial" w:cs="Arial"/>
                <w:sz w:val="22"/>
                <w:szCs w:val="22"/>
              </w:rPr>
              <w:t>Uncommon</w:t>
            </w:r>
          </w:p>
        </w:tc>
      </w:tr>
      <w:tr w:rsidR="005A75C8" w:rsidRPr="009221C3" w:rsidDel="00D82FDC" w:rsidTr="005A75C8">
        <w:tc>
          <w:tcPr>
            <w:tcW w:w="2455" w:type="dxa"/>
          </w:tcPr>
          <w:p w:rsidR="005A75C8" w:rsidRPr="0032667F" w:rsidRDefault="005A75C8" w:rsidP="001673AA">
            <w:pPr>
              <w:spacing w:before="120"/>
              <w:rPr>
                <w:rFonts w:ascii="Arial" w:hAnsi="Arial" w:cs="Arial"/>
                <w:sz w:val="22"/>
                <w:szCs w:val="22"/>
              </w:rPr>
            </w:pPr>
            <w:r w:rsidRPr="0032667F">
              <w:rPr>
                <w:rFonts w:ascii="Arial" w:hAnsi="Arial" w:cs="Arial"/>
                <w:iCs/>
                <w:sz w:val="22"/>
                <w:szCs w:val="22"/>
                <w:lang w:eastAsia="en-US"/>
              </w:rPr>
              <w:lastRenderedPageBreak/>
              <w:t>Respiratory, Thoracic and Mediastinal Disorders</w:t>
            </w:r>
          </w:p>
        </w:tc>
        <w:tc>
          <w:tcPr>
            <w:tcW w:w="3874" w:type="dxa"/>
          </w:tcPr>
          <w:p w:rsidR="005A75C8" w:rsidRPr="0032667F" w:rsidDel="00D82FDC" w:rsidRDefault="005A75C8" w:rsidP="001673AA">
            <w:pPr>
              <w:spacing w:before="120"/>
              <w:rPr>
                <w:rFonts w:ascii="Arial" w:hAnsi="Arial" w:cs="Arial"/>
                <w:sz w:val="22"/>
                <w:szCs w:val="22"/>
              </w:rPr>
            </w:pPr>
            <w:r w:rsidRPr="0032667F">
              <w:rPr>
                <w:rFonts w:ascii="Arial" w:hAnsi="Arial" w:cs="Arial"/>
                <w:sz w:val="22"/>
                <w:szCs w:val="22"/>
              </w:rPr>
              <w:t>Cough</w:t>
            </w:r>
          </w:p>
        </w:tc>
        <w:tc>
          <w:tcPr>
            <w:tcW w:w="1990" w:type="dxa"/>
          </w:tcPr>
          <w:p w:rsidR="005A75C8" w:rsidRPr="0032667F" w:rsidDel="00D82FDC" w:rsidRDefault="005A75C8" w:rsidP="001673AA">
            <w:pPr>
              <w:spacing w:before="120"/>
              <w:rPr>
                <w:rFonts w:ascii="Arial" w:hAnsi="Arial" w:cs="Arial"/>
                <w:sz w:val="22"/>
                <w:szCs w:val="22"/>
              </w:rPr>
            </w:pPr>
            <w:r w:rsidRPr="0032667F">
              <w:rPr>
                <w:rFonts w:ascii="Arial" w:hAnsi="Arial" w:cs="Arial"/>
                <w:sz w:val="22"/>
                <w:szCs w:val="22"/>
              </w:rPr>
              <w:t>Common</w:t>
            </w:r>
          </w:p>
        </w:tc>
      </w:tr>
    </w:tbl>
    <w:p w:rsidR="00203C20" w:rsidRDefault="00203C20" w:rsidP="00773D97">
      <w:pPr>
        <w:pStyle w:val="Heading2"/>
        <w:rPr>
          <w:snapToGrid w:val="0"/>
          <w:lang w:eastAsia="en-US"/>
        </w:rPr>
      </w:pPr>
    </w:p>
    <w:p w:rsidR="005A75C8" w:rsidRPr="00097B4F" w:rsidRDefault="005A75C8" w:rsidP="00773D97">
      <w:pPr>
        <w:pStyle w:val="Heading2"/>
        <w:rPr>
          <w:snapToGrid w:val="0"/>
          <w:lang w:eastAsia="en-US"/>
        </w:rPr>
      </w:pPr>
      <w:r w:rsidRPr="00097B4F">
        <w:rPr>
          <w:snapToGrid w:val="0"/>
          <w:lang w:eastAsia="en-US"/>
        </w:rPr>
        <w:t>Post-marketing data</w:t>
      </w:r>
    </w:p>
    <w:p w:rsidR="00203C20" w:rsidRDefault="005A75C8" w:rsidP="00203C20">
      <w:pPr>
        <w:spacing w:after="120"/>
        <w:rPr>
          <w:rFonts w:ascii="Arial" w:hAnsi="Arial" w:cs="Arial"/>
          <w:sz w:val="22"/>
          <w:szCs w:val="22"/>
        </w:rPr>
      </w:pPr>
      <w:r w:rsidRPr="009221C3">
        <w:rPr>
          <w:rFonts w:ascii="Arial" w:hAnsi="Arial" w:cs="Arial"/>
          <w:sz w:val="22"/>
          <w:szCs w:val="22"/>
        </w:rPr>
        <w:t>There are no relevant data available.</w:t>
      </w:r>
    </w:p>
    <w:p w:rsidR="0032667F" w:rsidRPr="009221C3" w:rsidRDefault="0032667F" w:rsidP="0032667F">
      <w:pPr>
        <w:rPr>
          <w:rFonts w:ascii="Arial" w:hAnsi="Arial" w:cs="Arial"/>
          <w:sz w:val="22"/>
          <w:szCs w:val="22"/>
        </w:rPr>
      </w:pPr>
    </w:p>
    <w:p w:rsidR="0077380F" w:rsidRPr="009221C3" w:rsidRDefault="0077380F" w:rsidP="00773D97">
      <w:pPr>
        <w:pStyle w:val="Heading1"/>
      </w:pPr>
      <w:r w:rsidRPr="009221C3">
        <w:t>DOSAGE AND ADMINISTRATION</w:t>
      </w:r>
    </w:p>
    <w:p w:rsidR="00293F0B" w:rsidRPr="00835916" w:rsidRDefault="00293F0B" w:rsidP="00773D97">
      <w:pPr>
        <w:pStyle w:val="Heading2"/>
      </w:pPr>
      <w:r w:rsidRPr="00835916">
        <w:t xml:space="preserve">Adults </w:t>
      </w:r>
    </w:p>
    <w:p w:rsidR="009D2614" w:rsidRDefault="009D2614" w:rsidP="009D2614">
      <w:pPr>
        <w:keepNext/>
        <w:widowControl w:val="0"/>
        <w:spacing w:after="120"/>
        <w:rPr>
          <w:rFonts w:ascii="Arial" w:hAnsi="Arial" w:cs="Arial"/>
          <w:sz w:val="22"/>
          <w:szCs w:val="22"/>
        </w:rPr>
      </w:pPr>
      <w:r>
        <w:rPr>
          <w:rFonts w:ascii="Arial" w:hAnsi="Arial" w:cs="Arial"/>
          <w:sz w:val="22"/>
          <w:szCs w:val="22"/>
        </w:rPr>
        <w:t xml:space="preserve">Incruse Ellipta (umeclidinium 62.5 </w:t>
      </w:r>
      <w:r w:rsidR="008F5A0C">
        <w:rPr>
          <w:rFonts w:ascii="Arial" w:hAnsi="Arial" w:cs="Arial"/>
          <w:sz w:val="22"/>
          <w:szCs w:val="22"/>
        </w:rPr>
        <w:t>micrograms</w:t>
      </w:r>
      <w:r>
        <w:rPr>
          <w:rFonts w:ascii="Arial" w:hAnsi="Arial" w:cs="Arial"/>
          <w:sz w:val="22"/>
          <w:szCs w:val="22"/>
        </w:rPr>
        <w:t>) should be taken as one inhalation once daily by the orally inhaled route.</w:t>
      </w:r>
    </w:p>
    <w:p w:rsidR="009D2614" w:rsidRDefault="009D2614" w:rsidP="009D2614">
      <w:pPr>
        <w:keepNext/>
        <w:widowControl w:val="0"/>
        <w:spacing w:after="120"/>
        <w:rPr>
          <w:rFonts w:ascii="Arial" w:hAnsi="Arial" w:cs="Arial"/>
          <w:sz w:val="22"/>
          <w:szCs w:val="22"/>
        </w:rPr>
      </w:pPr>
      <w:r>
        <w:rPr>
          <w:rFonts w:ascii="Arial" w:hAnsi="Arial" w:cs="Arial"/>
          <w:sz w:val="22"/>
          <w:szCs w:val="22"/>
        </w:rPr>
        <w:t xml:space="preserve">Incruse Ellipta should </w:t>
      </w:r>
      <w:r w:rsidR="009C2789">
        <w:rPr>
          <w:rFonts w:ascii="Arial" w:hAnsi="Arial" w:cs="Arial"/>
          <w:sz w:val="22"/>
          <w:szCs w:val="22"/>
        </w:rPr>
        <w:t>be taken at the same time every</w:t>
      </w:r>
      <w:r>
        <w:rPr>
          <w:rFonts w:ascii="Arial" w:hAnsi="Arial" w:cs="Arial"/>
          <w:sz w:val="22"/>
          <w:szCs w:val="22"/>
        </w:rPr>
        <w:t>day.</w:t>
      </w:r>
    </w:p>
    <w:p w:rsidR="009D2614" w:rsidRDefault="009D2614" w:rsidP="009D2614">
      <w:pPr>
        <w:keepNext/>
        <w:widowControl w:val="0"/>
        <w:spacing w:after="120"/>
        <w:rPr>
          <w:rFonts w:ascii="Arial" w:hAnsi="Arial" w:cs="Arial"/>
          <w:sz w:val="22"/>
          <w:szCs w:val="22"/>
        </w:rPr>
      </w:pPr>
      <w:r>
        <w:rPr>
          <w:rFonts w:ascii="Arial" w:hAnsi="Arial" w:cs="Arial"/>
          <w:sz w:val="22"/>
          <w:szCs w:val="22"/>
        </w:rPr>
        <w:t>Do not use Incruse Ellipta more than once every 24 hours.</w:t>
      </w:r>
    </w:p>
    <w:p w:rsidR="00AC2A20" w:rsidRDefault="00AC2A20" w:rsidP="00AC2A20">
      <w:pPr>
        <w:widowControl w:val="0"/>
        <w:autoSpaceDE w:val="0"/>
        <w:autoSpaceDN w:val="0"/>
        <w:adjustRightInd w:val="0"/>
        <w:spacing w:after="120"/>
        <w:rPr>
          <w:rFonts w:ascii="Arial" w:hAnsi="Arial" w:cs="Arial"/>
          <w:sz w:val="22"/>
          <w:szCs w:val="22"/>
        </w:rPr>
      </w:pPr>
    </w:p>
    <w:p w:rsidR="00B912F6" w:rsidRPr="009221C3" w:rsidRDefault="00B912F6" w:rsidP="00AC2A20">
      <w:pPr>
        <w:widowControl w:val="0"/>
        <w:autoSpaceDE w:val="0"/>
        <w:autoSpaceDN w:val="0"/>
        <w:adjustRightInd w:val="0"/>
        <w:spacing w:after="120"/>
        <w:rPr>
          <w:rFonts w:ascii="Arial" w:hAnsi="Arial" w:cs="Arial"/>
          <w:sz w:val="22"/>
          <w:szCs w:val="22"/>
        </w:rPr>
      </w:pPr>
    </w:p>
    <w:p w:rsidR="00293F0B" w:rsidRPr="00097B4F" w:rsidRDefault="00293F0B" w:rsidP="00773D97">
      <w:pPr>
        <w:pStyle w:val="Heading2"/>
        <w:rPr>
          <w:snapToGrid w:val="0"/>
          <w:lang w:eastAsia="en-US"/>
        </w:rPr>
      </w:pPr>
      <w:r w:rsidRPr="00097B4F">
        <w:rPr>
          <w:snapToGrid w:val="0"/>
          <w:lang w:eastAsia="en-US"/>
        </w:rPr>
        <w:t xml:space="preserve">Special populations </w:t>
      </w:r>
    </w:p>
    <w:p w:rsidR="009D2614" w:rsidRPr="00176A61" w:rsidRDefault="009D2614" w:rsidP="009D2614">
      <w:pPr>
        <w:keepNext/>
        <w:widowControl w:val="0"/>
        <w:tabs>
          <w:tab w:val="left" w:pos="567"/>
        </w:tabs>
        <w:spacing w:after="120"/>
        <w:rPr>
          <w:rFonts w:ascii="Arial" w:hAnsi="Arial" w:cs="Arial"/>
          <w:b/>
          <w:i/>
          <w:sz w:val="22"/>
          <w:szCs w:val="22"/>
        </w:rPr>
      </w:pPr>
      <w:r>
        <w:rPr>
          <w:rFonts w:ascii="Arial" w:hAnsi="Arial" w:cs="Arial"/>
          <w:b/>
          <w:i/>
          <w:sz w:val="22"/>
          <w:szCs w:val="22"/>
        </w:rPr>
        <w:t>Paediatric populations</w:t>
      </w:r>
    </w:p>
    <w:p w:rsidR="009D2614" w:rsidRPr="008A055B" w:rsidRDefault="009D2614" w:rsidP="009D2614">
      <w:pPr>
        <w:keepNext/>
        <w:widowControl w:val="0"/>
        <w:tabs>
          <w:tab w:val="left" w:pos="567"/>
        </w:tabs>
        <w:spacing w:after="120"/>
        <w:rPr>
          <w:rFonts w:ascii="Arial" w:hAnsi="Arial" w:cs="Arial"/>
          <w:sz w:val="22"/>
          <w:szCs w:val="22"/>
        </w:rPr>
      </w:pPr>
      <w:r w:rsidRPr="008A055B">
        <w:rPr>
          <w:rFonts w:ascii="Arial" w:hAnsi="Arial" w:cs="Arial"/>
          <w:sz w:val="22"/>
          <w:szCs w:val="22"/>
        </w:rPr>
        <w:t>This product should not be used in children.</w:t>
      </w:r>
    </w:p>
    <w:p w:rsidR="009D2614" w:rsidRDefault="009D2614" w:rsidP="00351530">
      <w:pPr>
        <w:keepNext/>
        <w:widowControl w:val="0"/>
        <w:tabs>
          <w:tab w:val="left" w:pos="567"/>
        </w:tabs>
        <w:spacing w:after="120"/>
        <w:rPr>
          <w:rFonts w:ascii="Arial" w:hAnsi="Arial" w:cs="Arial"/>
          <w:b/>
          <w:i/>
          <w:sz w:val="22"/>
          <w:szCs w:val="22"/>
        </w:rPr>
      </w:pPr>
    </w:p>
    <w:p w:rsidR="00293F0B" w:rsidRPr="00203C20" w:rsidRDefault="00293F0B" w:rsidP="00351530">
      <w:pPr>
        <w:keepNext/>
        <w:widowControl w:val="0"/>
        <w:tabs>
          <w:tab w:val="left" w:pos="567"/>
        </w:tabs>
        <w:spacing w:after="120"/>
        <w:rPr>
          <w:rFonts w:ascii="Arial" w:hAnsi="Arial" w:cs="Arial"/>
          <w:b/>
          <w:i/>
          <w:sz w:val="22"/>
          <w:szCs w:val="22"/>
        </w:rPr>
      </w:pPr>
      <w:r w:rsidRPr="00203C20">
        <w:rPr>
          <w:rFonts w:ascii="Arial" w:hAnsi="Arial" w:cs="Arial"/>
          <w:b/>
          <w:i/>
          <w:sz w:val="22"/>
          <w:szCs w:val="22"/>
        </w:rPr>
        <w:t>Elderly population</w:t>
      </w:r>
    </w:p>
    <w:p w:rsidR="00293F0B" w:rsidRPr="00381DA3" w:rsidRDefault="00293F0B" w:rsidP="00293F0B">
      <w:pPr>
        <w:widowControl w:val="0"/>
        <w:spacing w:after="120"/>
        <w:rPr>
          <w:rFonts w:ascii="Arial" w:hAnsi="Arial" w:cs="Arial"/>
          <w:sz w:val="22"/>
          <w:szCs w:val="22"/>
        </w:rPr>
      </w:pPr>
      <w:r w:rsidRPr="00381DA3">
        <w:rPr>
          <w:rFonts w:ascii="Arial" w:hAnsi="Arial" w:cs="Arial"/>
          <w:sz w:val="22"/>
          <w:szCs w:val="22"/>
        </w:rPr>
        <w:t>No dosage adjustment is req</w:t>
      </w:r>
      <w:r w:rsidR="005A75C8" w:rsidRPr="00381DA3">
        <w:rPr>
          <w:rFonts w:ascii="Arial" w:hAnsi="Arial" w:cs="Arial"/>
          <w:sz w:val="22"/>
          <w:szCs w:val="22"/>
        </w:rPr>
        <w:t>uired in patients over 65 years (see Pharmacokinetics – Special Patient Populations).</w:t>
      </w:r>
    </w:p>
    <w:p w:rsidR="00293F0B" w:rsidRPr="00381DA3" w:rsidRDefault="00293F0B" w:rsidP="00293F0B">
      <w:pPr>
        <w:widowControl w:val="0"/>
        <w:spacing w:after="120"/>
        <w:rPr>
          <w:rFonts w:ascii="Arial" w:hAnsi="Arial" w:cs="Arial"/>
          <w:sz w:val="22"/>
          <w:szCs w:val="22"/>
        </w:rPr>
      </w:pPr>
    </w:p>
    <w:p w:rsidR="00293F0B" w:rsidRPr="00203C20" w:rsidRDefault="00293F0B" w:rsidP="000C63C2">
      <w:pPr>
        <w:keepNext/>
        <w:widowControl w:val="0"/>
        <w:tabs>
          <w:tab w:val="left" w:pos="567"/>
        </w:tabs>
        <w:spacing w:after="120"/>
        <w:rPr>
          <w:rFonts w:ascii="Arial" w:hAnsi="Arial" w:cs="Arial"/>
          <w:b/>
          <w:i/>
          <w:sz w:val="22"/>
          <w:szCs w:val="22"/>
        </w:rPr>
      </w:pPr>
      <w:r w:rsidRPr="00203C20">
        <w:rPr>
          <w:rFonts w:ascii="Arial" w:hAnsi="Arial" w:cs="Arial"/>
          <w:b/>
          <w:i/>
          <w:sz w:val="22"/>
          <w:szCs w:val="22"/>
        </w:rPr>
        <w:t>Renal impairment</w:t>
      </w:r>
    </w:p>
    <w:p w:rsidR="00293F0B" w:rsidRPr="00381DA3" w:rsidRDefault="00293F0B" w:rsidP="00293F0B">
      <w:pPr>
        <w:widowControl w:val="0"/>
        <w:spacing w:after="120"/>
        <w:rPr>
          <w:rFonts w:ascii="Arial" w:hAnsi="Arial" w:cs="Arial"/>
          <w:sz w:val="22"/>
          <w:szCs w:val="22"/>
        </w:rPr>
      </w:pPr>
      <w:r w:rsidRPr="00381DA3">
        <w:rPr>
          <w:rFonts w:ascii="Arial" w:hAnsi="Arial" w:cs="Arial"/>
          <w:sz w:val="22"/>
          <w:szCs w:val="22"/>
        </w:rPr>
        <w:t>No dosage adjustment is required in</w:t>
      </w:r>
      <w:r w:rsidR="005A75C8" w:rsidRPr="00381DA3">
        <w:rPr>
          <w:rFonts w:ascii="Arial" w:hAnsi="Arial" w:cs="Arial"/>
          <w:sz w:val="22"/>
          <w:szCs w:val="22"/>
        </w:rPr>
        <w:t xml:space="preserve"> patients with renal impairment (see Pharmacokinetics – Special Patient Populations).</w:t>
      </w:r>
    </w:p>
    <w:p w:rsidR="00293F0B" w:rsidRPr="00381DA3" w:rsidRDefault="00293F0B" w:rsidP="00293F0B">
      <w:pPr>
        <w:widowControl w:val="0"/>
        <w:spacing w:after="120"/>
        <w:rPr>
          <w:rFonts w:ascii="Arial" w:hAnsi="Arial" w:cs="Arial"/>
          <w:sz w:val="22"/>
          <w:szCs w:val="22"/>
        </w:rPr>
      </w:pPr>
    </w:p>
    <w:p w:rsidR="00293F0B" w:rsidRPr="00203C20" w:rsidRDefault="00293F0B" w:rsidP="000C63C2">
      <w:pPr>
        <w:keepNext/>
        <w:widowControl w:val="0"/>
        <w:tabs>
          <w:tab w:val="left" w:pos="567"/>
        </w:tabs>
        <w:spacing w:after="120"/>
        <w:rPr>
          <w:rFonts w:ascii="Arial" w:hAnsi="Arial" w:cs="Arial"/>
          <w:b/>
          <w:i/>
          <w:sz w:val="22"/>
          <w:szCs w:val="22"/>
        </w:rPr>
      </w:pPr>
      <w:r w:rsidRPr="00203C20">
        <w:rPr>
          <w:rFonts w:ascii="Arial" w:hAnsi="Arial" w:cs="Arial"/>
          <w:b/>
          <w:i/>
          <w:sz w:val="22"/>
          <w:szCs w:val="22"/>
        </w:rPr>
        <w:t>Hepatic impairment</w:t>
      </w:r>
    </w:p>
    <w:p w:rsidR="00293F0B" w:rsidRPr="009221C3" w:rsidRDefault="00293F0B" w:rsidP="00293F0B">
      <w:pPr>
        <w:widowControl w:val="0"/>
        <w:spacing w:after="120"/>
        <w:rPr>
          <w:rFonts w:ascii="Arial" w:hAnsi="Arial" w:cs="Arial"/>
          <w:sz w:val="22"/>
          <w:szCs w:val="22"/>
        </w:rPr>
      </w:pPr>
      <w:r w:rsidRPr="00381DA3">
        <w:rPr>
          <w:rFonts w:ascii="Arial" w:hAnsi="Arial" w:cs="Arial"/>
          <w:sz w:val="22"/>
          <w:szCs w:val="22"/>
        </w:rPr>
        <w:t xml:space="preserve">No dosage adjustment is required in patients with mild or moderate hepatic impairment. </w:t>
      </w:r>
      <w:r w:rsidR="00A07727">
        <w:rPr>
          <w:rFonts w:ascii="Arial" w:hAnsi="Arial" w:cs="Arial"/>
          <w:sz w:val="22"/>
          <w:szCs w:val="22"/>
        </w:rPr>
        <w:t>Incruse</w:t>
      </w:r>
      <w:r w:rsidRPr="00381DA3">
        <w:rPr>
          <w:rFonts w:ascii="Arial" w:hAnsi="Arial" w:cs="Arial"/>
          <w:sz w:val="22"/>
          <w:szCs w:val="22"/>
        </w:rPr>
        <w:t xml:space="preserve"> Ellipta</w:t>
      </w:r>
      <w:r w:rsidRPr="00381DA3" w:rsidDel="00706237">
        <w:rPr>
          <w:rFonts w:ascii="Arial" w:hAnsi="Arial" w:cs="Arial"/>
          <w:sz w:val="22"/>
          <w:szCs w:val="22"/>
        </w:rPr>
        <w:t xml:space="preserve"> </w:t>
      </w:r>
      <w:r w:rsidRPr="00381DA3">
        <w:rPr>
          <w:rFonts w:ascii="Arial" w:hAnsi="Arial" w:cs="Arial"/>
          <w:sz w:val="22"/>
          <w:szCs w:val="22"/>
        </w:rPr>
        <w:t>has not been studied in patients</w:t>
      </w:r>
      <w:r w:rsidR="005A75C8" w:rsidRPr="00381DA3">
        <w:rPr>
          <w:rFonts w:ascii="Arial" w:hAnsi="Arial" w:cs="Arial"/>
          <w:sz w:val="22"/>
          <w:szCs w:val="22"/>
        </w:rPr>
        <w:t xml:space="preserve"> with severe hepatic impairment (see Pharmacokinetics – Special Patient Populations).</w:t>
      </w:r>
    </w:p>
    <w:p w:rsidR="00293F0B" w:rsidRPr="009221C3" w:rsidRDefault="00293F0B" w:rsidP="00293F0B">
      <w:pPr>
        <w:widowControl w:val="0"/>
        <w:spacing w:after="120"/>
        <w:ind w:left="567"/>
        <w:rPr>
          <w:rFonts w:ascii="Arial" w:hAnsi="Arial" w:cs="Arial"/>
          <w:sz w:val="22"/>
          <w:szCs w:val="22"/>
        </w:rPr>
      </w:pPr>
    </w:p>
    <w:p w:rsidR="00293F0B" w:rsidRPr="00835916" w:rsidRDefault="00293F0B" w:rsidP="00773D97">
      <w:pPr>
        <w:pStyle w:val="Heading2"/>
      </w:pPr>
      <w:r w:rsidRPr="00835916">
        <w:t xml:space="preserve">Method of administration </w:t>
      </w:r>
    </w:p>
    <w:p w:rsidR="00293F0B" w:rsidRPr="009221C3" w:rsidRDefault="00A07727" w:rsidP="00293F0B">
      <w:pPr>
        <w:widowControl w:val="0"/>
        <w:autoSpaceDE w:val="0"/>
        <w:autoSpaceDN w:val="0"/>
        <w:adjustRightInd w:val="0"/>
        <w:spacing w:after="120"/>
        <w:rPr>
          <w:rFonts w:ascii="Arial" w:hAnsi="Arial" w:cs="Arial"/>
          <w:sz w:val="22"/>
          <w:szCs w:val="22"/>
        </w:rPr>
      </w:pPr>
      <w:r>
        <w:rPr>
          <w:rFonts w:ascii="Arial" w:hAnsi="Arial" w:cs="Arial"/>
          <w:sz w:val="22"/>
          <w:szCs w:val="22"/>
        </w:rPr>
        <w:t>Incruse</w:t>
      </w:r>
      <w:r w:rsidR="00293F0B" w:rsidRPr="009221C3">
        <w:rPr>
          <w:rFonts w:ascii="Arial" w:hAnsi="Arial" w:cs="Arial"/>
          <w:sz w:val="22"/>
          <w:szCs w:val="22"/>
        </w:rPr>
        <w:t xml:space="preserve"> Ellipta is for</w:t>
      </w:r>
      <w:r w:rsidR="00AC2A20" w:rsidRPr="009221C3">
        <w:rPr>
          <w:rFonts w:ascii="Arial" w:hAnsi="Arial" w:cs="Arial"/>
          <w:sz w:val="22"/>
          <w:szCs w:val="22"/>
        </w:rPr>
        <w:t xml:space="preserve"> oral</w:t>
      </w:r>
      <w:r w:rsidR="00293F0B" w:rsidRPr="009221C3">
        <w:rPr>
          <w:rFonts w:ascii="Arial" w:hAnsi="Arial" w:cs="Arial"/>
          <w:sz w:val="22"/>
          <w:szCs w:val="22"/>
        </w:rPr>
        <w:t xml:space="preserve"> inhalation use only.</w:t>
      </w:r>
    </w:p>
    <w:p w:rsidR="005A75C8" w:rsidRPr="009221C3" w:rsidRDefault="005A75C8" w:rsidP="00E8070F">
      <w:pPr>
        <w:spacing w:before="120" w:after="240"/>
        <w:jc w:val="both"/>
        <w:rPr>
          <w:rFonts w:ascii="Arial" w:hAnsi="Arial" w:cs="Arial"/>
          <w:b/>
          <w:sz w:val="22"/>
          <w:szCs w:val="22"/>
        </w:rPr>
      </w:pPr>
    </w:p>
    <w:p w:rsidR="000B3F7C" w:rsidRPr="009221C3" w:rsidRDefault="0077380F" w:rsidP="00773D97">
      <w:pPr>
        <w:pStyle w:val="Heading1"/>
      </w:pPr>
      <w:r w:rsidRPr="009221C3">
        <w:lastRenderedPageBreak/>
        <w:t>O</w:t>
      </w:r>
      <w:smartTag w:uri="schemas-GSKSiteLocations-com/fourthcoffee" w:element="flavor">
        <w:r w:rsidRPr="009221C3">
          <w:t>VER</w:t>
        </w:r>
      </w:smartTag>
      <w:r w:rsidRPr="009221C3">
        <w:t>DOSAGE</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No data from clinical studies are available regarding overdose with </w:t>
      </w:r>
      <w:r w:rsidR="00A07727">
        <w:rPr>
          <w:rFonts w:ascii="Arial" w:hAnsi="Arial" w:cs="Arial"/>
          <w:sz w:val="22"/>
          <w:szCs w:val="22"/>
        </w:rPr>
        <w:t>Incruse</w:t>
      </w:r>
      <w:r w:rsidR="006F03BB">
        <w:rPr>
          <w:rFonts w:ascii="Arial" w:hAnsi="Arial" w:cs="Arial"/>
          <w:sz w:val="22"/>
          <w:szCs w:val="22"/>
        </w:rPr>
        <w:t xml:space="preserve"> Ellipta</w:t>
      </w:r>
      <w:r w:rsidRPr="009221C3">
        <w:rPr>
          <w:rFonts w:ascii="Arial" w:hAnsi="Arial" w:cs="Arial"/>
          <w:sz w:val="22"/>
          <w:szCs w:val="22"/>
        </w:rPr>
        <w:t>.</w:t>
      </w:r>
    </w:p>
    <w:p w:rsidR="00203C20" w:rsidRPr="009221C3" w:rsidRDefault="00203C20" w:rsidP="00203C20">
      <w:pPr>
        <w:rPr>
          <w:rFonts w:ascii="Arial" w:hAnsi="Arial" w:cs="Arial"/>
          <w:sz w:val="22"/>
          <w:szCs w:val="22"/>
        </w:rPr>
      </w:pPr>
    </w:p>
    <w:p w:rsidR="005A75C8" w:rsidRPr="00097B4F" w:rsidRDefault="005A75C8" w:rsidP="00773D97">
      <w:pPr>
        <w:pStyle w:val="Heading2"/>
      </w:pPr>
      <w:r w:rsidRPr="00097B4F">
        <w:t>Symptoms and signs</w:t>
      </w:r>
    </w:p>
    <w:p w:rsidR="005A75C8" w:rsidRDefault="005A75C8" w:rsidP="00577DCC">
      <w:pPr>
        <w:spacing w:after="120"/>
        <w:rPr>
          <w:rFonts w:ascii="Arial" w:hAnsi="Arial" w:cs="Arial"/>
          <w:sz w:val="22"/>
          <w:szCs w:val="22"/>
        </w:rPr>
      </w:pPr>
      <w:r w:rsidRPr="009221C3">
        <w:rPr>
          <w:rFonts w:ascii="Arial" w:hAnsi="Arial" w:cs="Arial"/>
          <w:sz w:val="22"/>
          <w:szCs w:val="22"/>
        </w:rPr>
        <w:t xml:space="preserve">An overdose of </w:t>
      </w:r>
      <w:r w:rsidR="00A07727">
        <w:rPr>
          <w:rFonts w:ascii="Arial" w:hAnsi="Arial" w:cs="Arial"/>
          <w:sz w:val="22"/>
          <w:szCs w:val="22"/>
        </w:rPr>
        <w:t>Incruse</w:t>
      </w:r>
      <w:r w:rsidR="006F03BB">
        <w:rPr>
          <w:rFonts w:ascii="Arial" w:hAnsi="Arial" w:cs="Arial"/>
          <w:sz w:val="22"/>
          <w:szCs w:val="22"/>
        </w:rPr>
        <w:t xml:space="preserve"> Ellipta </w:t>
      </w:r>
      <w:r w:rsidRPr="009221C3">
        <w:rPr>
          <w:rFonts w:ascii="Arial" w:hAnsi="Arial" w:cs="Arial"/>
          <w:sz w:val="22"/>
          <w:szCs w:val="22"/>
        </w:rPr>
        <w:t xml:space="preserve">will likely produce signs and symptoms </w:t>
      </w:r>
      <w:r w:rsidR="006B5E08">
        <w:rPr>
          <w:rFonts w:ascii="Arial" w:hAnsi="Arial" w:cs="Arial"/>
          <w:sz w:val="22"/>
          <w:szCs w:val="22"/>
        </w:rPr>
        <w:t xml:space="preserve">consistent with the known inhaled </w:t>
      </w:r>
      <w:r w:rsidRPr="009221C3">
        <w:rPr>
          <w:rFonts w:ascii="Arial" w:hAnsi="Arial" w:cs="Arial"/>
          <w:sz w:val="22"/>
          <w:szCs w:val="22"/>
        </w:rPr>
        <w:t>muscarinic antagonist adverse effects (e.g. dry mouth, visual accommodation disturbances and tachycardia).</w:t>
      </w:r>
    </w:p>
    <w:p w:rsidR="00203C20" w:rsidRPr="009221C3" w:rsidRDefault="00203C20" w:rsidP="00203C20">
      <w:pPr>
        <w:rPr>
          <w:rFonts w:ascii="Arial" w:hAnsi="Arial" w:cs="Arial"/>
          <w:sz w:val="22"/>
          <w:szCs w:val="22"/>
        </w:rPr>
      </w:pPr>
    </w:p>
    <w:p w:rsidR="005A75C8" w:rsidRPr="00097B4F" w:rsidRDefault="005A75C8" w:rsidP="00773D97">
      <w:pPr>
        <w:pStyle w:val="Heading2"/>
      </w:pPr>
      <w:r w:rsidRPr="00097B4F">
        <w:t>Treatment</w:t>
      </w:r>
    </w:p>
    <w:p w:rsidR="005A75C8" w:rsidRPr="009221C3" w:rsidRDefault="005A75C8" w:rsidP="00577DCC">
      <w:pPr>
        <w:spacing w:after="120"/>
        <w:rPr>
          <w:rFonts w:ascii="Arial" w:hAnsi="Arial" w:cs="Arial"/>
          <w:sz w:val="22"/>
          <w:szCs w:val="22"/>
        </w:rPr>
      </w:pPr>
      <w:r w:rsidRPr="009221C3">
        <w:rPr>
          <w:rFonts w:ascii="Arial" w:hAnsi="Arial" w:cs="Arial"/>
          <w:sz w:val="22"/>
          <w:szCs w:val="22"/>
        </w:rPr>
        <w:t>If overdose occurs, the patient should be treated supportively with appropriate monitoring as necessary.</w:t>
      </w:r>
    </w:p>
    <w:p w:rsidR="004F640B" w:rsidRDefault="004F640B" w:rsidP="00577DCC">
      <w:pPr>
        <w:spacing w:after="120"/>
        <w:rPr>
          <w:rFonts w:ascii="Arial" w:hAnsi="Arial" w:cs="Arial"/>
          <w:sz w:val="22"/>
          <w:szCs w:val="22"/>
        </w:rPr>
      </w:pPr>
      <w:r w:rsidRPr="009221C3">
        <w:rPr>
          <w:rFonts w:ascii="Arial" w:hAnsi="Arial" w:cs="Arial"/>
          <w:sz w:val="22"/>
          <w:szCs w:val="22"/>
        </w:rPr>
        <w:t>For information on the management of overdose, contact the Poison Information Centre on 131126 (Australia).</w:t>
      </w:r>
    </w:p>
    <w:p w:rsidR="00FB6B61" w:rsidRPr="009221C3" w:rsidRDefault="00FB6B61" w:rsidP="00577DCC">
      <w:pPr>
        <w:spacing w:after="120"/>
        <w:rPr>
          <w:rFonts w:ascii="Arial" w:hAnsi="Arial" w:cs="Arial"/>
          <w:sz w:val="22"/>
          <w:szCs w:val="22"/>
        </w:rPr>
      </w:pPr>
    </w:p>
    <w:p w:rsidR="0077380F" w:rsidRPr="009221C3" w:rsidRDefault="0077380F" w:rsidP="00773D97">
      <w:pPr>
        <w:pStyle w:val="Heading1"/>
      </w:pPr>
      <w:r w:rsidRPr="009221C3">
        <w:t xml:space="preserve">PRESENTATION </w:t>
      </w:r>
      <w:smartTag w:uri="urn:schemas-microsoft-com:office:smarttags" w:element="place">
        <w:r w:rsidRPr="009221C3">
          <w:t>AND</w:t>
        </w:r>
      </w:smartTag>
      <w:r w:rsidRPr="009221C3">
        <w:t xml:space="preserve"> STORAGE CONDITIONS</w:t>
      </w:r>
    </w:p>
    <w:p w:rsidR="00D37771" w:rsidRPr="00097B4F" w:rsidRDefault="00D37771" w:rsidP="00773D97">
      <w:pPr>
        <w:pStyle w:val="Heading2"/>
        <w:rPr>
          <w:rFonts w:eastAsia="MS Mincho"/>
          <w:snapToGrid w:val="0"/>
          <w:lang w:eastAsia="en-US"/>
        </w:rPr>
      </w:pPr>
      <w:r w:rsidRPr="00097B4F">
        <w:rPr>
          <w:rFonts w:eastAsia="MS Mincho"/>
          <w:snapToGrid w:val="0"/>
          <w:lang w:eastAsia="en-US"/>
        </w:rPr>
        <w:t>Storage</w:t>
      </w:r>
    </w:p>
    <w:p w:rsidR="00AF4EDB" w:rsidRDefault="00D37771" w:rsidP="00AF4EDB">
      <w:pPr>
        <w:rPr>
          <w:rFonts w:ascii="Arial" w:hAnsi="Arial" w:cs="Arial"/>
          <w:sz w:val="22"/>
          <w:szCs w:val="22"/>
        </w:rPr>
      </w:pPr>
      <w:r w:rsidRPr="009221C3">
        <w:rPr>
          <w:rFonts w:ascii="Arial" w:hAnsi="Arial" w:cs="Arial"/>
          <w:sz w:val="22"/>
          <w:szCs w:val="22"/>
        </w:rPr>
        <w:t>Store below 30°C.</w:t>
      </w:r>
    </w:p>
    <w:p w:rsidR="00AF4EDB" w:rsidRDefault="00AF4EDB" w:rsidP="00AF4EDB">
      <w:pPr>
        <w:rPr>
          <w:rFonts w:ascii="Arial" w:hAnsi="Arial" w:cs="Arial"/>
          <w:sz w:val="22"/>
          <w:szCs w:val="22"/>
        </w:rPr>
      </w:pPr>
    </w:p>
    <w:p w:rsidR="00AF4EDB" w:rsidRDefault="00AF4EDB" w:rsidP="00AF4EDB">
      <w:pPr>
        <w:rPr>
          <w:rFonts w:ascii="Arial" w:hAnsi="Arial" w:cs="Arial"/>
          <w:sz w:val="22"/>
          <w:szCs w:val="22"/>
        </w:rPr>
      </w:pPr>
      <w:r>
        <w:rPr>
          <w:rFonts w:ascii="Arial" w:hAnsi="Arial" w:cs="Arial"/>
          <w:sz w:val="22"/>
          <w:szCs w:val="22"/>
        </w:rPr>
        <w:t>If stored in the refrigerator, allow the inhaler to return to room temperature for at least 1 hour before use.</w:t>
      </w:r>
    </w:p>
    <w:p w:rsidR="00AF4EDB" w:rsidRPr="009221C3" w:rsidRDefault="00AF4EDB" w:rsidP="00AF4EDB">
      <w:pPr>
        <w:rPr>
          <w:rFonts w:ascii="Arial" w:hAnsi="Arial" w:cs="Arial"/>
          <w:sz w:val="22"/>
          <w:szCs w:val="22"/>
        </w:rPr>
      </w:pPr>
    </w:p>
    <w:p w:rsidR="00D37771" w:rsidRDefault="00D37771" w:rsidP="00AF4EDB">
      <w:pPr>
        <w:rPr>
          <w:rFonts w:ascii="Arial" w:hAnsi="Arial" w:cs="Arial"/>
          <w:sz w:val="22"/>
          <w:szCs w:val="22"/>
        </w:rPr>
      </w:pPr>
      <w:r w:rsidRPr="009221C3">
        <w:rPr>
          <w:rFonts w:ascii="Arial" w:hAnsi="Arial" w:cs="Arial"/>
          <w:sz w:val="22"/>
          <w:szCs w:val="22"/>
        </w:rPr>
        <w:t>Following removal from the tray, the product may be stored for a maximum period of 6 weeks.</w:t>
      </w:r>
    </w:p>
    <w:p w:rsidR="00AF4EDB" w:rsidRPr="009221C3" w:rsidRDefault="00AF4EDB" w:rsidP="00AF4EDB">
      <w:pPr>
        <w:rPr>
          <w:rFonts w:ascii="Arial" w:hAnsi="Arial" w:cs="Arial"/>
          <w:sz w:val="22"/>
          <w:szCs w:val="22"/>
        </w:rPr>
      </w:pPr>
    </w:p>
    <w:p w:rsidR="00D37771" w:rsidRPr="00097B4F" w:rsidRDefault="00D37771" w:rsidP="00773D97">
      <w:pPr>
        <w:pStyle w:val="Heading2"/>
        <w:rPr>
          <w:rFonts w:eastAsia="MS Mincho"/>
          <w:snapToGrid w:val="0"/>
          <w:lang w:eastAsia="en-US"/>
        </w:rPr>
      </w:pPr>
      <w:r w:rsidRPr="00097B4F">
        <w:rPr>
          <w:rFonts w:eastAsia="MS Mincho"/>
          <w:snapToGrid w:val="0"/>
          <w:lang w:eastAsia="en-US"/>
        </w:rPr>
        <w:t>Nature and Contents of Container</w:t>
      </w:r>
    </w:p>
    <w:p w:rsidR="00D37771" w:rsidRDefault="000724AE" w:rsidP="003242AE">
      <w:pPr>
        <w:rPr>
          <w:rFonts w:ascii="Arial" w:hAnsi="Arial" w:cs="Arial"/>
          <w:color w:val="000000"/>
          <w:sz w:val="22"/>
          <w:szCs w:val="22"/>
        </w:rPr>
      </w:pPr>
      <w:r w:rsidRPr="000724AE">
        <w:rPr>
          <w:rFonts w:ascii="Arial" w:hAnsi="Arial" w:cs="Arial"/>
          <w:color w:val="000000"/>
          <w:sz w:val="22"/>
          <w:szCs w:val="22"/>
        </w:rPr>
        <w:t xml:space="preserve">Moulded plastic device containing </w:t>
      </w:r>
      <w:r w:rsidR="004D21D2">
        <w:rPr>
          <w:rFonts w:ascii="Arial" w:hAnsi="Arial" w:cs="Arial"/>
          <w:color w:val="000000"/>
          <w:sz w:val="22"/>
          <w:szCs w:val="22"/>
        </w:rPr>
        <w:t>one</w:t>
      </w:r>
      <w:r w:rsidR="00D37771" w:rsidRPr="000724AE">
        <w:rPr>
          <w:rFonts w:ascii="Arial" w:hAnsi="Arial" w:cs="Arial"/>
          <w:color w:val="000000"/>
          <w:sz w:val="22"/>
          <w:szCs w:val="22"/>
        </w:rPr>
        <w:t xml:space="preserve"> </w:t>
      </w:r>
      <w:r w:rsidRPr="000724AE">
        <w:rPr>
          <w:rFonts w:ascii="Arial" w:hAnsi="Arial" w:cs="Arial"/>
          <w:color w:val="000000"/>
          <w:sz w:val="22"/>
          <w:szCs w:val="22"/>
        </w:rPr>
        <w:t xml:space="preserve">foil </w:t>
      </w:r>
      <w:r w:rsidR="00D37771" w:rsidRPr="000724AE">
        <w:rPr>
          <w:rFonts w:ascii="Arial" w:hAnsi="Arial" w:cs="Arial"/>
          <w:color w:val="000000"/>
          <w:sz w:val="22"/>
          <w:szCs w:val="22"/>
        </w:rPr>
        <w:t>strip of either 7 or 30 regularly distributed blisters, each containing a white powd</w:t>
      </w:r>
      <w:r w:rsidR="00446CAB" w:rsidRPr="000724AE">
        <w:rPr>
          <w:rFonts w:ascii="Arial" w:hAnsi="Arial" w:cs="Arial"/>
          <w:color w:val="000000"/>
          <w:sz w:val="22"/>
          <w:szCs w:val="22"/>
        </w:rPr>
        <w:t>er.</w:t>
      </w:r>
      <w:r w:rsidR="00D84696">
        <w:rPr>
          <w:rFonts w:ascii="Arial" w:hAnsi="Arial" w:cs="Arial"/>
          <w:color w:val="000000"/>
          <w:sz w:val="22"/>
          <w:szCs w:val="22"/>
        </w:rPr>
        <w:t xml:space="preserve"> </w:t>
      </w:r>
      <w:r w:rsidR="00D84696" w:rsidRPr="00D84696">
        <w:rPr>
          <w:rFonts w:ascii="Arial" w:hAnsi="Arial" w:cs="Arial"/>
          <w:color w:val="000000"/>
          <w:sz w:val="22"/>
          <w:szCs w:val="22"/>
        </w:rPr>
        <w:t>Each delivered dose (the dose leaving the mouthpi</w:t>
      </w:r>
      <w:r w:rsidR="00AF4EDB">
        <w:rPr>
          <w:rFonts w:ascii="Arial" w:hAnsi="Arial" w:cs="Arial"/>
          <w:color w:val="000000"/>
          <w:sz w:val="22"/>
          <w:szCs w:val="22"/>
        </w:rPr>
        <w:t>ece of the inhaler) contains</w:t>
      </w:r>
      <w:r w:rsidR="00E677B4">
        <w:rPr>
          <w:rFonts w:ascii="Arial" w:hAnsi="Arial" w:cs="Arial"/>
          <w:color w:val="000000"/>
          <w:sz w:val="22"/>
          <w:szCs w:val="22"/>
        </w:rPr>
        <w:t xml:space="preserve"> 55 micrograms umeclidinium (equivalent to 65 micrograms of umeclidinium bormide).  This corresponds to a pre-dispensed dose of </w:t>
      </w:r>
      <w:r w:rsidR="00FC0A63">
        <w:rPr>
          <w:rFonts w:ascii="Arial" w:hAnsi="Arial" w:cs="Arial"/>
          <w:color w:val="000000"/>
          <w:sz w:val="22"/>
          <w:szCs w:val="22"/>
        </w:rPr>
        <w:t xml:space="preserve">62.5 </w:t>
      </w:r>
      <w:r w:rsidR="00D84696" w:rsidRPr="00D84696">
        <w:rPr>
          <w:rFonts w:ascii="Arial" w:hAnsi="Arial" w:cs="Arial"/>
          <w:color w:val="000000"/>
          <w:sz w:val="22"/>
          <w:szCs w:val="22"/>
        </w:rPr>
        <w:t>micrograms of umeclidinium</w:t>
      </w:r>
      <w:r w:rsidR="00B833BE">
        <w:rPr>
          <w:rFonts w:ascii="Arial" w:hAnsi="Arial" w:cs="Arial"/>
          <w:color w:val="000000"/>
          <w:sz w:val="22"/>
          <w:szCs w:val="22"/>
        </w:rPr>
        <w:t xml:space="preserve"> (equivalent to 74.2 micr</w:t>
      </w:r>
      <w:r w:rsidR="00E677B4">
        <w:rPr>
          <w:rFonts w:ascii="Arial" w:hAnsi="Arial" w:cs="Arial"/>
          <w:color w:val="000000"/>
          <w:sz w:val="22"/>
          <w:szCs w:val="22"/>
        </w:rPr>
        <w:t>ograms umeclidinium bromide)</w:t>
      </w:r>
      <w:r w:rsidR="00D84696" w:rsidRPr="00D84696">
        <w:rPr>
          <w:rFonts w:ascii="Arial" w:hAnsi="Arial" w:cs="Arial"/>
          <w:color w:val="000000"/>
          <w:sz w:val="22"/>
          <w:szCs w:val="22"/>
        </w:rPr>
        <w:t>.</w:t>
      </w:r>
    </w:p>
    <w:p w:rsidR="003242AE" w:rsidRPr="000724AE" w:rsidRDefault="003242AE" w:rsidP="003242AE">
      <w:pPr>
        <w:rPr>
          <w:rFonts w:ascii="Arial" w:hAnsi="Arial" w:cs="Arial"/>
          <w:color w:val="000000"/>
          <w:sz w:val="22"/>
          <w:szCs w:val="22"/>
        </w:rPr>
      </w:pPr>
    </w:p>
    <w:p w:rsidR="00540A58" w:rsidRDefault="00E8070F" w:rsidP="00D37771">
      <w:pPr>
        <w:jc w:val="both"/>
        <w:rPr>
          <w:rFonts w:ascii="Arial" w:hAnsi="Arial" w:cs="Arial"/>
          <w:color w:val="000000"/>
          <w:sz w:val="22"/>
          <w:szCs w:val="22"/>
        </w:rPr>
      </w:pPr>
      <w:r w:rsidRPr="000724AE">
        <w:rPr>
          <w:rFonts w:ascii="Arial" w:hAnsi="Arial" w:cs="Arial"/>
          <w:color w:val="000000"/>
          <w:sz w:val="22"/>
          <w:szCs w:val="22"/>
        </w:rPr>
        <w:t xml:space="preserve">Not all </w:t>
      </w:r>
      <w:r w:rsidR="0095734D" w:rsidRPr="000724AE">
        <w:rPr>
          <w:rFonts w:ascii="Arial" w:hAnsi="Arial" w:cs="Arial"/>
          <w:color w:val="000000"/>
          <w:sz w:val="22"/>
          <w:szCs w:val="22"/>
        </w:rPr>
        <w:t>pack sizes</w:t>
      </w:r>
      <w:r w:rsidRPr="000724AE">
        <w:rPr>
          <w:rFonts w:ascii="Arial" w:hAnsi="Arial" w:cs="Arial"/>
          <w:color w:val="000000"/>
          <w:sz w:val="22"/>
          <w:szCs w:val="22"/>
        </w:rPr>
        <w:t xml:space="preserve"> may</w:t>
      </w:r>
      <w:r w:rsidR="0095734D" w:rsidRPr="000724AE">
        <w:rPr>
          <w:rFonts w:ascii="Arial" w:hAnsi="Arial" w:cs="Arial"/>
          <w:color w:val="000000"/>
          <w:sz w:val="22"/>
          <w:szCs w:val="22"/>
        </w:rPr>
        <w:t xml:space="preserve"> </w:t>
      </w:r>
      <w:r w:rsidRPr="000724AE">
        <w:rPr>
          <w:rFonts w:ascii="Arial" w:hAnsi="Arial" w:cs="Arial"/>
          <w:color w:val="000000"/>
          <w:sz w:val="22"/>
          <w:szCs w:val="22"/>
        </w:rPr>
        <w:t xml:space="preserve">be </w:t>
      </w:r>
      <w:r w:rsidR="0095734D" w:rsidRPr="000724AE">
        <w:rPr>
          <w:rFonts w:ascii="Arial" w:hAnsi="Arial" w:cs="Arial"/>
          <w:color w:val="000000"/>
          <w:sz w:val="22"/>
          <w:szCs w:val="22"/>
        </w:rPr>
        <w:t>distributed</w:t>
      </w:r>
      <w:r w:rsidRPr="000724AE">
        <w:rPr>
          <w:rFonts w:ascii="Arial" w:hAnsi="Arial" w:cs="Arial"/>
          <w:color w:val="000000"/>
          <w:sz w:val="22"/>
          <w:szCs w:val="22"/>
        </w:rPr>
        <w:t xml:space="preserve"> in Australia.</w:t>
      </w:r>
      <w:r w:rsidR="0095734D" w:rsidRPr="000724AE">
        <w:rPr>
          <w:rFonts w:ascii="Arial" w:hAnsi="Arial" w:cs="Arial"/>
          <w:color w:val="000000"/>
          <w:sz w:val="22"/>
          <w:szCs w:val="22"/>
        </w:rPr>
        <w:t xml:space="preserve"> </w:t>
      </w:r>
    </w:p>
    <w:p w:rsidR="00D13E8C" w:rsidRPr="000724AE" w:rsidRDefault="00D13E8C" w:rsidP="00D37771">
      <w:pPr>
        <w:jc w:val="both"/>
        <w:rPr>
          <w:rFonts w:ascii="Arial" w:hAnsi="Arial" w:cs="Arial"/>
          <w:color w:val="000000"/>
          <w:sz w:val="22"/>
          <w:szCs w:val="22"/>
        </w:rPr>
      </w:pPr>
    </w:p>
    <w:p w:rsidR="0077380F" w:rsidRPr="002617F1" w:rsidRDefault="0077380F" w:rsidP="00773D97">
      <w:pPr>
        <w:pStyle w:val="Heading1"/>
      </w:pPr>
      <w:r w:rsidRPr="002617F1">
        <w:t>NAME AND ADDRESS OF THE SPONSOR</w:t>
      </w:r>
    </w:p>
    <w:p w:rsidR="003A21A0" w:rsidRPr="002617F1" w:rsidRDefault="003A21A0" w:rsidP="003A21A0">
      <w:pPr>
        <w:jc w:val="both"/>
        <w:rPr>
          <w:rFonts w:ascii="Arial" w:hAnsi="Arial"/>
          <w:color w:val="000000"/>
          <w:sz w:val="22"/>
        </w:rPr>
      </w:pPr>
      <w:r w:rsidRPr="002617F1">
        <w:rPr>
          <w:rFonts w:ascii="Arial" w:hAnsi="Arial"/>
          <w:color w:val="000000"/>
          <w:sz w:val="22"/>
        </w:rPr>
        <w:t>GlaxoSmithKline Australia Pty Ltd,</w:t>
      </w:r>
    </w:p>
    <w:p w:rsidR="003A21A0" w:rsidRPr="002617F1" w:rsidRDefault="003A21A0" w:rsidP="003A21A0">
      <w:pPr>
        <w:rPr>
          <w:rStyle w:val="HTMLTypewriter"/>
          <w:rFonts w:ascii="Arial" w:hAnsi="Arial" w:cs="Arial"/>
          <w:color w:val="000000"/>
          <w:sz w:val="22"/>
          <w:szCs w:val="22"/>
        </w:rPr>
      </w:pPr>
      <w:r w:rsidRPr="002617F1">
        <w:rPr>
          <w:rStyle w:val="HTMLTypewriter"/>
          <w:rFonts w:ascii="Arial" w:hAnsi="Arial" w:cs="Arial"/>
          <w:color w:val="000000"/>
          <w:sz w:val="22"/>
          <w:szCs w:val="22"/>
        </w:rPr>
        <w:t xml:space="preserve">Level 4, 436 Johnston Street, </w:t>
      </w:r>
    </w:p>
    <w:p w:rsidR="003A21A0" w:rsidRPr="002617F1" w:rsidRDefault="003A21A0" w:rsidP="003A21A0">
      <w:pPr>
        <w:jc w:val="both"/>
        <w:rPr>
          <w:rFonts w:ascii="Arial" w:hAnsi="Arial" w:cs="Arial"/>
          <w:color w:val="000000"/>
          <w:sz w:val="22"/>
          <w:szCs w:val="22"/>
        </w:rPr>
      </w:pPr>
      <w:r w:rsidRPr="002617F1">
        <w:rPr>
          <w:rStyle w:val="HTMLTypewriter"/>
          <w:rFonts w:ascii="Arial" w:hAnsi="Arial" w:cs="Arial"/>
          <w:color w:val="000000"/>
          <w:sz w:val="22"/>
          <w:szCs w:val="22"/>
        </w:rPr>
        <w:t>Abbotsford, Victoria, 3067</w:t>
      </w:r>
    </w:p>
    <w:p w:rsidR="00E8070F" w:rsidRPr="002617F1" w:rsidRDefault="00E8070F" w:rsidP="003A21A0">
      <w:pPr>
        <w:spacing w:after="240"/>
        <w:jc w:val="both"/>
        <w:rPr>
          <w:rFonts w:ascii="Arial" w:hAnsi="Arial" w:cs="Arial"/>
          <w:color w:val="000000"/>
          <w:sz w:val="22"/>
          <w:szCs w:val="22"/>
        </w:rPr>
      </w:pPr>
    </w:p>
    <w:p w:rsidR="00053893" w:rsidRPr="00773D97" w:rsidRDefault="00D06FFC" w:rsidP="00773D97">
      <w:pPr>
        <w:pStyle w:val="Heading1"/>
      </w:pPr>
      <w:r w:rsidRPr="00773D97">
        <w:t>POISON SCHEDULE OF THE MEDICINE</w:t>
      </w:r>
    </w:p>
    <w:p w:rsidR="00571510" w:rsidRPr="002617F1" w:rsidRDefault="00053893" w:rsidP="00053893">
      <w:pPr>
        <w:spacing w:after="240"/>
        <w:jc w:val="both"/>
        <w:rPr>
          <w:rFonts w:ascii="Arial" w:hAnsi="Arial" w:cs="Arial"/>
          <w:color w:val="000000"/>
          <w:sz w:val="22"/>
          <w:szCs w:val="22"/>
        </w:rPr>
      </w:pPr>
      <w:r w:rsidRPr="002617F1">
        <w:rPr>
          <w:rFonts w:ascii="Arial" w:hAnsi="Arial" w:cs="Arial"/>
          <w:color w:val="000000"/>
          <w:sz w:val="22"/>
          <w:szCs w:val="22"/>
        </w:rPr>
        <w:t>Schedule 4 – Prescription Only Medicine</w:t>
      </w:r>
      <w:r w:rsidR="00571510" w:rsidRPr="002617F1">
        <w:rPr>
          <w:rFonts w:ascii="Arial" w:hAnsi="Arial" w:cs="Arial"/>
          <w:color w:val="000000"/>
          <w:sz w:val="22"/>
          <w:szCs w:val="22"/>
        </w:rPr>
        <w:t xml:space="preserve"> </w:t>
      </w:r>
    </w:p>
    <w:p w:rsidR="00A06D92" w:rsidRPr="002617F1" w:rsidRDefault="00A06D92" w:rsidP="00AC3812">
      <w:pPr>
        <w:jc w:val="both"/>
        <w:rPr>
          <w:rFonts w:ascii="Arial" w:hAnsi="Arial" w:cs="Arial"/>
          <w:b/>
          <w:color w:val="000000"/>
          <w:sz w:val="22"/>
          <w:szCs w:val="22"/>
        </w:rPr>
      </w:pPr>
    </w:p>
    <w:p w:rsidR="00EA1D4F" w:rsidRDefault="00EA1D4F">
      <w:pPr>
        <w:rPr>
          <w:rFonts w:ascii="Arial" w:hAnsi="Arial" w:cs="Arial"/>
          <w:b/>
          <w:sz w:val="22"/>
          <w:szCs w:val="22"/>
          <w:u w:val="single"/>
        </w:rPr>
      </w:pPr>
      <w:r>
        <w:rPr>
          <w:rFonts w:ascii="Arial" w:hAnsi="Arial" w:cs="Arial"/>
          <w:b/>
          <w:sz w:val="22"/>
          <w:szCs w:val="22"/>
          <w:u w:val="single"/>
        </w:rPr>
        <w:br w:type="page"/>
      </w:r>
    </w:p>
    <w:p w:rsidR="00DE1132" w:rsidRDefault="00DE1132" w:rsidP="00DE1132">
      <w:pPr>
        <w:rPr>
          <w:rFonts w:ascii="Arial" w:hAnsi="Arial" w:cs="Arial"/>
          <w:b/>
          <w:sz w:val="22"/>
          <w:szCs w:val="22"/>
        </w:rPr>
      </w:pPr>
      <w:r w:rsidRPr="00771D0D">
        <w:rPr>
          <w:rFonts w:ascii="Arial" w:hAnsi="Arial" w:cs="Arial"/>
          <w:b/>
          <w:sz w:val="22"/>
          <w:szCs w:val="22"/>
        </w:rPr>
        <w:lastRenderedPageBreak/>
        <w:t xml:space="preserve">How to Use </w:t>
      </w:r>
      <w:r>
        <w:rPr>
          <w:rFonts w:ascii="Arial" w:hAnsi="Arial" w:cs="Arial"/>
          <w:b/>
          <w:sz w:val="22"/>
          <w:szCs w:val="22"/>
        </w:rPr>
        <w:t>INCRUSE</w:t>
      </w:r>
      <w:r w:rsidRPr="00771D0D">
        <w:rPr>
          <w:rFonts w:ascii="Arial" w:hAnsi="Arial" w:cs="Arial"/>
          <w:b/>
          <w:sz w:val="22"/>
          <w:szCs w:val="22"/>
          <w:vertAlign w:val="superscript"/>
        </w:rPr>
        <w:t>®</w:t>
      </w:r>
      <w:r w:rsidRPr="00771D0D">
        <w:rPr>
          <w:rFonts w:ascii="Arial" w:hAnsi="Arial" w:cs="Arial"/>
          <w:b/>
          <w:sz w:val="22"/>
          <w:szCs w:val="22"/>
        </w:rPr>
        <w:t xml:space="preserve"> ELLIPTA</w:t>
      </w:r>
      <w:r w:rsidRPr="00771D0D">
        <w:rPr>
          <w:rFonts w:ascii="Arial" w:hAnsi="Arial" w:cs="Arial"/>
          <w:b/>
          <w:sz w:val="22"/>
          <w:szCs w:val="22"/>
          <w:vertAlign w:val="superscript"/>
        </w:rPr>
        <w:t>®</w:t>
      </w:r>
    </w:p>
    <w:p w:rsidR="00DE1132" w:rsidRDefault="00DE1132" w:rsidP="00DE1132">
      <w:pPr>
        <w:autoSpaceDE w:val="0"/>
        <w:autoSpaceDN w:val="0"/>
        <w:adjustRightInd w:val="0"/>
        <w:rPr>
          <w:rFonts w:ascii="Arial" w:hAnsi="Arial" w:cs="Arial"/>
          <w:b/>
          <w:sz w:val="22"/>
          <w:szCs w:val="22"/>
        </w:rPr>
      </w:pPr>
    </w:p>
    <w:p w:rsidR="00DE1132" w:rsidRPr="00771D0D" w:rsidRDefault="00DE1132" w:rsidP="00DE1132">
      <w:pPr>
        <w:autoSpaceDE w:val="0"/>
        <w:autoSpaceDN w:val="0"/>
        <w:adjustRightInd w:val="0"/>
        <w:spacing w:after="120"/>
        <w:rPr>
          <w:rFonts w:ascii="Arial" w:hAnsi="Arial" w:cs="Arial"/>
          <w:b/>
          <w:sz w:val="22"/>
          <w:szCs w:val="22"/>
        </w:rPr>
      </w:pPr>
      <w:r w:rsidRPr="00771D0D">
        <w:rPr>
          <w:rFonts w:ascii="Arial" w:hAnsi="Arial" w:cs="Arial"/>
          <w:b/>
          <w:sz w:val="22"/>
          <w:szCs w:val="22"/>
        </w:rPr>
        <w:t>What is the Ellipta inhaler?</w:t>
      </w:r>
    </w:p>
    <w:p w:rsidR="00DE1132" w:rsidRDefault="00DE1132" w:rsidP="00DE1132">
      <w:pPr>
        <w:spacing w:before="80" w:after="120"/>
        <w:rPr>
          <w:rFonts w:ascii="Arial" w:hAnsi="Arial" w:cs="Arial"/>
          <w:bCs/>
          <w:iCs/>
          <w:sz w:val="22"/>
          <w:szCs w:val="22"/>
        </w:rPr>
      </w:pPr>
      <w:r>
        <w:rPr>
          <w:rFonts w:ascii="Arial" w:hAnsi="Arial" w:cs="Arial"/>
          <w:bCs/>
          <w:iCs/>
          <w:sz w:val="22"/>
          <w:szCs w:val="22"/>
        </w:rPr>
        <w:t>INCRUSE</w:t>
      </w:r>
      <w:r w:rsidRPr="00771D0D">
        <w:rPr>
          <w:rFonts w:ascii="Arial" w:hAnsi="Arial" w:cs="Arial"/>
          <w:bCs/>
          <w:iCs/>
          <w:sz w:val="22"/>
          <w:szCs w:val="22"/>
        </w:rPr>
        <w:t xml:space="preserve"> ELLIPTA is inhaled through the mouth using the Ellipta inhaler.</w:t>
      </w:r>
    </w:p>
    <w:p w:rsidR="00BC4004" w:rsidRPr="007424F4" w:rsidRDefault="00BC4004" w:rsidP="00BC4004">
      <w:pPr>
        <w:spacing w:before="80" w:after="120"/>
        <w:rPr>
          <w:rFonts w:ascii="Arial" w:hAnsi="Arial" w:cs="Arial"/>
          <w:bCs/>
          <w:iCs/>
          <w:sz w:val="22"/>
          <w:szCs w:val="22"/>
        </w:rPr>
      </w:pPr>
      <w:r w:rsidRPr="007424F4">
        <w:rPr>
          <w:rFonts w:ascii="Arial" w:hAnsi="Arial" w:cs="Arial"/>
          <w:bCs/>
          <w:iCs/>
          <w:sz w:val="22"/>
          <w:szCs w:val="22"/>
        </w:rPr>
        <w:t>When you first use the Ellipta inhaler you do not need to check that it is working properly, and you do not need to prepare it for use in any special way. Just follow these step-by-step instructions.</w:t>
      </w:r>
    </w:p>
    <w:p w:rsidR="00BC4004" w:rsidRPr="007424F4" w:rsidRDefault="00BC4004" w:rsidP="00BC4004">
      <w:pPr>
        <w:spacing w:before="80" w:after="120"/>
        <w:rPr>
          <w:rFonts w:ascii="Arial" w:hAnsi="Arial" w:cs="Arial"/>
          <w:bCs/>
          <w:iCs/>
          <w:sz w:val="22"/>
          <w:szCs w:val="22"/>
        </w:rPr>
      </w:pPr>
      <w:r w:rsidRPr="007424F4">
        <w:rPr>
          <w:rFonts w:ascii="Arial" w:hAnsi="Arial" w:cs="Arial"/>
          <w:bCs/>
          <w:iCs/>
          <w:sz w:val="22"/>
          <w:szCs w:val="22"/>
        </w:rPr>
        <w:t xml:space="preserve">The inhaler is packaged in a tray containing a </w:t>
      </w:r>
      <w:r w:rsidRPr="00771D0D">
        <w:rPr>
          <w:rFonts w:ascii="Arial" w:hAnsi="Arial" w:cs="Arial"/>
          <w:b/>
          <w:bCs/>
          <w:iCs/>
          <w:sz w:val="22"/>
          <w:szCs w:val="22"/>
        </w:rPr>
        <w:t>desiccant</w:t>
      </w:r>
      <w:r w:rsidRPr="007424F4">
        <w:rPr>
          <w:rFonts w:ascii="Arial" w:hAnsi="Arial" w:cs="Arial"/>
          <w:bCs/>
          <w:iCs/>
          <w:sz w:val="22"/>
          <w:szCs w:val="22"/>
        </w:rPr>
        <w:t xml:space="preserve"> sachet, to reduce moisture. Throw th</w:t>
      </w:r>
      <w:r>
        <w:rPr>
          <w:rFonts w:ascii="Arial" w:hAnsi="Arial" w:cs="Arial"/>
          <w:bCs/>
          <w:iCs/>
          <w:sz w:val="22"/>
          <w:szCs w:val="22"/>
        </w:rPr>
        <w:t>e</w:t>
      </w:r>
      <w:r w:rsidRPr="007424F4">
        <w:rPr>
          <w:rFonts w:ascii="Arial" w:hAnsi="Arial" w:cs="Arial"/>
          <w:bCs/>
          <w:iCs/>
          <w:sz w:val="22"/>
          <w:szCs w:val="22"/>
        </w:rPr>
        <w:t xml:space="preserve"> sachet away -</w:t>
      </w:r>
      <w:r>
        <w:rPr>
          <w:rFonts w:ascii="Arial" w:hAnsi="Arial" w:cs="Arial"/>
          <w:bCs/>
          <w:iCs/>
          <w:sz w:val="22"/>
          <w:szCs w:val="22"/>
        </w:rPr>
        <w:t xml:space="preserve"> </w:t>
      </w:r>
      <w:r w:rsidRPr="00771D0D">
        <w:rPr>
          <w:rFonts w:ascii="Arial" w:hAnsi="Arial" w:cs="Arial"/>
          <w:b/>
          <w:bCs/>
          <w:iCs/>
          <w:sz w:val="22"/>
          <w:szCs w:val="22"/>
        </w:rPr>
        <w:t xml:space="preserve">don’t </w:t>
      </w:r>
      <w:r w:rsidRPr="007424F4">
        <w:rPr>
          <w:rFonts w:ascii="Arial" w:hAnsi="Arial" w:cs="Arial"/>
          <w:bCs/>
          <w:iCs/>
          <w:sz w:val="22"/>
          <w:szCs w:val="22"/>
        </w:rPr>
        <w:t>eat or inhale it.</w:t>
      </w:r>
    </w:p>
    <w:p w:rsidR="00BC4004" w:rsidRDefault="00BC4004" w:rsidP="00BC4004">
      <w:pPr>
        <w:spacing w:before="80" w:after="120"/>
        <w:rPr>
          <w:rFonts w:ascii="Arial" w:hAnsi="Arial" w:cs="Arial"/>
          <w:b/>
          <w:bCs/>
          <w:iCs/>
          <w:sz w:val="22"/>
          <w:szCs w:val="22"/>
        </w:rPr>
      </w:pPr>
      <w:r w:rsidRPr="007424F4">
        <w:rPr>
          <w:rFonts w:ascii="Arial" w:hAnsi="Arial" w:cs="Arial"/>
          <w:bCs/>
          <w:iCs/>
          <w:sz w:val="22"/>
          <w:szCs w:val="22"/>
        </w:rPr>
        <w:t xml:space="preserve">When you take the inhaler out of </w:t>
      </w:r>
      <w:r>
        <w:rPr>
          <w:rFonts w:ascii="Arial" w:hAnsi="Arial" w:cs="Arial"/>
          <w:bCs/>
          <w:iCs/>
          <w:sz w:val="22"/>
          <w:szCs w:val="22"/>
        </w:rPr>
        <w:t>the sealed tray</w:t>
      </w:r>
      <w:r w:rsidRPr="007424F4">
        <w:rPr>
          <w:rFonts w:ascii="Arial" w:hAnsi="Arial" w:cs="Arial"/>
          <w:bCs/>
          <w:iCs/>
          <w:sz w:val="22"/>
          <w:szCs w:val="22"/>
        </w:rPr>
        <w:t xml:space="preserve">, it will be in the ‘closed’ position. </w:t>
      </w:r>
      <w:r w:rsidRPr="007424F4">
        <w:rPr>
          <w:rFonts w:ascii="Arial" w:hAnsi="Arial" w:cs="Arial"/>
          <w:b/>
          <w:bCs/>
          <w:iCs/>
          <w:sz w:val="22"/>
          <w:szCs w:val="22"/>
        </w:rPr>
        <w:t>Don’t open it until you are ready to inhale a dose of medicine.</w:t>
      </w:r>
    </w:p>
    <w:p w:rsidR="00BC4004" w:rsidRDefault="00BC4004" w:rsidP="00BC4004">
      <w:pPr>
        <w:spacing w:after="120"/>
        <w:rPr>
          <w:rFonts w:ascii="Arial" w:hAnsi="Arial" w:cs="Arial"/>
          <w:bCs/>
          <w:iCs/>
          <w:sz w:val="22"/>
          <w:szCs w:val="22"/>
        </w:rPr>
      </w:pPr>
      <w:r w:rsidRPr="007424F4">
        <w:rPr>
          <w:rFonts w:ascii="Arial" w:hAnsi="Arial" w:cs="Arial"/>
          <w:bCs/>
          <w:iCs/>
          <w:sz w:val="22"/>
        </w:rPr>
        <w:t xml:space="preserve">The </w:t>
      </w:r>
      <w:r w:rsidRPr="007424F4">
        <w:rPr>
          <w:rFonts w:ascii="Arial" w:hAnsi="Arial" w:cs="Arial"/>
          <w:bCs/>
          <w:iCs/>
          <w:sz w:val="22"/>
          <w:lang w:val="en-GB"/>
        </w:rPr>
        <w:t xml:space="preserve">step-by-step </w:t>
      </w:r>
      <w:r w:rsidRPr="007424F4">
        <w:rPr>
          <w:rFonts w:ascii="Arial" w:hAnsi="Arial" w:cs="Arial"/>
          <w:bCs/>
          <w:iCs/>
          <w:sz w:val="22"/>
        </w:rPr>
        <w:t xml:space="preserve">instructions shown below for the 30-dose Ellipta inhaler also apply to the </w:t>
      </w:r>
      <w:r>
        <w:rPr>
          <w:rFonts w:ascii="Arial" w:hAnsi="Arial" w:cs="Arial"/>
          <w:bCs/>
          <w:iCs/>
          <w:sz w:val="22"/>
        </w:rPr>
        <w:t>7</w:t>
      </w:r>
      <w:r w:rsidRPr="007424F4">
        <w:rPr>
          <w:rFonts w:ascii="Arial" w:hAnsi="Arial" w:cs="Arial"/>
          <w:bCs/>
          <w:iCs/>
          <w:sz w:val="22"/>
        </w:rPr>
        <w:noBreakHyphen/>
        <w:t>dose Ellipta inhaler.</w:t>
      </w:r>
    </w:p>
    <w:p w:rsidR="00DE1132" w:rsidRPr="006C5E85" w:rsidRDefault="00DE1132" w:rsidP="006C5E85">
      <w:pPr>
        <w:rPr>
          <w:rFonts w:ascii="Arial" w:hAnsi="Arial" w:cs="Arial"/>
          <w:sz w:val="22"/>
          <w:szCs w:val="22"/>
        </w:rPr>
      </w:pPr>
    </w:p>
    <w:p w:rsidR="006C5E85" w:rsidRDefault="00BC4004" w:rsidP="00BC4004">
      <w:pPr>
        <w:spacing w:after="240"/>
        <w:rPr>
          <w:rFonts w:ascii="Arial" w:hAnsi="Arial" w:cs="Arial"/>
          <w:b/>
          <w:sz w:val="22"/>
          <w:szCs w:val="22"/>
        </w:rPr>
      </w:pPr>
      <w:r>
        <w:rPr>
          <w:rFonts w:ascii="Arial" w:hAnsi="Arial" w:cs="Arial"/>
          <w:b/>
          <w:sz w:val="22"/>
          <w:szCs w:val="22"/>
        </w:rPr>
        <w:t>S</w:t>
      </w:r>
      <w:r w:rsidR="00016C1E">
        <w:rPr>
          <w:rFonts w:ascii="Arial" w:hAnsi="Arial" w:cs="Arial"/>
          <w:b/>
          <w:sz w:val="22"/>
          <w:szCs w:val="22"/>
        </w:rPr>
        <w:t>tep</w:t>
      </w:r>
      <w:r>
        <w:rPr>
          <w:rFonts w:ascii="Arial" w:hAnsi="Arial" w:cs="Arial"/>
          <w:b/>
          <w:sz w:val="22"/>
          <w:szCs w:val="22"/>
        </w:rPr>
        <w:t xml:space="preserve"> 1: </w:t>
      </w:r>
      <w:r w:rsidR="006C5E85" w:rsidRPr="006C5E85">
        <w:rPr>
          <w:rFonts w:ascii="Arial" w:hAnsi="Arial" w:cs="Arial"/>
          <w:b/>
          <w:sz w:val="22"/>
          <w:szCs w:val="22"/>
        </w:rPr>
        <w:t>Read this before you start</w:t>
      </w:r>
    </w:p>
    <w:p w:rsidR="006C5E85" w:rsidRPr="006C5E85" w:rsidRDefault="00BC4004" w:rsidP="00016C1E">
      <w:pPr>
        <w:pStyle w:val="Warning"/>
        <w:numPr>
          <w:ilvl w:val="0"/>
          <w:numId w:val="0"/>
        </w:numPr>
        <w:tabs>
          <w:tab w:val="left" w:pos="426"/>
        </w:tabs>
        <w:ind w:left="420" w:hanging="420"/>
        <w:rPr>
          <w:rFonts w:ascii="Arial" w:hAnsi="Arial" w:cs="Arial"/>
          <w:sz w:val="22"/>
          <w:szCs w:val="22"/>
        </w:rPr>
      </w:pPr>
      <w:r w:rsidRPr="007424F4">
        <w:rPr>
          <w:rFonts w:ascii="Arial" w:hAnsi="Arial" w:cs="Arial"/>
          <w:sz w:val="22"/>
          <w:szCs w:val="22"/>
        </w:rPr>
        <w:t>!</w:t>
      </w:r>
      <w:r w:rsidRPr="007424F4">
        <w:rPr>
          <w:rFonts w:ascii="Arial" w:hAnsi="Arial" w:cs="Arial"/>
          <w:sz w:val="22"/>
          <w:szCs w:val="22"/>
        </w:rPr>
        <w:tab/>
      </w:r>
      <w:r w:rsidR="006C5E85" w:rsidRPr="006C5E85">
        <w:rPr>
          <w:rFonts w:ascii="Arial" w:hAnsi="Arial" w:cs="Arial"/>
          <w:sz w:val="22"/>
          <w:szCs w:val="22"/>
        </w:rPr>
        <w:t xml:space="preserve">If you open and close the cover without inhaling the medicine, you will lose the dose. </w:t>
      </w:r>
    </w:p>
    <w:p w:rsidR="006C5E85" w:rsidRDefault="006C5E85" w:rsidP="006C5E85">
      <w:pPr>
        <w:rPr>
          <w:rFonts w:ascii="Arial" w:hAnsi="Arial" w:cs="Arial"/>
          <w:sz w:val="22"/>
          <w:szCs w:val="22"/>
        </w:rPr>
      </w:pPr>
      <w:r w:rsidRPr="006C5E85">
        <w:rPr>
          <w:rFonts w:ascii="Arial" w:hAnsi="Arial" w:cs="Arial"/>
          <w:sz w:val="22"/>
          <w:szCs w:val="22"/>
        </w:rPr>
        <w:t>The lost dose will be securely held inside the inhaler, but it will no longer be available.</w:t>
      </w:r>
    </w:p>
    <w:p w:rsidR="00016C1E" w:rsidRPr="006C5E85" w:rsidRDefault="00016C1E" w:rsidP="006C5E85">
      <w:pPr>
        <w:rPr>
          <w:rFonts w:ascii="Arial" w:hAnsi="Arial" w:cs="Arial"/>
          <w:sz w:val="22"/>
          <w:szCs w:val="22"/>
        </w:rPr>
      </w:pPr>
    </w:p>
    <w:p w:rsidR="006C5E85" w:rsidRDefault="006C5E85" w:rsidP="006C5E85">
      <w:pPr>
        <w:rPr>
          <w:rFonts w:ascii="Arial" w:hAnsi="Arial" w:cs="Arial"/>
          <w:sz w:val="22"/>
          <w:szCs w:val="22"/>
        </w:rPr>
      </w:pPr>
      <w:r w:rsidRPr="006C5E85">
        <w:rPr>
          <w:rFonts w:ascii="Arial" w:hAnsi="Arial" w:cs="Arial"/>
          <w:sz w:val="22"/>
          <w:szCs w:val="22"/>
        </w:rPr>
        <w:t>It is not possible to accidentally take extra medicine or a double dose in one inhalation.</w:t>
      </w:r>
    </w:p>
    <w:p w:rsidR="006C5E85" w:rsidRPr="006C5E85" w:rsidRDefault="006C5E85" w:rsidP="006C5E85">
      <w:pPr>
        <w:rPr>
          <w:rFonts w:ascii="Arial" w:hAnsi="Arial" w:cs="Arial"/>
          <w:sz w:val="22"/>
          <w:szCs w:val="22"/>
        </w:rPr>
      </w:pPr>
    </w:p>
    <w:p w:rsidR="006C5E85" w:rsidRDefault="006354C2" w:rsidP="006C5E85">
      <w:pPr>
        <w:ind w:left="360"/>
        <w:jc w:val="center"/>
        <w:rPr>
          <w:rFonts w:ascii="Arial" w:hAnsi="Arial" w:cs="Arial"/>
          <w:sz w:val="26"/>
          <w:szCs w:val="26"/>
        </w:rPr>
      </w:pPr>
      <w:r>
        <w:rPr>
          <w:i/>
          <w:noProof/>
        </w:rPr>
        <w:drawing>
          <wp:inline distT="0" distB="0" distL="0" distR="0">
            <wp:extent cx="3819525" cy="2686050"/>
            <wp:effectExtent l="19050" t="0" r="9525" b="0"/>
            <wp:docPr id="4" name="Picture 4" descr="Ellipta_step1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lipta_step1_diag"/>
                    <pic:cNvPicPr>
                      <a:picLocks noChangeAspect="1" noChangeArrowheads="1"/>
                    </pic:cNvPicPr>
                  </pic:nvPicPr>
                  <pic:blipFill>
                    <a:blip r:embed="rId11" cstate="print"/>
                    <a:srcRect/>
                    <a:stretch>
                      <a:fillRect/>
                    </a:stretch>
                  </pic:blipFill>
                  <pic:spPr bwMode="auto">
                    <a:xfrm>
                      <a:off x="0" y="0"/>
                      <a:ext cx="3819525" cy="2686050"/>
                    </a:xfrm>
                    <a:prstGeom prst="rect">
                      <a:avLst/>
                    </a:prstGeom>
                    <a:noFill/>
                    <a:ln w="9525">
                      <a:noFill/>
                      <a:miter lim="800000"/>
                      <a:headEnd/>
                      <a:tailEnd/>
                    </a:ln>
                  </pic:spPr>
                </pic:pic>
              </a:graphicData>
            </a:graphic>
          </wp:inline>
        </w:drawing>
      </w:r>
    </w:p>
    <w:p w:rsidR="006C5E85" w:rsidRPr="00C14F7E" w:rsidRDefault="006C5E85" w:rsidP="00BC4004">
      <w:pPr>
        <w:ind w:left="360"/>
        <w:rPr>
          <w:rFonts w:ascii="Arial" w:hAnsi="Arial" w:cs="Arial"/>
          <w:sz w:val="26"/>
          <w:szCs w:val="26"/>
        </w:rPr>
      </w:pPr>
    </w:p>
    <w:p w:rsidR="006C5E85" w:rsidRPr="006C5E85" w:rsidRDefault="00BC4004" w:rsidP="00BC4004">
      <w:pPr>
        <w:spacing w:after="240"/>
        <w:rPr>
          <w:rFonts w:ascii="Arial" w:hAnsi="Arial" w:cs="Arial"/>
          <w:b/>
          <w:sz w:val="22"/>
          <w:szCs w:val="22"/>
        </w:rPr>
      </w:pPr>
      <w:r>
        <w:rPr>
          <w:rFonts w:ascii="Arial" w:hAnsi="Arial" w:cs="Arial"/>
          <w:b/>
          <w:sz w:val="22"/>
          <w:szCs w:val="22"/>
        </w:rPr>
        <w:t>S</w:t>
      </w:r>
      <w:r w:rsidR="00016C1E">
        <w:rPr>
          <w:rFonts w:ascii="Arial" w:hAnsi="Arial" w:cs="Arial"/>
          <w:b/>
          <w:sz w:val="22"/>
          <w:szCs w:val="22"/>
        </w:rPr>
        <w:t>tep</w:t>
      </w:r>
      <w:r>
        <w:rPr>
          <w:rFonts w:ascii="Arial" w:hAnsi="Arial" w:cs="Arial"/>
          <w:b/>
          <w:sz w:val="22"/>
          <w:szCs w:val="22"/>
        </w:rPr>
        <w:t xml:space="preserve"> 2: </w:t>
      </w:r>
      <w:r w:rsidR="006C5E85" w:rsidRPr="006C5E85">
        <w:rPr>
          <w:rFonts w:ascii="Arial" w:hAnsi="Arial" w:cs="Arial"/>
          <w:b/>
          <w:sz w:val="22"/>
          <w:szCs w:val="22"/>
        </w:rPr>
        <w:t>Prepare a dose</w:t>
      </w:r>
    </w:p>
    <w:p w:rsidR="006C5E85" w:rsidRPr="00016C1E" w:rsidRDefault="00016C1E" w:rsidP="00B912F6">
      <w:pPr>
        <w:tabs>
          <w:tab w:val="left" w:pos="426"/>
        </w:tabs>
        <w:ind w:left="360" w:hanging="360"/>
        <w:rPr>
          <w:rFonts w:ascii="Arial" w:hAnsi="Arial" w:cs="Arial"/>
          <w:b/>
          <w:sz w:val="22"/>
          <w:szCs w:val="22"/>
        </w:rPr>
      </w:pPr>
      <w:r w:rsidRPr="00016C1E">
        <w:rPr>
          <w:rFonts w:ascii="Arial" w:hAnsi="Arial" w:cs="Arial"/>
          <w:b/>
          <w:sz w:val="22"/>
          <w:szCs w:val="22"/>
        </w:rPr>
        <w:t>!</w:t>
      </w:r>
      <w:r w:rsidRPr="00016C1E">
        <w:rPr>
          <w:rFonts w:ascii="Arial" w:hAnsi="Arial" w:cs="Arial"/>
          <w:b/>
          <w:sz w:val="22"/>
          <w:szCs w:val="22"/>
        </w:rPr>
        <w:tab/>
      </w:r>
      <w:r w:rsidR="006C5E85" w:rsidRPr="00016C1E">
        <w:rPr>
          <w:rFonts w:ascii="Arial" w:hAnsi="Arial" w:cs="Arial"/>
          <w:b/>
          <w:sz w:val="22"/>
          <w:szCs w:val="22"/>
        </w:rPr>
        <w:t>Wait to open the cover until you are ready to take your dose. Do not shake the inhaler.</w:t>
      </w:r>
    </w:p>
    <w:p w:rsidR="006C5E85" w:rsidRPr="006C5E85" w:rsidRDefault="006C5E85" w:rsidP="006C5E85">
      <w:pPr>
        <w:pStyle w:val="instruction"/>
        <w:numPr>
          <w:ilvl w:val="0"/>
          <w:numId w:val="25"/>
        </w:numPr>
        <w:spacing w:after="240"/>
        <w:rPr>
          <w:rFonts w:ascii="Arial" w:hAnsi="Arial" w:cs="Arial"/>
          <w:b w:val="0"/>
          <w:sz w:val="22"/>
          <w:szCs w:val="22"/>
        </w:rPr>
      </w:pPr>
      <w:r w:rsidRPr="006C5E85">
        <w:rPr>
          <w:rFonts w:ascii="Arial" w:hAnsi="Arial" w:cs="Arial"/>
          <w:b w:val="0"/>
          <w:sz w:val="22"/>
          <w:szCs w:val="22"/>
        </w:rPr>
        <w:t>Slide the cover fully down until you hear a “click”.</w:t>
      </w:r>
    </w:p>
    <w:p w:rsidR="006C5E85" w:rsidRPr="00C14F7E" w:rsidRDefault="006354C2" w:rsidP="006C5E85">
      <w:pPr>
        <w:pStyle w:val="centheadGDS"/>
      </w:pPr>
      <w:r>
        <w:rPr>
          <w:noProof/>
          <w:lang w:val="en-AU" w:eastAsia="en-AU"/>
        </w:rPr>
        <w:lastRenderedPageBreak/>
        <w:drawing>
          <wp:inline distT="0" distB="0" distL="0" distR="0">
            <wp:extent cx="3390900" cy="2495550"/>
            <wp:effectExtent l="19050" t="0" r="0" b="0"/>
            <wp:docPr id="5" name="Picture 5" descr="Ellipta_step2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lipta_step2_diag"/>
                    <pic:cNvPicPr>
                      <a:picLocks noChangeAspect="1" noChangeArrowheads="1"/>
                    </pic:cNvPicPr>
                  </pic:nvPicPr>
                  <pic:blipFill>
                    <a:blip r:embed="rId12" cstate="print"/>
                    <a:srcRect/>
                    <a:stretch>
                      <a:fillRect/>
                    </a:stretch>
                  </pic:blipFill>
                  <pic:spPr bwMode="auto">
                    <a:xfrm>
                      <a:off x="0" y="0"/>
                      <a:ext cx="3390900" cy="2495550"/>
                    </a:xfrm>
                    <a:prstGeom prst="rect">
                      <a:avLst/>
                    </a:prstGeom>
                    <a:noFill/>
                    <a:ln w="9525">
                      <a:noFill/>
                      <a:miter lim="800000"/>
                      <a:headEnd/>
                      <a:tailEnd/>
                    </a:ln>
                  </pic:spPr>
                </pic:pic>
              </a:graphicData>
            </a:graphic>
          </wp:inline>
        </w:drawing>
      </w:r>
    </w:p>
    <w:p w:rsidR="006C5E85" w:rsidRDefault="006C5E85" w:rsidP="006C5E85">
      <w:pPr>
        <w:rPr>
          <w:rFonts w:ascii="Arial" w:hAnsi="Arial" w:cs="Arial"/>
          <w:sz w:val="22"/>
          <w:szCs w:val="22"/>
        </w:rPr>
      </w:pPr>
      <w:r w:rsidRPr="006C5E85">
        <w:rPr>
          <w:rFonts w:ascii="Arial" w:hAnsi="Arial" w:cs="Arial"/>
          <w:sz w:val="22"/>
          <w:szCs w:val="22"/>
        </w:rPr>
        <w:t>Your medicine is now ready to be inhaled.</w:t>
      </w:r>
    </w:p>
    <w:p w:rsidR="00016C1E" w:rsidRPr="006C5E85" w:rsidRDefault="00016C1E" w:rsidP="006C5E85">
      <w:pPr>
        <w:rPr>
          <w:rFonts w:ascii="Arial" w:hAnsi="Arial" w:cs="Arial"/>
          <w:sz w:val="22"/>
          <w:szCs w:val="22"/>
        </w:rPr>
      </w:pPr>
    </w:p>
    <w:p w:rsidR="006C5E85" w:rsidRPr="006C5E85" w:rsidRDefault="006C5E85" w:rsidP="006C5E85">
      <w:pPr>
        <w:rPr>
          <w:rFonts w:ascii="Arial" w:hAnsi="Arial" w:cs="Arial"/>
          <w:sz w:val="22"/>
          <w:szCs w:val="22"/>
        </w:rPr>
      </w:pPr>
      <w:r w:rsidRPr="006C5E85">
        <w:rPr>
          <w:rFonts w:ascii="Arial" w:hAnsi="Arial" w:cs="Arial"/>
          <w:sz w:val="22"/>
          <w:szCs w:val="22"/>
        </w:rPr>
        <w:t xml:space="preserve">The dose counter counts down by </w:t>
      </w:r>
      <w:r w:rsidRPr="00016C1E">
        <w:rPr>
          <w:rFonts w:ascii="Arial" w:hAnsi="Arial" w:cs="Arial"/>
          <w:b/>
          <w:sz w:val="22"/>
          <w:szCs w:val="22"/>
        </w:rPr>
        <w:t>1</w:t>
      </w:r>
      <w:r w:rsidRPr="006C5E85">
        <w:rPr>
          <w:rFonts w:ascii="Arial" w:hAnsi="Arial" w:cs="Arial"/>
          <w:sz w:val="22"/>
          <w:szCs w:val="22"/>
        </w:rPr>
        <w:t xml:space="preserve"> to confirm.</w:t>
      </w:r>
    </w:p>
    <w:p w:rsidR="006C5E85" w:rsidRPr="00016C1E" w:rsidRDefault="00016C1E" w:rsidP="00016C1E">
      <w:pPr>
        <w:tabs>
          <w:tab w:val="left" w:pos="426"/>
        </w:tabs>
        <w:spacing w:before="120"/>
        <w:ind w:left="420" w:hanging="420"/>
        <w:rPr>
          <w:rFonts w:ascii="Arial" w:hAnsi="Arial" w:cs="Arial"/>
          <w:b/>
          <w:sz w:val="22"/>
          <w:szCs w:val="22"/>
        </w:rPr>
      </w:pPr>
      <w:r>
        <w:rPr>
          <w:rFonts w:ascii="Arial" w:hAnsi="Arial" w:cs="Arial"/>
          <w:b/>
          <w:sz w:val="22"/>
          <w:szCs w:val="22"/>
        </w:rPr>
        <w:t>!</w:t>
      </w:r>
      <w:r>
        <w:rPr>
          <w:rFonts w:ascii="Arial" w:hAnsi="Arial" w:cs="Arial"/>
          <w:b/>
          <w:sz w:val="22"/>
          <w:szCs w:val="22"/>
        </w:rPr>
        <w:tab/>
      </w:r>
      <w:r w:rsidR="006C5E85" w:rsidRPr="00016C1E">
        <w:rPr>
          <w:rFonts w:ascii="Arial" w:hAnsi="Arial" w:cs="Arial"/>
          <w:b/>
          <w:sz w:val="22"/>
          <w:szCs w:val="22"/>
        </w:rPr>
        <w:t>If the dose counter does not count down as you hear the “click”, the inhaler will not deliver medicine. Take it back to your pharmacist for advice.</w:t>
      </w:r>
    </w:p>
    <w:p w:rsidR="006C5E85" w:rsidRPr="00016C1E" w:rsidRDefault="00016C1E" w:rsidP="00016C1E">
      <w:pPr>
        <w:tabs>
          <w:tab w:val="left" w:pos="426"/>
        </w:tabs>
        <w:spacing w:before="240" w:after="240"/>
        <w:rPr>
          <w:rFonts w:ascii="Arial" w:hAnsi="Arial" w:cs="Arial"/>
          <w:b/>
          <w:sz w:val="22"/>
          <w:szCs w:val="22"/>
        </w:rPr>
      </w:pPr>
      <w:r>
        <w:rPr>
          <w:rFonts w:ascii="Arial" w:hAnsi="Arial" w:cs="Arial"/>
          <w:b/>
          <w:sz w:val="22"/>
          <w:szCs w:val="22"/>
        </w:rPr>
        <w:t>!</w:t>
      </w:r>
      <w:r>
        <w:rPr>
          <w:rFonts w:ascii="Arial" w:hAnsi="Arial" w:cs="Arial"/>
          <w:b/>
          <w:sz w:val="22"/>
          <w:szCs w:val="22"/>
        </w:rPr>
        <w:tab/>
      </w:r>
      <w:r w:rsidR="006C5E85" w:rsidRPr="00016C1E">
        <w:rPr>
          <w:rFonts w:ascii="Arial" w:hAnsi="Arial" w:cs="Arial"/>
          <w:b/>
          <w:sz w:val="22"/>
          <w:szCs w:val="22"/>
        </w:rPr>
        <w:t>Do not shake the inhaler at any time.</w:t>
      </w:r>
    </w:p>
    <w:p w:rsidR="006C5E85" w:rsidRPr="006C5E85" w:rsidRDefault="00016C1E" w:rsidP="00016C1E">
      <w:pPr>
        <w:spacing w:after="240"/>
        <w:rPr>
          <w:rFonts w:ascii="Arial" w:hAnsi="Arial" w:cs="Arial"/>
          <w:b/>
          <w:sz w:val="22"/>
          <w:szCs w:val="22"/>
        </w:rPr>
      </w:pPr>
      <w:r>
        <w:rPr>
          <w:rFonts w:ascii="Arial" w:hAnsi="Arial" w:cs="Arial"/>
          <w:b/>
          <w:sz w:val="22"/>
          <w:szCs w:val="22"/>
        </w:rPr>
        <w:t xml:space="preserve">Step 3: </w:t>
      </w:r>
      <w:r w:rsidR="006C5E85" w:rsidRPr="006C5E85">
        <w:rPr>
          <w:rFonts w:ascii="Arial" w:hAnsi="Arial" w:cs="Arial"/>
          <w:b/>
          <w:sz w:val="22"/>
          <w:szCs w:val="22"/>
        </w:rPr>
        <w:t>Inhale your medication</w:t>
      </w:r>
    </w:p>
    <w:p w:rsidR="006C5E85" w:rsidRPr="006C5E85" w:rsidRDefault="006C5E85" w:rsidP="006C5E85">
      <w:pPr>
        <w:pStyle w:val="instruction"/>
        <w:numPr>
          <w:ilvl w:val="0"/>
          <w:numId w:val="23"/>
        </w:numPr>
        <w:rPr>
          <w:rFonts w:ascii="Arial" w:hAnsi="Arial" w:cs="Arial"/>
          <w:b w:val="0"/>
          <w:sz w:val="22"/>
          <w:szCs w:val="22"/>
        </w:rPr>
      </w:pPr>
      <w:r w:rsidRPr="006C5E85">
        <w:rPr>
          <w:rFonts w:ascii="Arial" w:hAnsi="Arial" w:cs="Arial"/>
          <w:b w:val="0"/>
          <w:sz w:val="22"/>
          <w:szCs w:val="22"/>
        </w:rPr>
        <w:t>Whil</w:t>
      </w:r>
      <w:r w:rsidR="00016C1E">
        <w:rPr>
          <w:rFonts w:ascii="Arial" w:hAnsi="Arial" w:cs="Arial"/>
          <w:b w:val="0"/>
          <w:sz w:val="22"/>
          <w:szCs w:val="22"/>
        </w:rPr>
        <w:t>st</w:t>
      </w:r>
      <w:r w:rsidRPr="006C5E85">
        <w:rPr>
          <w:rFonts w:ascii="Arial" w:hAnsi="Arial" w:cs="Arial"/>
          <w:b w:val="0"/>
          <w:sz w:val="22"/>
          <w:szCs w:val="22"/>
        </w:rPr>
        <w:t xml:space="preserve"> holding the inhaler away from your mouth, breathe out as far as is comfortable. </w:t>
      </w:r>
    </w:p>
    <w:p w:rsidR="006C5E85" w:rsidRPr="006C5E85" w:rsidRDefault="006C5E85" w:rsidP="006C5E85">
      <w:pPr>
        <w:ind w:left="720"/>
        <w:rPr>
          <w:rFonts w:ascii="Arial" w:hAnsi="Arial" w:cs="Arial"/>
          <w:sz w:val="22"/>
          <w:szCs w:val="22"/>
        </w:rPr>
      </w:pPr>
      <w:r w:rsidRPr="006C5E85">
        <w:rPr>
          <w:rFonts w:ascii="Arial" w:hAnsi="Arial" w:cs="Arial"/>
          <w:sz w:val="22"/>
          <w:szCs w:val="22"/>
        </w:rPr>
        <w:t>Don’t breathe out into the inhaler.</w:t>
      </w:r>
    </w:p>
    <w:p w:rsidR="006C5E85" w:rsidRPr="006C5E85" w:rsidRDefault="006C5E85" w:rsidP="006C5E85">
      <w:pPr>
        <w:pStyle w:val="instruction"/>
        <w:numPr>
          <w:ilvl w:val="0"/>
          <w:numId w:val="23"/>
        </w:numPr>
        <w:rPr>
          <w:rFonts w:ascii="Arial" w:hAnsi="Arial" w:cs="Arial"/>
          <w:b w:val="0"/>
          <w:sz w:val="22"/>
          <w:szCs w:val="22"/>
        </w:rPr>
      </w:pPr>
      <w:r w:rsidRPr="006C5E85">
        <w:rPr>
          <w:rFonts w:ascii="Arial" w:hAnsi="Arial" w:cs="Arial"/>
          <w:b w:val="0"/>
          <w:sz w:val="22"/>
          <w:szCs w:val="22"/>
        </w:rPr>
        <w:t>Put the mouthpiece between your lips, and close your lips firmly around it.</w:t>
      </w:r>
    </w:p>
    <w:p w:rsidR="006C5E85" w:rsidRPr="006C5E85" w:rsidRDefault="006C5E85" w:rsidP="006C5E85">
      <w:pPr>
        <w:ind w:left="720"/>
        <w:rPr>
          <w:rFonts w:ascii="Arial" w:hAnsi="Arial" w:cs="Arial"/>
          <w:sz w:val="22"/>
          <w:szCs w:val="22"/>
        </w:rPr>
      </w:pPr>
      <w:r w:rsidRPr="006C5E85">
        <w:rPr>
          <w:rFonts w:ascii="Arial" w:hAnsi="Arial" w:cs="Arial"/>
          <w:sz w:val="22"/>
          <w:szCs w:val="22"/>
        </w:rPr>
        <w:t>Don’t block the air vent with your fingers.</w:t>
      </w:r>
    </w:p>
    <w:p w:rsidR="006C5E85" w:rsidRPr="00C14F7E" w:rsidRDefault="006354C2" w:rsidP="006C5E85">
      <w:pPr>
        <w:jc w:val="center"/>
      </w:pPr>
      <w:r>
        <w:rPr>
          <w:noProof/>
        </w:rPr>
        <w:drawing>
          <wp:inline distT="0" distB="0" distL="0" distR="0">
            <wp:extent cx="3790950" cy="2076450"/>
            <wp:effectExtent l="19050" t="0" r="0" b="0"/>
            <wp:docPr id="6" name="Picture 6" descr="Ellipta_step3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lipta_step3_diag"/>
                    <pic:cNvPicPr>
                      <a:picLocks noChangeAspect="1" noChangeArrowheads="1"/>
                    </pic:cNvPicPr>
                  </pic:nvPicPr>
                  <pic:blipFill>
                    <a:blip r:embed="rId13" cstate="print"/>
                    <a:srcRect/>
                    <a:stretch>
                      <a:fillRect/>
                    </a:stretch>
                  </pic:blipFill>
                  <pic:spPr bwMode="auto">
                    <a:xfrm>
                      <a:off x="0" y="0"/>
                      <a:ext cx="3790950" cy="2076450"/>
                    </a:xfrm>
                    <a:prstGeom prst="rect">
                      <a:avLst/>
                    </a:prstGeom>
                    <a:noFill/>
                    <a:ln w="9525">
                      <a:noFill/>
                      <a:miter lim="800000"/>
                      <a:headEnd/>
                      <a:tailEnd/>
                    </a:ln>
                  </pic:spPr>
                </pic:pic>
              </a:graphicData>
            </a:graphic>
          </wp:inline>
        </w:drawing>
      </w:r>
    </w:p>
    <w:p w:rsidR="006C5E85" w:rsidRPr="006C5E85" w:rsidRDefault="006C5E85" w:rsidP="006C5E85">
      <w:pPr>
        <w:pStyle w:val="instruction"/>
        <w:numPr>
          <w:ilvl w:val="0"/>
          <w:numId w:val="22"/>
        </w:numPr>
        <w:rPr>
          <w:rFonts w:ascii="Arial" w:hAnsi="Arial" w:cs="Arial"/>
          <w:b w:val="0"/>
          <w:sz w:val="22"/>
          <w:szCs w:val="22"/>
        </w:rPr>
      </w:pPr>
      <w:r w:rsidRPr="006C5E85">
        <w:rPr>
          <w:rFonts w:ascii="Arial" w:hAnsi="Arial" w:cs="Arial"/>
          <w:b w:val="0"/>
          <w:sz w:val="22"/>
          <w:szCs w:val="22"/>
        </w:rPr>
        <w:t>Take one long, steady, deep breath in. Hold this breath for as long as possible (at least 3-4 seconds).</w:t>
      </w:r>
    </w:p>
    <w:p w:rsidR="006C5E85" w:rsidRPr="006C5E85" w:rsidRDefault="006C5E85" w:rsidP="006C5E85">
      <w:pPr>
        <w:pStyle w:val="instruction"/>
        <w:numPr>
          <w:ilvl w:val="0"/>
          <w:numId w:val="22"/>
        </w:numPr>
        <w:rPr>
          <w:rFonts w:ascii="Arial" w:hAnsi="Arial" w:cs="Arial"/>
          <w:b w:val="0"/>
          <w:sz w:val="22"/>
          <w:szCs w:val="22"/>
        </w:rPr>
      </w:pPr>
      <w:r w:rsidRPr="006C5E85">
        <w:rPr>
          <w:rFonts w:ascii="Arial" w:hAnsi="Arial" w:cs="Arial"/>
          <w:b w:val="0"/>
          <w:sz w:val="22"/>
          <w:szCs w:val="22"/>
        </w:rPr>
        <w:t>Remove the inhaler from your mouth.</w:t>
      </w:r>
    </w:p>
    <w:p w:rsidR="006C5E85" w:rsidRPr="006C5E85" w:rsidRDefault="006C5E85" w:rsidP="006C5E85">
      <w:pPr>
        <w:pStyle w:val="instruction"/>
        <w:numPr>
          <w:ilvl w:val="0"/>
          <w:numId w:val="22"/>
        </w:numPr>
        <w:spacing w:after="240"/>
        <w:ind w:left="714" w:hanging="357"/>
        <w:rPr>
          <w:rFonts w:ascii="Arial" w:hAnsi="Arial" w:cs="Arial"/>
          <w:b w:val="0"/>
          <w:sz w:val="22"/>
          <w:szCs w:val="22"/>
        </w:rPr>
      </w:pPr>
      <w:r w:rsidRPr="006C5E85">
        <w:rPr>
          <w:rFonts w:ascii="Arial" w:hAnsi="Arial" w:cs="Arial"/>
          <w:b w:val="0"/>
          <w:sz w:val="22"/>
          <w:szCs w:val="22"/>
        </w:rPr>
        <w:t>Breathe out slowly and gently</w:t>
      </w:r>
      <w:r w:rsidR="0059084C">
        <w:rPr>
          <w:rFonts w:ascii="Arial" w:hAnsi="Arial" w:cs="Arial"/>
          <w:b w:val="0"/>
          <w:sz w:val="22"/>
          <w:szCs w:val="22"/>
        </w:rPr>
        <w:t xml:space="preserve"> </w:t>
      </w:r>
      <w:r w:rsidR="0059084C" w:rsidRPr="0059084C">
        <w:rPr>
          <w:rFonts w:ascii="Arial" w:hAnsi="Arial" w:cs="Arial"/>
          <w:b w:val="0"/>
          <w:sz w:val="22"/>
          <w:szCs w:val="22"/>
        </w:rPr>
        <w:t>away from the mouthpiece</w:t>
      </w:r>
      <w:r w:rsidRPr="006C5E85">
        <w:rPr>
          <w:rFonts w:ascii="Arial" w:hAnsi="Arial" w:cs="Arial"/>
          <w:b w:val="0"/>
          <w:sz w:val="22"/>
          <w:szCs w:val="22"/>
        </w:rPr>
        <w:t>.</w:t>
      </w:r>
    </w:p>
    <w:p w:rsidR="006C5E85" w:rsidRPr="00016C1E" w:rsidRDefault="00016C1E" w:rsidP="00016C1E">
      <w:pPr>
        <w:tabs>
          <w:tab w:val="left" w:pos="426"/>
        </w:tabs>
        <w:ind w:left="357" w:hanging="357"/>
        <w:rPr>
          <w:rFonts w:ascii="Arial" w:hAnsi="Arial" w:cs="Arial"/>
          <w:b/>
          <w:sz w:val="22"/>
          <w:szCs w:val="22"/>
        </w:rPr>
      </w:pPr>
      <w:r>
        <w:rPr>
          <w:rFonts w:ascii="Arial" w:hAnsi="Arial" w:cs="Arial"/>
          <w:b/>
          <w:sz w:val="22"/>
          <w:szCs w:val="22"/>
        </w:rPr>
        <w:t>!</w:t>
      </w:r>
      <w:r>
        <w:rPr>
          <w:rFonts w:ascii="Arial" w:hAnsi="Arial" w:cs="Arial"/>
          <w:b/>
          <w:sz w:val="22"/>
          <w:szCs w:val="22"/>
        </w:rPr>
        <w:tab/>
      </w:r>
      <w:r w:rsidR="006C5E85" w:rsidRPr="00016C1E">
        <w:rPr>
          <w:rFonts w:ascii="Arial" w:hAnsi="Arial" w:cs="Arial"/>
          <w:b/>
          <w:sz w:val="22"/>
          <w:szCs w:val="22"/>
        </w:rPr>
        <w:t>You may not be able to taste or feel the medicine, even when you are using the inhaler correctly.</w:t>
      </w:r>
    </w:p>
    <w:p w:rsidR="006C5E85" w:rsidRPr="00016C1E" w:rsidRDefault="006C5E85" w:rsidP="006C5E85">
      <w:pPr>
        <w:rPr>
          <w:rFonts w:ascii="Arial" w:hAnsi="Arial" w:cs="Arial"/>
          <w:b/>
          <w:sz w:val="22"/>
          <w:szCs w:val="22"/>
        </w:rPr>
      </w:pPr>
    </w:p>
    <w:p w:rsidR="006C5E85" w:rsidRPr="006C5E85" w:rsidRDefault="00016C1E" w:rsidP="00016C1E">
      <w:pPr>
        <w:spacing w:after="240"/>
        <w:rPr>
          <w:rFonts w:ascii="Arial" w:hAnsi="Arial" w:cs="Arial"/>
          <w:b/>
          <w:sz w:val="22"/>
          <w:szCs w:val="22"/>
        </w:rPr>
      </w:pPr>
      <w:r>
        <w:rPr>
          <w:rFonts w:ascii="Arial" w:hAnsi="Arial" w:cs="Arial"/>
          <w:b/>
          <w:sz w:val="22"/>
          <w:szCs w:val="22"/>
        </w:rPr>
        <w:t xml:space="preserve">Step 4: </w:t>
      </w:r>
      <w:r w:rsidR="006C5E85" w:rsidRPr="006C5E85">
        <w:rPr>
          <w:rFonts w:ascii="Arial" w:hAnsi="Arial" w:cs="Arial"/>
          <w:b/>
          <w:sz w:val="22"/>
          <w:szCs w:val="22"/>
        </w:rPr>
        <w:t>Close the inhaler</w:t>
      </w:r>
    </w:p>
    <w:p w:rsidR="006C5E85" w:rsidRDefault="006C5E85" w:rsidP="00016C1E">
      <w:pPr>
        <w:pStyle w:val="centheadGDS"/>
        <w:jc w:val="left"/>
        <w:rPr>
          <w:rFonts w:ascii="Arial" w:hAnsi="Arial" w:cs="Arial"/>
          <w:sz w:val="22"/>
          <w:szCs w:val="22"/>
        </w:rPr>
      </w:pPr>
      <w:r w:rsidRPr="006C5E85">
        <w:rPr>
          <w:rFonts w:ascii="Arial" w:hAnsi="Arial" w:cs="Arial"/>
          <w:sz w:val="22"/>
          <w:szCs w:val="22"/>
        </w:rPr>
        <w:t xml:space="preserve">If you want to clean the mouthpiece, use a </w:t>
      </w:r>
      <w:r w:rsidRPr="00016C1E">
        <w:rPr>
          <w:rFonts w:ascii="Arial" w:hAnsi="Arial" w:cs="Arial"/>
          <w:b/>
          <w:sz w:val="22"/>
          <w:szCs w:val="22"/>
        </w:rPr>
        <w:t>dry tissue, before</w:t>
      </w:r>
      <w:r w:rsidRPr="006C5E85">
        <w:rPr>
          <w:rFonts w:ascii="Arial" w:hAnsi="Arial" w:cs="Arial"/>
          <w:sz w:val="22"/>
          <w:szCs w:val="22"/>
        </w:rPr>
        <w:t xml:space="preserve"> you close the cover.</w:t>
      </w:r>
    </w:p>
    <w:p w:rsidR="00016C1E" w:rsidRPr="006C5E85" w:rsidRDefault="00016C1E" w:rsidP="00016C1E">
      <w:pPr>
        <w:pStyle w:val="instruction"/>
        <w:numPr>
          <w:ilvl w:val="0"/>
          <w:numId w:val="24"/>
        </w:numPr>
        <w:rPr>
          <w:rFonts w:ascii="Arial" w:hAnsi="Arial" w:cs="Arial"/>
          <w:b w:val="0"/>
          <w:sz w:val="22"/>
          <w:szCs w:val="22"/>
        </w:rPr>
      </w:pPr>
      <w:r w:rsidRPr="006C5E85">
        <w:rPr>
          <w:rFonts w:ascii="Arial" w:hAnsi="Arial" w:cs="Arial"/>
          <w:b w:val="0"/>
          <w:sz w:val="22"/>
          <w:szCs w:val="22"/>
        </w:rPr>
        <w:t>Slide the cover upwards as far as it will go, to cover the mouthpiece.</w:t>
      </w:r>
    </w:p>
    <w:p w:rsidR="00016C1E" w:rsidRPr="006C5E85" w:rsidRDefault="00016C1E" w:rsidP="00016C1E">
      <w:pPr>
        <w:pStyle w:val="centheadGDS"/>
        <w:jc w:val="left"/>
        <w:rPr>
          <w:rFonts w:ascii="Arial" w:hAnsi="Arial" w:cs="Arial"/>
          <w:sz w:val="22"/>
          <w:szCs w:val="22"/>
        </w:rPr>
      </w:pPr>
    </w:p>
    <w:p w:rsidR="006C5E85" w:rsidRPr="006C5E85" w:rsidRDefault="006354C2" w:rsidP="006C5E85">
      <w:pPr>
        <w:pStyle w:val="centheadGDS"/>
        <w:rPr>
          <w:rFonts w:ascii="Arial" w:hAnsi="Arial" w:cs="Arial"/>
          <w:sz w:val="22"/>
          <w:szCs w:val="22"/>
        </w:rPr>
      </w:pPr>
      <w:r>
        <w:rPr>
          <w:rFonts w:ascii="Arial" w:hAnsi="Arial" w:cs="Arial"/>
          <w:noProof/>
          <w:sz w:val="22"/>
          <w:szCs w:val="22"/>
          <w:lang w:val="en-AU" w:eastAsia="en-AU"/>
        </w:rPr>
        <w:drawing>
          <wp:inline distT="0" distB="0" distL="0" distR="0">
            <wp:extent cx="2419350" cy="2809875"/>
            <wp:effectExtent l="19050" t="0" r="0" b="0"/>
            <wp:docPr id="7" name="Picture 7" descr="Ellipta_step4_di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lipta_step4_diag"/>
                    <pic:cNvPicPr>
                      <a:picLocks noChangeAspect="1" noChangeArrowheads="1"/>
                    </pic:cNvPicPr>
                  </pic:nvPicPr>
                  <pic:blipFill>
                    <a:blip r:embed="rId14" cstate="print"/>
                    <a:srcRect/>
                    <a:stretch>
                      <a:fillRect/>
                    </a:stretch>
                  </pic:blipFill>
                  <pic:spPr bwMode="auto">
                    <a:xfrm>
                      <a:off x="0" y="0"/>
                      <a:ext cx="2419350" cy="2809875"/>
                    </a:xfrm>
                    <a:prstGeom prst="rect">
                      <a:avLst/>
                    </a:prstGeom>
                    <a:noFill/>
                    <a:ln w="9525">
                      <a:noFill/>
                      <a:miter lim="800000"/>
                      <a:headEnd/>
                      <a:tailEnd/>
                    </a:ln>
                  </pic:spPr>
                </pic:pic>
              </a:graphicData>
            </a:graphic>
          </wp:inline>
        </w:drawing>
      </w:r>
    </w:p>
    <w:p w:rsidR="006C5E85" w:rsidRDefault="006C5E85" w:rsidP="006C5E85">
      <w:pPr>
        <w:pStyle w:val="instruction"/>
        <w:numPr>
          <w:ilvl w:val="0"/>
          <w:numId w:val="0"/>
        </w:numPr>
        <w:ind w:left="720"/>
        <w:rPr>
          <w:rFonts w:ascii="Arial" w:hAnsi="Arial" w:cs="Arial"/>
          <w:sz w:val="22"/>
          <w:szCs w:val="22"/>
        </w:rPr>
      </w:pPr>
    </w:p>
    <w:p w:rsidR="00016C1E" w:rsidRDefault="006F62E4" w:rsidP="00D32592">
      <w:pPr>
        <w:pStyle w:val="instruction"/>
        <w:numPr>
          <w:ilvl w:val="0"/>
          <w:numId w:val="0"/>
        </w:numPr>
        <w:rPr>
          <w:rFonts w:ascii="Arial" w:hAnsi="Arial" w:cs="Arial"/>
          <w:b w:val="0"/>
          <w:color w:val="000000"/>
          <w:sz w:val="22"/>
          <w:szCs w:val="22"/>
        </w:rPr>
      </w:pPr>
      <w:r w:rsidRPr="00B11068">
        <w:rPr>
          <w:rStyle w:val="Heading2Char"/>
          <w:b/>
        </w:rPr>
        <w:t>Date of first inclusion in the Australian Register of Therapeutic Goods (the ARTG):</w:t>
      </w:r>
      <w:r w:rsidRPr="002617F1">
        <w:rPr>
          <w:rFonts w:ascii="Arial" w:hAnsi="Arial" w:cs="Arial"/>
          <w:color w:val="000000"/>
          <w:sz w:val="22"/>
          <w:szCs w:val="22"/>
        </w:rPr>
        <w:t xml:space="preserve"> </w:t>
      </w:r>
      <w:r w:rsidR="00D32592">
        <w:rPr>
          <w:rFonts w:ascii="Arial" w:hAnsi="Arial" w:cs="Arial"/>
          <w:color w:val="000000"/>
          <w:sz w:val="22"/>
          <w:szCs w:val="22"/>
        </w:rPr>
        <w:t xml:space="preserve"> </w:t>
      </w:r>
      <w:r w:rsidR="00D32592">
        <w:rPr>
          <w:rFonts w:ascii="Arial" w:hAnsi="Arial" w:cs="Arial"/>
          <w:b w:val="0"/>
          <w:color w:val="000000"/>
          <w:sz w:val="22"/>
          <w:szCs w:val="22"/>
        </w:rPr>
        <w:t>8 July 2014</w:t>
      </w:r>
    </w:p>
    <w:p w:rsidR="00B912F6" w:rsidRPr="006C5E85" w:rsidRDefault="00B912F6" w:rsidP="006F62E4">
      <w:pPr>
        <w:pStyle w:val="instruction"/>
        <w:numPr>
          <w:ilvl w:val="0"/>
          <w:numId w:val="0"/>
        </w:numPr>
        <w:ind w:left="284" w:hanging="284"/>
        <w:rPr>
          <w:rFonts w:ascii="Arial" w:hAnsi="Arial" w:cs="Arial"/>
          <w:sz w:val="22"/>
          <w:szCs w:val="22"/>
        </w:rPr>
      </w:pPr>
    </w:p>
    <w:p w:rsidR="00835916" w:rsidRPr="002617F1" w:rsidRDefault="00A07727" w:rsidP="0037098C">
      <w:pPr>
        <w:spacing w:after="240"/>
        <w:jc w:val="both"/>
        <w:rPr>
          <w:rFonts w:ascii="Arial" w:hAnsi="Arial" w:cs="Arial"/>
          <w:color w:val="000000"/>
        </w:rPr>
      </w:pPr>
      <w:r>
        <w:rPr>
          <w:rFonts w:ascii="Arial" w:hAnsi="Arial" w:cs="Arial"/>
          <w:color w:val="000000"/>
        </w:rPr>
        <w:t>INCRUSE</w:t>
      </w:r>
      <w:r w:rsidR="005A75C8" w:rsidRPr="002617F1">
        <w:rPr>
          <w:rFonts w:ascii="Arial" w:hAnsi="Arial" w:cs="Arial"/>
          <w:color w:val="000000"/>
        </w:rPr>
        <w:t xml:space="preserve"> </w:t>
      </w:r>
      <w:r w:rsidR="0037098C">
        <w:rPr>
          <w:rFonts w:ascii="Arial" w:hAnsi="Arial" w:cs="Arial"/>
          <w:color w:val="000000"/>
        </w:rPr>
        <w:t xml:space="preserve">and ELLIPTA are </w:t>
      </w:r>
      <w:r w:rsidR="00835916">
        <w:rPr>
          <w:rFonts w:ascii="Arial" w:hAnsi="Arial" w:cs="Arial"/>
          <w:color w:val="000000"/>
        </w:rPr>
        <w:t>registered</w:t>
      </w:r>
      <w:r w:rsidR="00835916" w:rsidRPr="002617F1">
        <w:rPr>
          <w:rFonts w:ascii="Arial" w:hAnsi="Arial" w:cs="Arial"/>
          <w:color w:val="000000"/>
        </w:rPr>
        <w:t xml:space="preserve"> trade mark</w:t>
      </w:r>
      <w:r w:rsidR="0037098C">
        <w:rPr>
          <w:rFonts w:ascii="Arial" w:hAnsi="Arial" w:cs="Arial"/>
          <w:color w:val="000000"/>
        </w:rPr>
        <w:t>s</w:t>
      </w:r>
      <w:r w:rsidR="00835916" w:rsidRPr="002617F1">
        <w:rPr>
          <w:rFonts w:ascii="Arial" w:hAnsi="Arial" w:cs="Arial"/>
          <w:color w:val="000000"/>
        </w:rPr>
        <w:t xml:space="preserve"> of the GlaxoSmithKline group of companies.</w:t>
      </w:r>
    </w:p>
    <w:p w:rsidR="00053893" w:rsidRPr="006C665D" w:rsidRDefault="004F640B" w:rsidP="006C665D">
      <w:pPr>
        <w:spacing w:after="240"/>
        <w:jc w:val="both"/>
        <w:rPr>
          <w:rFonts w:ascii="Arial" w:hAnsi="Arial" w:cs="Arial"/>
          <w:color w:val="000000"/>
          <w:sz w:val="22"/>
          <w:szCs w:val="22"/>
        </w:rPr>
      </w:pPr>
      <w:r w:rsidRPr="002617F1">
        <w:rPr>
          <w:rFonts w:ascii="Arial" w:hAnsi="Arial" w:cs="Arial"/>
          <w:color w:val="000000"/>
          <w:sz w:val="22"/>
          <w:szCs w:val="22"/>
        </w:rPr>
        <w:t>Version 1.0</w:t>
      </w:r>
    </w:p>
    <w:sectPr w:rsidR="00053893" w:rsidRPr="006C665D" w:rsidSect="00C556BA">
      <w:headerReference w:type="default" r:id="rId15"/>
      <w:footerReference w:type="default" r:id="rId16"/>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12D" w:rsidRDefault="00EF312D" w:rsidP="007E0C5E">
      <w:r>
        <w:separator/>
      </w:r>
    </w:p>
  </w:endnote>
  <w:endnote w:type="continuationSeparator" w:id="0">
    <w:p w:rsidR="00EF312D" w:rsidRDefault="00EF312D"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12D" w:rsidRPr="00E8070F" w:rsidRDefault="00EF312D" w:rsidP="00AD2C82">
    <w:pPr>
      <w:pStyle w:val="Footer"/>
      <w:tabs>
        <w:tab w:val="clear" w:pos="8306"/>
        <w:tab w:val="right" w:pos="8880"/>
      </w:tabs>
      <w:spacing w:before="240"/>
      <w:rPr>
        <w:rFonts w:ascii="Arial" w:hAnsi="Arial" w:cs="Arial"/>
        <w:sz w:val="22"/>
        <w:szCs w:val="16"/>
      </w:rPr>
    </w:pPr>
    <w:r w:rsidRPr="005D14FF">
      <w:rPr>
        <w:rFonts w:ascii="Arial" w:hAnsi="Arial" w:cs="Arial"/>
        <w:sz w:val="16"/>
        <w:szCs w:val="16"/>
      </w:rPr>
      <w:tab/>
    </w:r>
    <w:r w:rsidR="00CA433F" w:rsidRPr="00E8070F">
      <w:rPr>
        <w:rStyle w:val="PageNumber"/>
        <w:rFonts w:ascii="Arial" w:hAnsi="Arial" w:cs="Arial"/>
        <w:sz w:val="22"/>
        <w:szCs w:val="16"/>
      </w:rPr>
      <w:fldChar w:fldCharType="begin"/>
    </w:r>
    <w:r w:rsidRPr="00E8070F">
      <w:rPr>
        <w:rStyle w:val="PageNumber"/>
        <w:rFonts w:ascii="Arial" w:hAnsi="Arial" w:cs="Arial"/>
        <w:sz w:val="22"/>
        <w:szCs w:val="16"/>
      </w:rPr>
      <w:instrText xml:space="preserve"> PAGE </w:instrText>
    </w:r>
    <w:r w:rsidR="00CA433F" w:rsidRPr="00E8070F">
      <w:rPr>
        <w:rStyle w:val="PageNumber"/>
        <w:rFonts w:ascii="Arial" w:hAnsi="Arial" w:cs="Arial"/>
        <w:sz w:val="22"/>
        <w:szCs w:val="16"/>
      </w:rPr>
      <w:fldChar w:fldCharType="separate"/>
    </w:r>
    <w:r w:rsidR="00D97E91">
      <w:rPr>
        <w:rStyle w:val="PageNumber"/>
        <w:rFonts w:ascii="Arial" w:hAnsi="Arial" w:cs="Arial"/>
        <w:noProof/>
        <w:sz w:val="22"/>
        <w:szCs w:val="16"/>
      </w:rPr>
      <w:t>15</w:t>
    </w:r>
    <w:r w:rsidR="00CA433F" w:rsidRPr="00E8070F">
      <w:rPr>
        <w:rStyle w:val="PageNumber"/>
        <w:rFonts w:ascii="Arial" w:hAnsi="Arial" w:cs="Arial"/>
        <w:sz w:val="22"/>
        <w:szCs w:val="16"/>
      </w:rPr>
      <w:fldChar w:fldCharType="end"/>
    </w:r>
    <w:r w:rsidRPr="00E8070F">
      <w:rPr>
        <w:rStyle w:val="PageNumber"/>
        <w:rFonts w:ascii="Arial" w:hAnsi="Arial" w:cs="Arial"/>
        <w:sz w:val="22"/>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12D" w:rsidRDefault="00EF312D" w:rsidP="007E0C5E">
      <w:r>
        <w:separator/>
      </w:r>
    </w:p>
  </w:footnote>
  <w:footnote w:type="continuationSeparator" w:id="0">
    <w:p w:rsidR="00EF312D" w:rsidRDefault="00EF312D"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5D4DCB" w:rsidTr="008E427A">
      <w:tc>
        <w:tcPr>
          <w:tcW w:w="8720" w:type="dxa"/>
          <w:shd w:val="clear" w:color="auto" w:fill="E4F2E0"/>
        </w:tcPr>
        <w:p w:rsidR="005D4DCB" w:rsidRPr="005D4DCB" w:rsidRDefault="005D4DCB" w:rsidP="008E427A">
          <w:pPr>
            <w:spacing w:before="40" w:after="40"/>
            <w:rPr>
              <w:rFonts w:ascii="Cambria" w:hAnsi="Cambria"/>
              <w:b/>
            </w:rPr>
          </w:pPr>
          <w:r w:rsidRPr="005D4DCB">
            <w:rPr>
              <w:rFonts w:ascii="Cambria" w:hAnsi="Cambria"/>
              <w:b/>
            </w:rPr>
            <w:t xml:space="preserve">Attachment 1: Product information for AusPAR </w:t>
          </w:r>
          <w:proofErr w:type="spellStart"/>
          <w:r w:rsidRPr="005D4DCB">
            <w:rPr>
              <w:rFonts w:ascii="Cambria" w:hAnsi="Cambria"/>
              <w:b/>
            </w:rPr>
            <w:t>Incruse</w:t>
          </w:r>
          <w:proofErr w:type="spellEnd"/>
          <w:r w:rsidRPr="005D4DCB">
            <w:rPr>
              <w:rFonts w:ascii="Cambria" w:hAnsi="Cambria"/>
              <w:b/>
            </w:rPr>
            <w:t xml:space="preserve"> </w:t>
          </w:r>
          <w:proofErr w:type="spellStart"/>
          <w:r w:rsidRPr="005D4DCB">
            <w:rPr>
              <w:rFonts w:ascii="Cambria" w:hAnsi="Cambria"/>
              <w:b/>
            </w:rPr>
            <w:t>Ellipta</w:t>
          </w:r>
          <w:proofErr w:type="spellEnd"/>
          <w:r w:rsidRPr="005D4DCB">
            <w:rPr>
              <w:rFonts w:ascii="Cambria" w:hAnsi="Cambria"/>
              <w:b/>
            </w:rPr>
            <w:t xml:space="preserve"> </w:t>
          </w:r>
          <w:proofErr w:type="spellStart"/>
          <w:r w:rsidRPr="005D4DCB">
            <w:rPr>
              <w:rFonts w:ascii="Cambria" w:hAnsi="Cambria"/>
              <w:b/>
            </w:rPr>
            <w:t>umeclidinium</w:t>
          </w:r>
          <w:proofErr w:type="spellEnd"/>
          <w:r w:rsidRPr="005D4DCB">
            <w:rPr>
              <w:rFonts w:ascii="Cambria" w:hAnsi="Cambria"/>
              <w:b/>
            </w:rPr>
            <w:t xml:space="preserve"> (as bromide) GlaxoSmithKline Australia Pty Ltd PM-2013-01505-1-5 FINAL 9 July 2015. This Product Information was approved at the time this AusPAR was published.</w:t>
          </w:r>
        </w:p>
      </w:tc>
    </w:tr>
  </w:tbl>
  <w:p w:rsidR="005D4DCB" w:rsidRDefault="005D4D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93E29"/>
    <w:multiLevelType w:val="hybridMultilevel"/>
    <w:tmpl w:val="CEB6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83108"/>
    <w:multiLevelType w:val="hybridMultilevel"/>
    <w:tmpl w:val="1BACF568"/>
    <w:lvl w:ilvl="0" w:tplc="2B943AD8">
      <w:start w:val="1"/>
      <w:numFmt w:val="bullet"/>
      <w:pStyle w:val="instructio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B67D9"/>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782B55"/>
    <w:multiLevelType w:val="hybridMultilevel"/>
    <w:tmpl w:val="09F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5E230E"/>
    <w:multiLevelType w:val="hybridMultilevel"/>
    <w:tmpl w:val="5B6C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nsid w:val="370C0E81"/>
    <w:multiLevelType w:val="hybridMultilevel"/>
    <w:tmpl w:val="4110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574018"/>
    <w:multiLevelType w:val="hybridMultilevel"/>
    <w:tmpl w:val="28268C9E"/>
    <w:lvl w:ilvl="0" w:tplc="0ED096D2">
      <w:start w:val="1"/>
      <w:numFmt w:val="bullet"/>
      <w:pStyle w:val="Warning"/>
      <w:lvlText w:val="!"/>
      <w:lvlJc w:val="left"/>
      <w:pPr>
        <w:ind w:left="720" w:hanging="360"/>
      </w:pPr>
      <w:rPr>
        <w:rFonts w:ascii="Arial Black" w:hAnsi="Arial Black"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62499"/>
    <w:multiLevelType w:val="hybridMultilevel"/>
    <w:tmpl w:val="69AC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BD42677"/>
    <w:multiLevelType w:val="hybridMultilevel"/>
    <w:tmpl w:val="8796FE3E"/>
    <w:lvl w:ilvl="0" w:tplc="D16A58C0">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D217F5B"/>
    <w:multiLevelType w:val="hybridMultilevel"/>
    <w:tmpl w:val="85825D46"/>
    <w:lvl w:ilvl="0" w:tplc="AE78AEE2">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3D2536"/>
    <w:multiLevelType w:val="hybridMultilevel"/>
    <w:tmpl w:val="6F06D2A8"/>
    <w:lvl w:ilvl="0" w:tplc="29B08DC0">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5">
    <w:nsid w:val="5F840F6B"/>
    <w:multiLevelType w:val="hybridMultilevel"/>
    <w:tmpl w:val="44E0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B473E6"/>
    <w:multiLevelType w:val="hybridMultilevel"/>
    <w:tmpl w:val="3E7C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1"/>
  </w:num>
  <w:num w:numId="4">
    <w:abstractNumId w:val="17"/>
  </w:num>
  <w:num w:numId="5">
    <w:abstractNumId w:val="4"/>
  </w:num>
  <w:num w:numId="6">
    <w:abstractNumId w:val="20"/>
  </w:num>
  <w:num w:numId="7">
    <w:abstractNumId w:val="29"/>
  </w:num>
  <w:num w:numId="8">
    <w:abstractNumId w:val="10"/>
  </w:num>
  <w:num w:numId="9">
    <w:abstractNumId w:val="3"/>
  </w:num>
  <w:num w:numId="10">
    <w:abstractNumId w:val="28"/>
  </w:num>
  <w:num w:numId="11">
    <w:abstractNumId w:val="26"/>
  </w:num>
  <w:num w:numId="12">
    <w:abstractNumId w:val="7"/>
  </w:num>
  <w:num w:numId="13">
    <w:abstractNumId w:val="14"/>
  </w:num>
  <w:num w:numId="14">
    <w:abstractNumId w:val="0"/>
  </w:num>
  <w:num w:numId="15">
    <w:abstractNumId w:val="5"/>
  </w:num>
  <w:num w:numId="16">
    <w:abstractNumId w:val="2"/>
  </w:num>
  <w:num w:numId="17">
    <w:abstractNumId w:val="15"/>
  </w:num>
  <w:num w:numId="18">
    <w:abstractNumId w:val="16"/>
  </w:num>
  <w:num w:numId="19">
    <w:abstractNumId w:val="8"/>
  </w:num>
  <w:num w:numId="20">
    <w:abstractNumId w:val="6"/>
  </w:num>
  <w:num w:numId="21">
    <w:abstractNumId w:val="25"/>
  </w:num>
  <w:num w:numId="22">
    <w:abstractNumId w:val="1"/>
  </w:num>
  <w:num w:numId="23">
    <w:abstractNumId w:val="19"/>
  </w:num>
  <w:num w:numId="24">
    <w:abstractNumId w:val="23"/>
  </w:num>
  <w:num w:numId="25">
    <w:abstractNumId w:val="9"/>
  </w:num>
  <w:num w:numId="26">
    <w:abstractNumId w:val="22"/>
  </w:num>
  <w:num w:numId="27">
    <w:abstractNumId w:val="11"/>
  </w:num>
  <w:num w:numId="28">
    <w:abstractNumId w:val="13"/>
  </w:num>
  <w:num w:numId="29">
    <w:abstractNumId w:val="24"/>
  </w:num>
  <w:num w:numId="30">
    <w:abstractNumId w:val="3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7380F"/>
    <w:rsid w:val="00004783"/>
    <w:rsid w:val="00016C1E"/>
    <w:rsid w:val="00034A68"/>
    <w:rsid w:val="000439E5"/>
    <w:rsid w:val="00053893"/>
    <w:rsid w:val="000656EB"/>
    <w:rsid w:val="00070FFF"/>
    <w:rsid w:val="000724AE"/>
    <w:rsid w:val="00097B4F"/>
    <w:rsid w:val="000A3FAA"/>
    <w:rsid w:val="000B398B"/>
    <w:rsid w:val="000B3F7C"/>
    <w:rsid w:val="000B4922"/>
    <w:rsid w:val="000C63C2"/>
    <w:rsid w:val="000D2635"/>
    <w:rsid w:val="000E190A"/>
    <w:rsid w:val="000E4CE7"/>
    <w:rsid w:val="00130BBC"/>
    <w:rsid w:val="00144A37"/>
    <w:rsid w:val="00144CB4"/>
    <w:rsid w:val="0014547A"/>
    <w:rsid w:val="001457C9"/>
    <w:rsid w:val="00147238"/>
    <w:rsid w:val="001673AA"/>
    <w:rsid w:val="00190ECB"/>
    <w:rsid w:val="00194BC4"/>
    <w:rsid w:val="00197076"/>
    <w:rsid w:val="001A04C1"/>
    <w:rsid w:val="001A3375"/>
    <w:rsid w:val="001B0DE4"/>
    <w:rsid w:val="001D3BD3"/>
    <w:rsid w:val="001E3B9A"/>
    <w:rsid w:val="001E688E"/>
    <w:rsid w:val="001F13C1"/>
    <w:rsid w:val="00203C20"/>
    <w:rsid w:val="00232905"/>
    <w:rsid w:val="00242B97"/>
    <w:rsid w:val="00254BBB"/>
    <w:rsid w:val="002617F1"/>
    <w:rsid w:val="0027194F"/>
    <w:rsid w:val="002822E2"/>
    <w:rsid w:val="00282DBD"/>
    <w:rsid w:val="00286D1A"/>
    <w:rsid w:val="0029354D"/>
    <w:rsid w:val="00293F0B"/>
    <w:rsid w:val="002E716A"/>
    <w:rsid w:val="003215C0"/>
    <w:rsid w:val="003221BC"/>
    <w:rsid w:val="003242AE"/>
    <w:rsid w:val="0032667F"/>
    <w:rsid w:val="0033003D"/>
    <w:rsid w:val="00347F38"/>
    <w:rsid w:val="00351530"/>
    <w:rsid w:val="00355AC1"/>
    <w:rsid w:val="0037098C"/>
    <w:rsid w:val="0037189A"/>
    <w:rsid w:val="00376A07"/>
    <w:rsid w:val="0038051E"/>
    <w:rsid w:val="00381DA3"/>
    <w:rsid w:val="00385B7E"/>
    <w:rsid w:val="00385CA7"/>
    <w:rsid w:val="00392DBA"/>
    <w:rsid w:val="003A1297"/>
    <w:rsid w:val="003A21A0"/>
    <w:rsid w:val="003A7D12"/>
    <w:rsid w:val="003B025F"/>
    <w:rsid w:val="003B66B2"/>
    <w:rsid w:val="003B7C47"/>
    <w:rsid w:val="003C76F4"/>
    <w:rsid w:val="003E7B15"/>
    <w:rsid w:val="003F4366"/>
    <w:rsid w:val="003F5082"/>
    <w:rsid w:val="00411D6E"/>
    <w:rsid w:val="00420350"/>
    <w:rsid w:val="00432DE7"/>
    <w:rsid w:val="00446CAB"/>
    <w:rsid w:val="004503F4"/>
    <w:rsid w:val="00466BEF"/>
    <w:rsid w:val="004674D2"/>
    <w:rsid w:val="00472BC6"/>
    <w:rsid w:val="004813E4"/>
    <w:rsid w:val="00485792"/>
    <w:rsid w:val="00493178"/>
    <w:rsid w:val="004A76F4"/>
    <w:rsid w:val="004C28CD"/>
    <w:rsid w:val="004D21D2"/>
    <w:rsid w:val="004D29F6"/>
    <w:rsid w:val="004D2AA3"/>
    <w:rsid w:val="004D77ED"/>
    <w:rsid w:val="004F52BA"/>
    <w:rsid w:val="004F640B"/>
    <w:rsid w:val="00506761"/>
    <w:rsid w:val="00512A89"/>
    <w:rsid w:val="00525CE1"/>
    <w:rsid w:val="00540A58"/>
    <w:rsid w:val="005435F6"/>
    <w:rsid w:val="005556D1"/>
    <w:rsid w:val="0056204A"/>
    <w:rsid w:val="00564903"/>
    <w:rsid w:val="00565670"/>
    <w:rsid w:val="0057149E"/>
    <w:rsid w:val="00571510"/>
    <w:rsid w:val="00577DCC"/>
    <w:rsid w:val="00581CA4"/>
    <w:rsid w:val="005840D7"/>
    <w:rsid w:val="0059084C"/>
    <w:rsid w:val="005A2838"/>
    <w:rsid w:val="005A75C8"/>
    <w:rsid w:val="005B15DB"/>
    <w:rsid w:val="005C406F"/>
    <w:rsid w:val="005D14FF"/>
    <w:rsid w:val="005D2B93"/>
    <w:rsid w:val="005D4DCB"/>
    <w:rsid w:val="005E5A6A"/>
    <w:rsid w:val="005F48CD"/>
    <w:rsid w:val="00600339"/>
    <w:rsid w:val="006175B6"/>
    <w:rsid w:val="0062438E"/>
    <w:rsid w:val="006354C2"/>
    <w:rsid w:val="00636CF1"/>
    <w:rsid w:val="006519D6"/>
    <w:rsid w:val="00652AFF"/>
    <w:rsid w:val="00654D24"/>
    <w:rsid w:val="00675F23"/>
    <w:rsid w:val="00690B36"/>
    <w:rsid w:val="00697766"/>
    <w:rsid w:val="006A570A"/>
    <w:rsid w:val="006A580B"/>
    <w:rsid w:val="006B5E08"/>
    <w:rsid w:val="006C5E85"/>
    <w:rsid w:val="006C665D"/>
    <w:rsid w:val="006E37C3"/>
    <w:rsid w:val="006E559B"/>
    <w:rsid w:val="006F03BB"/>
    <w:rsid w:val="006F6229"/>
    <w:rsid w:val="006F62E4"/>
    <w:rsid w:val="00720C0F"/>
    <w:rsid w:val="00724541"/>
    <w:rsid w:val="00724AA2"/>
    <w:rsid w:val="00763D7C"/>
    <w:rsid w:val="00765B4A"/>
    <w:rsid w:val="00771B61"/>
    <w:rsid w:val="0077380F"/>
    <w:rsid w:val="00773D97"/>
    <w:rsid w:val="007760F7"/>
    <w:rsid w:val="00781B86"/>
    <w:rsid w:val="00796D87"/>
    <w:rsid w:val="007A0414"/>
    <w:rsid w:val="007A4294"/>
    <w:rsid w:val="007B07D9"/>
    <w:rsid w:val="007D722A"/>
    <w:rsid w:val="007E0C5E"/>
    <w:rsid w:val="007E1D80"/>
    <w:rsid w:val="008131F3"/>
    <w:rsid w:val="00815AC1"/>
    <w:rsid w:val="00820F0D"/>
    <w:rsid w:val="00835916"/>
    <w:rsid w:val="00837746"/>
    <w:rsid w:val="008468EF"/>
    <w:rsid w:val="0087188D"/>
    <w:rsid w:val="008955D7"/>
    <w:rsid w:val="008A055B"/>
    <w:rsid w:val="008A1EF6"/>
    <w:rsid w:val="008B2231"/>
    <w:rsid w:val="008F1ED9"/>
    <w:rsid w:val="008F5A0C"/>
    <w:rsid w:val="00916142"/>
    <w:rsid w:val="009214CA"/>
    <w:rsid w:val="009221C3"/>
    <w:rsid w:val="00941367"/>
    <w:rsid w:val="00943375"/>
    <w:rsid w:val="00955515"/>
    <w:rsid w:val="0095734D"/>
    <w:rsid w:val="0098799F"/>
    <w:rsid w:val="00990480"/>
    <w:rsid w:val="009B088E"/>
    <w:rsid w:val="009C22D2"/>
    <w:rsid w:val="009C2789"/>
    <w:rsid w:val="009D2614"/>
    <w:rsid w:val="009D48C4"/>
    <w:rsid w:val="009D7A83"/>
    <w:rsid w:val="009E1C18"/>
    <w:rsid w:val="009E76F1"/>
    <w:rsid w:val="009F0241"/>
    <w:rsid w:val="009F71AD"/>
    <w:rsid w:val="00A001D6"/>
    <w:rsid w:val="00A06D92"/>
    <w:rsid w:val="00A07727"/>
    <w:rsid w:val="00A44041"/>
    <w:rsid w:val="00A52415"/>
    <w:rsid w:val="00A52F10"/>
    <w:rsid w:val="00A60D2E"/>
    <w:rsid w:val="00A93928"/>
    <w:rsid w:val="00AA33DA"/>
    <w:rsid w:val="00AB0605"/>
    <w:rsid w:val="00AC2A20"/>
    <w:rsid w:val="00AC3812"/>
    <w:rsid w:val="00AD2C82"/>
    <w:rsid w:val="00AF4EDB"/>
    <w:rsid w:val="00B07CF3"/>
    <w:rsid w:val="00B100DA"/>
    <w:rsid w:val="00B11068"/>
    <w:rsid w:val="00B1405D"/>
    <w:rsid w:val="00B14BAF"/>
    <w:rsid w:val="00B173C4"/>
    <w:rsid w:val="00B27CE6"/>
    <w:rsid w:val="00B35452"/>
    <w:rsid w:val="00B42442"/>
    <w:rsid w:val="00B47B0C"/>
    <w:rsid w:val="00B57901"/>
    <w:rsid w:val="00B6645E"/>
    <w:rsid w:val="00B67D3C"/>
    <w:rsid w:val="00B833BE"/>
    <w:rsid w:val="00B912F6"/>
    <w:rsid w:val="00B9174B"/>
    <w:rsid w:val="00B96FA0"/>
    <w:rsid w:val="00BA3BD9"/>
    <w:rsid w:val="00BA716E"/>
    <w:rsid w:val="00BC2105"/>
    <w:rsid w:val="00BC4004"/>
    <w:rsid w:val="00BC7F72"/>
    <w:rsid w:val="00BD45E7"/>
    <w:rsid w:val="00BE29E2"/>
    <w:rsid w:val="00BF7A0D"/>
    <w:rsid w:val="00BF7CD8"/>
    <w:rsid w:val="00C01D6E"/>
    <w:rsid w:val="00C42AF2"/>
    <w:rsid w:val="00C44DE0"/>
    <w:rsid w:val="00C556BA"/>
    <w:rsid w:val="00C62A2D"/>
    <w:rsid w:val="00C63332"/>
    <w:rsid w:val="00C66CB0"/>
    <w:rsid w:val="00C70077"/>
    <w:rsid w:val="00C84557"/>
    <w:rsid w:val="00C873FC"/>
    <w:rsid w:val="00C879B5"/>
    <w:rsid w:val="00CA058B"/>
    <w:rsid w:val="00CA433F"/>
    <w:rsid w:val="00CB06AD"/>
    <w:rsid w:val="00CB68E9"/>
    <w:rsid w:val="00CD23FE"/>
    <w:rsid w:val="00CD411F"/>
    <w:rsid w:val="00CE2803"/>
    <w:rsid w:val="00CE6D72"/>
    <w:rsid w:val="00D06FFC"/>
    <w:rsid w:val="00D0777C"/>
    <w:rsid w:val="00D1039F"/>
    <w:rsid w:val="00D11C61"/>
    <w:rsid w:val="00D131B6"/>
    <w:rsid w:val="00D13E8C"/>
    <w:rsid w:val="00D1526E"/>
    <w:rsid w:val="00D32592"/>
    <w:rsid w:val="00D37771"/>
    <w:rsid w:val="00D37BE1"/>
    <w:rsid w:val="00D43989"/>
    <w:rsid w:val="00D4677C"/>
    <w:rsid w:val="00D60294"/>
    <w:rsid w:val="00D62AAF"/>
    <w:rsid w:val="00D62C6D"/>
    <w:rsid w:val="00D84696"/>
    <w:rsid w:val="00D903DD"/>
    <w:rsid w:val="00D97E91"/>
    <w:rsid w:val="00DA0685"/>
    <w:rsid w:val="00DA7280"/>
    <w:rsid w:val="00DA7A33"/>
    <w:rsid w:val="00DD1C62"/>
    <w:rsid w:val="00DE1132"/>
    <w:rsid w:val="00DE64D8"/>
    <w:rsid w:val="00E16D7E"/>
    <w:rsid w:val="00E17279"/>
    <w:rsid w:val="00E17A31"/>
    <w:rsid w:val="00E234E5"/>
    <w:rsid w:val="00E31477"/>
    <w:rsid w:val="00E63D89"/>
    <w:rsid w:val="00E677B4"/>
    <w:rsid w:val="00E73FD8"/>
    <w:rsid w:val="00E8070F"/>
    <w:rsid w:val="00E81E59"/>
    <w:rsid w:val="00E9209F"/>
    <w:rsid w:val="00EA0F1E"/>
    <w:rsid w:val="00EA1D4F"/>
    <w:rsid w:val="00EA6120"/>
    <w:rsid w:val="00EC1BFB"/>
    <w:rsid w:val="00ED4DF0"/>
    <w:rsid w:val="00ED5F8F"/>
    <w:rsid w:val="00EE341A"/>
    <w:rsid w:val="00EE3C00"/>
    <w:rsid w:val="00EF05A1"/>
    <w:rsid w:val="00EF312D"/>
    <w:rsid w:val="00F11C97"/>
    <w:rsid w:val="00F34A85"/>
    <w:rsid w:val="00F370E3"/>
    <w:rsid w:val="00F40D53"/>
    <w:rsid w:val="00F44D96"/>
    <w:rsid w:val="00F531D1"/>
    <w:rsid w:val="00F6378A"/>
    <w:rsid w:val="00F643B6"/>
    <w:rsid w:val="00F67F37"/>
    <w:rsid w:val="00F812B5"/>
    <w:rsid w:val="00F84E4F"/>
    <w:rsid w:val="00F87068"/>
    <w:rsid w:val="00FB65B6"/>
    <w:rsid w:val="00FB6B61"/>
    <w:rsid w:val="00FC0A63"/>
    <w:rsid w:val="00FC5802"/>
    <w:rsid w:val="00FC7660"/>
    <w:rsid w:val="00FD16E5"/>
    <w:rsid w:val="00FD68A4"/>
    <w:rsid w:val="00FF6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1BC"/>
  </w:style>
  <w:style w:type="paragraph" w:styleId="Heading1">
    <w:name w:val="heading 1"/>
    <w:basedOn w:val="Normal"/>
    <w:next w:val="Normal"/>
    <w:link w:val="Heading1Char"/>
    <w:uiPriority w:val="9"/>
    <w:qFormat/>
    <w:rsid w:val="00773D97"/>
    <w:pPr>
      <w:keepNext/>
      <w:keepLines/>
      <w:spacing w:before="240" w:after="240"/>
      <w:outlineLvl w:val="0"/>
    </w:pPr>
    <w:rPr>
      <w:rFonts w:ascii="Arial" w:eastAsiaTheme="majorEastAsia" w:hAnsi="Arial" w:cstheme="majorBidi"/>
      <w:b/>
      <w:bCs/>
      <w:sz w:val="24"/>
      <w:szCs w:val="28"/>
    </w:rPr>
  </w:style>
  <w:style w:type="paragraph" w:styleId="Heading2">
    <w:name w:val="heading 2"/>
    <w:basedOn w:val="Normal"/>
    <w:link w:val="Heading2Char"/>
    <w:uiPriority w:val="9"/>
    <w:qFormat/>
    <w:rsid w:val="0032667F"/>
    <w:pPr>
      <w:spacing w:before="120" w:after="120"/>
      <w:outlineLvl w:val="1"/>
    </w:pPr>
    <w:rPr>
      <w:rFonts w:ascii="Arial" w:hAnsi="Arial"/>
      <w:b/>
      <w:bCs/>
      <w:sz w:val="22"/>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character" w:customStyle="1" w:styleId="Heading2Char">
    <w:name w:val="Heading 2 Char"/>
    <w:basedOn w:val="DefaultParagraphFont"/>
    <w:link w:val="Heading2"/>
    <w:uiPriority w:val="9"/>
    <w:rsid w:val="0032667F"/>
    <w:rPr>
      <w:rFonts w:ascii="Arial" w:hAnsi="Arial"/>
      <w:b/>
      <w:bCs/>
      <w:sz w:val="22"/>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character" w:customStyle="1" w:styleId="CSI">
    <w:name w:val="CSI"/>
    <w:basedOn w:val="DefaultParagraphFont"/>
    <w:uiPriority w:val="1"/>
    <w:qFormat/>
    <w:rsid w:val="005A75C8"/>
    <w:rPr>
      <w:bdr w:val="none" w:sz="0" w:space="0" w:color="auto"/>
      <w:shd w:val="clear" w:color="auto" w:fill="BFBFBF"/>
    </w:rPr>
  </w:style>
  <w:style w:type="paragraph" w:customStyle="1" w:styleId="NoNumHead3">
    <w:name w:val="NoNum:Head3"/>
    <w:basedOn w:val="Normal"/>
    <w:next w:val="Normal"/>
    <w:rsid w:val="005A75C8"/>
    <w:pPr>
      <w:keepNext/>
      <w:spacing w:before="120" w:after="240"/>
      <w:outlineLvl w:val="0"/>
    </w:pPr>
    <w:rPr>
      <w:rFonts w:ascii="Arial" w:hAnsi="Arial" w:cs="Arial"/>
      <w:b/>
      <w:bCs/>
      <w:sz w:val="24"/>
      <w:szCs w:val="24"/>
      <w:lang w:val="en-GB" w:eastAsia="en-GB"/>
    </w:rPr>
  </w:style>
  <w:style w:type="paragraph" w:customStyle="1" w:styleId="NoNumHead2">
    <w:name w:val="NoNum:Head2"/>
    <w:basedOn w:val="Normal"/>
    <w:next w:val="Normal"/>
    <w:link w:val="NoNumHead2Char"/>
    <w:rsid w:val="005A75C8"/>
    <w:pPr>
      <w:keepNext/>
      <w:spacing w:before="120" w:after="240"/>
      <w:outlineLvl w:val="0"/>
    </w:pPr>
    <w:rPr>
      <w:rFonts w:ascii="Arial" w:hAnsi="Arial" w:cs="Arial"/>
      <w:b/>
      <w:bCs/>
      <w:sz w:val="26"/>
      <w:szCs w:val="26"/>
      <w:lang w:val="en-GB" w:eastAsia="en-GB"/>
    </w:rPr>
  </w:style>
  <w:style w:type="character" w:customStyle="1" w:styleId="NoNumHead2Char">
    <w:name w:val="NoNum:Head2 Char"/>
    <w:basedOn w:val="DefaultParagraphFont"/>
    <w:link w:val="NoNumHead2"/>
    <w:rsid w:val="005A75C8"/>
    <w:rPr>
      <w:rFonts w:ascii="Arial" w:hAnsi="Arial" w:cs="Arial"/>
      <w:b/>
      <w:bCs/>
      <w:sz w:val="26"/>
      <w:szCs w:val="26"/>
      <w:lang w:val="en-GB" w:eastAsia="en-GB"/>
    </w:rPr>
  </w:style>
  <w:style w:type="paragraph" w:customStyle="1" w:styleId="listssp">
    <w:name w:val="list:ssp"/>
    <w:basedOn w:val="Normal"/>
    <w:rsid w:val="005A75C8"/>
    <w:rPr>
      <w:sz w:val="24"/>
      <w:lang w:val="en-GB" w:eastAsia="en-GB"/>
    </w:rPr>
  </w:style>
  <w:style w:type="paragraph" w:customStyle="1" w:styleId="NoNumHead4">
    <w:name w:val="NoNum:Head4"/>
    <w:basedOn w:val="NoNumHead3"/>
    <w:next w:val="Normal"/>
    <w:link w:val="NoNumHead4Char"/>
    <w:rsid w:val="007E1D80"/>
    <w:rPr>
      <w:sz w:val="22"/>
      <w:szCs w:val="22"/>
    </w:rPr>
  </w:style>
  <w:style w:type="paragraph" w:customStyle="1" w:styleId="NoNumHead5">
    <w:name w:val="NoNum:Head5"/>
    <w:basedOn w:val="NoNumHead4"/>
    <w:next w:val="Normal"/>
    <w:rsid w:val="007E1D80"/>
    <w:pPr>
      <w:spacing w:before="0"/>
    </w:pPr>
    <w:rPr>
      <w:i/>
      <w:iCs/>
    </w:rPr>
  </w:style>
  <w:style w:type="character" w:customStyle="1" w:styleId="NoNumHead4Char">
    <w:name w:val="NoNum:Head4 Char"/>
    <w:basedOn w:val="DefaultParagraphFont"/>
    <w:link w:val="NoNumHead4"/>
    <w:rsid w:val="007E1D80"/>
    <w:rPr>
      <w:rFonts w:ascii="Arial" w:hAnsi="Arial" w:cs="Arial"/>
      <w:b/>
      <w:bCs/>
      <w:sz w:val="22"/>
      <w:szCs w:val="22"/>
      <w:lang w:val="en-GB" w:eastAsia="en-GB"/>
    </w:rPr>
  </w:style>
  <w:style w:type="paragraph" w:customStyle="1" w:styleId="captiontable">
    <w:name w:val="caption:table"/>
    <w:basedOn w:val="Normal"/>
    <w:next w:val="Normal"/>
    <w:link w:val="captiontableChar"/>
    <w:qFormat/>
    <w:rsid w:val="006A580B"/>
    <w:pPr>
      <w:keepNext/>
      <w:spacing w:after="240"/>
      <w:ind w:left="1440" w:hanging="1440"/>
    </w:pPr>
    <w:rPr>
      <w:rFonts w:ascii="Arial" w:hAnsi="Arial" w:cs="Arial"/>
      <w:b/>
      <w:bCs/>
      <w:sz w:val="22"/>
      <w:szCs w:val="22"/>
      <w:lang w:val="en-GB" w:eastAsia="en-GB"/>
    </w:rPr>
  </w:style>
  <w:style w:type="paragraph" w:customStyle="1" w:styleId="tabletextNS">
    <w:name w:val="table:textNS"/>
    <w:basedOn w:val="Normal"/>
    <w:link w:val="tabletextNSChar"/>
    <w:qFormat/>
    <w:rsid w:val="006A580B"/>
    <w:rPr>
      <w:rFonts w:ascii="Arial Narrow" w:hAnsi="Arial Narrow" w:cs="Arial Narrow"/>
      <w:sz w:val="24"/>
      <w:lang w:val="en-GB" w:eastAsia="en-GB"/>
    </w:rPr>
  </w:style>
  <w:style w:type="character" w:customStyle="1" w:styleId="tabletextNSChar">
    <w:name w:val="table:textNS Char"/>
    <w:basedOn w:val="DefaultParagraphFont"/>
    <w:link w:val="tabletextNS"/>
    <w:rsid w:val="006A580B"/>
    <w:rPr>
      <w:rFonts w:ascii="Arial Narrow" w:hAnsi="Arial Narrow" w:cs="Arial Narrow"/>
      <w:sz w:val="24"/>
      <w:lang w:val="en-GB" w:eastAsia="en-GB"/>
    </w:rPr>
  </w:style>
  <w:style w:type="character" w:customStyle="1" w:styleId="captiontableChar">
    <w:name w:val="caption:table Char"/>
    <w:basedOn w:val="DefaultParagraphFont"/>
    <w:link w:val="captiontable"/>
    <w:rsid w:val="006A580B"/>
    <w:rPr>
      <w:rFonts w:ascii="Arial" w:hAnsi="Arial" w:cs="Arial"/>
      <w:b/>
      <w:bCs/>
      <w:sz w:val="22"/>
      <w:szCs w:val="22"/>
      <w:lang w:val="en-GB" w:eastAsia="en-GB"/>
    </w:rPr>
  </w:style>
  <w:style w:type="character" w:styleId="CommentReference">
    <w:name w:val="annotation reference"/>
    <w:basedOn w:val="DefaultParagraphFont"/>
    <w:uiPriority w:val="99"/>
    <w:unhideWhenUsed/>
    <w:rsid w:val="008A1EF6"/>
    <w:rPr>
      <w:sz w:val="16"/>
      <w:szCs w:val="16"/>
    </w:rPr>
  </w:style>
  <w:style w:type="paragraph" w:styleId="CommentText">
    <w:name w:val="annotation text"/>
    <w:basedOn w:val="Normal"/>
    <w:link w:val="CommentTextChar"/>
    <w:uiPriority w:val="99"/>
    <w:unhideWhenUsed/>
    <w:rsid w:val="008A1EF6"/>
  </w:style>
  <w:style w:type="character" w:customStyle="1" w:styleId="CommentTextChar">
    <w:name w:val="Comment Text Char"/>
    <w:basedOn w:val="DefaultParagraphFont"/>
    <w:link w:val="CommentText"/>
    <w:uiPriority w:val="99"/>
    <w:rsid w:val="008A1EF6"/>
  </w:style>
  <w:style w:type="paragraph" w:styleId="CommentSubject">
    <w:name w:val="annotation subject"/>
    <w:basedOn w:val="CommentText"/>
    <w:next w:val="CommentText"/>
    <w:link w:val="CommentSubjectChar"/>
    <w:uiPriority w:val="99"/>
    <w:semiHidden/>
    <w:unhideWhenUsed/>
    <w:rsid w:val="008A1EF6"/>
    <w:rPr>
      <w:b/>
      <w:bCs/>
    </w:rPr>
  </w:style>
  <w:style w:type="character" w:customStyle="1" w:styleId="CommentSubjectChar">
    <w:name w:val="Comment Subject Char"/>
    <w:basedOn w:val="CommentTextChar"/>
    <w:link w:val="CommentSubject"/>
    <w:uiPriority w:val="99"/>
    <w:semiHidden/>
    <w:rsid w:val="008A1EF6"/>
    <w:rPr>
      <w:b/>
      <w:bCs/>
    </w:rPr>
  </w:style>
  <w:style w:type="paragraph" w:styleId="BalloonText">
    <w:name w:val="Balloon Text"/>
    <w:basedOn w:val="Normal"/>
    <w:link w:val="BalloonTextChar"/>
    <w:uiPriority w:val="99"/>
    <w:semiHidden/>
    <w:unhideWhenUsed/>
    <w:rsid w:val="008A1EF6"/>
    <w:rPr>
      <w:rFonts w:ascii="Tahoma" w:hAnsi="Tahoma" w:cs="Tahoma"/>
      <w:sz w:val="16"/>
      <w:szCs w:val="16"/>
    </w:rPr>
  </w:style>
  <w:style w:type="character" w:customStyle="1" w:styleId="BalloonTextChar">
    <w:name w:val="Balloon Text Char"/>
    <w:basedOn w:val="DefaultParagraphFont"/>
    <w:link w:val="BalloonText"/>
    <w:uiPriority w:val="99"/>
    <w:semiHidden/>
    <w:rsid w:val="008A1EF6"/>
    <w:rPr>
      <w:rFonts w:ascii="Tahoma" w:hAnsi="Tahoma" w:cs="Tahoma"/>
      <w:sz w:val="16"/>
      <w:szCs w:val="16"/>
    </w:rPr>
  </w:style>
  <w:style w:type="paragraph" w:customStyle="1" w:styleId="Default">
    <w:name w:val="Default"/>
    <w:rsid w:val="00675F23"/>
    <w:pPr>
      <w:autoSpaceDE w:val="0"/>
      <w:autoSpaceDN w:val="0"/>
      <w:adjustRightInd w:val="0"/>
    </w:pPr>
    <w:rPr>
      <w:rFonts w:eastAsia="SimSun"/>
      <w:color w:val="000000"/>
      <w:sz w:val="24"/>
      <w:szCs w:val="24"/>
      <w:lang w:val="en-US" w:eastAsia="zh-CN"/>
    </w:rPr>
  </w:style>
  <w:style w:type="paragraph" w:styleId="Revision">
    <w:name w:val="Revision"/>
    <w:hidden/>
    <w:uiPriority w:val="99"/>
    <w:semiHidden/>
    <w:rsid w:val="00675F23"/>
  </w:style>
  <w:style w:type="paragraph" w:customStyle="1" w:styleId="centheadGDS">
    <w:name w:val="cent head GDS"/>
    <w:basedOn w:val="Normal"/>
    <w:autoRedefine/>
    <w:rsid w:val="00540A58"/>
    <w:pPr>
      <w:spacing w:before="120" w:after="120"/>
      <w:jc w:val="center"/>
    </w:pPr>
    <w:rPr>
      <w:sz w:val="24"/>
      <w:szCs w:val="24"/>
      <w:lang w:val="en-GB" w:eastAsia="en-US"/>
    </w:rPr>
  </w:style>
  <w:style w:type="paragraph" w:customStyle="1" w:styleId="instruction">
    <w:name w:val="instruction"/>
    <w:basedOn w:val="Normal"/>
    <w:qFormat/>
    <w:rsid w:val="00540A58"/>
    <w:pPr>
      <w:numPr>
        <w:numId w:val="20"/>
      </w:numPr>
      <w:spacing w:before="120"/>
      <w:ind w:left="284" w:hanging="284"/>
    </w:pPr>
    <w:rPr>
      <w:b/>
      <w:sz w:val="24"/>
      <w:szCs w:val="24"/>
      <w:lang w:val="en-GB" w:eastAsia="en-GB"/>
    </w:rPr>
  </w:style>
  <w:style w:type="paragraph" w:customStyle="1" w:styleId="tabletextcent8">
    <w:name w:val="table:text cent_8"/>
    <w:basedOn w:val="Normal"/>
    <w:rsid w:val="004D77ED"/>
    <w:pPr>
      <w:spacing w:line="0" w:lineRule="atLeast"/>
      <w:jc w:val="center"/>
    </w:pPr>
    <w:rPr>
      <w:rFonts w:eastAsia="MS Mincho"/>
      <w:sz w:val="16"/>
      <w:lang w:val="en-GB" w:eastAsia="ja-JP"/>
    </w:rPr>
  </w:style>
  <w:style w:type="paragraph" w:styleId="ListParagraph">
    <w:name w:val="List Paragraph"/>
    <w:basedOn w:val="Normal"/>
    <w:uiPriority w:val="34"/>
    <w:qFormat/>
    <w:rsid w:val="004A76F4"/>
    <w:pPr>
      <w:ind w:left="720"/>
    </w:pPr>
  </w:style>
  <w:style w:type="paragraph" w:styleId="BodyText">
    <w:name w:val="Body Text"/>
    <w:basedOn w:val="Normal"/>
    <w:link w:val="BodyTextChar"/>
    <w:uiPriority w:val="99"/>
    <w:unhideWhenUsed/>
    <w:rsid w:val="00282DBD"/>
    <w:pPr>
      <w:tabs>
        <w:tab w:val="left" w:pos="2268"/>
      </w:tabs>
      <w:spacing w:after="240"/>
    </w:pPr>
    <w:rPr>
      <w:rFonts w:ascii="Arial" w:hAnsi="Arial" w:cs="Arial"/>
      <w:sz w:val="22"/>
      <w:szCs w:val="22"/>
    </w:rPr>
  </w:style>
  <w:style w:type="character" w:customStyle="1" w:styleId="BodyTextChar">
    <w:name w:val="Body Text Char"/>
    <w:basedOn w:val="DefaultParagraphFont"/>
    <w:link w:val="BodyText"/>
    <w:uiPriority w:val="99"/>
    <w:rsid w:val="00282DBD"/>
    <w:rPr>
      <w:rFonts w:ascii="Arial" w:hAnsi="Arial" w:cs="Arial"/>
      <w:sz w:val="22"/>
      <w:szCs w:val="22"/>
    </w:rPr>
  </w:style>
  <w:style w:type="paragraph" w:customStyle="1" w:styleId="tabletext">
    <w:name w:val="table:text"/>
    <w:basedOn w:val="Normal"/>
    <w:link w:val="tabletextChar"/>
    <w:rsid w:val="00C66CB0"/>
    <w:pPr>
      <w:spacing w:before="120" w:after="120"/>
    </w:pPr>
    <w:rPr>
      <w:rFonts w:ascii="Arial Narrow" w:hAnsi="Arial Narrow" w:cs="Arial Narrow"/>
      <w:sz w:val="24"/>
      <w:szCs w:val="24"/>
      <w:lang w:val="en-GB" w:eastAsia="en-US"/>
    </w:rPr>
  </w:style>
  <w:style w:type="character" w:customStyle="1" w:styleId="tabletextChar">
    <w:name w:val="table:text Char"/>
    <w:basedOn w:val="DefaultParagraphFont"/>
    <w:link w:val="tabletext"/>
    <w:rsid w:val="00C66CB0"/>
    <w:rPr>
      <w:rFonts w:ascii="Arial Narrow" w:hAnsi="Arial Narrow" w:cs="Arial Narrow"/>
      <w:sz w:val="24"/>
      <w:szCs w:val="24"/>
      <w:lang w:val="en-GB" w:eastAsia="en-US"/>
    </w:rPr>
  </w:style>
  <w:style w:type="character" w:customStyle="1" w:styleId="Heading1Char">
    <w:name w:val="Heading 1 Char"/>
    <w:basedOn w:val="DefaultParagraphFont"/>
    <w:link w:val="Heading1"/>
    <w:uiPriority w:val="9"/>
    <w:rsid w:val="00773D97"/>
    <w:rPr>
      <w:rFonts w:ascii="Arial" w:eastAsiaTheme="majorEastAsia" w:hAnsi="Arial" w:cstheme="majorBidi"/>
      <w:b/>
      <w:bCs/>
      <w:sz w:val="24"/>
      <w:szCs w:val="28"/>
    </w:rPr>
  </w:style>
  <w:style w:type="paragraph" w:styleId="NoSpacing">
    <w:name w:val="No Spacing"/>
    <w:uiPriority w:val="1"/>
    <w:qFormat/>
    <w:rsid w:val="00203C20"/>
  </w:style>
  <w:style w:type="paragraph" w:styleId="Quote">
    <w:name w:val="Quote"/>
    <w:basedOn w:val="Normal"/>
    <w:next w:val="Normal"/>
    <w:link w:val="QuoteChar"/>
    <w:uiPriority w:val="29"/>
    <w:qFormat/>
    <w:rsid w:val="00203C20"/>
    <w:rPr>
      <w:i/>
      <w:iCs/>
      <w:color w:val="000000" w:themeColor="text1"/>
    </w:rPr>
  </w:style>
  <w:style w:type="character" w:customStyle="1" w:styleId="QuoteChar">
    <w:name w:val="Quote Char"/>
    <w:basedOn w:val="DefaultParagraphFont"/>
    <w:link w:val="Quote"/>
    <w:uiPriority w:val="29"/>
    <w:rsid w:val="00203C20"/>
    <w:rPr>
      <w:i/>
      <w:iCs/>
      <w:color w:val="000000" w:themeColor="text1"/>
    </w:rPr>
  </w:style>
  <w:style w:type="paragraph" w:customStyle="1" w:styleId="Warning">
    <w:name w:val="Warning"/>
    <w:basedOn w:val="Normal"/>
    <w:qFormat/>
    <w:rsid w:val="00BC4004"/>
    <w:pPr>
      <w:numPr>
        <w:numId w:val="31"/>
      </w:numPr>
      <w:spacing w:before="120" w:after="120"/>
    </w:pPr>
    <w:rPr>
      <w:b/>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D440B-4B66-40DD-A801-E2278574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Template>
  <TotalTime>10</TotalTime>
  <Pages>15</Pages>
  <Words>3709</Words>
  <Characters>21504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AusPAR Attachment 1. Product Information for Umeclidinium bromide</vt:lpstr>
    </vt:vector>
  </TitlesOfParts>
  <Company>GlaxoSmithKline</Company>
  <LinksUpToDate>false</LinksUpToDate>
  <CharactersWithSpaces>25163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Umeclidinium bromide</dc:title>
  <dc:subject>prescription medicine regulation</dc:subject>
  <dc:creator>GlaxoSmithKline</dc:creator>
  <cp:keywords>product, information, prescription, medicine, regulation, incruse, ellipta, umeclidinium, bromide</cp:keywords>
  <cp:lastModifiedBy>Lack, Janet</cp:lastModifiedBy>
  <cp:revision>5</cp:revision>
  <cp:lastPrinted>2014-05-14T23:55:00Z</cp:lastPrinted>
  <dcterms:created xsi:type="dcterms:W3CDTF">2015-07-09T05:30:00Z</dcterms:created>
  <dcterms:modified xsi:type="dcterms:W3CDTF">2015-07-17T06:11:00Z</dcterms:modified>
</cp:coreProperties>
</file>