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94CDE" w14:textId="77777777" w:rsidR="00755823" w:rsidRDefault="00755823" w:rsidP="00FC6697">
      <w:pPr>
        <w:pStyle w:val="TitleA"/>
        <w:spacing w:after="120"/>
        <w:jc w:val="left"/>
        <w:rPr>
          <w:caps/>
          <w:szCs w:val="24"/>
        </w:rPr>
      </w:pPr>
    </w:p>
    <w:p w14:paraId="0037DD6B" w14:textId="77777777" w:rsidR="00FC6697" w:rsidRPr="003703C4" w:rsidRDefault="00FC6697" w:rsidP="00FC6697">
      <w:pPr>
        <w:pStyle w:val="TitleA"/>
        <w:spacing w:after="120"/>
        <w:jc w:val="left"/>
        <w:rPr>
          <w:caps/>
          <w:szCs w:val="24"/>
        </w:rPr>
      </w:pPr>
      <w:r w:rsidRPr="003703C4">
        <w:rPr>
          <w:caps/>
          <w:szCs w:val="24"/>
        </w:rPr>
        <w:t xml:space="preserve">NAME OF THE MEDICINE </w:t>
      </w:r>
    </w:p>
    <w:p w14:paraId="7A360280" w14:textId="77777777" w:rsidR="00FC6697" w:rsidRPr="00E238CD" w:rsidRDefault="00FC6697" w:rsidP="00FC6697">
      <w:pPr>
        <w:pStyle w:val="CTDtext"/>
        <w:rPr>
          <w:noProof/>
          <w:lang w:val="fr-FR"/>
        </w:rPr>
      </w:pPr>
      <w:proofErr w:type="spellStart"/>
      <w:r>
        <w:rPr>
          <w:lang w:val="fr-FR"/>
        </w:rPr>
        <w:t>EllaOne</w:t>
      </w:r>
      <w:proofErr w:type="spellEnd"/>
      <w:r>
        <w:rPr>
          <w:lang w:val="fr-FR"/>
        </w:rPr>
        <w:t xml:space="preserve"> </w:t>
      </w:r>
      <w:r w:rsidRPr="00E238CD">
        <w:rPr>
          <w:noProof/>
          <w:lang w:val="fr-FR"/>
        </w:rPr>
        <w:t xml:space="preserve">(30 mg </w:t>
      </w:r>
      <w:r>
        <w:rPr>
          <w:noProof/>
          <w:lang w:val="fr-FR"/>
        </w:rPr>
        <w:t>ulipristal a</w:t>
      </w:r>
      <w:r w:rsidRPr="00E238CD">
        <w:rPr>
          <w:noProof/>
          <w:lang w:val="fr-FR"/>
        </w:rPr>
        <w:t>cetate Tablet)</w:t>
      </w:r>
      <w:bookmarkStart w:id="0" w:name="_GoBack"/>
      <w:bookmarkEnd w:id="0"/>
    </w:p>
    <w:p w14:paraId="050AD4EB" w14:textId="77777777" w:rsidR="00FC6697" w:rsidRDefault="00FC6697" w:rsidP="00FC6697">
      <w:pPr>
        <w:pStyle w:val="CTDtext"/>
        <w:rPr>
          <w:noProof/>
        </w:rPr>
      </w:pPr>
      <w:r>
        <w:rPr>
          <w:noProof/>
        </w:rPr>
        <w:t xml:space="preserve">Australian Approved Name (AAN):  ulipristal acetate </w:t>
      </w:r>
    </w:p>
    <w:p w14:paraId="0B96FE96" w14:textId="77777777" w:rsidR="00FC6697" w:rsidRDefault="00FC6697" w:rsidP="00FC6697">
      <w:pPr>
        <w:pStyle w:val="CTDtext"/>
        <w:rPr>
          <w:noProof/>
        </w:rPr>
      </w:pPr>
      <w:r w:rsidRPr="00B73551">
        <w:rPr>
          <w:noProof/>
        </w:rPr>
        <w:t>Chemical name:</w:t>
      </w:r>
      <w:r>
        <w:rPr>
          <w:noProof/>
        </w:rPr>
        <w:t xml:space="preserve"> </w:t>
      </w:r>
      <w:r>
        <w:rPr>
          <w:noProof/>
        </w:rPr>
        <w:tab/>
      </w:r>
      <w:r w:rsidRPr="00623619">
        <w:rPr>
          <w:noProof/>
        </w:rPr>
        <w:t>17α-acetoxy-11</w:t>
      </w:r>
      <w:r w:rsidRPr="007C7D31">
        <w:rPr>
          <w:lang w:val="fr-FR"/>
        </w:rPr>
        <w:t>β</w:t>
      </w:r>
      <w:r w:rsidRPr="00623619" w:rsidDel="007E6214">
        <w:rPr>
          <w:noProof/>
        </w:rPr>
        <w:t xml:space="preserve"> </w:t>
      </w:r>
      <w:r w:rsidRPr="00623619">
        <w:rPr>
          <w:noProof/>
        </w:rPr>
        <w:t>-(4-N,N-dimethylaminophenyl)-19-norpregna-4,9-diene-3,20-dione</w:t>
      </w:r>
    </w:p>
    <w:p w14:paraId="3AB17159" w14:textId="77777777" w:rsidR="00FC6697" w:rsidRPr="00B73551" w:rsidRDefault="00FC6697" w:rsidP="00FC6697">
      <w:pPr>
        <w:pStyle w:val="CTDtext"/>
        <w:rPr>
          <w:noProof/>
        </w:rPr>
      </w:pPr>
      <w:r w:rsidRPr="00B73551">
        <w:rPr>
          <w:noProof/>
        </w:rPr>
        <w:t xml:space="preserve">Chemical </w:t>
      </w:r>
      <w:r>
        <w:rPr>
          <w:noProof/>
        </w:rPr>
        <w:t>structure</w:t>
      </w:r>
      <w:r w:rsidRPr="00B73551">
        <w:rPr>
          <w:noProof/>
        </w:rPr>
        <w:t>:</w:t>
      </w:r>
    </w:p>
    <w:tbl>
      <w:tblPr>
        <w:tblW w:w="0" w:type="auto"/>
        <w:tblLook w:val="04A0" w:firstRow="1" w:lastRow="0" w:firstColumn="1" w:lastColumn="0" w:noHBand="0" w:noVBand="1"/>
      </w:tblPr>
      <w:tblGrid>
        <w:gridCol w:w="9108"/>
      </w:tblGrid>
      <w:tr w:rsidR="00FC6697" w14:paraId="382E386C" w14:textId="77777777" w:rsidTr="00FC6697">
        <w:tc>
          <w:tcPr>
            <w:tcW w:w="9108" w:type="dxa"/>
            <w:vAlign w:val="center"/>
          </w:tcPr>
          <w:p w14:paraId="4456274B" w14:textId="77777777" w:rsidR="00FC6697" w:rsidRPr="00EA45B7" w:rsidRDefault="00FC6697" w:rsidP="00FC6697">
            <w:pPr>
              <w:pStyle w:val="Tabletext"/>
            </w:pPr>
            <w:r>
              <w:rPr>
                <w:noProof/>
                <w:lang w:val="en-AU" w:eastAsia="en-AU"/>
              </w:rPr>
              <w:drawing>
                <wp:inline distT="0" distB="0" distL="0" distR="0" wp14:anchorId="345D959C" wp14:editId="05415DB0">
                  <wp:extent cx="3648075" cy="24098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648075" cy="2409825"/>
                          </a:xfrm>
                          <a:prstGeom prst="rect">
                            <a:avLst/>
                          </a:prstGeom>
                          <a:noFill/>
                          <a:ln w="9525">
                            <a:noFill/>
                            <a:miter lim="800000"/>
                            <a:headEnd/>
                            <a:tailEnd/>
                          </a:ln>
                        </pic:spPr>
                      </pic:pic>
                    </a:graphicData>
                  </a:graphic>
                </wp:inline>
              </w:drawing>
            </w:r>
          </w:p>
        </w:tc>
      </w:tr>
    </w:tbl>
    <w:p w14:paraId="60374858" w14:textId="77777777" w:rsidR="00FC6697" w:rsidRDefault="00FC6697" w:rsidP="00FC6697">
      <w:pPr>
        <w:pStyle w:val="Post-figure"/>
        <w:rPr>
          <w:noProof/>
        </w:rPr>
      </w:pPr>
    </w:p>
    <w:p w14:paraId="43DF5240" w14:textId="77777777" w:rsidR="00FC6697" w:rsidRPr="00B73551" w:rsidRDefault="00FC6697" w:rsidP="00FC6697">
      <w:pPr>
        <w:pStyle w:val="CTDtext"/>
        <w:rPr>
          <w:noProof/>
          <w:szCs w:val="24"/>
        </w:rPr>
      </w:pPr>
      <w:r w:rsidRPr="00B73551">
        <w:rPr>
          <w:noProof/>
          <w:szCs w:val="24"/>
        </w:rPr>
        <w:t>Molecular formula:</w:t>
      </w:r>
      <w:r>
        <w:rPr>
          <w:noProof/>
          <w:szCs w:val="24"/>
        </w:rPr>
        <w:t xml:space="preserve"> </w:t>
      </w:r>
      <w:r>
        <w:t>C</w:t>
      </w:r>
      <w:r>
        <w:rPr>
          <w:vertAlign w:val="subscript"/>
        </w:rPr>
        <w:t>30</w:t>
      </w:r>
      <w:r>
        <w:t>H</w:t>
      </w:r>
      <w:r>
        <w:rPr>
          <w:vertAlign w:val="subscript"/>
        </w:rPr>
        <w:t>37</w:t>
      </w:r>
      <w:r>
        <w:t>NO</w:t>
      </w:r>
      <w:r>
        <w:rPr>
          <w:vertAlign w:val="subscript"/>
        </w:rPr>
        <w:t xml:space="preserve">4 </w:t>
      </w:r>
      <w:r>
        <w:rPr>
          <w:vertAlign w:val="subscript"/>
        </w:rPr>
        <w:tab/>
      </w:r>
      <w:r>
        <w:rPr>
          <w:vertAlign w:val="subscript"/>
        </w:rPr>
        <w:tab/>
      </w:r>
      <w:r>
        <w:rPr>
          <w:vertAlign w:val="subscript"/>
        </w:rPr>
        <w:tab/>
      </w:r>
      <w:r>
        <w:rPr>
          <w:vertAlign w:val="subscript"/>
        </w:rPr>
        <w:tab/>
      </w:r>
      <w:r>
        <w:rPr>
          <w:noProof/>
          <w:szCs w:val="24"/>
        </w:rPr>
        <w:t xml:space="preserve">Molecular weight:  </w:t>
      </w:r>
      <w:r w:rsidRPr="00B368CF">
        <w:rPr>
          <w:noProof/>
          <w:szCs w:val="24"/>
        </w:rPr>
        <w:t>475.6</w:t>
      </w:r>
      <w:r>
        <w:rPr>
          <w:noProof/>
          <w:szCs w:val="24"/>
        </w:rPr>
        <w:t>19</w:t>
      </w:r>
    </w:p>
    <w:p w14:paraId="69634BDF" w14:textId="77777777" w:rsidR="00FC6697" w:rsidRPr="00B73551" w:rsidRDefault="00FC6697" w:rsidP="00FC6697">
      <w:pPr>
        <w:pStyle w:val="CTDtext"/>
        <w:rPr>
          <w:noProof/>
          <w:szCs w:val="24"/>
        </w:rPr>
      </w:pPr>
      <w:r w:rsidRPr="00B73551">
        <w:rPr>
          <w:noProof/>
          <w:szCs w:val="24"/>
        </w:rPr>
        <w:t xml:space="preserve">CAS number: </w:t>
      </w:r>
      <w:r w:rsidRPr="00B368CF">
        <w:rPr>
          <w:szCs w:val="24"/>
        </w:rPr>
        <w:t>126784-99-4</w:t>
      </w:r>
    </w:p>
    <w:p w14:paraId="2162960F" w14:textId="77777777" w:rsidR="00FC6697" w:rsidRPr="003703C4" w:rsidRDefault="00FC6697" w:rsidP="00FC6697">
      <w:pPr>
        <w:pStyle w:val="TitleA"/>
        <w:spacing w:after="120"/>
        <w:jc w:val="left"/>
        <w:rPr>
          <w:caps/>
          <w:szCs w:val="24"/>
        </w:rPr>
      </w:pPr>
      <w:r w:rsidRPr="003703C4">
        <w:rPr>
          <w:caps/>
          <w:szCs w:val="24"/>
        </w:rPr>
        <w:t>DESCRIPTION</w:t>
      </w:r>
    </w:p>
    <w:p w14:paraId="5E239470" w14:textId="77777777" w:rsidR="00FC6697" w:rsidRDefault="00FC6697" w:rsidP="00FC6697">
      <w:pPr>
        <w:pStyle w:val="CTDtext"/>
        <w:rPr>
          <w:lang w:val="en-US"/>
        </w:rPr>
      </w:pPr>
      <w:r>
        <w:rPr>
          <w:lang w:val="en-US"/>
        </w:rPr>
        <w:t xml:space="preserve">Tablet is a </w:t>
      </w:r>
      <w:r w:rsidRPr="004E009A">
        <w:t>white to off-white,</w:t>
      </w:r>
      <w:r>
        <w:t xml:space="preserve"> </w:t>
      </w:r>
      <w:r w:rsidRPr="007B3DCE">
        <w:rPr>
          <w:lang w:val="en-US"/>
        </w:rPr>
        <w:t>round tablet engraved on both faces</w:t>
      </w:r>
      <w:r>
        <w:rPr>
          <w:lang w:val="en-US"/>
        </w:rPr>
        <w:t xml:space="preserve"> </w:t>
      </w:r>
      <w:r w:rsidRPr="007B3DCE">
        <w:rPr>
          <w:lang w:val="en-US"/>
        </w:rPr>
        <w:t xml:space="preserve">with </w:t>
      </w:r>
      <w:r>
        <w:rPr>
          <w:lang w:val="en-US"/>
        </w:rPr>
        <w:t xml:space="preserve">the </w:t>
      </w:r>
      <w:r w:rsidRPr="007B3DCE">
        <w:rPr>
          <w:lang w:val="en-US"/>
        </w:rPr>
        <w:t>code “</w:t>
      </w:r>
      <w:proofErr w:type="spellStart"/>
      <w:r w:rsidRPr="007B3DCE">
        <w:rPr>
          <w:lang w:val="en-US"/>
        </w:rPr>
        <w:t>еllа</w:t>
      </w:r>
      <w:proofErr w:type="spellEnd"/>
      <w:r w:rsidRPr="007B3DCE">
        <w:rPr>
          <w:lang w:val="en-US"/>
        </w:rPr>
        <w:t>”</w:t>
      </w:r>
      <w:r>
        <w:rPr>
          <w:lang w:val="en-US"/>
        </w:rPr>
        <w:t xml:space="preserve">.  </w:t>
      </w:r>
    </w:p>
    <w:p w14:paraId="16028879" w14:textId="77777777" w:rsidR="00FC6697" w:rsidRDefault="00FC6697" w:rsidP="00FC6697">
      <w:pPr>
        <w:pStyle w:val="CTDtext"/>
        <w:rPr>
          <w:lang w:val="en-US"/>
        </w:rPr>
      </w:pPr>
      <w:r>
        <w:rPr>
          <w:lang w:val="en-US"/>
        </w:rPr>
        <w:t xml:space="preserve">Each tablet contains 30 mg of </w:t>
      </w:r>
      <w:proofErr w:type="spellStart"/>
      <w:r>
        <w:rPr>
          <w:lang w:val="en-US"/>
        </w:rPr>
        <w:t>ulipristal</w:t>
      </w:r>
      <w:proofErr w:type="spellEnd"/>
      <w:r>
        <w:rPr>
          <w:lang w:val="en-US"/>
        </w:rPr>
        <w:t xml:space="preserve"> acetate.  </w:t>
      </w:r>
      <w:proofErr w:type="spellStart"/>
      <w:r w:rsidRPr="00D052A5">
        <w:rPr>
          <w:lang w:val="en-US"/>
        </w:rPr>
        <w:t>Ulipristal</w:t>
      </w:r>
      <w:proofErr w:type="spellEnd"/>
      <w:r w:rsidRPr="00D052A5">
        <w:rPr>
          <w:lang w:val="en-US"/>
        </w:rPr>
        <w:t xml:space="preserve"> acetate is a white to yellow</w:t>
      </w:r>
      <w:r>
        <w:rPr>
          <w:lang w:val="en-US"/>
        </w:rPr>
        <w:t>ish</w:t>
      </w:r>
      <w:r w:rsidRPr="00D052A5">
        <w:rPr>
          <w:lang w:val="en-US"/>
        </w:rPr>
        <w:t xml:space="preserve"> crystalline powder. </w:t>
      </w:r>
      <w:r>
        <w:rPr>
          <w:lang w:val="en-US"/>
        </w:rPr>
        <w:t xml:space="preserve"> </w:t>
      </w:r>
      <w:r w:rsidRPr="00D052A5">
        <w:rPr>
          <w:lang w:val="en-US"/>
        </w:rPr>
        <w:t xml:space="preserve">It is freely soluble in </w:t>
      </w:r>
      <w:r>
        <w:rPr>
          <w:lang w:val="en-US"/>
        </w:rPr>
        <w:t>dichloromethane</w:t>
      </w:r>
      <w:r w:rsidRPr="00D052A5">
        <w:rPr>
          <w:lang w:val="en-US"/>
        </w:rPr>
        <w:t>, soluble in</w:t>
      </w:r>
      <w:r>
        <w:rPr>
          <w:lang w:val="en-US"/>
        </w:rPr>
        <w:t xml:space="preserve"> </w:t>
      </w:r>
      <w:r w:rsidRPr="00D052A5">
        <w:rPr>
          <w:lang w:val="en-US"/>
        </w:rPr>
        <w:t>methanol, acetone and ethanol and insoluble in water.</w:t>
      </w:r>
      <w:r>
        <w:rPr>
          <w:lang w:val="en-US"/>
        </w:rPr>
        <w:t xml:space="preserve"> </w:t>
      </w:r>
    </w:p>
    <w:p w14:paraId="7A3A4021" w14:textId="77777777" w:rsidR="00FC6697" w:rsidRDefault="00FC6697" w:rsidP="00FC6697">
      <w:pPr>
        <w:pStyle w:val="CTDtext"/>
        <w:rPr>
          <w:lang w:val="en-US"/>
        </w:rPr>
      </w:pPr>
      <w:r>
        <w:rPr>
          <w:lang w:val="en-US"/>
        </w:rPr>
        <w:lastRenderedPageBreak/>
        <w:t xml:space="preserve">The tablet also contains the following inactive ingredients: </w:t>
      </w:r>
      <w:r w:rsidRPr="006E5866">
        <w:rPr>
          <w:lang w:val="en-US"/>
        </w:rPr>
        <w:t>Lactose</w:t>
      </w:r>
      <w:r>
        <w:rPr>
          <w:lang w:val="en-US"/>
        </w:rPr>
        <w:t xml:space="preserve">, </w:t>
      </w:r>
      <w:proofErr w:type="spellStart"/>
      <w:r w:rsidRPr="006E5866">
        <w:rPr>
          <w:lang w:val="en-US"/>
        </w:rPr>
        <w:t>Povidone</w:t>
      </w:r>
      <w:proofErr w:type="spellEnd"/>
      <w:r>
        <w:rPr>
          <w:lang w:val="en-US"/>
        </w:rPr>
        <w:t xml:space="preserve">, </w:t>
      </w:r>
      <w:proofErr w:type="spellStart"/>
      <w:r w:rsidRPr="006E5866">
        <w:rPr>
          <w:lang w:val="en-US"/>
        </w:rPr>
        <w:t>Croscarmellose</w:t>
      </w:r>
      <w:proofErr w:type="spellEnd"/>
      <w:r w:rsidRPr="006E5866">
        <w:rPr>
          <w:lang w:val="en-US"/>
        </w:rPr>
        <w:t xml:space="preserve"> sodium</w:t>
      </w:r>
      <w:r>
        <w:rPr>
          <w:lang w:val="en-US"/>
        </w:rPr>
        <w:t xml:space="preserve"> and </w:t>
      </w:r>
      <w:r w:rsidRPr="006E5866">
        <w:rPr>
          <w:lang w:val="en-US"/>
        </w:rPr>
        <w:t>Magnesium stearate</w:t>
      </w:r>
      <w:r>
        <w:rPr>
          <w:lang w:val="en-US"/>
        </w:rPr>
        <w:t>.</w:t>
      </w:r>
    </w:p>
    <w:p w14:paraId="4FA1A017" w14:textId="77777777" w:rsidR="00FC6697" w:rsidRDefault="00FC6697" w:rsidP="00FC6697">
      <w:pPr>
        <w:pStyle w:val="TitleA"/>
        <w:spacing w:after="120"/>
        <w:jc w:val="left"/>
        <w:rPr>
          <w:caps/>
          <w:szCs w:val="24"/>
        </w:rPr>
      </w:pPr>
      <w:r w:rsidRPr="003703C4">
        <w:rPr>
          <w:caps/>
          <w:szCs w:val="24"/>
        </w:rPr>
        <w:t>PHARMACOLOGY</w:t>
      </w:r>
    </w:p>
    <w:p w14:paraId="06876E12" w14:textId="77777777" w:rsidR="00FC6697" w:rsidRDefault="00FC6697" w:rsidP="00FC6697">
      <w:pPr>
        <w:spacing w:before="60" w:after="60"/>
        <w:outlineLvl w:val="0"/>
        <w:rPr>
          <w:noProof/>
          <w:szCs w:val="24"/>
        </w:rPr>
      </w:pPr>
      <w:r w:rsidRPr="008D65F3">
        <w:rPr>
          <w:b/>
          <w:noProof/>
          <w:szCs w:val="24"/>
        </w:rPr>
        <w:t>Pharmacodynamic properties</w:t>
      </w:r>
    </w:p>
    <w:p w14:paraId="1496689B" w14:textId="77777777" w:rsidR="00FC6697" w:rsidRPr="00C67CC0" w:rsidRDefault="00FC6697" w:rsidP="00FC6697">
      <w:pPr>
        <w:pStyle w:val="CTDtext"/>
        <w:rPr>
          <w:lang w:val="en-US"/>
        </w:rPr>
      </w:pPr>
      <w:proofErr w:type="spellStart"/>
      <w:r w:rsidRPr="00C67CC0">
        <w:rPr>
          <w:lang w:val="en-US"/>
        </w:rPr>
        <w:t>Pharmacotherapeutic</w:t>
      </w:r>
      <w:proofErr w:type="spellEnd"/>
      <w:r w:rsidRPr="00C67CC0">
        <w:rPr>
          <w:lang w:val="en-US"/>
        </w:rPr>
        <w:t xml:space="preserve"> group: Sex hormones and modulators of the genital system, emergency contraceptives. </w:t>
      </w:r>
      <w:r>
        <w:rPr>
          <w:lang w:val="en-US"/>
        </w:rPr>
        <w:t xml:space="preserve"> </w:t>
      </w:r>
      <w:r w:rsidRPr="00C67CC0">
        <w:rPr>
          <w:lang w:val="en-US"/>
        </w:rPr>
        <w:t xml:space="preserve">ATC </w:t>
      </w:r>
      <w:r>
        <w:rPr>
          <w:lang w:val="en-US"/>
        </w:rPr>
        <w:t>C</w:t>
      </w:r>
      <w:r w:rsidRPr="00C67CC0">
        <w:rPr>
          <w:lang w:val="en-US"/>
        </w:rPr>
        <w:t>ode: G03AD02.</w:t>
      </w:r>
    </w:p>
    <w:p w14:paraId="6937C165" w14:textId="2801153C" w:rsidR="00FC6697" w:rsidRDefault="00FC6697" w:rsidP="00FC6697">
      <w:pPr>
        <w:pStyle w:val="CTDtext"/>
        <w:rPr>
          <w:lang w:val="en-US"/>
        </w:rPr>
      </w:pPr>
      <w:proofErr w:type="spellStart"/>
      <w:r w:rsidRPr="00C67CC0">
        <w:rPr>
          <w:lang w:val="en-US"/>
        </w:rPr>
        <w:t>Ulipristal</w:t>
      </w:r>
      <w:proofErr w:type="spellEnd"/>
      <w:r w:rsidRPr="00C67CC0">
        <w:rPr>
          <w:lang w:val="en-US"/>
        </w:rPr>
        <w:t xml:space="preserve"> acetate is an orally-active synthetic selective progesterone receptor modulator </w:t>
      </w:r>
      <w:r>
        <w:rPr>
          <w:lang w:val="en-US"/>
        </w:rPr>
        <w:t>that</w:t>
      </w:r>
      <w:r w:rsidRPr="00C67CC0">
        <w:rPr>
          <w:lang w:val="en-US"/>
        </w:rPr>
        <w:t xml:space="preserve"> acts via high-affinity</w:t>
      </w:r>
      <w:r>
        <w:rPr>
          <w:lang w:val="en-US"/>
        </w:rPr>
        <w:t xml:space="preserve"> (</w:t>
      </w:r>
      <w:proofErr w:type="spellStart"/>
      <w:r>
        <w:rPr>
          <w:lang w:val="en-US"/>
        </w:rPr>
        <w:t>nanomolar</w:t>
      </w:r>
      <w:proofErr w:type="spellEnd"/>
      <w:r>
        <w:rPr>
          <w:lang w:val="en-US"/>
        </w:rPr>
        <w:t>)</w:t>
      </w:r>
      <w:r w:rsidRPr="00C67CC0">
        <w:rPr>
          <w:lang w:val="en-US"/>
        </w:rPr>
        <w:t xml:space="preserve"> binding to the human progesterone receptor. </w:t>
      </w:r>
      <w:r>
        <w:rPr>
          <w:lang w:val="en-US"/>
        </w:rPr>
        <w:t xml:space="preserve"> Its major metabolite, </w:t>
      </w:r>
      <w:proofErr w:type="spellStart"/>
      <w:r>
        <w:rPr>
          <w:lang w:val="en-US"/>
        </w:rPr>
        <w:t>monodesmethyl</w:t>
      </w:r>
      <w:proofErr w:type="spellEnd"/>
      <w:r>
        <w:rPr>
          <w:lang w:val="en-US"/>
        </w:rPr>
        <w:t xml:space="preserve"> </w:t>
      </w:r>
      <w:proofErr w:type="spellStart"/>
      <w:r>
        <w:rPr>
          <w:lang w:val="en-US"/>
        </w:rPr>
        <w:t>ulipristal</w:t>
      </w:r>
      <w:proofErr w:type="spellEnd"/>
      <w:r>
        <w:rPr>
          <w:lang w:val="en-US"/>
        </w:rPr>
        <w:t xml:space="preserve">, has comparable affinity for the progesterone receptor.  </w:t>
      </w:r>
      <w:r w:rsidRPr="00C67CC0">
        <w:rPr>
          <w:lang w:val="en-US"/>
        </w:rPr>
        <w:t xml:space="preserve">When used for emergency contraception the mechanism of action is inhibition or delay of ovulation via suppression of the </w:t>
      </w:r>
      <w:proofErr w:type="spellStart"/>
      <w:r>
        <w:rPr>
          <w:lang w:val="en-US"/>
        </w:rPr>
        <w:t>lutenising</w:t>
      </w:r>
      <w:proofErr w:type="spellEnd"/>
      <w:r>
        <w:rPr>
          <w:lang w:val="en-US"/>
        </w:rPr>
        <w:t xml:space="preserve"> hormone (</w:t>
      </w:r>
      <w:r w:rsidRPr="00C67CC0">
        <w:rPr>
          <w:lang w:val="en-US"/>
        </w:rPr>
        <w:t>LH</w:t>
      </w:r>
      <w:r>
        <w:rPr>
          <w:lang w:val="en-US"/>
        </w:rPr>
        <w:t>)</w:t>
      </w:r>
      <w:r w:rsidRPr="00C67CC0">
        <w:rPr>
          <w:lang w:val="en-US"/>
        </w:rPr>
        <w:t xml:space="preserve"> surge. </w:t>
      </w:r>
      <w:r>
        <w:rPr>
          <w:lang w:val="en-US"/>
        </w:rPr>
        <w:t xml:space="preserve"> </w:t>
      </w:r>
      <w:proofErr w:type="spellStart"/>
      <w:r w:rsidRPr="00C67CC0">
        <w:rPr>
          <w:lang w:val="en-US"/>
        </w:rPr>
        <w:t>Pharmacodynamic</w:t>
      </w:r>
      <w:proofErr w:type="spellEnd"/>
      <w:r w:rsidRPr="00C67CC0">
        <w:rPr>
          <w:lang w:val="en-US"/>
        </w:rPr>
        <w:t xml:space="preserve"> data show that even when taken immediately before ovulation is scheduled to occur (when LH has already started to rise), </w:t>
      </w:r>
      <w:proofErr w:type="spellStart"/>
      <w:r w:rsidRPr="00C67CC0">
        <w:rPr>
          <w:lang w:val="en-US"/>
        </w:rPr>
        <w:t>ulipristal</w:t>
      </w:r>
      <w:proofErr w:type="spellEnd"/>
      <w:r w:rsidRPr="00C67CC0">
        <w:rPr>
          <w:lang w:val="en-US"/>
        </w:rPr>
        <w:t xml:space="preserve"> acetate is able to postpone follicular rupture for at least 5 days in 78.6% of cases (p&lt;0.005 vs. </w:t>
      </w:r>
      <w:proofErr w:type="spellStart"/>
      <w:r w:rsidRPr="00C67CC0">
        <w:rPr>
          <w:lang w:val="en-US"/>
        </w:rPr>
        <w:t>levonorgestrel</w:t>
      </w:r>
      <w:proofErr w:type="spellEnd"/>
      <w:r w:rsidRPr="00C67CC0">
        <w:rPr>
          <w:lang w:val="en-US"/>
        </w:rPr>
        <w:t xml:space="preserve"> and vs. placebo) (see </w:t>
      </w:r>
      <w:r w:rsidR="00322BB7" w:rsidRPr="00322BB7">
        <w:rPr>
          <w:lang w:val="en-US"/>
        </w:rPr>
        <w:fldChar w:fldCharType="begin"/>
      </w:r>
      <w:r w:rsidR="00322BB7" w:rsidRPr="00322BB7">
        <w:rPr>
          <w:lang w:val="en-US"/>
        </w:rPr>
        <w:instrText xml:space="preserve"> REF _Ref414564869 \h  \* MERGEFORMAT </w:instrText>
      </w:r>
      <w:r w:rsidR="00322BB7" w:rsidRPr="00322BB7">
        <w:rPr>
          <w:lang w:val="en-US"/>
        </w:rPr>
      </w:r>
      <w:r w:rsidR="00322BB7" w:rsidRPr="00322BB7">
        <w:rPr>
          <w:lang w:val="en-US"/>
        </w:rPr>
        <w:fldChar w:fldCharType="separate"/>
      </w:r>
      <w:r w:rsidR="00EB7EE8" w:rsidRPr="00EB7EE8">
        <w:t xml:space="preserve">Table </w:t>
      </w:r>
      <w:r w:rsidR="00EB7EE8" w:rsidRPr="00EB7EE8">
        <w:rPr>
          <w:noProof/>
        </w:rPr>
        <w:t>1</w:t>
      </w:r>
      <w:r w:rsidR="00322BB7" w:rsidRPr="00322BB7">
        <w:rPr>
          <w:lang w:val="en-US"/>
        </w:rPr>
        <w:fldChar w:fldCharType="end"/>
      </w:r>
      <w:r w:rsidRPr="00C67CC0">
        <w:rPr>
          <w:lang w:val="en-US"/>
        </w:rPr>
        <w: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980"/>
        <w:gridCol w:w="2070"/>
        <w:gridCol w:w="2160"/>
      </w:tblGrid>
      <w:tr w:rsidR="00FC6697" w:rsidRPr="00C16E7B" w14:paraId="6660C9BE" w14:textId="77777777" w:rsidTr="00FC6697">
        <w:tc>
          <w:tcPr>
            <w:tcW w:w="9198" w:type="dxa"/>
            <w:gridSpan w:val="4"/>
            <w:shd w:val="clear" w:color="auto" w:fill="auto"/>
          </w:tcPr>
          <w:p w14:paraId="1B033DA6" w14:textId="1478C89C" w:rsidR="00FC6697" w:rsidRPr="00C16E7B" w:rsidRDefault="00322BB7" w:rsidP="00322BB7">
            <w:pPr>
              <w:pStyle w:val="Caption"/>
              <w:jc w:val="left"/>
              <w:rPr>
                <w:rFonts w:eastAsiaTheme="minorEastAsia"/>
                <w:b/>
                <w:lang w:val="en-US"/>
              </w:rPr>
            </w:pPr>
            <w:bookmarkStart w:id="1" w:name="_Ref414564869"/>
            <w:r w:rsidRPr="00322BB7">
              <w:rPr>
                <w:b/>
              </w:rPr>
              <w:t xml:space="preserve">Table </w:t>
            </w:r>
            <w:r w:rsidRPr="00322BB7">
              <w:rPr>
                <w:b/>
              </w:rPr>
              <w:fldChar w:fldCharType="begin"/>
            </w:r>
            <w:r w:rsidRPr="00322BB7">
              <w:rPr>
                <w:b/>
              </w:rPr>
              <w:instrText xml:space="preserve"> SEQ Table_CTD \* ARABIC </w:instrText>
            </w:r>
            <w:r w:rsidRPr="00322BB7">
              <w:rPr>
                <w:b/>
              </w:rPr>
              <w:fldChar w:fldCharType="separate"/>
            </w:r>
            <w:r w:rsidR="00EB7EE8">
              <w:rPr>
                <w:b/>
                <w:noProof/>
              </w:rPr>
              <w:t>1</w:t>
            </w:r>
            <w:r w:rsidRPr="00322BB7">
              <w:rPr>
                <w:b/>
              </w:rPr>
              <w:fldChar w:fldCharType="end"/>
            </w:r>
            <w:bookmarkEnd w:id="1"/>
            <w:r w:rsidR="00FC6697" w:rsidRPr="00322BB7">
              <w:rPr>
                <w:rFonts w:eastAsiaTheme="minorEastAsia"/>
                <w:b/>
                <w:lang w:val="en-US"/>
              </w:rPr>
              <w:t>:</w:t>
            </w:r>
            <w:r w:rsidR="00FC6697" w:rsidRPr="00C16E7B">
              <w:rPr>
                <w:rFonts w:eastAsiaTheme="minorEastAsia"/>
                <w:b/>
                <w:lang w:val="en-US"/>
              </w:rPr>
              <w:t xml:space="preserve"> Prevention of ovulation</w:t>
            </w:r>
            <w:r w:rsidR="00FC6697" w:rsidRPr="00C16E7B">
              <w:rPr>
                <w:rFonts w:eastAsiaTheme="minorEastAsia"/>
                <w:b/>
                <w:vertAlign w:val="superscript"/>
                <w:lang w:val="en-US"/>
              </w:rPr>
              <w:t>1,§</w:t>
            </w:r>
          </w:p>
        </w:tc>
      </w:tr>
      <w:tr w:rsidR="00FC6697" w:rsidRPr="00C16E7B" w14:paraId="4079893B" w14:textId="77777777" w:rsidTr="00FC6697">
        <w:tc>
          <w:tcPr>
            <w:tcW w:w="2988" w:type="dxa"/>
            <w:shd w:val="clear" w:color="auto" w:fill="auto"/>
          </w:tcPr>
          <w:p w14:paraId="2A285FF5" w14:textId="77777777" w:rsidR="00FC6697" w:rsidRPr="006B4B14" w:rsidRDefault="00FC6697" w:rsidP="00FC6697">
            <w:pPr>
              <w:rPr>
                <w:rFonts w:eastAsiaTheme="minorEastAsia"/>
                <w:sz w:val="22"/>
                <w:szCs w:val="22"/>
                <w:lang w:val="en-US"/>
              </w:rPr>
            </w:pPr>
          </w:p>
        </w:tc>
        <w:tc>
          <w:tcPr>
            <w:tcW w:w="1980" w:type="dxa"/>
            <w:shd w:val="clear" w:color="auto" w:fill="auto"/>
          </w:tcPr>
          <w:p w14:paraId="69F5FCFD" w14:textId="77777777" w:rsidR="00FC6697" w:rsidRPr="006B4B14" w:rsidRDefault="00FC6697" w:rsidP="00FC6697">
            <w:pPr>
              <w:jc w:val="center"/>
              <w:rPr>
                <w:rFonts w:eastAsiaTheme="minorEastAsia"/>
                <w:b/>
                <w:sz w:val="22"/>
                <w:szCs w:val="22"/>
                <w:lang w:val="en-US"/>
              </w:rPr>
            </w:pPr>
            <w:r w:rsidRPr="006B4B14">
              <w:rPr>
                <w:rFonts w:eastAsiaTheme="minorEastAsia"/>
                <w:b/>
                <w:sz w:val="22"/>
                <w:szCs w:val="22"/>
                <w:lang w:val="en-US"/>
              </w:rPr>
              <w:t>Placebo</w:t>
            </w:r>
          </w:p>
          <w:p w14:paraId="1CF75E96"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n=50</w:t>
            </w:r>
          </w:p>
        </w:tc>
        <w:tc>
          <w:tcPr>
            <w:tcW w:w="2070" w:type="dxa"/>
            <w:shd w:val="clear" w:color="auto" w:fill="auto"/>
          </w:tcPr>
          <w:p w14:paraId="58F470D0" w14:textId="77777777" w:rsidR="00FC6697" w:rsidRPr="006B4B14" w:rsidRDefault="00FC6697" w:rsidP="00FC6697">
            <w:pPr>
              <w:jc w:val="center"/>
              <w:rPr>
                <w:rFonts w:eastAsiaTheme="minorEastAsia"/>
                <w:b/>
                <w:sz w:val="22"/>
                <w:szCs w:val="22"/>
                <w:lang w:val="en-US"/>
              </w:rPr>
            </w:pPr>
            <w:proofErr w:type="spellStart"/>
            <w:r w:rsidRPr="006B4B14">
              <w:rPr>
                <w:rFonts w:eastAsiaTheme="minorEastAsia"/>
                <w:b/>
                <w:sz w:val="22"/>
                <w:szCs w:val="22"/>
                <w:lang w:val="en-US"/>
              </w:rPr>
              <w:t>Levonorgestrel</w:t>
            </w:r>
            <w:proofErr w:type="spellEnd"/>
          </w:p>
          <w:p w14:paraId="3498D0FA"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n=48</w:t>
            </w:r>
          </w:p>
        </w:tc>
        <w:tc>
          <w:tcPr>
            <w:tcW w:w="2160" w:type="dxa"/>
            <w:shd w:val="clear" w:color="auto" w:fill="auto"/>
          </w:tcPr>
          <w:p w14:paraId="6595D27F" w14:textId="77777777" w:rsidR="00FC6697" w:rsidRPr="006B4B14" w:rsidRDefault="00FC6697" w:rsidP="00FC6697">
            <w:pPr>
              <w:jc w:val="center"/>
              <w:rPr>
                <w:rFonts w:eastAsiaTheme="minorEastAsia"/>
                <w:b/>
                <w:sz w:val="22"/>
                <w:szCs w:val="22"/>
                <w:lang w:val="en-US"/>
              </w:rPr>
            </w:pPr>
            <w:proofErr w:type="spellStart"/>
            <w:r w:rsidRPr="006B4B14">
              <w:rPr>
                <w:rFonts w:eastAsiaTheme="minorEastAsia"/>
                <w:b/>
                <w:sz w:val="22"/>
                <w:szCs w:val="22"/>
                <w:lang w:val="en-US"/>
              </w:rPr>
              <w:t>Ulipristal</w:t>
            </w:r>
            <w:proofErr w:type="spellEnd"/>
            <w:r w:rsidRPr="006B4B14">
              <w:rPr>
                <w:rFonts w:eastAsiaTheme="minorEastAsia"/>
                <w:b/>
                <w:sz w:val="22"/>
                <w:szCs w:val="22"/>
                <w:lang w:val="en-US"/>
              </w:rPr>
              <w:t xml:space="preserve"> acetate</w:t>
            </w:r>
          </w:p>
          <w:p w14:paraId="3FB93D82"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n=34</w:t>
            </w:r>
          </w:p>
        </w:tc>
      </w:tr>
      <w:tr w:rsidR="00FC6697" w:rsidRPr="00C16E7B" w14:paraId="6A7D17CD" w14:textId="77777777" w:rsidTr="00FC6697">
        <w:trPr>
          <w:trHeight w:val="218"/>
        </w:trPr>
        <w:tc>
          <w:tcPr>
            <w:tcW w:w="2988" w:type="dxa"/>
            <w:shd w:val="clear" w:color="auto" w:fill="auto"/>
          </w:tcPr>
          <w:p w14:paraId="11927095" w14:textId="77777777" w:rsidR="00FC6697" w:rsidRPr="006B4B14" w:rsidRDefault="00FC6697" w:rsidP="00FC6697">
            <w:pPr>
              <w:rPr>
                <w:rFonts w:eastAsiaTheme="minorEastAsia"/>
                <w:b/>
                <w:sz w:val="22"/>
                <w:szCs w:val="22"/>
                <w:lang w:val="en-US"/>
              </w:rPr>
            </w:pPr>
            <w:r w:rsidRPr="006B4B14">
              <w:rPr>
                <w:rFonts w:eastAsiaTheme="minorEastAsia"/>
                <w:b/>
                <w:sz w:val="22"/>
                <w:szCs w:val="22"/>
                <w:lang w:val="en-US"/>
              </w:rPr>
              <w:t>Dose</w:t>
            </w:r>
          </w:p>
        </w:tc>
        <w:tc>
          <w:tcPr>
            <w:tcW w:w="1980" w:type="dxa"/>
            <w:shd w:val="clear" w:color="auto" w:fill="auto"/>
          </w:tcPr>
          <w:p w14:paraId="39F5B6EE"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w:t>
            </w:r>
          </w:p>
        </w:tc>
        <w:tc>
          <w:tcPr>
            <w:tcW w:w="2070" w:type="dxa"/>
            <w:shd w:val="clear" w:color="auto" w:fill="auto"/>
          </w:tcPr>
          <w:p w14:paraId="2277A826"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1.5</w:t>
            </w:r>
            <w:r w:rsidRPr="006B4B14">
              <w:rPr>
                <w:rFonts w:eastAsiaTheme="minorEastAsia"/>
                <w:sz w:val="22"/>
                <w:szCs w:val="22"/>
              </w:rPr>
              <w:t> </w:t>
            </w:r>
            <w:r w:rsidRPr="006B4B14">
              <w:rPr>
                <w:rFonts w:eastAsiaTheme="minorEastAsia"/>
                <w:sz w:val="22"/>
                <w:szCs w:val="22"/>
                <w:lang w:val="en-US"/>
              </w:rPr>
              <w:t>mg</w:t>
            </w:r>
          </w:p>
        </w:tc>
        <w:tc>
          <w:tcPr>
            <w:tcW w:w="2160" w:type="dxa"/>
            <w:shd w:val="clear" w:color="auto" w:fill="auto"/>
          </w:tcPr>
          <w:p w14:paraId="637A6B8E" w14:textId="77777777" w:rsidR="00FC6697" w:rsidRPr="006B4B14" w:rsidRDefault="00FC6697" w:rsidP="00FC6697">
            <w:pPr>
              <w:pStyle w:val="Date"/>
              <w:jc w:val="center"/>
              <w:rPr>
                <w:rFonts w:eastAsiaTheme="minorEastAsia"/>
                <w:sz w:val="22"/>
                <w:szCs w:val="22"/>
                <w:lang w:val="en-US"/>
              </w:rPr>
            </w:pPr>
            <w:r w:rsidRPr="006B4B14">
              <w:rPr>
                <w:rFonts w:eastAsiaTheme="minorEastAsia"/>
                <w:sz w:val="22"/>
                <w:szCs w:val="22"/>
                <w:lang w:val="en-US"/>
              </w:rPr>
              <w:t>30 mg</w:t>
            </w:r>
          </w:p>
        </w:tc>
      </w:tr>
      <w:tr w:rsidR="00FC6697" w:rsidRPr="00C16E7B" w14:paraId="384BD315" w14:textId="77777777" w:rsidTr="00FC6697">
        <w:trPr>
          <w:trHeight w:val="218"/>
        </w:trPr>
        <w:tc>
          <w:tcPr>
            <w:tcW w:w="2988" w:type="dxa"/>
            <w:shd w:val="clear" w:color="auto" w:fill="auto"/>
          </w:tcPr>
          <w:p w14:paraId="5C06FEEB" w14:textId="77777777" w:rsidR="00FC6697" w:rsidRPr="006B4B14" w:rsidRDefault="00FC6697" w:rsidP="00FC6697">
            <w:pPr>
              <w:rPr>
                <w:rFonts w:eastAsiaTheme="minorEastAsia"/>
                <w:b/>
                <w:sz w:val="22"/>
                <w:szCs w:val="22"/>
                <w:lang w:val="en-US"/>
              </w:rPr>
            </w:pPr>
            <w:r w:rsidRPr="006B4B14">
              <w:rPr>
                <w:rFonts w:eastAsiaTheme="minorEastAsia"/>
                <w:b/>
                <w:sz w:val="22"/>
                <w:szCs w:val="22"/>
                <w:lang w:val="en-US"/>
              </w:rPr>
              <w:t>Treatment before LH surge</w:t>
            </w:r>
          </w:p>
        </w:tc>
        <w:tc>
          <w:tcPr>
            <w:tcW w:w="1980" w:type="dxa"/>
            <w:shd w:val="clear" w:color="auto" w:fill="auto"/>
          </w:tcPr>
          <w:p w14:paraId="136E6959"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0.0%</w:t>
            </w:r>
          </w:p>
        </w:tc>
        <w:tc>
          <w:tcPr>
            <w:tcW w:w="2070" w:type="dxa"/>
            <w:shd w:val="clear" w:color="auto" w:fill="auto"/>
          </w:tcPr>
          <w:p w14:paraId="0DCC24FF"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25.0%</w:t>
            </w:r>
          </w:p>
        </w:tc>
        <w:tc>
          <w:tcPr>
            <w:tcW w:w="2160" w:type="dxa"/>
            <w:shd w:val="clear" w:color="auto" w:fill="auto"/>
          </w:tcPr>
          <w:p w14:paraId="6BB3FDCF" w14:textId="77777777" w:rsidR="00FC6697" w:rsidRPr="006B4B14" w:rsidRDefault="00FC6697" w:rsidP="00FC6697">
            <w:pPr>
              <w:pStyle w:val="Date"/>
              <w:jc w:val="center"/>
              <w:rPr>
                <w:rFonts w:eastAsiaTheme="minorEastAsia"/>
                <w:sz w:val="22"/>
                <w:szCs w:val="22"/>
                <w:lang w:val="en-US"/>
              </w:rPr>
            </w:pPr>
            <w:r w:rsidRPr="006B4B14">
              <w:rPr>
                <w:rFonts w:eastAsiaTheme="minorEastAsia"/>
                <w:sz w:val="22"/>
                <w:szCs w:val="22"/>
                <w:lang w:val="en-US"/>
              </w:rPr>
              <w:t xml:space="preserve">100% </w:t>
            </w:r>
          </w:p>
          <w:p w14:paraId="731CF0B9" w14:textId="77777777" w:rsidR="00FC6697" w:rsidRPr="006B4B14" w:rsidRDefault="00FC6697" w:rsidP="00FC6697">
            <w:pPr>
              <w:pStyle w:val="Date"/>
              <w:jc w:val="center"/>
              <w:rPr>
                <w:rFonts w:eastAsiaTheme="minorEastAsia"/>
                <w:sz w:val="22"/>
                <w:szCs w:val="22"/>
                <w:lang w:val="en-US"/>
              </w:rPr>
            </w:pPr>
            <w:r w:rsidRPr="006B4B14">
              <w:rPr>
                <w:rFonts w:eastAsiaTheme="minorEastAsia"/>
                <w:sz w:val="22"/>
                <w:szCs w:val="22"/>
                <w:lang w:val="en-US"/>
              </w:rPr>
              <w:t>p&lt;0.005*</w:t>
            </w:r>
          </w:p>
        </w:tc>
      </w:tr>
      <w:tr w:rsidR="00FC6697" w:rsidRPr="00C16E7B" w14:paraId="05872F18" w14:textId="77777777" w:rsidTr="00FC6697">
        <w:trPr>
          <w:trHeight w:val="499"/>
        </w:trPr>
        <w:tc>
          <w:tcPr>
            <w:tcW w:w="2988" w:type="dxa"/>
            <w:shd w:val="clear" w:color="auto" w:fill="auto"/>
          </w:tcPr>
          <w:p w14:paraId="4FED996E" w14:textId="77777777" w:rsidR="00FC6697" w:rsidRPr="006B4B14" w:rsidRDefault="00FC6697" w:rsidP="00FC6697">
            <w:pPr>
              <w:rPr>
                <w:rFonts w:eastAsiaTheme="minorEastAsia"/>
                <w:b/>
                <w:sz w:val="22"/>
                <w:szCs w:val="22"/>
                <w:lang w:val="en-US"/>
              </w:rPr>
            </w:pPr>
            <w:r w:rsidRPr="006B4B14">
              <w:rPr>
                <w:rFonts w:eastAsiaTheme="minorEastAsia"/>
                <w:b/>
                <w:sz w:val="22"/>
                <w:szCs w:val="22"/>
                <w:lang w:val="en-US"/>
              </w:rPr>
              <w:t>Treatment after LH surge but before LH peak</w:t>
            </w:r>
          </w:p>
        </w:tc>
        <w:tc>
          <w:tcPr>
            <w:tcW w:w="1980" w:type="dxa"/>
            <w:shd w:val="clear" w:color="auto" w:fill="auto"/>
          </w:tcPr>
          <w:p w14:paraId="6923F1C4"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10.0%</w:t>
            </w:r>
          </w:p>
        </w:tc>
        <w:tc>
          <w:tcPr>
            <w:tcW w:w="2070" w:type="dxa"/>
            <w:shd w:val="clear" w:color="auto" w:fill="auto"/>
          </w:tcPr>
          <w:p w14:paraId="22FEE01F"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14.3%</w:t>
            </w:r>
          </w:p>
          <w:p w14:paraId="26E8B8AA" w14:textId="77777777" w:rsidR="00FC6697" w:rsidRPr="006B4B14" w:rsidRDefault="00FC6697" w:rsidP="00FC6697">
            <w:pPr>
              <w:pStyle w:val="Date"/>
              <w:jc w:val="center"/>
              <w:rPr>
                <w:rFonts w:eastAsiaTheme="minorEastAsia"/>
                <w:sz w:val="22"/>
                <w:szCs w:val="22"/>
                <w:lang w:val="en-US"/>
              </w:rPr>
            </w:pPr>
            <w:r w:rsidRPr="006B4B14">
              <w:rPr>
                <w:rFonts w:eastAsiaTheme="minorEastAsia"/>
                <w:sz w:val="22"/>
                <w:szCs w:val="22"/>
                <w:lang w:val="en-US"/>
              </w:rPr>
              <w:t>NS†</w:t>
            </w:r>
          </w:p>
        </w:tc>
        <w:tc>
          <w:tcPr>
            <w:tcW w:w="2160" w:type="dxa"/>
            <w:shd w:val="clear" w:color="auto" w:fill="auto"/>
          </w:tcPr>
          <w:p w14:paraId="49011C76" w14:textId="77777777" w:rsidR="00FC6697" w:rsidRPr="006B4B14" w:rsidRDefault="00FC6697" w:rsidP="00FC6697">
            <w:pPr>
              <w:pStyle w:val="Date"/>
              <w:jc w:val="center"/>
              <w:rPr>
                <w:rFonts w:eastAsiaTheme="minorEastAsia"/>
                <w:sz w:val="22"/>
                <w:szCs w:val="22"/>
                <w:lang w:val="en-US"/>
              </w:rPr>
            </w:pPr>
            <w:r w:rsidRPr="006B4B14">
              <w:rPr>
                <w:rFonts w:eastAsiaTheme="minorEastAsia"/>
                <w:sz w:val="22"/>
                <w:szCs w:val="22"/>
                <w:lang w:val="en-US"/>
              </w:rPr>
              <w:t xml:space="preserve">78.6% </w:t>
            </w:r>
          </w:p>
          <w:p w14:paraId="4AADB861" w14:textId="77777777" w:rsidR="00FC6697" w:rsidRPr="006B4B14" w:rsidRDefault="00FC6697" w:rsidP="00FC6697">
            <w:pPr>
              <w:pStyle w:val="Date"/>
              <w:jc w:val="center"/>
              <w:rPr>
                <w:rFonts w:eastAsiaTheme="minorEastAsia"/>
                <w:sz w:val="22"/>
                <w:szCs w:val="22"/>
                <w:lang w:val="en-US"/>
              </w:rPr>
            </w:pPr>
            <w:r w:rsidRPr="006B4B14">
              <w:rPr>
                <w:rFonts w:eastAsiaTheme="minorEastAsia"/>
                <w:sz w:val="22"/>
                <w:szCs w:val="22"/>
                <w:lang w:val="en-US"/>
              </w:rPr>
              <w:t>p&lt;0.005*</w:t>
            </w:r>
          </w:p>
        </w:tc>
      </w:tr>
      <w:tr w:rsidR="00FC6697" w:rsidRPr="00C16E7B" w14:paraId="5D771E59" w14:textId="77777777" w:rsidTr="00FC6697">
        <w:trPr>
          <w:trHeight w:val="499"/>
        </w:trPr>
        <w:tc>
          <w:tcPr>
            <w:tcW w:w="2988" w:type="dxa"/>
            <w:shd w:val="clear" w:color="auto" w:fill="auto"/>
          </w:tcPr>
          <w:p w14:paraId="2E2654A2" w14:textId="77777777" w:rsidR="00FC6697" w:rsidRPr="006B4B14" w:rsidRDefault="00FC6697" w:rsidP="00FC6697">
            <w:pPr>
              <w:rPr>
                <w:rFonts w:eastAsiaTheme="minorEastAsia"/>
                <w:b/>
                <w:sz w:val="22"/>
                <w:szCs w:val="22"/>
                <w:lang w:val="en-US"/>
              </w:rPr>
            </w:pPr>
            <w:r w:rsidRPr="006B4B14">
              <w:rPr>
                <w:rFonts w:eastAsiaTheme="minorEastAsia"/>
                <w:b/>
                <w:sz w:val="22"/>
                <w:szCs w:val="22"/>
                <w:lang w:val="en-US"/>
              </w:rPr>
              <w:t>Treatment after LH peak</w:t>
            </w:r>
          </w:p>
        </w:tc>
        <w:tc>
          <w:tcPr>
            <w:tcW w:w="1980" w:type="dxa"/>
            <w:shd w:val="clear" w:color="auto" w:fill="auto"/>
          </w:tcPr>
          <w:p w14:paraId="0F898513"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4.2%</w:t>
            </w:r>
          </w:p>
        </w:tc>
        <w:tc>
          <w:tcPr>
            <w:tcW w:w="2070" w:type="dxa"/>
            <w:shd w:val="clear" w:color="auto" w:fill="auto"/>
          </w:tcPr>
          <w:p w14:paraId="29C2E28D"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9.1%</w:t>
            </w:r>
          </w:p>
          <w:p w14:paraId="3479FAFD" w14:textId="77777777" w:rsidR="00FC6697" w:rsidRPr="006B4B14" w:rsidRDefault="00FC6697" w:rsidP="00FC6697">
            <w:pPr>
              <w:pStyle w:val="Date"/>
              <w:jc w:val="center"/>
              <w:rPr>
                <w:rFonts w:eastAsiaTheme="minorEastAsia"/>
                <w:sz w:val="22"/>
                <w:szCs w:val="22"/>
                <w:lang w:val="en-US"/>
              </w:rPr>
            </w:pPr>
            <w:r w:rsidRPr="006B4B14">
              <w:rPr>
                <w:rFonts w:eastAsiaTheme="minorEastAsia"/>
                <w:sz w:val="22"/>
                <w:szCs w:val="22"/>
                <w:lang w:val="en-US"/>
              </w:rPr>
              <w:t>NS†</w:t>
            </w:r>
          </w:p>
        </w:tc>
        <w:tc>
          <w:tcPr>
            <w:tcW w:w="2160" w:type="dxa"/>
            <w:shd w:val="clear" w:color="auto" w:fill="auto"/>
          </w:tcPr>
          <w:p w14:paraId="469E857D" w14:textId="77777777" w:rsidR="00FC6697" w:rsidRPr="006B4B14" w:rsidRDefault="00FC6697" w:rsidP="00FC6697">
            <w:pPr>
              <w:jc w:val="center"/>
              <w:rPr>
                <w:rFonts w:eastAsiaTheme="minorEastAsia"/>
                <w:sz w:val="22"/>
                <w:szCs w:val="22"/>
                <w:lang w:val="en-US"/>
              </w:rPr>
            </w:pPr>
            <w:r w:rsidRPr="006B4B14">
              <w:rPr>
                <w:rFonts w:eastAsiaTheme="minorEastAsia"/>
                <w:sz w:val="22"/>
                <w:szCs w:val="22"/>
                <w:lang w:val="en-US"/>
              </w:rPr>
              <w:t>8.3%</w:t>
            </w:r>
          </w:p>
          <w:p w14:paraId="4A73F47C" w14:textId="77777777" w:rsidR="00FC6697" w:rsidRPr="006B4B14" w:rsidRDefault="00FC6697" w:rsidP="00FC6697">
            <w:pPr>
              <w:pStyle w:val="Date"/>
              <w:jc w:val="center"/>
              <w:rPr>
                <w:rFonts w:eastAsiaTheme="minorEastAsia"/>
                <w:sz w:val="22"/>
                <w:szCs w:val="22"/>
                <w:lang w:val="en-US"/>
              </w:rPr>
            </w:pPr>
            <w:r w:rsidRPr="006B4B14">
              <w:rPr>
                <w:rFonts w:eastAsiaTheme="minorEastAsia"/>
                <w:sz w:val="22"/>
                <w:szCs w:val="22"/>
                <w:lang w:val="en-US"/>
              </w:rPr>
              <w:t>NS*</w:t>
            </w:r>
          </w:p>
        </w:tc>
      </w:tr>
    </w:tbl>
    <w:p w14:paraId="3DD42C5A" w14:textId="77777777" w:rsidR="00FC6697" w:rsidRPr="00D53409" w:rsidRDefault="00FC6697" w:rsidP="00FC6697">
      <w:pPr>
        <w:rPr>
          <w:rFonts w:eastAsiaTheme="minorEastAsia"/>
          <w:sz w:val="20"/>
          <w:lang w:val="en-US"/>
        </w:rPr>
      </w:pPr>
      <w:r w:rsidRPr="009449E0">
        <w:rPr>
          <w:rFonts w:eastAsiaTheme="minorEastAsia"/>
          <w:sz w:val="20"/>
          <w:lang w:val="en-US"/>
        </w:rPr>
        <w:t xml:space="preserve">1: </w:t>
      </w:r>
      <w:proofErr w:type="spellStart"/>
      <w:r w:rsidRPr="009449E0">
        <w:rPr>
          <w:rFonts w:eastAsiaTheme="minorEastAsia"/>
          <w:sz w:val="20"/>
          <w:lang w:val="en-US"/>
        </w:rPr>
        <w:t>Brache</w:t>
      </w:r>
      <w:proofErr w:type="spellEnd"/>
      <w:r w:rsidRPr="009449E0">
        <w:rPr>
          <w:rFonts w:eastAsiaTheme="minorEastAsia"/>
          <w:sz w:val="20"/>
          <w:lang w:val="en-US"/>
        </w:rPr>
        <w:t xml:space="preserve"> et al, Contraception 2013</w:t>
      </w:r>
    </w:p>
    <w:p w14:paraId="0FB64161" w14:textId="77777777" w:rsidR="00FC6697" w:rsidRPr="00D53409" w:rsidRDefault="00FC6697" w:rsidP="00FC6697">
      <w:pPr>
        <w:pStyle w:val="Date"/>
        <w:rPr>
          <w:rFonts w:eastAsiaTheme="minorEastAsia"/>
          <w:sz w:val="20"/>
          <w:lang w:val="en-US"/>
        </w:rPr>
      </w:pPr>
      <w:r w:rsidRPr="00D53409">
        <w:rPr>
          <w:rFonts w:eastAsiaTheme="minorEastAsia"/>
          <w:sz w:val="20"/>
          <w:lang w:val="en-US"/>
        </w:rPr>
        <w:t xml:space="preserve">§: defined as presence of </w:t>
      </w:r>
      <w:proofErr w:type="spellStart"/>
      <w:r w:rsidRPr="00D53409">
        <w:rPr>
          <w:rFonts w:eastAsiaTheme="minorEastAsia"/>
          <w:sz w:val="20"/>
          <w:lang w:val="en-US"/>
        </w:rPr>
        <w:t>unruptured</w:t>
      </w:r>
      <w:proofErr w:type="spellEnd"/>
      <w:r w:rsidRPr="00D53409">
        <w:rPr>
          <w:rFonts w:eastAsiaTheme="minorEastAsia"/>
          <w:sz w:val="20"/>
          <w:lang w:val="en-US"/>
        </w:rPr>
        <w:t xml:space="preserve"> dominant follicle five days after late follicular-phase treatment</w:t>
      </w:r>
    </w:p>
    <w:p w14:paraId="5DF6E10E" w14:textId="77777777" w:rsidR="00FC6697" w:rsidRPr="00D53409" w:rsidRDefault="00FC6697" w:rsidP="00FC6697">
      <w:pPr>
        <w:rPr>
          <w:rFonts w:eastAsiaTheme="minorEastAsia"/>
          <w:sz w:val="20"/>
          <w:lang w:val="en-US"/>
        </w:rPr>
      </w:pPr>
      <w:r w:rsidRPr="00D53409">
        <w:rPr>
          <w:rFonts w:eastAsiaTheme="minorEastAsia"/>
          <w:sz w:val="20"/>
          <w:lang w:val="en-US"/>
        </w:rPr>
        <w:t xml:space="preserve">*: compared to </w:t>
      </w:r>
      <w:proofErr w:type="spellStart"/>
      <w:r w:rsidRPr="00D53409">
        <w:rPr>
          <w:rFonts w:eastAsiaTheme="minorEastAsia"/>
          <w:sz w:val="20"/>
          <w:lang w:val="en-US"/>
        </w:rPr>
        <w:t>levonorgestrel</w:t>
      </w:r>
      <w:proofErr w:type="spellEnd"/>
    </w:p>
    <w:p w14:paraId="6324C67A" w14:textId="77777777" w:rsidR="00FC6697" w:rsidRPr="00D53409" w:rsidRDefault="00FC6697" w:rsidP="00FC6697">
      <w:pPr>
        <w:rPr>
          <w:rFonts w:eastAsiaTheme="minorEastAsia"/>
          <w:sz w:val="20"/>
          <w:lang w:val="en-US"/>
        </w:rPr>
      </w:pPr>
      <w:r w:rsidRPr="00D53409">
        <w:rPr>
          <w:rFonts w:eastAsiaTheme="minorEastAsia"/>
          <w:sz w:val="20"/>
          <w:lang w:val="en-US"/>
        </w:rPr>
        <w:t>NS: non statistically significant</w:t>
      </w:r>
    </w:p>
    <w:p w14:paraId="14DF21D8" w14:textId="77777777" w:rsidR="00FC6697" w:rsidRDefault="00FC6697" w:rsidP="00FC6697">
      <w:pPr>
        <w:rPr>
          <w:bCs/>
          <w:sz w:val="20"/>
          <w:lang w:val="en-US"/>
        </w:rPr>
      </w:pPr>
      <w:r w:rsidRPr="00D53409">
        <w:rPr>
          <w:rFonts w:eastAsiaTheme="minorEastAsia"/>
          <w:sz w:val="20"/>
          <w:lang w:val="en-US"/>
        </w:rPr>
        <w:t>†: compared to placebo</w:t>
      </w:r>
      <w:r w:rsidRPr="004700FC">
        <w:rPr>
          <w:bCs/>
          <w:sz w:val="20"/>
          <w:lang w:val="en-US"/>
        </w:rPr>
        <w:t xml:space="preserve"> </w:t>
      </w:r>
    </w:p>
    <w:p w14:paraId="4F22280B" w14:textId="77777777" w:rsidR="00FC6697" w:rsidRDefault="00FC6697" w:rsidP="00FC6697">
      <w:pPr>
        <w:pStyle w:val="CTDtext"/>
        <w:rPr>
          <w:lang w:val="en-US"/>
        </w:rPr>
      </w:pPr>
    </w:p>
    <w:p w14:paraId="6C672042" w14:textId="77777777" w:rsidR="00FC6697" w:rsidRDefault="00FC6697" w:rsidP="00FC6697">
      <w:pPr>
        <w:pStyle w:val="CTDtext"/>
        <w:rPr>
          <w:lang w:val="en-US"/>
        </w:rPr>
      </w:pPr>
      <w:proofErr w:type="spellStart"/>
      <w:r w:rsidRPr="005C1A91">
        <w:rPr>
          <w:lang w:val="en-US"/>
        </w:rPr>
        <w:t>Ulipristal</w:t>
      </w:r>
      <w:proofErr w:type="spellEnd"/>
      <w:r w:rsidRPr="005C1A91">
        <w:rPr>
          <w:lang w:val="en-US"/>
        </w:rPr>
        <w:t xml:space="preserve"> acetate also has high affinity for the glucocorticoid receptor and</w:t>
      </w:r>
      <w:r>
        <w:rPr>
          <w:lang w:val="en-US"/>
        </w:rPr>
        <w:t>,</w:t>
      </w:r>
      <w:r w:rsidRPr="005C1A91">
        <w:rPr>
          <w:lang w:val="en-US"/>
        </w:rPr>
        <w:t xml:space="preserve"> </w:t>
      </w:r>
      <w:proofErr w:type="spellStart"/>
      <w:r w:rsidRPr="005C1A91">
        <w:rPr>
          <w:lang w:val="en-US"/>
        </w:rPr>
        <w:t>antiglucocorticoid</w:t>
      </w:r>
      <w:proofErr w:type="spellEnd"/>
      <w:r w:rsidRPr="005C1A91">
        <w:rPr>
          <w:lang w:val="en-US"/>
        </w:rPr>
        <w:t xml:space="preserve"> effects have been observed</w:t>
      </w:r>
      <w:r>
        <w:rPr>
          <w:lang w:val="en-US"/>
        </w:rPr>
        <w:t xml:space="preserve"> </w:t>
      </w:r>
      <w:r w:rsidRPr="003A2836">
        <w:rPr>
          <w:i/>
          <w:lang w:val="en-US"/>
        </w:rPr>
        <w:t>in vivo</w:t>
      </w:r>
      <w:r>
        <w:rPr>
          <w:lang w:val="en-US"/>
        </w:rPr>
        <w:t xml:space="preserve"> in animals</w:t>
      </w:r>
      <w:r w:rsidRPr="005C1A91">
        <w:rPr>
          <w:lang w:val="en-US"/>
        </w:rPr>
        <w:t xml:space="preserve">. </w:t>
      </w:r>
      <w:r>
        <w:rPr>
          <w:lang w:val="en-US"/>
        </w:rPr>
        <w:t xml:space="preserve"> </w:t>
      </w:r>
      <w:r w:rsidRPr="005C1A91">
        <w:rPr>
          <w:lang w:val="en-US"/>
        </w:rPr>
        <w:t xml:space="preserve">However, in humans, no such effect has been observed even after repeat administration at </w:t>
      </w:r>
      <w:r>
        <w:rPr>
          <w:lang w:val="en-US"/>
        </w:rPr>
        <w:t>a</w:t>
      </w:r>
      <w:r w:rsidRPr="005C1A91">
        <w:rPr>
          <w:lang w:val="en-US"/>
        </w:rPr>
        <w:t xml:space="preserve"> daily dose of 10 mg. </w:t>
      </w:r>
      <w:r>
        <w:rPr>
          <w:lang w:val="en-US"/>
        </w:rPr>
        <w:t xml:space="preserve"> </w:t>
      </w:r>
      <w:proofErr w:type="spellStart"/>
      <w:r w:rsidRPr="005C1A91">
        <w:rPr>
          <w:lang w:val="en-US"/>
        </w:rPr>
        <w:lastRenderedPageBreak/>
        <w:t>Ulipristal</w:t>
      </w:r>
      <w:proofErr w:type="spellEnd"/>
      <w:r w:rsidRPr="005C1A91">
        <w:rPr>
          <w:lang w:val="en-US"/>
        </w:rPr>
        <w:t xml:space="preserve"> acetate has </w:t>
      </w:r>
      <w:r>
        <w:rPr>
          <w:lang w:val="en-US"/>
        </w:rPr>
        <w:t>weak</w:t>
      </w:r>
      <w:r w:rsidRPr="005C1A91">
        <w:rPr>
          <w:lang w:val="en-US"/>
        </w:rPr>
        <w:t xml:space="preserve"> affinity </w:t>
      </w:r>
      <w:r>
        <w:rPr>
          <w:lang w:val="en-US"/>
        </w:rPr>
        <w:t>for</w:t>
      </w:r>
      <w:r w:rsidRPr="005C1A91">
        <w:rPr>
          <w:lang w:val="en-US"/>
        </w:rPr>
        <w:t xml:space="preserve"> the androgen receptor and </w:t>
      </w:r>
      <w:r>
        <w:rPr>
          <w:lang w:val="en-US"/>
        </w:rPr>
        <w:t>negligible</w:t>
      </w:r>
      <w:r w:rsidRPr="005C1A91">
        <w:rPr>
          <w:lang w:val="en-US"/>
        </w:rPr>
        <w:t xml:space="preserve"> affinity for the human </w:t>
      </w:r>
      <w:proofErr w:type="spellStart"/>
      <w:r>
        <w:rPr>
          <w:lang w:val="en-US"/>
        </w:rPr>
        <w:t>o</w:t>
      </w:r>
      <w:r w:rsidRPr="005C1A91">
        <w:rPr>
          <w:lang w:val="en-US"/>
        </w:rPr>
        <w:t>estrogen</w:t>
      </w:r>
      <w:proofErr w:type="spellEnd"/>
      <w:r w:rsidRPr="005C1A91">
        <w:rPr>
          <w:lang w:val="en-US"/>
        </w:rPr>
        <w:t xml:space="preserve"> </w:t>
      </w:r>
      <w:r>
        <w:rPr>
          <w:lang w:val="en-US"/>
        </w:rPr>
        <w:t>and</w:t>
      </w:r>
      <w:r w:rsidRPr="005C1A91">
        <w:rPr>
          <w:lang w:val="en-US"/>
        </w:rPr>
        <w:t xml:space="preserve"> mineralocorticoid receptors.</w:t>
      </w:r>
    </w:p>
    <w:p w14:paraId="77D78A40" w14:textId="77777777" w:rsidR="00FC6697" w:rsidRDefault="00FC6697" w:rsidP="00FC6697">
      <w:pPr>
        <w:spacing w:before="60" w:after="60"/>
        <w:outlineLvl w:val="0"/>
        <w:rPr>
          <w:noProof/>
          <w:szCs w:val="24"/>
        </w:rPr>
      </w:pPr>
      <w:r w:rsidRPr="00B73551">
        <w:rPr>
          <w:b/>
          <w:noProof/>
          <w:szCs w:val="24"/>
        </w:rPr>
        <w:t>Pharmacokinetic properties</w:t>
      </w:r>
    </w:p>
    <w:p w14:paraId="22DFB4E2" w14:textId="77777777" w:rsidR="00FC6697" w:rsidRPr="009345E3" w:rsidRDefault="00FC6697" w:rsidP="00FC6697">
      <w:pPr>
        <w:pStyle w:val="CTDtext"/>
        <w:spacing w:after="120"/>
        <w:rPr>
          <w:u w:val="single"/>
          <w:lang w:val="en-US"/>
        </w:rPr>
      </w:pPr>
      <w:r w:rsidRPr="009345E3">
        <w:rPr>
          <w:u w:val="single"/>
          <w:lang w:val="en-US"/>
        </w:rPr>
        <w:t>Absorption</w:t>
      </w:r>
    </w:p>
    <w:p w14:paraId="7B2B10B3" w14:textId="77777777" w:rsidR="00FC6697" w:rsidRDefault="00FC6697" w:rsidP="00FC6697">
      <w:pPr>
        <w:pStyle w:val="CTDtext"/>
        <w:rPr>
          <w:lang w:val="en-US"/>
        </w:rPr>
      </w:pPr>
      <w:r w:rsidRPr="009345E3">
        <w:rPr>
          <w:lang w:val="en-US"/>
        </w:rPr>
        <w:t xml:space="preserve">Following oral administration of a single 30 mg dose, </w:t>
      </w:r>
      <w:proofErr w:type="spellStart"/>
      <w:r w:rsidRPr="009345E3">
        <w:rPr>
          <w:lang w:val="en-US"/>
        </w:rPr>
        <w:t>ulipristal</w:t>
      </w:r>
      <w:proofErr w:type="spellEnd"/>
      <w:r w:rsidRPr="009345E3">
        <w:rPr>
          <w:lang w:val="en-US"/>
        </w:rPr>
        <w:t xml:space="preserve"> acetate is rapidly absorbed, with a peak plasma concentration of 176 ± 89 ng/m</w:t>
      </w:r>
      <w:r>
        <w:rPr>
          <w:lang w:val="en-US"/>
        </w:rPr>
        <w:t>L</w:t>
      </w:r>
      <w:r w:rsidRPr="009345E3">
        <w:rPr>
          <w:lang w:val="en-US"/>
        </w:rPr>
        <w:t xml:space="preserve"> occurring approximately 1 hour (0.5-2.0 h) after ingestion, and with an AUC</w:t>
      </w:r>
      <w:r w:rsidRPr="003A2836">
        <w:rPr>
          <w:vertAlign w:val="subscript"/>
          <w:lang w:val="en-US"/>
        </w:rPr>
        <w:t>0-∞</w:t>
      </w:r>
      <w:r w:rsidRPr="009345E3">
        <w:rPr>
          <w:lang w:val="en-US"/>
        </w:rPr>
        <w:t xml:space="preserve"> </w:t>
      </w:r>
      <w:proofErr w:type="gramStart"/>
      <w:r w:rsidRPr="009345E3">
        <w:rPr>
          <w:lang w:val="en-US"/>
        </w:rPr>
        <w:t xml:space="preserve">of 556 ± 260 </w:t>
      </w:r>
      <w:proofErr w:type="spellStart"/>
      <w:r w:rsidRPr="009345E3">
        <w:rPr>
          <w:lang w:val="en-US"/>
        </w:rPr>
        <w:t>ng.h</w:t>
      </w:r>
      <w:proofErr w:type="spellEnd"/>
      <w:r w:rsidRPr="009345E3">
        <w:rPr>
          <w:lang w:val="en-US"/>
        </w:rPr>
        <w:t>/</w:t>
      </w:r>
      <w:proofErr w:type="spellStart"/>
      <w:r w:rsidRPr="009345E3">
        <w:rPr>
          <w:lang w:val="en-US"/>
        </w:rPr>
        <w:t>m</w:t>
      </w:r>
      <w:r>
        <w:rPr>
          <w:lang w:val="en-US"/>
        </w:rPr>
        <w:t>L</w:t>
      </w:r>
      <w:proofErr w:type="gramEnd"/>
      <w:r w:rsidRPr="009345E3">
        <w:rPr>
          <w:lang w:val="en-US"/>
        </w:rPr>
        <w:t>.</w:t>
      </w:r>
      <w:proofErr w:type="spellEnd"/>
      <w:r w:rsidRPr="009345E3">
        <w:rPr>
          <w:lang w:val="en-US"/>
        </w:rPr>
        <w:t xml:space="preserve"> </w:t>
      </w:r>
      <w:r>
        <w:rPr>
          <w:lang w:val="en-US"/>
        </w:rPr>
        <w:t xml:space="preserve"> </w:t>
      </w:r>
    </w:p>
    <w:p w14:paraId="3E2C919F" w14:textId="77777777" w:rsidR="00FC6697" w:rsidRPr="009345E3" w:rsidRDefault="00FC6697" w:rsidP="00FC6697">
      <w:pPr>
        <w:pStyle w:val="CTDtext"/>
        <w:rPr>
          <w:lang w:val="en-US"/>
        </w:rPr>
      </w:pPr>
      <w:r>
        <w:rPr>
          <w:lang w:val="en-US"/>
        </w:rPr>
        <w:t xml:space="preserve">The mean absolute bioavailability of </w:t>
      </w:r>
      <w:proofErr w:type="spellStart"/>
      <w:r w:rsidRPr="009345E3">
        <w:rPr>
          <w:lang w:val="en-US"/>
        </w:rPr>
        <w:t>ulipristal</w:t>
      </w:r>
      <w:proofErr w:type="spellEnd"/>
      <w:r w:rsidRPr="009345E3">
        <w:rPr>
          <w:lang w:val="en-US"/>
        </w:rPr>
        <w:t xml:space="preserve"> acetate</w:t>
      </w:r>
      <w:r>
        <w:rPr>
          <w:lang w:val="en-US"/>
        </w:rPr>
        <w:t xml:space="preserve"> is 27% </w:t>
      </w:r>
      <w:r w:rsidRPr="009345E3">
        <w:rPr>
          <w:lang w:val="en-US"/>
        </w:rPr>
        <w:t>[</w:t>
      </w:r>
      <w:r w:rsidRPr="00EE1556">
        <w:t>22.0 to 33.0%</w:t>
      </w:r>
      <w:r w:rsidRPr="009345E3">
        <w:rPr>
          <w:lang w:val="en-US"/>
        </w:rPr>
        <w:t>]</w:t>
      </w:r>
      <w:r>
        <w:rPr>
          <w:lang w:val="en-US"/>
        </w:rPr>
        <w:t>.</w:t>
      </w:r>
    </w:p>
    <w:p w14:paraId="4EDB5E7F" w14:textId="77777777" w:rsidR="00FC6697" w:rsidRPr="00C637AF" w:rsidRDefault="00FC6697" w:rsidP="00FC6697">
      <w:pPr>
        <w:spacing w:after="240" w:line="360" w:lineRule="auto"/>
        <w:jc w:val="both"/>
        <w:rPr>
          <w:lang w:val="en-US"/>
        </w:rPr>
      </w:pPr>
      <w:r w:rsidRPr="009345E3">
        <w:rPr>
          <w:lang w:val="en-US"/>
        </w:rPr>
        <w:t xml:space="preserve">Administration of </w:t>
      </w:r>
      <w:proofErr w:type="spellStart"/>
      <w:r w:rsidRPr="009345E3">
        <w:rPr>
          <w:lang w:val="en-US"/>
        </w:rPr>
        <w:t>ulipristal</w:t>
      </w:r>
      <w:proofErr w:type="spellEnd"/>
      <w:r w:rsidRPr="009345E3">
        <w:rPr>
          <w:lang w:val="en-US"/>
        </w:rPr>
        <w:t xml:space="preserve"> acetate together with a high-fat breakfast resulted in approximately 45% lower mean </w:t>
      </w:r>
      <w:proofErr w:type="spellStart"/>
      <w:r w:rsidRPr="009345E3">
        <w:rPr>
          <w:lang w:val="en-US"/>
        </w:rPr>
        <w:t>C</w:t>
      </w:r>
      <w:r w:rsidRPr="00025246">
        <w:rPr>
          <w:vertAlign w:val="subscript"/>
          <w:lang w:val="en-US"/>
        </w:rPr>
        <w:t>max</w:t>
      </w:r>
      <w:proofErr w:type="spellEnd"/>
      <w:r w:rsidRPr="009345E3">
        <w:rPr>
          <w:lang w:val="en-US"/>
        </w:rPr>
        <w:t xml:space="preserve">, a delayed </w:t>
      </w:r>
      <w:proofErr w:type="spellStart"/>
      <w:r w:rsidRPr="009345E3">
        <w:rPr>
          <w:lang w:val="en-US"/>
        </w:rPr>
        <w:t>T</w:t>
      </w:r>
      <w:r w:rsidRPr="00025246">
        <w:rPr>
          <w:vertAlign w:val="subscript"/>
          <w:lang w:val="en-US"/>
        </w:rPr>
        <w:t>max</w:t>
      </w:r>
      <w:proofErr w:type="spellEnd"/>
      <w:r w:rsidRPr="009345E3">
        <w:rPr>
          <w:lang w:val="en-US"/>
        </w:rPr>
        <w:t xml:space="preserve"> (from a median of 0.75 hours to 3 hours) and 25% higher mean AUC</w:t>
      </w:r>
      <w:r w:rsidRPr="00025246">
        <w:rPr>
          <w:vertAlign w:val="subscript"/>
          <w:lang w:val="en-US"/>
        </w:rPr>
        <w:t>0-∞</w:t>
      </w:r>
      <w:r w:rsidRPr="009345E3">
        <w:rPr>
          <w:lang w:val="en-US"/>
        </w:rPr>
        <w:t xml:space="preserve"> compared with administration in the fasted state. </w:t>
      </w:r>
      <w:r>
        <w:rPr>
          <w:lang w:val="en-US"/>
        </w:rPr>
        <w:t xml:space="preserve"> </w:t>
      </w:r>
      <w:r w:rsidRPr="009345E3">
        <w:rPr>
          <w:lang w:val="en-US"/>
        </w:rPr>
        <w:t>Similar results were obtained for the active mono-</w:t>
      </w:r>
      <w:proofErr w:type="spellStart"/>
      <w:r w:rsidRPr="009345E3">
        <w:rPr>
          <w:lang w:val="en-US"/>
        </w:rPr>
        <w:t>demethylated</w:t>
      </w:r>
      <w:proofErr w:type="spellEnd"/>
      <w:r w:rsidRPr="009345E3">
        <w:rPr>
          <w:lang w:val="en-US"/>
        </w:rPr>
        <w:t xml:space="preserve"> metabolite.</w:t>
      </w:r>
      <w:r>
        <w:rPr>
          <w:lang w:val="en-US"/>
        </w:rPr>
        <w:t xml:space="preserve"> </w:t>
      </w:r>
    </w:p>
    <w:p w14:paraId="50C510E4" w14:textId="77777777" w:rsidR="00FC6697" w:rsidRPr="009345E3" w:rsidRDefault="00FC6697" w:rsidP="00FC6697">
      <w:pPr>
        <w:pStyle w:val="CTDtext"/>
        <w:spacing w:after="120" w:line="240" w:lineRule="auto"/>
        <w:rPr>
          <w:u w:val="single"/>
          <w:lang w:val="en-US"/>
        </w:rPr>
      </w:pPr>
      <w:r w:rsidRPr="009345E3">
        <w:rPr>
          <w:u w:val="single"/>
          <w:lang w:val="en-US"/>
        </w:rPr>
        <w:t>Distribution</w:t>
      </w:r>
    </w:p>
    <w:p w14:paraId="3325E41A" w14:textId="77777777" w:rsidR="00FC6697" w:rsidRPr="009345E3" w:rsidRDefault="00FC6697" w:rsidP="00FC6697">
      <w:pPr>
        <w:spacing w:after="240" w:line="360" w:lineRule="auto"/>
        <w:jc w:val="both"/>
        <w:rPr>
          <w:lang w:val="en-US"/>
        </w:rPr>
      </w:pPr>
      <w:proofErr w:type="spellStart"/>
      <w:r w:rsidRPr="009345E3">
        <w:rPr>
          <w:lang w:val="en-US"/>
        </w:rPr>
        <w:t>Ulipristal</w:t>
      </w:r>
      <w:proofErr w:type="spellEnd"/>
      <w:r w:rsidRPr="009345E3">
        <w:rPr>
          <w:lang w:val="en-US"/>
        </w:rPr>
        <w:t xml:space="preserve"> acetate is highly bound (&gt;98%) to plasma proteins, including albumin, alpha-l-acid glycoprotein, high density lipoprotein</w:t>
      </w:r>
      <w:r>
        <w:rPr>
          <w:lang w:val="en-US"/>
        </w:rPr>
        <w:t xml:space="preserve"> and low density lipoprotein</w:t>
      </w:r>
      <w:r w:rsidRPr="009345E3">
        <w:rPr>
          <w:lang w:val="en-US"/>
        </w:rPr>
        <w:t xml:space="preserve">. </w:t>
      </w:r>
    </w:p>
    <w:p w14:paraId="4FAC9B27" w14:textId="77777777" w:rsidR="00FC6697" w:rsidRPr="00C637AF" w:rsidRDefault="00FC6697" w:rsidP="00FC6697">
      <w:pPr>
        <w:spacing w:after="240" w:line="360" w:lineRule="auto"/>
        <w:jc w:val="both"/>
        <w:rPr>
          <w:lang w:val="en-US"/>
        </w:rPr>
      </w:pPr>
      <w:proofErr w:type="spellStart"/>
      <w:r w:rsidRPr="009345E3">
        <w:rPr>
          <w:lang w:val="en-US"/>
        </w:rPr>
        <w:t>Ulipristal</w:t>
      </w:r>
      <w:proofErr w:type="spellEnd"/>
      <w:r w:rsidRPr="009345E3">
        <w:rPr>
          <w:lang w:val="en-US"/>
        </w:rPr>
        <w:t xml:space="preserve"> acetate is a lipophilic compound and is distributed in breast milk, with a mean daily excretion of 13.35 µg [0-24 hours], 2.16 µg [24-48 hours], 1.06 µg [48-72 hours], 0.58</w:t>
      </w:r>
      <w:r>
        <w:rPr>
          <w:lang w:val="en-US"/>
        </w:rPr>
        <w:t> </w:t>
      </w:r>
      <w:r w:rsidRPr="009345E3">
        <w:rPr>
          <w:lang w:val="en-US"/>
        </w:rPr>
        <w:t>µg [72-96 hours], and 0.31 µg [96-120 hours].</w:t>
      </w:r>
      <w:r w:rsidRPr="00C637AF">
        <w:rPr>
          <w:lang w:val="en-US"/>
        </w:rPr>
        <w:t xml:space="preserve"> </w:t>
      </w:r>
      <w:r>
        <w:rPr>
          <w:lang w:val="en-US"/>
        </w:rPr>
        <w:t xml:space="preserve"> </w:t>
      </w:r>
      <w:r w:rsidRPr="004035DA">
        <w:rPr>
          <w:lang w:val="en-US"/>
        </w:rPr>
        <w:t xml:space="preserve">The average distribution volume is </w:t>
      </w:r>
      <w:r w:rsidRPr="00C637AF">
        <w:rPr>
          <w:lang w:val="en-US"/>
        </w:rPr>
        <w:t>3470</w:t>
      </w:r>
      <w:r>
        <w:rPr>
          <w:lang w:val="en-US"/>
        </w:rPr>
        <w:t> </w:t>
      </w:r>
      <w:r w:rsidRPr="00C637AF">
        <w:rPr>
          <w:lang w:val="en-US"/>
        </w:rPr>
        <w:t>L.</w:t>
      </w:r>
    </w:p>
    <w:p w14:paraId="2BC8FB9D" w14:textId="77777777" w:rsidR="00FC6697" w:rsidRPr="005D02FD" w:rsidRDefault="00FC6697" w:rsidP="00FC6697">
      <w:pPr>
        <w:pStyle w:val="CTDtext"/>
        <w:spacing w:after="120" w:line="240" w:lineRule="auto"/>
        <w:rPr>
          <w:u w:val="single"/>
          <w:lang w:val="en-US"/>
        </w:rPr>
      </w:pPr>
      <w:r>
        <w:rPr>
          <w:u w:val="single"/>
          <w:lang w:val="en-US"/>
        </w:rPr>
        <w:t>Metabolism</w:t>
      </w:r>
    </w:p>
    <w:p w14:paraId="586984B5" w14:textId="545E731C" w:rsidR="00FC6697" w:rsidRDefault="00FC6697" w:rsidP="00FC6697">
      <w:pPr>
        <w:spacing w:after="240" w:line="360" w:lineRule="auto"/>
        <w:jc w:val="both"/>
        <w:rPr>
          <w:lang w:val="en-US"/>
        </w:rPr>
      </w:pPr>
      <w:proofErr w:type="spellStart"/>
      <w:r w:rsidRPr="009345E3">
        <w:rPr>
          <w:lang w:val="en-US"/>
        </w:rPr>
        <w:t>Ulipristal</w:t>
      </w:r>
      <w:proofErr w:type="spellEnd"/>
      <w:r w:rsidRPr="009345E3">
        <w:rPr>
          <w:lang w:val="en-US"/>
        </w:rPr>
        <w:t xml:space="preserve"> acetate is extensively </w:t>
      </w:r>
      <w:proofErr w:type="spellStart"/>
      <w:r w:rsidRPr="009345E3">
        <w:rPr>
          <w:lang w:val="en-US"/>
        </w:rPr>
        <w:t>metaboli</w:t>
      </w:r>
      <w:r>
        <w:rPr>
          <w:lang w:val="en-US"/>
        </w:rPr>
        <w:t>s</w:t>
      </w:r>
      <w:r w:rsidRPr="009345E3">
        <w:rPr>
          <w:lang w:val="en-US"/>
        </w:rPr>
        <w:t>ed</w:t>
      </w:r>
      <w:proofErr w:type="spellEnd"/>
      <w:r w:rsidRPr="009345E3">
        <w:rPr>
          <w:lang w:val="en-US"/>
        </w:rPr>
        <w:t xml:space="preserve"> to mono-</w:t>
      </w:r>
      <w:proofErr w:type="spellStart"/>
      <w:r w:rsidRPr="009345E3">
        <w:rPr>
          <w:lang w:val="en-US"/>
        </w:rPr>
        <w:t>demethylated</w:t>
      </w:r>
      <w:proofErr w:type="spellEnd"/>
      <w:r w:rsidRPr="009345E3">
        <w:rPr>
          <w:lang w:val="en-US"/>
        </w:rPr>
        <w:t>, di-</w:t>
      </w:r>
      <w:proofErr w:type="spellStart"/>
      <w:r w:rsidRPr="009345E3">
        <w:rPr>
          <w:lang w:val="en-US"/>
        </w:rPr>
        <w:t>demethylated</w:t>
      </w:r>
      <w:proofErr w:type="spellEnd"/>
      <w:r w:rsidRPr="009345E3">
        <w:rPr>
          <w:lang w:val="en-US"/>
        </w:rPr>
        <w:t xml:space="preserve"> and </w:t>
      </w:r>
      <w:proofErr w:type="spellStart"/>
      <w:r w:rsidRPr="009345E3">
        <w:rPr>
          <w:lang w:val="en-US"/>
        </w:rPr>
        <w:t>hydroxylated</w:t>
      </w:r>
      <w:proofErr w:type="spellEnd"/>
      <w:r w:rsidRPr="009345E3">
        <w:rPr>
          <w:lang w:val="en-US"/>
        </w:rPr>
        <w:t xml:space="preserve"> metabolites. </w:t>
      </w:r>
      <w:r>
        <w:rPr>
          <w:lang w:val="en-US"/>
        </w:rPr>
        <w:t xml:space="preserve"> </w:t>
      </w:r>
      <w:r w:rsidRPr="009345E3">
        <w:rPr>
          <w:lang w:val="en-US"/>
        </w:rPr>
        <w:t>The mono-</w:t>
      </w:r>
      <w:proofErr w:type="spellStart"/>
      <w:r w:rsidRPr="009345E3">
        <w:rPr>
          <w:lang w:val="en-US"/>
        </w:rPr>
        <w:t>demethylated</w:t>
      </w:r>
      <w:proofErr w:type="spellEnd"/>
      <w:r w:rsidRPr="009345E3">
        <w:rPr>
          <w:lang w:val="en-US"/>
        </w:rPr>
        <w:t xml:space="preserve"> metabolite is pharmacologically active.  </w:t>
      </w:r>
      <w:r w:rsidRPr="00C637AF">
        <w:rPr>
          <w:lang w:val="en-US"/>
        </w:rPr>
        <w:t>In vitro</w:t>
      </w:r>
      <w:r w:rsidRPr="009345E3">
        <w:rPr>
          <w:lang w:val="en-US"/>
        </w:rPr>
        <w:t xml:space="preserve"> data indicate that this is predominantly mediated by CYP3A4</w:t>
      </w:r>
      <w:r w:rsidR="00755823">
        <w:rPr>
          <w:lang w:val="en-US"/>
        </w:rPr>
        <w:t>.</w:t>
      </w:r>
    </w:p>
    <w:p w14:paraId="4672E4D8" w14:textId="77777777" w:rsidR="00755823" w:rsidRDefault="00755823" w:rsidP="00FC6697">
      <w:pPr>
        <w:spacing w:after="240" w:line="360" w:lineRule="auto"/>
        <w:jc w:val="both"/>
        <w:rPr>
          <w:lang w:val="en-US"/>
        </w:rPr>
      </w:pPr>
    </w:p>
    <w:p w14:paraId="40C20CFB" w14:textId="77777777" w:rsidR="00755823" w:rsidRDefault="00755823" w:rsidP="00FC6697">
      <w:pPr>
        <w:spacing w:after="240" w:line="360" w:lineRule="auto"/>
        <w:jc w:val="both"/>
        <w:rPr>
          <w:lang w:val="en-US"/>
        </w:rPr>
      </w:pPr>
    </w:p>
    <w:p w14:paraId="63150951" w14:textId="77777777" w:rsidR="00FC6697" w:rsidRPr="00025246" w:rsidRDefault="00FC6697" w:rsidP="00FC6697">
      <w:pPr>
        <w:pStyle w:val="CTDtext"/>
        <w:spacing w:after="120" w:line="240" w:lineRule="auto"/>
        <w:rPr>
          <w:u w:val="single"/>
          <w:lang w:val="en-US"/>
        </w:rPr>
      </w:pPr>
      <w:r>
        <w:rPr>
          <w:u w:val="single"/>
          <w:lang w:val="en-US"/>
        </w:rPr>
        <w:lastRenderedPageBreak/>
        <w:t>Excretion</w:t>
      </w:r>
    </w:p>
    <w:p w14:paraId="3913420A" w14:textId="77777777" w:rsidR="00FC6697" w:rsidRPr="00C637AF" w:rsidRDefault="00FC6697" w:rsidP="00FC6697">
      <w:pPr>
        <w:spacing w:after="240" w:line="360" w:lineRule="auto"/>
        <w:jc w:val="both"/>
        <w:rPr>
          <w:lang w:val="en-US"/>
        </w:rPr>
      </w:pPr>
      <w:r w:rsidRPr="00C637AF">
        <w:rPr>
          <w:lang w:val="en-US"/>
        </w:rPr>
        <w:t xml:space="preserve">The main route of elimination is through </w:t>
      </w:r>
      <w:proofErr w:type="spellStart"/>
      <w:r w:rsidRPr="00C637AF">
        <w:rPr>
          <w:lang w:val="en-US"/>
        </w:rPr>
        <w:t>faeces</w:t>
      </w:r>
      <w:proofErr w:type="spellEnd"/>
      <w:r w:rsidRPr="00C637AF">
        <w:rPr>
          <w:lang w:val="en-US"/>
        </w:rPr>
        <w:t xml:space="preserve"> and less than 10% is excreted in the urine. The terminal half-life of </w:t>
      </w:r>
      <w:proofErr w:type="spellStart"/>
      <w:r w:rsidRPr="00C637AF">
        <w:rPr>
          <w:lang w:val="en-US"/>
        </w:rPr>
        <w:t>ulipristal</w:t>
      </w:r>
      <w:proofErr w:type="spellEnd"/>
      <w:r w:rsidRPr="00C637AF">
        <w:rPr>
          <w:lang w:val="en-US"/>
        </w:rPr>
        <w:t xml:space="preserve"> acetate in plasma following a single dose of 30 mg is to be about 32.4 ± 6</w:t>
      </w:r>
      <w:proofErr w:type="gramStart"/>
      <w:r w:rsidRPr="00C637AF">
        <w:rPr>
          <w:lang w:val="en-US"/>
        </w:rPr>
        <w:t>,3</w:t>
      </w:r>
      <w:proofErr w:type="gramEnd"/>
      <w:r w:rsidRPr="00C637AF">
        <w:rPr>
          <w:lang w:val="en-US"/>
        </w:rPr>
        <w:t xml:space="preserve"> hours, with a mean oral clearance (CL/F) of about 76.8 ± 64.0 L/h.</w:t>
      </w:r>
    </w:p>
    <w:p w14:paraId="57C88A97" w14:textId="77777777" w:rsidR="00FC6697" w:rsidRPr="009345E3" w:rsidRDefault="00FC6697" w:rsidP="00FC6697">
      <w:pPr>
        <w:pStyle w:val="CTDtext"/>
        <w:spacing w:after="120" w:line="240" w:lineRule="auto"/>
        <w:rPr>
          <w:u w:val="single"/>
          <w:lang w:val="en-US"/>
        </w:rPr>
      </w:pPr>
      <w:r w:rsidRPr="009345E3">
        <w:rPr>
          <w:u w:val="single"/>
          <w:lang w:val="en-US"/>
        </w:rPr>
        <w:t>Special populations</w:t>
      </w:r>
    </w:p>
    <w:p w14:paraId="4379B652" w14:textId="77777777" w:rsidR="00FC6697" w:rsidRDefault="00FC6697" w:rsidP="00FC6697">
      <w:pPr>
        <w:spacing w:after="240" w:line="360" w:lineRule="auto"/>
        <w:jc w:val="both"/>
        <w:rPr>
          <w:lang w:val="en-US"/>
        </w:rPr>
      </w:pPr>
      <w:r w:rsidRPr="009345E3">
        <w:rPr>
          <w:lang w:val="en-US"/>
        </w:rPr>
        <w:t xml:space="preserve">No pharmacokinetic studies with </w:t>
      </w:r>
      <w:proofErr w:type="spellStart"/>
      <w:r w:rsidRPr="009345E3">
        <w:rPr>
          <w:lang w:val="en-US"/>
        </w:rPr>
        <w:t>ulipristal</w:t>
      </w:r>
      <w:proofErr w:type="spellEnd"/>
      <w:r w:rsidRPr="009345E3">
        <w:rPr>
          <w:lang w:val="en-US"/>
        </w:rPr>
        <w:t xml:space="preserve"> acetate have been performed in females with impaired renal or hepatic function.</w:t>
      </w:r>
    </w:p>
    <w:p w14:paraId="2F543E1C" w14:textId="77777777" w:rsidR="00FC6697" w:rsidRDefault="00FC6697" w:rsidP="00FC6697">
      <w:pPr>
        <w:pStyle w:val="TitleA"/>
        <w:spacing w:after="120"/>
        <w:jc w:val="left"/>
        <w:rPr>
          <w:caps/>
          <w:szCs w:val="24"/>
        </w:rPr>
      </w:pPr>
      <w:r w:rsidRPr="003703C4">
        <w:rPr>
          <w:caps/>
          <w:szCs w:val="24"/>
        </w:rPr>
        <w:t xml:space="preserve">CLINICAL TRIALS </w:t>
      </w:r>
    </w:p>
    <w:p w14:paraId="4D781E6F" w14:textId="139E0F9E" w:rsidR="00694F5A" w:rsidRDefault="00694F5A" w:rsidP="00694F5A">
      <w:pPr>
        <w:pStyle w:val="CTDtext"/>
      </w:pPr>
      <w:r w:rsidRPr="006B347D">
        <w:t xml:space="preserve">Two </w:t>
      </w:r>
      <w:proofErr w:type="spellStart"/>
      <w:r w:rsidRPr="006B347D">
        <w:t>multicenter</w:t>
      </w:r>
      <w:proofErr w:type="spellEnd"/>
      <w:r w:rsidRPr="006B347D">
        <w:t xml:space="preserve"> phase III clinical studies evaluated the efficacy and safety of </w:t>
      </w:r>
      <w:proofErr w:type="spellStart"/>
      <w:r w:rsidRPr="006B347D">
        <w:rPr>
          <w:snapToGrid w:val="0"/>
        </w:rPr>
        <w:t>EllaOne</w:t>
      </w:r>
      <w:proofErr w:type="spellEnd"/>
      <w:r w:rsidRPr="006B347D">
        <w:rPr>
          <w:snapToGrid w:val="0"/>
        </w:rPr>
        <w:t xml:space="preserve"> up to 120 hours after unprotected intercourse. </w:t>
      </w:r>
      <w:r>
        <w:rPr>
          <w:snapToGrid w:val="0"/>
        </w:rPr>
        <w:t xml:space="preserve"> </w:t>
      </w:r>
      <w:r w:rsidRPr="006B347D">
        <w:rPr>
          <w:snapToGrid w:val="0"/>
        </w:rPr>
        <w:t xml:space="preserve">A single-blind comparative study </w:t>
      </w:r>
      <w:r w:rsidRPr="005C3D1D">
        <w:t xml:space="preserve">(HRA2914-513 study) </w:t>
      </w:r>
      <w:r w:rsidRPr="006B347D">
        <w:rPr>
          <w:snapToGrid w:val="0"/>
        </w:rPr>
        <w:t xml:space="preserve">provided the primary data to support the efficacy and safety of </w:t>
      </w:r>
      <w:proofErr w:type="spellStart"/>
      <w:r w:rsidRPr="006B347D">
        <w:rPr>
          <w:snapToGrid w:val="0"/>
        </w:rPr>
        <w:t>ulipristal</w:t>
      </w:r>
      <w:proofErr w:type="spellEnd"/>
      <w:r w:rsidRPr="006B347D">
        <w:rPr>
          <w:snapToGrid w:val="0"/>
        </w:rPr>
        <w:t xml:space="preserve"> acetate for emergency contraception when taken 0 to 72 hours after unprotected intercourse and provided supportive data for </w:t>
      </w:r>
      <w:proofErr w:type="spellStart"/>
      <w:r w:rsidRPr="006B347D">
        <w:rPr>
          <w:snapToGrid w:val="0"/>
        </w:rPr>
        <w:t>ulipristal</w:t>
      </w:r>
      <w:proofErr w:type="spellEnd"/>
      <w:r w:rsidRPr="006B347D">
        <w:rPr>
          <w:snapToGrid w:val="0"/>
        </w:rPr>
        <w:t xml:space="preserve"> acetate for emergency contraception when taken &gt; 72 to 120 hours after unprotected intercourse.</w:t>
      </w:r>
      <w:r w:rsidRPr="005C3D1D">
        <w:rPr>
          <w:snapToGrid w:val="0"/>
        </w:rPr>
        <w:t xml:space="preserve"> </w:t>
      </w:r>
      <w:r>
        <w:rPr>
          <w:snapToGrid w:val="0"/>
        </w:rPr>
        <w:t xml:space="preserve"> </w:t>
      </w:r>
      <w:r w:rsidRPr="006B347D">
        <w:rPr>
          <w:snapToGrid w:val="0"/>
        </w:rPr>
        <w:t xml:space="preserve">An open-label study </w:t>
      </w:r>
      <w:r w:rsidRPr="005C3D1D">
        <w:t xml:space="preserve">(HRA2914-509 study) </w:t>
      </w:r>
      <w:r w:rsidRPr="006B347D">
        <w:rPr>
          <w:snapToGrid w:val="0"/>
        </w:rPr>
        <w:t xml:space="preserve">provided the primary data to support the efficacy and safety of </w:t>
      </w:r>
      <w:proofErr w:type="spellStart"/>
      <w:r w:rsidRPr="006B347D">
        <w:rPr>
          <w:snapToGrid w:val="0"/>
        </w:rPr>
        <w:t>ulipristal</w:t>
      </w:r>
      <w:proofErr w:type="spellEnd"/>
      <w:r w:rsidRPr="006B347D">
        <w:rPr>
          <w:snapToGrid w:val="0"/>
        </w:rPr>
        <w:t xml:space="preserve"> acetate for emergency contraception when taken 48 to 120 hours after unprotected intercourse.</w:t>
      </w:r>
      <w:r>
        <w:rPr>
          <w:snapToGrid w:val="0"/>
        </w:rPr>
        <w:t xml:space="preserve">  </w:t>
      </w:r>
      <w:r>
        <w:t xml:space="preserve">Additionally, one phase II study contributed to establishing efficacy of </w:t>
      </w:r>
      <w:proofErr w:type="spellStart"/>
      <w:r>
        <w:t>EllaOne</w:t>
      </w:r>
      <w:proofErr w:type="spellEnd"/>
      <w:r>
        <w:t xml:space="preserve"> compared to </w:t>
      </w:r>
      <w:proofErr w:type="spellStart"/>
      <w:r>
        <w:t>levonorgestrel</w:t>
      </w:r>
      <w:proofErr w:type="spellEnd"/>
      <w:r>
        <w:t xml:space="preserve"> within 72 hours of unprotected intercourse. </w:t>
      </w:r>
      <w:r w:rsidR="00F01155">
        <w:t xml:space="preserve"> </w:t>
      </w:r>
      <w:r>
        <w:t>The three studies are</w:t>
      </w:r>
      <w:r w:rsidRPr="00C60563">
        <w:t xml:space="preserve"> described below</w:t>
      </w:r>
      <w:r>
        <w:t>.</w:t>
      </w:r>
    </w:p>
    <w:p w14:paraId="60022703" w14:textId="05FCC3D3" w:rsidR="00694F5A" w:rsidRPr="00694F5A" w:rsidRDefault="00694F5A" w:rsidP="00694F5A">
      <w:pPr>
        <w:keepNext/>
        <w:tabs>
          <w:tab w:val="left" w:pos="270"/>
        </w:tabs>
        <w:spacing w:after="120"/>
        <w:contextualSpacing/>
      </w:pPr>
      <w:proofErr w:type="spellStart"/>
      <w:r w:rsidRPr="00694F5A">
        <w:t>i</w:t>
      </w:r>
      <w:proofErr w:type="spellEnd"/>
      <w:r w:rsidRPr="00694F5A">
        <w:t>)</w:t>
      </w:r>
      <w:r w:rsidR="00A94A3E">
        <w:t xml:space="preserve"> </w:t>
      </w:r>
      <w:r w:rsidRPr="00694F5A">
        <w:t xml:space="preserve"> Single-Blind Comparative Study </w:t>
      </w:r>
    </w:p>
    <w:p w14:paraId="4D9F997F" w14:textId="55052699" w:rsidR="00694F5A" w:rsidRPr="00BC5089" w:rsidRDefault="00694F5A" w:rsidP="00694F5A">
      <w:pPr>
        <w:pStyle w:val="CTDtext"/>
      </w:pPr>
      <w:r w:rsidRPr="00BC5089">
        <w:t>This study was a multi</w:t>
      </w:r>
      <w:r w:rsidR="00A94A3E">
        <w:t>-</w:t>
      </w:r>
      <w:r w:rsidRPr="00BC5089">
        <w:t>centr</w:t>
      </w:r>
      <w:r w:rsidR="00A94A3E">
        <w:t>e</w:t>
      </w:r>
      <w:r w:rsidRPr="00BC5089">
        <w:t xml:space="preserve">, single-blind, randomized comparison of the efficacy and safety of 30 mg </w:t>
      </w:r>
      <w:proofErr w:type="spellStart"/>
      <w:r w:rsidRPr="00BC5089">
        <w:t>ulipristal</w:t>
      </w:r>
      <w:proofErr w:type="spellEnd"/>
      <w:r w:rsidRPr="00BC5089">
        <w:t xml:space="preserve"> acetate (</w:t>
      </w:r>
      <w:proofErr w:type="spellStart"/>
      <w:r>
        <w:t>EllaOne</w:t>
      </w:r>
      <w:proofErr w:type="spellEnd"/>
      <w:r w:rsidRPr="00BC5089">
        <w:t xml:space="preserve">) to </w:t>
      </w:r>
      <w:proofErr w:type="spellStart"/>
      <w:r w:rsidRPr="00BC5089">
        <w:t>levonorgestrel</w:t>
      </w:r>
      <w:proofErr w:type="spellEnd"/>
      <w:r w:rsidRPr="00BC5089">
        <w:t xml:space="preserve"> (another </w:t>
      </w:r>
      <w:r>
        <w:t xml:space="preserve">drug used for </w:t>
      </w:r>
      <w:r w:rsidRPr="00BC5089">
        <w:t xml:space="preserve">emergency contraception). </w:t>
      </w:r>
      <w:r>
        <w:t xml:space="preserve"> </w:t>
      </w:r>
      <w:r w:rsidRPr="00BC5089">
        <w:t>Main inclusion criteria w</w:t>
      </w:r>
      <w:r>
        <w:t>ere</w:t>
      </w:r>
      <w:r w:rsidRPr="00BC5089">
        <w:t xml:space="preserve"> women presenting for emergency contraception within 120 hours of </w:t>
      </w:r>
      <w:r>
        <w:t>unprotected intercourse</w:t>
      </w:r>
      <w:r w:rsidRPr="00BC5089">
        <w:t xml:space="preserve">, 16 years or more in UK (except Northern Ireland), 17 years or more in Northern Ireland (UK) and 18 years or more in Ireland and US, with regular cycle length (24 to 35 days). </w:t>
      </w:r>
    </w:p>
    <w:p w14:paraId="7ED07D31" w14:textId="3009D6A6" w:rsidR="00694F5A" w:rsidRPr="00BC5089" w:rsidRDefault="00694F5A" w:rsidP="00694F5A">
      <w:pPr>
        <w:pStyle w:val="CTDtext"/>
      </w:pPr>
      <w:r w:rsidRPr="00BC5089">
        <w:lastRenderedPageBreak/>
        <w:t xml:space="preserve">In total, </w:t>
      </w:r>
      <w:r>
        <w:t>2</w:t>
      </w:r>
      <w:r w:rsidR="00A94A3E">
        <w:t>,</w:t>
      </w:r>
      <w:r>
        <w:t>221</w:t>
      </w:r>
      <w:r w:rsidRPr="00BC5089">
        <w:t xml:space="preserve"> healthy women with a mean age of 25 years who requested emergency contraception within 120 hours of </w:t>
      </w:r>
      <w:r w:rsidRPr="00880134">
        <w:t xml:space="preserve">unprotected intercourse were enrolled and randomly allocated to receive </w:t>
      </w:r>
      <w:proofErr w:type="spellStart"/>
      <w:r w:rsidRPr="00880134">
        <w:t>EllaOne</w:t>
      </w:r>
      <w:proofErr w:type="spellEnd"/>
      <w:r w:rsidRPr="00880134">
        <w:t xml:space="preserve"> (n=</w:t>
      </w:r>
      <w:r w:rsidRPr="006B347D">
        <w:t>1</w:t>
      </w:r>
      <w:r w:rsidR="00A94A3E">
        <w:t>,</w:t>
      </w:r>
      <w:r w:rsidRPr="006B347D">
        <w:t>104</w:t>
      </w:r>
      <w:r w:rsidRPr="00880134">
        <w:t xml:space="preserve">) or </w:t>
      </w:r>
      <w:proofErr w:type="spellStart"/>
      <w:r w:rsidRPr="00880134">
        <w:t>levonorgestrel</w:t>
      </w:r>
      <w:proofErr w:type="spellEnd"/>
      <w:r w:rsidRPr="00880134">
        <w:t xml:space="preserve"> 1.5 mg (n=</w:t>
      </w:r>
      <w:r w:rsidRPr="006B347D">
        <w:t>1</w:t>
      </w:r>
      <w:r w:rsidR="00A94A3E">
        <w:t>,</w:t>
      </w:r>
      <w:r w:rsidRPr="006B347D">
        <w:t>117</w:t>
      </w:r>
      <w:r w:rsidRPr="00880134">
        <w:t>).</w:t>
      </w:r>
      <w:r w:rsidRPr="00BC5089">
        <w:t xml:space="preserve"> </w:t>
      </w:r>
    </w:p>
    <w:p w14:paraId="1F5FBBC3" w14:textId="77777777" w:rsidR="00694F5A" w:rsidRPr="00BC5089" w:rsidRDefault="00694F5A" w:rsidP="00694F5A">
      <w:pPr>
        <w:pStyle w:val="CTDtext"/>
      </w:pPr>
      <w:r w:rsidRPr="00BC5089">
        <w:t>The primary efficacy measurement was the pregnancy rate, calculated as the number of pregnancies after administration of emergency</w:t>
      </w:r>
      <w:r>
        <w:t xml:space="preserve"> </w:t>
      </w:r>
      <w:r w:rsidRPr="00BC5089">
        <w:t>contraception, divided by the number of subjects administered emergency</w:t>
      </w:r>
      <w:r>
        <w:t xml:space="preserve"> </w:t>
      </w:r>
      <w:r w:rsidRPr="00BC5089">
        <w:t xml:space="preserve">contraception. </w:t>
      </w:r>
    </w:p>
    <w:p w14:paraId="672A4C7D" w14:textId="5CC5330C" w:rsidR="00A94A3E" w:rsidRDefault="00A94A3E" w:rsidP="00A94A3E">
      <w:pPr>
        <w:pStyle w:val="CTDtext"/>
      </w:pPr>
      <w:r w:rsidRPr="00BC5089">
        <w:t xml:space="preserve">In the </w:t>
      </w:r>
      <w:proofErr w:type="spellStart"/>
      <w:r>
        <w:t>EllaOne</w:t>
      </w:r>
      <w:proofErr w:type="spellEnd"/>
      <w:r w:rsidRPr="00BC5089">
        <w:t xml:space="preserve"> a group, 16 pregnancies occurred in 844 women aged 16 to 35 years when emergency contraception was taken 0 to 72 hours after unprotected intercourse.  The number of pregnancies expected without emergency contraception was calculated based on the timing of intercourse with regard to each woman’s menstrual cycle; </w:t>
      </w:r>
      <w:proofErr w:type="spellStart"/>
      <w:r>
        <w:t>EllaOne</w:t>
      </w:r>
      <w:proofErr w:type="spellEnd"/>
      <w:r w:rsidRPr="00BC5089">
        <w:t xml:space="preserve"> significantly reduced the pregnancy rate, from an expected 5.6% to an observed 1.9%, when taken within 72 hours after unprotected intercourse</w:t>
      </w:r>
      <w:r>
        <w:t xml:space="preserve"> </w:t>
      </w:r>
      <w:r w:rsidRPr="00220928">
        <w:t>(p=0</w:t>
      </w:r>
      <w:r>
        <w:t>.</w:t>
      </w:r>
      <w:r w:rsidRPr="00D02B4B">
        <w:t>001)</w:t>
      </w:r>
      <w:r w:rsidRPr="00BC5089">
        <w:t xml:space="preserve">. </w:t>
      </w:r>
      <w:r>
        <w:t xml:space="preserve"> </w:t>
      </w:r>
      <w:r w:rsidRPr="00BC5089">
        <w:t xml:space="preserve">There were no pregnancies observed in the women who were administered </w:t>
      </w:r>
      <w:proofErr w:type="spellStart"/>
      <w:r>
        <w:t>EllaOne</w:t>
      </w:r>
      <w:proofErr w:type="spellEnd"/>
      <w:r w:rsidRPr="00BC5089">
        <w:t xml:space="preserve"> more than 72 hours after unprotected intercourse (10% of women who received </w:t>
      </w:r>
      <w:proofErr w:type="spellStart"/>
      <w:r>
        <w:t>E</w:t>
      </w:r>
      <w:r w:rsidRPr="00BC5089">
        <w:t>lla</w:t>
      </w:r>
      <w:r>
        <w:t>One</w:t>
      </w:r>
      <w:proofErr w:type="spellEnd"/>
      <w:r w:rsidRPr="00BC5089">
        <w:t>).</w:t>
      </w:r>
    </w:p>
    <w:p w14:paraId="1B3674CE" w14:textId="6327B94E" w:rsidR="00A94A3E" w:rsidRPr="00A94A3E" w:rsidRDefault="00A94A3E" w:rsidP="00A94A3E">
      <w:pPr>
        <w:keepNext/>
        <w:tabs>
          <w:tab w:val="left" w:pos="270"/>
        </w:tabs>
        <w:spacing w:after="120"/>
        <w:contextualSpacing/>
      </w:pPr>
      <w:r>
        <w:t xml:space="preserve">ii)  </w:t>
      </w:r>
      <w:r w:rsidRPr="00A94A3E">
        <w:t xml:space="preserve">Open-Label Study </w:t>
      </w:r>
    </w:p>
    <w:p w14:paraId="132BD303" w14:textId="31C9C976" w:rsidR="00A94A3E" w:rsidRPr="00BC5089" w:rsidRDefault="00A94A3E" w:rsidP="00A94A3E">
      <w:pPr>
        <w:pStyle w:val="CTDtext"/>
      </w:pPr>
      <w:r w:rsidRPr="006F2A19">
        <w:t>This study was a multi</w:t>
      </w:r>
      <w:r>
        <w:t>-</w:t>
      </w:r>
      <w:r w:rsidRPr="006F2A19">
        <w:t>cent</w:t>
      </w:r>
      <w:r>
        <w:t>r</w:t>
      </w:r>
      <w:r w:rsidRPr="006F2A19">
        <w:t xml:space="preserve">e open-label trial </w:t>
      </w:r>
      <w:r>
        <w:t xml:space="preserve">designed to </w:t>
      </w:r>
      <w:r w:rsidRPr="0016370E">
        <w:t xml:space="preserve">support the efficacy and safety of </w:t>
      </w:r>
      <w:proofErr w:type="spellStart"/>
      <w:r w:rsidRPr="0016370E">
        <w:t>ulipristal</w:t>
      </w:r>
      <w:proofErr w:type="spellEnd"/>
      <w:r w:rsidRPr="0016370E">
        <w:t xml:space="preserve"> acetate for emergency contraception when taken 48 to 120 hours after unprotected intercourse</w:t>
      </w:r>
      <w:r>
        <w:t xml:space="preserve">.  </w:t>
      </w:r>
      <w:r w:rsidRPr="00BC5089">
        <w:t>Main inclusion criteria w</w:t>
      </w:r>
      <w:r>
        <w:t>ere</w:t>
      </w:r>
      <w:r w:rsidRPr="00BC5089">
        <w:t xml:space="preserve"> women, 18 or greater years of age, with regular cycle length (24 to 35</w:t>
      </w:r>
      <w:r>
        <w:t xml:space="preserve"> </w:t>
      </w:r>
      <w:r w:rsidRPr="00BC5089">
        <w:t>days) presenting for emergency contraception between 48 hours and 120</w:t>
      </w:r>
      <w:r>
        <w:t xml:space="preserve"> </w:t>
      </w:r>
      <w:r w:rsidRPr="00BC5089">
        <w:t>hours of unprotected intercourse.</w:t>
      </w:r>
      <w:r w:rsidR="00F01155">
        <w:t xml:space="preserve"> </w:t>
      </w:r>
      <w:r w:rsidRPr="00BC5089">
        <w:t xml:space="preserve"> In total, 1</w:t>
      </w:r>
      <w:r>
        <w:t>,</w:t>
      </w:r>
      <w:r w:rsidRPr="00BC5089">
        <w:t xml:space="preserve">533 healthy women with a mean age of 24 years received a dose of 30 mg </w:t>
      </w:r>
      <w:proofErr w:type="spellStart"/>
      <w:r w:rsidRPr="00BC5089">
        <w:t>ulipristal</w:t>
      </w:r>
      <w:proofErr w:type="spellEnd"/>
      <w:r w:rsidRPr="00BC5089">
        <w:t xml:space="preserve"> acetate (</w:t>
      </w:r>
      <w:proofErr w:type="spellStart"/>
      <w:r w:rsidRPr="00BC5089">
        <w:t>EllaOne</w:t>
      </w:r>
      <w:proofErr w:type="spellEnd"/>
      <w:r w:rsidRPr="00BC5089">
        <w:t>).</w:t>
      </w:r>
      <w:r w:rsidRPr="006F2A19">
        <w:t xml:space="preserve"> </w:t>
      </w:r>
    </w:p>
    <w:p w14:paraId="134ADB35" w14:textId="6C3D1F99" w:rsidR="00A94A3E" w:rsidRDefault="00A94A3E" w:rsidP="00A94A3E">
      <w:pPr>
        <w:pStyle w:val="CTDtext"/>
      </w:pPr>
      <w:r w:rsidRPr="00BC5089">
        <w:t>The primary efficacy measurement was the pregnancy rate, calculated as the number of pregnancies after administration of emergency</w:t>
      </w:r>
      <w:r>
        <w:t xml:space="preserve"> </w:t>
      </w:r>
      <w:r w:rsidRPr="00BC5089">
        <w:t>contraception, divided by the number of subjects administered emergency</w:t>
      </w:r>
      <w:r>
        <w:t xml:space="preserve"> </w:t>
      </w:r>
      <w:r w:rsidRPr="00BC5089">
        <w:t xml:space="preserve">contraception. </w:t>
      </w:r>
      <w:r>
        <w:t xml:space="preserve"> </w:t>
      </w:r>
      <w:r w:rsidRPr="006F2A19">
        <w:t>Twenty-seven pregnancies occurred in 1,242 women aged 18 to 35 years evaluated for efficacy</w:t>
      </w:r>
      <w:r>
        <w:t xml:space="preserve"> for a pregnancy rate of 2.1%. </w:t>
      </w:r>
      <w:r w:rsidRPr="00BC5089">
        <w:t xml:space="preserve"> </w:t>
      </w:r>
      <w:r w:rsidRPr="006F2A19">
        <w:t>The number of pregnancies expected without emergency contraception was calculated based on the timing of intercourse with regard to each woman’s menstrual cycle</w:t>
      </w:r>
      <w:r>
        <w:t>.</w:t>
      </w:r>
      <w:r w:rsidRPr="006F2A19">
        <w:t xml:space="preserve"> </w:t>
      </w:r>
      <w:r>
        <w:t xml:space="preserve"> </w:t>
      </w:r>
      <w:proofErr w:type="spellStart"/>
      <w:r>
        <w:t>EllaOne</w:t>
      </w:r>
      <w:proofErr w:type="spellEnd"/>
      <w:r w:rsidRPr="006F2A19">
        <w:t xml:space="preserve"> </w:t>
      </w:r>
      <w:r w:rsidRPr="006F2A19">
        <w:lastRenderedPageBreak/>
        <w:t>significantly reduced the pregnancy rate, from an expected rate of 5.5% to an observed rate of 2.2%, when taken 48 to 120 hours after unprotected intercourse</w:t>
      </w:r>
      <w:r>
        <w:t xml:space="preserve"> </w:t>
      </w:r>
      <w:r>
        <w:rPr>
          <w:lang w:val="en-US"/>
        </w:rPr>
        <w:t>(p&lt;0.001)</w:t>
      </w:r>
      <w:r w:rsidRPr="006F2A19">
        <w:t>.</w:t>
      </w:r>
    </w:p>
    <w:p w14:paraId="5B2EC475" w14:textId="614C0E8D" w:rsidR="00A94A3E" w:rsidRPr="00A94A3E" w:rsidRDefault="00A94A3E" w:rsidP="00A94A3E">
      <w:pPr>
        <w:keepNext/>
        <w:tabs>
          <w:tab w:val="left" w:pos="270"/>
        </w:tabs>
        <w:spacing w:after="120"/>
        <w:contextualSpacing/>
      </w:pPr>
      <w:r>
        <w:t>iii)</w:t>
      </w:r>
      <w:r w:rsidRPr="00A94A3E">
        <w:t xml:space="preserve"> Phase II </w:t>
      </w:r>
      <w:r>
        <w:t>C</w:t>
      </w:r>
      <w:r w:rsidRPr="00A94A3E">
        <w:t xml:space="preserve">omparative </w:t>
      </w:r>
      <w:r>
        <w:t>S</w:t>
      </w:r>
      <w:r w:rsidRPr="00A94A3E">
        <w:t>tudy</w:t>
      </w:r>
    </w:p>
    <w:p w14:paraId="555D1A23" w14:textId="029CC8F3" w:rsidR="00A94A3E" w:rsidRPr="00C60563" w:rsidRDefault="00A94A3E" w:rsidP="00A94A3E">
      <w:pPr>
        <w:pStyle w:val="CTDtext"/>
      </w:pPr>
      <w:r w:rsidRPr="00D838B1">
        <w:t xml:space="preserve">Study HRA2914-507 </w:t>
      </w:r>
      <w:r>
        <w:t xml:space="preserve">was a randomized double-blind study conducted in </w:t>
      </w:r>
      <w:r w:rsidRPr="00C60563">
        <w:t xml:space="preserve">healthy cycling women at least 18 years old and who requested emergency contraception at one of the participating clinical sites in the US within 72 hours (3 days) of </w:t>
      </w:r>
      <w:r w:rsidRPr="006F2A19">
        <w:t>unprotected intercourse</w:t>
      </w:r>
      <w:r w:rsidRPr="00C60563">
        <w:t>.</w:t>
      </w:r>
      <w:r>
        <w:t xml:space="preserve"> </w:t>
      </w:r>
      <w:r w:rsidRPr="00C60563">
        <w:t xml:space="preserve"> It was designed as a non-inferiority trial to test the following hypothesis that 50 mg </w:t>
      </w:r>
      <w:proofErr w:type="spellStart"/>
      <w:r w:rsidRPr="00C60563">
        <w:t>unmicronized</w:t>
      </w:r>
      <w:proofErr w:type="spellEnd"/>
      <w:r w:rsidRPr="00C60563">
        <w:t xml:space="preserve"> </w:t>
      </w:r>
      <w:proofErr w:type="spellStart"/>
      <w:r w:rsidRPr="00C60563">
        <w:t>ulipristal</w:t>
      </w:r>
      <w:proofErr w:type="spellEnd"/>
      <w:r w:rsidRPr="00C60563">
        <w:t xml:space="preserve"> acetate had a pregnancy rate no worse than that of </w:t>
      </w:r>
      <w:proofErr w:type="spellStart"/>
      <w:r w:rsidRPr="00C60563">
        <w:t>levonorgestrel</w:t>
      </w:r>
      <w:proofErr w:type="spellEnd"/>
      <w:r w:rsidRPr="00C60563">
        <w:t xml:space="preserve"> with a non-inferiority margin of 2%</w:t>
      </w:r>
      <w:r w:rsidR="00F01155">
        <w:t>.</w:t>
      </w:r>
      <w:r w:rsidRPr="00C60563">
        <w:t xml:space="preserve"> </w:t>
      </w:r>
      <w:r>
        <w:t xml:space="preserve"> </w:t>
      </w:r>
      <w:r w:rsidRPr="00C60563">
        <w:t xml:space="preserve">The efficacy evaluable (EE) population included 1,546 women (773 the </w:t>
      </w:r>
      <w:proofErr w:type="spellStart"/>
      <w:r w:rsidRPr="00C60563">
        <w:t>ulipristal</w:t>
      </w:r>
      <w:proofErr w:type="spellEnd"/>
      <w:r w:rsidRPr="00C60563">
        <w:t xml:space="preserve"> acetate group and 773 in the </w:t>
      </w:r>
      <w:proofErr w:type="spellStart"/>
      <w:r w:rsidRPr="00C60563">
        <w:t>levonorgestrel</w:t>
      </w:r>
      <w:proofErr w:type="spellEnd"/>
      <w:r w:rsidRPr="00C60563">
        <w:t xml:space="preserve"> group).</w:t>
      </w:r>
    </w:p>
    <w:p w14:paraId="6FC08442" w14:textId="77777777" w:rsidR="00A94A3E" w:rsidRPr="00C60563" w:rsidRDefault="00A94A3E" w:rsidP="00A94A3E">
      <w:pPr>
        <w:pStyle w:val="CTDtext"/>
      </w:pPr>
      <w:r w:rsidRPr="00C60563">
        <w:t xml:space="preserve">The pregnancy rate and prevented fraction for the EE population administered </w:t>
      </w:r>
      <w:proofErr w:type="spellStart"/>
      <w:r w:rsidRPr="00C60563">
        <w:t>ulipristal</w:t>
      </w:r>
      <w:proofErr w:type="spellEnd"/>
      <w:r w:rsidRPr="00C60563">
        <w:t xml:space="preserve"> acetate were, respectively, 0.91% (0.365-1.857) and 85% (68-93).</w:t>
      </w:r>
    </w:p>
    <w:p w14:paraId="31236D8D" w14:textId="77777777" w:rsidR="00A94A3E" w:rsidRDefault="00A94A3E" w:rsidP="00A94A3E">
      <w:pPr>
        <w:pStyle w:val="CTDtext"/>
        <w:rPr>
          <w:b/>
        </w:rPr>
      </w:pPr>
      <w:r w:rsidRPr="005F1E98">
        <w:rPr>
          <w:b/>
        </w:rPr>
        <w:t>Pooled Analysis</w:t>
      </w:r>
    </w:p>
    <w:p w14:paraId="6F78E334" w14:textId="4A55B84D" w:rsidR="00755823" w:rsidRDefault="00A94A3E" w:rsidP="00A94A3E">
      <w:pPr>
        <w:pStyle w:val="CTDtext"/>
      </w:pPr>
      <w:r w:rsidRPr="00971AE6">
        <w:t xml:space="preserve">Results from </w:t>
      </w:r>
      <w:r>
        <w:t xml:space="preserve">the </w:t>
      </w:r>
      <w:r w:rsidRPr="00971AE6">
        <w:t>two independent randomi</w:t>
      </w:r>
      <w:r>
        <w:t>z</w:t>
      </w:r>
      <w:r w:rsidRPr="00971AE6">
        <w:t>ed controlled trials (</w:t>
      </w:r>
      <w:r>
        <w:t xml:space="preserve">studies HRA2914-507 and HRA2914-513 - </w:t>
      </w:r>
      <w:r w:rsidRPr="00971AE6">
        <w:t xml:space="preserve">see </w:t>
      </w:r>
      <w:r w:rsidR="00A24A7A" w:rsidRPr="00A24A7A">
        <w:rPr>
          <w:lang w:val="en-US"/>
        </w:rPr>
        <w:fldChar w:fldCharType="begin"/>
      </w:r>
      <w:r w:rsidR="00A24A7A" w:rsidRPr="00A24A7A">
        <w:instrText xml:space="preserve"> REF _Ref414564988 \h </w:instrText>
      </w:r>
      <w:r w:rsidR="00A24A7A" w:rsidRPr="00A24A7A">
        <w:rPr>
          <w:lang w:val="en-US"/>
        </w:rPr>
        <w:instrText xml:space="preserve"> \* MERGEFORMAT </w:instrText>
      </w:r>
      <w:r w:rsidR="00A24A7A" w:rsidRPr="00A24A7A">
        <w:rPr>
          <w:lang w:val="en-US"/>
        </w:rPr>
      </w:r>
      <w:r w:rsidR="00A24A7A" w:rsidRPr="00A24A7A">
        <w:rPr>
          <w:lang w:val="en-US"/>
        </w:rPr>
        <w:fldChar w:fldCharType="separate"/>
      </w:r>
      <w:r w:rsidR="00EB7EE8" w:rsidRPr="00EB7EE8">
        <w:t xml:space="preserve">Table </w:t>
      </w:r>
      <w:r w:rsidR="00EB7EE8" w:rsidRPr="00EB7EE8">
        <w:rPr>
          <w:noProof/>
        </w:rPr>
        <w:t>2</w:t>
      </w:r>
      <w:r w:rsidR="00A24A7A" w:rsidRPr="00A24A7A">
        <w:rPr>
          <w:lang w:val="en-US"/>
        </w:rPr>
        <w:fldChar w:fldCharType="end"/>
      </w:r>
      <w:r w:rsidRPr="00971AE6">
        <w:t xml:space="preserve">) showed the efficacy of </w:t>
      </w:r>
      <w:proofErr w:type="spellStart"/>
      <w:r w:rsidRPr="00971AE6">
        <w:t>ulipristal</w:t>
      </w:r>
      <w:proofErr w:type="spellEnd"/>
      <w:r w:rsidRPr="00971AE6">
        <w:t xml:space="preserve"> acetate to be non-inferior to that of </w:t>
      </w:r>
      <w:proofErr w:type="spellStart"/>
      <w:r w:rsidRPr="00971AE6">
        <w:t>levonorgestrel</w:t>
      </w:r>
      <w:proofErr w:type="spellEnd"/>
      <w:r w:rsidRPr="00971AE6">
        <w:t xml:space="preserve"> in women who presented for emergency contraception between 0 and 72 hours after unprotected intercourse or contraceptive failure.  When the data from the two trials were combined via pooled analysis, the risk of pregnancy with </w:t>
      </w:r>
      <w:proofErr w:type="spellStart"/>
      <w:r w:rsidRPr="00971AE6">
        <w:t>ulipristal</w:t>
      </w:r>
      <w:proofErr w:type="spellEnd"/>
      <w:r w:rsidRPr="00971AE6">
        <w:t xml:space="preserve"> acetate was significantly reduced compared to </w:t>
      </w:r>
      <w:proofErr w:type="spellStart"/>
      <w:r w:rsidRPr="00971AE6">
        <w:t>levonorgestrel</w:t>
      </w:r>
      <w:proofErr w:type="spellEnd"/>
      <w:r w:rsidRPr="00971AE6">
        <w:t>, regardless of whether treatment occurred within 24 (p=0.035), 72 (p=0.046) or 120 hours (p=0.025) of intercourse (</w:t>
      </w:r>
      <w:proofErr w:type="spellStart"/>
      <w:r w:rsidRPr="00971AE6">
        <w:t>Glasier</w:t>
      </w:r>
      <w:proofErr w:type="spellEnd"/>
      <w:r w:rsidRPr="00971AE6">
        <w:t xml:space="preserve"> et al, Lancet 2010</w:t>
      </w:r>
      <w:r>
        <w:t>).</w:t>
      </w:r>
    </w:p>
    <w:p w14:paraId="558C2D59" w14:textId="77777777" w:rsidR="00755823" w:rsidRDefault="00755823">
      <w:r>
        <w:br w:type="page"/>
      </w:r>
    </w:p>
    <w:p w14:paraId="66BBB683" w14:textId="77777777" w:rsidR="00755823" w:rsidRPr="00755823" w:rsidRDefault="00755823" w:rsidP="00A94A3E">
      <w:pPr>
        <w:pStyle w:val="CTDtext"/>
      </w:pPr>
    </w:p>
    <w:tbl>
      <w:tblPr>
        <w:tblW w:w="9362"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078"/>
        <w:gridCol w:w="2657"/>
        <w:gridCol w:w="3067"/>
      </w:tblGrid>
      <w:tr w:rsidR="00FC6697" w:rsidRPr="00721181" w14:paraId="1EC89238" w14:textId="77777777" w:rsidTr="00FC6697">
        <w:trPr>
          <w:jc w:val="center"/>
        </w:trPr>
        <w:tc>
          <w:tcPr>
            <w:tcW w:w="9362" w:type="dxa"/>
            <w:gridSpan w:val="4"/>
          </w:tcPr>
          <w:p w14:paraId="10A1806D" w14:textId="3B3619E0" w:rsidR="00FC6697" w:rsidRPr="00B106EE" w:rsidRDefault="00A24A7A" w:rsidP="00FC6697">
            <w:pPr>
              <w:pStyle w:val="Caption"/>
              <w:jc w:val="left"/>
              <w:rPr>
                <w:sz w:val="20"/>
              </w:rPr>
            </w:pPr>
            <w:bookmarkStart w:id="2" w:name="_Ref414564988"/>
            <w:r w:rsidRPr="00322BB7">
              <w:rPr>
                <w:b/>
              </w:rPr>
              <w:t xml:space="preserve">Table </w:t>
            </w:r>
            <w:r w:rsidRPr="00322BB7">
              <w:rPr>
                <w:b/>
              </w:rPr>
              <w:fldChar w:fldCharType="begin"/>
            </w:r>
            <w:r w:rsidRPr="00322BB7">
              <w:rPr>
                <w:b/>
              </w:rPr>
              <w:instrText xml:space="preserve"> SEQ Table_CTD \* ARABIC </w:instrText>
            </w:r>
            <w:r w:rsidRPr="00322BB7">
              <w:rPr>
                <w:b/>
              </w:rPr>
              <w:fldChar w:fldCharType="separate"/>
            </w:r>
            <w:r w:rsidR="00EB7EE8">
              <w:rPr>
                <w:b/>
                <w:noProof/>
              </w:rPr>
              <w:t>2</w:t>
            </w:r>
            <w:r w:rsidRPr="00322BB7">
              <w:rPr>
                <w:b/>
              </w:rPr>
              <w:fldChar w:fldCharType="end"/>
            </w:r>
            <w:bookmarkEnd w:id="2"/>
            <w:r w:rsidR="00FC6697">
              <w:rPr>
                <w:b/>
              </w:rPr>
              <w:t>: Results of Randomised Controlled Clinical Trials</w:t>
            </w:r>
          </w:p>
        </w:tc>
      </w:tr>
      <w:tr w:rsidR="00FC6697" w:rsidRPr="00C9276D" w14:paraId="2052B22F" w14:textId="77777777" w:rsidTr="00FC6697">
        <w:trPr>
          <w:jc w:val="center"/>
        </w:trPr>
        <w:tc>
          <w:tcPr>
            <w:tcW w:w="1560" w:type="dxa"/>
            <w:vMerge w:val="restart"/>
          </w:tcPr>
          <w:p w14:paraId="0F9E1FCD" w14:textId="77777777" w:rsidR="00FC6697" w:rsidRPr="00C9276D" w:rsidRDefault="00FC6697" w:rsidP="00FC6697">
            <w:pPr>
              <w:pStyle w:val="Normaljustifi"/>
              <w:spacing w:before="40" w:after="40"/>
              <w:jc w:val="center"/>
              <w:rPr>
                <w:b/>
                <w:sz w:val="20"/>
                <w:szCs w:val="20"/>
                <w:lang w:val="en-GB"/>
              </w:rPr>
            </w:pPr>
            <w:r w:rsidRPr="00C9276D">
              <w:rPr>
                <w:b/>
                <w:sz w:val="20"/>
                <w:szCs w:val="20"/>
                <w:lang w:val="en-GB"/>
              </w:rPr>
              <w:t>Randomised controlled trial</w:t>
            </w:r>
          </w:p>
        </w:tc>
        <w:tc>
          <w:tcPr>
            <w:tcW w:w="4735" w:type="dxa"/>
            <w:gridSpan w:val="2"/>
          </w:tcPr>
          <w:p w14:paraId="4036AA74" w14:textId="77777777" w:rsidR="00FC6697" w:rsidRPr="00C9276D" w:rsidRDefault="00FC6697" w:rsidP="00FC6697">
            <w:pPr>
              <w:pStyle w:val="Normaljustifi"/>
              <w:spacing w:before="40" w:after="40"/>
              <w:jc w:val="center"/>
              <w:rPr>
                <w:b/>
                <w:sz w:val="20"/>
                <w:szCs w:val="20"/>
                <w:lang w:val="en-GB"/>
              </w:rPr>
            </w:pPr>
            <w:r w:rsidRPr="00C9276D">
              <w:rPr>
                <w:b/>
                <w:sz w:val="20"/>
                <w:szCs w:val="20"/>
                <w:lang w:val="en-GB"/>
              </w:rPr>
              <w:t>Pregnancy rate (%)</w:t>
            </w:r>
          </w:p>
          <w:p w14:paraId="0C35F9B6" w14:textId="77777777" w:rsidR="00FC6697" w:rsidRPr="00C9276D" w:rsidRDefault="00FC6697" w:rsidP="00FC6697">
            <w:pPr>
              <w:pStyle w:val="Normaljustifi"/>
              <w:spacing w:before="40" w:after="40"/>
              <w:jc w:val="center"/>
              <w:rPr>
                <w:b/>
                <w:sz w:val="20"/>
                <w:szCs w:val="20"/>
                <w:lang w:val="en-GB"/>
              </w:rPr>
            </w:pPr>
            <w:r w:rsidRPr="00C9276D">
              <w:rPr>
                <w:b/>
                <w:sz w:val="20"/>
                <w:szCs w:val="20"/>
                <w:lang w:val="en-GB"/>
              </w:rPr>
              <w:t>within 72h of unprotected intercourse or contraceptive failure</w:t>
            </w:r>
            <w:r w:rsidRPr="00C9276D">
              <w:rPr>
                <w:b/>
                <w:sz w:val="20"/>
                <w:szCs w:val="20"/>
                <w:vertAlign w:val="superscript"/>
                <w:lang w:val="en-GB"/>
              </w:rPr>
              <w:t>2</w:t>
            </w:r>
          </w:p>
        </w:tc>
        <w:tc>
          <w:tcPr>
            <w:tcW w:w="3067" w:type="dxa"/>
            <w:vMerge w:val="restart"/>
          </w:tcPr>
          <w:p w14:paraId="0DB97F3B" w14:textId="77777777" w:rsidR="00FC6697" w:rsidRPr="00C9276D" w:rsidRDefault="00FC6697" w:rsidP="00FC6697">
            <w:pPr>
              <w:pStyle w:val="Normaljustifi"/>
              <w:spacing w:before="40" w:after="40"/>
              <w:jc w:val="center"/>
              <w:rPr>
                <w:b/>
                <w:sz w:val="20"/>
                <w:szCs w:val="20"/>
                <w:lang w:val="en-GB"/>
              </w:rPr>
            </w:pPr>
            <w:r w:rsidRPr="00C9276D">
              <w:rPr>
                <w:b/>
                <w:sz w:val="20"/>
                <w:szCs w:val="20"/>
                <w:lang w:val="en-GB"/>
              </w:rPr>
              <w:t xml:space="preserve">Odds ratio [95% CI] of pregnancy risk, </w:t>
            </w:r>
            <w:proofErr w:type="spellStart"/>
            <w:r w:rsidRPr="00C9276D">
              <w:rPr>
                <w:b/>
                <w:sz w:val="20"/>
                <w:szCs w:val="20"/>
                <w:lang w:val="en-GB"/>
              </w:rPr>
              <w:t>ulipristal</w:t>
            </w:r>
            <w:proofErr w:type="spellEnd"/>
            <w:r w:rsidRPr="00C9276D">
              <w:rPr>
                <w:b/>
                <w:sz w:val="20"/>
                <w:szCs w:val="20"/>
                <w:lang w:val="en-GB"/>
              </w:rPr>
              <w:t xml:space="preserve"> acetate vs levonorgestrel</w:t>
            </w:r>
            <w:r w:rsidRPr="00C9276D">
              <w:rPr>
                <w:b/>
                <w:sz w:val="20"/>
                <w:szCs w:val="20"/>
                <w:vertAlign w:val="superscript"/>
                <w:lang w:val="en-GB"/>
              </w:rPr>
              <w:t>2</w:t>
            </w:r>
          </w:p>
        </w:tc>
      </w:tr>
      <w:tr w:rsidR="00FC6697" w:rsidRPr="00721181" w14:paraId="7DC0F760" w14:textId="77777777" w:rsidTr="00FC6697">
        <w:trPr>
          <w:jc w:val="center"/>
        </w:trPr>
        <w:tc>
          <w:tcPr>
            <w:tcW w:w="1560" w:type="dxa"/>
            <w:vMerge/>
          </w:tcPr>
          <w:p w14:paraId="1F8A6DF2" w14:textId="77777777" w:rsidR="00FC6697" w:rsidRPr="00B106EE" w:rsidRDefault="00FC6697" w:rsidP="00FC6697">
            <w:pPr>
              <w:pStyle w:val="Normaljustifi"/>
              <w:spacing w:before="40" w:after="40"/>
              <w:jc w:val="both"/>
              <w:rPr>
                <w:sz w:val="20"/>
                <w:szCs w:val="20"/>
                <w:lang w:val="en-GB"/>
              </w:rPr>
            </w:pPr>
          </w:p>
        </w:tc>
        <w:tc>
          <w:tcPr>
            <w:tcW w:w="2078" w:type="dxa"/>
          </w:tcPr>
          <w:p w14:paraId="1CA8B196" w14:textId="77777777" w:rsidR="00FC6697" w:rsidRPr="00B106EE" w:rsidRDefault="00FC6697" w:rsidP="00FC6697">
            <w:pPr>
              <w:pStyle w:val="Normaljustifi"/>
              <w:spacing w:before="40" w:after="40"/>
              <w:jc w:val="center"/>
              <w:rPr>
                <w:sz w:val="20"/>
                <w:szCs w:val="20"/>
                <w:lang w:val="en-GB"/>
              </w:rPr>
            </w:pPr>
            <w:proofErr w:type="spellStart"/>
            <w:r w:rsidRPr="00B106EE">
              <w:rPr>
                <w:sz w:val="20"/>
                <w:szCs w:val="20"/>
                <w:lang w:val="en-GB"/>
              </w:rPr>
              <w:t>Ulipristal</w:t>
            </w:r>
            <w:proofErr w:type="spellEnd"/>
            <w:r w:rsidRPr="00B106EE">
              <w:rPr>
                <w:sz w:val="20"/>
                <w:szCs w:val="20"/>
                <w:lang w:val="en-GB"/>
              </w:rPr>
              <w:t xml:space="preserve"> acetate</w:t>
            </w:r>
          </w:p>
        </w:tc>
        <w:tc>
          <w:tcPr>
            <w:tcW w:w="2657" w:type="dxa"/>
          </w:tcPr>
          <w:p w14:paraId="0EB184B6" w14:textId="77777777" w:rsidR="00FC6697" w:rsidRPr="00B106EE" w:rsidRDefault="00FC6697" w:rsidP="00FC6697">
            <w:pPr>
              <w:pStyle w:val="Normaljustifi"/>
              <w:spacing w:before="40" w:after="40"/>
              <w:jc w:val="center"/>
              <w:rPr>
                <w:sz w:val="20"/>
                <w:szCs w:val="20"/>
                <w:lang w:val="en-GB"/>
              </w:rPr>
            </w:pPr>
            <w:proofErr w:type="spellStart"/>
            <w:r w:rsidRPr="00B106EE">
              <w:rPr>
                <w:sz w:val="20"/>
                <w:szCs w:val="20"/>
                <w:lang w:val="en-GB"/>
              </w:rPr>
              <w:t>Levonorgestrel</w:t>
            </w:r>
            <w:proofErr w:type="spellEnd"/>
          </w:p>
        </w:tc>
        <w:tc>
          <w:tcPr>
            <w:tcW w:w="3067" w:type="dxa"/>
            <w:vMerge/>
          </w:tcPr>
          <w:p w14:paraId="4B3CFCF4" w14:textId="77777777" w:rsidR="00FC6697" w:rsidRPr="00B106EE" w:rsidRDefault="00FC6697" w:rsidP="00FC6697">
            <w:pPr>
              <w:pStyle w:val="Normaljustifi"/>
              <w:spacing w:before="40" w:after="40"/>
              <w:jc w:val="center"/>
              <w:rPr>
                <w:sz w:val="20"/>
                <w:szCs w:val="20"/>
                <w:lang w:val="en-GB"/>
              </w:rPr>
            </w:pPr>
          </w:p>
        </w:tc>
      </w:tr>
      <w:tr w:rsidR="00FC6697" w:rsidRPr="00721181" w14:paraId="6780B7F2" w14:textId="77777777" w:rsidTr="00FC6697">
        <w:trPr>
          <w:jc w:val="center"/>
        </w:trPr>
        <w:tc>
          <w:tcPr>
            <w:tcW w:w="1560" w:type="dxa"/>
          </w:tcPr>
          <w:p w14:paraId="6EDF1CCD" w14:textId="77777777" w:rsidR="00FC6697" w:rsidRPr="00B106EE" w:rsidRDefault="00FC6697" w:rsidP="00FC6697">
            <w:pPr>
              <w:pStyle w:val="Normaljustifi"/>
              <w:spacing w:before="40" w:after="40"/>
              <w:jc w:val="both"/>
              <w:rPr>
                <w:sz w:val="20"/>
                <w:szCs w:val="20"/>
                <w:lang w:val="en-GB"/>
              </w:rPr>
            </w:pPr>
            <w:r w:rsidRPr="00B106EE">
              <w:rPr>
                <w:sz w:val="20"/>
                <w:szCs w:val="20"/>
                <w:lang w:val="en-GB"/>
              </w:rPr>
              <w:t>HRA2914-507</w:t>
            </w:r>
          </w:p>
        </w:tc>
        <w:tc>
          <w:tcPr>
            <w:tcW w:w="2078" w:type="dxa"/>
          </w:tcPr>
          <w:p w14:paraId="0060D924"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 xml:space="preserve">0.91 </w:t>
            </w:r>
          </w:p>
          <w:p w14:paraId="1E76E683"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(7/773)</w:t>
            </w:r>
          </w:p>
        </w:tc>
        <w:tc>
          <w:tcPr>
            <w:tcW w:w="2657" w:type="dxa"/>
          </w:tcPr>
          <w:p w14:paraId="5275FE6A"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1.68</w:t>
            </w:r>
          </w:p>
          <w:p w14:paraId="13AE1408"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(13/773)</w:t>
            </w:r>
          </w:p>
        </w:tc>
        <w:tc>
          <w:tcPr>
            <w:tcW w:w="3067" w:type="dxa"/>
          </w:tcPr>
          <w:p w14:paraId="1843437C"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0.50 [0.18-1.24]</w:t>
            </w:r>
          </w:p>
        </w:tc>
      </w:tr>
      <w:tr w:rsidR="00FC6697" w:rsidRPr="00721181" w14:paraId="57ADD254" w14:textId="77777777" w:rsidTr="00FC6697">
        <w:trPr>
          <w:jc w:val="center"/>
        </w:trPr>
        <w:tc>
          <w:tcPr>
            <w:tcW w:w="1560" w:type="dxa"/>
          </w:tcPr>
          <w:p w14:paraId="501DBF31" w14:textId="77777777" w:rsidR="00FC6697" w:rsidRPr="00B106EE" w:rsidRDefault="00FC6697" w:rsidP="00FC6697">
            <w:pPr>
              <w:pStyle w:val="Normaljustifi"/>
              <w:spacing w:before="40" w:after="40"/>
              <w:jc w:val="both"/>
              <w:rPr>
                <w:sz w:val="20"/>
                <w:szCs w:val="20"/>
                <w:lang w:val="en-GB"/>
              </w:rPr>
            </w:pPr>
            <w:r w:rsidRPr="00B106EE">
              <w:rPr>
                <w:sz w:val="20"/>
                <w:szCs w:val="20"/>
                <w:lang w:val="en-GB"/>
              </w:rPr>
              <w:t>HRA2914-513</w:t>
            </w:r>
          </w:p>
        </w:tc>
        <w:tc>
          <w:tcPr>
            <w:tcW w:w="2078" w:type="dxa"/>
          </w:tcPr>
          <w:p w14:paraId="203C9371"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1.78</w:t>
            </w:r>
          </w:p>
          <w:p w14:paraId="4EF12B52"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(15/844)</w:t>
            </w:r>
          </w:p>
        </w:tc>
        <w:tc>
          <w:tcPr>
            <w:tcW w:w="2657" w:type="dxa"/>
          </w:tcPr>
          <w:p w14:paraId="1517B764"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2.59</w:t>
            </w:r>
          </w:p>
          <w:p w14:paraId="49E33F8F"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(22/852)</w:t>
            </w:r>
          </w:p>
        </w:tc>
        <w:tc>
          <w:tcPr>
            <w:tcW w:w="3067" w:type="dxa"/>
          </w:tcPr>
          <w:p w14:paraId="2E0A2EB0"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0.68 [0.35-1.31]</w:t>
            </w:r>
          </w:p>
        </w:tc>
      </w:tr>
      <w:tr w:rsidR="00FC6697" w:rsidRPr="00721181" w14:paraId="3FA2CAF3" w14:textId="77777777" w:rsidTr="00FC6697">
        <w:trPr>
          <w:jc w:val="center"/>
        </w:trPr>
        <w:tc>
          <w:tcPr>
            <w:tcW w:w="1560" w:type="dxa"/>
          </w:tcPr>
          <w:p w14:paraId="426AC9CA" w14:textId="77777777" w:rsidR="00FC6697" w:rsidRPr="00B106EE" w:rsidRDefault="00FC6697" w:rsidP="00FC6697">
            <w:pPr>
              <w:pStyle w:val="Normaljustifi"/>
              <w:spacing w:before="40" w:after="40"/>
              <w:jc w:val="both"/>
              <w:rPr>
                <w:sz w:val="20"/>
                <w:szCs w:val="20"/>
                <w:lang w:val="en-GB"/>
              </w:rPr>
            </w:pPr>
            <w:r>
              <w:rPr>
                <w:sz w:val="20"/>
                <w:szCs w:val="20"/>
                <w:lang w:val="en-GB"/>
              </w:rPr>
              <w:t xml:space="preserve">Pooled </w:t>
            </w:r>
            <w:r w:rsidRPr="00B106EE">
              <w:rPr>
                <w:sz w:val="20"/>
                <w:szCs w:val="20"/>
                <w:lang w:val="en-GB"/>
              </w:rPr>
              <w:t>analys</w:t>
            </w:r>
            <w:r>
              <w:rPr>
                <w:sz w:val="20"/>
                <w:szCs w:val="20"/>
                <w:lang w:val="en-GB"/>
              </w:rPr>
              <w:t>is</w:t>
            </w:r>
          </w:p>
        </w:tc>
        <w:tc>
          <w:tcPr>
            <w:tcW w:w="2078" w:type="dxa"/>
          </w:tcPr>
          <w:p w14:paraId="15CC2C18"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1.36</w:t>
            </w:r>
          </w:p>
          <w:p w14:paraId="54C442CC"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(22/1617)</w:t>
            </w:r>
          </w:p>
        </w:tc>
        <w:tc>
          <w:tcPr>
            <w:tcW w:w="2657" w:type="dxa"/>
          </w:tcPr>
          <w:p w14:paraId="08438127"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2.15</w:t>
            </w:r>
          </w:p>
          <w:p w14:paraId="20BE5E02"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(35/1625)</w:t>
            </w:r>
          </w:p>
        </w:tc>
        <w:tc>
          <w:tcPr>
            <w:tcW w:w="3067" w:type="dxa"/>
          </w:tcPr>
          <w:p w14:paraId="422925FA" w14:textId="77777777" w:rsidR="00FC6697" w:rsidRPr="00B106EE" w:rsidRDefault="00FC6697" w:rsidP="00FC6697">
            <w:pPr>
              <w:pStyle w:val="Normaljustifi"/>
              <w:spacing w:before="40" w:after="40"/>
              <w:jc w:val="center"/>
              <w:rPr>
                <w:sz w:val="20"/>
                <w:szCs w:val="20"/>
                <w:lang w:val="en-GB"/>
              </w:rPr>
            </w:pPr>
            <w:r w:rsidRPr="00B106EE">
              <w:rPr>
                <w:sz w:val="20"/>
                <w:szCs w:val="20"/>
                <w:lang w:val="en-GB"/>
              </w:rPr>
              <w:t>0.58 [0.33-0.99]</w:t>
            </w:r>
          </w:p>
        </w:tc>
      </w:tr>
    </w:tbl>
    <w:p w14:paraId="6350B207" w14:textId="77777777" w:rsidR="00FC6697" w:rsidRDefault="00FC6697" w:rsidP="00FC6697">
      <w:pPr>
        <w:keepNext/>
        <w:keepLines/>
        <w:rPr>
          <w:noProof/>
          <w:sz w:val="20"/>
        </w:rPr>
      </w:pPr>
      <w:r w:rsidRPr="00FC0E67">
        <w:rPr>
          <w:noProof/>
          <w:sz w:val="20"/>
        </w:rPr>
        <w:t>2: Glasier et al, Lancet 2010</w:t>
      </w:r>
    </w:p>
    <w:p w14:paraId="29CAAA02" w14:textId="77777777" w:rsidR="00FC6697" w:rsidRPr="00C9276D" w:rsidRDefault="00FC6697" w:rsidP="00FC6697">
      <w:pPr>
        <w:pStyle w:val="CTDtext"/>
        <w:rPr>
          <w:lang w:val="en-US" w:eastAsia="en-US"/>
        </w:rPr>
      </w:pPr>
    </w:p>
    <w:p w14:paraId="0E97131D" w14:textId="5047623C" w:rsidR="00892BC3" w:rsidRDefault="00892BC3" w:rsidP="00892BC3">
      <w:pPr>
        <w:spacing w:after="240" w:line="360" w:lineRule="auto"/>
        <w:jc w:val="both"/>
        <w:rPr>
          <w:lang w:val="en-US"/>
        </w:rPr>
      </w:pPr>
      <w:r w:rsidRPr="00456818">
        <w:rPr>
          <w:lang w:val="en-US"/>
        </w:rPr>
        <w:t xml:space="preserve">Data from the two phase III studies were pooled to provide a total efficacy population of women treated with </w:t>
      </w:r>
      <w:proofErr w:type="spellStart"/>
      <w:r w:rsidRPr="00456818">
        <w:rPr>
          <w:lang w:val="en-US"/>
        </w:rPr>
        <w:t>ulipristal</w:t>
      </w:r>
      <w:proofErr w:type="spellEnd"/>
      <w:r w:rsidRPr="00456818">
        <w:rPr>
          <w:lang w:val="en-US"/>
        </w:rPr>
        <w:t xml:space="preserve"> acetate up to 120 hours after unprotected intercourse</w:t>
      </w:r>
      <w:r w:rsidR="00E45298">
        <w:rPr>
          <w:lang w:val="en-US"/>
        </w:rPr>
        <w:t xml:space="preserve"> (</w:t>
      </w:r>
      <w:r w:rsidR="00A24A7A" w:rsidRPr="00A24A7A">
        <w:rPr>
          <w:lang w:val="en-US"/>
        </w:rPr>
        <w:fldChar w:fldCharType="begin"/>
      </w:r>
      <w:r w:rsidR="00A24A7A" w:rsidRPr="00A24A7A">
        <w:rPr>
          <w:lang w:val="en-US"/>
        </w:rPr>
        <w:instrText xml:space="preserve"> REF _Ref414565036 \h  \* MERGEFORMAT </w:instrText>
      </w:r>
      <w:r w:rsidR="00A24A7A" w:rsidRPr="00A24A7A">
        <w:rPr>
          <w:lang w:val="en-US"/>
        </w:rPr>
      </w:r>
      <w:r w:rsidR="00A24A7A" w:rsidRPr="00A24A7A">
        <w:rPr>
          <w:lang w:val="en-US"/>
        </w:rPr>
        <w:fldChar w:fldCharType="separate"/>
      </w:r>
      <w:r w:rsidR="00EB7EE8" w:rsidRPr="00EB7EE8">
        <w:t xml:space="preserve">Table </w:t>
      </w:r>
      <w:r w:rsidR="00EB7EE8" w:rsidRPr="00EB7EE8">
        <w:rPr>
          <w:noProof/>
        </w:rPr>
        <w:t>3</w:t>
      </w:r>
      <w:r w:rsidR="00A24A7A" w:rsidRPr="00A24A7A">
        <w:rPr>
          <w:lang w:val="en-US"/>
        </w:rPr>
        <w:fldChar w:fldCharType="end"/>
      </w:r>
      <w:r w:rsidR="00E45298">
        <w:rPr>
          <w:lang w:val="en-US"/>
        </w:rPr>
        <w:t>)</w:t>
      </w:r>
      <w:r w:rsidRPr="00456818">
        <w:rPr>
          <w:lang w:val="en-US"/>
        </w:rPr>
        <w:t xml:space="preserve">. </w:t>
      </w:r>
      <w:r>
        <w:rPr>
          <w:lang w:val="en-US"/>
        </w:rPr>
        <w:t xml:space="preserve"> </w:t>
      </w:r>
      <w:r w:rsidRPr="00456818">
        <w:rPr>
          <w:lang w:val="en-US"/>
        </w:rPr>
        <w:t xml:space="preserve">Time trend analysis for the five 24-hour intervals from 0 to 120 hours between unprotected intercourse and treatment was conducted. </w:t>
      </w:r>
      <w:r>
        <w:rPr>
          <w:lang w:val="en-US"/>
        </w:rPr>
        <w:t xml:space="preserve"> </w:t>
      </w:r>
      <w:r w:rsidRPr="00456818">
        <w:rPr>
          <w:lang w:val="en-US"/>
        </w:rPr>
        <w:t>There were no significant differences in the observed pregnancy rates across five time intervals.</w:t>
      </w:r>
    </w:p>
    <w:p w14:paraId="1880B9CD" w14:textId="77777777" w:rsidR="00892BC3" w:rsidRDefault="00892BC3" w:rsidP="00E45298">
      <w:pPr>
        <w:jc w:val="both"/>
        <w:rPr>
          <w:lang w:val="en-US"/>
        </w:rPr>
      </w:pPr>
    </w:p>
    <w:tbl>
      <w:tblPr>
        <w:tblW w:w="8483" w:type="dxa"/>
        <w:jc w:val="center"/>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42"/>
        <w:gridCol w:w="3047"/>
        <w:gridCol w:w="2694"/>
      </w:tblGrid>
      <w:tr w:rsidR="00892BC3" w:rsidRPr="003D6E55" w14:paraId="4E7836D8" w14:textId="77777777" w:rsidTr="00E45298">
        <w:trPr>
          <w:jc w:val="center"/>
        </w:trPr>
        <w:tc>
          <w:tcPr>
            <w:tcW w:w="8483" w:type="dxa"/>
            <w:gridSpan w:val="3"/>
            <w:tcMar>
              <w:top w:w="0" w:type="dxa"/>
              <w:left w:w="108" w:type="dxa"/>
              <w:bottom w:w="0" w:type="dxa"/>
              <w:right w:w="108" w:type="dxa"/>
            </w:tcMar>
          </w:tcPr>
          <w:p w14:paraId="2843DCBE" w14:textId="267C2837" w:rsidR="00892BC3" w:rsidRPr="00B435CC" w:rsidRDefault="00A24A7A" w:rsidP="00F56734">
            <w:pPr>
              <w:pStyle w:val="Caption"/>
              <w:spacing w:before="60" w:after="60" w:line="240" w:lineRule="auto"/>
              <w:ind w:left="0" w:firstLine="0"/>
              <w:jc w:val="left"/>
              <w:rPr>
                <w:b/>
              </w:rPr>
            </w:pPr>
            <w:bookmarkStart w:id="3" w:name="_Ref414565036"/>
            <w:r w:rsidRPr="00322BB7">
              <w:rPr>
                <w:b/>
              </w:rPr>
              <w:t xml:space="preserve">Table </w:t>
            </w:r>
            <w:r w:rsidRPr="00322BB7">
              <w:rPr>
                <w:b/>
              </w:rPr>
              <w:fldChar w:fldCharType="begin"/>
            </w:r>
            <w:r w:rsidRPr="00322BB7">
              <w:rPr>
                <w:b/>
              </w:rPr>
              <w:instrText xml:space="preserve"> SEQ Table_CTD \* ARABIC </w:instrText>
            </w:r>
            <w:r w:rsidRPr="00322BB7">
              <w:rPr>
                <w:b/>
              </w:rPr>
              <w:fldChar w:fldCharType="separate"/>
            </w:r>
            <w:r w:rsidR="00EB7EE8">
              <w:rPr>
                <w:b/>
                <w:noProof/>
              </w:rPr>
              <w:t>3</w:t>
            </w:r>
            <w:r w:rsidRPr="00322BB7">
              <w:rPr>
                <w:b/>
              </w:rPr>
              <w:fldChar w:fldCharType="end"/>
            </w:r>
            <w:bookmarkEnd w:id="3"/>
            <w:r w:rsidR="00892BC3" w:rsidRPr="00B435CC">
              <w:rPr>
                <w:b/>
              </w:rPr>
              <w:t xml:space="preserve">: Summary of Clinical Trial Results for Women Who Received a Single  Dose of </w:t>
            </w:r>
            <w:proofErr w:type="spellStart"/>
            <w:r w:rsidR="00892BC3" w:rsidRPr="00B435CC">
              <w:rPr>
                <w:b/>
              </w:rPr>
              <w:t>EllaOne</w:t>
            </w:r>
            <w:proofErr w:type="spellEnd"/>
            <w:r w:rsidR="00892BC3" w:rsidRPr="00B435CC">
              <w:rPr>
                <w:b/>
              </w:rPr>
              <w:t xml:space="preserve"> (30 mg </w:t>
            </w:r>
            <w:proofErr w:type="spellStart"/>
            <w:r w:rsidR="00892BC3" w:rsidRPr="00B435CC">
              <w:rPr>
                <w:b/>
              </w:rPr>
              <w:t>Ulipristal</w:t>
            </w:r>
            <w:proofErr w:type="spellEnd"/>
            <w:r w:rsidR="00892BC3" w:rsidRPr="00B435CC">
              <w:rPr>
                <w:b/>
              </w:rPr>
              <w:t xml:space="preserve"> Acetate)</w:t>
            </w:r>
          </w:p>
        </w:tc>
      </w:tr>
      <w:tr w:rsidR="00892BC3" w:rsidRPr="003D6E55" w14:paraId="5BC96B4D" w14:textId="77777777" w:rsidTr="00E45298">
        <w:trPr>
          <w:jc w:val="center"/>
        </w:trPr>
        <w:tc>
          <w:tcPr>
            <w:tcW w:w="2742" w:type="dxa"/>
            <w:vMerge w:val="restart"/>
            <w:tcMar>
              <w:top w:w="0" w:type="dxa"/>
              <w:left w:w="108" w:type="dxa"/>
              <w:bottom w:w="0" w:type="dxa"/>
              <w:right w:w="108" w:type="dxa"/>
            </w:tcMar>
          </w:tcPr>
          <w:p w14:paraId="74DCE3CB" w14:textId="77777777" w:rsidR="00892BC3" w:rsidRPr="00633FA6" w:rsidRDefault="00892BC3" w:rsidP="00F56734">
            <w:pPr>
              <w:keepNext/>
              <w:numPr>
                <w:ilvl w:val="12"/>
                <w:numId w:val="0"/>
              </w:numPr>
              <w:ind w:right="-2"/>
              <w:contextualSpacing/>
              <w:jc w:val="center"/>
              <w:rPr>
                <w:rFonts w:eastAsia="Calibri"/>
                <w:b/>
                <w:snapToGrid w:val="0"/>
              </w:rPr>
            </w:pPr>
          </w:p>
        </w:tc>
        <w:tc>
          <w:tcPr>
            <w:tcW w:w="3047" w:type="dxa"/>
          </w:tcPr>
          <w:p w14:paraId="591BCF17" w14:textId="77777777" w:rsidR="00892BC3" w:rsidRPr="00B435CC" w:rsidRDefault="00892BC3" w:rsidP="00F56734">
            <w:pPr>
              <w:keepNext/>
              <w:numPr>
                <w:ilvl w:val="12"/>
                <w:numId w:val="0"/>
              </w:numPr>
              <w:ind w:right="-2"/>
              <w:contextualSpacing/>
              <w:jc w:val="center"/>
              <w:rPr>
                <w:b/>
                <w:snapToGrid w:val="0"/>
                <w:sz w:val="22"/>
                <w:szCs w:val="22"/>
              </w:rPr>
            </w:pPr>
            <w:r w:rsidRPr="00B435CC">
              <w:rPr>
                <w:b/>
                <w:snapToGrid w:val="0"/>
                <w:sz w:val="22"/>
                <w:szCs w:val="22"/>
              </w:rPr>
              <w:t xml:space="preserve">Open-Label Study </w:t>
            </w:r>
          </w:p>
          <w:p w14:paraId="1AE49839" w14:textId="77777777" w:rsidR="00892BC3" w:rsidRPr="00B435CC" w:rsidRDefault="00892BC3" w:rsidP="00F56734">
            <w:pPr>
              <w:keepNext/>
              <w:numPr>
                <w:ilvl w:val="12"/>
                <w:numId w:val="0"/>
              </w:numPr>
              <w:ind w:right="-2"/>
              <w:contextualSpacing/>
              <w:jc w:val="center"/>
              <w:rPr>
                <w:rFonts w:eastAsia="Calibri"/>
                <w:b/>
                <w:snapToGrid w:val="0"/>
                <w:sz w:val="22"/>
                <w:szCs w:val="22"/>
              </w:rPr>
            </w:pPr>
            <w:r w:rsidRPr="00B435CC">
              <w:rPr>
                <w:b/>
                <w:snapToGrid w:val="0"/>
                <w:sz w:val="22"/>
                <w:szCs w:val="22"/>
              </w:rPr>
              <w:t>48 to 120 Hours *</w:t>
            </w:r>
          </w:p>
        </w:tc>
        <w:tc>
          <w:tcPr>
            <w:tcW w:w="2694" w:type="dxa"/>
            <w:tcMar>
              <w:top w:w="0" w:type="dxa"/>
              <w:left w:w="108" w:type="dxa"/>
              <w:bottom w:w="0" w:type="dxa"/>
              <w:right w:w="108" w:type="dxa"/>
            </w:tcMar>
          </w:tcPr>
          <w:p w14:paraId="4EB087A4" w14:textId="77777777" w:rsidR="00892BC3" w:rsidRPr="00B435CC" w:rsidRDefault="00892BC3" w:rsidP="00F56734">
            <w:pPr>
              <w:keepNext/>
              <w:numPr>
                <w:ilvl w:val="12"/>
                <w:numId w:val="0"/>
              </w:numPr>
              <w:ind w:right="-2"/>
              <w:contextualSpacing/>
              <w:jc w:val="center"/>
              <w:rPr>
                <w:b/>
                <w:snapToGrid w:val="0"/>
                <w:sz w:val="22"/>
                <w:szCs w:val="22"/>
              </w:rPr>
            </w:pPr>
            <w:r w:rsidRPr="00B435CC">
              <w:rPr>
                <w:b/>
                <w:snapToGrid w:val="0"/>
                <w:sz w:val="22"/>
                <w:szCs w:val="22"/>
              </w:rPr>
              <w:t xml:space="preserve">Single-Blind Comparative Study </w:t>
            </w:r>
          </w:p>
          <w:p w14:paraId="65507C9C" w14:textId="77777777" w:rsidR="00892BC3" w:rsidRPr="00B435CC" w:rsidRDefault="00892BC3" w:rsidP="00F56734">
            <w:pPr>
              <w:keepNext/>
              <w:numPr>
                <w:ilvl w:val="12"/>
                <w:numId w:val="0"/>
              </w:numPr>
              <w:ind w:right="-2"/>
              <w:contextualSpacing/>
              <w:jc w:val="center"/>
              <w:rPr>
                <w:b/>
                <w:snapToGrid w:val="0"/>
                <w:sz w:val="22"/>
                <w:szCs w:val="22"/>
              </w:rPr>
            </w:pPr>
            <w:r w:rsidRPr="00B435CC">
              <w:rPr>
                <w:b/>
                <w:snapToGrid w:val="0"/>
                <w:sz w:val="22"/>
                <w:szCs w:val="22"/>
              </w:rPr>
              <w:t>0 to 72 Hours *</w:t>
            </w:r>
          </w:p>
        </w:tc>
      </w:tr>
      <w:tr w:rsidR="00892BC3" w:rsidRPr="003D6E55" w14:paraId="1B62A6D4" w14:textId="77777777" w:rsidTr="00E45298">
        <w:trPr>
          <w:jc w:val="center"/>
        </w:trPr>
        <w:tc>
          <w:tcPr>
            <w:tcW w:w="2742" w:type="dxa"/>
            <w:vMerge/>
            <w:vAlign w:val="center"/>
          </w:tcPr>
          <w:p w14:paraId="592641C3" w14:textId="77777777" w:rsidR="00892BC3" w:rsidRPr="00633FA6" w:rsidRDefault="00892BC3" w:rsidP="00F56734">
            <w:pPr>
              <w:keepNext/>
              <w:contextualSpacing/>
              <w:rPr>
                <w:rFonts w:eastAsia="Calibri"/>
                <w:b/>
                <w:snapToGrid w:val="0"/>
              </w:rPr>
            </w:pPr>
          </w:p>
        </w:tc>
        <w:tc>
          <w:tcPr>
            <w:tcW w:w="3047" w:type="dxa"/>
          </w:tcPr>
          <w:p w14:paraId="2BB5B90C" w14:textId="77777777" w:rsidR="00892BC3" w:rsidRPr="00E93241" w:rsidRDefault="00892BC3" w:rsidP="00F01155">
            <w:pPr>
              <w:keepNext/>
              <w:numPr>
                <w:ilvl w:val="12"/>
                <w:numId w:val="0"/>
              </w:numPr>
              <w:spacing w:before="80" w:after="80"/>
              <w:contextualSpacing/>
              <w:jc w:val="center"/>
              <w:rPr>
                <w:rFonts w:eastAsia="Calibri"/>
                <w:snapToGrid w:val="0"/>
                <w:sz w:val="22"/>
                <w:szCs w:val="22"/>
              </w:rPr>
            </w:pPr>
            <w:r w:rsidRPr="00E93241">
              <w:rPr>
                <w:sz w:val="22"/>
                <w:szCs w:val="22"/>
              </w:rPr>
              <w:t>N = 1,242</w:t>
            </w:r>
          </w:p>
        </w:tc>
        <w:tc>
          <w:tcPr>
            <w:tcW w:w="2694" w:type="dxa"/>
            <w:tcMar>
              <w:top w:w="0" w:type="dxa"/>
              <w:left w:w="108" w:type="dxa"/>
              <w:bottom w:w="0" w:type="dxa"/>
              <w:right w:w="108" w:type="dxa"/>
            </w:tcMar>
          </w:tcPr>
          <w:p w14:paraId="7588C7B7" w14:textId="77777777" w:rsidR="00892BC3" w:rsidRPr="00E93241" w:rsidRDefault="00892BC3" w:rsidP="00F01155">
            <w:pPr>
              <w:keepNext/>
              <w:numPr>
                <w:ilvl w:val="12"/>
                <w:numId w:val="0"/>
              </w:numPr>
              <w:spacing w:before="80" w:after="80"/>
              <w:contextualSpacing/>
              <w:jc w:val="center"/>
              <w:rPr>
                <w:rFonts w:eastAsia="Calibri"/>
                <w:snapToGrid w:val="0"/>
                <w:sz w:val="22"/>
                <w:szCs w:val="22"/>
              </w:rPr>
            </w:pPr>
            <w:r w:rsidRPr="00E93241">
              <w:rPr>
                <w:sz w:val="22"/>
                <w:szCs w:val="22"/>
              </w:rPr>
              <w:t>N = 844</w:t>
            </w:r>
          </w:p>
        </w:tc>
      </w:tr>
      <w:tr w:rsidR="00892BC3" w:rsidRPr="003D6E55" w14:paraId="42634595" w14:textId="77777777" w:rsidTr="00E45298">
        <w:trPr>
          <w:jc w:val="center"/>
        </w:trPr>
        <w:tc>
          <w:tcPr>
            <w:tcW w:w="2742" w:type="dxa"/>
          </w:tcPr>
          <w:p w14:paraId="32A6C358" w14:textId="400EE321" w:rsidR="00892BC3" w:rsidRPr="000C3BBF" w:rsidRDefault="00892BC3" w:rsidP="00F01155">
            <w:pPr>
              <w:keepNext/>
              <w:numPr>
                <w:ilvl w:val="12"/>
                <w:numId w:val="0"/>
              </w:numPr>
              <w:spacing w:before="80" w:after="80"/>
              <w:contextualSpacing/>
              <w:rPr>
                <w:rFonts w:eastAsia="Calibri"/>
                <w:snapToGrid w:val="0"/>
                <w:sz w:val="22"/>
                <w:szCs w:val="22"/>
              </w:rPr>
            </w:pPr>
            <w:r w:rsidRPr="000C3BBF">
              <w:rPr>
                <w:snapToGrid w:val="0"/>
                <w:sz w:val="22"/>
                <w:szCs w:val="22"/>
              </w:rPr>
              <w:t>Expected Pregnancy Rate **</w:t>
            </w:r>
          </w:p>
        </w:tc>
        <w:tc>
          <w:tcPr>
            <w:tcW w:w="3047" w:type="dxa"/>
          </w:tcPr>
          <w:p w14:paraId="31C60C66" w14:textId="77777777" w:rsidR="00892BC3" w:rsidRPr="00B435CC" w:rsidRDefault="00892BC3" w:rsidP="00F01155">
            <w:pPr>
              <w:keepNext/>
              <w:numPr>
                <w:ilvl w:val="12"/>
                <w:numId w:val="0"/>
              </w:numPr>
              <w:spacing w:before="80" w:after="80"/>
              <w:contextualSpacing/>
              <w:jc w:val="center"/>
              <w:rPr>
                <w:rFonts w:eastAsia="Calibri"/>
                <w:snapToGrid w:val="0"/>
                <w:sz w:val="22"/>
                <w:szCs w:val="22"/>
              </w:rPr>
            </w:pPr>
            <w:r w:rsidRPr="00B435CC">
              <w:rPr>
                <w:snapToGrid w:val="0"/>
                <w:sz w:val="22"/>
                <w:szCs w:val="22"/>
              </w:rPr>
              <w:t>5.5</w:t>
            </w:r>
          </w:p>
        </w:tc>
        <w:tc>
          <w:tcPr>
            <w:tcW w:w="2694" w:type="dxa"/>
            <w:tcMar>
              <w:top w:w="0" w:type="dxa"/>
              <w:left w:w="108" w:type="dxa"/>
              <w:bottom w:w="0" w:type="dxa"/>
              <w:right w:w="108" w:type="dxa"/>
            </w:tcMar>
          </w:tcPr>
          <w:p w14:paraId="5CB5B811" w14:textId="77777777" w:rsidR="00892BC3" w:rsidRPr="00B435CC" w:rsidRDefault="00892BC3" w:rsidP="00F01155">
            <w:pPr>
              <w:keepNext/>
              <w:numPr>
                <w:ilvl w:val="12"/>
                <w:numId w:val="0"/>
              </w:numPr>
              <w:spacing w:before="80" w:after="80"/>
              <w:contextualSpacing/>
              <w:jc w:val="center"/>
              <w:rPr>
                <w:rFonts w:eastAsia="Calibri"/>
                <w:snapToGrid w:val="0"/>
                <w:sz w:val="22"/>
                <w:szCs w:val="22"/>
              </w:rPr>
            </w:pPr>
            <w:r w:rsidRPr="00B435CC">
              <w:rPr>
                <w:snapToGrid w:val="0"/>
                <w:sz w:val="22"/>
                <w:szCs w:val="22"/>
              </w:rPr>
              <w:t>5.6</w:t>
            </w:r>
          </w:p>
        </w:tc>
      </w:tr>
      <w:tr w:rsidR="00892BC3" w:rsidRPr="003D6E55" w14:paraId="12A55BD0" w14:textId="77777777" w:rsidTr="00E45298">
        <w:trPr>
          <w:jc w:val="center"/>
        </w:trPr>
        <w:tc>
          <w:tcPr>
            <w:tcW w:w="2742" w:type="dxa"/>
          </w:tcPr>
          <w:p w14:paraId="7571440F" w14:textId="162C3019" w:rsidR="00892BC3" w:rsidRPr="000C3BBF" w:rsidRDefault="00892BC3" w:rsidP="00F01155">
            <w:pPr>
              <w:keepNext/>
              <w:numPr>
                <w:ilvl w:val="12"/>
                <w:numId w:val="0"/>
              </w:numPr>
              <w:spacing w:before="80" w:after="80"/>
              <w:contextualSpacing/>
              <w:rPr>
                <w:snapToGrid w:val="0"/>
                <w:sz w:val="22"/>
                <w:szCs w:val="22"/>
              </w:rPr>
            </w:pPr>
            <w:r w:rsidRPr="000C3BBF">
              <w:rPr>
                <w:snapToGrid w:val="0"/>
                <w:sz w:val="22"/>
                <w:szCs w:val="22"/>
              </w:rPr>
              <w:t>Observed Pregnancy Rate **</w:t>
            </w:r>
          </w:p>
          <w:p w14:paraId="154CF8F9" w14:textId="3B5420A9" w:rsidR="00892BC3" w:rsidRPr="000C3BBF" w:rsidRDefault="00892BC3" w:rsidP="00F01155">
            <w:pPr>
              <w:keepNext/>
              <w:numPr>
                <w:ilvl w:val="12"/>
                <w:numId w:val="0"/>
              </w:numPr>
              <w:spacing w:before="80" w:after="80"/>
              <w:contextualSpacing/>
              <w:rPr>
                <w:rFonts w:eastAsia="Calibri"/>
                <w:snapToGrid w:val="0"/>
                <w:sz w:val="22"/>
                <w:szCs w:val="22"/>
              </w:rPr>
            </w:pPr>
            <w:r w:rsidRPr="000C3BBF">
              <w:rPr>
                <w:snapToGrid w:val="0"/>
                <w:sz w:val="22"/>
                <w:szCs w:val="22"/>
              </w:rPr>
              <w:t>(95% confidence</w:t>
            </w:r>
            <w:r w:rsidR="00E45298">
              <w:rPr>
                <w:snapToGrid w:val="0"/>
                <w:sz w:val="22"/>
                <w:szCs w:val="22"/>
              </w:rPr>
              <w:t xml:space="preserve"> </w:t>
            </w:r>
            <w:r w:rsidRPr="000C3BBF">
              <w:rPr>
                <w:snapToGrid w:val="0"/>
                <w:sz w:val="22"/>
                <w:szCs w:val="22"/>
              </w:rPr>
              <w:t>interval)</w:t>
            </w:r>
          </w:p>
        </w:tc>
        <w:tc>
          <w:tcPr>
            <w:tcW w:w="3047" w:type="dxa"/>
          </w:tcPr>
          <w:p w14:paraId="0142843C" w14:textId="77777777" w:rsidR="00892BC3" w:rsidRPr="00B435CC" w:rsidRDefault="00892BC3" w:rsidP="00F01155">
            <w:pPr>
              <w:keepNext/>
              <w:numPr>
                <w:ilvl w:val="12"/>
                <w:numId w:val="0"/>
              </w:numPr>
              <w:spacing w:before="80" w:after="80"/>
              <w:contextualSpacing/>
              <w:jc w:val="center"/>
              <w:rPr>
                <w:snapToGrid w:val="0"/>
                <w:sz w:val="22"/>
                <w:szCs w:val="22"/>
              </w:rPr>
            </w:pPr>
            <w:r w:rsidRPr="00B435CC">
              <w:rPr>
                <w:snapToGrid w:val="0"/>
                <w:sz w:val="22"/>
                <w:szCs w:val="22"/>
              </w:rPr>
              <w:t>2.2</w:t>
            </w:r>
          </w:p>
          <w:p w14:paraId="6FD7B441" w14:textId="77777777" w:rsidR="00892BC3" w:rsidRPr="00B435CC" w:rsidRDefault="00892BC3" w:rsidP="00F01155">
            <w:pPr>
              <w:keepNext/>
              <w:numPr>
                <w:ilvl w:val="12"/>
                <w:numId w:val="0"/>
              </w:numPr>
              <w:spacing w:before="80" w:after="80"/>
              <w:contextualSpacing/>
              <w:jc w:val="center"/>
              <w:rPr>
                <w:rFonts w:eastAsia="Calibri"/>
                <w:snapToGrid w:val="0"/>
                <w:sz w:val="22"/>
                <w:szCs w:val="22"/>
              </w:rPr>
            </w:pPr>
            <w:r w:rsidRPr="00B435CC">
              <w:rPr>
                <w:snapToGrid w:val="0"/>
                <w:sz w:val="22"/>
                <w:szCs w:val="22"/>
              </w:rPr>
              <w:t>(1.5, 3.2)</w:t>
            </w:r>
          </w:p>
        </w:tc>
        <w:tc>
          <w:tcPr>
            <w:tcW w:w="2694" w:type="dxa"/>
            <w:tcMar>
              <w:top w:w="0" w:type="dxa"/>
              <w:left w:w="108" w:type="dxa"/>
              <w:bottom w:w="0" w:type="dxa"/>
              <w:right w:w="108" w:type="dxa"/>
            </w:tcMar>
          </w:tcPr>
          <w:p w14:paraId="2F66C482" w14:textId="77777777" w:rsidR="00892BC3" w:rsidRPr="00B435CC" w:rsidRDefault="00892BC3" w:rsidP="00F01155">
            <w:pPr>
              <w:keepNext/>
              <w:numPr>
                <w:ilvl w:val="12"/>
                <w:numId w:val="0"/>
              </w:numPr>
              <w:spacing w:before="80" w:after="80"/>
              <w:contextualSpacing/>
              <w:jc w:val="center"/>
              <w:rPr>
                <w:snapToGrid w:val="0"/>
                <w:sz w:val="22"/>
                <w:szCs w:val="22"/>
              </w:rPr>
            </w:pPr>
            <w:r w:rsidRPr="00B435CC">
              <w:rPr>
                <w:snapToGrid w:val="0"/>
                <w:sz w:val="22"/>
                <w:szCs w:val="22"/>
              </w:rPr>
              <w:t>1.9</w:t>
            </w:r>
          </w:p>
          <w:p w14:paraId="148D7A9B" w14:textId="77777777" w:rsidR="00892BC3" w:rsidRPr="00B435CC" w:rsidRDefault="00892BC3" w:rsidP="00F01155">
            <w:pPr>
              <w:keepNext/>
              <w:numPr>
                <w:ilvl w:val="12"/>
                <w:numId w:val="0"/>
              </w:numPr>
              <w:spacing w:before="80" w:after="80"/>
              <w:contextualSpacing/>
              <w:jc w:val="center"/>
              <w:rPr>
                <w:rFonts w:eastAsia="Calibri"/>
                <w:snapToGrid w:val="0"/>
                <w:sz w:val="22"/>
                <w:szCs w:val="22"/>
              </w:rPr>
            </w:pPr>
            <w:r w:rsidRPr="00B435CC">
              <w:rPr>
                <w:snapToGrid w:val="0"/>
                <w:sz w:val="22"/>
                <w:szCs w:val="22"/>
              </w:rPr>
              <w:t>(1.1, 3.1)</w:t>
            </w:r>
          </w:p>
        </w:tc>
      </w:tr>
    </w:tbl>
    <w:p w14:paraId="7845F2C1" w14:textId="77777777" w:rsidR="00892BC3" w:rsidRPr="00E45298" w:rsidRDefault="00892BC3" w:rsidP="00E45298">
      <w:pPr>
        <w:keepNext/>
        <w:overflowPunct w:val="0"/>
        <w:autoSpaceDE w:val="0"/>
        <w:autoSpaceDN w:val="0"/>
        <w:ind w:firstLine="284"/>
        <w:contextualSpacing/>
        <w:rPr>
          <w:rFonts w:eastAsia="Calibri"/>
          <w:sz w:val="22"/>
          <w:szCs w:val="22"/>
        </w:rPr>
      </w:pPr>
      <w:r w:rsidRPr="00E45298">
        <w:rPr>
          <w:rFonts w:eastAsia="Calibri"/>
          <w:sz w:val="22"/>
          <w:szCs w:val="22"/>
        </w:rPr>
        <w:t xml:space="preserve">* Time after unprotected intercourse when </w:t>
      </w:r>
      <w:proofErr w:type="spellStart"/>
      <w:r w:rsidRPr="00E45298">
        <w:rPr>
          <w:rFonts w:eastAsia="Calibri"/>
          <w:b/>
          <w:sz w:val="22"/>
          <w:szCs w:val="22"/>
        </w:rPr>
        <w:t>EllaOne</w:t>
      </w:r>
      <w:proofErr w:type="spellEnd"/>
      <w:r w:rsidRPr="00E45298">
        <w:rPr>
          <w:rFonts w:eastAsia="Calibri"/>
          <w:sz w:val="22"/>
          <w:szCs w:val="22"/>
        </w:rPr>
        <w:t xml:space="preserve"> was taken</w:t>
      </w:r>
    </w:p>
    <w:p w14:paraId="2E7ED8B7" w14:textId="77777777" w:rsidR="00892BC3" w:rsidRPr="00E45298" w:rsidRDefault="00892BC3" w:rsidP="00E45298">
      <w:pPr>
        <w:keepNext/>
        <w:overflowPunct w:val="0"/>
        <w:autoSpaceDE w:val="0"/>
        <w:autoSpaceDN w:val="0"/>
        <w:spacing w:after="120"/>
        <w:ind w:firstLine="284"/>
        <w:contextualSpacing/>
        <w:rPr>
          <w:rFonts w:eastAsia="Calibri"/>
          <w:sz w:val="22"/>
          <w:szCs w:val="22"/>
        </w:rPr>
      </w:pPr>
      <w:r w:rsidRPr="00E45298">
        <w:rPr>
          <w:rFonts w:eastAsia="Calibri"/>
          <w:sz w:val="22"/>
          <w:szCs w:val="22"/>
        </w:rPr>
        <w:t>** Number of pregnancies per 100 women at risk for pregnancy</w:t>
      </w:r>
    </w:p>
    <w:p w14:paraId="1279C6FD" w14:textId="77777777" w:rsidR="00892BC3" w:rsidRDefault="00892BC3" w:rsidP="00E45298">
      <w:pPr>
        <w:pStyle w:val="CTDtext"/>
        <w:spacing w:after="0"/>
        <w:rPr>
          <w:lang w:val="en-US"/>
        </w:rPr>
      </w:pPr>
    </w:p>
    <w:p w14:paraId="27A7BA6E" w14:textId="77777777" w:rsidR="00FC6697" w:rsidRDefault="00FC6697" w:rsidP="00FC6697">
      <w:pPr>
        <w:pStyle w:val="CTDtext"/>
        <w:rPr>
          <w:lang w:val="en-US"/>
        </w:rPr>
      </w:pPr>
      <w:r w:rsidRPr="005C1A91">
        <w:rPr>
          <w:lang w:val="en-US"/>
        </w:rPr>
        <w:t>A post-marketing observational study evaluating efficacy and safety o</w:t>
      </w:r>
      <w:r>
        <w:rPr>
          <w:lang w:val="en-US"/>
        </w:rPr>
        <w:t xml:space="preserve">f </w:t>
      </w:r>
      <w:proofErr w:type="spellStart"/>
      <w:r>
        <w:rPr>
          <w:lang w:val="en-US"/>
        </w:rPr>
        <w:t>EllaOne</w:t>
      </w:r>
      <w:proofErr w:type="spellEnd"/>
      <w:r>
        <w:rPr>
          <w:lang w:val="en-US"/>
        </w:rPr>
        <w:t xml:space="preserve"> </w:t>
      </w:r>
      <w:r w:rsidRPr="005C1A91">
        <w:rPr>
          <w:lang w:val="en-US"/>
        </w:rPr>
        <w:t xml:space="preserve">in </w:t>
      </w:r>
      <w:r>
        <w:rPr>
          <w:lang w:val="en-US"/>
        </w:rPr>
        <w:t xml:space="preserve">279 </w:t>
      </w:r>
      <w:r w:rsidRPr="005C1A91">
        <w:rPr>
          <w:lang w:val="en-US"/>
        </w:rPr>
        <w:t>adolescents aged 17 and younger showed no difference in the safety and efficacy profile compared to adult women aged 18 and older.</w:t>
      </w:r>
    </w:p>
    <w:p w14:paraId="0D24F9BD" w14:textId="77777777" w:rsidR="00FC6697" w:rsidRDefault="00FC6697" w:rsidP="00FC6697">
      <w:pPr>
        <w:pStyle w:val="TitleA"/>
        <w:spacing w:after="120"/>
        <w:jc w:val="left"/>
        <w:rPr>
          <w:caps/>
          <w:szCs w:val="24"/>
        </w:rPr>
      </w:pPr>
      <w:r w:rsidRPr="003703C4">
        <w:rPr>
          <w:caps/>
          <w:szCs w:val="24"/>
        </w:rPr>
        <w:lastRenderedPageBreak/>
        <w:t>INDICATION</w:t>
      </w:r>
    </w:p>
    <w:p w14:paraId="5E8D76A3" w14:textId="77777777" w:rsidR="00FC6697" w:rsidRPr="00F535E0" w:rsidRDefault="00FC6697" w:rsidP="00FC6697">
      <w:pPr>
        <w:pStyle w:val="CTDtext"/>
        <w:rPr>
          <w:b/>
        </w:rPr>
      </w:pPr>
      <w:proofErr w:type="gramStart"/>
      <w:r w:rsidRPr="00F535E0">
        <w:rPr>
          <w:b/>
        </w:rPr>
        <w:t>Emergency contraception within 120 hours (5 days) of unprotected sexual intercourse or contraceptive failure.</w:t>
      </w:r>
      <w:proofErr w:type="gramEnd"/>
    </w:p>
    <w:p w14:paraId="3C6F40EA" w14:textId="77777777" w:rsidR="00FC6697" w:rsidRDefault="00FC6697" w:rsidP="00FC6697">
      <w:pPr>
        <w:pStyle w:val="TitleA"/>
        <w:spacing w:after="120"/>
        <w:jc w:val="left"/>
        <w:rPr>
          <w:caps/>
          <w:szCs w:val="24"/>
        </w:rPr>
      </w:pPr>
      <w:r w:rsidRPr="003703C4">
        <w:rPr>
          <w:caps/>
          <w:szCs w:val="24"/>
        </w:rPr>
        <w:t>CONTRAINDICATIONS</w:t>
      </w:r>
    </w:p>
    <w:p w14:paraId="131A2F32" w14:textId="77777777" w:rsidR="00FC6697" w:rsidRDefault="00FC6697" w:rsidP="00FC6697">
      <w:pPr>
        <w:pStyle w:val="CTDtext"/>
        <w:rPr>
          <w:noProof/>
          <w:szCs w:val="24"/>
        </w:rPr>
      </w:pPr>
      <w:r w:rsidRPr="00F31D3A">
        <w:rPr>
          <w:noProof/>
          <w:szCs w:val="24"/>
        </w:rPr>
        <w:t>Hypersensitivity to the active substance or to any of t</w:t>
      </w:r>
      <w:r>
        <w:rPr>
          <w:noProof/>
          <w:szCs w:val="24"/>
        </w:rPr>
        <w:t>he listed excipients</w:t>
      </w:r>
      <w:r w:rsidRPr="00F31D3A">
        <w:rPr>
          <w:noProof/>
          <w:szCs w:val="24"/>
        </w:rPr>
        <w:t>.</w:t>
      </w:r>
      <w:r>
        <w:rPr>
          <w:noProof/>
          <w:szCs w:val="24"/>
        </w:rPr>
        <w:t xml:space="preserve"> </w:t>
      </w:r>
    </w:p>
    <w:p w14:paraId="6E915100" w14:textId="77777777" w:rsidR="00FC6697" w:rsidRDefault="00FC6697" w:rsidP="00FC6697">
      <w:pPr>
        <w:spacing w:line="360" w:lineRule="auto"/>
        <w:jc w:val="both"/>
        <w:rPr>
          <w:szCs w:val="24"/>
        </w:rPr>
      </w:pPr>
      <w:proofErr w:type="spellStart"/>
      <w:r>
        <w:rPr>
          <w:szCs w:val="24"/>
        </w:rPr>
        <w:t>EllaOne</w:t>
      </w:r>
      <w:proofErr w:type="spellEnd"/>
      <w:r>
        <w:rPr>
          <w:szCs w:val="24"/>
        </w:rPr>
        <w:t xml:space="preserve"> </w:t>
      </w:r>
      <w:r w:rsidRPr="00CE7D64">
        <w:rPr>
          <w:szCs w:val="24"/>
        </w:rPr>
        <w:t>should not be given to pregnant women. If menstrual bleeding is overdue, if the last menstrual period was abnormal in timing or character or if pregnancy is suspected for any other reason, pregnancy should be excluded (by pregnancy testing or pelvic examination) before treatment is given.</w:t>
      </w:r>
    </w:p>
    <w:p w14:paraId="57DD63E9" w14:textId="3726D607" w:rsidR="00FC6697" w:rsidRDefault="00FC6697" w:rsidP="00F01155">
      <w:pPr>
        <w:spacing w:after="240" w:line="360" w:lineRule="auto"/>
        <w:jc w:val="both"/>
        <w:rPr>
          <w:rFonts w:ascii="Calibri" w:hAnsi="Calibri"/>
          <w:sz w:val="22"/>
          <w:szCs w:val="22"/>
          <w:lang w:val="en-AU"/>
        </w:rPr>
      </w:pPr>
      <w:r>
        <w:rPr>
          <w:szCs w:val="24"/>
          <w:lang w:val="en-AU"/>
        </w:rPr>
        <w:t xml:space="preserve">If a woman has had unprotected intercourse more than 120 hours earlier in the same menstrual cycle, conception may have already occurred.  Treatment with </w:t>
      </w:r>
      <w:proofErr w:type="spellStart"/>
      <w:r>
        <w:rPr>
          <w:szCs w:val="24"/>
          <w:lang w:val="en-AU"/>
        </w:rPr>
        <w:t>EllaOne</w:t>
      </w:r>
      <w:proofErr w:type="spellEnd"/>
      <w:r>
        <w:rPr>
          <w:szCs w:val="24"/>
          <w:lang w:val="en-AU"/>
        </w:rPr>
        <w:t xml:space="preserve"> following the second act of intercourse may therefore be ineffec</w:t>
      </w:r>
      <w:r w:rsidR="00F01155">
        <w:rPr>
          <w:szCs w:val="24"/>
          <w:lang w:val="en-AU"/>
        </w:rPr>
        <w:t>tive in preventing pregnancy.</w:t>
      </w:r>
    </w:p>
    <w:p w14:paraId="60024421" w14:textId="77777777" w:rsidR="00FC6697" w:rsidRDefault="00FC6697" w:rsidP="00FC6697">
      <w:pPr>
        <w:pStyle w:val="TitleA"/>
        <w:spacing w:after="120"/>
        <w:jc w:val="left"/>
        <w:rPr>
          <w:caps/>
          <w:szCs w:val="24"/>
        </w:rPr>
      </w:pPr>
      <w:r w:rsidRPr="003703C4">
        <w:rPr>
          <w:caps/>
          <w:szCs w:val="24"/>
        </w:rPr>
        <w:t>PRECAUTIONS</w:t>
      </w:r>
    </w:p>
    <w:p w14:paraId="51FC8E5D" w14:textId="77777777" w:rsidR="00FC6697" w:rsidRPr="003A2836" w:rsidRDefault="00FC6697" w:rsidP="00FC6697">
      <w:pPr>
        <w:pStyle w:val="CTDtext"/>
        <w:spacing w:after="120" w:line="240" w:lineRule="auto"/>
        <w:rPr>
          <w:b/>
          <w:i/>
          <w:u w:val="single"/>
          <w:lang w:val="en-US"/>
        </w:rPr>
      </w:pPr>
      <w:proofErr w:type="spellStart"/>
      <w:r>
        <w:rPr>
          <w:b/>
          <w:i/>
          <w:u w:val="single"/>
          <w:lang w:val="en-US"/>
        </w:rPr>
        <w:t>EllaOne</w:t>
      </w:r>
      <w:proofErr w:type="spellEnd"/>
      <w:r>
        <w:rPr>
          <w:b/>
          <w:i/>
          <w:u w:val="single"/>
          <w:lang w:val="en-US"/>
        </w:rPr>
        <w:t xml:space="preserve"> </w:t>
      </w:r>
      <w:r w:rsidRPr="003A2836">
        <w:rPr>
          <w:b/>
          <w:i/>
          <w:u w:val="single"/>
          <w:lang w:val="en-US"/>
        </w:rPr>
        <w:t>does not prevent pregnancy every time</w:t>
      </w:r>
    </w:p>
    <w:p w14:paraId="60EE6099" w14:textId="77777777" w:rsidR="00FC6697" w:rsidRPr="00941077" w:rsidRDefault="00FC6697" w:rsidP="00FC6697">
      <w:pPr>
        <w:pStyle w:val="CTDtext"/>
        <w:rPr>
          <w:lang w:val="en-US"/>
        </w:rPr>
      </w:pPr>
      <w:proofErr w:type="spellStart"/>
      <w:r>
        <w:rPr>
          <w:lang w:val="en-US"/>
        </w:rPr>
        <w:t>EllaOne</w:t>
      </w:r>
      <w:proofErr w:type="spellEnd"/>
      <w:r>
        <w:rPr>
          <w:lang w:val="en-US"/>
        </w:rPr>
        <w:t xml:space="preserve"> </w:t>
      </w:r>
      <w:r w:rsidRPr="00941077">
        <w:rPr>
          <w:lang w:val="en-US"/>
        </w:rPr>
        <w:t>inhibits or postp</w:t>
      </w:r>
      <w:r>
        <w:rPr>
          <w:lang w:val="en-US"/>
        </w:rPr>
        <w:t>ones ovulation</w:t>
      </w:r>
      <w:r w:rsidRPr="00941077">
        <w:rPr>
          <w:lang w:val="en-US"/>
        </w:rPr>
        <w:t xml:space="preserve">. </w:t>
      </w:r>
      <w:r>
        <w:rPr>
          <w:lang w:val="en-US"/>
        </w:rPr>
        <w:t xml:space="preserve"> </w:t>
      </w:r>
      <w:r w:rsidRPr="00941077">
        <w:rPr>
          <w:lang w:val="en-US"/>
        </w:rPr>
        <w:t xml:space="preserve">If ovulation has already occurred, </w:t>
      </w:r>
      <w:proofErr w:type="spellStart"/>
      <w:r>
        <w:rPr>
          <w:lang w:val="en-US"/>
        </w:rPr>
        <w:t>EllaOne</w:t>
      </w:r>
      <w:proofErr w:type="spellEnd"/>
      <w:r>
        <w:rPr>
          <w:lang w:val="en-US"/>
        </w:rPr>
        <w:t xml:space="preserve"> </w:t>
      </w:r>
      <w:r w:rsidRPr="00941077">
        <w:rPr>
          <w:lang w:val="en-US"/>
        </w:rPr>
        <w:t xml:space="preserve">is no longer effective. </w:t>
      </w:r>
      <w:r>
        <w:rPr>
          <w:lang w:val="en-US"/>
        </w:rPr>
        <w:t xml:space="preserve"> </w:t>
      </w:r>
      <w:r w:rsidRPr="00941077">
        <w:rPr>
          <w:lang w:val="en-US"/>
        </w:rPr>
        <w:t xml:space="preserve">The timing of ovulation cannot be predicted and therefore </w:t>
      </w:r>
      <w:proofErr w:type="spellStart"/>
      <w:r>
        <w:rPr>
          <w:lang w:val="en-US"/>
        </w:rPr>
        <w:t>EllaOne</w:t>
      </w:r>
      <w:proofErr w:type="spellEnd"/>
      <w:r>
        <w:rPr>
          <w:lang w:val="en-US"/>
        </w:rPr>
        <w:t xml:space="preserve"> </w:t>
      </w:r>
      <w:r w:rsidRPr="00941077">
        <w:rPr>
          <w:lang w:val="en-US"/>
        </w:rPr>
        <w:t xml:space="preserve">should be taken as soon as possible after unprotected intercourse. </w:t>
      </w:r>
    </w:p>
    <w:p w14:paraId="33FCAD1E" w14:textId="77777777" w:rsidR="00FC6697" w:rsidRPr="00941077" w:rsidRDefault="00FC6697" w:rsidP="00FC6697">
      <w:pPr>
        <w:pStyle w:val="CTDtext"/>
        <w:rPr>
          <w:lang w:val="en-US"/>
        </w:rPr>
      </w:pPr>
      <w:r w:rsidRPr="00941077">
        <w:rPr>
          <w:lang w:val="en-US"/>
        </w:rPr>
        <w:t xml:space="preserve">No data are available on the efficacy of </w:t>
      </w:r>
      <w:proofErr w:type="spellStart"/>
      <w:r>
        <w:rPr>
          <w:lang w:val="en-US"/>
        </w:rPr>
        <w:t>EllaOne</w:t>
      </w:r>
      <w:proofErr w:type="spellEnd"/>
      <w:r>
        <w:rPr>
          <w:lang w:val="en-US"/>
        </w:rPr>
        <w:t xml:space="preserve"> </w:t>
      </w:r>
      <w:r w:rsidRPr="00941077">
        <w:rPr>
          <w:lang w:val="en-US"/>
        </w:rPr>
        <w:t>when taken more than 120 hours (5 days) after unprotected intercourse.</w:t>
      </w:r>
    </w:p>
    <w:p w14:paraId="7F8A2213" w14:textId="77777777" w:rsidR="00FC6697" w:rsidRPr="00941077" w:rsidRDefault="00FC6697" w:rsidP="00FC6697">
      <w:pPr>
        <w:pStyle w:val="CTDtext"/>
        <w:rPr>
          <w:lang w:val="en-US"/>
        </w:rPr>
      </w:pPr>
      <w:r w:rsidRPr="00941077">
        <w:rPr>
          <w:lang w:val="en-US"/>
        </w:rPr>
        <w:t xml:space="preserve">Women who become pregnant after taking </w:t>
      </w:r>
      <w:proofErr w:type="spellStart"/>
      <w:r>
        <w:rPr>
          <w:lang w:val="en-US"/>
        </w:rPr>
        <w:t>EllaOne</w:t>
      </w:r>
      <w:proofErr w:type="spellEnd"/>
      <w:r>
        <w:rPr>
          <w:lang w:val="en-US"/>
        </w:rPr>
        <w:t xml:space="preserve"> </w:t>
      </w:r>
      <w:r w:rsidRPr="00941077">
        <w:rPr>
          <w:lang w:val="en-US"/>
        </w:rPr>
        <w:t xml:space="preserve">should contact their doctor. </w:t>
      </w:r>
      <w:r>
        <w:rPr>
          <w:lang w:val="en-US"/>
        </w:rPr>
        <w:t xml:space="preserve"> </w:t>
      </w:r>
      <w:r w:rsidRPr="00941077">
        <w:rPr>
          <w:lang w:val="en-US"/>
        </w:rPr>
        <w:t xml:space="preserve">If the next menstrual period is more than 7 days late, if the menstrual period is abnormal in character or if there are symptoms suggestive of pregnancy or in case of doubt, a pregnancy test should be performed. </w:t>
      </w:r>
      <w:r>
        <w:rPr>
          <w:lang w:val="en-US"/>
        </w:rPr>
        <w:t xml:space="preserve"> </w:t>
      </w:r>
      <w:r w:rsidRPr="00941077">
        <w:rPr>
          <w:lang w:val="en-US"/>
        </w:rPr>
        <w:t>As with any pregnancy, the possibility of an ectopic pregnancy should be considered.</w:t>
      </w:r>
      <w:r>
        <w:rPr>
          <w:lang w:val="en-US"/>
        </w:rPr>
        <w:t xml:space="preserve"> </w:t>
      </w:r>
      <w:r w:rsidRPr="00941077">
        <w:rPr>
          <w:lang w:val="en-US"/>
        </w:rPr>
        <w:t xml:space="preserve"> It is important to know that the occurrence of uterine bleeding does not rule out ectopic pregnancy.</w:t>
      </w:r>
    </w:p>
    <w:p w14:paraId="714A2C5C" w14:textId="17F52CB8" w:rsidR="00FC6697" w:rsidRDefault="00FC6697" w:rsidP="00FC6697">
      <w:pPr>
        <w:pStyle w:val="CTDtext"/>
        <w:rPr>
          <w:lang w:val="en-US"/>
        </w:rPr>
      </w:pPr>
      <w:r w:rsidRPr="00941077">
        <w:rPr>
          <w:lang w:val="en-US"/>
        </w:rPr>
        <w:t xml:space="preserve">After </w:t>
      </w:r>
      <w:proofErr w:type="spellStart"/>
      <w:r>
        <w:rPr>
          <w:lang w:val="en-US"/>
        </w:rPr>
        <w:t>EllaOne</w:t>
      </w:r>
      <w:proofErr w:type="spellEnd"/>
      <w:r>
        <w:rPr>
          <w:lang w:val="en-US"/>
        </w:rPr>
        <w:t xml:space="preserve"> </w:t>
      </w:r>
      <w:r w:rsidRPr="00941077">
        <w:rPr>
          <w:lang w:val="en-US"/>
        </w:rPr>
        <w:t xml:space="preserve">intake menstrual periods can sometimes occur a few days earlier or later than expected. </w:t>
      </w:r>
      <w:r>
        <w:rPr>
          <w:lang w:val="en-US"/>
        </w:rPr>
        <w:t xml:space="preserve"> </w:t>
      </w:r>
      <w:r w:rsidRPr="00941077">
        <w:rPr>
          <w:lang w:val="en-US"/>
        </w:rPr>
        <w:t xml:space="preserve">In approximately 7% of the women, menstrual periods occurred more than 7 days </w:t>
      </w:r>
      <w:r w:rsidRPr="00941077">
        <w:rPr>
          <w:lang w:val="en-US"/>
        </w:rPr>
        <w:lastRenderedPageBreak/>
        <w:t xml:space="preserve">earlier than expected. </w:t>
      </w:r>
      <w:r>
        <w:rPr>
          <w:lang w:val="en-US"/>
        </w:rPr>
        <w:t xml:space="preserve"> </w:t>
      </w:r>
      <w:r w:rsidRPr="00941077">
        <w:rPr>
          <w:lang w:val="en-US"/>
        </w:rPr>
        <w:t xml:space="preserve">In 18.5% of the women a delay of more than 7 days occurred, and in 4% the delay was greater than 20 days. </w:t>
      </w:r>
    </w:p>
    <w:p w14:paraId="4594B032" w14:textId="77777777" w:rsidR="00FC6697" w:rsidRDefault="00FC6697" w:rsidP="00FC6697">
      <w:pPr>
        <w:pStyle w:val="CTDtext"/>
        <w:rPr>
          <w:lang w:val="en-US"/>
        </w:rPr>
      </w:pPr>
      <w:r>
        <w:rPr>
          <w:lang w:val="en-US"/>
        </w:rPr>
        <w:t xml:space="preserve">Exclude pregnancy if suspected clinically before </w:t>
      </w:r>
      <w:proofErr w:type="spellStart"/>
      <w:r>
        <w:rPr>
          <w:lang w:val="en-US"/>
        </w:rPr>
        <w:t>EllaOne</w:t>
      </w:r>
      <w:proofErr w:type="spellEnd"/>
      <w:r>
        <w:rPr>
          <w:lang w:val="en-US"/>
        </w:rPr>
        <w:t xml:space="preserve"> is administered.</w:t>
      </w:r>
    </w:p>
    <w:p w14:paraId="743841DB" w14:textId="77777777" w:rsidR="00FC6697" w:rsidRDefault="00FC6697" w:rsidP="00FC6697">
      <w:pPr>
        <w:pStyle w:val="CTDtext"/>
        <w:rPr>
          <w:lang w:val="en-US"/>
        </w:rPr>
      </w:pPr>
      <w:r>
        <w:rPr>
          <w:lang w:val="en-US"/>
        </w:rPr>
        <w:t xml:space="preserve">Concomitant use of </w:t>
      </w:r>
      <w:proofErr w:type="spellStart"/>
      <w:r>
        <w:rPr>
          <w:lang w:val="en-US"/>
        </w:rPr>
        <w:t>ulipristal</w:t>
      </w:r>
      <w:proofErr w:type="spellEnd"/>
      <w:r>
        <w:rPr>
          <w:lang w:val="en-US"/>
        </w:rPr>
        <w:t xml:space="preserve"> acetate with an emergency contraceptive containing </w:t>
      </w:r>
      <w:proofErr w:type="spellStart"/>
      <w:r>
        <w:rPr>
          <w:lang w:val="en-US"/>
        </w:rPr>
        <w:t>levonorgestrel</w:t>
      </w:r>
      <w:proofErr w:type="spellEnd"/>
      <w:r>
        <w:rPr>
          <w:lang w:val="en-US"/>
        </w:rPr>
        <w:t xml:space="preserve"> is not recommended.</w:t>
      </w:r>
    </w:p>
    <w:p w14:paraId="2D436AA4" w14:textId="77777777" w:rsidR="00FC6697" w:rsidRDefault="00FC6697" w:rsidP="00FC6697">
      <w:pPr>
        <w:pStyle w:val="CTDtext"/>
        <w:rPr>
          <w:szCs w:val="24"/>
          <w:lang w:val="en-AU"/>
        </w:rPr>
      </w:pPr>
      <w:r>
        <w:rPr>
          <w:lang w:val="en-US"/>
        </w:rPr>
        <w:t xml:space="preserve">Repeated use of </w:t>
      </w:r>
      <w:proofErr w:type="spellStart"/>
      <w:r>
        <w:rPr>
          <w:lang w:val="en-US"/>
        </w:rPr>
        <w:t>EllaOne</w:t>
      </w:r>
      <w:proofErr w:type="spellEnd"/>
      <w:r>
        <w:rPr>
          <w:lang w:val="en-US"/>
        </w:rPr>
        <w:t xml:space="preserve"> in the same menstrual cycle is not recommended.  </w:t>
      </w:r>
      <w:r>
        <w:rPr>
          <w:szCs w:val="24"/>
          <w:lang w:val="en-AU"/>
        </w:rPr>
        <w:t xml:space="preserve">Women who present for repeated courses of emergency contraception should be advised to consider a long-term method of contraception, as emergency contraception is not as effective as conventional regular methods of contraception. </w:t>
      </w:r>
    </w:p>
    <w:p w14:paraId="0E5EE7A1" w14:textId="77777777" w:rsidR="00FC6697" w:rsidRDefault="00FC6697" w:rsidP="00FC6697">
      <w:pPr>
        <w:pStyle w:val="CTDtext"/>
        <w:rPr>
          <w:lang w:val="en-US"/>
        </w:rPr>
      </w:pPr>
      <w:r>
        <w:rPr>
          <w:lang w:val="en-US"/>
        </w:rPr>
        <w:t>Use in women with severe asthma treated with oral glucocorticoids is not recommended.</w:t>
      </w:r>
    </w:p>
    <w:p w14:paraId="205A8242" w14:textId="77777777" w:rsidR="00FC6697" w:rsidRPr="003A2836" w:rsidRDefault="00FC6697" w:rsidP="00FC6697">
      <w:pPr>
        <w:pStyle w:val="CTDtext"/>
        <w:spacing w:after="120" w:line="240" w:lineRule="auto"/>
        <w:rPr>
          <w:b/>
          <w:i/>
          <w:u w:val="single"/>
          <w:lang w:val="en-US"/>
        </w:rPr>
      </w:pPr>
      <w:r w:rsidRPr="003A2836">
        <w:rPr>
          <w:b/>
          <w:i/>
          <w:u w:val="single"/>
          <w:lang w:val="en-US"/>
        </w:rPr>
        <w:t xml:space="preserve">Contraception after </w:t>
      </w:r>
      <w:proofErr w:type="spellStart"/>
      <w:r>
        <w:rPr>
          <w:b/>
          <w:i/>
          <w:u w:val="single"/>
          <w:lang w:val="en-US"/>
        </w:rPr>
        <w:t>EllaOne</w:t>
      </w:r>
      <w:proofErr w:type="spellEnd"/>
      <w:r>
        <w:rPr>
          <w:b/>
          <w:i/>
          <w:u w:val="single"/>
          <w:lang w:val="en-US"/>
        </w:rPr>
        <w:t xml:space="preserve"> </w:t>
      </w:r>
      <w:r w:rsidRPr="003A2836">
        <w:rPr>
          <w:b/>
          <w:i/>
          <w:u w:val="single"/>
          <w:lang w:val="en-US"/>
        </w:rPr>
        <w:t>intake</w:t>
      </w:r>
    </w:p>
    <w:p w14:paraId="4B43EB9A" w14:textId="77777777" w:rsidR="00FC6697" w:rsidRPr="00941077" w:rsidRDefault="00FC6697" w:rsidP="00FC6697">
      <w:pPr>
        <w:pStyle w:val="CTDtext"/>
        <w:rPr>
          <w:lang w:val="en-US"/>
        </w:rPr>
      </w:pPr>
      <w:proofErr w:type="spellStart"/>
      <w:r>
        <w:rPr>
          <w:lang w:val="en-US"/>
        </w:rPr>
        <w:t>EllaOne</w:t>
      </w:r>
      <w:proofErr w:type="spellEnd"/>
      <w:r>
        <w:rPr>
          <w:lang w:val="en-US"/>
        </w:rPr>
        <w:t xml:space="preserve"> </w:t>
      </w:r>
      <w:r w:rsidRPr="00941077">
        <w:rPr>
          <w:lang w:val="en-US"/>
        </w:rPr>
        <w:t xml:space="preserve">is an emergency contraceptive that decreases pregnancy risk after unprotected intercourse but does not confer contraceptive protection for subsequent acts of intercourse. </w:t>
      </w:r>
      <w:r>
        <w:rPr>
          <w:lang w:val="en-US"/>
        </w:rPr>
        <w:t xml:space="preserve"> </w:t>
      </w:r>
      <w:r w:rsidRPr="00941077">
        <w:rPr>
          <w:lang w:val="en-US"/>
        </w:rPr>
        <w:t xml:space="preserve">Therefore, after using emergency contraception, women should be advised to use a reliable barrier method until </w:t>
      </w:r>
      <w:r>
        <w:rPr>
          <w:lang w:val="en-US"/>
        </w:rPr>
        <w:t>the</w:t>
      </w:r>
      <w:r w:rsidRPr="00941077">
        <w:rPr>
          <w:lang w:val="en-US"/>
        </w:rPr>
        <w:t xml:space="preserve"> next menstrual period.</w:t>
      </w:r>
    </w:p>
    <w:p w14:paraId="07B253AE" w14:textId="77777777" w:rsidR="00FC6697" w:rsidRPr="00941077" w:rsidRDefault="00FC6697" w:rsidP="00FC6697">
      <w:pPr>
        <w:pStyle w:val="CTDtext"/>
        <w:rPr>
          <w:lang w:val="en-US"/>
        </w:rPr>
      </w:pPr>
      <w:proofErr w:type="spellStart"/>
      <w:r>
        <w:rPr>
          <w:lang w:val="en-US"/>
        </w:rPr>
        <w:t>EllaOne</w:t>
      </w:r>
      <w:proofErr w:type="spellEnd"/>
      <w:r>
        <w:rPr>
          <w:lang w:val="en-US"/>
        </w:rPr>
        <w:t xml:space="preserve"> </w:t>
      </w:r>
      <w:r w:rsidRPr="00941077">
        <w:rPr>
          <w:lang w:val="en-US"/>
        </w:rPr>
        <w:t xml:space="preserve">is for occasional use only. </w:t>
      </w:r>
      <w:r>
        <w:rPr>
          <w:lang w:val="en-US"/>
        </w:rPr>
        <w:t xml:space="preserve"> </w:t>
      </w:r>
      <w:r w:rsidRPr="00941077">
        <w:rPr>
          <w:lang w:val="en-US"/>
        </w:rPr>
        <w:t>It should in no instance replace a regular contraceptive method.</w:t>
      </w:r>
      <w:r>
        <w:rPr>
          <w:lang w:val="en-US"/>
        </w:rPr>
        <w:t xml:space="preserve"> </w:t>
      </w:r>
      <w:r w:rsidRPr="00941077">
        <w:rPr>
          <w:lang w:val="en-US"/>
        </w:rPr>
        <w:t xml:space="preserve"> In any case, women should be advised to adopt a regular method of contraception.</w:t>
      </w:r>
    </w:p>
    <w:p w14:paraId="5F4100CB" w14:textId="469F754B" w:rsidR="00755823" w:rsidRDefault="00FC6697" w:rsidP="00FC6697">
      <w:pPr>
        <w:pStyle w:val="CTDtext"/>
      </w:pPr>
      <w:r w:rsidRPr="00B20914">
        <w:rPr>
          <w:lang w:val="en-US"/>
        </w:rPr>
        <w:t xml:space="preserve">Because </w:t>
      </w:r>
      <w:proofErr w:type="spellStart"/>
      <w:r>
        <w:rPr>
          <w:lang w:val="en-US"/>
        </w:rPr>
        <w:t>EllaOne</w:t>
      </w:r>
      <w:proofErr w:type="spellEnd"/>
      <w:r>
        <w:rPr>
          <w:lang w:val="en-US"/>
        </w:rPr>
        <w:t xml:space="preserve"> </w:t>
      </w:r>
      <w:r w:rsidRPr="00B20914">
        <w:rPr>
          <w:lang w:val="en-US"/>
        </w:rPr>
        <w:t xml:space="preserve">binds to </w:t>
      </w:r>
      <w:r w:rsidRPr="004C2FFC">
        <w:rPr>
          <w:lang w:val="en-US"/>
        </w:rPr>
        <w:t xml:space="preserve">the </w:t>
      </w:r>
      <w:r w:rsidRPr="00B20914">
        <w:rPr>
          <w:lang w:val="en-US"/>
        </w:rPr>
        <w:t xml:space="preserve">same </w:t>
      </w:r>
      <w:r>
        <w:rPr>
          <w:lang w:val="en-US"/>
        </w:rPr>
        <w:t xml:space="preserve">progesterone </w:t>
      </w:r>
      <w:r w:rsidRPr="00B20914">
        <w:rPr>
          <w:lang w:val="en-US"/>
        </w:rPr>
        <w:t xml:space="preserve">receptor as </w:t>
      </w:r>
      <w:r w:rsidRPr="004C2FFC">
        <w:rPr>
          <w:lang w:val="en-US"/>
        </w:rPr>
        <w:t xml:space="preserve">regular hormonal contraception, </w:t>
      </w:r>
      <w:r w:rsidRPr="00B20914">
        <w:rPr>
          <w:lang w:val="en-US"/>
        </w:rPr>
        <w:t>using them together could</w:t>
      </w:r>
      <w:r w:rsidRPr="004C2FFC">
        <w:rPr>
          <w:lang w:val="en-US"/>
        </w:rPr>
        <w:t xml:space="preserve"> reduce</w:t>
      </w:r>
      <w:r w:rsidRPr="00941077">
        <w:rPr>
          <w:lang w:val="en-US"/>
        </w:rPr>
        <w:t xml:space="preserve"> </w:t>
      </w:r>
      <w:r w:rsidRPr="004C2FFC">
        <w:rPr>
          <w:lang w:val="en-US"/>
        </w:rPr>
        <w:t>contraceptive action</w:t>
      </w:r>
      <w:r>
        <w:rPr>
          <w:lang w:val="en-US"/>
        </w:rPr>
        <w:t xml:space="preserve">.  </w:t>
      </w:r>
      <w:r w:rsidRPr="00BA56B4">
        <w:rPr>
          <w:lang w:val="en-US"/>
        </w:rPr>
        <w:t xml:space="preserve">After using </w:t>
      </w:r>
      <w:proofErr w:type="spellStart"/>
      <w:r>
        <w:rPr>
          <w:lang w:val="en-US"/>
        </w:rPr>
        <w:t>EllaOne</w:t>
      </w:r>
      <w:proofErr w:type="spellEnd"/>
      <w:r w:rsidRPr="00BA56B4">
        <w:rPr>
          <w:lang w:val="en-US"/>
        </w:rPr>
        <w:t>,</w:t>
      </w:r>
      <w:r>
        <w:rPr>
          <w:lang w:val="en-US"/>
        </w:rPr>
        <w:t xml:space="preserve"> </w:t>
      </w:r>
      <w:r w:rsidRPr="007E289F">
        <w:t xml:space="preserve">if a woman wishes to </w:t>
      </w:r>
      <w:r w:rsidRPr="0065508C">
        <w:t>initiate</w:t>
      </w:r>
      <w:r w:rsidRPr="007E289F">
        <w:t xml:space="preserve"> or </w:t>
      </w:r>
      <w:r>
        <w:t>resume</w:t>
      </w:r>
      <w:r w:rsidRPr="0065508C">
        <w:t xml:space="preserve"> </w:t>
      </w:r>
      <w:r w:rsidRPr="00B8202C">
        <w:t xml:space="preserve">regular </w:t>
      </w:r>
      <w:r w:rsidRPr="007E289F">
        <w:t xml:space="preserve">hormonal contraception, she </w:t>
      </w:r>
      <w:r>
        <w:t>should</w:t>
      </w:r>
      <w:r w:rsidRPr="007E289F">
        <w:t xml:space="preserve"> do so </w:t>
      </w:r>
      <w:r w:rsidRPr="00BA56B4">
        <w:rPr>
          <w:lang w:val="en-US"/>
        </w:rPr>
        <w:t>no sooner than 5 days</w:t>
      </w:r>
      <w:r w:rsidRPr="004C2FFC">
        <w:rPr>
          <w:lang w:val="en-US"/>
        </w:rPr>
        <w:t xml:space="preserve"> after </w:t>
      </w:r>
      <w:r w:rsidRPr="00BA56B4">
        <w:rPr>
          <w:lang w:val="en-US"/>
        </w:rPr>
        <w:t>the intake of</w:t>
      </w:r>
      <w:r>
        <w:t xml:space="preserve"> </w:t>
      </w:r>
      <w:proofErr w:type="spellStart"/>
      <w:r>
        <w:t>E</w:t>
      </w:r>
      <w:r w:rsidRPr="0065508C">
        <w:t>llaOne</w:t>
      </w:r>
      <w:proofErr w:type="spellEnd"/>
      <w:r>
        <w:t>, provided that</w:t>
      </w:r>
      <w:r w:rsidRPr="00941077">
        <w:rPr>
          <w:lang w:val="en-US"/>
        </w:rPr>
        <w:t xml:space="preserve"> </w:t>
      </w:r>
      <w:r w:rsidRPr="007E289F">
        <w:t xml:space="preserve">she </w:t>
      </w:r>
      <w:r w:rsidRPr="0065508C">
        <w:t>use</w:t>
      </w:r>
      <w:r>
        <w:t>s</w:t>
      </w:r>
      <w:r w:rsidRPr="007E289F">
        <w:t xml:space="preserve"> a reliable barrier method until the next menstrual period.</w:t>
      </w:r>
    </w:p>
    <w:p w14:paraId="6E63A39F" w14:textId="77777777" w:rsidR="00755823" w:rsidRDefault="00755823">
      <w:r>
        <w:br w:type="page"/>
      </w:r>
    </w:p>
    <w:p w14:paraId="5BC849A1" w14:textId="77777777" w:rsidR="00FC6697" w:rsidRPr="00120FEB" w:rsidRDefault="00FC6697" w:rsidP="00FC6697">
      <w:pPr>
        <w:pStyle w:val="CTDtext"/>
        <w:spacing w:after="120" w:line="240" w:lineRule="auto"/>
        <w:rPr>
          <w:b/>
          <w:i/>
          <w:u w:val="single"/>
          <w:lang w:val="en-US"/>
        </w:rPr>
      </w:pPr>
      <w:r w:rsidRPr="00120FEB">
        <w:rPr>
          <w:b/>
          <w:i/>
          <w:u w:val="single"/>
          <w:lang w:val="en-US"/>
        </w:rPr>
        <w:lastRenderedPageBreak/>
        <w:t>Specific populations</w:t>
      </w:r>
    </w:p>
    <w:p w14:paraId="2DBD962F" w14:textId="77777777" w:rsidR="00FC6697" w:rsidRDefault="00FC6697" w:rsidP="00FC6697">
      <w:pPr>
        <w:pStyle w:val="CTDtext"/>
        <w:rPr>
          <w:lang w:val="en-US"/>
        </w:rPr>
      </w:pPr>
      <w:r w:rsidRPr="00120FEB">
        <w:rPr>
          <w:lang w:val="en-US"/>
        </w:rPr>
        <w:t xml:space="preserve">This medicine contains lactose.  Patients with rare hereditary problems of galactose intolerance, the Lapp lactase deficiency or glucose-galactose malabsorption, should not take this medicine.  </w:t>
      </w:r>
    </w:p>
    <w:p w14:paraId="2C2EB27B" w14:textId="77777777" w:rsidR="00FC6697" w:rsidRPr="00025246" w:rsidRDefault="00FC6697" w:rsidP="00FC6697">
      <w:pPr>
        <w:pStyle w:val="CTDtext"/>
        <w:spacing w:after="120" w:line="240" w:lineRule="auto"/>
        <w:rPr>
          <w:b/>
          <w:lang w:val="en-US"/>
        </w:rPr>
      </w:pPr>
      <w:r w:rsidRPr="00025246">
        <w:rPr>
          <w:b/>
          <w:lang w:val="en-US"/>
        </w:rPr>
        <w:t>Effects on fertility</w:t>
      </w:r>
    </w:p>
    <w:p w14:paraId="1681E616" w14:textId="77777777" w:rsidR="00FC6697" w:rsidRDefault="00FC6697" w:rsidP="00FC6697">
      <w:pPr>
        <w:pStyle w:val="CTDtext"/>
        <w:rPr>
          <w:lang w:val="en-US"/>
        </w:rPr>
      </w:pPr>
      <w:r w:rsidRPr="00C950F5">
        <w:rPr>
          <w:lang w:val="en-US"/>
        </w:rPr>
        <w:t xml:space="preserve">A rapid return of fertility is likely following treatment with </w:t>
      </w:r>
      <w:proofErr w:type="spellStart"/>
      <w:r>
        <w:rPr>
          <w:lang w:val="en-US"/>
        </w:rPr>
        <w:t>EllaOne</w:t>
      </w:r>
      <w:proofErr w:type="spellEnd"/>
      <w:r>
        <w:rPr>
          <w:lang w:val="en-US"/>
        </w:rPr>
        <w:t xml:space="preserve"> </w:t>
      </w:r>
      <w:r w:rsidRPr="00C950F5">
        <w:rPr>
          <w:lang w:val="en-US"/>
        </w:rPr>
        <w:t>for emergency contraception.  Women should be advised to use a reliable barrier method for all subsequent acts of intercourse until the next menstrual period.</w:t>
      </w:r>
      <w:r>
        <w:rPr>
          <w:lang w:val="en-US"/>
        </w:rPr>
        <w:t xml:space="preserve"> </w:t>
      </w:r>
    </w:p>
    <w:p w14:paraId="1064A5D3" w14:textId="77777777" w:rsidR="00FC6697" w:rsidRPr="00025246" w:rsidRDefault="00FC6697" w:rsidP="00FC6697">
      <w:pPr>
        <w:pStyle w:val="CTDtext"/>
        <w:spacing w:after="120" w:line="240" w:lineRule="auto"/>
        <w:rPr>
          <w:b/>
          <w:lang w:val="en-US"/>
        </w:rPr>
      </w:pPr>
      <w:r w:rsidRPr="00025246">
        <w:rPr>
          <w:b/>
          <w:lang w:val="en-US"/>
        </w:rPr>
        <w:t xml:space="preserve">Use in pregnancy </w:t>
      </w:r>
    </w:p>
    <w:p w14:paraId="003A3C3D" w14:textId="77777777" w:rsidR="00FC6697" w:rsidRPr="00CE7D64" w:rsidRDefault="00FC6697" w:rsidP="00FC6697">
      <w:pPr>
        <w:pStyle w:val="CTDtext"/>
        <w:rPr>
          <w:b/>
          <w:lang w:val="en-US"/>
        </w:rPr>
      </w:pPr>
      <w:r w:rsidRPr="00CE7D64">
        <w:rPr>
          <w:b/>
          <w:lang w:val="en-US"/>
        </w:rPr>
        <w:t xml:space="preserve">Pregnancy Category </w:t>
      </w:r>
      <w:r>
        <w:rPr>
          <w:b/>
          <w:lang w:val="en-US"/>
        </w:rPr>
        <w:t>D</w:t>
      </w:r>
    </w:p>
    <w:p w14:paraId="5525A68F" w14:textId="77777777" w:rsidR="00FC6697" w:rsidRPr="00C950F5" w:rsidRDefault="00FC6697" w:rsidP="00FC6697">
      <w:pPr>
        <w:pStyle w:val="CTDtext"/>
        <w:rPr>
          <w:lang w:val="en-US"/>
        </w:rPr>
      </w:pPr>
      <w:proofErr w:type="spellStart"/>
      <w:r>
        <w:rPr>
          <w:lang w:val="en-US"/>
        </w:rPr>
        <w:t>EllaOne</w:t>
      </w:r>
      <w:proofErr w:type="spellEnd"/>
      <w:r>
        <w:rPr>
          <w:lang w:val="en-US"/>
        </w:rPr>
        <w:t xml:space="preserve"> </w:t>
      </w:r>
      <w:r w:rsidRPr="00C950F5">
        <w:rPr>
          <w:lang w:val="en-US"/>
        </w:rPr>
        <w:t>should not be taken by any woman suspected or kno</w:t>
      </w:r>
      <w:r>
        <w:rPr>
          <w:lang w:val="en-US"/>
        </w:rPr>
        <w:t>wn to be pregnant</w:t>
      </w:r>
      <w:r w:rsidRPr="00C950F5">
        <w:rPr>
          <w:lang w:val="en-US"/>
        </w:rPr>
        <w:t>.</w:t>
      </w:r>
    </w:p>
    <w:p w14:paraId="207390D9" w14:textId="77777777" w:rsidR="00FC6697" w:rsidRPr="00F23F74" w:rsidRDefault="00FC6697" w:rsidP="00FC6697">
      <w:pPr>
        <w:autoSpaceDE w:val="0"/>
        <w:autoSpaceDN w:val="0"/>
        <w:adjustRightInd w:val="0"/>
        <w:spacing w:after="240" w:line="360" w:lineRule="auto"/>
        <w:jc w:val="both"/>
        <w:rPr>
          <w:szCs w:val="24"/>
          <w:lang w:val="en-US" w:eastAsia="en-US"/>
        </w:rPr>
      </w:pPr>
      <w:proofErr w:type="spellStart"/>
      <w:r w:rsidRPr="00F23F74">
        <w:rPr>
          <w:szCs w:val="24"/>
          <w:lang w:val="en-US" w:eastAsia="en-US"/>
        </w:rPr>
        <w:t>Ulipristal</w:t>
      </w:r>
      <w:proofErr w:type="spellEnd"/>
      <w:r w:rsidRPr="00F23F74">
        <w:rPr>
          <w:szCs w:val="24"/>
          <w:lang w:val="en-US" w:eastAsia="en-US"/>
        </w:rPr>
        <w:t xml:space="preserve"> acetate caused </w:t>
      </w:r>
      <w:proofErr w:type="spellStart"/>
      <w:r w:rsidRPr="00F23F74">
        <w:rPr>
          <w:szCs w:val="24"/>
          <w:lang w:val="en-US" w:eastAsia="en-US"/>
        </w:rPr>
        <w:t>embryofetal</w:t>
      </w:r>
      <w:proofErr w:type="spellEnd"/>
      <w:r w:rsidRPr="00F23F74">
        <w:rPr>
          <w:szCs w:val="24"/>
          <w:lang w:val="en-US" w:eastAsia="en-US"/>
        </w:rPr>
        <w:t xml:space="preserve"> lethality</w:t>
      </w:r>
      <w:r>
        <w:rPr>
          <w:lang w:val="en-US" w:eastAsia="en-US"/>
        </w:rPr>
        <w:t xml:space="preserve"> following repeated </w:t>
      </w:r>
      <w:r w:rsidRPr="00D80BD0">
        <w:rPr>
          <w:lang w:val="en-US" w:eastAsia="en-US"/>
        </w:rPr>
        <w:t xml:space="preserve">administration </w:t>
      </w:r>
      <w:r>
        <w:rPr>
          <w:lang w:val="en-US" w:eastAsia="en-US"/>
        </w:rPr>
        <w:t xml:space="preserve">in the period following implantation in rats, rabbits and monkeys at subclinical doses (based on body surface area), </w:t>
      </w:r>
      <w:r w:rsidRPr="00F23F74">
        <w:rPr>
          <w:szCs w:val="24"/>
          <w:lang w:val="en-US" w:eastAsia="en-US"/>
        </w:rPr>
        <w:t xml:space="preserve">occurring in the absence of </w:t>
      </w:r>
      <w:proofErr w:type="spellStart"/>
      <w:r w:rsidRPr="00F23F74">
        <w:rPr>
          <w:szCs w:val="24"/>
          <w:lang w:val="en-US" w:eastAsia="en-US"/>
        </w:rPr>
        <w:t>maternotoxicity</w:t>
      </w:r>
      <w:proofErr w:type="spellEnd"/>
      <w:r w:rsidRPr="00F23F74">
        <w:rPr>
          <w:szCs w:val="24"/>
          <w:lang w:val="en-US" w:eastAsia="en-US"/>
        </w:rPr>
        <w:t>.</w:t>
      </w:r>
      <w:r>
        <w:rPr>
          <w:szCs w:val="24"/>
          <w:lang w:val="en-US" w:eastAsia="en-US"/>
        </w:rPr>
        <w:t xml:space="preserve"> </w:t>
      </w:r>
      <w:r w:rsidRPr="00F23F74">
        <w:rPr>
          <w:szCs w:val="24"/>
          <w:lang w:val="en-US" w:eastAsia="en-US"/>
        </w:rPr>
        <w:t xml:space="preserve"> </w:t>
      </w:r>
      <w:r w:rsidRPr="00F23F74">
        <w:rPr>
          <w:i/>
          <w:iCs/>
          <w:szCs w:val="24"/>
          <w:lang w:val="en-US" w:eastAsia="en-US"/>
        </w:rPr>
        <w:t xml:space="preserve">In utero </w:t>
      </w:r>
      <w:r w:rsidRPr="00F23F74">
        <w:rPr>
          <w:szCs w:val="24"/>
          <w:lang w:val="en-US" w:eastAsia="en-US"/>
        </w:rPr>
        <w:t xml:space="preserve">exposure to </w:t>
      </w:r>
      <w:proofErr w:type="spellStart"/>
      <w:r w:rsidRPr="00F23F74">
        <w:rPr>
          <w:szCs w:val="24"/>
          <w:lang w:val="en-US" w:eastAsia="en-US"/>
        </w:rPr>
        <w:t>ulipristal</w:t>
      </w:r>
      <w:proofErr w:type="spellEnd"/>
      <w:r w:rsidRPr="00F23F74">
        <w:rPr>
          <w:szCs w:val="24"/>
          <w:lang w:val="en-US" w:eastAsia="en-US"/>
        </w:rPr>
        <w:t xml:space="preserve"> acetate during gestation did not lead to increases in fetal malformations, skeletal anomalies or other developmental toxicity in surviving fetuses, including the fertility of surviving offspring. </w:t>
      </w:r>
      <w:r>
        <w:rPr>
          <w:szCs w:val="24"/>
          <w:lang w:val="en-US" w:eastAsia="en-US"/>
        </w:rPr>
        <w:t xml:space="preserve"> </w:t>
      </w:r>
      <w:r w:rsidRPr="00F23F74">
        <w:rPr>
          <w:lang w:val="en-US" w:eastAsia="en-US"/>
        </w:rPr>
        <w:t>The clinical relevance of these findings is uncertain.</w:t>
      </w:r>
    </w:p>
    <w:p w14:paraId="0C888EFB" w14:textId="77777777" w:rsidR="00FC6697" w:rsidRPr="00CE7D64" w:rsidRDefault="00FC6697" w:rsidP="00FC6697">
      <w:pPr>
        <w:autoSpaceDE w:val="0"/>
        <w:autoSpaceDN w:val="0"/>
        <w:adjustRightInd w:val="0"/>
        <w:spacing w:after="240" w:line="360" w:lineRule="auto"/>
        <w:jc w:val="both"/>
        <w:rPr>
          <w:lang w:val="en-US"/>
        </w:rPr>
      </w:pPr>
      <w:r w:rsidRPr="00CE7D64">
        <w:rPr>
          <w:lang w:val="en-US"/>
        </w:rPr>
        <w:t xml:space="preserve">Available human data regarding </w:t>
      </w:r>
      <w:r w:rsidRPr="00F643B8">
        <w:rPr>
          <w:lang w:val="en-US"/>
        </w:rPr>
        <w:t xml:space="preserve">pregnancy exposure to </w:t>
      </w:r>
      <w:proofErr w:type="spellStart"/>
      <w:r>
        <w:rPr>
          <w:lang w:val="en-US"/>
        </w:rPr>
        <w:t>E</w:t>
      </w:r>
      <w:r w:rsidRPr="00CE7D64">
        <w:rPr>
          <w:lang w:val="en-US"/>
        </w:rPr>
        <w:t>llaOne</w:t>
      </w:r>
      <w:proofErr w:type="spellEnd"/>
      <w:r w:rsidRPr="00CE7D64">
        <w:rPr>
          <w:lang w:val="en-US"/>
        </w:rPr>
        <w:t xml:space="preserve"> do not suggest any safety concern</w:t>
      </w:r>
      <w:r>
        <w:rPr>
          <w:lang w:val="en-US"/>
        </w:rPr>
        <w:t xml:space="preserve"> with use during early pregnancy.</w:t>
      </w:r>
    </w:p>
    <w:p w14:paraId="6DE1E4DC" w14:textId="77777777" w:rsidR="00FC6697" w:rsidRPr="00025246" w:rsidRDefault="00FC6697" w:rsidP="00FC6697">
      <w:pPr>
        <w:pStyle w:val="CTDtext"/>
        <w:spacing w:after="120" w:line="240" w:lineRule="auto"/>
        <w:rPr>
          <w:b/>
          <w:lang w:val="en-US"/>
        </w:rPr>
      </w:pPr>
      <w:r w:rsidRPr="00025246">
        <w:rPr>
          <w:b/>
          <w:lang w:val="en-US"/>
        </w:rPr>
        <w:t xml:space="preserve">Use in lactation </w:t>
      </w:r>
    </w:p>
    <w:p w14:paraId="0E15B62C" w14:textId="2AFAA355" w:rsidR="00755823" w:rsidRDefault="00FC6697" w:rsidP="00FC6697">
      <w:pPr>
        <w:pStyle w:val="CTDtext"/>
        <w:rPr>
          <w:lang w:val="en-US"/>
        </w:rPr>
      </w:pPr>
      <w:proofErr w:type="spellStart"/>
      <w:r w:rsidRPr="007A46DA">
        <w:rPr>
          <w:lang w:val="en-US"/>
        </w:rPr>
        <w:t>Ulipristal</w:t>
      </w:r>
      <w:proofErr w:type="spellEnd"/>
      <w:r w:rsidRPr="007A46DA">
        <w:rPr>
          <w:lang w:val="en-US"/>
        </w:rPr>
        <w:t xml:space="preserve"> acetate is excreted in breast milk. </w:t>
      </w:r>
      <w:r>
        <w:rPr>
          <w:lang w:val="en-US"/>
        </w:rPr>
        <w:t xml:space="preserve"> </w:t>
      </w:r>
      <w:r w:rsidRPr="007A46DA">
        <w:rPr>
          <w:lang w:val="en-US"/>
        </w:rPr>
        <w:t xml:space="preserve">The effect on newborn/infants has not been studied. </w:t>
      </w:r>
      <w:r>
        <w:rPr>
          <w:lang w:val="en-US"/>
        </w:rPr>
        <w:t xml:space="preserve"> </w:t>
      </w:r>
      <w:r w:rsidRPr="007A46DA">
        <w:rPr>
          <w:lang w:val="en-US"/>
        </w:rPr>
        <w:t xml:space="preserve">A risk to the breastfed child cannot be excluded. </w:t>
      </w:r>
      <w:r>
        <w:rPr>
          <w:lang w:val="en-US"/>
        </w:rPr>
        <w:t xml:space="preserve"> </w:t>
      </w:r>
      <w:r w:rsidRPr="007A46DA">
        <w:rPr>
          <w:lang w:val="en-US"/>
        </w:rPr>
        <w:t xml:space="preserve">After intake of </w:t>
      </w:r>
      <w:proofErr w:type="spellStart"/>
      <w:r>
        <w:rPr>
          <w:lang w:val="en-US"/>
        </w:rPr>
        <w:t>EllaOne</w:t>
      </w:r>
      <w:proofErr w:type="spellEnd"/>
      <w:r w:rsidRPr="007A46DA">
        <w:rPr>
          <w:lang w:val="en-US"/>
        </w:rPr>
        <w:t xml:space="preserve">, breastfeeding is not recommended for one week. </w:t>
      </w:r>
      <w:r>
        <w:rPr>
          <w:lang w:val="en-US"/>
        </w:rPr>
        <w:t xml:space="preserve"> </w:t>
      </w:r>
      <w:r w:rsidRPr="007A46DA">
        <w:rPr>
          <w:lang w:val="en-US"/>
        </w:rPr>
        <w:t>During this time it is recommended to express and discard the breast milk in order to stimulate lactation.</w:t>
      </w:r>
    </w:p>
    <w:p w14:paraId="6C58C15A" w14:textId="77777777" w:rsidR="00755823" w:rsidRDefault="00755823">
      <w:pPr>
        <w:rPr>
          <w:lang w:val="en-US"/>
        </w:rPr>
      </w:pPr>
      <w:r>
        <w:rPr>
          <w:lang w:val="en-US"/>
        </w:rPr>
        <w:br w:type="page"/>
      </w:r>
    </w:p>
    <w:p w14:paraId="71FA7F30" w14:textId="77777777" w:rsidR="00FC6697" w:rsidRPr="00025246" w:rsidRDefault="00FC6697" w:rsidP="00FC6697">
      <w:pPr>
        <w:pStyle w:val="CTDtext"/>
        <w:spacing w:after="120" w:line="240" w:lineRule="auto"/>
        <w:rPr>
          <w:b/>
          <w:lang w:val="en-US"/>
        </w:rPr>
      </w:pPr>
      <w:proofErr w:type="spellStart"/>
      <w:r w:rsidRPr="00025246">
        <w:rPr>
          <w:b/>
          <w:lang w:val="en-US"/>
        </w:rPr>
        <w:lastRenderedPageBreak/>
        <w:t>Paediatric</w:t>
      </w:r>
      <w:proofErr w:type="spellEnd"/>
      <w:r w:rsidRPr="00025246">
        <w:rPr>
          <w:b/>
          <w:lang w:val="en-US"/>
        </w:rPr>
        <w:t xml:space="preserve"> use</w:t>
      </w:r>
    </w:p>
    <w:p w14:paraId="31EE4009" w14:textId="77777777" w:rsidR="00FC6697" w:rsidRDefault="00FC6697" w:rsidP="00FC6697">
      <w:pPr>
        <w:pStyle w:val="CTDtext"/>
        <w:rPr>
          <w:lang w:val="en-US"/>
        </w:rPr>
      </w:pPr>
      <w:r>
        <w:rPr>
          <w:lang w:val="en-US"/>
        </w:rPr>
        <w:t>Post-pubertal adolescents</w:t>
      </w:r>
      <w:r w:rsidRPr="00A912D5">
        <w:rPr>
          <w:lang w:val="en-US"/>
        </w:rPr>
        <w:t>: No differences in safety or efficacy have been shown compared to adult women age</w:t>
      </w:r>
      <w:r>
        <w:rPr>
          <w:lang w:val="en-US"/>
        </w:rPr>
        <w:t>d 18 and older</w:t>
      </w:r>
      <w:r w:rsidRPr="00A912D5">
        <w:rPr>
          <w:lang w:val="en-US"/>
        </w:rPr>
        <w:t xml:space="preserve">. </w:t>
      </w:r>
    </w:p>
    <w:p w14:paraId="1C1B6CD1" w14:textId="77777777" w:rsidR="00FC6697" w:rsidRPr="00025246" w:rsidRDefault="00FC6697" w:rsidP="00FC6697">
      <w:pPr>
        <w:pStyle w:val="CTDtext"/>
        <w:spacing w:after="120" w:line="240" w:lineRule="auto"/>
        <w:rPr>
          <w:b/>
          <w:lang w:val="en-US"/>
        </w:rPr>
      </w:pPr>
      <w:proofErr w:type="spellStart"/>
      <w:r w:rsidRPr="00025246">
        <w:rPr>
          <w:b/>
          <w:lang w:val="en-US"/>
        </w:rPr>
        <w:t>Genotoxicity</w:t>
      </w:r>
      <w:proofErr w:type="spellEnd"/>
    </w:p>
    <w:p w14:paraId="632A55B5" w14:textId="77777777" w:rsidR="00FC6697" w:rsidRPr="007E289F" w:rsidRDefault="00FC6697" w:rsidP="00FC6697">
      <w:pPr>
        <w:pStyle w:val="CTDtext"/>
      </w:pPr>
      <w:r w:rsidRPr="00CE7D64">
        <w:rPr>
          <w:i/>
          <w:noProof/>
        </w:rPr>
        <w:t>In vitro</w:t>
      </w:r>
      <w:r>
        <w:rPr>
          <w:noProof/>
        </w:rPr>
        <w:t xml:space="preserve"> tests for mutagenicity in bacterial and mammalian cells and for chromosomal damage </w:t>
      </w:r>
      <w:r w:rsidRPr="00CE7D64">
        <w:rPr>
          <w:i/>
          <w:noProof/>
        </w:rPr>
        <w:t>in vitro</w:t>
      </w:r>
      <w:r>
        <w:rPr>
          <w:noProof/>
        </w:rPr>
        <w:t xml:space="preserve"> and </w:t>
      </w:r>
      <w:r w:rsidRPr="00CE7D64">
        <w:rPr>
          <w:i/>
          <w:noProof/>
        </w:rPr>
        <w:t>in vivo</w:t>
      </w:r>
      <w:r>
        <w:rPr>
          <w:noProof/>
        </w:rPr>
        <w:t xml:space="preserve"> (mouse micronucleus test) revealed no genotoxic activity for</w:t>
      </w:r>
      <w:r w:rsidRPr="007E289F">
        <w:t xml:space="preserve"> </w:t>
      </w:r>
      <w:proofErr w:type="spellStart"/>
      <w:r w:rsidRPr="007E289F">
        <w:t>ulipristal</w:t>
      </w:r>
      <w:proofErr w:type="spellEnd"/>
      <w:r w:rsidRPr="007E289F">
        <w:t xml:space="preserve"> acetate.</w:t>
      </w:r>
    </w:p>
    <w:p w14:paraId="6FAE0A1D" w14:textId="77777777" w:rsidR="00FC6697" w:rsidRPr="00025246" w:rsidRDefault="00FC6697" w:rsidP="00FC6697">
      <w:pPr>
        <w:pStyle w:val="CTDtext"/>
        <w:spacing w:after="120" w:line="240" w:lineRule="auto"/>
        <w:rPr>
          <w:b/>
          <w:lang w:val="en-US"/>
        </w:rPr>
      </w:pPr>
      <w:r w:rsidRPr="00025246">
        <w:rPr>
          <w:b/>
          <w:lang w:val="en-US"/>
        </w:rPr>
        <w:t>Carcinogenicity</w:t>
      </w:r>
    </w:p>
    <w:p w14:paraId="02C6E191" w14:textId="77777777" w:rsidR="00FC6697" w:rsidRPr="00C63324" w:rsidRDefault="00FC6697" w:rsidP="00FC6697">
      <w:pPr>
        <w:spacing w:after="240" w:line="360" w:lineRule="auto"/>
        <w:jc w:val="both"/>
        <w:outlineLvl w:val="0"/>
        <w:rPr>
          <w:szCs w:val="24"/>
        </w:rPr>
      </w:pPr>
      <w:r>
        <w:rPr>
          <w:szCs w:val="24"/>
        </w:rPr>
        <w:t>Oral c</w:t>
      </w:r>
      <w:r w:rsidRPr="00C63324">
        <w:rPr>
          <w:szCs w:val="24"/>
        </w:rPr>
        <w:t xml:space="preserve">arcinogenicity studies </w:t>
      </w:r>
      <w:r>
        <w:rPr>
          <w:szCs w:val="24"/>
        </w:rPr>
        <w:t xml:space="preserve">were performed with </w:t>
      </w:r>
      <w:proofErr w:type="spellStart"/>
      <w:r>
        <w:rPr>
          <w:szCs w:val="24"/>
        </w:rPr>
        <w:t>ulipristal</w:t>
      </w:r>
      <w:proofErr w:type="spellEnd"/>
      <w:r>
        <w:rPr>
          <w:szCs w:val="24"/>
        </w:rPr>
        <w:t xml:space="preserve"> acetate in rats (2 years duration) and transgenic mice (6 months).  No carcinogenic effect was observed with treatment at up to 10 mg/kg/day in rats (yielding 26-times the plasma AUC in patients after a 30 mg dose) or up to 130 mg/kg/day in mice (122-times the clinical AUC).</w:t>
      </w:r>
    </w:p>
    <w:p w14:paraId="22C821DD" w14:textId="77777777" w:rsidR="00FC6697" w:rsidRPr="00025246" w:rsidRDefault="00FC6697" w:rsidP="00FC6697">
      <w:pPr>
        <w:pStyle w:val="CTDtext"/>
        <w:spacing w:after="120" w:line="240" w:lineRule="auto"/>
        <w:rPr>
          <w:b/>
          <w:lang w:val="en-US"/>
        </w:rPr>
      </w:pPr>
      <w:r w:rsidRPr="00025246">
        <w:rPr>
          <w:b/>
          <w:lang w:val="en-US"/>
        </w:rPr>
        <w:t>Effect on laboratory tests</w:t>
      </w:r>
    </w:p>
    <w:p w14:paraId="72C7D8E0" w14:textId="77777777" w:rsidR="00FC6697" w:rsidRDefault="00FC6697" w:rsidP="00FC6697">
      <w:pPr>
        <w:pStyle w:val="CTDtext"/>
        <w:rPr>
          <w:lang w:val="en-US"/>
        </w:rPr>
      </w:pPr>
      <w:r>
        <w:rPr>
          <w:lang w:val="en-US"/>
        </w:rPr>
        <w:t>No laboratory test interactions were observed during clinical evaluations.</w:t>
      </w:r>
    </w:p>
    <w:p w14:paraId="356D2A84" w14:textId="77777777" w:rsidR="00FC6697" w:rsidRDefault="00FC6697" w:rsidP="00FC6697">
      <w:pPr>
        <w:pStyle w:val="TitleA"/>
        <w:spacing w:after="120"/>
        <w:jc w:val="left"/>
        <w:rPr>
          <w:caps/>
          <w:szCs w:val="24"/>
        </w:rPr>
      </w:pPr>
      <w:r w:rsidRPr="003703C4">
        <w:rPr>
          <w:caps/>
          <w:szCs w:val="24"/>
        </w:rPr>
        <w:t>INTERACTIONS WITH OTHER MEDICINES</w:t>
      </w:r>
    </w:p>
    <w:p w14:paraId="3804E54B" w14:textId="77777777" w:rsidR="00FC6697" w:rsidRPr="009726D5" w:rsidRDefault="00FC6697" w:rsidP="00FC6697">
      <w:pPr>
        <w:pStyle w:val="CTDtext"/>
        <w:numPr>
          <w:ilvl w:val="0"/>
          <w:numId w:val="30"/>
        </w:numPr>
        <w:spacing w:after="0"/>
        <w:ind w:left="714" w:hanging="357"/>
        <w:rPr>
          <w:i/>
          <w:noProof/>
          <w:u w:val="single"/>
        </w:rPr>
      </w:pPr>
      <w:r w:rsidRPr="00C63324">
        <w:rPr>
          <w:i/>
          <w:noProof/>
          <w:u w:val="single"/>
        </w:rPr>
        <w:t>Potential for oth</w:t>
      </w:r>
      <w:r w:rsidRPr="009726D5">
        <w:rPr>
          <w:i/>
          <w:noProof/>
          <w:u w:val="single"/>
        </w:rPr>
        <w:t>er medicines to affect ulipristal acetate:</w:t>
      </w:r>
    </w:p>
    <w:p w14:paraId="2EDD31D5" w14:textId="77777777" w:rsidR="00FC6697" w:rsidRPr="007E289F" w:rsidRDefault="00FC6697" w:rsidP="00FC6697">
      <w:pPr>
        <w:pStyle w:val="Date"/>
        <w:spacing w:after="240" w:line="360" w:lineRule="auto"/>
        <w:ind w:left="357"/>
        <w:rPr>
          <w:i/>
          <w:lang w:val="en-US"/>
        </w:rPr>
      </w:pPr>
      <w:r w:rsidRPr="007E289F">
        <w:rPr>
          <w:i/>
          <w:lang w:val="en-US"/>
        </w:rPr>
        <w:t>Hormonal contraceptives</w:t>
      </w:r>
    </w:p>
    <w:p w14:paraId="76CD8C12" w14:textId="77777777" w:rsidR="00FC6697" w:rsidRDefault="00FC6697" w:rsidP="00FC6697">
      <w:pPr>
        <w:pStyle w:val="Date"/>
        <w:spacing w:after="240" w:line="360" w:lineRule="auto"/>
        <w:ind w:left="357"/>
        <w:jc w:val="both"/>
        <w:rPr>
          <w:bCs/>
          <w:iCs/>
          <w:lang w:val="en-US"/>
        </w:rPr>
      </w:pPr>
      <w:proofErr w:type="spellStart"/>
      <w:r w:rsidRPr="00141012">
        <w:rPr>
          <w:bCs/>
          <w:iCs/>
          <w:lang w:val="en-US"/>
        </w:rPr>
        <w:t>Pharmacodynamic</w:t>
      </w:r>
      <w:proofErr w:type="spellEnd"/>
      <w:r w:rsidRPr="00141012">
        <w:rPr>
          <w:bCs/>
          <w:iCs/>
          <w:lang w:val="en-US"/>
        </w:rPr>
        <w:t xml:space="preserve"> data show that progestin-containing contraceptives may </w:t>
      </w:r>
      <w:r>
        <w:rPr>
          <w:bCs/>
          <w:iCs/>
          <w:lang w:val="en-US"/>
        </w:rPr>
        <w:t>impair</w:t>
      </w:r>
      <w:r w:rsidRPr="00141012">
        <w:rPr>
          <w:bCs/>
          <w:iCs/>
          <w:lang w:val="en-US"/>
        </w:rPr>
        <w:t xml:space="preserve"> the ability of </w:t>
      </w:r>
      <w:proofErr w:type="spellStart"/>
      <w:r>
        <w:rPr>
          <w:bCs/>
          <w:iCs/>
          <w:lang w:val="en-US"/>
        </w:rPr>
        <w:t>EllaOne</w:t>
      </w:r>
      <w:proofErr w:type="spellEnd"/>
      <w:r>
        <w:rPr>
          <w:bCs/>
          <w:iCs/>
          <w:lang w:val="en-US"/>
        </w:rPr>
        <w:t xml:space="preserve"> </w:t>
      </w:r>
      <w:r w:rsidRPr="00141012">
        <w:rPr>
          <w:bCs/>
          <w:iCs/>
          <w:lang w:val="en-US"/>
        </w:rPr>
        <w:t xml:space="preserve">to delay ovulation. </w:t>
      </w:r>
      <w:r>
        <w:rPr>
          <w:bCs/>
          <w:iCs/>
          <w:lang w:val="en-US"/>
        </w:rPr>
        <w:t xml:space="preserve"> T</w:t>
      </w:r>
      <w:r w:rsidRPr="00821B1D">
        <w:rPr>
          <w:bCs/>
          <w:iCs/>
          <w:lang w:val="en-US"/>
        </w:rPr>
        <w:t xml:space="preserve">he initiation of a </w:t>
      </w:r>
      <w:proofErr w:type="spellStart"/>
      <w:r>
        <w:rPr>
          <w:bCs/>
          <w:iCs/>
          <w:lang w:val="en-US"/>
        </w:rPr>
        <w:t>desogestrel</w:t>
      </w:r>
      <w:proofErr w:type="spellEnd"/>
      <w:r>
        <w:rPr>
          <w:bCs/>
          <w:iCs/>
          <w:lang w:val="en-US"/>
        </w:rPr>
        <w:t xml:space="preserve">-only </w:t>
      </w:r>
      <w:r w:rsidRPr="00821B1D">
        <w:rPr>
          <w:bCs/>
          <w:iCs/>
          <w:lang w:val="en-US"/>
        </w:rPr>
        <w:t xml:space="preserve">pill the day after </w:t>
      </w:r>
      <w:proofErr w:type="spellStart"/>
      <w:r>
        <w:rPr>
          <w:bCs/>
          <w:iCs/>
          <w:lang w:val="en-US"/>
        </w:rPr>
        <w:t>EllaOne</w:t>
      </w:r>
      <w:proofErr w:type="spellEnd"/>
      <w:r>
        <w:rPr>
          <w:bCs/>
          <w:iCs/>
          <w:lang w:val="en-US"/>
        </w:rPr>
        <w:t xml:space="preserve"> </w:t>
      </w:r>
      <w:r w:rsidRPr="00821B1D">
        <w:rPr>
          <w:bCs/>
          <w:iCs/>
          <w:lang w:val="en-US"/>
        </w:rPr>
        <w:t xml:space="preserve">intake </w:t>
      </w:r>
      <w:r>
        <w:rPr>
          <w:bCs/>
          <w:iCs/>
          <w:lang w:val="en-US"/>
        </w:rPr>
        <w:t xml:space="preserve">during the follicular phase </w:t>
      </w:r>
      <w:r w:rsidRPr="00821B1D">
        <w:rPr>
          <w:bCs/>
          <w:iCs/>
          <w:lang w:val="en-US"/>
        </w:rPr>
        <w:t xml:space="preserve">was associated with a higher incidence of ovulation in the five days </w:t>
      </w:r>
      <w:r>
        <w:rPr>
          <w:bCs/>
          <w:iCs/>
          <w:lang w:val="en-US"/>
        </w:rPr>
        <w:t xml:space="preserve">following </w:t>
      </w:r>
      <w:proofErr w:type="spellStart"/>
      <w:r>
        <w:rPr>
          <w:bCs/>
          <w:iCs/>
          <w:lang w:val="en-US"/>
        </w:rPr>
        <w:t>EllaOne</w:t>
      </w:r>
      <w:proofErr w:type="spellEnd"/>
      <w:r>
        <w:rPr>
          <w:bCs/>
          <w:iCs/>
          <w:lang w:val="en-US"/>
        </w:rPr>
        <w:t xml:space="preserve"> intake.  </w:t>
      </w:r>
      <w:r w:rsidRPr="00141012">
        <w:rPr>
          <w:bCs/>
          <w:iCs/>
          <w:lang w:val="en-US"/>
        </w:rPr>
        <w:t>Therefore, if a woman wishes to initiate or</w:t>
      </w:r>
      <w:r w:rsidRPr="00F469A8">
        <w:rPr>
          <w:bCs/>
          <w:iCs/>
          <w:lang w:val="en-US"/>
        </w:rPr>
        <w:t xml:space="preserve"> </w:t>
      </w:r>
      <w:r w:rsidRPr="00141012">
        <w:rPr>
          <w:bCs/>
          <w:iCs/>
          <w:lang w:val="en-US"/>
        </w:rPr>
        <w:t xml:space="preserve">resume regular </w:t>
      </w:r>
      <w:r>
        <w:rPr>
          <w:bCs/>
          <w:iCs/>
          <w:lang w:val="en-US"/>
        </w:rPr>
        <w:t xml:space="preserve">hormonal </w:t>
      </w:r>
      <w:r w:rsidRPr="00141012">
        <w:rPr>
          <w:bCs/>
          <w:iCs/>
          <w:lang w:val="en-US"/>
        </w:rPr>
        <w:t>contracepti</w:t>
      </w:r>
      <w:r>
        <w:rPr>
          <w:bCs/>
          <w:iCs/>
          <w:lang w:val="en-US"/>
        </w:rPr>
        <w:t>on</w:t>
      </w:r>
      <w:r w:rsidRPr="00141012">
        <w:rPr>
          <w:bCs/>
          <w:iCs/>
          <w:lang w:val="en-US"/>
        </w:rPr>
        <w:t xml:space="preserve">, she </w:t>
      </w:r>
      <w:r>
        <w:rPr>
          <w:bCs/>
          <w:iCs/>
          <w:lang w:val="en-US"/>
        </w:rPr>
        <w:t>should</w:t>
      </w:r>
      <w:r w:rsidRPr="00141012">
        <w:rPr>
          <w:bCs/>
          <w:iCs/>
          <w:lang w:val="en-US"/>
        </w:rPr>
        <w:t xml:space="preserve"> do so </w:t>
      </w:r>
      <w:r w:rsidRPr="00141012">
        <w:rPr>
          <w:lang w:val="en-US"/>
        </w:rPr>
        <w:t xml:space="preserve">no sooner than 5 days after the intake of </w:t>
      </w:r>
      <w:proofErr w:type="spellStart"/>
      <w:r>
        <w:rPr>
          <w:lang w:val="en-US"/>
        </w:rPr>
        <w:t>E</w:t>
      </w:r>
      <w:r w:rsidRPr="00141012">
        <w:rPr>
          <w:lang w:val="en-US"/>
        </w:rPr>
        <w:t>llaOne</w:t>
      </w:r>
      <w:proofErr w:type="spellEnd"/>
      <w:r>
        <w:rPr>
          <w:lang w:val="en-US"/>
        </w:rPr>
        <w:t>,</w:t>
      </w:r>
      <w:r w:rsidRPr="00141012">
        <w:rPr>
          <w:lang w:val="en-US"/>
        </w:rPr>
        <w:t xml:space="preserve"> provided that she uses a reliable barrier method until the next menstrual period</w:t>
      </w:r>
      <w:r w:rsidRPr="00141012">
        <w:rPr>
          <w:bCs/>
          <w:iCs/>
          <w:lang w:val="en-US"/>
        </w:rPr>
        <w:t>.</w:t>
      </w:r>
    </w:p>
    <w:p w14:paraId="46838A9F" w14:textId="77777777" w:rsidR="00FC6697" w:rsidRDefault="00FC6697" w:rsidP="00FC6697">
      <w:pPr>
        <w:pStyle w:val="Date"/>
        <w:spacing w:after="240" w:line="360" w:lineRule="auto"/>
        <w:ind w:left="357"/>
        <w:jc w:val="both"/>
        <w:rPr>
          <w:bCs/>
          <w:iCs/>
          <w:lang w:val="en-US"/>
        </w:rPr>
      </w:pPr>
      <w:r w:rsidRPr="00141012">
        <w:rPr>
          <w:bCs/>
          <w:iCs/>
          <w:lang w:val="en-US"/>
        </w:rPr>
        <w:t xml:space="preserve">Concomitant use of </w:t>
      </w:r>
      <w:proofErr w:type="spellStart"/>
      <w:r w:rsidRPr="00141012">
        <w:rPr>
          <w:bCs/>
          <w:iCs/>
          <w:lang w:val="en-US"/>
        </w:rPr>
        <w:t>ulipristal</w:t>
      </w:r>
      <w:proofErr w:type="spellEnd"/>
      <w:r w:rsidRPr="00141012">
        <w:rPr>
          <w:bCs/>
          <w:iCs/>
          <w:lang w:val="en-US"/>
        </w:rPr>
        <w:t xml:space="preserve"> acetate emergency contraception and </w:t>
      </w:r>
      <w:proofErr w:type="spellStart"/>
      <w:r w:rsidRPr="00141012">
        <w:rPr>
          <w:bCs/>
          <w:iCs/>
          <w:lang w:val="en-US"/>
        </w:rPr>
        <w:t>levonorgestrel</w:t>
      </w:r>
      <w:proofErr w:type="spellEnd"/>
      <w:r w:rsidRPr="00141012">
        <w:rPr>
          <w:bCs/>
          <w:iCs/>
          <w:lang w:val="en-US"/>
        </w:rPr>
        <w:t xml:space="preserve"> emergency contraception is not recommended.</w:t>
      </w:r>
    </w:p>
    <w:p w14:paraId="58232611" w14:textId="77777777" w:rsidR="00FC6697" w:rsidRPr="00794C9C" w:rsidRDefault="00FC6697" w:rsidP="00FC6697">
      <w:pPr>
        <w:pStyle w:val="Date"/>
        <w:spacing w:after="240"/>
        <w:ind w:left="360"/>
      </w:pPr>
      <w:r w:rsidRPr="00141012">
        <w:rPr>
          <w:i/>
          <w:szCs w:val="22"/>
          <w:lang w:val="en-US"/>
        </w:rPr>
        <w:lastRenderedPageBreak/>
        <w:t>CYP3A4 inducers and inhibitors</w:t>
      </w:r>
    </w:p>
    <w:p w14:paraId="57783A28" w14:textId="77777777" w:rsidR="00FC6697" w:rsidRPr="009726D5" w:rsidRDefault="00FC6697" w:rsidP="00FC6697">
      <w:pPr>
        <w:spacing w:after="240" w:line="360" w:lineRule="auto"/>
        <w:ind w:left="360"/>
        <w:outlineLvl w:val="0"/>
        <w:rPr>
          <w:b/>
          <w:lang w:val="en-US"/>
        </w:rPr>
      </w:pPr>
      <w:proofErr w:type="spellStart"/>
      <w:r w:rsidRPr="009726D5">
        <w:rPr>
          <w:b/>
          <w:lang w:val="en-US"/>
        </w:rPr>
        <w:t>Ulipristal</w:t>
      </w:r>
      <w:proofErr w:type="spellEnd"/>
      <w:r w:rsidRPr="009726D5">
        <w:rPr>
          <w:b/>
          <w:lang w:val="en-US"/>
        </w:rPr>
        <w:t xml:space="preserve"> acetate is </w:t>
      </w:r>
      <w:proofErr w:type="spellStart"/>
      <w:r w:rsidRPr="009726D5">
        <w:rPr>
          <w:b/>
          <w:lang w:val="en-US"/>
        </w:rPr>
        <w:t>metabolised</w:t>
      </w:r>
      <w:proofErr w:type="spellEnd"/>
      <w:r w:rsidRPr="009726D5">
        <w:rPr>
          <w:b/>
          <w:lang w:val="en-US"/>
        </w:rPr>
        <w:t xml:space="preserve"> by CYP3A4 </w:t>
      </w:r>
      <w:r w:rsidRPr="009726D5">
        <w:rPr>
          <w:b/>
          <w:i/>
          <w:lang w:val="en-US"/>
        </w:rPr>
        <w:t>in vitro</w:t>
      </w:r>
      <w:r w:rsidRPr="009726D5">
        <w:rPr>
          <w:b/>
          <w:lang w:val="en-US"/>
        </w:rPr>
        <w:t xml:space="preserve"> </w:t>
      </w:r>
    </w:p>
    <w:p w14:paraId="3A5C0485" w14:textId="77777777" w:rsidR="00FC6697" w:rsidRPr="009726D5" w:rsidRDefault="00FC6697" w:rsidP="00FC6697">
      <w:pPr>
        <w:pStyle w:val="CTDtext"/>
        <w:spacing w:line="240" w:lineRule="auto"/>
        <w:ind w:left="1134"/>
        <w:rPr>
          <w:lang w:val="en-US"/>
        </w:rPr>
      </w:pPr>
      <w:r w:rsidRPr="009726D5">
        <w:rPr>
          <w:lang w:val="en-US"/>
        </w:rPr>
        <w:t>-</w:t>
      </w:r>
      <w:r w:rsidRPr="009726D5">
        <w:rPr>
          <w:lang w:val="en-US"/>
        </w:rPr>
        <w:tab/>
      </w:r>
      <w:r w:rsidRPr="009726D5">
        <w:rPr>
          <w:i/>
          <w:lang w:val="en-US"/>
        </w:rPr>
        <w:t>CYP3A4 inducers</w:t>
      </w:r>
    </w:p>
    <w:p w14:paraId="7726430C" w14:textId="77777777" w:rsidR="00FC6697" w:rsidRPr="00C6158A" w:rsidRDefault="00FC6697" w:rsidP="00FC6697">
      <w:pPr>
        <w:pStyle w:val="CTDtext"/>
        <w:ind w:left="540"/>
        <w:rPr>
          <w:lang w:val="en-US"/>
        </w:rPr>
      </w:pPr>
      <w:r w:rsidRPr="009726D5">
        <w:rPr>
          <w:i/>
          <w:lang w:val="en-US"/>
        </w:rPr>
        <w:t>In vivo</w:t>
      </w:r>
      <w:r w:rsidRPr="009726D5">
        <w:rPr>
          <w:lang w:val="en-US"/>
        </w:rPr>
        <w:t xml:space="preserve"> results show that the administratio</w:t>
      </w:r>
      <w:r w:rsidRPr="00C6158A">
        <w:rPr>
          <w:lang w:val="en-US"/>
        </w:rPr>
        <w:t xml:space="preserve">n of </w:t>
      </w:r>
      <w:proofErr w:type="spellStart"/>
      <w:r w:rsidRPr="00C6158A">
        <w:rPr>
          <w:lang w:val="en-US"/>
        </w:rPr>
        <w:t>ulipristal</w:t>
      </w:r>
      <w:proofErr w:type="spellEnd"/>
      <w:r w:rsidRPr="00C6158A">
        <w:rPr>
          <w:lang w:val="en-US"/>
        </w:rPr>
        <w:t xml:space="preserve"> acetate with a strong CYP3A4 inducer such as rifampicin markedly decreases </w:t>
      </w:r>
      <w:proofErr w:type="spellStart"/>
      <w:r w:rsidRPr="00C6158A">
        <w:rPr>
          <w:lang w:val="en-US"/>
        </w:rPr>
        <w:t>C</w:t>
      </w:r>
      <w:r w:rsidRPr="000C3DBD">
        <w:rPr>
          <w:vertAlign w:val="subscript"/>
          <w:lang w:val="en-US"/>
        </w:rPr>
        <w:t>max</w:t>
      </w:r>
      <w:proofErr w:type="spellEnd"/>
      <w:r w:rsidRPr="00C6158A">
        <w:rPr>
          <w:lang w:val="en-US"/>
        </w:rPr>
        <w:t xml:space="preserve"> and AUC of </w:t>
      </w:r>
      <w:proofErr w:type="spellStart"/>
      <w:r w:rsidRPr="00C6158A">
        <w:rPr>
          <w:lang w:val="en-US"/>
        </w:rPr>
        <w:t>ulipristal</w:t>
      </w:r>
      <w:proofErr w:type="spellEnd"/>
      <w:r w:rsidRPr="00C6158A">
        <w:rPr>
          <w:lang w:val="en-US"/>
        </w:rPr>
        <w:t xml:space="preserve"> acetate by 90% or more and decreases </w:t>
      </w:r>
      <w:proofErr w:type="spellStart"/>
      <w:r w:rsidRPr="00C6158A">
        <w:rPr>
          <w:lang w:val="en-US"/>
        </w:rPr>
        <w:t>ulipristal</w:t>
      </w:r>
      <w:proofErr w:type="spellEnd"/>
      <w:r w:rsidRPr="00C6158A">
        <w:rPr>
          <w:lang w:val="en-US"/>
        </w:rPr>
        <w:t xml:space="preserve"> acetate half-life by 2.2-fold corresponding to an approximately 10-fold decrease of </w:t>
      </w:r>
      <w:proofErr w:type="spellStart"/>
      <w:r w:rsidRPr="00C6158A">
        <w:rPr>
          <w:lang w:val="en-US"/>
        </w:rPr>
        <w:t>ulipristal</w:t>
      </w:r>
      <w:proofErr w:type="spellEnd"/>
      <w:r w:rsidRPr="00C6158A">
        <w:rPr>
          <w:lang w:val="en-US"/>
        </w:rPr>
        <w:t xml:space="preserve"> acetate exposure. </w:t>
      </w:r>
      <w:r>
        <w:rPr>
          <w:lang w:val="en-US"/>
        </w:rPr>
        <w:t xml:space="preserve"> </w:t>
      </w:r>
      <w:r w:rsidRPr="00C6158A">
        <w:rPr>
          <w:lang w:val="en-US"/>
        </w:rPr>
        <w:t xml:space="preserve">Concomitant use of </w:t>
      </w:r>
      <w:proofErr w:type="spellStart"/>
      <w:r>
        <w:rPr>
          <w:lang w:val="en-US"/>
        </w:rPr>
        <w:t>EllaOne</w:t>
      </w:r>
      <w:proofErr w:type="spellEnd"/>
      <w:r>
        <w:rPr>
          <w:lang w:val="en-US"/>
        </w:rPr>
        <w:t xml:space="preserve"> </w:t>
      </w:r>
      <w:r w:rsidRPr="00C6158A">
        <w:rPr>
          <w:lang w:val="en-US"/>
        </w:rPr>
        <w:t xml:space="preserve">with CYP3A4 inducers (e.g. rifampicin, phenytoin, phenobarbital, carbamazepine, </w:t>
      </w:r>
      <w:proofErr w:type="spellStart"/>
      <w:r w:rsidRPr="00C6158A">
        <w:rPr>
          <w:lang w:val="en-US"/>
        </w:rPr>
        <w:t>efavirenz</w:t>
      </w:r>
      <w:proofErr w:type="spellEnd"/>
      <w:r w:rsidRPr="00C6158A">
        <w:rPr>
          <w:lang w:val="en-US"/>
        </w:rPr>
        <w:t xml:space="preserve">, </w:t>
      </w:r>
      <w:proofErr w:type="spellStart"/>
      <w:r w:rsidRPr="00C6158A">
        <w:rPr>
          <w:lang w:val="en-US"/>
        </w:rPr>
        <w:t>fosphenytoine</w:t>
      </w:r>
      <w:proofErr w:type="spellEnd"/>
      <w:r w:rsidRPr="00C6158A">
        <w:rPr>
          <w:lang w:val="en-US"/>
        </w:rPr>
        <w:t xml:space="preserve">, </w:t>
      </w:r>
      <w:proofErr w:type="spellStart"/>
      <w:r w:rsidRPr="00C6158A">
        <w:rPr>
          <w:lang w:val="en-US"/>
        </w:rPr>
        <w:t>nevirapine</w:t>
      </w:r>
      <w:proofErr w:type="spellEnd"/>
      <w:r w:rsidRPr="00C6158A">
        <w:rPr>
          <w:lang w:val="en-US"/>
        </w:rPr>
        <w:t xml:space="preserve">, </w:t>
      </w:r>
      <w:proofErr w:type="spellStart"/>
      <w:r w:rsidRPr="00C6158A">
        <w:rPr>
          <w:lang w:val="en-US"/>
        </w:rPr>
        <w:t>oxcarbazepine</w:t>
      </w:r>
      <w:proofErr w:type="spellEnd"/>
      <w:r w:rsidRPr="00C6158A">
        <w:rPr>
          <w:lang w:val="en-US"/>
        </w:rPr>
        <w:t xml:space="preserve">, </w:t>
      </w:r>
      <w:proofErr w:type="spellStart"/>
      <w:r w:rsidRPr="00C6158A">
        <w:rPr>
          <w:lang w:val="en-US"/>
        </w:rPr>
        <w:t>primidone</w:t>
      </w:r>
      <w:proofErr w:type="spellEnd"/>
      <w:r w:rsidRPr="00C6158A">
        <w:rPr>
          <w:lang w:val="en-US"/>
        </w:rPr>
        <w:t xml:space="preserve">, </w:t>
      </w:r>
      <w:proofErr w:type="spellStart"/>
      <w:r w:rsidRPr="00C6158A">
        <w:rPr>
          <w:lang w:val="en-US"/>
        </w:rPr>
        <w:t>rifabutine</w:t>
      </w:r>
      <w:proofErr w:type="spellEnd"/>
      <w:r w:rsidRPr="00C6158A">
        <w:rPr>
          <w:lang w:val="en-US"/>
        </w:rPr>
        <w:t xml:space="preserve">, St John’s </w:t>
      </w:r>
      <w:proofErr w:type="spellStart"/>
      <w:r w:rsidRPr="00C6158A">
        <w:rPr>
          <w:lang w:val="en-US"/>
        </w:rPr>
        <w:t>wort</w:t>
      </w:r>
      <w:proofErr w:type="spellEnd"/>
      <w:r w:rsidRPr="00C6158A">
        <w:rPr>
          <w:lang w:val="en-US"/>
        </w:rPr>
        <w:t>/</w:t>
      </w:r>
      <w:proofErr w:type="spellStart"/>
      <w:r w:rsidRPr="00C6158A">
        <w:rPr>
          <w:lang w:val="en-US"/>
        </w:rPr>
        <w:t>Hypericum</w:t>
      </w:r>
      <w:proofErr w:type="spellEnd"/>
      <w:r w:rsidRPr="00C6158A">
        <w:rPr>
          <w:lang w:val="en-US"/>
        </w:rPr>
        <w:t xml:space="preserve"> </w:t>
      </w:r>
      <w:proofErr w:type="spellStart"/>
      <w:r w:rsidRPr="00C6158A">
        <w:rPr>
          <w:lang w:val="en-US"/>
        </w:rPr>
        <w:t>perforatum</w:t>
      </w:r>
      <w:proofErr w:type="spellEnd"/>
      <w:r w:rsidRPr="00C6158A">
        <w:rPr>
          <w:lang w:val="en-US"/>
        </w:rPr>
        <w:t xml:space="preserve">) therefore reduces plasma concentrations of </w:t>
      </w:r>
      <w:proofErr w:type="spellStart"/>
      <w:r w:rsidRPr="00C6158A">
        <w:rPr>
          <w:lang w:val="en-US"/>
        </w:rPr>
        <w:t>ulipristal</w:t>
      </w:r>
      <w:proofErr w:type="spellEnd"/>
      <w:r w:rsidRPr="00C6158A">
        <w:rPr>
          <w:lang w:val="en-US"/>
        </w:rPr>
        <w:t xml:space="preserve"> acetate and may result in a decreased efficacy of </w:t>
      </w:r>
      <w:proofErr w:type="spellStart"/>
      <w:r>
        <w:rPr>
          <w:lang w:val="en-US"/>
        </w:rPr>
        <w:t>EllaOne</w:t>
      </w:r>
      <w:proofErr w:type="spellEnd"/>
      <w:r>
        <w:rPr>
          <w:lang w:val="en-US"/>
        </w:rPr>
        <w:t xml:space="preserve"> </w:t>
      </w:r>
      <w:r w:rsidRPr="00C6158A">
        <w:rPr>
          <w:lang w:val="en-US"/>
        </w:rPr>
        <w:t>and is not recommended.</w:t>
      </w:r>
    </w:p>
    <w:p w14:paraId="11E7104F" w14:textId="77777777" w:rsidR="00FC6697" w:rsidRPr="004A1395" w:rsidRDefault="00FC6697" w:rsidP="00FC6697">
      <w:pPr>
        <w:pStyle w:val="CTDtext"/>
        <w:spacing w:after="120" w:line="240" w:lineRule="auto"/>
        <w:ind w:left="1134"/>
        <w:rPr>
          <w:i/>
          <w:lang w:val="en-US"/>
        </w:rPr>
      </w:pPr>
      <w:r w:rsidRPr="004A1395">
        <w:rPr>
          <w:i/>
          <w:lang w:val="en-US"/>
        </w:rPr>
        <w:t>-</w:t>
      </w:r>
      <w:r w:rsidRPr="004A1395">
        <w:rPr>
          <w:i/>
          <w:lang w:val="en-US"/>
        </w:rPr>
        <w:tab/>
        <w:t>CYP3A4 inhibitors</w:t>
      </w:r>
    </w:p>
    <w:p w14:paraId="68695E38" w14:textId="77777777" w:rsidR="00FC6697" w:rsidRPr="00C6158A" w:rsidRDefault="00FC6697" w:rsidP="00FC6697">
      <w:pPr>
        <w:pStyle w:val="CTDtext"/>
        <w:ind w:left="540"/>
        <w:rPr>
          <w:lang w:val="en-US"/>
        </w:rPr>
      </w:pPr>
      <w:r w:rsidRPr="00C6158A">
        <w:rPr>
          <w:i/>
          <w:lang w:val="en-US"/>
        </w:rPr>
        <w:t>In vivo</w:t>
      </w:r>
      <w:r w:rsidRPr="00C6158A">
        <w:rPr>
          <w:lang w:val="en-US"/>
        </w:rPr>
        <w:t xml:space="preserve"> results show that administration of </w:t>
      </w:r>
      <w:proofErr w:type="spellStart"/>
      <w:r w:rsidRPr="00C6158A">
        <w:rPr>
          <w:lang w:val="en-US"/>
        </w:rPr>
        <w:t>ulipristal</w:t>
      </w:r>
      <w:proofErr w:type="spellEnd"/>
      <w:r w:rsidRPr="00C6158A">
        <w:rPr>
          <w:lang w:val="en-US"/>
        </w:rPr>
        <w:t xml:space="preserve"> acetate with a potent and a moderate CYP3A4 inhibitor increased </w:t>
      </w:r>
      <w:proofErr w:type="spellStart"/>
      <w:r w:rsidRPr="00C6158A">
        <w:rPr>
          <w:lang w:val="en-US"/>
        </w:rPr>
        <w:t>C</w:t>
      </w:r>
      <w:r w:rsidRPr="000C3DBD">
        <w:rPr>
          <w:vertAlign w:val="subscript"/>
          <w:lang w:val="en-US"/>
        </w:rPr>
        <w:t>max</w:t>
      </w:r>
      <w:proofErr w:type="spellEnd"/>
      <w:r w:rsidRPr="00C6158A">
        <w:rPr>
          <w:lang w:val="en-US"/>
        </w:rPr>
        <w:t xml:space="preserve"> and AUC of </w:t>
      </w:r>
      <w:proofErr w:type="spellStart"/>
      <w:r w:rsidRPr="00C6158A">
        <w:rPr>
          <w:lang w:val="en-US"/>
        </w:rPr>
        <w:t>ulipristal</w:t>
      </w:r>
      <w:proofErr w:type="spellEnd"/>
      <w:r w:rsidRPr="00C6158A">
        <w:rPr>
          <w:lang w:val="en-US"/>
        </w:rPr>
        <w:t xml:space="preserve"> acetate with a maximum of 2- and 5.9-fold, respectively. </w:t>
      </w:r>
      <w:r>
        <w:rPr>
          <w:lang w:val="en-US"/>
        </w:rPr>
        <w:t xml:space="preserve"> </w:t>
      </w:r>
      <w:r w:rsidRPr="00C6158A">
        <w:rPr>
          <w:lang w:val="en-US"/>
        </w:rPr>
        <w:t xml:space="preserve">The effects of CYP3A4 inhibitors are unlikely to have any clinical consequences.  </w:t>
      </w:r>
    </w:p>
    <w:p w14:paraId="2D507B0A" w14:textId="77777777" w:rsidR="00FC6697" w:rsidRPr="00C6158A" w:rsidRDefault="00FC6697" w:rsidP="00FC6697">
      <w:pPr>
        <w:pStyle w:val="CTDtext"/>
        <w:ind w:left="540"/>
        <w:rPr>
          <w:lang w:val="en-US"/>
        </w:rPr>
      </w:pPr>
      <w:r w:rsidRPr="00C6158A">
        <w:rPr>
          <w:lang w:val="en-US"/>
        </w:rPr>
        <w:t xml:space="preserve">The CYP3A4 inhibitor ritonavir can also have an inducing effect on CYP3A4 when ritonavir is used for a longer period. </w:t>
      </w:r>
      <w:r>
        <w:rPr>
          <w:lang w:val="en-US"/>
        </w:rPr>
        <w:t xml:space="preserve"> </w:t>
      </w:r>
      <w:r w:rsidRPr="00C6158A">
        <w:rPr>
          <w:lang w:val="en-US"/>
        </w:rPr>
        <w:t xml:space="preserve">In such cases ritonavir might reduce plasma concentrations of </w:t>
      </w:r>
      <w:proofErr w:type="spellStart"/>
      <w:r w:rsidRPr="00C6158A">
        <w:rPr>
          <w:lang w:val="en-US"/>
        </w:rPr>
        <w:t>ulipristal</w:t>
      </w:r>
      <w:proofErr w:type="spellEnd"/>
      <w:r w:rsidRPr="00C6158A">
        <w:rPr>
          <w:lang w:val="en-US"/>
        </w:rPr>
        <w:t xml:space="preserve"> acetate. </w:t>
      </w:r>
      <w:r>
        <w:rPr>
          <w:lang w:val="en-US"/>
        </w:rPr>
        <w:t xml:space="preserve"> </w:t>
      </w:r>
      <w:r w:rsidRPr="00C6158A">
        <w:rPr>
          <w:lang w:val="en-US"/>
        </w:rPr>
        <w:t>Concomitant use is therefore n</w:t>
      </w:r>
      <w:r>
        <w:rPr>
          <w:lang w:val="en-US"/>
        </w:rPr>
        <w:t>ot recommended</w:t>
      </w:r>
      <w:r w:rsidRPr="00C6158A">
        <w:rPr>
          <w:lang w:val="en-US"/>
        </w:rPr>
        <w:t>.</w:t>
      </w:r>
      <w:r>
        <w:rPr>
          <w:lang w:val="en-US"/>
        </w:rPr>
        <w:t xml:space="preserve"> </w:t>
      </w:r>
      <w:r w:rsidRPr="00C6158A">
        <w:rPr>
          <w:lang w:val="en-US"/>
        </w:rPr>
        <w:t xml:space="preserve"> Enzyme induction wears off slowly and effects on the plasma concentrations of </w:t>
      </w:r>
      <w:proofErr w:type="spellStart"/>
      <w:r w:rsidRPr="00C6158A">
        <w:rPr>
          <w:lang w:val="en-US"/>
        </w:rPr>
        <w:t>ulipristal</w:t>
      </w:r>
      <w:proofErr w:type="spellEnd"/>
      <w:r w:rsidRPr="00C6158A">
        <w:rPr>
          <w:lang w:val="en-US"/>
        </w:rPr>
        <w:t xml:space="preserve"> acetate may occur even if a woman has stopped taking an e</w:t>
      </w:r>
      <w:r>
        <w:rPr>
          <w:lang w:val="en-US"/>
        </w:rPr>
        <w:t>nzyme inducer within the last 2-</w:t>
      </w:r>
      <w:r w:rsidRPr="00C6158A">
        <w:rPr>
          <w:lang w:val="en-US"/>
        </w:rPr>
        <w:t>3 weeks.</w:t>
      </w:r>
    </w:p>
    <w:p w14:paraId="038CE94E" w14:textId="77777777" w:rsidR="00FC6697" w:rsidRPr="009726D5" w:rsidRDefault="00FC6697" w:rsidP="00FC6697">
      <w:pPr>
        <w:spacing w:after="120"/>
        <w:outlineLvl w:val="0"/>
        <w:rPr>
          <w:b/>
          <w:noProof/>
          <w:szCs w:val="24"/>
        </w:rPr>
      </w:pPr>
      <w:r w:rsidRPr="009726D5">
        <w:rPr>
          <w:b/>
          <w:noProof/>
          <w:szCs w:val="24"/>
        </w:rPr>
        <w:t>Medicines affecting gastric pH</w:t>
      </w:r>
    </w:p>
    <w:p w14:paraId="4FDF116E" w14:textId="77777777" w:rsidR="00FC6697" w:rsidRPr="009726D5" w:rsidRDefault="00FC6697" w:rsidP="00FC6697">
      <w:pPr>
        <w:pStyle w:val="CTDtext"/>
        <w:rPr>
          <w:i/>
          <w:noProof/>
          <w:u w:val="single"/>
        </w:rPr>
      </w:pPr>
      <w:r w:rsidRPr="009726D5">
        <w:rPr>
          <w:lang w:val="en-US"/>
        </w:rPr>
        <w:t xml:space="preserve">Administration of </w:t>
      </w:r>
      <w:proofErr w:type="spellStart"/>
      <w:r w:rsidRPr="009726D5">
        <w:rPr>
          <w:lang w:val="en-US"/>
        </w:rPr>
        <w:t>ulipristal</w:t>
      </w:r>
      <w:proofErr w:type="spellEnd"/>
      <w:r w:rsidRPr="009726D5">
        <w:rPr>
          <w:lang w:val="en-US"/>
        </w:rPr>
        <w:t xml:space="preserve"> acetate (10 mg tablet) together with the proton pump inhibitor esomeprazole (20 mg daily for 6 days) resulted in approximately 65% lower mean </w:t>
      </w:r>
      <w:proofErr w:type="spellStart"/>
      <w:r w:rsidRPr="009726D5">
        <w:rPr>
          <w:lang w:val="en-US"/>
        </w:rPr>
        <w:t>C</w:t>
      </w:r>
      <w:r w:rsidRPr="009726D5">
        <w:rPr>
          <w:vertAlign w:val="subscript"/>
          <w:lang w:val="en-US"/>
        </w:rPr>
        <w:t>max</w:t>
      </w:r>
      <w:proofErr w:type="spellEnd"/>
      <w:r w:rsidRPr="009726D5">
        <w:rPr>
          <w:lang w:val="en-US"/>
        </w:rPr>
        <w:t xml:space="preserve">, a delayed </w:t>
      </w:r>
      <w:proofErr w:type="spellStart"/>
      <w:r w:rsidRPr="009726D5">
        <w:rPr>
          <w:lang w:val="en-US"/>
        </w:rPr>
        <w:t>T</w:t>
      </w:r>
      <w:r w:rsidRPr="009726D5">
        <w:rPr>
          <w:vertAlign w:val="subscript"/>
          <w:lang w:val="en-US"/>
        </w:rPr>
        <w:t>max</w:t>
      </w:r>
      <w:proofErr w:type="spellEnd"/>
      <w:r w:rsidRPr="009726D5">
        <w:rPr>
          <w:lang w:val="en-US"/>
        </w:rPr>
        <w:t xml:space="preserve"> (from a median of 0.75 hours to 1.0 hours) and 13% higher mean AUC.  </w:t>
      </w:r>
      <w:r w:rsidRPr="009726D5">
        <w:rPr>
          <w:szCs w:val="24"/>
          <w:lang w:val="en-US"/>
        </w:rPr>
        <w:t>T</w:t>
      </w:r>
      <w:r w:rsidRPr="009726D5">
        <w:rPr>
          <w:szCs w:val="24"/>
        </w:rPr>
        <w:t>h</w:t>
      </w:r>
      <w:r w:rsidRPr="009726D5">
        <w:rPr>
          <w:szCs w:val="24"/>
          <w:lang w:val="en-US"/>
        </w:rPr>
        <w:t>is</w:t>
      </w:r>
      <w:r w:rsidRPr="009726D5">
        <w:rPr>
          <w:lang w:val="en-US"/>
        </w:rPr>
        <w:t xml:space="preserve"> </w:t>
      </w:r>
      <w:r w:rsidRPr="009726D5">
        <w:rPr>
          <w:lang w:val="en-US"/>
        </w:rPr>
        <w:lastRenderedPageBreak/>
        <w:t xml:space="preserve">interaction is not expected to have an impact on the efficacy of </w:t>
      </w:r>
      <w:proofErr w:type="spellStart"/>
      <w:r w:rsidRPr="009726D5">
        <w:rPr>
          <w:lang w:val="en-US"/>
        </w:rPr>
        <w:t>ulipristal</w:t>
      </w:r>
      <w:proofErr w:type="spellEnd"/>
      <w:r w:rsidRPr="009726D5">
        <w:rPr>
          <w:lang w:val="en-US"/>
        </w:rPr>
        <w:t xml:space="preserve"> acetate single dose for emergency contraception.</w:t>
      </w:r>
      <w:r w:rsidRPr="009726D5" w:rsidDel="00564A77">
        <w:rPr>
          <w:lang w:val="en-US"/>
        </w:rPr>
        <w:t xml:space="preserve"> </w:t>
      </w:r>
    </w:p>
    <w:p w14:paraId="3BAC765D" w14:textId="77777777" w:rsidR="00FC6697" w:rsidRPr="009726D5" w:rsidRDefault="00FC6697" w:rsidP="00FC6697">
      <w:pPr>
        <w:pStyle w:val="CTDtext"/>
        <w:numPr>
          <w:ilvl w:val="0"/>
          <w:numId w:val="30"/>
        </w:numPr>
        <w:spacing w:after="120"/>
        <w:ind w:left="714" w:hanging="357"/>
        <w:rPr>
          <w:i/>
          <w:noProof/>
          <w:u w:val="single"/>
        </w:rPr>
      </w:pPr>
      <w:r w:rsidRPr="009726D5">
        <w:rPr>
          <w:i/>
          <w:noProof/>
          <w:u w:val="single"/>
        </w:rPr>
        <w:t>Potential for ulipristal acetate to affect other medicines:</w:t>
      </w:r>
    </w:p>
    <w:p w14:paraId="6245999C" w14:textId="77777777" w:rsidR="00FC6697" w:rsidRDefault="00FC6697" w:rsidP="00FC6697">
      <w:pPr>
        <w:pStyle w:val="Date"/>
        <w:spacing w:after="240" w:line="360" w:lineRule="auto"/>
        <w:ind w:left="360"/>
      </w:pPr>
      <w:r w:rsidRPr="00D44D5C">
        <w:rPr>
          <w:i/>
        </w:rPr>
        <w:t>Hormonal contraceptives</w:t>
      </w:r>
    </w:p>
    <w:p w14:paraId="2322EEFC" w14:textId="563E2C70" w:rsidR="00FC6697" w:rsidRDefault="00FC6697" w:rsidP="00FC6697">
      <w:pPr>
        <w:pStyle w:val="Date"/>
        <w:tabs>
          <w:tab w:val="left" w:pos="426"/>
        </w:tabs>
        <w:spacing w:after="240" w:line="360" w:lineRule="auto"/>
        <w:ind w:left="360"/>
        <w:jc w:val="both"/>
        <w:rPr>
          <w:bCs/>
          <w:iCs/>
          <w:lang w:val="en-US"/>
        </w:rPr>
      </w:pPr>
      <w:proofErr w:type="spellStart"/>
      <w:r w:rsidRPr="00D44D5C">
        <w:rPr>
          <w:bCs/>
          <w:iCs/>
          <w:lang w:val="en-US"/>
        </w:rPr>
        <w:t>Pharmacodynamic</w:t>
      </w:r>
      <w:proofErr w:type="spellEnd"/>
      <w:r w:rsidRPr="00D44D5C">
        <w:rPr>
          <w:bCs/>
          <w:iCs/>
          <w:lang w:val="en-US"/>
        </w:rPr>
        <w:t xml:space="preserve"> data </w:t>
      </w:r>
      <w:r>
        <w:rPr>
          <w:bCs/>
          <w:iCs/>
          <w:lang w:val="en-US"/>
        </w:rPr>
        <w:t>suggest</w:t>
      </w:r>
      <w:r w:rsidRPr="00D44D5C">
        <w:rPr>
          <w:bCs/>
          <w:iCs/>
          <w:lang w:val="en-US"/>
        </w:rPr>
        <w:t xml:space="preserve"> that </w:t>
      </w:r>
      <w:proofErr w:type="spellStart"/>
      <w:r>
        <w:rPr>
          <w:bCs/>
          <w:iCs/>
          <w:lang w:val="en-US"/>
        </w:rPr>
        <w:t>EllaOne</w:t>
      </w:r>
      <w:proofErr w:type="spellEnd"/>
      <w:r>
        <w:rPr>
          <w:bCs/>
          <w:iCs/>
          <w:lang w:val="en-US"/>
        </w:rPr>
        <w:t xml:space="preserve"> </w:t>
      </w:r>
      <w:r w:rsidRPr="00D44D5C">
        <w:rPr>
          <w:bCs/>
          <w:iCs/>
          <w:lang w:val="en-US"/>
        </w:rPr>
        <w:t>may imp</w:t>
      </w:r>
      <w:r>
        <w:rPr>
          <w:bCs/>
          <w:iCs/>
          <w:lang w:val="en-US"/>
        </w:rPr>
        <w:t>act the effect of</w:t>
      </w:r>
      <w:r w:rsidRPr="00D44D5C">
        <w:rPr>
          <w:bCs/>
          <w:iCs/>
          <w:lang w:val="en-US"/>
        </w:rPr>
        <w:t xml:space="preserve"> </w:t>
      </w:r>
      <w:r>
        <w:rPr>
          <w:bCs/>
          <w:iCs/>
          <w:lang w:val="en-US"/>
        </w:rPr>
        <w:t>progestin-containing hormonal</w:t>
      </w:r>
      <w:r w:rsidRPr="00D44D5C">
        <w:rPr>
          <w:bCs/>
          <w:iCs/>
          <w:lang w:val="en-US"/>
        </w:rPr>
        <w:t xml:space="preserve"> contracepti</w:t>
      </w:r>
      <w:r>
        <w:rPr>
          <w:bCs/>
          <w:iCs/>
          <w:lang w:val="en-US"/>
        </w:rPr>
        <w:t xml:space="preserve">ves: </w:t>
      </w:r>
      <w:r>
        <w:t xml:space="preserve">The initiation of a </w:t>
      </w:r>
      <w:proofErr w:type="spellStart"/>
      <w:r>
        <w:t>desogestrel</w:t>
      </w:r>
      <w:proofErr w:type="spellEnd"/>
      <w:r>
        <w:t xml:space="preserve"> only pill the day after </w:t>
      </w:r>
      <w:proofErr w:type="spellStart"/>
      <w:r w:rsidRPr="00CE7D64">
        <w:t>EllaOne</w:t>
      </w:r>
      <w:proofErr w:type="spellEnd"/>
      <w:r>
        <w:t xml:space="preserve"> intake during the follicular phase was associated with a higher incidence of ovulation in the five days following </w:t>
      </w:r>
      <w:proofErr w:type="spellStart"/>
      <w:r w:rsidRPr="00CE7D64">
        <w:t>EllaOne</w:t>
      </w:r>
      <w:proofErr w:type="spellEnd"/>
      <w:r>
        <w:t xml:space="preserve"> intake and a slower onset of mucus blockage compared to </w:t>
      </w:r>
      <w:proofErr w:type="spellStart"/>
      <w:r>
        <w:t>desogestrel</w:t>
      </w:r>
      <w:proofErr w:type="spellEnd"/>
      <w:r>
        <w:t xml:space="preserve"> without prior </w:t>
      </w:r>
      <w:proofErr w:type="spellStart"/>
      <w:r w:rsidRPr="00CE7D64">
        <w:t>EllaOne</w:t>
      </w:r>
      <w:proofErr w:type="spellEnd"/>
      <w:r>
        <w:t xml:space="preserve"> intake, suggesting an effect of prior use of </w:t>
      </w:r>
      <w:proofErr w:type="spellStart"/>
      <w:r>
        <w:t>EllaOne</w:t>
      </w:r>
      <w:proofErr w:type="spellEnd"/>
      <w:r>
        <w:t xml:space="preserve"> on the ability of </w:t>
      </w:r>
      <w:proofErr w:type="spellStart"/>
      <w:r>
        <w:t>desogestrel</w:t>
      </w:r>
      <w:proofErr w:type="spellEnd"/>
      <w:r>
        <w:t xml:space="preserve"> to inhibit mucus permeability</w:t>
      </w:r>
      <w:r w:rsidRPr="00D44D5C">
        <w:rPr>
          <w:bCs/>
          <w:iCs/>
          <w:lang w:val="en-US"/>
        </w:rPr>
        <w:t>.</w:t>
      </w:r>
      <w:r>
        <w:rPr>
          <w:bCs/>
          <w:iCs/>
          <w:lang w:val="en-US"/>
        </w:rPr>
        <w:t xml:space="preserve">  </w:t>
      </w:r>
      <w:r>
        <w:rPr>
          <w:lang w:val="en-US"/>
        </w:rPr>
        <w:t>W</w:t>
      </w:r>
      <w:r w:rsidRPr="00D44D5C">
        <w:rPr>
          <w:lang w:val="en-US"/>
        </w:rPr>
        <w:t>hen</w:t>
      </w:r>
      <w:r>
        <w:rPr>
          <w:lang w:val="en-US"/>
        </w:rPr>
        <w:t xml:space="preserve"> a c</w:t>
      </w:r>
      <w:r w:rsidRPr="00116971">
        <w:rPr>
          <w:lang w:val="en-US"/>
        </w:rPr>
        <w:t>o</w:t>
      </w:r>
      <w:r>
        <w:rPr>
          <w:lang w:val="en-US"/>
        </w:rPr>
        <w:t>mbined oral contraceptive pill</w:t>
      </w:r>
      <w:r w:rsidRPr="00116971">
        <w:rPr>
          <w:lang w:val="en-US"/>
        </w:rPr>
        <w:t xml:space="preserve"> (COCP)</w:t>
      </w:r>
      <w:r w:rsidRPr="00D44D5C">
        <w:rPr>
          <w:lang w:val="en-US"/>
        </w:rPr>
        <w:t xml:space="preserve"> </w:t>
      </w:r>
      <w:r>
        <w:rPr>
          <w:lang w:val="en-US"/>
        </w:rPr>
        <w:t xml:space="preserve">was started the day after </w:t>
      </w:r>
      <w:proofErr w:type="spellStart"/>
      <w:r>
        <w:rPr>
          <w:lang w:val="en-US"/>
        </w:rPr>
        <w:t>EllaOne</w:t>
      </w:r>
      <w:proofErr w:type="spellEnd"/>
      <w:r>
        <w:rPr>
          <w:lang w:val="en-US"/>
        </w:rPr>
        <w:t xml:space="preserve"> intake during the follicular phase,</w:t>
      </w:r>
      <w:r w:rsidRPr="00D44D5C">
        <w:rPr>
          <w:lang w:val="en-US"/>
        </w:rPr>
        <w:t xml:space="preserve"> </w:t>
      </w:r>
      <w:proofErr w:type="spellStart"/>
      <w:r>
        <w:rPr>
          <w:lang w:val="en-US"/>
        </w:rPr>
        <w:t>EllaOne</w:t>
      </w:r>
      <w:proofErr w:type="spellEnd"/>
      <w:r>
        <w:rPr>
          <w:lang w:val="en-US"/>
        </w:rPr>
        <w:t xml:space="preserve"> </w:t>
      </w:r>
      <w:r w:rsidRPr="00D44D5C">
        <w:rPr>
          <w:lang w:val="en-US"/>
        </w:rPr>
        <w:t xml:space="preserve">did not interfere with </w:t>
      </w:r>
      <w:r>
        <w:rPr>
          <w:lang w:val="en-US"/>
        </w:rPr>
        <w:t xml:space="preserve">COCP’s </w:t>
      </w:r>
      <w:r w:rsidRPr="00D44D5C">
        <w:rPr>
          <w:lang w:val="en-US"/>
        </w:rPr>
        <w:t>ability to induce ovarian quiescence</w:t>
      </w:r>
      <w:r>
        <w:rPr>
          <w:lang w:val="en-US"/>
        </w:rPr>
        <w:t>, but ovulation occurred later in the cycle in some women</w:t>
      </w:r>
      <w:r w:rsidRPr="00D44D5C">
        <w:rPr>
          <w:lang w:val="en-US"/>
        </w:rPr>
        <w:t xml:space="preserve">. </w:t>
      </w:r>
      <w:r>
        <w:rPr>
          <w:lang w:val="en-US"/>
        </w:rPr>
        <w:t xml:space="preserve"> </w:t>
      </w:r>
      <w:r>
        <w:rPr>
          <w:bCs/>
          <w:iCs/>
          <w:lang w:val="en-US"/>
        </w:rPr>
        <w:t>T</w:t>
      </w:r>
      <w:r w:rsidRPr="00D44D5C">
        <w:rPr>
          <w:bCs/>
          <w:iCs/>
          <w:lang w:val="en-US"/>
        </w:rPr>
        <w:t xml:space="preserve">herefore, if a woman </w:t>
      </w:r>
      <w:r>
        <w:rPr>
          <w:bCs/>
          <w:iCs/>
          <w:lang w:val="en-US"/>
        </w:rPr>
        <w:t xml:space="preserve">wishes to </w:t>
      </w:r>
      <w:r w:rsidRPr="00D44D5C">
        <w:rPr>
          <w:bCs/>
          <w:iCs/>
          <w:lang w:val="en-US"/>
        </w:rPr>
        <w:t xml:space="preserve">initiate or </w:t>
      </w:r>
      <w:r>
        <w:rPr>
          <w:bCs/>
          <w:iCs/>
          <w:lang w:val="en-US"/>
        </w:rPr>
        <w:t>resume</w:t>
      </w:r>
      <w:r w:rsidRPr="00B624A7">
        <w:rPr>
          <w:bCs/>
          <w:iCs/>
          <w:lang w:val="en-US"/>
        </w:rPr>
        <w:t xml:space="preserve"> regular hormonal contracepti</w:t>
      </w:r>
      <w:r>
        <w:rPr>
          <w:bCs/>
          <w:iCs/>
          <w:lang w:val="en-US"/>
        </w:rPr>
        <w:t xml:space="preserve">on after using </w:t>
      </w:r>
      <w:proofErr w:type="spellStart"/>
      <w:r>
        <w:rPr>
          <w:bCs/>
          <w:iCs/>
          <w:lang w:val="en-US"/>
        </w:rPr>
        <w:t>E</w:t>
      </w:r>
      <w:r w:rsidRPr="00D44D5C">
        <w:rPr>
          <w:bCs/>
          <w:iCs/>
          <w:lang w:val="en-US"/>
        </w:rPr>
        <w:t>llaOne</w:t>
      </w:r>
      <w:proofErr w:type="spellEnd"/>
      <w:r w:rsidRPr="00D44D5C">
        <w:rPr>
          <w:bCs/>
          <w:iCs/>
          <w:lang w:val="en-US"/>
        </w:rPr>
        <w:t xml:space="preserve">, </w:t>
      </w:r>
      <w:r w:rsidRPr="00F01155">
        <w:rPr>
          <w:bCs/>
          <w:iCs/>
          <w:lang w:val="en-US"/>
        </w:rPr>
        <w:t xml:space="preserve">it is recommended that </w:t>
      </w:r>
      <w:r w:rsidR="00617A44" w:rsidRPr="00F01155">
        <w:rPr>
          <w:bCs/>
          <w:iCs/>
          <w:lang w:val="en-US"/>
        </w:rPr>
        <w:t xml:space="preserve">for </w:t>
      </w:r>
      <w:r w:rsidRPr="00F01155">
        <w:rPr>
          <w:bCs/>
          <w:iCs/>
          <w:lang w:val="en-US"/>
        </w:rPr>
        <w:t xml:space="preserve">subsequent acts of intercourse </w:t>
      </w:r>
      <w:r w:rsidR="00617A44" w:rsidRPr="00F01155">
        <w:rPr>
          <w:bCs/>
          <w:iCs/>
          <w:lang w:val="en-US"/>
        </w:rPr>
        <w:t>she uses</w:t>
      </w:r>
      <w:r w:rsidRPr="00F01155">
        <w:rPr>
          <w:bCs/>
          <w:iCs/>
          <w:lang w:val="en-US"/>
        </w:rPr>
        <w:t xml:space="preserve"> a reliable barrier method until the next menstrual period.</w:t>
      </w:r>
    </w:p>
    <w:p w14:paraId="0E36EFF3" w14:textId="77777777" w:rsidR="00FC6697" w:rsidRPr="009726D5" w:rsidRDefault="00FC6697" w:rsidP="00FC6697">
      <w:pPr>
        <w:pStyle w:val="CTDtext"/>
      </w:pPr>
      <w:r w:rsidRPr="009726D5">
        <w:rPr>
          <w:i/>
        </w:rPr>
        <w:t>In vitro</w:t>
      </w:r>
      <w:r w:rsidRPr="009726D5">
        <w:t xml:space="preserve"> data indicate that </w:t>
      </w:r>
      <w:proofErr w:type="spellStart"/>
      <w:r w:rsidRPr="009726D5">
        <w:t>ulipristal</w:t>
      </w:r>
      <w:proofErr w:type="spellEnd"/>
      <w:r w:rsidRPr="009726D5">
        <w:t xml:space="preserve"> acetate and its active metabolite do not significantly inhibit CYP1A2, 2A6, 2C9, 2C19, 2D6, 2E1, and 3A4, at clinically relevant concentrations.  After single dose administration induction of CYP1A2 and CYP3A4 by </w:t>
      </w:r>
      <w:proofErr w:type="spellStart"/>
      <w:r w:rsidRPr="009726D5">
        <w:t>ulipristal</w:t>
      </w:r>
      <w:proofErr w:type="spellEnd"/>
      <w:r w:rsidRPr="009726D5">
        <w:t xml:space="preserve"> acetate or its active metabolite is not likely.  Thus, administration of </w:t>
      </w:r>
      <w:proofErr w:type="spellStart"/>
      <w:r w:rsidRPr="009726D5">
        <w:t>ulipristal</w:t>
      </w:r>
      <w:proofErr w:type="spellEnd"/>
      <w:r w:rsidRPr="009726D5">
        <w:t xml:space="preserve"> acetate is unlikely to alter the clearance of medicines that are metabolised by these enzymes.</w:t>
      </w:r>
      <w:r>
        <w:t xml:space="preserve"> </w:t>
      </w:r>
    </w:p>
    <w:p w14:paraId="6C9FEBCE" w14:textId="77777777" w:rsidR="00FC6697" w:rsidRPr="009726D5" w:rsidRDefault="00FC6697" w:rsidP="00FC6697">
      <w:pPr>
        <w:spacing w:after="120"/>
        <w:outlineLvl w:val="0"/>
        <w:rPr>
          <w:b/>
          <w:noProof/>
          <w:szCs w:val="24"/>
        </w:rPr>
      </w:pPr>
      <w:r w:rsidRPr="009726D5">
        <w:rPr>
          <w:b/>
          <w:noProof/>
          <w:szCs w:val="24"/>
        </w:rPr>
        <w:t>P-gp substrates</w:t>
      </w:r>
    </w:p>
    <w:p w14:paraId="4E263652" w14:textId="77777777" w:rsidR="00FC6697" w:rsidRDefault="00FC6697" w:rsidP="00FC6697">
      <w:pPr>
        <w:pStyle w:val="CTDtext"/>
      </w:pPr>
      <w:r w:rsidRPr="009726D5">
        <w:rPr>
          <w:i/>
        </w:rPr>
        <w:t>In vitro</w:t>
      </w:r>
      <w:r w:rsidRPr="009726D5">
        <w:t xml:space="preserve"> data indicate that </w:t>
      </w:r>
      <w:proofErr w:type="spellStart"/>
      <w:r w:rsidRPr="009726D5">
        <w:t>ulipristal</w:t>
      </w:r>
      <w:proofErr w:type="spellEnd"/>
      <w:r w:rsidRPr="009726D5">
        <w:t xml:space="preserve"> acetate may be an inhibitor of P-</w:t>
      </w:r>
      <w:proofErr w:type="spellStart"/>
      <w:r w:rsidRPr="009726D5">
        <w:t>gp</w:t>
      </w:r>
      <w:proofErr w:type="spellEnd"/>
      <w:r w:rsidRPr="009726D5">
        <w:t xml:space="preserve"> at clinically relev</w:t>
      </w:r>
      <w:r>
        <w:t xml:space="preserve">ant concentrations.  Results </w:t>
      </w:r>
      <w:r w:rsidRPr="00C9276D">
        <w:rPr>
          <w:i/>
        </w:rPr>
        <w:t>in vivo</w:t>
      </w:r>
      <w:r>
        <w:t xml:space="preserve"> with the P-</w:t>
      </w:r>
      <w:proofErr w:type="spellStart"/>
      <w:r>
        <w:t>gp</w:t>
      </w:r>
      <w:proofErr w:type="spellEnd"/>
      <w:r>
        <w:t xml:space="preserve"> substrate fexofenadine were inconclusive.  The effects of P-</w:t>
      </w:r>
      <w:proofErr w:type="spellStart"/>
      <w:r>
        <w:t>gp</w:t>
      </w:r>
      <w:proofErr w:type="spellEnd"/>
      <w:r>
        <w:t xml:space="preserve"> substrates are unlikely to have any clinical consequences.  </w:t>
      </w:r>
    </w:p>
    <w:p w14:paraId="2AFEC4A0" w14:textId="77777777" w:rsidR="00FC6697" w:rsidRPr="00025246" w:rsidRDefault="00FC6697" w:rsidP="00FC6697">
      <w:pPr>
        <w:spacing w:after="120"/>
        <w:outlineLvl w:val="0"/>
        <w:rPr>
          <w:b/>
          <w:noProof/>
          <w:szCs w:val="24"/>
        </w:rPr>
      </w:pPr>
      <w:r w:rsidRPr="00025246">
        <w:rPr>
          <w:b/>
          <w:noProof/>
          <w:szCs w:val="24"/>
        </w:rPr>
        <w:t xml:space="preserve">BCRP substrates </w:t>
      </w:r>
    </w:p>
    <w:p w14:paraId="0ACA09FE" w14:textId="77777777" w:rsidR="00FC6697" w:rsidRDefault="00FC6697" w:rsidP="00FC6697">
      <w:pPr>
        <w:tabs>
          <w:tab w:val="left" w:pos="567"/>
        </w:tabs>
        <w:spacing w:after="120" w:line="360" w:lineRule="auto"/>
        <w:rPr>
          <w:i/>
        </w:rPr>
      </w:pPr>
      <w:r>
        <w:rPr>
          <w:i/>
        </w:rPr>
        <w:t>BCRP (Breast Cancer Resistance Protein) transporters</w:t>
      </w:r>
    </w:p>
    <w:p w14:paraId="03EDFCEA" w14:textId="77777777" w:rsidR="00FC6697" w:rsidRDefault="00FC6697" w:rsidP="00FC6697">
      <w:pPr>
        <w:tabs>
          <w:tab w:val="left" w:pos="567"/>
        </w:tabs>
        <w:spacing w:after="120" w:line="360" w:lineRule="auto"/>
        <w:jc w:val="both"/>
      </w:pPr>
      <w:r>
        <w:rPr>
          <w:i/>
        </w:rPr>
        <w:lastRenderedPageBreak/>
        <w:t>In vitro</w:t>
      </w:r>
      <w:r>
        <w:t xml:space="preserve"> data indicate that </w:t>
      </w:r>
      <w:proofErr w:type="spellStart"/>
      <w:r>
        <w:t>ulipristal</w:t>
      </w:r>
      <w:proofErr w:type="spellEnd"/>
      <w:r>
        <w:t xml:space="preserve"> acetate may be an inhibitor of BCRP at the intestinal level at clinically relevant concentrations.  However, the effects of </w:t>
      </w:r>
      <w:proofErr w:type="spellStart"/>
      <w:r>
        <w:t>ulipristal</w:t>
      </w:r>
      <w:proofErr w:type="spellEnd"/>
      <w:r>
        <w:t xml:space="preserve"> acetate on BCRP are unlikely to have any clinical consequences given the pattern of clinical use of this product and the rapid absorption of </w:t>
      </w:r>
      <w:proofErr w:type="spellStart"/>
      <w:r>
        <w:t>ulipristal</w:t>
      </w:r>
      <w:proofErr w:type="spellEnd"/>
      <w:r>
        <w:t xml:space="preserve"> acetate from the GI tract. </w:t>
      </w:r>
    </w:p>
    <w:p w14:paraId="5FF9D0E6" w14:textId="77777777" w:rsidR="00FC6697" w:rsidRDefault="00FC6697" w:rsidP="00FC6697">
      <w:pPr>
        <w:pStyle w:val="TitleA"/>
        <w:spacing w:after="120"/>
        <w:jc w:val="left"/>
        <w:rPr>
          <w:caps/>
          <w:szCs w:val="24"/>
        </w:rPr>
      </w:pPr>
      <w:r w:rsidRPr="003703C4">
        <w:rPr>
          <w:caps/>
          <w:szCs w:val="24"/>
        </w:rPr>
        <w:t>ADVERSE EFFECTS</w:t>
      </w:r>
    </w:p>
    <w:p w14:paraId="0DCFE751" w14:textId="77777777" w:rsidR="00FC6697" w:rsidRPr="009903F9" w:rsidRDefault="00FC6697" w:rsidP="00FC6697">
      <w:pPr>
        <w:pStyle w:val="TitleA"/>
        <w:spacing w:after="120"/>
        <w:jc w:val="left"/>
        <w:rPr>
          <w:i/>
          <w:caps/>
          <w:szCs w:val="24"/>
        </w:rPr>
      </w:pPr>
      <w:r w:rsidRPr="009903F9">
        <w:rPr>
          <w:b w:val="0"/>
          <w:bCs/>
          <w:i/>
          <w:szCs w:val="24"/>
        </w:rPr>
        <w:t>Summary of the safety profile:</w:t>
      </w:r>
    </w:p>
    <w:p w14:paraId="7BE9C725" w14:textId="77777777" w:rsidR="00FC6697" w:rsidRDefault="00FC6697" w:rsidP="00FC6697">
      <w:pPr>
        <w:pStyle w:val="CTDtext"/>
      </w:pPr>
      <w:r>
        <w:t xml:space="preserve">The safety of </w:t>
      </w:r>
      <w:proofErr w:type="spellStart"/>
      <w:r>
        <w:t>ulipristal</w:t>
      </w:r>
      <w:proofErr w:type="spellEnd"/>
      <w:r>
        <w:t xml:space="preserve"> acetate has been evaluated in 4,718 women during the clinical development program.  </w:t>
      </w:r>
    </w:p>
    <w:p w14:paraId="5289C389" w14:textId="77777777" w:rsidR="00FC6697" w:rsidRDefault="00FC6697" w:rsidP="00FC6697">
      <w:pPr>
        <w:pStyle w:val="CTDtext"/>
      </w:pPr>
      <w:r>
        <w:t xml:space="preserve">The most commonly reported adverse reactions were headache, nausea, abdominal pain and dysmenorrhea.  </w:t>
      </w:r>
    </w:p>
    <w:p w14:paraId="6D7D6B4E" w14:textId="77777777" w:rsidR="00FC6697" w:rsidRPr="00CE7D64" w:rsidRDefault="00FC6697" w:rsidP="00FC6697">
      <w:pPr>
        <w:pStyle w:val="Normal11"/>
        <w:spacing w:after="240" w:line="360" w:lineRule="auto"/>
        <w:rPr>
          <w:sz w:val="24"/>
          <w:szCs w:val="24"/>
          <w:u w:val="single"/>
          <w:lang w:val="en-GB"/>
        </w:rPr>
      </w:pPr>
      <w:r w:rsidRPr="00CE7D64">
        <w:rPr>
          <w:sz w:val="24"/>
          <w:szCs w:val="24"/>
          <w:u w:val="single"/>
        </w:rPr>
        <w:t>Tabulated list of adverse reactions</w:t>
      </w:r>
    </w:p>
    <w:p w14:paraId="7F8A711D" w14:textId="77777777" w:rsidR="00FC6697" w:rsidRPr="00CE7D64" w:rsidRDefault="00FC6697" w:rsidP="00FC6697">
      <w:pPr>
        <w:pStyle w:val="Normal11"/>
        <w:spacing w:after="240" w:line="360" w:lineRule="auto"/>
        <w:rPr>
          <w:sz w:val="24"/>
          <w:szCs w:val="24"/>
          <w:lang w:val="en-GB"/>
        </w:rPr>
      </w:pPr>
      <w:r w:rsidRPr="00CE7D64">
        <w:rPr>
          <w:noProof/>
          <w:sz w:val="24"/>
          <w:szCs w:val="24"/>
          <w:lang w:val="en-GB"/>
        </w:rPr>
        <w:t xml:space="preserve">The adverse reactions reported in the phase III program of 2,637 women are provided in the table below. </w:t>
      </w:r>
    </w:p>
    <w:p w14:paraId="7D226762" w14:textId="77777777" w:rsidR="00FC6697" w:rsidRPr="00BD7B88" w:rsidRDefault="00FC6697" w:rsidP="00FC6697">
      <w:pPr>
        <w:widowControl w:val="0"/>
        <w:autoSpaceDE w:val="0"/>
        <w:autoSpaceDN w:val="0"/>
        <w:adjustRightInd w:val="0"/>
        <w:spacing w:after="240" w:line="360" w:lineRule="auto"/>
        <w:jc w:val="both"/>
        <w:rPr>
          <w:szCs w:val="24"/>
        </w:rPr>
      </w:pPr>
      <w:r w:rsidRPr="003B7C00">
        <w:rPr>
          <w:szCs w:val="24"/>
        </w:rPr>
        <w:t xml:space="preserve">Adverse reactions listed below are classified according to frequency and system organ class. </w:t>
      </w:r>
      <w:r>
        <w:t xml:space="preserve"> </w:t>
      </w:r>
      <w:r w:rsidRPr="003B7C00">
        <w:rPr>
          <w:szCs w:val="24"/>
        </w:rPr>
        <w:t>Within each frequency grouping, adverse reactions are presented in order of decreasing frequency</w:t>
      </w:r>
      <w:r w:rsidRPr="008C6411">
        <w:rPr>
          <w:szCs w:val="24"/>
          <w:lang w:val="en-US"/>
        </w:rPr>
        <w:t>.</w:t>
      </w:r>
      <w:r w:rsidRPr="007E289F">
        <w:rPr>
          <w:lang w:val="en-US"/>
        </w:rPr>
        <w:t xml:space="preserve"> </w:t>
      </w:r>
    </w:p>
    <w:p w14:paraId="1A7D9D1A" w14:textId="77777777" w:rsidR="00755823" w:rsidRDefault="00755823">
      <w:pPr>
        <w:rPr>
          <w:b/>
          <w:noProof/>
          <w:lang w:val="en-US"/>
        </w:rPr>
      </w:pPr>
      <w:r>
        <w:rPr>
          <w:lang w:val="en-US"/>
        </w:rPr>
        <w:br w:type="page"/>
      </w:r>
    </w:p>
    <w:p w14:paraId="0E05F0D0" w14:textId="6000A418" w:rsidR="00FC6697" w:rsidRDefault="00FC6697" w:rsidP="00755823">
      <w:pPr>
        <w:pStyle w:val="TitleA"/>
        <w:jc w:val="both"/>
        <w:rPr>
          <w:b w:val="0"/>
          <w:szCs w:val="22"/>
        </w:rPr>
      </w:pPr>
      <w:r>
        <w:rPr>
          <w:lang w:val="en-US"/>
        </w:rPr>
        <w:lastRenderedPageBreak/>
        <w:t>The table lists adverse reactions according to system organ class and frequency: very common (≥1/10), common (≥ 1/100 to &lt;1/10), uncommon (≥ 1/1,000 to &lt;1/100) and rare (≥1/10,000 to &lt;1/1,000).</w:t>
      </w: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5"/>
        <w:gridCol w:w="1504"/>
        <w:gridCol w:w="1757"/>
        <w:gridCol w:w="1842"/>
        <w:gridCol w:w="2268"/>
      </w:tblGrid>
      <w:tr w:rsidR="00FC6697" w:rsidRPr="009903F9" w14:paraId="5F17D87D" w14:textId="77777777" w:rsidTr="00FC6697">
        <w:tc>
          <w:tcPr>
            <w:tcW w:w="1985" w:type="dxa"/>
            <w:tcBorders>
              <w:top w:val="single" w:sz="4" w:space="0" w:color="auto"/>
              <w:left w:val="single" w:sz="4" w:space="0" w:color="auto"/>
              <w:bottom w:val="single" w:sz="4" w:space="0" w:color="auto"/>
              <w:right w:val="single" w:sz="4" w:space="0" w:color="auto"/>
            </w:tcBorders>
          </w:tcPr>
          <w:p w14:paraId="14F40E84" w14:textId="77777777" w:rsidR="00FC6697" w:rsidRPr="009903F9" w:rsidRDefault="00FC6697" w:rsidP="00FC6697">
            <w:pPr>
              <w:keepNext/>
              <w:keepLines/>
              <w:rPr>
                <w:b/>
                <w:sz w:val="22"/>
                <w:szCs w:val="22"/>
              </w:rPr>
            </w:pPr>
            <w:r w:rsidRPr="009903F9">
              <w:rPr>
                <w:b/>
                <w:sz w:val="22"/>
                <w:szCs w:val="22"/>
              </w:rPr>
              <w:br w:type="page"/>
            </w:r>
            <w:proofErr w:type="spellStart"/>
            <w:r w:rsidRPr="009903F9">
              <w:rPr>
                <w:b/>
                <w:sz w:val="22"/>
                <w:szCs w:val="22"/>
              </w:rPr>
              <w:t>MedDRA</w:t>
            </w:r>
            <w:proofErr w:type="spellEnd"/>
          </w:p>
        </w:tc>
        <w:tc>
          <w:tcPr>
            <w:tcW w:w="7371" w:type="dxa"/>
            <w:gridSpan w:val="4"/>
            <w:tcBorders>
              <w:top w:val="single" w:sz="4" w:space="0" w:color="auto"/>
              <w:left w:val="single" w:sz="4" w:space="0" w:color="auto"/>
              <w:bottom w:val="single" w:sz="4" w:space="0" w:color="auto"/>
              <w:right w:val="single" w:sz="4" w:space="0" w:color="auto"/>
            </w:tcBorders>
          </w:tcPr>
          <w:p w14:paraId="71DDA535" w14:textId="77777777" w:rsidR="00FC6697" w:rsidRPr="009903F9" w:rsidRDefault="00FC6697" w:rsidP="00FC6697">
            <w:pPr>
              <w:keepNext/>
              <w:keepLines/>
              <w:jc w:val="center"/>
              <w:rPr>
                <w:b/>
                <w:sz w:val="22"/>
                <w:szCs w:val="22"/>
              </w:rPr>
            </w:pPr>
            <w:r w:rsidRPr="009903F9">
              <w:rPr>
                <w:b/>
                <w:sz w:val="22"/>
                <w:szCs w:val="22"/>
              </w:rPr>
              <w:t>Adverse reactions (frequency)</w:t>
            </w:r>
          </w:p>
        </w:tc>
      </w:tr>
      <w:tr w:rsidR="00FC6697" w:rsidRPr="00BA3E59" w14:paraId="3B65DEAB" w14:textId="77777777" w:rsidTr="00FC6697">
        <w:tc>
          <w:tcPr>
            <w:tcW w:w="1985" w:type="dxa"/>
            <w:tcBorders>
              <w:top w:val="single" w:sz="4" w:space="0" w:color="auto"/>
              <w:left w:val="single" w:sz="4" w:space="0" w:color="auto"/>
              <w:bottom w:val="single" w:sz="4" w:space="0" w:color="auto"/>
              <w:right w:val="single" w:sz="4" w:space="0" w:color="auto"/>
            </w:tcBorders>
          </w:tcPr>
          <w:p w14:paraId="30D92561" w14:textId="77777777" w:rsidR="00FC6697" w:rsidRPr="009E096A" w:rsidRDefault="00FC6697" w:rsidP="00FC6697">
            <w:pPr>
              <w:keepNext/>
              <w:keepLines/>
              <w:widowControl w:val="0"/>
              <w:autoSpaceDE w:val="0"/>
              <w:autoSpaceDN w:val="0"/>
              <w:adjustRightInd w:val="0"/>
              <w:rPr>
                <w:b/>
                <w:sz w:val="22"/>
                <w:szCs w:val="22"/>
              </w:rPr>
            </w:pPr>
            <w:r w:rsidRPr="009E096A">
              <w:rPr>
                <w:b/>
                <w:sz w:val="22"/>
                <w:szCs w:val="22"/>
              </w:rPr>
              <w:t>System Organ Class</w:t>
            </w:r>
          </w:p>
        </w:tc>
        <w:tc>
          <w:tcPr>
            <w:tcW w:w="1504" w:type="dxa"/>
            <w:tcBorders>
              <w:top w:val="single" w:sz="4" w:space="0" w:color="auto"/>
              <w:left w:val="single" w:sz="4" w:space="0" w:color="auto"/>
              <w:bottom w:val="single" w:sz="4" w:space="0" w:color="auto"/>
              <w:right w:val="single" w:sz="4" w:space="0" w:color="auto"/>
            </w:tcBorders>
          </w:tcPr>
          <w:p w14:paraId="157BB848" w14:textId="77777777" w:rsidR="00FC6697" w:rsidRPr="009E096A" w:rsidRDefault="00FC6697" w:rsidP="00FC6697">
            <w:pPr>
              <w:keepNext/>
              <w:keepLines/>
              <w:widowControl w:val="0"/>
              <w:autoSpaceDE w:val="0"/>
              <w:autoSpaceDN w:val="0"/>
              <w:adjustRightInd w:val="0"/>
              <w:rPr>
                <w:b/>
                <w:sz w:val="22"/>
                <w:szCs w:val="22"/>
              </w:rPr>
            </w:pPr>
            <w:r>
              <w:rPr>
                <w:b/>
                <w:sz w:val="22"/>
                <w:szCs w:val="22"/>
              </w:rPr>
              <w:t>Very Common</w:t>
            </w:r>
          </w:p>
        </w:tc>
        <w:tc>
          <w:tcPr>
            <w:tcW w:w="1757" w:type="dxa"/>
            <w:tcBorders>
              <w:top w:val="single" w:sz="4" w:space="0" w:color="auto"/>
              <w:left w:val="single" w:sz="4" w:space="0" w:color="auto"/>
              <w:bottom w:val="single" w:sz="4" w:space="0" w:color="auto"/>
              <w:right w:val="single" w:sz="4" w:space="0" w:color="auto"/>
            </w:tcBorders>
          </w:tcPr>
          <w:p w14:paraId="465964EB" w14:textId="77777777" w:rsidR="00FC6697" w:rsidRPr="00BA3E59" w:rsidRDefault="00FC6697" w:rsidP="00FC6697">
            <w:pPr>
              <w:keepNext/>
              <w:keepLines/>
              <w:widowControl w:val="0"/>
              <w:autoSpaceDE w:val="0"/>
              <w:autoSpaceDN w:val="0"/>
              <w:adjustRightInd w:val="0"/>
              <w:rPr>
                <w:b/>
                <w:sz w:val="22"/>
                <w:szCs w:val="22"/>
              </w:rPr>
            </w:pPr>
            <w:r w:rsidRPr="00BA3E59">
              <w:rPr>
                <w:b/>
                <w:sz w:val="22"/>
                <w:szCs w:val="22"/>
              </w:rPr>
              <w:t>Common</w:t>
            </w:r>
          </w:p>
          <w:p w14:paraId="6E815F23" w14:textId="77777777" w:rsidR="00FC6697" w:rsidRPr="00BA3E59" w:rsidRDefault="00FC6697" w:rsidP="00FC6697">
            <w:pPr>
              <w:keepNext/>
              <w:keepLines/>
              <w:widowControl w:val="0"/>
              <w:autoSpaceDE w:val="0"/>
              <w:autoSpaceDN w:val="0"/>
              <w:adjustRightInd w:val="0"/>
              <w:rPr>
                <w:b/>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42BC4C3" w14:textId="77777777" w:rsidR="00FC6697" w:rsidRPr="00BA3E59" w:rsidRDefault="00FC6697" w:rsidP="00FC6697">
            <w:pPr>
              <w:keepNext/>
              <w:keepLines/>
              <w:widowControl w:val="0"/>
              <w:autoSpaceDE w:val="0"/>
              <w:autoSpaceDN w:val="0"/>
              <w:adjustRightInd w:val="0"/>
              <w:rPr>
                <w:b/>
                <w:sz w:val="22"/>
                <w:szCs w:val="22"/>
              </w:rPr>
            </w:pPr>
            <w:r w:rsidRPr="00BA3E59">
              <w:rPr>
                <w:b/>
                <w:sz w:val="22"/>
                <w:szCs w:val="22"/>
              </w:rPr>
              <w:t>Uncommon</w:t>
            </w:r>
          </w:p>
          <w:p w14:paraId="4E286134" w14:textId="77777777" w:rsidR="00FC6697" w:rsidRPr="00BA3E59" w:rsidRDefault="00FC6697" w:rsidP="00FC6697">
            <w:pPr>
              <w:keepNext/>
              <w:keepLines/>
              <w:widowControl w:val="0"/>
              <w:autoSpaceDE w:val="0"/>
              <w:autoSpaceDN w:val="0"/>
              <w:adjustRightInd w:val="0"/>
              <w:rPr>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E25E52C" w14:textId="77777777" w:rsidR="00FC6697" w:rsidRPr="00BA3E59" w:rsidRDefault="00FC6697" w:rsidP="00FC6697">
            <w:pPr>
              <w:keepNext/>
              <w:keepLines/>
              <w:widowControl w:val="0"/>
              <w:autoSpaceDE w:val="0"/>
              <w:autoSpaceDN w:val="0"/>
              <w:adjustRightInd w:val="0"/>
              <w:rPr>
                <w:b/>
                <w:sz w:val="22"/>
                <w:szCs w:val="22"/>
              </w:rPr>
            </w:pPr>
            <w:r w:rsidRPr="00BA3E59">
              <w:rPr>
                <w:b/>
                <w:sz w:val="22"/>
                <w:szCs w:val="22"/>
              </w:rPr>
              <w:t>Rare</w:t>
            </w:r>
          </w:p>
          <w:p w14:paraId="0ED5CEA9" w14:textId="77777777" w:rsidR="00FC6697" w:rsidRPr="009E096A" w:rsidRDefault="00FC6697" w:rsidP="00FC6697">
            <w:pPr>
              <w:keepNext/>
              <w:keepLines/>
              <w:widowControl w:val="0"/>
              <w:autoSpaceDE w:val="0"/>
              <w:autoSpaceDN w:val="0"/>
              <w:adjustRightInd w:val="0"/>
              <w:rPr>
                <w:b/>
                <w:sz w:val="22"/>
                <w:szCs w:val="22"/>
              </w:rPr>
            </w:pPr>
          </w:p>
        </w:tc>
      </w:tr>
      <w:tr w:rsidR="00FC6697" w:rsidRPr="00635C8D" w14:paraId="3A07CDBB" w14:textId="77777777" w:rsidTr="00FC6697">
        <w:tc>
          <w:tcPr>
            <w:tcW w:w="1985" w:type="dxa"/>
            <w:tcBorders>
              <w:top w:val="single" w:sz="4" w:space="0" w:color="auto"/>
              <w:left w:val="single" w:sz="4" w:space="0" w:color="auto"/>
              <w:bottom w:val="single" w:sz="4" w:space="0" w:color="auto"/>
              <w:right w:val="single" w:sz="4" w:space="0" w:color="auto"/>
            </w:tcBorders>
          </w:tcPr>
          <w:p w14:paraId="4E1C2594"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Infections and infestations </w:t>
            </w:r>
          </w:p>
        </w:tc>
        <w:tc>
          <w:tcPr>
            <w:tcW w:w="1504" w:type="dxa"/>
            <w:tcBorders>
              <w:top w:val="single" w:sz="4" w:space="0" w:color="auto"/>
              <w:left w:val="single" w:sz="4" w:space="0" w:color="auto"/>
              <w:bottom w:val="single" w:sz="4" w:space="0" w:color="auto"/>
              <w:right w:val="single" w:sz="4" w:space="0" w:color="auto"/>
            </w:tcBorders>
          </w:tcPr>
          <w:p w14:paraId="28DA8857"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62AD48D2" w14:textId="77777777" w:rsidR="00FC6697" w:rsidRPr="00F01155" w:rsidRDefault="00FC6697" w:rsidP="00FC6697">
            <w:pPr>
              <w:keepNext/>
              <w:keepLines/>
              <w:widowControl w:val="0"/>
              <w:autoSpaceDE w:val="0"/>
              <w:autoSpaceDN w:val="0"/>
              <w:adjustRightInd w:val="0"/>
              <w:rPr>
                <w:sz w:val="20"/>
              </w:rPr>
            </w:pPr>
          </w:p>
        </w:tc>
        <w:tc>
          <w:tcPr>
            <w:tcW w:w="1842" w:type="dxa"/>
            <w:tcBorders>
              <w:top w:val="single" w:sz="4" w:space="0" w:color="auto"/>
              <w:left w:val="single" w:sz="4" w:space="0" w:color="auto"/>
              <w:bottom w:val="single" w:sz="4" w:space="0" w:color="auto"/>
              <w:right w:val="single" w:sz="4" w:space="0" w:color="auto"/>
            </w:tcBorders>
          </w:tcPr>
          <w:p w14:paraId="2CCF8A9D"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Influenza </w:t>
            </w:r>
            <w:r w:rsidRPr="00F01155">
              <w:rPr>
                <w:sz w:val="20"/>
                <w:szCs w:val="20"/>
                <w:lang w:val="en-US"/>
              </w:rPr>
              <w:t xml:space="preserve"> </w:t>
            </w:r>
          </w:p>
        </w:tc>
        <w:tc>
          <w:tcPr>
            <w:tcW w:w="2268" w:type="dxa"/>
            <w:tcBorders>
              <w:top w:val="single" w:sz="4" w:space="0" w:color="auto"/>
              <w:left w:val="single" w:sz="4" w:space="0" w:color="auto"/>
              <w:bottom w:val="single" w:sz="4" w:space="0" w:color="auto"/>
              <w:right w:val="single" w:sz="4" w:space="0" w:color="auto"/>
            </w:tcBorders>
          </w:tcPr>
          <w:p w14:paraId="31057936"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 </w:t>
            </w:r>
          </w:p>
        </w:tc>
      </w:tr>
      <w:tr w:rsidR="00FC6697" w:rsidRPr="00635C8D" w14:paraId="0FE0E6B4" w14:textId="77777777" w:rsidTr="00FC6697">
        <w:tc>
          <w:tcPr>
            <w:tcW w:w="1985" w:type="dxa"/>
            <w:tcBorders>
              <w:top w:val="single" w:sz="4" w:space="0" w:color="auto"/>
              <w:left w:val="single" w:sz="4" w:space="0" w:color="auto"/>
              <w:bottom w:val="single" w:sz="4" w:space="0" w:color="auto"/>
              <w:right w:val="single" w:sz="4" w:space="0" w:color="auto"/>
            </w:tcBorders>
          </w:tcPr>
          <w:p w14:paraId="586C52DA"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Metabolism and nutrition disorders </w:t>
            </w:r>
          </w:p>
        </w:tc>
        <w:tc>
          <w:tcPr>
            <w:tcW w:w="1504" w:type="dxa"/>
            <w:tcBorders>
              <w:top w:val="single" w:sz="4" w:space="0" w:color="auto"/>
              <w:left w:val="single" w:sz="4" w:space="0" w:color="auto"/>
              <w:bottom w:val="single" w:sz="4" w:space="0" w:color="auto"/>
              <w:right w:val="single" w:sz="4" w:space="0" w:color="auto"/>
            </w:tcBorders>
          </w:tcPr>
          <w:p w14:paraId="4EB35FD1"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526FC0F9" w14:textId="77777777" w:rsidR="00FC6697" w:rsidRPr="00F01155" w:rsidRDefault="00FC6697" w:rsidP="00FC6697">
            <w:pPr>
              <w:keepNext/>
              <w:keepLines/>
              <w:widowControl w:val="0"/>
              <w:autoSpaceDE w:val="0"/>
              <w:autoSpaceDN w:val="0"/>
              <w:adjustRightInd w:val="0"/>
              <w:rPr>
                <w:sz w:val="20"/>
              </w:rPr>
            </w:pPr>
          </w:p>
        </w:tc>
        <w:tc>
          <w:tcPr>
            <w:tcW w:w="1842" w:type="dxa"/>
            <w:tcBorders>
              <w:top w:val="single" w:sz="4" w:space="0" w:color="auto"/>
              <w:left w:val="single" w:sz="4" w:space="0" w:color="auto"/>
              <w:bottom w:val="single" w:sz="4" w:space="0" w:color="auto"/>
              <w:right w:val="single" w:sz="4" w:space="0" w:color="auto"/>
            </w:tcBorders>
          </w:tcPr>
          <w:p w14:paraId="244AE773" w14:textId="77777777" w:rsidR="00FC6697" w:rsidRPr="00F01155" w:rsidRDefault="00FC6697" w:rsidP="00FC6697">
            <w:pPr>
              <w:keepNext/>
              <w:keepLines/>
              <w:widowControl w:val="0"/>
              <w:autoSpaceDE w:val="0"/>
              <w:autoSpaceDN w:val="0"/>
              <w:adjustRightInd w:val="0"/>
              <w:rPr>
                <w:sz w:val="20"/>
              </w:rPr>
            </w:pPr>
            <w:r w:rsidRPr="00F01155">
              <w:rPr>
                <w:sz w:val="20"/>
              </w:rPr>
              <w:t>Appetite disorders</w:t>
            </w:r>
          </w:p>
        </w:tc>
        <w:tc>
          <w:tcPr>
            <w:tcW w:w="2268" w:type="dxa"/>
            <w:tcBorders>
              <w:top w:val="single" w:sz="4" w:space="0" w:color="auto"/>
              <w:left w:val="single" w:sz="4" w:space="0" w:color="auto"/>
              <w:bottom w:val="single" w:sz="4" w:space="0" w:color="auto"/>
              <w:right w:val="single" w:sz="4" w:space="0" w:color="auto"/>
            </w:tcBorders>
          </w:tcPr>
          <w:p w14:paraId="689DFC32" w14:textId="77777777" w:rsidR="00FC6697" w:rsidRPr="00F01155" w:rsidRDefault="00FC6697" w:rsidP="00FC6697">
            <w:pPr>
              <w:keepNext/>
              <w:keepLines/>
              <w:widowControl w:val="0"/>
              <w:autoSpaceDE w:val="0"/>
              <w:autoSpaceDN w:val="0"/>
              <w:adjustRightInd w:val="0"/>
              <w:rPr>
                <w:sz w:val="20"/>
              </w:rPr>
            </w:pPr>
          </w:p>
        </w:tc>
      </w:tr>
      <w:tr w:rsidR="00FC6697" w:rsidRPr="00635C8D" w14:paraId="74D612C1" w14:textId="77777777" w:rsidTr="00FC6697">
        <w:tc>
          <w:tcPr>
            <w:tcW w:w="1985" w:type="dxa"/>
            <w:tcBorders>
              <w:top w:val="single" w:sz="4" w:space="0" w:color="auto"/>
              <w:left w:val="single" w:sz="4" w:space="0" w:color="auto"/>
              <w:bottom w:val="single" w:sz="4" w:space="0" w:color="auto"/>
              <w:right w:val="single" w:sz="4" w:space="0" w:color="auto"/>
            </w:tcBorders>
          </w:tcPr>
          <w:p w14:paraId="41FF4761"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Psychiatric disorders </w:t>
            </w:r>
          </w:p>
        </w:tc>
        <w:tc>
          <w:tcPr>
            <w:tcW w:w="1504" w:type="dxa"/>
            <w:tcBorders>
              <w:top w:val="single" w:sz="4" w:space="0" w:color="auto"/>
              <w:left w:val="single" w:sz="4" w:space="0" w:color="auto"/>
              <w:bottom w:val="single" w:sz="4" w:space="0" w:color="auto"/>
              <w:right w:val="single" w:sz="4" w:space="0" w:color="auto"/>
            </w:tcBorders>
          </w:tcPr>
          <w:p w14:paraId="796232B8"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4740BEEB" w14:textId="77777777" w:rsidR="00FC6697" w:rsidRPr="00F01155" w:rsidRDefault="00FC6697" w:rsidP="00FC6697">
            <w:pPr>
              <w:keepNext/>
              <w:keepLines/>
              <w:widowControl w:val="0"/>
              <w:autoSpaceDE w:val="0"/>
              <w:autoSpaceDN w:val="0"/>
              <w:adjustRightInd w:val="0"/>
              <w:rPr>
                <w:sz w:val="20"/>
              </w:rPr>
            </w:pPr>
            <w:r w:rsidRPr="00F01155">
              <w:rPr>
                <w:sz w:val="20"/>
              </w:rPr>
              <w:t>Mood disorders</w:t>
            </w:r>
          </w:p>
        </w:tc>
        <w:tc>
          <w:tcPr>
            <w:tcW w:w="1842" w:type="dxa"/>
            <w:tcBorders>
              <w:top w:val="single" w:sz="4" w:space="0" w:color="auto"/>
              <w:left w:val="single" w:sz="4" w:space="0" w:color="auto"/>
              <w:bottom w:val="single" w:sz="4" w:space="0" w:color="auto"/>
              <w:right w:val="single" w:sz="4" w:space="0" w:color="auto"/>
            </w:tcBorders>
          </w:tcPr>
          <w:p w14:paraId="19E923CD"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Emotional disorder </w:t>
            </w:r>
          </w:p>
          <w:p w14:paraId="200F2E91"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Anxiety </w:t>
            </w:r>
          </w:p>
          <w:p w14:paraId="017A21E8" w14:textId="77777777" w:rsidR="00FC6697" w:rsidRPr="00F01155" w:rsidRDefault="00FC6697" w:rsidP="00FC6697">
            <w:pPr>
              <w:pStyle w:val="Normaljustifi"/>
              <w:keepNext/>
              <w:keepLines/>
              <w:spacing w:before="0" w:after="0"/>
              <w:rPr>
                <w:sz w:val="20"/>
                <w:szCs w:val="20"/>
                <w:lang w:val="en-US"/>
              </w:rPr>
            </w:pPr>
            <w:r w:rsidRPr="00F01155">
              <w:rPr>
                <w:sz w:val="20"/>
                <w:szCs w:val="20"/>
                <w:lang w:val="en-GB"/>
              </w:rPr>
              <w:t xml:space="preserve">Insomnia </w:t>
            </w:r>
          </w:p>
          <w:p w14:paraId="457381B8"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Hyperactivity disorder </w:t>
            </w:r>
          </w:p>
          <w:p w14:paraId="7B4451C6"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Libido changes </w:t>
            </w:r>
          </w:p>
        </w:tc>
        <w:tc>
          <w:tcPr>
            <w:tcW w:w="2268" w:type="dxa"/>
            <w:tcBorders>
              <w:top w:val="single" w:sz="4" w:space="0" w:color="auto"/>
              <w:left w:val="single" w:sz="4" w:space="0" w:color="auto"/>
              <w:bottom w:val="single" w:sz="4" w:space="0" w:color="auto"/>
              <w:right w:val="single" w:sz="4" w:space="0" w:color="auto"/>
            </w:tcBorders>
          </w:tcPr>
          <w:p w14:paraId="07020DBF" w14:textId="77777777" w:rsidR="00FC6697" w:rsidRPr="00F01155" w:rsidRDefault="00FC6697" w:rsidP="00FC6697">
            <w:pPr>
              <w:keepNext/>
              <w:keepLines/>
              <w:widowControl w:val="0"/>
              <w:autoSpaceDE w:val="0"/>
              <w:autoSpaceDN w:val="0"/>
              <w:adjustRightInd w:val="0"/>
              <w:rPr>
                <w:sz w:val="20"/>
              </w:rPr>
            </w:pPr>
            <w:r w:rsidRPr="00F01155">
              <w:rPr>
                <w:sz w:val="20"/>
              </w:rPr>
              <w:t>Disorientation</w:t>
            </w:r>
          </w:p>
        </w:tc>
      </w:tr>
      <w:tr w:rsidR="00FC6697" w:rsidRPr="00635C8D" w14:paraId="11D85A7C" w14:textId="77777777" w:rsidTr="00FC6697">
        <w:tc>
          <w:tcPr>
            <w:tcW w:w="1985" w:type="dxa"/>
            <w:tcBorders>
              <w:top w:val="single" w:sz="4" w:space="0" w:color="auto"/>
              <w:left w:val="single" w:sz="4" w:space="0" w:color="auto"/>
              <w:bottom w:val="single" w:sz="4" w:space="0" w:color="auto"/>
              <w:right w:val="single" w:sz="4" w:space="0" w:color="auto"/>
            </w:tcBorders>
          </w:tcPr>
          <w:p w14:paraId="539A630F"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Nervous system disorders </w:t>
            </w:r>
          </w:p>
        </w:tc>
        <w:tc>
          <w:tcPr>
            <w:tcW w:w="1504" w:type="dxa"/>
            <w:tcBorders>
              <w:top w:val="single" w:sz="4" w:space="0" w:color="auto"/>
              <w:left w:val="single" w:sz="4" w:space="0" w:color="auto"/>
              <w:bottom w:val="single" w:sz="4" w:space="0" w:color="auto"/>
              <w:right w:val="single" w:sz="4" w:space="0" w:color="auto"/>
            </w:tcBorders>
          </w:tcPr>
          <w:p w14:paraId="64D71455"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2A33F193" w14:textId="77777777" w:rsidR="00FC6697" w:rsidRPr="00F01155" w:rsidRDefault="00FC6697" w:rsidP="00FC6697">
            <w:pPr>
              <w:keepNext/>
              <w:keepLines/>
              <w:widowControl w:val="0"/>
              <w:autoSpaceDE w:val="0"/>
              <w:autoSpaceDN w:val="0"/>
              <w:adjustRightInd w:val="0"/>
              <w:rPr>
                <w:sz w:val="20"/>
              </w:rPr>
            </w:pPr>
            <w:r w:rsidRPr="00F01155">
              <w:rPr>
                <w:sz w:val="20"/>
              </w:rPr>
              <w:t>Headache</w:t>
            </w:r>
          </w:p>
          <w:p w14:paraId="25C74F13" w14:textId="77777777" w:rsidR="00FC6697" w:rsidRPr="00F01155" w:rsidRDefault="00FC6697" w:rsidP="00FC6697">
            <w:pPr>
              <w:keepNext/>
              <w:keepLines/>
              <w:widowControl w:val="0"/>
              <w:autoSpaceDE w:val="0"/>
              <w:autoSpaceDN w:val="0"/>
              <w:adjustRightInd w:val="0"/>
              <w:rPr>
                <w:sz w:val="20"/>
              </w:rPr>
            </w:pPr>
            <w:r w:rsidRPr="00F01155">
              <w:rPr>
                <w:sz w:val="20"/>
              </w:rPr>
              <w:t>Dizziness</w:t>
            </w:r>
          </w:p>
        </w:tc>
        <w:tc>
          <w:tcPr>
            <w:tcW w:w="1842" w:type="dxa"/>
            <w:tcBorders>
              <w:top w:val="single" w:sz="4" w:space="0" w:color="auto"/>
              <w:left w:val="single" w:sz="4" w:space="0" w:color="auto"/>
              <w:bottom w:val="single" w:sz="4" w:space="0" w:color="auto"/>
              <w:right w:val="single" w:sz="4" w:space="0" w:color="auto"/>
            </w:tcBorders>
          </w:tcPr>
          <w:p w14:paraId="6A3147FE" w14:textId="77777777" w:rsidR="00FC6697" w:rsidRPr="00F01155" w:rsidRDefault="00FC6697" w:rsidP="00FC6697">
            <w:pPr>
              <w:keepNext/>
              <w:keepLines/>
              <w:widowControl w:val="0"/>
              <w:autoSpaceDE w:val="0"/>
              <w:autoSpaceDN w:val="0"/>
              <w:adjustRightInd w:val="0"/>
              <w:rPr>
                <w:sz w:val="20"/>
              </w:rPr>
            </w:pPr>
            <w:r w:rsidRPr="00F01155">
              <w:rPr>
                <w:sz w:val="20"/>
              </w:rPr>
              <w:t>Somnolence</w:t>
            </w:r>
          </w:p>
          <w:p w14:paraId="7FA3CF09"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Migraine </w:t>
            </w:r>
          </w:p>
        </w:tc>
        <w:tc>
          <w:tcPr>
            <w:tcW w:w="2268" w:type="dxa"/>
            <w:tcBorders>
              <w:top w:val="single" w:sz="4" w:space="0" w:color="auto"/>
              <w:left w:val="single" w:sz="4" w:space="0" w:color="auto"/>
              <w:bottom w:val="single" w:sz="4" w:space="0" w:color="auto"/>
              <w:right w:val="single" w:sz="4" w:space="0" w:color="auto"/>
            </w:tcBorders>
          </w:tcPr>
          <w:p w14:paraId="4A4A7E76"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Tremor </w:t>
            </w:r>
          </w:p>
          <w:p w14:paraId="26E247D1"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Disturbance in attention </w:t>
            </w:r>
          </w:p>
          <w:p w14:paraId="51E9D353" w14:textId="77777777" w:rsidR="00FC6697" w:rsidRPr="00F01155" w:rsidRDefault="00FC6697" w:rsidP="00FC6697">
            <w:pPr>
              <w:pStyle w:val="Normaljustifi"/>
              <w:keepNext/>
              <w:keepLines/>
              <w:spacing w:before="0" w:after="0"/>
              <w:rPr>
                <w:sz w:val="20"/>
                <w:szCs w:val="20"/>
                <w:lang w:val="en-US"/>
              </w:rPr>
            </w:pPr>
            <w:proofErr w:type="spellStart"/>
            <w:r w:rsidRPr="00F01155">
              <w:rPr>
                <w:sz w:val="20"/>
                <w:szCs w:val="20"/>
                <w:lang w:val="en-GB"/>
              </w:rPr>
              <w:t>Dysgueusia</w:t>
            </w:r>
            <w:proofErr w:type="spellEnd"/>
            <w:r w:rsidRPr="00F01155">
              <w:rPr>
                <w:sz w:val="20"/>
                <w:szCs w:val="20"/>
                <w:lang w:val="en-GB"/>
              </w:rPr>
              <w:t xml:space="preserve"> </w:t>
            </w:r>
          </w:p>
          <w:p w14:paraId="125CEC0D"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Syncope </w:t>
            </w:r>
          </w:p>
        </w:tc>
      </w:tr>
      <w:tr w:rsidR="00FC6697" w:rsidRPr="00635C8D" w14:paraId="43F6F0B1" w14:textId="77777777" w:rsidTr="00FC6697">
        <w:tc>
          <w:tcPr>
            <w:tcW w:w="1985" w:type="dxa"/>
            <w:tcBorders>
              <w:top w:val="single" w:sz="4" w:space="0" w:color="auto"/>
              <w:left w:val="single" w:sz="4" w:space="0" w:color="auto"/>
              <w:bottom w:val="single" w:sz="4" w:space="0" w:color="auto"/>
              <w:right w:val="single" w:sz="4" w:space="0" w:color="auto"/>
            </w:tcBorders>
          </w:tcPr>
          <w:p w14:paraId="3413FD85"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Eye disorders </w:t>
            </w:r>
          </w:p>
        </w:tc>
        <w:tc>
          <w:tcPr>
            <w:tcW w:w="1504" w:type="dxa"/>
            <w:tcBorders>
              <w:top w:val="single" w:sz="4" w:space="0" w:color="auto"/>
              <w:left w:val="single" w:sz="4" w:space="0" w:color="auto"/>
              <w:bottom w:val="single" w:sz="4" w:space="0" w:color="auto"/>
              <w:right w:val="single" w:sz="4" w:space="0" w:color="auto"/>
            </w:tcBorders>
          </w:tcPr>
          <w:p w14:paraId="7DF1B32D"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3C73B9B6" w14:textId="77777777" w:rsidR="00FC6697" w:rsidRPr="00F01155" w:rsidRDefault="00FC6697" w:rsidP="00FC6697">
            <w:pPr>
              <w:keepNext/>
              <w:keepLines/>
              <w:widowControl w:val="0"/>
              <w:autoSpaceDE w:val="0"/>
              <w:autoSpaceDN w:val="0"/>
              <w:adjustRightInd w:val="0"/>
              <w:rPr>
                <w:sz w:val="20"/>
              </w:rPr>
            </w:pPr>
          </w:p>
        </w:tc>
        <w:tc>
          <w:tcPr>
            <w:tcW w:w="1842" w:type="dxa"/>
            <w:tcBorders>
              <w:top w:val="single" w:sz="4" w:space="0" w:color="auto"/>
              <w:left w:val="single" w:sz="4" w:space="0" w:color="auto"/>
              <w:bottom w:val="single" w:sz="4" w:space="0" w:color="auto"/>
              <w:right w:val="single" w:sz="4" w:space="0" w:color="auto"/>
            </w:tcBorders>
          </w:tcPr>
          <w:p w14:paraId="3EA85867" w14:textId="77777777" w:rsidR="00FC6697" w:rsidRPr="00F01155" w:rsidRDefault="00FC6697" w:rsidP="00FC6697">
            <w:pPr>
              <w:keepNext/>
              <w:keepLines/>
              <w:widowControl w:val="0"/>
              <w:autoSpaceDE w:val="0"/>
              <w:autoSpaceDN w:val="0"/>
              <w:adjustRightInd w:val="0"/>
              <w:rPr>
                <w:sz w:val="20"/>
              </w:rPr>
            </w:pPr>
            <w:r w:rsidRPr="00F01155">
              <w:rPr>
                <w:sz w:val="20"/>
              </w:rPr>
              <w:t>Visual disturbance</w:t>
            </w:r>
          </w:p>
        </w:tc>
        <w:tc>
          <w:tcPr>
            <w:tcW w:w="2268" w:type="dxa"/>
            <w:tcBorders>
              <w:top w:val="single" w:sz="4" w:space="0" w:color="auto"/>
              <w:left w:val="single" w:sz="4" w:space="0" w:color="auto"/>
              <w:bottom w:val="single" w:sz="4" w:space="0" w:color="auto"/>
              <w:right w:val="single" w:sz="4" w:space="0" w:color="auto"/>
            </w:tcBorders>
          </w:tcPr>
          <w:p w14:paraId="5B5446BA"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Abnormal sensation in eye </w:t>
            </w:r>
          </w:p>
          <w:p w14:paraId="4B2A2935"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Ocular hyperaemia </w:t>
            </w:r>
          </w:p>
          <w:p w14:paraId="2B7BB5B7"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Photophobia </w:t>
            </w:r>
          </w:p>
        </w:tc>
      </w:tr>
      <w:tr w:rsidR="00FC6697" w:rsidRPr="00635C8D" w14:paraId="7B5100E2" w14:textId="77777777" w:rsidTr="00FC6697">
        <w:tc>
          <w:tcPr>
            <w:tcW w:w="1985" w:type="dxa"/>
            <w:tcBorders>
              <w:top w:val="single" w:sz="4" w:space="0" w:color="auto"/>
              <w:left w:val="single" w:sz="4" w:space="0" w:color="auto"/>
              <w:bottom w:val="single" w:sz="4" w:space="0" w:color="auto"/>
              <w:right w:val="single" w:sz="4" w:space="0" w:color="auto"/>
            </w:tcBorders>
          </w:tcPr>
          <w:p w14:paraId="737C8D84"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Ear and labyrinth disorders </w:t>
            </w:r>
          </w:p>
        </w:tc>
        <w:tc>
          <w:tcPr>
            <w:tcW w:w="1504" w:type="dxa"/>
            <w:tcBorders>
              <w:top w:val="single" w:sz="4" w:space="0" w:color="auto"/>
              <w:left w:val="single" w:sz="4" w:space="0" w:color="auto"/>
              <w:bottom w:val="single" w:sz="4" w:space="0" w:color="auto"/>
              <w:right w:val="single" w:sz="4" w:space="0" w:color="auto"/>
            </w:tcBorders>
          </w:tcPr>
          <w:p w14:paraId="0C4DEB48"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2447D30B" w14:textId="77777777" w:rsidR="00FC6697" w:rsidRPr="00F01155" w:rsidRDefault="00FC6697" w:rsidP="00FC6697">
            <w:pPr>
              <w:keepNext/>
              <w:keepLines/>
              <w:widowControl w:val="0"/>
              <w:autoSpaceDE w:val="0"/>
              <w:autoSpaceDN w:val="0"/>
              <w:adjustRightInd w:val="0"/>
              <w:rPr>
                <w:sz w:val="20"/>
              </w:rPr>
            </w:pPr>
          </w:p>
        </w:tc>
        <w:tc>
          <w:tcPr>
            <w:tcW w:w="1842" w:type="dxa"/>
            <w:tcBorders>
              <w:top w:val="single" w:sz="4" w:space="0" w:color="auto"/>
              <w:left w:val="single" w:sz="4" w:space="0" w:color="auto"/>
              <w:bottom w:val="single" w:sz="4" w:space="0" w:color="auto"/>
              <w:right w:val="single" w:sz="4" w:space="0" w:color="auto"/>
            </w:tcBorders>
          </w:tcPr>
          <w:p w14:paraId="72781513" w14:textId="77777777" w:rsidR="00FC6697" w:rsidRPr="00F01155" w:rsidRDefault="00FC6697" w:rsidP="00FC6697">
            <w:pPr>
              <w:keepNext/>
              <w:keepLines/>
              <w:widowControl w:val="0"/>
              <w:autoSpaceDE w:val="0"/>
              <w:autoSpaceDN w:val="0"/>
              <w:adjustRightInd w:val="0"/>
              <w:rPr>
                <w:sz w:val="20"/>
              </w:rPr>
            </w:pPr>
          </w:p>
        </w:tc>
        <w:tc>
          <w:tcPr>
            <w:tcW w:w="2268" w:type="dxa"/>
            <w:tcBorders>
              <w:top w:val="single" w:sz="4" w:space="0" w:color="auto"/>
              <w:left w:val="single" w:sz="4" w:space="0" w:color="auto"/>
              <w:bottom w:val="single" w:sz="4" w:space="0" w:color="auto"/>
              <w:right w:val="single" w:sz="4" w:space="0" w:color="auto"/>
            </w:tcBorders>
          </w:tcPr>
          <w:p w14:paraId="03CD7011" w14:textId="77777777" w:rsidR="00FC6697" w:rsidRPr="00F01155" w:rsidRDefault="00FC6697" w:rsidP="00FC6697">
            <w:pPr>
              <w:keepNext/>
              <w:keepLines/>
              <w:widowControl w:val="0"/>
              <w:autoSpaceDE w:val="0"/>
              <w:autoSpaceDN w:val="0"/>
              <w:adjustRightInd w:val="0"/>
              <w:rPr>
                <w:sz w:val="20"/>
              </w:rPr>
            </w:pPr>
            <w:r w:rsidRPr="00F01155">
              <w:rPr>
                <w:sz w:val="20"/>
              </w:rPr>
              <w:t>Vertigo</w:t>
            </w:r>
          </w:p>
        </w:tc>
      </w:tr>
      <w:tr w:rsidR="00FC6697" w:rsidRPr="00635C8D" w14:paraId="7ABE92C9" w14:textId="77777777" w:rsidTr="00FC6697">
        <w:tc>
          <w:tcPr>
            <w:tcW w:w="1985" w:type="dxa"/>
            <w:tcBorders>
              <w:top w:val="single" w:sz="4" w:space="0" w:color="auto"/>
              <w:left w:val="single" w:sz="4" w:space="0" w:color="auto"/>
              <w:bottom w:val="single" w:sz="4" w:space="0" w:color="auto"/>
              <w:right w:val="single" w:sz="4" w:space="0" w:color="auto"/>
            </w:tcBorders>
          </w:tcPr>
          <w:p w14:paraId="6D9BCD98"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Respiratory, thoracic and mediastinal disorders </w:t>
            </w:r>
          </w:p>
        </w:tc>
        <w:tc>
          <w:tcPr>
            <w:tcW w:w="1504" w:type="dxa"/>
            <w:tcBorders>
              <w:top w:val="single" w:sz="4" w:space="0" w:color="auto"/>
              <w:left w:val="single" w:sz="4" w:space="0" w:color="auto"/>
              <w:bottom w:val="single" w:sz="4" w:space="0" w:color="auto"/>
              <w:right w:val="single" w:sz="4" w:space="0" w:color="auto"/>
            </w:tcBorders>
          </w:tcPr>
          <w:p w14:paraId="0D2B24DA"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4B317093" w14:textId="77777777" w:rsidR="00FC6697" w:rsidRPr="00F01155" w:rsidRDefault="00FC6697" w:rsidP="00FC6697">
            <w:pPr>
              <w:keepNext/>
              <w:keepLines/>
              <w:widowControl w:val="0"/>
              <w:autoSpaceDE w:val="0"/>
              <w:autoSpaceDN w:val="0"/>
              <w:adjustRightInd w:val="0"/>
              <w:rPr>
                <w:sz w:val="20"/>
              </w:rPr>
            </w:pPr>
          </w:p>
        </w:tc>
        <w:tc>
          <w:tcPr>
            <w:tcW w:w="1842" w:type="dxa"/>
            <w:tcBorders>
              <w:top w:val="single" w:sz="4" w:space="0" w:color="auto"/>
              <w:left w:val="single" w:sz="4" w:space="0" w:color="auto"/>
              <w:bottom w:val="single" w:sz="4" w:space="0" w:color="auto"/>
              <w:right w:val="single" w:sz="4" w:space="0" w:color="auto"/>
            </w:tcBorders>
          </w:tcPr>
          <w:p w14:paraId="42B885C7" w14:textId="77777777" w:rsidR="00FC6697" w:rsidRPr="00F01155" w:rsidRDefault="00FC6697" w:rsidP="00FC6697">
            <w:pPr>
              <w:keepNext/>
              <w:keepLines/>
              <w:widowControl w:val="0"/>
              <w:autoSpaceDE w:val="0"/>
              <w:autoSpaceDN w:val="0"/>
              <w:adjustRightInd w:val="0"/>
              <w:rPr>
                <w:sz w:val="20"/>
              </w:rPr>
            </w:pPr>
          </w:p>
        </w:tc>
        <w:tc>
          <w:tcPr>
            <w:tcW w:w="2268" w:type="dxa"/>
            <w:tcBorders>
              <w:top w:val="single" w:sz="4" w:space="0" w:color="auto"/>
              <w:left w:val="single" w:sz="4" w:space="0" w:color="auto"/>
              <w:bottom w:val="single" w:sz="4" w:space="0" w:color="auto"/>
              <w:right w:val="single" w:sz="4" w:space="0" w:color="auto"/>
            </w:tcBorders>
          </w:tcPr>
          <w:p w14:paraId="3BF0FCFC" w14:textId="77777777" w:rsidR="00FC6697" w:rsidRPr="00F01155" w:rsidRDefault="00FC6697" w:rsidP="00FC6697">
            <w:pPr>
              <w:keepNext/>
              <w:keepLines/>
              <w:widowControl w:val="0"/>
              <w:autoSpaceDE w:val="0"/>
              <w:autoSpaceDN w:val="0"/>
              <w:adjustRightInd w:val="0"/>
              <w:rPr>
                <w:sz w:val="20"/>
              </w:rPr>
            </w:pPr>
            <w:r w:rsidRPr="00F01155">
              <w:rPr>
                <w:sz w:val="20"/>
              </w:rPr>
              <w:t>Dry throat</w:t>
            </w:r>
          </w:p>
          <w:p w14:paraId="27261349" w14:textId="77777777" w:rsidR="00FC6697" w:rsidRPr="00F01155" w:rsidRDefault="00FC6697" w:rsidP="00FC6697">
            <w:pPr>
              <w:pStyle w:val="Date"/>
              <w:rPr>
                <w:sz w:val="20"/>
              </w:rPr>
            </w:pPr>
          </w:p>
        </w:tc>
      </w:tr>
      <w:tr w:rsidR="00FC6697" w:rsidRPr="00635C8D" w14:paraId="595AF046" w14:textId="77777777" w:rsidTr="00FC6697">
        <w:trPr>
          <w:trHeight w:val="927"/>
        </w:trPr>
        <w:tc>
          <w:tcPr>
            <w:tcW w:w="1985" w:type="dxa"/>
            <w:tcBorders>
              <w:top w:val="single" w:sz="4" w:space="0" w:color="auto"/>
              <w:left w:val="single" w:sz="4" w:space="0" w:color="auto"/>
              <w:bottom w:val="single" w:sz="4" w:space="0" w:color="auto"/>
              <w:right w:val="single" w:sz="4" w:space="0" w:color="auto"/>
            </w:tcBorders>
          </w:tcPr>
          <w:p w14:paraId="7C121CDB"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Gastrointestinal disorders </w:t>
            </w:r>
          </w:p>
          <w:p w14:paraId="5DE9F6B7" w14:textId="77777777" w:rsidR="00FC6697" w:rsidRPr="00F01155" w:rsidRDefault="00FC6697" w:rsidP="00FC6697">
            <w:pPr>
              <w:keepNext/>
              <w:keepLines/>
              <w:widowControl w:val="0"/>
              <w:autoSpaceDE w:val="0"/>
              <w:autoSpaceDN w:val="0"/>
              <w:adjustRightInd w:val="0"/>
              <w:rPr>
                <w:sz w:val="20"/>
              </w:rPr>
            </w:pPr>
          </w:p>
        </w:tc>
        <w:tc>
          <w:tcPr>
            <w:tcW w:w="1504" w:type="dxa"/>
            <w:tcBorders>
              <w:top w:val="single" w:sz="4" w:space="0" w:color="auto"/>
              <w:left w:val="single" w:sz="4" w:space="0" w:color="auto"/>
              <w:bottom w:val="single" w:sz="4" w:space="0" w:color="auto"/>
              <w:right w:val="single" w:sz="4" w:space="0" w:color="auto"/>
            </w:tcBorders>
          </w:tcPr>
          <w:p w14:paraId="73AABFBE"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788AC020" w14:textId="77777777" w:rsidR="00FC6697" w:rsidRPr="00F01155" w:rsidRDefault="00FC6697" w:rsidP="00FC6697">
            <w:pPr>
              <w:keepNext/>
              <w:keepLines/>
              <w:widowControl w:val="0"/>
              <w:autoSpaceDE w:val="0"/>
              <w:autoSpaceDN w:val="0"/>
              <w:adjustRightInd w:val="0"/>
              <w:rPr>
                <w:sz w:val="20"/>
              </w:rPr>
            </w:pPr>
            <w:r w:rsidRPr="00F01155">
              <w:rPr>
                <w:sz w:val="20"/>
              </w:rPr>
              <w:t>Nausea*</w:t>
            </w:r>
          </w:p>
          <w:p w14:paraId="7DF97F3C"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Abdominal pain* Abdominal discomfort Vomiting* </w:t>
            </w:r>
          </w:p>
        </w:tc>
        <w:tc>
          <w:tcPr>
            <w:tcW w:w="1842" w:type="dxa"/>
            <w:tcBorders>
              <w:top w:val="single" w:sz="4" w:space="0" w:color="auto"/>
              <w:left w:val="single" w:sz="4" w:space="0" w:color="auto"/>
              <w:bottom w:val="single" w:sz="4" w:space="0" w:color="auto"/>
              <w:right w:val="single" w:sz="4" w:space="0" w:color="auto"/>
            </w:tcBorders>
          </w:tcPr>
          <w:p w14:paraId="67932B7D" w14:textId="77777777" w:rsidR="00FC6697" w:rsidRPr="00F01155" w:rsidRDefault="00FC6697" w:rsidP="00FC6697">
            <w:pPr>
              <w:keepNext/>
              <w:keepLines/>
              <w:widowControl w:val="0"/>
              <w:autoSpaceDE w:val="0"/>
              <w:autoSpaceDN w:val="0"/>
              <w:adjustRightInd w:val="0"/>
              <w:rPr>
                <w:sz w:val="20"/>
              </w:rPr>
            </w:pPr>
            <w:r w:rsidRPr="00F01155">
              <w:rPr>
                <w:sz w:val="20"/>
              </w:rPr>
              <w:t>Diarrhoea</w:t>
            </w:r>
          </w:p>
          <w:p w14:paraId="13F83CA5" w14:textId="77777777" w:rsidR="00FC6697" w:rsidRPr="00F01155" w:rsidRDefault="00FC6697" w:rsidP="00FC6697">
            <w:pPr>
              <w:keepNext/>
              <w:keepLines/>
              <w:widowControl w:val="0"/>
              <w:autoSpaceDE w:val="0"/>
              <w:autoSpaceDN w:val="0"/>
              <w:adjustRightInd w:val="0"/>
              <w:rPr>
                <w:sz w:val="20"/>
              </w:rPr>
            </w:pPr>
            <w:r w:rsidRPr="00F01155">
              <w:rPr>
                <w:sz w:val="20"/>
              </w:rPr>
              <w:t>Dry mouth</w:t>
            </w:r>
          </w:p>
          <w:p w14:paraId="353B3E70" w14:textId="77777777" w:rsidR="00FC6697" w:rsidRPr="00F01155" w:rsidRDefault="00FC6697" w:rsidP="00FC6697">
            <w:pPr>
              <w:keepNext/>
              <w:keepLines/>
              <w:widowControl w:val="0"/>
              <w:autoSpaceDE w:val="0"/>
              <w:autoSpaceDN w:val="0"/>
              <w:adjustRightInd w:val="0"/>
              <w:rPr>
                <w:sz w:val="20"/>
              </w:rPr>
            </w:pPr>
            <w:r w:rsidRPr="00F01155">
              <w:rPr>
                <w:sz w:val="20"/>
              </w:rPr>
              <w:t>Dyspepsia</w:t>
            </w:r>
            <w:r w:rsidRPr="00F01155" w:rsidDel="005D3969">
              <w:rPr>
                <w:sz w:val="20"/>
              </w:rPr>
              <w:t xml:space="preserve"> </w:t>
            </w:r>
          </w:p>
          <w:p w14:paraId="3CD726E1" w14:textId="77777777" w:rsidR="00FC6697" w:rsidRPr="00F01155" w:rsidRDefault="00FC6697" w:rsidP="00FC6697">
            <w:pPr>
              <w:keepNext/>
              <w:keepLines/>
              <w:widowControl w:val="0"/>
              <w:autoSpaceDE w:val="0"/>
              <w:autoSpaceDN w:val="0"/>
              <w:adjustRightInd w:val="0"/>
              <w:rPr>
                <w:sz w:val="20"/>
              </w:rPr>
            </w:pPr>
            <w:r w:rsidRPr="00F01155">
              <w:rPr>
                <w:sz w:val="20"/>
              </w:rPr>
              <w:t>Flatulence</w:t>
            </w:r>
          </w:p>
        </w:tc>
        <w:tc>
          <w:tcPr>
            <w:tcW w:w="2268" w:type="dxa"/>
            <w:tcBorders>
              <w:top w:val="single" w:sz="4" w:space="0" w:color="auto"/>
              <w:left w:val="single" w:sz="4" w:space="0" w:color="auto"/>
              <w:bottom w:val="single" w:sz="4" w:space="0" w:color="auto"/>
              <w:right w:val="single" w:sz="4" w:space="0" w:color="auto"/>
            </w:tcBorders>
          </w:tcPr>
          <w:p w14:paraId="24FB5790" w14:textId="77777777" w:rsidR="00FC6697" w:rsidRPr="00F01155" w:rsidRDefault="00FC6697" w:rsidP="00FC6697">
            <w:pPr>
              <w:keepNext/>
              <w:keepLines/>
              <w:widowControl w:val="0"/>
              <w:autoSpaceDE w:val="0"/>
              <w:autoSpaceDN w:val="0"/>
              <w:adjustRightInd w:val="0"/>
              <w:rPr>
                <w:sz w:val="20"/>
              </w:rPr>
            </w:pPr>
          </w:p>
        </w:tc>
      </w:tr>
      <w:tr w:rsidR="00FC6697" w:rsidRPr="00635C8D" w14:paraId="4CE0C6E2" w14:textId="77777777" w:rsidTr="00FC6697">
        <w:trPr>
          <w:trHeight w:val="461"/>
        </w:trPr>
        <w:tc>
          <w:tcPr>
            <w:tcW w:w="1985" w:type="dxa"/>
            <w:tcBorders>
              <w:top w:val="single" w:sz="4" w:space="0" w:color="auto"/>
              <w:left w:val="single" w:sz="4" w:space="0" w:color="auto"/>
              <w:bottom w:val="single" w:sz="4" w:space="0" w:color="auto"/>
              <w:right w:val="single" w:sz="4" w:space="0" w:color="auto"/>
            </w:tcBorders>
          </w:tcPr>
          <w:p w14:paraId="10C099C7"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Skin and subcutaneous tissue disorders </w:t>
            </w:r>
          </w:p>
        </w:tc>
        <w:tc>
          <w:tcPr>
            <w:tcW w:w="1504" w:type="dxa"/>
            <w:tcBorders>
              <w:top w:val="single" w:sz="4" w:space="0" w:color="auto"/>
              <w:left w:val="single" w:sz="4" w:space="0" w:color="auto"/>
              <w:bottom w:val="single" w:sz="4" w:space="0" w:color="auto"/>
              <w:right w:val="single" w:sz="4" w:space="0" w:color="auto"/>
            </w:tcBorders>
          </w:tcPr>
          <w:p w14:paraId="47D833CB"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4C47DE0B" w14:textId="77777777" w:rsidR="00FC6697" w:rsidRPr="00F01155" w:rsidRDefault="00FC6697" w:rsidP="00FC6697">
            <w:pPr>
              <w:keepNext/>
              <w:keepLines/>
              <w:widowControl w:val="0"/>
              <w:autoSpaceDE w:val="0"/>
              <w:autoSpaceDN w:val="0"/>
              <w:adjustRightInd w:val="0"/>
              <w:rPr>
                <w:sz w:val="20"/>
              </w:rPr>
            </w:pPr>
          </w:p>
        </w:tc>
        <w:tc>
          <w:tcPr>
            <w:tcW w:w="1842" w:type="dxa"/>
            <w:tcBorders>
              <w:top w:val="single" w:sz="4" w:space="0" w:color="auto"/>
              <w:left w:val="single" w:sz="4" w:space="0" w:color="auto"/>
              <w:bottom w:val="single" w:sz="4" w:space="0" w:color="auto"/>
              <w:right w:val="single" w:sz="4" w:space="0" w:color="auto"/>
            </w:tcBorders>
          </w:tcPr>
          <w:p w14:paraId="7C1E2A07" w14:textId="77777777" w:rsidR="00FC6697" w:rsidRPr="00F01155" w:rsidRDefault="00FC6697" w:rsidP="00FC6697">
            <w:pPr>
              <w:keepNext/>
              <w:keepLines/>
              <w:widowControl w:val="0"/>
              <w:autoSpaceDE w:val="0"/>
              <w:autoSpaceDN w:val="0"/>
              <w:adjustRightInd w:val="0"/>
              <w:rPr>
                <w:sz w:val="20"/>
              </w:rPr>
            </w:pPr>
            <w:r w:rsidRPr="00F01155">
              <w:rPr>
                <w:sz w:val="20"/>
              </w:rPr>
              <w:t>Acne</w:t>
            </w:r>
          </w:p>
          <w:p w14:paraId="2C3F4D2C" w14:textId="77777777" w:rsidR="00FC6697" w:rsidRPr="00F01155" w:rsidRDefault="00FC6697" w:rsidP="00FC6697">
            <w:pPr>
              <w:keepNext/>
              <w:keepLines/>
              <w:widowControl w:val="0"/>
              <w:autoSpaceDE w:val="0"/>
              <w:autoSpaceDN w:val="0"/>
              <w:adjustRightInd w:val="0"/>
              <w:rPr>
                <w:sz w:val="20"/>
              </w:rPr>
            </w:pPr>
            <w:r w:rsidRPr="00F01155">
              <w:rPr>
                <w:sz w:val="20"/>
              </w:rPr>
              <w:t>Skin lesion</w:t>
            </w:r>
          </w:p>
          <w:p w14:paraId="138069C7"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Pruritus </w:t>
            </w:r>
          </w:p>
        </w:tc>
        <w:tc>
          <w:tcPr>
            <w:tcW w:w="2268" w:type="dxa"/>
            <w:tcBorders>
              <w:top w:val="single" w:sz="4" w:space="0" w:color="auto"/>
              <w:left w:val="single" w:sz="4" w:space="0" w:color="auto"/>
              <w:bottom w:val="single" w:sz="4" w:space="0" w:color="auto"/>
              <w:right w:val="single" w:sz="4" w:space="0" w:color="auto"/>
            </w:tcBorders>
          </w:tcPr>
          <w:p w14:paraId="4066B423" w14:textId="77777777" w:rsidR="00FC6697" w:rsidRPr="00F01155" w:rsidRDefault="00FC6697" w:rsidP="00FC6697">
            <w:pPr>
              <w:pStyle w:val="Date"/>
              <w:rPr>
                <w:sz w:val="20"/>
              </w:rPr>
            </w:pPr>
            <w:proofErr w:type="spellStart"/>
            <w:r w:rsidRPr="00F01155">
              <w:rPr>
                <w:sz w:val="20"/>
              </w:rPr>
              <w:t>Urticaria</w:t>
            </w:r>
            <w:proofErr w:type="spellEnd"/>
          </w:p>
          <w:p w14:paraId="3F196913" w14:textId="77777777" w:rsidR="00FC6697" w:rsidRPr="00F01155" w:rsidRDefault="00FC6697" w:rsidP="00FC6697">
            <w:pPr>
              <w:rPr>
                <w:sz w:val="20"/>
              </w:rPr>
            </w:pPr>
          </w:p>
        </w:tc>
      </w:tr>
      <w:tr w:rsidR="00FC6697" w:rsidRPr="00635C8D" w14:paraId="627AD67F" w14:textId="77777777" w:rsidTr="00FC6697">
        <w:trPr>
          <w:trHeight w:val="451"/>
        </w:trPr>
        <w:tc>
          <w:tcPr>
            <w:tcW w:w="1985" w:type="dxa"/>
            <w:tcBorders>
              <w:top w:val="single" w:sz="4" w:space="0" w:color="auto"/>
              <w:left w:val="single" w:sz="4" w:space="0" w:color="auto"/>
              <w:bottom w:val="single" w:sz="4" w:space="0" w:color="auto"/>
              <w:right w:val="single" w:sz="4" w:space="0" w:color="auto"/>
            </w:tcBorders>
          </w:tcPr>
          <w:p w14:paraId="663AA2CB"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Musculoskeletal and connective tissue disorders </w:t>
            </w:r>
          </w:p>
        </w:tc>
        <w:tc>
          <w:tcPr>
            <w:tcW w:w="1504" w:type="dxa"/>
            <w:tcBorders>
              <w:top w:val="single" w:sz="4" w:space="0" w:color="auto"/>
              <w:left w:val="single" w:sz="4" w:space="0" w:color="auto"/>
              <w:bottom w:val="single" w:sz="4" w:space="0" w:color="auto"/>
              <w:right w:val="single" w:sz="4" w:space="0" w:color="auto"/>
            </w:tcBorders>
          </w:tcPr>
          <w:p w14:paraId="728425A7"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52A564B0"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Myalgia </w:t>
            </w:r>
          </w:p>
          <w:p w14:paraId="2E1498DE" w14:textId="77777777" w:rsidR="00FC6697" w:rsidRPr="00F01155" w:rsidRDefault="00FC6697" w:rsidP="00FC6697">
            <w:pPr>
              <w:keepNext/>
              <w:keepLines/>
              <w:widowControl w:val="0"/>
              <w:autoSpaceDE w:val="0"/>
              <w:autoSpaceDN w:val="0"/>
              <w:adjustRightInd w:val="0"/>
              <w:rPr>
                <w:sz w:val="20"/>
              </w:rPr>
            </w:pPr>
            <w:r w:rsidRPr="00F01155">
              <w:rPr>
                <w:sz w:val="20"/>
              </w:rPr>
              <w:t>Back pain</w:t>
            </w:r>
          </w:p>
        </w:tc>
        <w:tc>
          <w:tcPr>
            <w:tcW w:w="1842" w:type="dxa"/>
            <w:tcBorders>
              <w:top w:val="single" w:sz="4" w:space="0" w:color="auto"/>
              <w:left w:val="single" w:sz="4" w:space="0" w:color="auto"/>
              <w:bottom w:val="single" w:sz="4" w:space="0" w:color="auto"/>
              <w:right w:val="single" w:sz="4" w:space="0" w:color="auto"/>
            </w:tcBorders>
          </w:tcPr>
          <w:p w14:paraId="673949D3" w14:textId="77777777" w:rsidR="00FC6697" w:rsidRPr="00F01155" w:rsidRDefault="00FC6697" w:rsidP="00FC6697">
            <w:pPr>
              <w:keepNext/>
              <w:keepLines/>
              <w:widowControl w:val="0"/>
              <w:autoSpaceDE w:val="0"/>
              <w:autoSpaceDN w:val="0"/>
              <w:adjustRightInd w:val="0"/>
              <w:rPr>
                <w:sz w:val="20"/>
              </w:rPr>
            </w:pPr>
          </w:p>
        </w:tc>
        <w:tc>
          <w:tcPr>
            <w:tcW w:w="2268" w:type="dxa"/>
            <w:tcBorders>
              <w:top w:val="single" w:sz="4" w:space="0" w:color="auto"/>
              <w:left w:val="single" w:sz="4" w:space="0" w:color="auto"/>
              <w:bottom w:val="single" w:sz="4" w:space="0" w:color="auto"/>
              <w:right w:val="single" w:sz="4" w:space="0" w:color="auto"/>
            </w:tcBorders>
          </w:tcPr>
          <w:p w14:paraId="1BD200F1" w14:textId="77777777" w:rsidR="00FC6697" w:rsidRPr="00F01155" w:rsidRDefault="00FC6697" w:rsidP="00FC6697">
            <w:pPr>
              <w:pStyle w:val="Normaljustifi"/>
              <w:keepNext/>
              <w:keepLines/>
              <w:spacing w:before="0" w:after="0"/>
              <w:rPr>
                <w:sz w:val="20"/>
                <w:szCs w:val="20"/>
              </w:rPr>
            </w:pPr>
          </w:p>
        </w:tc>
      </w:tr>
      <w:tr w:rsidR="00FC6697" w:rsidRPr="00635C8D" w14:paraId="06210955" w14:textId="77777777" w:rsidTr="00FC6697">
        <w:tc>
          <w:tcPr>
            <w:tcW w:w="1985" w:type="dxa"/>
            <w:tcBorders>
              <w:top w:val="single" w:sz="4" w:space="0" w:color="auto"/>
              <w:left w:val="single" w:sz="4" w:space="0" w:color="auto"/>
              <w:bottom w:val="single" w:sz="4" w:space="0" w:color="auto"/>
              <w:right w:val="single" w:sz="4" w:space="0" w:color="auto"/>
            </w:tcBorders>
          </w:tcPr>
          <w:p w14:paraId="1D83A1C7"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Reproductive system and breast disorders </w:t>
            </w:r>
          </w:p>
        </w:tc>
        <w:tc>
          <w:tcPr>
            <w:tcW w:w="1504" w:type="dxa"/>
            <w:tcBorders>
              <w:top w:val="single" w:sz="4" w:space="0" w:color="auto"/>
              <w:left w:val="single" w:sz="4" w:space="0" w:color="auto"/>
              <w:bottom w:val="single" w:sz="4" w:space="0" w:color="auto"/>
              <w:right w:val="single" w:sz="4" w:space="0" w:color="auto"/>
            </w:tcBorders>
          </w:tcPr>
          <w:p w14:paraId="5DE20863" w14:textId="77777777" w:rsidR="00FC6697" w:rsidRPr="00F01155"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4368A78A" w14:textId="77777777" w:rsidR="00FC6697" w:rsidRPr="00F01155" w:rsidRDefault="00FC6697" w:rsidP="00FC6697">
            <w:pPr>
              <w:keepNext/>
              <w:keepLines/>
              <w:widowControl w:val="0"/>
              <w:autoSpaceDE w:val="0"/>
              <w:autoSpaceDN w:val="0"/>
              <w:adjustRightInd w:val="0"/>
              <w:rPr>
                <w:sz w:val="20"/>
              </w:rPr>
            </w:pPr>
            <w:r w:rsidRPr="00F01155">
              <w:rPr>
                <w:sz w:val="20"/>
              </w:rPr>
              <w:t>Dysmenorrhea</w:t>
            </w:r>
          </w:p>
          <w:p w14:paraId="20F0305A"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Pelvic pain </w:t>
            </w:r>
          </w:p>
          <w:p w14:paraId="397BB0A8" w14:textId="77777777" w:rsidR="00FC6697" w:rsidRPr="00F01155" w:rsidRDefault="00FC6697" w:rsidP="00FC6697">
            <w:pPr>
              <w:keepNext/>
              <w:keepLines/>
              <w:widowControl w:val="0"/>
              <w:autoSpaceDE w:val="0"/>
              <w:autoSpaceDN w:val="0"/>
              <w:adjustRightInd w:val="0"/>
              <w:rPr>
                <w:sz w:val="20"/>
                <w:lang w:val="it-IT"/>
              </w:rPr>
            </w:pPr>
            <w:r w:rsidRPr="00F01155">
              <w:rPr>
                <w:sz w:val="20"/>
              </w:rPr>
              <w:t xml:space="preserve">Breast tenderness </w:t>
            </w:r>
          </w:p>
          <w:p w14:paraId="5934ED34" w14:textId="77777777" w:rsidR="00FC6697" w:rsidRPr="00F01155" w:rsidRDefault="00FC6697" w:rsidP="00FC6697">
            <w:pPr>
              <w:keepNext/>
              <w:keepLines/>
              <w:widowControl w:val="0"/>
              <w:autoSpaceDE w:val="0"/>
              <w:autoSpaceDN w:val="0"/>
              <w:adjustRightInd w:val="0"/>
              <w:rPr>
                <w:sz w:val="20"/>
              </w:rPr>
            </w:pPr>
          </w:p>
        </w:tc>
        <w:tc>
          <w:tcPr>
            <w:tcW w:w="1842" w:type="dxa"/>
            <w:tcBorders>
              <w:top w:val="single" w:sz="4" w:space="0" w:color="auto"/>
              <w:left w:val="single" w:sz="4" w:space="0" w:color="auto"/>
              <w:bottom w:val="single" w:sz="4" w:space="0" w:color="auto"/>
              <w:right w:val="single" w:sz="4" w:space="0" w:color="auto"/>
            </w:tcBorders>
          </w:tcPr>
          <w:p w14:paraId="5E7CCB5D" w14:textId="77777777" w:rsidR="00FC6697" w:rsidRPr="00F01155" w:rsidRDefault="00FC6697" w:rsidP="00FC6697">
            <w:pPr>
              <w:keepNext/>
              <w:keepLines/>
              <w:widowControl w:val="0"/>
              <w:autoSpaceDE w:val="0"/>
              <w:autoSpaceDN w:val="0"/>
              <w:adjustRightInd w:val="0"/>
              <w:rPr>
                <w:sz w:val="20"/>
                <w:lang w:val="it-IT"/>
              </w:rPr>
            </w:pPr>
            <w:r w:rsidRPr="00F01155">
              <w:rPr>
                <w:sz w:val="20"/>
                <w:lang w:val="it-IT"/>
              </w:rPr>
              <w:t xml:space="preserve">Menorrhagia </w:t>
            </w:r>
          </w:p>
          <w:p w14:paraId="7492A911" w14:textId="77777777" w:rsidR="00FC6697" w:rsidRPr="00F01155" w:rsidRDefault="00FC6697" w:rsidP="00FC6697">
            <w:pPr>
              <w:keepNext/>
              <w:keepLines/>
              <w:widowControl w:val="0"/>
              <w:autoSpaceDE w:val="0"/>
              <w:autoSpaceDN w:val="0"/>
              <w:adjustRightInd w:val="0"/>
              <w:rPr>
                <w:sz w:val="20"/>
                <w:lang w:val="it-IT"/>
              </w:rPr>
            </w:pPr>
            <w:r w:rsidRPr="00F01155">
              <w:rPr>
                <w:sz w:val="20"/>
                <w:lang w:val="it-IT"/>
              </w:rPr>
              <w:t>Vaginal discharge</w:t>
            </w:r>
          </w:p>
          <w:p w14:paraId="396CDBCD" w14:textId="77777777" w:rsidR="00FC6697" w:rsidRPr="00F01155" w:rsidRDefault="00FC6697" w:rsidP="00FC6697">
            <w:pPr>
              <w:keepNext/>
              <w:keepLines/>
              <w:widowControl w:val="0"/>
              <w:autoSpaceDE w:val="0"/>
              <w:autoSpaceDN w:val="0"/>
              <w:adjustRightInd w:val="0"/>
              <w:rPr>
                <w:sz w:val="20"/>
                <w:lang w:val="it-IT"/>
              </w:rPr>
            </w:pPr>
            <w:r w:rsidRPr="00F01155">
              <w:rPr>
                <w:sz w:val="20"/>
                <w:lang w:val="it-IT"/>
              </w:rPr>
              <w:t xml:space="preserve">Menstrual disorder </w:t>
            </w:r>
          </w:p>
          <w:p w14:paraId="20390D3C" w14:textId="77777777" w:rsidR="00FC6697" w:rsidRPr="00F01155" w:rsidRDefault="00FC6697" w:rsidP="00FC6697">
            <w:pPr>
              <w:pStyle w:val="Date"/>
              <w:rPr>
                <w:sz w:val="20"/>
                <w:lang w:val="it-IT"/>
              </w:rPr>
            </w:pPr>
            <w:r w:rsidRPr="00F01155">
              <w:rPr>
                <w:sz w:val="20"/>
                <w:lang w:val="it-IT"/>
              </w:rPr>
              <w:t>Metrorrhagia</w:t>
            </w:r>
          </w:p>
          <w:p w14:paraId="47BD6E65" w14:textId="77777777" w:rsidR="00FC6697" w:rsidRPr="00F01155" w:rsidRDefault="00FC6697" w:rsidP="00FC6697">
            <w:pPr>
              <w:keepNext/>
              <w:keepLines/>
              <w:widowControl w:val="0"/>
              <w:autoSpaceDE w:val="0"/>
              <w:autoSpaceDN w:val="0"/>
              <w:adjustRightInd w:val="0"/>
              <w:rPr>
                <w:sz w:val="20"/>
              </w:rPr>
            </w:pPr>
            <w:r w:rsidRPr="00F01155">
              <w:rPr>
                <w:sz w:val="20"/>
                <w:lang w:val="en-US"/>
              </w:rPr>
              <w:t>Vaginitis</w:t>
            </w:r>
            <w:r w:rsidRPr="00F01155">
              <w:rPr>
                <w:sz w:val="20"/>
              </w:rPr>
              <w:t xml:space="preserve"> </w:t>
            </w:r>
          </w:p>
          <w:p w14:paraId="4940E9FD" w14:textId="77777777" w:rsidR="00FC6697" w:rsidRPr="00F01155" w:rsidRDefault="00FC6697" w:rsidP="00FC6697">
            <w:pPr>
              <w:pStyle w:val="Date"/>
              <w:rPr>
                <w:sz w:val="20"/>
              </w:rPr>
            </w:pPr>
            <w:r w:rsidRPr="00F01155">
              <w:rPr>
                <w:sz w:val="20"/>
              </w:rPr>
              <w:t>Hot flush</w:t>
            </w:r>
          </w:p>
          <w:p w14:paraId="5A5D6BD2" w14:textId="77777777" w:rsidR="00FC6697" w:rsidRPr="00F01155" w:rsidRDefault="00FC6697" w:rsidP="00FC6697">
            <w:pPr>
              <w:keepNext/>
              <w:keepLines/>
              <w:widowControl w:val="0"/>
              <w:autoSpaceDE w:val="0"/>
              <w:autoSpaceDN w:val="0"/>
              <w:adjustRightInd w:val="0"/>
              <w:rPr>
                <w:sz w:val="20"/>
              </w:rPr>
            </w:pPr>
            <w:r w:rsidRPr="00F01155">
              <w:rPr>
                <w:sz w:val="20"/>
                <w:lang w:val="en-US"/>
              </w:rPr>
              <w:t>Premenstrual syndrome</w:t>
            </w:r>
          </w:p>
        </w:tc>
        <w:tc>
          <w:tcPr>
            <w:tcW w:w="2268" w:type="dxa"/>
            <w:tcBorders>
              <w:top w:val="single" w:sz="4" w:space="0" w:color="auto"/>
              <w:left w:val="single" w:sz="4" w:space="0" w:color="auto"/>
              <w:bottom w:val="single" w:sz="4" w:space="0" w:color="auto"/>
              <w:right w:val="single" w:sz="4" w:space="0" w:color="auto"/>
            </w:tcBorders>
          </w:tcPr>
          <w:p w14:paraId="4CFE3A1E"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Genital pruritus </w:t>
            </w:r>
          </w:p>
          <w:p w14:paraId="50088124" w14:textId="77777777" w:rsidR="00FC6697" w:rsidRPr="00F01155" w:rsidRDefault="00FC6697" w:rsidP="00FC6697">
            <w:pPr>
              <w:pStyle w:val="Normaljustifi"/>
              <w:keepNext/>
              <w:keepLines/>
              <w:spacing w:before="0" w:after="0"/>
              <w:rPr>
                <w:sz w:val="20"/>
                <w:szCs w:val="20"/>
                <w:lang w:val="en-GB"/>
              </w:rPr>
            </w:pPr>
            <w:r w:rsidRPr="00F01155">
              <w:rPr>
                <w:sz w:val="20"/>
                <w:szCs w:val="20"/>
                <w:lang w:val="en-GB"/>
              </w:rPr>
              <w:t xml:space="preserve">Dyspareunia </w:t>
            </w:r>
          </w:p>
          <w:p w14:paraId="714F1FA9" w14:textId="77777777" w:rsidR="00FC6697" w:rsidRPr="00F01155" w:rsidRDefault="00FC6697" w:rsidP="00FC6697">
            <w:pPr>
              <w:keepNext/>
              <w:keepLines/>
              <w:widowControl w:val="0"/>
              <w:autoSpaceDE w:val="0"/>
              <w:autoSpaceDN w:val="0"/>
              <w:adjustRightInd w:val="0"/>
              <w:rPr>
                <w:sz w:val="20"/>
              </w:rPr>
            </w:pPr>
            <w:r w:rsidRPr="00F01155">
              <w:rPr>
                <w:sz w:val="20"/>
              </w:rPr>
              <w:t xml:space="preserve">Ruptured ovarian cyst </w:t>
            </w:r>
          </w:p>
          <w:p w14:paraId="037E9195" w14:textId="77777777" w:rsidR="00FC6697" w:rsidRPr="00F01155" w:rsidRDefault="00FC6697" w:rsidP="00FC6697">
            <w:pPr>
              <w:pStyle w:val="Normaljustifi"/>
              <w:keepNext/>
              <w:keepLines/>
              <w:spacing w:before="0" w:after="0"/>
              <w:rPr>
                <w:sz w:val="20"/>
                <w:szCs w:val="20"/>
                <w:lang w:val="en-GB"/>
              </w:rPr>
            </w:pPr>
            <w:proofErr w:type="spellStart"/>
            <w:r w:rsidRPr="00F01155">
              <w:rPr>
                <w:sz w:val="20"/>
                <w:szCs w:val="20"/>
                <w:lang w:val="en-GB"/>
              </w:rPr>
              <w:t>Vulvovaginal</w:t>
            </w:r>
            <w:proofErr w:type="spellEnd"/>
            <w:r w:rsidRPr="00F01155">
              <w:rPr>
                <w:sz w:val="20"/>
                <w:szCs w:val="20"/>
                <w:lang w:val="en-GB"/>
              </w:rPr>
              <w:t xml:space="preserve"> pain</w:t>
            </w:r>
          </w:p>
          <w:p w14:paraId="29A3A5EC" w14:textId="77777777" w:rsidR="00FC6697" w:rsidRPr="00F01155" w:rsidRDefault="00FC6697" w:rsidP="00FC6697">
            <w:pPr>
              <w:keepNext/>
              <w:keepLines/>
              <w:widowControl w:val="0"/>
              <w:autoSpaceDE w:val="0"/>
              <w:autoSpaceDN w:val="0"/>
              <w:adjustRightInd w:val="0"/>
              <w:rPr>
                <w:sz w:val="20"/>
              </w:rPr>
            </w:pPr>
            <w:proofErr w:type="spellStart"/>
            <w:r w:rsidRPr="00F01155">
              <w:rPr>
                <w:sz w:val="20"/>
              </w:rPr>
              <w:t>Hypomenorrhea</w:t>
            </w:r>
            <w:proofErr w:type="spellEnd"/>
            <w:r w:rsidRPr="00F01155">
              <w:rPr>
                <w:sz w:val="20"/>
              </w:rPr>
              <w:t>*</w:t>
            </w:r>
          </w:p>
        </w:tc>
      </w:tr>
      <w:tr w:rsidR="00FC6697" w:rsidRPr="00635C8D" w14:paraId="5AF23A14" w14:textId="77777777" w:rsidTr="00FC6697">
        <w:tc>
          <w:tcPr>
            <w:tcW w:w="1985" w:type="dxa"/>
            <w:tcBorders>
              <w:top w:val="single" w:sz="4" w:space="0" w:color="auto"/>
              <w:left w:val="single" w:sz="4" w:space="0" w:color="auto"/>
              <w:bottom w:val="single" w:sz="4" w:space="0" w:color="auto"/>
              <w:right w:val="single" w:sz="4" w:space="0" w:color="auto"/>
            </w:tcBorders>
          </w:tcPr>
          <w:p w14:paraId="3C6FB701" w14:textId="77777777" w:rsidR="00FC6697" w:rsidRPr="007E289F" w:rsidRDefault="00FC6697" w:rsidP="00FC6697">
            <w:pPr>
              <w:keepNext/>
              <w:keepLines/>
              <w:widowControl w:val="0"/>
              <w:autoSpaceDE w:val="0"/>
              <w:autoSpaceDN w:val="0"/>
              <w:adjustRightInd w:val="0"/>
              <w:rPr>
                <w:sz w:val="20"/>
              </w:rPr>
            </w:pPr>
            <w:r w:rsidRPr="007E289F">
              <w:rPr>
                <w:sz w:val="20"/>
              </w:rPr>
              <w:t xml:space="preserve">General disorders and administration site conditions </w:t>
            </w:r>
          </w:p>
        </w:tc>
        <w:tc>
          <w:tcPr>
            <w:tcW w:w="1504" w:type="dxa"/>
            <w:tcBorders>
              <w:top w:val="single" w:sz="4" w:space="0" w:color="auto"/>
              <w:left w:val="single" w:sz="4" w:space="0" w:color="auto"/>
              <w:bottom w:val="single" w:sz="4" w:space="0" w:color="auto"/>
              <w:right w:val="single" w:sz="4" w:space="0" w:color="auto"/>
            </w:tcBorders>
          </w:tcPr>
          <w:p w14:paraId="24CC72E3" w14:textId="77777777" w:rsidR="00FC6697" w:rsidRPr="007E289F" w:rsidRDefault="00FC6697" w:rsidP="00FC6697">
            <w:pPr>
              <w:keepNext/>
              <w:keepLines/>
              <w:widowControl w:val="0"/>
              <w:autoSpaceDE w:val="0"/>
              <w:autoSpaceDN w:val="0"/>
              <w:adjustRightInd w:val="0"/>
              <w:rPr>
                <w:sz w:val="20"/>
              </w:rPr>
            </w:pPr>
          </w:p>
        </w:tc>
        <w:tc>
          <w:tcPr>
            <w:tcW w:w="1757" w:type="dxa"/>
            <w:tcBorders>
              <w:top w:val="single" w:sz="4" w:space="0" w:color="auto"/>
              <w:left w:val="single" w:sz="4" w:space="0" w:color="auto"/>
              <w:bottom w:val="single" w:sz="4" w:space="0" w:color="auto"/>
              <w:right w:val="single" w:sz="4" w:space="0" w:color="auto"/>
            </w:tcBorders>
          </w:tcPr>
          <w:p w14:paraId="526039EB" w14:textId="77777777" w:rsidR="00FC6697" w:rsidRPr="007E289F" w:rsidRDefault="00FC6697" w:rsidP="00FC6697">
            <w:pPr>
              <w:keepNext/>
              <w:keepLines/>
              <w:widowControl w:val="0"/>
              <w:autoSpaceDE w:val="0"/>
              <w:autoSpaceDN w:val="0"/>
              <w:adjustRightInd w:val="0"/>
              <w:rPr>
                <w:sz w:val="20"/>
              </w:rPr>
            </w:pPr>
            <w:r w:rsidRPr="007E289F">
              <w:rPr>
                <w:sz w:val="20"/>
              </w:rPr>
              <w:t>Fatigue</w:t>
            </w:r>
          </w:p>
          <w:p w14:paraId="509AC2D6" w14:textId="77777777" w:rsidR="00FC6697" w:rsidRPr="007E289F" w:rsidRDefault="00FC6697" w:rsidP="00FC6697">
            <w:pPr>
              <w:keepNext/>
              <w:keepLines/>
              <w:widowControl w:val="0"/>
              <w:autoSpaceDE w:val="0"/>
              <w:autoSpaceDN w:val="0"/>
              <w:adjustRightInd w:val="0"/>
              <w:rPr>
                <w:sz w:val="20"/>
              </w:rPr>
            </w:pPr>
          </w:p>
        </w:tc>
        <w:tc>
          <w:tcPr>
            <w:tcW w:w="1842" w:type="dxa"/>
            <w:tcBorders>
              <w:top w:val="single" w:sz="4" w:space="0" w:color="auto"/>
              <w:left w:val="single" w:sz="4" w:space="0" w:color="auto"/>
              <w:bottom w:val="single" w:sz="4" w:space="0" w:color="auto"/>
              <w:right w:val="single" w:sz="4" w:space="0" w:color="auto"/>
            </w:tcBorders>
          </w:tcPr>
          <w:p w14:paraId="5C317D1B" w14:textId="77777777" w:rsidR="00FC6697" w:rsidRPr="00635C8D" w:rsidRDefault="00FC6697" w:rsidP="00FC6697">
            <w:pPr>
              <w:pStyle w:val="Normaljustifi"/>
              <w:keepNext/>
              <w:keepLines/>
              <w:spacing w:before="0" w:after="0"/>
              <w:rPr>
                <w:sz w:val="20"/>
                <w:szCs w:val="20"/>
                <w:lang w:val="en-GB"/>
              </w:rPr>
            </w:pPr>
            <w:r w:rsidRPr="00635C8D">
              <w:rPr>
                <w:sz w:val="20"/>
                <w:szCs w:val="20"/>
                <w:lang w:val="en-GB"/>
              </w:rPr>
              <w:t xml:space="preserve">Chills </w:t>
            </w:r>
          </w:p>
          <w:p w14:paraId="71996E31" w14:textId="77777777" w:rsidR="00FC6697" w:rsidRPr="00635C8D" w:rsidRDefault="00FC6697" w:rsidP="00FC6697">
            <w:pPr>
              <w:pStyle w:val="Normaljustifi"/>
              <w:keepNext/>
              <w:keepLines/>
              <w:spacing w:before="0" w:after="0"/>
              <w:rPr>
                <w:sz w:val="20"/>
                <w:szCs w:val="20"/>
                <w:lang w:val="en-GB"/>
              </w:rPr>
            </w:pPr>
            <w:r w:rsidRPr="00635C8D">
              <w:rPr>
                <w:sz w:val="20"/>
                <w:szCs w:val="20"/>
                <w:lang w:val="en-GB"/>
              </w:rPr>
              <w:t>Malaise</w:t>
            </w:r>
          </w:p>
          <w:p w14:paraId="26253188" w14:textId="77777777" w:rsidR="00FC6697" w:rsidRPr="00635C8D" w:rsidRDefault="00FC6697" w:rsidP="00FC6697">
            <w:pPr>
              <w:keepNext/>
              <w:keepLines/>
              <w:widowControl w:val="0"/>
              <w:autoSpaceDE w:val="0"/>
              <w:autoSpaceDN w:val="0"/>
              <w:adjustRightInd w:val="0"/>
              <w:rPr>
                <w:sz w:val="20"/>
              </w:rPr>
            </w:pPr>
            <w:r w:rsidRPr="00635C8D">
              <w:rPr>
                <w:sz w:val="20"/>
              </w:rPr>
              <w:t>Pyrexia</w:t>
            </w:r>
          </w:p>
        </w:tc>
        <w:tc>
          <w:tcPr>
            <w:tcW w:w="2268" w:type="dxa"/>
            <w:tcBorders>
              <w:top w:val="single" w:sz="4" w:space="0" w:color="auto"/>
              <w:left w:val="single" w:sz="4" w:space="0" w:color="auto"/>
              <w:bottom w:val="single" w:sz="4" w:space="0" w:color="auto"/>
              <w:right w:val="single" w:sz="4" w:space="0" w:color="auto"/>
            </w:tcBorders>
          </w:tcPr>
          <w:p w14:paraId="7BE9FF40" w14:textId="77777777" w:rsidR="00FC6697" w:rsidRPr="00635C8D" w:rsidRDefault="00FC6697" w:rsidP="00FC6697">
            <w:pPr>
              <w:keepNext/>
              <w:keepLines/>
              <w:widowControl w:val="0"/>
              <w:autoSpaceDE w:val="0"/>
              <w:autoSpaceDN w:val="0"/>
              <w:adjustRightInd w:val="0"/>
              <w:rPr>
                <w:sz w:val="20"/>
              </w:rPr>
            </w:pPr>
            <w:r w:rsidRPr="00635C8D">
              <w:rPr>
                <w:sz w:val="20"/>
              </w:rPr>
              <w:t>Thirst</w:t>
            </w:r>
          </w:p>
        </w:tc>
      </w:tr>
    </w:tbl>
    <w:p w14:paraId="19AAE676" w14:textId="77777777" w:rsidR="00FC6697" w:rsidRDefault="00FC6697" w:rsidP="00FC6697">
      <w:pPr>
        <w:pStyle w:val="Date"/>
        <w:rPr>
          <w:b/>
          <w:szCs w:val="22"/>
        </w:rPr>
      </w:pPr>
    </w:p>
    <w:p w14:paraId="4C580480" w14:textId="77777777" w:rsidR="00FC6697" w:rsidRPr="007E289F" w:rsidRDefault="00FC6697" w:rsidP="00FC6697">
      <w:pPr>
        <w:keepNext/>
        <w:keepLines/>
        <w:widowControl w:val="0"/>
        <w:autoSpaceDE w:val="0"/>
        <w:autoSpaceDN w:val="0"/>
        <w:adjustRightInd w:val="0"/>
        <w:rPr>
          <w:sz w:val="20"/>
        </w:rPr>
      </w:pPr>
      <w:r w:rsidRPr="00E52AC7">
        <w:rPr>
          <w:sz w:val="20"/>
        </w:rPr>
        <w:lastRenderedPageBreak/>
        <w:t>*Symptom which could be related to a pregnancy (and thus to a possible ectopic pregnancy) and could delay the diagnosis of pregnancy if misdiagnosed as related to drug intake</w:t>
      </w:r>
    </w:p>
    <w:p w14:paraId="13A408A9" w14:textId="77777777" w:rsidR="00755823" w:rsidRDefault="00755823" w:rsidP="00FC6697">
      <w:pPr>
        <w:pStyle w:val="CTDtext"/>
      </w:pPr>
    </w:p>
    <w:p w14:paraId="3761F3DD" w14:textId="77777777" w:rsidR="00FC6697" w:rsidRDefault="00FC6697" w:rsidP="00FC6697">
      <w:pPr>
        <w:pStyle w:val="CTDtext"/>
      </w:pPr>
      <w:r>
        <w:t xml:space="preserve">Adolescents: the safety profile observed in women less than 18 years old in studies and post-marketing is similar to the safety profile in adults during the Phase III program. </w:t>
      </w:r>
    </w:p>
    <w:p w14:paraId="43D53CCD" w14:textId="77777777" w:rsidR="00FC6697" w:rsidRDefault="00FC6697" w:rsidP="00FC6697">
      <w:pPr>
        <w:pStyle w:val="CTDtext"/>
      </w:pPr>
      <w:r>
        <w:t xml:space="preserve">Post-marketing experience: the adverse reactions spontaneously reported in post-marketing were similar in nature to the safety profile described during the Phase III program. </w:t>
      </w:r>
    </w:p>
    <w:p w14:paraId="668A644E" w14:textId="77777777" w:rsidR="00FC6697" w:rsidRPr="00A82988" w:rsidRDefault="00FC6697" w:rsidP="00FC6697">
      <w:pPr>
        <w:pStyle w:val="CTDtext"/>
        <w:spacing w:line="240" w:lineRule="auto"/>
        <w:rPr>
          <w:u w:val="single"/>
        </w:rPr>
      </w:pPr>
      <w:r w:rsidRPr="00A82988">
        <w:rPr>
          <w:u w:val="single"/>
        </w:rPr>
        <w:t>Description of selected adverse reactions:</w:t>
      </w:r>
    </w:p>
    <w:p w14:paraId="6636EA63" w14:textId="77777777" w:rsidR="00FC6697" w:rsidRDefault="00FC6697" w:rsidP="00FC6697">
      <w:pPr>
        <w:pStyle w:val="CTDtext"/>
      </w:pPr>
      <w:r>
        <w:t xml:space="preserve">The majority of women (74.6%) in the Phase III studies had their next menstrual period at the expected time or within ± 7 days, while 6.8% experienced menses more than 7 days earlier than expected and 18.5% had a delay of more than 7 days beyond the anticipated onset of menses.  The delay was greater than 20 days in 4 % of the women. </w:t>
      </w:r>
    </w:p>
    <w:p w14:paraId="63CAC0F0" w14:textId="77777777" w:rsidR="00FC6697" w:rsidRDefault="00FC6697" w:rsidP="00FC6697">
      <w:pPr>
        <w:pStyle w:val="CTDtext"/>
      </w:pPr>
      <w:r>
        <w:t xml:space="preserve">A minority (8.7%) of women reported inter-menstrual bleeding lasting an average of 2.4 days.  In a majority of cases (88.2%), this bleeding was reported as spotting.  Among the women who received </w:t>
      </w:r>
      <w:proofErr w:type="spellStart"/>
      <w:r>
        <w:t>EllaOne</w:t>
      </w:r>
      <w:proofErr w:type="spellEnd"/>
      <w:r>
        <w:t xml:space="preserve"> in the Phase III studies, only 0.4% reported heavy inter-menstrual bleeding.</w:t>
      </w:r>
    </w:p>
    <w:p w14:paraId="7458A362" w14:textId="77777777" w:rsidR="00FC6697" w:rsidRDefault="00FC6697" w:rsidP="00FC6697">
      <w:pPr>
        <w:pStyle w:val="CTDtext"/>
      </w:pPr>
      <w:r>
        <w:t xml:space="preserve">In the Phase III studies, 82 women entered a study more than once and therefore received more than one dose of </w:t>
      </w:r>
      <w:proofErr w:type="spellStart"/>
      <w:r>
        <w:t>EllaOne</w:t>
      </w:r>
      <w:proofErr w:type="spellEnd"/>
      <w:r>
        <w:t xml:space="preserve"> (73 women enrolled twice and 9 enrolled three times).  There were no safety differences in these subjects in terms of incidence and severity of adverse events, change in duration or volume of menses or incidence of inter-menstrual bleeding.</w:t>
      </w:r>
    </w:p>
    <w:p w14:paraId="0780CB89" w14:textId="5697A7E1" w:rsidR="00FC6697" w:rsidRDefault="00FC6697" w:rsidP="00FC6697">
      <w:pPr>
        <w:pStyle w:val="CTDtext"/>
      </w:pPr>
      <w:r>
        <w:t xml:space="preserve">In a </w:t>
      </w:r>
      <w:proofErr w:type="spellStart"/>
      <w:r>
        <w:t>pharmacodynamic</w:t>
      </w:r>
      <w:proofErr w:type="spellEnd"/>
      <w:r>
        <w:t xml:space="preserve"> study, where 23 subjects had multiple intakes in the same cycle, </w:t>
      </w:r>
      <w:proofErr w:type="spellStart"/>
      <w:r>
        <w:t>EllaOne</w:t>
      </w:r>
      <w:proofErr w:type="spellEnd"/>
      <w:r>
        <w:t xml:space="preserve"> was well tolerated with a safety and bleeding profile similar to that observed for a single 30 mg dose. </w:t>
      </w:r>
    </w:p>
    <w:p w14:paraId="19D9DB18" w14:textId="77777777" w:rsidR="00755823" w:rsidRDefault="00755823">
      <w:pPr>
        <w:rPr>
          <w:b/>
          <w:caps/>
          <w:noProof/>
          <w:szCs w:val="24"/>
        </w:rPr>
      </w:pPr>
      <w:r>
        <w:rPr>
          <w:caps/>
          <w:szCs w:val="24"/>
        </w:rPr>
        <w:br w:type="page"/>
      </w:r>
    </w:p>
    <w:p w14:paraId="52062A49" w14:textId="16ECEA01" w:rsidR="00FC6697" w:rsidRDefault="00FC6697" w:rsidP="00FC6697">
      <w:pPr>
        <w:pStyle w:val="TitleA"/>
        <w:spacing w:after="120"/>
        <w:jc w:val="left"/>
        <w:rPr>
          <w:caps/>
          <w:szCs w:val="24"/>
        </w:rPr>
      </w:pPr>
      <w:r w:rsidRPr="003703C4">
        <w:rPr>
          <w:caps/>
          <w:szCs w:val="24"/>
        </w:rPr>
        <w:lastRenderedPageBreak/>
        <w:t>DOSAGE AND ADMINISTRATION</w:t>
      </w:r>
    </w:p>
    <w:p w14:paraId="51910DB5" w14:textId="77777777" w:rsidR="00FC6697" w:rsidRDefault="00FC6697" w:rsidP="00FC6697">
      <w:pPr>
        <w:pStyle w:val="CTDtext"/>
        <w:rPr>
          <w:lang w:val="en-US"/>
        </w:rPr>
      </w:pPr>
      <w:r w:rsidRPr="00721096">
        <w:rPr>
          <w:lang w:val="en-US"/>
        </w:rPr>
        <w:t>The treatment consists of one tablet to be taken orally as soon as possible, but no later than 120 hours (5 days) after unprotected intercourse or contraceptive failure.</w:t>
      </w:r>
    </w:p>
    <w:p w14:paraId="44C7B4C4" w14:textId="77777777" w:rsidR="00FC6697" w:rsidRPr="00721096" w:rsidRDefault="00FC6697" w:rsidP="00FC6697">
      <w:pPr>
        <w:pStyle w:val="CTDtext"/>
        <w:rPr>
          <w:lang w:val="en-US"/>
        </w:rPr>
      </w:pPr>
      <w:r w:rsidRPr="00FA398A">
        <w:rPr>
          <w:lang w:val="en-US"/>
        </w:rPr>
        <w:t>The tablet can be taken with or without food.</w:t>
      </w:r>
    </w:p>
    <w:p w14:paraId="3C6E9F24" w14:textId="77777777" w:rsidR="00FC6697" w:rsidRPr="00721096" w:rsidRDefault="00FC6697" w:rsidP="00FC6697">
      <w:pPr>
        <w:pStyle w:val="CTDtext"/>
        <w:rPr>
          <w:lang w:val="en-US"/>
        </w:rPr>
      </w:pPr>
      <w:proofErr w:type="spellStart"/>
      <w:r>
        <w:rPr>
          <w:lang w:val="en-US"/>
        </w:rPr>
        <w:t>EllaOne</w:t>
      </w:r>
      <w:proofErr w:type="spellEnd"/>
      <w:r>
        <w:rPr>
          <w:lang w:val="en-US"/>
        </w:rPr>
        <w:t xml:space="preserve"> </w:t>
      </w:r>
      <w:r w:rsidRPr="00721096">
        <w:rPr>
          <w:lang w:val="en-US"/>
        </w:rPr>
        <w:t xml:space="preserve">can be taken at any time during the menstrual cycle. </w:t>
      </w:r>
      <w:r>
        <w:rPr>
          <w:lang w:val="en-US"/>
        </w:rPr>
        <w:t xml:space="preserve"> </w:t>
      </w:r>
      <w:r w:rsidRPr="00721096">
        <w:rPr>
          <w:lang w:val="en-US"/>
        </w:rPr>
        <w:t xml:space="preserve">If vomiting occurs within 3 hours of </w:t>
      </w:r>
      <w:proofErr w:type="spellStart"/>
      <w:r>
        <w:rPr>
          <w:lang w:val="en-US"/>
        </w:rPr>
        <w:t>EllaOne</w:t>
      </w:r>
      <w:proofErr w:type="spellEnd"/>
      <w:r>
        <w:rPr>
          <w:lang w:val="en-US"/>
        </w:rPr>
        <w:t xml:space="preserve"> </w:t>
      </w:r>
      <w:r w:rsidRPr="00721096">
        <w:rPr>
          <w:lang w:val="en-US"/>
        </w:rPr>
        <w:t>intake, another tablet should be taken.</w:t>
      </w:r>
    </w:p>
    <w:p w14:paraId="7ADBFD0B" w14:textId="77777777" w:rsidR="00FC6697" w:rsidRDefault="00FC6697" w:rsidP="00FC6697">
      <w:pPr>
        <w:pStyle w:val="CTDtext"/>
        <w:rPr>
          <w:lang w:val="en-US"/>
        </w:rPr>
      </w:pPr>
      <w:r w:rsidRPr="00721096">
        <w:rPr>
          <w:lang w:val="en-US"/>
        </w:rPr>
        <w:t xml:space="preserve">If a woman’s menstrual period is late or in case of symptoms of pregnancy, pregnancy should be excluded before </w:t>
      </w:r>
      <w:proofErr w:type="spellStart"/>
      <w:r>
        <w:rPr>
          <w:lang w:val="en-US"/>
        </w:rPr>
        <w:t>EllaOne</w:t>
      </w:r>
      <w:proofErr w:type="spellEnd"/>
      <w:r>
        <w:rPr>
          <w:lang w:val="en-US"/>
        </w:rPr>
        <w:t xml:space="preserve"> </w:t>
      </w:r>
      <w:r w:rsidRPr="00721096">
        <w:rPr>
          <w:lang w:val="en-US"/>
        </w:rPr>
        <w:t>is administered.</w:t>
      </w:r>
    </w:p>
    <w:p w14:paraId="64878E72" w14:textId="77777777" w:rsidR="00FC6697" w:rsidRDefault="00FC6697" w:rsidP="00FC6697">
      <w:pPr>
        <w:pStyle w:val="CTDtext"/>
        <w:rPr>
          <w:lang w:val="en-US"/>
        </w:rPr>
      </w:pPr>
      <w:proofErr w:type="spellStart"/>
      <w:r>
        <w:rPr>
          <w:lang w:val="en-US"/>
        </w:rPr>
        <w:t>EllaOne</w:t>
      </w:r>
      <w:proofErr w:type="spellEnd"/>
      <w:r>
        <w:rPr>
          <w:lang w:val="en-US"/>
        </w:rPr>
        <w:t xml:space="preserve"> is more effective if taken in the first 24 hours following unprotected intercourse. </w:t>
      </w:r>
    </w:p>
    <w:p w14:paraId="3F70AA91" w14:textId="77777777" w:rsidR="00FC6697" w:rsidRPr="00721096" w:rsidRDefault="00FC6697" w:rsidP="00FC6697">
      <w:pPr>
        <w:pStyle w:val="CTDtext"/>
        <w:spacing w:line="240" w:lineRule="auto"/>
        <w:rPr>
          <w:u w:val="single"/>
          <w:lang w:val="en-US"/>
        </w:rPr>
      </w:pPr>
      <w:r w:rsidRPr="00721096">
        <w:rPr>
          <w:u w:val="single"/>
          <w:lang w:val="en-US"/>
        </w:rPr>
        <w:t>Special populations</w:t>
      </w:r>
    </w:p>
    <w:p w14:paraId="604C5FE1" w14:textId="77777777" w:rsidR="00FC6697" w:rsidRPr="000157DF" w:rsidRDefault="00FC6697" w:rsidP="00FC6697">
      <w:pPr>
        <w:pStyle w:val="CTDtext"/>
        <w:rPr>
          <w:lang w:val="en-US"/>
        </w:rPr>
      </w:pPr>
      <w:r w:rsidRPr="00721096">
        <w:rPr>
          <w:i/>
          <w:lang w:val="en-US"/>
        </w:rPr>
        <w:t>Renal impairment:</w:t>
      </w:r>
      <w:r w:rsidRPr="000157DF">
        <w:rPr>
          <w:lang w:val="en-US"/>
        </w:rPr>
        <w:t xml:space="preserve"> </w:t>
      </w:r>
      <w:r w:rsidRPr="009A1FFD">
        <w:rPr>
          <w:lang w:val="en-US"/>
        </w:rPr>
        <w:t>No dose adjustment is necessary.</w:t>
      </w:r>
    </w:p>
    <w:p w14:paraId="6D072775" w14:textId="77777777" w:rsidR="00FC6697" w:rsidRPr="000157DF" w:rsidRDefault="00FC6697" w:rsidP="00FC6697">
      <w:pPr>
        <w:pStyle w:val="CTDtext"/>
        <w:rPr>
          <w:lang w:val="en-US"/>
        </w:rPr>
      </w:pPr>
      <w:r>
        <w:rPr>
          <w:i/>
          <w:lang w:val="en-US"/>
        </w:rPr>
        <w:t>H</w:t>
      </w:r>
      <w:r w:rsidRPr="00721096">
        <w:rPr>
          <w:i/>
          <w:lang w:val="en-US"/>
        </w:rPr>
        <w:t>epatic impairment:</w:t>
      </w:r>
      <w:r w:rsidRPr="000157DF">
        <w:rPr>
          <w:lang w:val="en-US"/>
        </w:rPr>
        <w:t xml:space="preserve"> </w:t>
      </w:r>
      <w:r>
        <w:rPr>
          <w:lang w:val="en-US"/>
        </w:rPr>
        <w:t>N</w:t>
      </w:r>
      <w:r w:rsidRPr="009A1FFD">
        <w:rPr>
          <w:lang w:val="en-US"/>
        </w:rPr>
        <w:t xml:space="preserve">o alternate dose recommendations for </w:t>
      </w:r>
      <w:proofErr w:type="spellStart"/>
      <w:r>
        <w:rPr>
          <w:lang w:val="en-US"/>
        </w:rPr>
        <w:t>EllaOne</w:t>
      </w:r>
      <w:proofErr w:type="spellEnd"/>
      <w:r>
        <w:rPr>
          <w:lang w:val="en-US"/>
        </w:rPr>
        <w:t xml:space="preserve"> </w:t>
      </w:r>
      <w:r w:rsidRPr="009A1FFD">
        <w:rPr>
          <w:lang w:val="en-US"/>
        </w:rPr>
        <w:t>can be made.</w:t>
      </w:r>
    </w:p>
    <w:p w14:paraId="4681A2D9" w14:textId="77777777" w:rsidR="00FC6697" w:rsidRDefault="00FC6697" w:rsidP="00FC6697">
      <w:pPr>
        <w:pStyle w:val="CTDtext"/>
        <w:rPr>
          <w:lang w:val="en-US"/>
        </w:rPr>
      </w:pPr>
      <w:proofErr w:type="spellStart"/>
      <w:r w:rsidRPr="00EB1CE8">
        <w:rPr>
          <w:i/>
          <w:lang w:val="en-US"/>
        </w:rPr>
        <w:t>Paediatric</w:t>
      </w:r>
      <w:proofErr w:type="spellEnd"/>
      <w:r w:rsidRPr="00EB1CE8">
        <w:rPr>
          <w:i/>
          <w:lang w:val="en-US"/>
        </w:rPr>
        <w:t xml:space="preserve"> population</w:t>
      </w:r>
      <w:r>
        <w:rPr>
          <w:i/>
          <w:lang w:val="en-US"/>
        </w:rPr>
        <w:t xml:space="preserve"> (</w:t>
      </w:r>
      <w:r w:rsidRPr="00EB1CE8">
        <w:rPr>
          <w:lang w:val="en-US"/>
        </w:rPr>
        <w:t>Adolescents</w:t>
      </w:r>
      <w:r>
        <w:rPr>
          <w:lang w:val="en-US"/>
        </w:rPr>
        <w:t>)</w:t>
      </w:r>
      <w:r w:rsidRPr="00EB1CE8">
        <w:rPr>
          <w:lang w:val="en-US"/>
        </w:rPr>
        <w:t>: No differences in safety or efficacy have been shown compared to</w:t>
      </w:r>
      <w:r>
        <w:rPr>
          <w:lang w:val="en-US"/>
        </w:rPr>
        <w:t xml:space="preserve"> adult women aged 18 and older</w:t>
      </w:r>
      <w:r w:rsidRPr="00EB1CE8">
        <w:rPr>
          <w:lang w:val="en-US"/>
        </w:rPr>
        <w:t>.</w:t>
      </w:r>
    </w:p>
    <w:p w14:paraId="247F3597" w14:textId="77777777" w:rsidR="00FC6697" w:rsidRDefault="00FC6697" w:rsidP="00FC6697">
      <w:pPr>
        <w:pStyle w:val="TitleA"/>
        <w:spacing w:after="120"/>
        <w:jc w:val="left"/>
        <w:rPr>
          <w:caps/>
          <w:szCs w:val="24"/>
        </w:rPr>
      </w:pPr>
      <w:r w:rsidRPr="003703C4">
        <w:rPr>
          <w:caps/>
          <w:szCs w:val="24"/>
        </w:rPr>
        <w:t>OVERDOSAGE</w:t>
      </w:r>
    </w:p>
    <w:p w14:paraId="3F37A883" w14:textId="77777777" w:rsidR="00FC6697" w:rsidRDefault="00FC6697" w:rsidP="00FC6697">
      <w:pPr>
        <w:pStyle w:val="CTDtext"/>
        <w:rPr>
          <w:lang w:val="en-US"/>
        </w:rPr>
      </w:pPr>
      <w:r w:rsidRPr="00793E66">
        <w:rPr>
          <w:lang w:val="en-US"/>
        </w:rPr>
        <w:t xml:space="preserve">Experience with </w:t>
      </w:r>
      <w:proofErr w:type="spellStart"/>
      <w:r w:rsidRPr="00793E66">
        <w:rPr>
          <w:lang w:val="en-US"/>
        </w:rPr>
        <w:t>ulipristal</w:t>
      </w:r>
      <w:proofErr w:type="spellEnd"/>
      <w:r w:rsidRPr="00793E66">
        <w:rPr>
          <w:lang w:val="en-US"/>
        </w:rPr>
        <w:t xml:space="preserve"> acetate overdose is limited. </w:t>
      </w:r>
      <w:r>
        <w:rPr>
          <w:lang w:val="en-US"/>
        </w:rPr>
        <w:t xml:space="preserve"> </w:t>
      </w:r>
      <w:r w:rsidRPr="00793E66">
        <w:rPr>
          <w:lang w:val="en-US"/>
        </w:rPr>
        <w:t xml:space="preserve">Single doses up to 200 mg </w:t>
      </w:r>
      <w:r>
        <w:rPr>
          <w:lang w:val="en-US"/>
        </w:rPr>
        <w:t>have been used in women</w:t>
      </w:r>
      <w:r>
        <w:rPr>
          <w:szCs w:val="22"/>
        </w:rPr>
        <w:t xml:space="preserve"> without safety concern</w:t>
      </w:r>
      <w:r w:rsidRPr="00793E66">
        <w:rPr>
          <w:lang w:val="en-US"/>
        </w:rPr>
        <w:t>.</w:t>
      </w:r>
      <w:r>
        <w:rPr>
          <w:lang w:val="en-US"/>
        </w:rPr>
        <w:t xml:space="preserve">  Such high doses were well-tolerated.  There are no antidotes and further treatment should be symptomatic.</w:t>
      </w:r>
    </w:p>
    <w:p w14:paraId="55488E71" w14:textId="77777777" w:rsidR="00FC6697" w:rsidRDefault="00FC6697" w:rsidP="00FC6697">
      <w:pPr>
        <w:pStyle w:val="CTDtext"/>
        <w:rPr>
          <w:lang w:val="en-US"/>
        </w:rPr>
      </w:pPr>
      <w:r w:rsidRPr="00CE7D64">
        <w:rPr>
          <w:lang w:val="en-US"/>
        </w:rPr>
        <w:t>For information on the management of overdose, contact the Poisons Information Centre on 13 11 26 (Australia).</w:t>
      </w:r>
    </w:p>
    <w:p w14:paraId="5C4CC22B" w14:textId="77777777" w:rsidR="00FC6697" w:rsidRDefault="00FC6697" w:rsidP="00FC6697">
      <w:pPr>
        <w:pStyle w:val="TitleA"/>
        <w:jc w:val="left"/>
        <w:rPr>
          <w:caps/>
          <w:szCs w:val="24"/>
        </w:rPr>
      </w:pPr>
      <w:r w:rsidRPr="003703C4">
        <w:rPr>
          <w:caps/>
          <w:szCs w:val="24"/>
        </w:rPr>
        <w:t>PRESENTATION and storage conditions</w:t>
      </w:r>
    </w:p>
    <w:p w14:paraId="07C1CA8F" w14:textId="77777777" w:rsidR="00FC6697" w:rsidRDefault="00FC6697" w:rsidP="00FC6697">
      <w:pPr>
        <w:pStyle w:val="TitleA"/>
        <w:jc w:val="left"/>
        <w:rPr>
          <w:caps/>
          <w:szCs w:val="24"/>
        </w:rPr>
      </w:pPr>
    </w:p>
    <w:p w14:paraId="308488BF" w14:textId="77777777" w:rsidR="00FC6697" w:rsidRDefault="00FC6697" w:rsidP="00FC6697">
      <w:pPr>
        <w:pStyle w:val="CTDtext"/>
        <w:spacing w:after="0" w:line="240" w:lineRule="auto"/>
        <w:rPr>
          <w:szCs w:val="22"/>
        </w:rPr>
      </w:pPr>
      <w:proofErr w:type="gramStart"/>
      <w:r w:rsidRPr="00567F55">
        <w:rPr>
          <w:szCs w:val="22"/>
        </w:rPr>
        <w:t>PVC-PE-PVDC-Aluminium blister of 1 tablet.</w:t>
      </w:r>
      <w:proofErr w:type="gramEnd"/>
    </w:p>
    <w:p w14:paraId="677ED516" w14:textId="77777777" w:rsidR="00FC6697" w:rsidRPr="00567F55" w:rsidRDefault="00FC6697" w:rsidP="00FC6697">
      <w:pPr>
        <w:pStyle w:val="CTDtext"/>
        <w:spacing w:after="0" w:line="240" w:lineRule="auto"/>
        <w:rPr>
          <w:szCs w:val="22"/>
        </w:rPr>
      </w:pPr>
    </w:p>
    <w:p w14:paraId="07C194B2" w14:textId="77777777" w:rsidR="00FC6697" w:rsidRDefault="00FC6697" w:rsidP="00FC6697">
      <w:pPr>
        <w:pStyle w:val="CTDtext"/>
        <w:spacing w:after="0" w:line="240" w:lineRule="auto"/>
        <w:rPr>
          <w:noProof/>
          <w:szCs w:val="22"/>
        </w:rPr>
      </w:pPr>
      <w:r w:rsidRPr="00567F55">
        <w:rPr>
          <w:noProof/>
          <w:szCs w:val="22"/>
        </w:rPr>
        <w:t>The carton contains one blister of one tablet.</w:t>
      </w:r>
    </w:p>
    <w:p w14:paraId="28723321" w14:textId="77777777" w:rsidR="00FC6697" w:rsidRPr="00567F55" w:rsidRDefault="00FC6697" w:rsidP="00FC6697">
      <w:pPr>
        <w:pStyle w:val="CTDtext"/>
        <w:spacing w:after="0" w:line="240" w:lineRule="auto"/>
        <w:rPr>
          <w:noProof/>
          <w:szCs w:val="22"/>
        </w:rPr>
      </w:pPr>
    </w:p>
    <w:p w14:paraId="402030E3" w14:textId="77777777" w:rsidR="00FC6697" w:rsidRPr="00F21BA7" w:rsidRDefault="00FC6697" w:rsidP="00FC6697">
      <w:pPr>
        <w:pStyle w:val="CTDtext"/>
        <w:rPr>
          <w:lang w:val="en-US"/>
        </w:rPr>
      </w:pPr>
      <w:r w:rsidRPr="00F21BA7">
        <w:rPr>
          <w:lang w:val="en-US"/>
        </w:rPr>
        <w:lastRenderedPageBreak/>
        <w:t xml:space="preserve">Store below 25°C. </w:t>
      </w:r>
      <w:r>
        <w:rPr>
          <w:lang w:val="en-US"/>
        </w:rPr>
        <w:t xml:space="preserve"> </w:t>
      </w:r>
      <w:proofErr w:type="gramStart"/>
      <w:r w:rsidRPr="00F21BA7">
        <w:rPr>
          <w:lang w:val="en-US"/>
        </w:rPr>
        <w:t>Store in the original packaging to protect from moisture.</w:t>
      </w:r>
      <w:proofErr w:type="gramEnd"/>
      <w:r w:rsidRPr="00F21BA7">
        <w:rPr>
          <w:lang w:val="en-US"/>
        </w:rPr>
        <w:t xml:space="preserve"> </w:t>
      </w:r>
      <w:r>
        <w:rPr>
          <w:lang w:val="en-US"/>
        </w:rPr>
        <w:t xml:space="preserve"> </w:t>
      </w:r>
      <w:r w:rsidRPr="00F21BA7">
        <w:rPr>
          <w:lang w:val="en-US"/>
        </w:rPr>
        <w:t>Keep the blister in the outer carton to protect from light.</w:t>
      </w:r>
    </w:p>
    <w:p w14:paraId="5EB358FA" w14:textId="77777777" w:rsidR="00FC6697" w:rsidRDefault="00FC6697" w:rsidP="00FC6697">
      <w:pPr>
        <w:pStyle w:val="TitleA"/>
        <w:spacing w:after="120"/>
        <w:jc w:val="left"/>
        <w:rPr>
          <w:caps/>
          <w:szCs w:val="24"/>
        </w:rPr>
      </w:pPr>
      <w:r w:rsidRPr="003703C4">
        <w:rPr>
          <w:caps/>
          <w:szCs w:val="24"/>
        </w:rPr>
        <w:t>NAME AND ADDRESS OF THE SPONSOR</w:t>
      </w:r>
    </w:p>
    <w:p w14:paraId="216966A2" w14:textId="77777777" w:rsidR="00FC6697" w:rsidRDefault="00FC6697" w:rsidP="00FC6697">
      <w:pPr>
        <w:pStyle w:val="CTDtext"/>
        <w:jc w:val="left"/>
        <w:rPr>
          <w:lang w:val="en-US"/>
        </w:rPr>
      </w:pPr>
      <w:r w:rsidRPr="00A232D8">
        <w:rPr>
          <w:noProof/>
        </w:rPr>
        <w:t>ERA Consulting (Australia) Pty Ltd</w:t>
      </w:r>
      <w:r>
        <w:rPr>
          <w:noProof/>
        </w:rPr>
        <w:br/>
      </w:r>
      <w:r w:rsidRPr="00A232D8">
        <w:rPr>
          <w:noProof/>
        </w:rPr>
        <w:t>Level 3, 88 Jephson Street</w:t>
      </w:r>
      <w:r>
        <w:rPr>
          <w:noProof/>
        </w:rPr>
        <w:br/>
      </w:r>
      <w:r w:rsidRPr="00A232D8">
        <w:rPr>
          <w:noProof/>
        </w:rPr>
        <w:t>Toowong, QLD 4066</w:t>
      </w:r>
      <w:r>
        <w:rPr>
          <w:noProof/>
        </w:rPr>
        <w:br/>
        <w:t>Australia</w:t>
      </w:r>
    </w:p>
    <w:p w14:paraId="33C0290D" w14:textId="77777777" w:rsidR="00F01155" w:rsidRDefault="00F01155" w:rsidP="00F01155">
      <w:pPr>
        <w:pStyle w:val="CTDtext"/>
        <w:spacing w:after="0" w:line="240" w:lineRule="auto"/>
        <w:rPr>
          <w:lang w:val="en-US"/>
        </w:rPr>
      </w:pPr>
    </w:p>
    <w:p w14:paraId="63931956" w14:textId="77777777" w:rsidR="00FC6697" w:rsidRPr="00CD673D" w:rsidRDefault="00FC6697" w:rsidP="00FC6697">
      <w:pPr>
        <w:pStyle w:val="CTDtext"/>
        <w:rPr>
          <w:noProof/>
          <w:highlight w:val="cyan"/>
        </w:rPr>
      </w:pPr>
      <w:proofErr w:type="spellStart"/>
      <w:r>
        <w:rPr>
          <w:lang w:val="en-US"/>
        </w:rPr>
        <w:t>EllaOne</w:t>
      </w:r>
      <w:proofErr w:type="spellEnd"/>
      <w:r w:rsidRPr="007E289F">
        <w:rPr>
          <w:lang w:val="en-US"/>
        </w:rPr>
        <w:t xml:space="preserve"> </w:t>
      </w:r>
      <w:r w:rsidRPr="00267878">
        <w:rPr>
          <w:lang w:val="en-AU" w:eastAsia="en-AU"/>
        </w:rPr>
        <w:t xml:space="preserve">is a </w:t>
      </w:r>
      <w:r>
        <w:rPr>
          <w:lang w:val="en-AU" w:eastAsia="en-AU"/>
        </w:rPr>
        <w:t>product</w:t>
      </w:r>
      <w:r w:rsidRPr="00267878">
        <w:rPr>
          <w:lang w:val="en-AU" w:eastAsia="en-AU"/>
        </w:rPr>
        <w:t xml:space="preserve"> of </w:t>
      </w:r>
      <w:proofErr w:type="spellStart"/>
      <w:r>
        <w:rPr>
          <w:lang w:val="en-AU" w:eastAsia="en-AU"/>
        </w:rPr>
        <w:t>Laboratoire</w:t>
      </w:r>
      <w:proofErr w:type="spellEnd"/>
      <w:r>
        <w:rPr>
          <w:lang w:val="en-AU" w:eastAsia="en-AU"/>
        </w:rPr>
        <w:t xml:space="preserve"> HRA Pharma, </w:t>
      </w:r>
      <w:r w:rsidRPr="00CD673D">
        <w:rPr>
          <w:noProof/>
        </w:rPr>
        <w:t>15 rue Béranger</w:t>
      </w:r>
      <w:r>
        <w:rPr>
          <w:noProof/>
        </w:rPr>
        <w:t xml:space="preserve">, </w:t>
      </w:r>
      <w:r w:rsidRPr="00CD673D">
        <w:rPr>
          <w:noProof/>
        </w:rPr>
        <w:t>Paris 75003 France</w:t>
      </w:r>
    </w:p>
    <w:p w14:paraId="1D3FD2D5" w14:textId="77777777" w:rsidR="00FC6697" w:rsidRDefault="00FC6697" w:rsidP="00FC6697">
      <w:pPr>
        <w:pStyle w:val="TitleA"/>
        <w:spacing w:after="120"/>
        <w:jc w:val="left"/>
        <w:rPr>
          <w:caps/>
          <w:szCs w:val="24"/>
        </w:rPr>
      </w:pPr>
    </w:p>
    <w:p w14:paraId="34880002" w14:textId="77777777" w:rsidR="00FC6697" w:rsidRDefault="00FC6697" w:rsidP="00FC6697">
      <w:pPr>
        <w:pStyle w:val="TitleA"/>
        <w:spacing w:after="120"/>
        <w:jc w:val="left"/>
        <w:rPr>
          <w:caps/>
          <w:szCs w:val="24"/>
        </w:rPr>
      </w:pPr>
      <w:r w:rsidRPr="003703C4">
        <w:rPr>
          <w:caps/>
          <w:szCs w:val="24"/>
        </w:rPr>
        <w:t>POISON SCHEDULE OF THE MEDICINE</w:t>
      </w:r>
    </w:p>
    <w:p w14:paraId="60752344" w14:textId="77777777" w:rsidR="00FC6697" w:rsidRPr="00A232D8" w:rsidRDefault="00FC6697" w:rsidP="00FC6697">
      <w:pPr>
        <w:pStyle w:val="CTDtext"/>
        <w:rPr>
          <w:noProof/>
        </w:rPr>
      </w:pPr>
      <w:r w:rsidRPr="00A232D8">
        <w:rPr>
          <w:noProof/>
        </w:rPr>
        <w:t>S</w:t>
      </w:r>
      <w:r>
        <w:rPr>
          <w:noProof/>
        </w:rPr>
        <w:t>chedule</w:t>
      </w:r>
      <w:r>
        <w:rPr>
          <w:caps/>
          <w:noProof/>
        </w:rPr>
        <w:t xml:space="preserve"> 4</w:t>
      </w:r>
    </w:p>
    <w:p w14:paraId="08D6E00B" w14:textId="77777777" w:rsidR="00FC6697" w:rsidRDefault="00FC6697" w:rsidP="00FC6697">
      <w:pPr>
        <w:pStyle w:val="TitleA"/>
        <w:spacing w:after="120"/>
        <w:jc w:val="left"/>
        <w:rPr>
          <w:caps/>
          <w:szCs w:val="24"/>
        </w:rPr>
      </w:pPr>
    </w:p>
    <w:p w14:paraId="365DAE89" w14:textId="77777777" w:rsidR="00FC6697" w:rsidRDefault="00FC6697" w:rsidP="00FC6697">
      <w:pPr>
        <w:pStyle w:val="TitleA"/>
        <w:spacing w:after="120"/>
        <w:jc w:val="left"/>
        <w:rPr>
          <w:caps/>
          <w:szCs w:val="24"/>
        </w:rPr>
      </w:pPr>
      <w:r w:rsidRPr="003703C4">
        <w:rPr>
          <w:caps/>
          <w:szCs w:val="24"/>
        </w:rPr>
        <w:t>DATE OF first inclusion in the auStralian register of therapeutic goods (the ARTG)</w:t>
      </w:r>
    </w:p>
    <w:p w14:paraId="42FD7B83" w14:textId="7565E1ED" w:rsidR="00FC6697" w:rsidRPr="00A232D8" w:rsidRDefault="00A24A7A" w:rsidP="00FC6697">
      <w:pPr>
        <w:pStyle w:val="CTDtext"/>
        <w:rPr>
          <w:lang w:eastAsia="en-GB"/>
        </w:rPr>
      </w:pPr>
      <w:r>
        <w:rPr>
          <w:lang w:eastAsia="en-GB"/>
        </w:rPr>
        <w:t>06 March 2015</w:t>
      </w:r>
    </w:p>
    <w:p w14:paraId="11781DD8" w14:textId="77777777" w:rsidR="00FC6697" w:rsidRDefault="00FC6697" w:rsidP="00FC6697">
      <w:pPr>
        <w:pStyle w:val="CTDtext"/>
      </w:pPr>
    </w:p>
    <w:p w14:paraId="6B8FC30D" w14:textId="77777777" w:rsidR="00F01155" w:rsidRDefault="00F01155" w:rsidP="00FC6697">
      <w:pPr>
        <w:pStyle w:val="CTDtext"/>
      </w:pPr>
    </w:p>
    <w:p w14:paraId="053AB686" w14:textId="77777777" w:rsidR="00F01155" w:rsidRDefault="00F01155" w:rsidP="00FC6697">
      <w:pPr>
        <w:pStyle w:val="CTDtext"/>
      </w:pPr>
    </w:p>
    <w:p w14:paraId="481DA55C" w14:textId="77777777" w:rsidR="00FC6697" w:rsidRPr="002E06E1" w:rsidRDefault="00FC6697" w:rsidP="00FC6697">
      <w:pPr>
        <w:pStyle w:val="CTDtext"/>
      </w:pPr>
      <w:r w:rsidRPr="002E06E1">
        <w:t>The prescriber must ensure that consent and treatment of the patient is in accordance with the appropriate state or territory legislation.</w:t>
      </w:r>
    </w:p>
    <w:p w14:paraId="286808B6" w14:textId="73F6B608" w:rsidR="00A84AA7" w:rsidRPr="00B435CC" w:rsidRDefault="00A84AA7" w:rsidP="00B435CC">
      <w:pPr>
        <w:jc w:val="center"/>
        <w:rPr>
          <w:b/>
          <w:i/>
          <w:sz w:val="28"/>
          <w:szCs w:val="28"/>
        </w:rPr>
      </w:pPr>
    </w:p>
    <w:sectPr w:rsidR="00A84AA7" w:rsidRPr="00B435CC" w:rsidSect="00FC6697">
      <w:headerReference w:type="default" r:id="rId10"/>
      <w:footerReference w:type="default" r:id="rId11"/>
      <w:endnotePr>
        <w:numFmt w:val="decimal"/>
      </w:endnotePr>
      <w:pgSz w:w="11907" w:h="16840" w:code="9"/>
      <w:pgMar w:top="1440" w:right="1418" w:bottom="1418" w:left="1582" w:header="1134" w:footer="1134"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3044E7" w15:done="0"/>
  <w15:commentEx w15:paraId="23457CFA" w15:done="0"/>
  <w15:commentEx w15:paraId="0CC06223" w15:done="0"/>
  <w15:commentEx w15:paraId="499798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1A990" w14:textId="77777777" w:rsidR="001C4B89" w:rsidRDefault="001C4B89">
      <w:r>
        <w:separator/>
      </w:r>
    </w:p>
  </w:endnote>
  <w:endnote w:type="continuationSeparator" w:id="0">
    <w:p w14:paraId="47272D7E" w14:textId="77777777" w:rsidR="001C4B89" w:rsidRDefault="001C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altName w:val="Times New Roman"/>
    <w:panose1 w:val="00000000000000000000"/>
    <w:charset w:val="00"/>
    <w:family w:val="roman"/>
    <w:notTrueType/>
    <w:pitch w:val="variable"/>
    <w:sig w:usb0="00000007" w:usb1="00000000" w:usb2="00000000" w:usb3="00000000" w:csb0="00000093"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A1F58" w14:textId="77777777" w:rsidR="00617A44" w:rsidRDefault="00617A44" w:rsidP="00FC6697">
    <w:pPr>
      <w:pStyle w:val="Footer"/>
      <w:pBdr>
        <w:top w:val="none" w:sz="0" w:space="0" w:color="auto"/>
      </w:pBdr>
      <w:tabs>
        <w:tab w:val="right" w:pos="5040"/>
        <w:tab w:val="left" w:pos="6075"/>
        <w:tab w:val="left" w:pos="7050"/>
        <w:tab w:val="right" w:pos="8910"/>
      </w:tabs>
      <w:rPr>
        <w:sz w:val="20"/>
      </w:rPr>
    </w:pPr>
  </w:p>
  <w:p w14:paraId="63B17591" w14:textId="5B0BD8D6" w:rsidR="00617A44" w:rsidRPr="00784EF3" w:rsidRDefault="00617A44" w:rsidP="00FC6697">
    <w:pPr>
      <w:pStyle w:val="Footer"/>
      <w:pBdr>
        <w:top w:val="single" w:sz="4" w:space="1" w:color="auto"/>
      </w:pBdr>
      <w:tabs>
        <w:tab w:val="right" w:pos="5040"/>
        <w:tab w:val="left" w:pos="6075"/>
        <w:tab w:val="left" w:pos="7050"/>
        <w:tab w:val="right" w:pos="8910"/>
      </w:tabs>
      <w:rPr>
        <w:sz w:val="20"/>
      </w:rPr>
    </w:pPr>
    <w:r w:rsidRPr="00E522B1">
      <w:rPr>
        <w:sz w:val="20"/>
      </w:rPr>
      <w:t>Confidential</w:t>
    </w:r>
    <w:r w:rsidRPr="00E522B1">
      <w:rPr>
        <w:sz w:val="20"/>
      </w:rPr>
      <w:tab/>
    </w:r>
    <w:r w:rsidRPr="00024FF7">
      <w:rPr>
        <w:sz w:val="20"/>
      </w:rPr>
      <w:t>Version 0</w:t>
    </w:r>
    <w:r w:rsidR="00F01155">
      <w:rPr>
        <w:sz w:val="20"/>
      </w:rPr>
      <w:t>6</w:t>
    </w:r>
    <w:r>
      <w:rPr>
        <w:sz w:val="20"/>
      </w:rPr>
      <w:t xml:space="preserve"> – </w:t>
    </w:r>
    <w:r w:rsidR="00A24A7A">
      <w:rPr>
        <w:sz w:val="20"/>
      </w:rPr>
      <w:t>March</w:t>
    </w:r>
    <w:r w:rsidR="00EB7EE8">
      <w:rPr>
        <w:sz w:val="20"/>
      </w:rPr>
      <w:t xml:space="preserve"> </w:t>
    </w:r>
    <w:r w:rsidRPr="00024FF7">
      <w:rPr>
        <w:sz w:val="20"/>
      </w:rPr>
      <w:t>201</w:t>
    </w:r>
    <w:r>
      <w:rPr>
        <w:sz w:val="20"/>
      </w:rPr>
      <w:t>5</w:t>
    </w:r>
    <w:r>
      <w:rPr>
        <w:sz w:val="20"/>
      </w:rPr>
      <w:tab/>
    </w:r>
    <w:r>
      <w:rPr>
        <w:sz w:val="20"/>
      </w:rPr>
      <w:tab/>
      <w:t xml:space="preserve">               </w:t>
    </w:r>
    <w:r w:rsidRPr="00E522B1">
      <w:rPr>
        <w:sz w:val="20"/>
      </w:rPr>
      <w:t xml:space="preserve">Page </w:t>
    </w:r>
    <w:r w:rsidRPr="00E522B1">
      <w:rPr>
        <w:sz w:val="20"/>
      </w:rPr>
      <w:fldChar w:fldCharType="begin"/>
    </w:r>
    <w:r w:rsidRPr="00E522B1">
      <w:rPr>
        <w:sz w:val="20"/>
      </w:rPr>
      <w:instrText xml:space="preserve"> PAGE   \* MERGEFORMAT </w:instrText>
    </w:r>
    <w:r w:rsidRPr="00E522B1">
      <w:rPr>
        <w:sz w:val="20"/>
      </w:rPr>
      <w:fldChar w:fldCharType="separate"/>
    </w:r>
    <w:r w:rsidR="00672EBB">
      <w:rPr>
        <w:noProof/>
        <w:sz w:val="20"/>
      </w:rPr>
      <w:t>1</w:t>
    </w:r>
    <w:r w:rsidRPr="00E522B1">
      <w:rPr>
        <w:sz w:val="20"/>
      </w:rPr>
      <w:fldChar w:fldCharType="end"/>
    </w:r>
    <w:r w:rsidRPr="00E522B1">
      <w:rPr>
        <w:sz w:val="20"/>
      </w:rPr>
      <w:t xml:space="preserve"> of </w:t>
    </w:r>
    <w:r>
      <w:rPr>
        <w:sz w:val="20"/>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57A45" w14:textId="77777777" w:rsidR="001C4B89" w:rsidRDefault="001C4B89">
      <w:r>
        <w:separator/>
      </w:r>
    </w:p>
  </w:footnote>
  <w:footnote w:type="continuationSeparator" w:id="0">
    <w:p w14:paraId="11F94C2A" w14:textId="77777777" w:rsidR="001C4B89" w:rsidRDefault="001C4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79D77" w14:textId="1A2DB3D9" w:rsidR="00755823" w:rsidRPr="00755823" w:rsidRDefault="00755823" w:rsidP="00755823">
    <w:pPr>
      <w:pBdr>
        <w:top w:val="single" w:sz="4" w:space="1" w:color="auto"/>
        <w:left w:val="single" w:sz="4" w:space="4" w:color="auto"/>
        <w:bottom w:val="single" w:sz="4" w:space="1" w:color="auto"/>
        <w:right w:val="single" w:sz="4" w:space="4" w:color="auto"/>
      </w:pBdr>
      <w:shd w:val="clear" w:color="auto" w:fill="E4F2E0"/>
      <w:spacing w:before="40" w:after="40"/>
      <w:rPr>
        <w:rFonts w:asciiTheme="majorHAnsi" w:hAnsiTheme="majorHAnsi"/>
        <w:b/>
        <w:sz w:val="20"/>
      </w:rPr>
    </w:pPr>
    <w:r w:rsidRPr="00755823">
      <w:rPr>
        <w:rFonts w:asciiTheme="majorHAnsi" w:hAnsiTheme="majorHAnsi"/>
        <w:b/>
        <w:sz w:val="20"/>
      </w:rPr>
      <w:t xml:space="preserve">Attachment 1: Product information for </w:t>
    </w:r>
    <w:proofErr w:type="spellStart"/>
    <w:r w:rsidRPr="00755823">
      <w:rPr>
        <w:rFonts w:asciiTheme="majorHAnsi" w:hAnsiTheme="majorHAnsi"/>
        <w:b/>
        <w:sz w:val="20"/>
      </w:rPr>
      <w:t>AusPAR</w:t>
    </w:r>
    <w:proofErr w:type="spellEnd"/>
    <w:r w:rsidRPr="00755823">
      <w:rPr>
        <w:rFonts w:asciiTheme="majorHAnsi" w:hAnsiTheme="majorHAnsi"/>
        <w:b/>
        <w:sz w:val="20"/>
      </w:rPr>
      <w:t xml:space="preserve"> </w:t>
    </w:r>
    <w:proofErr w:type="spellStart"/>
    <w:r w:rsidRPr="00755823">
      <w:rPr>
        <w:rFonts w:asciiTheme="majorHAnsi" w:hAnsiTheme="majorHAnsi"/>
        <w:b/>
        <w:sz w:val="20"/>
      </w:rPr>
      <w:t>EllaOne</w:t>
    </w:r>
    <w:proofErr w:type="spellEnd"/>
    <w:r>
      <w:rPr>
        <w:rFonts w:asciiTheme="majorHAnsi" w:hAnsiTheme="majorHAnsi"/>
        <w:b/>
        <w:sz w:val="20"/>
      </w:rPr>
      <w:t xml:space="preserve"> </w:t>
    </w:r>
    <w:proofErr w:type="spellStart"/>
    <w:r>
      <w:rPr>
        <w:rFonts w:asciiTheme="majorHAnsi" w:hAnsiTheme="majorHAnsi"/>
        <w:b/>
        <w:sz w:val="20"/>
      </w:rPr>
      <w:t>Ulipristal</w:t>
    </w:r>
    <w:proofErr w:type="spellEnd"/>
    <w:r>
      <w:rPr>
        <w:rFonts w:asciiTheme="majorHAnsi" w:hAnsiTheme="majorHAnsi"/>
        <w:b/>
        <w:sz w:val="20"/>
      </w:rPr>
      <w:t xml:space="preserve"> acetate</w:t>
    </w:r>
    <w:r w:rsidRPr="00755823">
      <w:rPr>
        <w:rFonts w:asciiTheme="majorHAnsi" w:hAnsiTheme="majorHAnsi"/>
        <w:b/>
        <w:sz w:val="20"/>
      </w:rPr>
      <w:t xml:space="preserve"> ERA Consulting (Australia) Pty Ltd PM-2013-04154-1-5</w:t>
    </w:r>
    <w:r>
      <w:rPr>
        <w:rFonts w:asciiTheme="majorHAnsi" w:hAnsiTheme="majorHAnsi"/>
        <w:b/>
        <w:sz w:val="20"/>
      </w:rPr>
      <w:t xml:space="preserve"> </w:t>
    </w:r>
    <w:r w:rsidRPr="00755823">
      <w:rPr>
        <w:rFonts w:asciiTheme="majorHAnsi" w:hAnsiTheme="majorHAnsi"/>
        <w:b/>
        <w:sz w:val="20"/>
      </w:rPr>
      <w:t xml:space="preserve">Final 4 September 2015. This Product Information was approved at the time this </w:t>
    </w:r>
    <w:proofErr w:type="spellStart"/>
    <w:r w:rsidRPr="00755823">
      <w:rPr>
        <w:rFonts w:asciiTheme="majorHAnsi" w:hAnsiTheme="majorHAnsi"/>
        <w:b/>
        <w:sz w:val="20"/>
      </w:rPr>
      <w:t>AusPAR</w:t>
    </w:r>
    <w:proofErr w:type="spellEnd"/>
    <w:r w:rsidRPr="00755823">
      <w:rPr>
        <w:rFonts w:asciiTheme="majorHAnsi" w:hAnsiTheme="majorHAnsi"/>
        <w:b/>
        <w:sz w:val="20"/>
      </w:rPr>
      <w:t xml:space="preserve"> was published.</w:t>
    </w:r>
  </w:p>
  <w:p w14:paraId="166FB846" w14:textId="77777777" w:rsidR="00755823" w:rsidRDefault="00755823" w:rsidP="00FC6697">
    <w:pPr>
      <w:pStyle w:val="Header"/>
      <w:pBdr>
        <w:bottom w:val="single" w:sz="4" w:space="1" w:color="auto"/>
      </w:pBdr>
      <w:tabs>
        <w:tab w:val="center" w:pos="6840"/>
        <w:tab w:val="right" w:pos="9000"/>
      </w:tabs>
      <w:rPr>
        <w:b/>
        <w:sz w:val="22"/>
        <w:szCs w:val="22"/>
        <w:lang w:val="fr-FR"/>
      </w:rPr>
    </w:pPr>
  </w:p>
  <w:p w14:paraId="37B3DE83" w14:textId="5C8124B8" w:rsidR="00617A44" w:rsidRPr="000333FD" w:rsidRDefault="00617A44" w:rsidP="00FC6697">
    <w:pPr>
      <w:pStyle w:val="Header"/>
      <w:pBdr>
        <w:bottom w:val="single" w:sz="4" w:space="1" w:color="auto"/>
      </w:pBdr>
      <w:tabs>
        <w:tab w:val="center" w:pos="6840"/>
        <w:tab w:val="right" w:pos="9000"/>
      </w:tabs>
      <w:rPr>
        <w:b/>
        <w:i/>
        <w:sz w:val="22"/>
        <w:szCs w:val="22"/>
        <w:lang w:val="fr-FR"/>
      </w:rPr>
    </w:pPr>
    <w:r w:rsidRPr="000333FD">
      <w:rPr>
        <w:b/>
        <w:sz w:val="22"/>
        <w:szCs w:val="22"/>
        <w:lang w:val="fr-FR"/>
      </w:rPr>
      <w:t>PRODUCT INFORMATION</w:t>
    </w:r>
    <w:r w:rsidRPr="000333FD">
      <w:rPr>
        <w:b/>
        <w:i/>
        <w:sz w:val="22"/>
        <w:szCs w:val="22"/>
        <w:lang w:val="fr-FR"/>
      </w:rPr>
      <w:t xml:space="preserve"> - </w:t>
    </w:r>
    <w:proofErr w:type="spellStart"/>
    <w:r>
      <w:rPr>
        <w:b/>
        <w:i/>
        <w:sz w:val="22"/>
        <w:szCs w:val="22"/>
        <w:lang w:val="fr-FR"/>
      </w:rPr>
      <w:t>E</w:t>
    </w:r>
    <w:r w:rsidRPr="000333FD">
      <w:rPr>
        <w:b/>
        <w:i/>
        <w:sz w:val="22"/>
        <w:szCs w:val="22"/>
        <w:lang w:val="fr-FR"/>
      </w:rPr>
      <w:t>ll</w:t>
    </w:r>
    <w:r>
      <w:rPr>
        <w:b/>
        <w:i/>
        <w:sz w:val="22"/>
        <w:szCs w:val="22"/>
        <w:lang w:val="fr-FR"/>
      </w:rPr>
      <w:t>aOne</w:t>
    </w:r>
    <w:proofErr w:type="spellEnd"/>
    <w:r w:rsidRPr="000333FD">
      <w:rPr>
        <w:b/>
        <w:i/>
        <w:sz w:val="22"/>
        <w:szCs w:val="22"/>
        <w:lang w:val="fr-FR"/>
      </w:rPr>
      <w:t xml:space="preserve"> </w:t>
    </w:r>
    <w:r w:rsidRPr="000333FD">
      <w:rPr>
        <w:b/>
        <w:i/>
        <w:sz w:val="22"/>
        <w:szCs w:val="22"/>
        <w:lang w:val="fr-FR"/>
      </w:rPr>
      <w:tab/>
    </w:r>
    <w:r w:rsidRPr="000333FD">
      <w:rPr>
        <w:b/>
        <w:i/>
        <w:sz w:val="22"/>
        <w:szCs w:val="22"/>
        <w:lang w:val="fr-FR"/>
      </w:rPr>
      <w:tab/>
      <w:t xml:space="preserve">                         </w:t>
    </w:r>
    <w:r w:rsidRPr="009726D5">
      <w:rPr>
        <w:b/>
        <w:i/>
        <w:sz w:val="22"/>
        <w:szCs w:val="22"/>
        <w:lang w:val="fr-FR"/>
      </w:rPr>
      <w:t xml:space="preserve">30 mg </w:t>
    </w:r>
    <w:proofErr w:type="spellStart"/>
    <w:r>
      <w:rPr>
        <w:b/>
        <w:i/>
        <w:sz w:val="22"/>
        <w:szCs w:val="22"/>
        <w:lang w:val="fr-FR"/>
      </w:rPr>
      <w:t>u</w:t>
    </w:r>
    <w:r w:rsidRPr="009726D5">
      <w:rPr>
        <w:b/>
        <w:i/>
        <w:sz w:val="22"/>
        <w:szCs w:val="22"/>
        <w:lang w:val="fr-FR"/>
      </w:rPr>
      <w:t>lipristal</w:t>
    </w:r>
    <w:proofErr w:type="spellEnd"/>
    <w:r w:rsidRPr="009726D5">
      <w:rPr>
        <w:b/>
        <w:i/>
        <w:sz w:val="22"/>
        <w:szCs w:val="22"/>
        <w:lang w:val="fr-FR"/>
      </w:rPr>
      <w:t xml:space="preserve"> </w:t>
    </w:r>
    <w:proofErr w:type="spellStart"/>
    <w:r>
      <w:rPr>
        <w:b/>
        <w:i/>
        <w:sz w:val="22"/>
        <w:szCs w:val="22"/>
        <w:lang w:val="fr-FR"/>
      </w:rPr>
      <w:t>a</w:t>
    </w:r>
    <w:r w:rsidRPr="009726D5">
      <w:rPr>
        <w:b/>
        <w:i/>
        <w:sz w:val="22"/>
        <w:szCs w:val="22"/>
        <w:lang w:val="fr-FR"/>
      </w:rPr>
      <w:t>cetate</w:t>
    </w:r>
    <w:proofErr w:type="spellEnd"/>
    <w:r w:rsidRPr="009726D5">
      <w:rPr>
        <w:b/>
        <w:i/>
        <w:sz w:val="22"/>
        <w:szCs w:val="22"/>
        <w:lang w:val="fr-FR"/>
      </w:rPr>
      <w:t xml:space="preserve"> Tablet</w:t>
    </w:r>
  </w:p>
  <w:p w14:paraId="0A6C1C90" w14:textId="77777777" w:rsidR="00617A44" w:rsidRPr="000333FD" w:rsidRDefault="00617A44" w:rsidP="00FC6697">
    <w:pPr>
      <w:pStyle w:val="Header"/>
      <w:tabs>
        <w:tab w:val="center" w:pos="6840"/>
        <w:tab w:val="right" w:pos="9000"/>
      </w:tabs>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2A3AE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D8ACE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7EC3966"/>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34A77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E4BC8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FEAC8B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130266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161F7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86EA116"/>
    <w:lvl w:ilvl="0">
      <w:start w:val="1"/>
      <w:numFmt w:val="decimal"/>
      <w:pStyle w:val="ListNumber"/>
      <w:lvlText w:val="%1."/>
      <w:lvlJc w:val="left"/>
      <w:pPr>
        <w:tabs>
          <w:tab w:val="num" w:pos="360"/>
        </w:tabs>
        <w:ind w:left="360" w:hanging="360"/>
      </w:pPr>
    </w:lvl>
  </w:abstractNum>
  <w:abstractNum w:abstractNumId="9">
    <w:nsid w:val="FFFFFF89"/>
    <w:multiLevelType w:val="singleLevel"/>
    <w:tmpl w:val="A4A852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D44569"/>
    <w:multiLevelType w:val="hybridMultilevel"/>
    <w:tmpl w:val="EB00163A"/>
    <w:lvl w:ilvl="0" w:tplc="040C0003">
      <w:start w:val="1"/>
      <w:numFmt w:val="bullet"/>
      <w:lvlText w:val="o"/>
      <w:lvlJc w:val="left"/>
      <w:pPr>
        <w:ind w:left="1353" w:hanging="360"/>
      </w:pPr>
      <w:rPr>
        <w:rFonts w:ascii="Courier New" w:hAnsi="Courier New" w:cs="Wingdings" w:hint="default"/>
      </w:rPr>
    </w:lvl>
    <w:lvl w:ilvl="1" w:tplc="040C0003" w:tentative="1">
      <w:start w:val="1"/>
      <w:numFmt w:val="bullet"/>
      <w:lvlText w:val="o"/>
      <w:lvlJc w:val="left"/>
      <w:pPr>
        <w:ind w:left="2073" w:hanging="360"/>
      </w:pPr>
      <w:rPr>
        <w:rFonts w:ascii="Courier New" w:hAnsi="Courier New" w:cs="Wingdings"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Wingdings"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Wingdings" w:hint="default"/>
      </w:rPr>
    </w:lvl>
    <w:lvl w:ilvl="8" w:tplc="040C0005" w:tentative="1">
      <w:start w:val="1"/>
      <w:numFmt w:val="bullet"/>
      <w:lvlText w:val=""/>
      <w:lvlJc w:val="left"/>
      <w:pPr>
        <w:ind w:left="7113" w:hanging="360"/>
      </w:pPr>
      <w:rPr>
        <w:rFonts w:ascii="Wingdings" w:hAnsi="Wingdings" w:hint="default"/>
      </w:rPr>
    </w:lvl>
  </w:abstractNum>
  <w:abstractNum w:abstractNumId="11">
    <w:nsid w:val="0D4540A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603B4"/>
    <w:multiLevelType w:val="hybridMultilevel"/>
    <w:tmpl w:val="77DCAFD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3">
    <w:nsid w:val="169A3EE9"/>
    <w:multiLevelType w:val="hybridMultilevel"/>
    <w:tmpl w:val="5EDA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6F32413"/>
    <w:multiLevelType w:val="multilevel"/>
    <w:tmpl w:val="CA4A120C"/>
    <w:lvl w:ilvl="0">
      <w:start w:val="1"/>
      <w:numFmt w:val="decimal"/>
      <w:pStyle w:val="Heading1"/>
      <w:lvlText w:val="%1"/>
      <w:lvlJc w:val="left"/>
      <w:pPr>
        <w:tabs>
          <w:tab w:val="num" w:pos="1418"/>
        </w:tabs>
        <w:ind w:left="1418" w:hanging="1418"/>
      </w:pPr>
      <w:rPr>
        <w:rFonts w:hint="default"/>
      </w:rPr>
    </w:lvl>
    <w:lvl w:ilvl="1">
      <w:start w:val="1"/>
      <w:numFmt w:val="decimal"/>
      <w:pStyle w:val="Heading2"/>
      <w:lvlText w:val="%1.%2"/>
      <w:lvlJc w:val="left"/>
      <w:pPr>
        <w:tabs>
          <w:tab w:val="num" w:pos="1418"/>
        </w:tabs>
        <w:ind w:left="1418" w:hanging="1418"/>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none"/>
      <w:pStyle w:val="Heading5"/>
      <w:suff w:val="nothing"/>
      <w:lvlText w:val=""/>
      <w:lvlJc w:val="left"/>
      <w:pPr>
        <w:ind w:left="1418" w:hanging="1418"/>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5">
    <w:nsid w:val="1A044EAB"/>
    <w:multiLevelType w:val="hybridMultilevel"/>
    <w:tmpl w:val="786AE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D7B2128"/>
    <w:multiLevelType w:val="hybridMultilevel"/>
    <w:tmpl w:val="65E81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5A6009C"/>
    <w:multiLevelType w:val="hybridMultilevel"/>
    <w:tmpl w:val="197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327A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E536E7F"/>
    <w:multiLevelType w:val="multilevel"/>
    <w:tmpl w:val="CD56FADC"/>
    <w:lvl w:ilvl="0">
      <w:start w:val="1"/>
      <w:numFmt w:val="decimal"/>
      <w:pStyle w:val="Appendix"/>
      <w:lvlText w:val="Appendix %1"/>
      <w:lvlJc w:val="left"/>
      <w:pPr>
        <w:tabs>
          <w:tab w:val="num" w:pos="0"/>
        </w:tabs>
        <w:ind w:left="1584" w:hanging="1584"/>
      </w:pPr>
      <w:rPr>
        <w:rFonts w:hint="default"/>
        <w:caps w:val="0"/>
      </w:rPr>
    </w:lvl>
    <w:lvl w:ilvl="1">
      <w:start w:val="1"/>
      <w:numFmt w:val="decimalZero"/>
      <w:isLgl/>
      <w:lvlText w:val="Section %1.%2"/>
      <w:lvlJc w:val="left"/>
      <w:pPr>
        <w:tabs>
          <w:tab w:val="num" w:pos="1512"/>
        </w:tabs>
        <w:ind w:left="-1008" w:firstLine="0"/>
      </w:pPr>
      <w:rPr>
        <w:rFonts w:hint="default"/>
      </w:rPr>
    </w:lvl>
    <w:lvl w:ilvl="2">
      <w:start w:val="1"/>
      <w:numFmt w:val="lowerLetter"/>
      <w:lvlText w:val="(%3)"/>
      <w:lvlJc w:val="left"/>
      <w:pPr>
        <w:tabs>
          <w:tab w:val="num" w:pos="0"/>
        </w:tabs>
        <w:ind w:left="-288" w:hanging="432"/>
      </w:pPr>
      <w:rPr>
        <w:rFonts w:hint="default"/>
      </w:rPr>
    </w:lvl>
    <w:lvl w:ilvl="3">
      <w:start w:val="1"/>
      <w:numFmt w:val="lowerRoman"/>
      <w:lvlText w:val="(%4)"/>
      <w:lvlJc w:val="right"/>
      <w:pPr>
        <w:tabs>
          <w:tab w:val="num" w:pos="-144"/>
        </w:tabs>
        <w:ind w:left="-144" w:hanging="144"/>
      </w:pPr>
      <w:rPr>
        <w:rFonts w:hint="default"/>
      </w:rPr>
    </w:lvl>
    <w:lvl w:ilvl="4">
      <w:start w:val="1"/>
      <w:numFmt w:val="decimal"/>
      <w:lvlText w:val="%5)"/>
      <w:lvlJc w:val="left"/>
      <w:pPr>
        <w:tabs>
          <w:tab w:val="num" w:pos="0"/>
        </w:tabs>
        <w:ind w:left="0" w:hanging="432"/>
      </w:pPr>
      <w:rPr>
        <w:rFonts w:hint="default"/>
      </w:rPr>
    </w:lvl>
    <w:lvl w:ilvl="5">
      <w:start w:val="1"/>
      <w:numFmt w:val="lowerLetter"/>
      <w:lvlText w:val="%6)"/>
      <w:lvlJc w:val="left"/>
      <w:pPr>
        <w:tabs>
          <w:tab w:val="num" w:pos="144"/>
        </w:tabs>
        <w:ind w:left="144" w:hanging="432"/>
      </w:pPr>
      <w:rPr>
        <w:rFonts w:hint="default"/>
      </w:rPr>
    </w:lvl>
    <w:lvl w:ilvl="6">
      <w:start w:val="1"/>
      <w:numFmt w:val="lowerRoman"/>
      <w:lvlText w:val="%7)"/>
      <w:lvlJc w:val="right"/>
      <w:pPr>
        <w:tabs>
          <w:tab w:val="num" w:pos="288"/>
        </w:tabs>
        <w:ind w:left="288" w:hanging="288"/>
      </w:pPr>
      <w:rPr>
        <w:rFonts w:hint="default"/>
      </w:rPr>
    </w:lvl>
    <w:lvl w:ilvl="7">
      <w:start w:val="1"/>
      <w:numFmt w:val="lowerLetter"/>
      <w:lvlText w:val="%8."/>
      <w:lvlJc w:val="left"/>
      <w:pPr>
        <w:tabs>
          <w:tab w:val="num" w:pos="432"/>
        </w:tabs>
        <w:ind w:left="432" w:hanging="432"/>
      </w:pPr>
      <w:rPr>
        <w:rFonts w:hint="default"/>
      </w:rPr>
    </w:lvl>
    <w:lvl w:ilvl="8">
      <w:start w:val="1"/>
      <w:numFmt w:val="lowerRoman"/>
      <w:lvlText w:val="%9."/>
      <w:lvlJc w:val="right"/>
      <w:pPr>
        <w:tabs>
          <w:tab w:val="num" w:pos="576"/>
        </w:tabs>
        <w:ind w:left="576" w:hanging="144"/>
      </w:pPr>
      <w:rPr>
        <w:rFonts w:hint="default"/>
      </w:rPr>
    </w:lvl>
  </w:abstractNum>
  <w:abstractNum w:abstractNumId="20">
    <w:nsid w:val="2F6445D0"/>
    <w:multiLevelType w:val="multilevel"/>
    <w:tmpl w:val="CF66FDD6"/>
    <w:lvl w:ilvl="0">
      <w:start w:val="2"/>
      <w:numFmt w:val="decimal"/>
      <w:lvlRestart w:val="0"/>
      <w:lvlText w:val="2.%1"/>
      <w:lvlJc w:val="left"/>
      <w:pPr>
        <w:tabs>
          <w:tab w:val="num" w:pos="1584"/>
        </w:tabs>
        <w:ind w:left="1584" w:hanging="1584"/>
      </w:pPr>
      <w:rPr>
        <w:rFonts w:ascii="Times New Roman" w:hAnsi="Times New Roman" w:cs="Times New Roman" w:hint="default"/>
        <w:b/>
        <w:i w:val="0"/>
        <w:caps/>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2"/>
      <w:lvlJc w:val="left"/>
      <w:pPr>
        <w:tabs>
          <w:tab w:val="num" w:pos="1584"/>
        </w:tabs>
        <w:ind w:left="1584" w:hanging="1584"/>
      </w:pPr>
      <w:rPr>
        <w:rFonts w:ascii="Times New Roman" w:hAnsi="Times New Roman" w:cs="Times New Roman" w:hint="default"/>
        <w:b/>
        <w:i w:val="0"/>
        <w:caps/>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2.%3"/>
      <w:lvlJc w:val="left"/>
      <w:pPr>
        <w:tabs>
          <w:tab w:val="num" w:pos="1584"/>
        </w:tabs>
        <w:ind w:left="1584" w:hanging="1584"/>
      </w:pPr>
      <w:rPr>
        <w:rFonts w:ascii="Times New Roman" w:hAnsi="Times New Roman"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1.%2.%3.%4"/>
      <w:lvlJc w:val="left"/>
      <w:pPr>
        <w:tabs>
          <w:tab w:val="num" w:pos="1584"/>
        </w:tabs>
        <w:ind w:left="1584" w:hanging="1584"/>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1.%2.%3.%4.%5"/>
      <w:lvlJc w:val="left"/>
      <w:pPr>
        <w:tabs>
          <w:tab w:val="num" w:pos="1584"/>
        </w:tabs>
        <w:ind w:left="1584" w:hanging="1584"/>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ist1"/>
      <w:lvlText w:val="%6."/>
      <w:lvlJc w:val="left"/>
      <w:pPr>
        <w:tabs>
          <w:tab w:val="num" w:pos="2088"/>
        </w:tabs>
        <w:ind w:left="2088" w:hanging="504"/>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ist2"/>
      <w:lvlText w:val="%7."/>
      <w:lvlJc w:val="left"/>
      <w:pPr>
        <w:tabs>
          <w:tab w:val="num" w:pos="2592"/>
        </w:tabs>
        <w:ind w:left="2592" w:hanging="504"/>
      </w:pPr>
      <w:rPr>
        <w:rFonts w:ascii="Times New Roman" w:hAnsi="Times New Roman"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List3"/>
      <w:lvlText w:val="●"/>
      <w:lvlJc w:val="left"/>
      <w:pPr>
        <w:tabs>
          <w:tab w:val="num" w:pos="3096"/>
        </w:tabs>
        <w:ind w:left="3096" w:hanging="504"/>
      </w:pPr>
      <w:rPr>
        <w:rFonts w:ascii="Times New Roman" w:hAnsi="Times New Roman"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Restart w:val="5"/>
      <w:pStyle w:val="List4"/>
      <w:lvlText w:val="%9."/>
      <w:lvlJc w:val="left"/>
      <w:pPr>
        <w:tabs>
          <w:tab w:val="num" w:pos="3600"/>
        </w:tabs>
        <w:ind w:left="3600" w:hanging="504"/>
      </w:pPr>
      <w:rPr>
        <w:rFonts w:ascii="Times New Roman" w:hAnsi="Times New Roman" w:cs="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1251206"/>
    <w:multiLevelType w:val="hybridMultilevel"/>
    <w:tmpl w:val="6D3C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892864"/>
    <w:multiLevelType w:val="hybridMultilevel"/>
    <w:tmpl w:val="6334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AD7BD2"/>
    <w:multiLevelType w:val="hybridMultilevel"/>
    <w:tmpl w:val="D058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DE6A8E"/>
    <w:multiLevelType w:val="hybridMultilevel"/>
    <w:tmpl w:val="3076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5C18E0"/>
    <w:multiLevelType w:val="hybridMultilevel"/>
    <w:tmpl w:val="5DB0B9C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0B8781C"/>
    <w:multiLevelType w:val="hybridMultilevel"/>
    <w:tmpl w:val="465A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F2013F"/>
    <w:multiLevelType w:val="hybridMultilevel"/>
    <w:tmpl w:val="CD4EE5AE"/>
    <w:lvl w:ilvl="0" w:tplc="023CF05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B7BDF"/>
    <w:multiLevelType w:val="hybridMultilevel"/>
    <w:tmpl w:val="E1E6EEB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B146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71D7856"/>
    <w:multiLevelType w:val="hybridMultilevel"/>
    <w:tmpl w:val="77EC1ED8"/>
    <w:lvl w:ilvl="0" w:tplc="040C0003">
      <w:start w:val="1"/>
      <w:numFmt w:val="bullet"/>
      <w:lvlText w:val="o"/>
      <w:lvlJc w:val="left"/>
      <w:pPr>
        <w:ind w:left="720" w:hanging="360"/>
      </w:pPr>
      <w:rPr>
        <w:rFonts w:ascii="Courier New" w:hAnsi="Courier New" w:cs="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11549E"/>
    <w:multiLevelType w:val="hybridMultilevel"/>
    <w:tmpl w:val="8E5CF934"/>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736E28"/>
    <w:multiLevelType w:val="hybridMultilevel"/>
    <w:tmpl w:val="FD0A331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8"/>
  </w:num>
  <w:num w:numId="14">
    <w:abstractNumId w:val="29"/>
  </w:num>
  <w:num w:numId="15">
    <w:abstractNumId w:val="11"/>
  </w:num>
  <w:num w:numId="16">
    <w:abstractNumId w:val="10"/>
  </w:num>
  <w:num w:numId="17">
    <w:abstractNumId w:val="30"/>
  </w:num>
  <w:num w:numId="18">
    <w:abstractNumId w:val="31"/>
  </w:num>
  <w:num w:numId="19">
    <w:abstractNumId w:val="27"/>
  </w:num>
  <w:num w:numId="20">
    <w:abstractNumId w:val="17"/>
  </w:num>
  <w:num w:numId="21">
    <w:abstractNumId w:val="26"/>
  </w:num>
  <w:num w:numId="22">
    <w:abstractNumId w:val="22"/>
  </w:num>
  <w:num w:numId="23">
    <w:abstractNumId w:val="14"/>
  </w:num>
  <w:num w:numId="24">
    <w:abstractNumId w:val="28"/>
  </w:num>
  <w:num w:numId="25">
    <w:abstractNumId w:val="23"/>
  </w:num>
  <w:num w:numId="26">
    <w:abstractNumId w:val="24"/>
  </w:num>
  <w:num w:numId="27">
    <w:abstractNumId w:val="25"/>
  </w:num>
  <w:num w:numId="28">
    <w:abstractNumId w:val="32"/>
  </w:num>
  <w:num w:numId="29">
    <w:abstractNumId w:val="21"/>
  </w:num>
  <w:num w:numId="30">
    <w:abstractNumId w:val="16"/>
  </w:num>
  <w:num w:numId="31">
    <w:abstractNumId w:val="15"/>
  </w:num>
  <w:num w:numId="32">
    <w:abstractNumId w:val="13"/>
  </w:num>
  <w:num w:numId="33">
    <w:abstractNumId w:val="1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wyn Gabutero">
    <w15:presenceInfo w15:providerId="None" w15:userId="Elwyn Gabut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TDPrefix" w:val="2"/>
    <w:docVar w:name="CTDPrefixHead" w:val="2"/>
    <w:docVar w:name="CTDPrefixTandF" w:val="2"/>
    <w:docVar w:name="CTDPrefixTandFH1" w:val="True"/>
    <w:docVar w:name="CTDPrefixTandFH2" w:val="False"/>
    <w:docVar w:name="CTDPrefixTandFH3" w:val="False"/>
    <w:docVar w:name="CurrentVersion" w:val="2,0"/>
    <w:docVar w:name="FigurePrefix" w:val="Figure 2.2-"/>
    <w:docVar w:name="Head1Start" w:val="2"/>
    <w:docVar w:name="Head2Start" w:val="1"/>
    <w:docVar w:name="Head3Start" w:val="1"/>
    <w:docVar w:name="Head4Start" w:val="1"/>
    <w:docVar w:name="Head5Start" w:val="1"/>
    <w:docVar w:name="InitialVersion" w:val="1.0"/>
    <w:docVar w:name="PageSize" w:val="Letter"/>
    <w:docVar w:name="ParaNo1No" w:val="0"/>
    <w:docVar w:name="ParaNo1Text" w:val="Number"/>
    <w:docVar w:name="ParaNo2No" w:val="1"/>
    <w:docVar w:name="ParaNo2Text" w:val="Alpha"/>
    <w:docVar w:name="ParaNo3No" w:val="2"/>
    <w:docVar w:name="ParaNo3Text" w:val="Bullet"/>
    <w:docVar w:name="ParaNo4No" w:val="3"/>
    <w:docVar w:name="ParaNo4Text" w:val="Roman"/>
    <w:docVar w:name="TablePrefix" w:val="Table 2.2-"/>
  </w:docVars>
  <w:rsids>
    <w:rsidRoot w:val="00AD5AE8"/>
    <w:rsid w:val="00000860"/>
    <w:rsid w:val="00000F4B"/>
    <w:rsid w:val="000014F6"/>
    <w:rsid w:val="00005008"/>
    <w:rsid w:val="00010B0F"/>
    <w:rsid w:val="00010B9D"/>
    <w:rsid w:val="0001348C"/>
    <w:rsid w:val="0001696D"/>
    <w:rsid w:val="00020CDB"/>
    <w:rsid w:val="0002218B"/>
    <w:rsid w:val="000228E6"/>
    <w:rsid w:val="00026CA8"/>
    <w:rsid w:val="00032E18"/>
    <w:rsid w:val="00033501"/>
    <w:rsid w:val="000346A0"/>
    <w:rsid w:val="000348B2"/>
    <w:rsid w:val="0003557F"/>
    <w:rsid w:val="00035A83"/>
    <w:rsid w:val="0003658C"/>
    <w:rsid w:val="00036CBE"/>
    <w:rsid w:val="00041805"/>
    <w:rsid w:val="00047A22"/>
    <w:rsid w:val="00050254"/>
    <w:rsid w:val="000529A2"/>
    <w:rsid w:val="00052B8E"/>
    <w:rsid w:val="00053316"/>
    <w:rsid w:val="00054E35"/>
    <w:rsid w:val="000550AA"/>
    <w:rsid w:val="0005595E"/>
    <w:rsid w:val="00060610"/>
    <w:rsid w:val="000627FC"/>
    <w:rsid w:val="00066B38"/>
    <w:rsid w:val="00067166"/>
    <w:rsid w:val="00071197"/>
    <w:rsid w:val="00071A10"/>
    <w:rsid w:val="00071DE2"/>
    <w:rsid w:val="00072E24"/>
    <w:rsid w:val="00075F3D"/>
    <w:rsid w:val="00077CC8"/>
    <w:rsid w:val="000807D7"/>
    <w:rsid w:val="0008512B"/>
    <w:rsid w:val="0008673E"/>
    <w:rsid w:val="00090E58"/>
    <w:rsid w:val="000927EB"/>
    <w:rsid w:val="00097249"/>
    <w:rsid w:val="000A1239"/>
    <w:rsid w:val="000A6897"/>
    <w:rsid w:val="000A79FC"/>
    <w:rsid w:val="000B37E1"/>
    <w:rsid w:val="000B4BCB"/>
    <w:rsid w:val="000B5E3E"/>
    <w:rsid w:val="000C15B7"/>
    <w:rsid w:val="000C22BE"/>
    <w:rsid w:val="000C2534"/>
    <w:rsid w:val="000C374E"/>
    <w:rsid w:val="000C3BBF"/>
    <w:rsid w:val="000D31E9"/>
    <w:rsid w:val="000D7322"/>
    <w:rsid w:val="000D741D"/>
    <w:rsid w:val="000E1686"/>
    <w:rsid w:val="000E20CE"/>
    <w:rsid w:val="000E5951"/>
    <w:rsid w:val="000E5F62"/>
    <w:rsid w:val="000F0C46"/>
    <w:rsid w:val="000F159A"/>
    <w:rsid w:val="000F1A96"/>
    <w:rsid w:val="000F3246"/>
    <w:rsid w:val="000F43C6"/>
    <w:rsid w:val="000F4EE3"/>
    <w:rsid w:val="000F5B69"/>
    <w:rsid w:val="000F6FAD"/>
    <w:rsid w:val="000F70D4"/>
    <w:rsid w:val="00100B56"/>
    <w:rsid w:val="00102F14"/>
    <w:rsid w:val="00106CF4"/>
    <w:rsid w:val="00110EB9"/>
    <w:rsid w:val="0011347D"/>
    <w:rsid w:val="001141C2"/>
    <w:rsid w:val="00114290"/>
    <w:rsid w:val="00114895"/>
    <w:rsid w:val="00114B8D"/>
    <w:rsid w:val="00115664"/>
    <w:rsid w:val="00116FA8"/>
    <w:rsid w:val="00117C50"/>
    <w:rsid w:val="0012061F"/>
    <w:rsid w:val="00123457"/>
    <w:rsid w:val="00124E34"/>
    <w:rsid w:val="00124E62"/>
    <w:rsid w:val="001252FF"/>
    <w:rsid w:val="00125AA8"/>
    <w:rsid w:val="00131BFC"/>
    <w:rsid w:val="001335B1"/>
    <w:rsid w:val="00135515"/>
    <w:rsid w:val="001404FB"/>
    <w:rsid w:val="00140A5B"/>
    <w:rsid w:val="0014381A"/>
    <w:rsid w:val="00143C61"/>
    <w:rsid w:val="0014645B"/>
    <w:rsid w:val="0015073A"/>
    <w:rsid w:val="001525A5"/>
    <w:rsid w:val="00153701"/>
    <w:rsid w:val="0015793E"/>
    <w:rsid w:val="00160289"/>
    <w:rsid w:val="00161FD5"/>
    <w:rsid w:val="00162B00"/>
    <w:rsid w:val="00164B5F"/>
    <w:rsid w:val="00164F31"/>
    <w:rsid w:val="00165391"/>
    <w:rsid w:val="00174992"/>
    <w:rsid w:val="00175AEE"/>
    <w:rsid w:val="00175AF2"/>
    <w:rsid w:val="001807AB"/>
    <w:rsid w:val="001807E6"/>
    <w:rsid w:val="001856D4"/>
    <w:rsid w:val="0018573F"/>
    <w:rsid w:val="00187198"/>
    <w:rsid w:val="00187820"/>
    <w:rsid w:val="00187A03"/>
    <w:rsid w:val="00191766"/>
    <w:rsid w:val="00192665"/>
    <w:rsid w:val="001934A3"/>
    <w:rsid w:val="001949D2"/>
    <w:rsid w:val="00195535"/>
    <w:rsid w:val="001973AE"/>
    <w:rsid w:val="001A1616"/>
    <w:rsid w:val="001A1756"/>
    <w:rsid w:val="001A3CBD"/>
    <w:rsid w:val="001A4CF4"/>
    <w:rsid w:val="001A7679"/>
    <w:rsid w:val="001B117E"/>
    <w:rsid w:val="001B11F3"/>
    <w:rsid w:val="001B16E2"/>
    <w:rsid w:val="001B420D"/>
    <w:rsid w:val="001B6E89"/>
    <w:rsid w:val="001B728D"/>
    <w:rsid w:val="001C07BD"/>
    <w:rsid w:val="001C4106"/>
    <w:rsid w:val="001C4B89"/>
    <w:rsid w:val="001C53CF"/>
    <w:rsid w:val="001C7397"/>
    <w:rsid w:val="001C7513"/>
    <w:rsid w:val="001D2577"/>
    <w:rsid w:val="001D2A98"/>
    <w:rsid w:val="001D50A4"/>
    <w:rsid w:val="001D52D6"/>
    <w:rsid w:val="001D560E"/>
    <w:rsid w:val="001D64D5"/>
    <w:rsid w:val="001D700C"/>
    <w:rsid w:val="001E3349"/>
    <w:rsid w:val="001E49F8"/>
    <w:rsid w:val="001E531C"/>
    <w:rsid w:val="001E6D22"/>
    <w:rsid w:val="001E7F5C"/>
    <w:rsid w:val="001F3746"/>
    <w:rsid w:val="001F53D2"/>
    <w:rsid w:val="001F674F"/>
    <w:rsid w:val="001F73D1"/>
    <w:rsid w:val="00200D52"/>
    <w:rsid w:val="00200DAC"/>
    <w:rsid w:val="0020321C"/>
    <w:rsid w:val="00212FD4"/>
    <w:rsid w:val="00220246"/>
    <w:rsid w:val="00220928"/>
    <w:rsid w:val="00220AF7"/>
    <w:rsid w:val="00220DC6"/>
    <w:rsid w:val="00221638"/>
    <w:rsid w:val="0022275A"/>
    <w:rsid w:val="0022571C"/>
    <w:rsid w:val="00225901"/>
    <w:rsid w:val="0023099A"/>
    <w:rsid w:val="002321E8"/>
    <w:rsid w:val="00234719"/>
    <w:rsid w:val="00234ACB"/>
    <w:rsid w:val="00235EF3"/>
    <w:rsid w:val="00236453"/>
    <w:rsid w:val="00236DAE"/>
    <w:rsid w:val="002371E5"/>
    <w:rsid w:val="00242A04"/>
    <w:rsid w:val="002442F2"/>
    <w:rsid w:val="00244702"/>
    <w:rsid w:val="002451CE"/>
    <w:rsid w:val="002459B9"/>
    <w:rsid w:val="00245DA1"/>
    <w:rsid w:val="00246FC7"/>
    <w:rsid w:val="0025056C"/>
    <w:rsid w:val="00252579"/>
    <w:rsid w:val="002532A5"/>
    <w:rsid w:val="0025571A"/>
    <w:rsid w:val="002557D2"/>
    <w:rsid w:val="00255D5D"/>
    <w:rsid w:val="00257E73"/>
    <w:rsid w:val="0026283B"/>
    <w:rsid w:val="00263DDC"/>
    <w:rsid w:val="00267AD6"/>
    <w:rsid w:val="0027229C"/>
    <w:rsid w:val="002749F4"/>
    <w:rsid w:val="00274BFC"/>
    <w:rsid w:val="0027605E"/>
    <w:rsid w:val="00277FC8"/>
    <w:rsid w:val="00282921"/>
    <w:rsid w:val="002843E0"/>
    <w:rsid w:val="00284425"/>
    <w:rsid w:val="00284BFC"/>
    <w:rsid w:val="002862E4"/>
    <w:rsid w:val="00290E13"/>
    <w:rsid w:val="00297F69"/>
    <w:rsid w:val="002A01AC"/>
    <w:rsid w:val="002A291A"/>
    <w:rsid w:val="002A3C73"/>
    <w:rsid w:val="002A4819"/>
    <w:rsid w:val="002A6B1F"/>
    <w:rsid w:val="002B0E55"/>
    <w:rsid w:val="002B277E"/>
    <w:rsid w:val="002B2839"/>
    <w:rsid w:val="002B4137"/>
    <w:rsid w:val="002C079C"/>
    <w:rsid w:val="002C0D74"/>
    <w:rsid w:val="002C35AD"/>
    <w:rsid w:val="002C3D12"/>
    <w:rsid w:val="002C464A"/>
    <w:rsid w:val="002C5569"/>
    <w:rsid w:val="002C59B4"/>
    <w:rsid w:val="002C6894"/>
    <w:rsid w:val="002C7363"/>
    <w:rsid w:val="002C73BF"/>
    <w:rsid w:val="002D07FC"/>
    <w:rsid w:val="002D0F01"/>
    <w:rsid w:val="002D1B39"/>
    <w:rsid w:val="002D2340"/>
    <w:rsid w:val="002D314E"/>
    <w:rsid w:val="002D42ED"/>
    <w:rsid w:val="002D48BD"/>
    <w:rsid w:val="002E1596"/>
    <w:rsid w:val="002E19A4"/>
    <w:rsid w:val="002E2EEA"/>
    <w:rsid w:val="002E502E"/>
    <w:rsid w:val="002E6662"/>
    <w:rsid w:val="002E71B3"/>
    <w:rsid w:val="002F153E"/>
    <w:rsid w:val="002F1F2A"/>
    <w:rsid w:val="002F209B"/>
    <w:rsid w:val="002F42A6"/>
    <w:rsid w:val="002F672E"/>
    <w:rsid w:val="002F68F9"/>
    <w:rsid w:val="002F7098"/>
    <w:rsid w:val="002F709E"/>
    <w:rsid w:val="002F7252"/>
    <w:rsid w:val="00302615"/>
    <w:rsid w:val="00302720"/>
    <w:rsid w:val="00303BE3"/>
    <w:rsid w:val="00304520"/>
    <w:rsid w:val="00305533"/>
    <w:rsid w:val="00307344"/>
    <w:rsid w:val="00310292"/>
    <w:rsid w:val="00314228"/>
    <w:rsid w:val="003147CD"/>
    <w:rsid w:val="00314F4A"/>
    <w:rsid w:val="003151E3"/>
    <w:rsid w:val="00320358"/>
    <w:rsid w:val="003207DD"/>
    <w:rsid w:val="00322976"/>
    <w:rsid w:val="00322BB7"/>
    <w:rsid w:val="0032373D"/>
    <w:rsid w:val="00323A2A"/>
    <w:rsid w:val="00324C8B"/>
    <w:rsid w:val="00327389"/>
    <w:rsid w:val="00332080"/>
    <w:rsid w:val="00332087"/>
    <w:rsid w:val="00337BC2"/>
    <w:rsid w:val="00340193"/>
    <w:rsid w:val="00341B00"/>
    <w:rsid w:val="0034380E"/>
    <w:rsid w:val="00344301"/>
    <w:rsid w:val="00345A34"/>
    <w:rsid w:val="00345D5F"/>
    <w:rsid w:val="00346BE6"/>
    <w:rsid w:val="00354FFB"/>
    <w:rsid w:val="00360244"/>
    <w:rsid w:val="00360BC1"/>
    <w:rsid w:val="0036665D"/>
    <w:rsid w:val="00367353"/>
    <w:rsid w:val="003705F1"/>
    <w:rsid w:val="00370DE7"/>
    <w:rsid w:val="00375248"/>
    <w:rsid w:val="00375939"/>
    <w:rsid w:val="00381A7B"/>
    <w:rsid w:val="003834DF"/>
    <w:rsid w:val="00395945"/>
    <w:rsid w:val="00396A47"/>
    <w:rsid w:val="003A0FAE"/>
    <w:rsid w:val="003A22B9"/>
    <w:rsid w:val="003A6C7A"/>
    <w:rsid w:val="003B4E36"/>
    <w:rsid w:val="003B505D"/>
    <w:rsid w:val="003B50C8"/>
    <w:rsid w:val="003B5D38"/>
    <w:rsid w:val="003C0B14"/>
    <w:rsid w:val="003C2DB2"/>
    <w:rsid w:val="003C2EA4"/>
    <w:rsid w:val="003C3EAE"/>
    <w:rsid w:val="003C4C78"/>
    <w:rsid w:val="003C6819"/>
    <w:rsid w:val="003D0408"/>
    <w:rsid w:val="003D18B7"/>
    <w:rsid w:val="003D4389"/>
    <w:rsid w:val="003D5305"/>
    <w:rsid w:val="003D5361"/>
    <w:rsid w:val="003D5AA8"/>
    <w:rsid w:val="003D5B69"/>
    <w:rsid w:val="003D794A"/>
    <w:rsid w:val="003E0362"/>
    <w:rsid w:val="003E38A3"/>
    <w:rsid w:val="003E42E6"/>
    <w:rsid w:val="003E6D06"/>
    <w:rsid w:val="003F0173"/>
    <w:rsid w:val="003F086E"/>
    <w:rsid w:val="003F3E54"/>
    <w:rsid w:val="004022D7"/>
    <w:rsid w:val="00402806"/>
    <w:rsid w:val="00403E18"/>
    <w:rsid w:val="00404DCF"/>
    <w:rsid w:val="00410F6B"/>
    <w:rsid w:val="0041286C"/>
    <w:rsid w:val="00414C0A"/>
    <w:rsid w:val="00416114"/>
    <w:rsid w:val="00422EFD"/>
    <w:rsid w:val="004316B9"/>
    <w:rsid w:val="00431C34"/>
    <w:rsid w:val="00431D81"/>
    <w:rsid w:val="004320F5"/>
    <w:rsid w:val="004328DC"/>
    <w:rsid w:val="00435FC7"/>
    <w:rsid w:val="00440160"/>
    <w:rsid w:val="004434B5"/>
    <w:rsid w:val="00443A74"/>
    <w:rsid w:val="00443B3B"/>
    <w:rsid w:val="00445EDA"/>
    <w:rsid w:val="004463B1"/>
    <w:rsid w:val="00446BC5"/>
    <w:rsid w:val="004470FF"/>
    <w:rsid w:val="00452DF3"/>
    <w:rsid w:val="0045332E"/>
    <w:rsid w:val="00453520"/>
    <w:rsid w:val="004547BD"/>
    <w:rsid w:val="00454FF0"/>
    <w:rsid w:val="00456818"/>
    <w:rsid w:val="00461A66"/>
    <w:rsid w:val="0047024A"/>
    <w:rsid w:val="00470A62"/>
    <w:rsid w:val="00470FA8"/>
    <w:rsid w:val="00477CAC"/>
    <w:rsid w:val="0048185D"/>
    <w:rsid w:val="00483CDD"/>
    <w:rsid w:val="00487423"/>
    <w:rsid w:val="00487934"/>
    <w:rsid w:val="00491FA5"/>
    <w:rsid w:val="0049303E"/>
    <w:rsid w:val="0049576E"/>
    <w:rsid w:val="00495A8E"/>
    <w:rsid w:val="004A2CBC"/>
    <w:rsid w:val="004A3767"/>
    <w:rsid w:val="004A4306"/>
    <w:rsid w:val="004A685F"/>
    <w:rsid w:val="004B258D"/>
    <w:rsid w:val="004B5226"/>
    <w:rsid w:val="004B7808"/>
    <w:rsid w:val="004B7F71"/>
    <w:rsid w:val="004C0F9A"/>
    <w:rsid w:val="004C3C1D"/>
    <w:rsid w:val="004C567C"/>
    <w:rsid w:val="004C59A9"/>
    <w:rsid w:val="004D0B28"/>
    <w:rsid w:val="004D2028"/>
    <w:rsid w:val="004D342E"/>
    <w:rsid w:val="004D4FAE"/>
    <w:rsid w:val="004D6895"/>
    <w:rsid w:val="004D7050"/>
    <w:rsid w:val="004D74C4"/>
    <w:rsid w:val="004E1435"/>
    <w:rsid w:val="004E2772"/>
    <w:rsid w:val="004E3CE2"/>
    <w:rsid w:val="004E4CD2"/>
    <w:rsid w:val="004E6307"/>
    <w:rsid w:val="004F00EF"/>
    <w:rsid w:val="004F3457"/>
    <w:rsid w:val="004F46ED"/>
    <w:rsid w:val="004F5159"/>
    <w:rsid w:val="004F59D7"/>
    <w:rsid w:val="004F736E"/>
    <w:rsid w:val="004F7CB3"/>
    <w:rsid w:val="005005FF"/>
    <w:rsid w:val="00500DE6"/>
    <w:rsid w:val="00503336"/>
    <w:rsid w:val="0050471F"/>
    <w:rsid w:val="0050697D"/>
    <w:rsid w:val="0051080B"/>
    <w:rsid w:val="00510F15"/>
    <w:rsid w:val="00512A11"/>
    <w:rsid w:val="0051377A"/>
    <w:rsid w:val="00513A3B"/>
    <w:rsid w:val="00514A42"/>
    <w:rsid w:val="005236A0"/>
    <w:rsid w:val="0052622D"/>
    <w:rsid w:val="0052700F"/>
    <w:rsid w:val="00532BF8"/>
    <w:rsid w:val="0053398A"/>
    <w:rsid w:val="00534D20"/>
    <w:rsid w:val="0054222F"/>
    <w:rsid w:val="005471B2"/>
    <w:rsid w:val="00547F2A"/>
    <w:rsid w:val="00552BF5"/>
    <w:rsid w:val="00552EA3"/>
    <w:rsid w:val="00553AAB"/>
    <w:rsid w:val="005553A6"/>
    <w:rsid w:val="00556254"/>
    <w:rsid w:val="00562B16"/>
    <w:rsid w:val="0056526D"/>
    <w:rsid w:val="005655EF"/>
    <w:rsid w:val="00566145"/>
    <w:rsid w:val="005706FC"/>
    <w:rsid w:val="0057088F"/>
    <w:rsid w:val="0057219D"/>
    <w:rsid w:val="00575661"/>
    <w:rsid w:val="00575A78"/>
    <w:rsid w:val="0057680B"/>
    <w:rsid w:val="0057728D"/>
    <w:rsid w:val="00580C1C"/>
    <w:rsid w:val="00582E1A"/>
    <w:rsid w:val="0058540F"/>
    <w:rsid w:val="005865C1"/>
    <w:rsid w:val="0058773A"/>
    <w:rsid w:val="0059164F"/>
    <w:rsid w:val="005931EE"/>
    <w:rsid w:val="00593FE9"/>
    <w:rsid w:val="005A0BB8"/>
    <w:rsid w:val="005A15B0"/>
    <w:rsid w:val="005A1721"/>
    <w:rsid w:val="005A1C4E"/>
    <w:rsid w:val="005A2A8A"/>
    <w:rsid w:val="005A2B05"/>
    <w:rsid w:val="005A379A"/>
    <w:rsid w:val="005A4DAC"/>
    <w:rsid w:val="005A6C52"/>
    <w:rsid w:val="005A7524"/>
    <w:rsid w:val="005B034F"/>
    <w:rsid w:val="005B1240"/>
    <w:rsid w:val="005B3C57"/>
    <w:rsid w:val="005C036E"/>
    <w:rsid w:val="005C3D1D"/>
    <w:rsid w:val="005C3DEE"/>
    <w:rsid w:val="005C7799"/>
    <w:rsid w:val="005C7D6E"/>
    <w:rsid w:val="005D0C84"/>
    <w:rsid w:val="005D5F4E"/>
    <w:rsid w:val="005D6BF9"/>
    <w:rsid w:val="005D7704"/>
    <w:rsid w:val="005D7CDE"/>
    <w:rsid w:val="005E2CC4"/>
    <w:rsid w:val="005E3224"/>
    <w:rsid w:val="005E51A5"/>
    <w:rsid w:val="005E5D75"/>
    <w:rsid w:val="005E7B1B"/>
    <w:rsid w:val="005F1C68"/>
    <w:rsid w:val="005F1E98"/>
    <w:rsid w:val="005F2EE9"/>
    <w:rsid w:val="005F3859"/>
    <w:rsid w:val="005F582E"/>
    <w:rsid w:val="005F7807"/>
    <w:rsid w:val="005F7AC0"/>
    <w:rsid w:val="0060066A"/>
    <w:rsid w:val="006028A1"/>
    <w:rsid w:val="00603972"/>
    <w:rsid w:val="00604787"/>
    <w:rsid w:val="0060678A"/>
    <w:rsid w:val="00606F0C"/>
    <w:rsid w:val="00607934"/>
    <w:rsid w:val="00607EB1"/>
    <w:rsid w:val="00610378"/>
    <w:rsid w:val="00611280"/>
    <w:rsid w:val="00612E88"/>
    <w:rsid w:val="00613CCF"/>
    <w:rsid w:val="006143E5"/>
    <w:rsid w:val="00615D3A"/>
    <w:rsid w:val="00617A44"/>
    <w:rsid w:val="006207BC"/>
    <w:rsid w:val="00621C4C"/>
    <w:rsid w:val="00623BBD"/>
    <w:rsid w:val="00624628"/>
    <w:rsid w:val="00625181"/>
    <w:rsid w:val="006258F4"/>
    <w:rsid w:val="0062629F"/>
    <w:rsid w:val="00626478"/>
    <w:rsid w:val="00627D4B"/>
    <w:rsid w:val="00632306"/>
    <w:rsid w:val="00633F8F"/>
    <w:rsid w:val="0063437A"/>
    <w:rsid w:val="0063582B"/>
    <w:rsid w:val="00636C89"/>
    <w:rsid w:val="00637897"/>
    <w:rsid w:val="00637B14"/>
    <w:rsid w:val="0064015C"/>
    <w:rsid w:val="006403A1"/>
    <w:rsid w:val="00640981"/>
    <w:rsid w:val="00641B16"/>
    <w:rsid w:val="006441B3"/>
    <w:rsid w:val="006441B6"/>
    <w:rsid w:val="006447EB"/>
    <w:rsid w:val="006465DD"/>
    <w:rsid w:val="00647D16"/>
    <w:rsid w:val="00652A9E"/>
    <w:rsid w:val="00652ABD"/>
    <w:rsid w:val="00654348"/>
    <w:rsid w:val="00655634"/>
    <w:rsid w:val="00656552"/>
    <w:rsid w:val="0065718A"/>
    <w:rsid w:val="00657907"/>
    <w:rsid w:val="00663137"/>
    <w:rsid w:val="006652CF"/>
    <w:rsid w:val="00665B44"/>
    <w:rsid w:val="006672D8"/>
    <w:rsid w:val="0066758A"/>
    <w:rsid w:val="00670995"/>
    <w:rsid w:val="00672EBB"/>
    <w:rsid w:val="006731B3"/>
    <w:rsid w:val="006758A0"/>
    <w:rsid w:val="00676247"/>
    <w:rsid w:val="00677174"/>
    <w:rsid w:val="00681195"/>
    <w:rsid w:val="00681581"/>
    <w:rsid w:val="0068162F"/>
    <w:rsid w:val="00681EA8"/>
    <w:rsid w:val="0068339F"/>
    <w:rsid w:val="00687387"/>
    <w:rsid w:val="00690870"/>
    <w:rsid w:val="006911A0"/>
    <w:rsid w:val="00693B26"/>
    <w:rsid w:val="00694F5A"/>
    <w:rsid w:val="00695C50"/>
    <w:rsid w:val="006969CF"/>
    <w:rsid w:val="00696E51"/>
    <w:rsid w:val="006A02B3"/>
    <w:rsid w:val="006A0D1D"/>
    <w:rsid w:val="006A1146"/>
    <w:rsid w:val="006B32CD"/>
    <w:rsid w:val="006B4B14"/>
    <w:rsid w:val="006B5116"/>
    <w:rsid w:val="006B7DF8"/>
    <w:rsid w:val="006C221E"/>
    <w:rsid w:val="006C5B8B"/>
    <w:rsid w:val="006C69B0"/>
    <w:rsid w:val="006D1ABB"/>
    <w:rsid w:val="006D2BF3"/>
    <w:rsid w:val="006D2D03"/>
    <w:rsid w:val="006D48D4"/>
    <w:rsid w:val="006D497B"/>
    <w:rsid w:val="006D54A4"/>
    <w:rsid w:val="006D6781"/>
    <w:rsid w:val="006E0800"/>
    <w:rsid w:val="006F2F13"/>
    <w:rsid w:val="006F3B3B"/>
    <w:rsid w:val="006F47EB"/>
    <w:rsid w:val="006F4813"/>
    <w:rsid w:val="006F4BA6"/>
    <w:rsid w:val="006F4DF0"/>
    <w:rsid w:val="00701C00"/>
    <w:rsid w:val="00702AD8"/>
    <w:rsid w:val="007059D7"/>
    <w:rsid w:val="00705E91"/>
    <w:rsid w:val="007071F8"/>
    <w:rsid w:val="007102EA"/>
    <w:rsid w:val="00712358"/>
    <w:rsid w:val="00712740"/>
    <w:rsid w:val="007139AD"/>
    <w:rsid w:val="00713ACF"/>
    <w:rsid w:val="007145ED"/>
    <w:rsid w:val="00716F79"/>
    <w:rsid w:val="007211F6"/>
    <w:rsid w:val="00724662"/>
    <w:rsid w:val="00725006"/>
    <w:rsid w:val="007271B6"/>
    <w:rsid w:val="00731894"/>
    <w:rsid w:val="00731ADD"/>
    <w:rsid w:val="00732245"/>
    <w:rsid w:val="00733828"/>
    <w:rsid w:val="007341DC"/>
    <w:rsid w:val="0073493F"/>
    <w:rsid w:val="00734B58"/>
    <w:rsid w:val="0073565A"/>
    <w:rsid w:val="00735ED5"/>
    <w:rsid w:val="00736BF4"/>
    <w:rsid w:val="00742371"/>
    <w:rsid w:val="00744693"/>
    <w:rsid w:val="007457BB"/>
    <w:rsid w:val="007464BE"/>
    <w:rsid w:val="00750E46"/>
    <w:rsid w:val="007523CA"/>
    <w:rsid w:val="00753CC5"/>
    <w:rsid w:val="00755823"/>
    <w:rsid w:val="00755F42"/>
    <w:rsid w:val="00757151"/>
    <w:rsid w:val="00757C78"/>
    <w:rsid w:val="00757FCD"/>
    <w:rsid w:val="0076563C"/>
    <w:rsid w:val="00770DCB"/>
    <w:rsid w:val="007723DD"/>
    <w:rsid w:val="0077250D"/>
    <w:rsid w:val="00772EFB"/>
    <w:rsid w:val="00774B2B"/>
    <w:rsid w:val="0077504F"/>
    <w:rsid w:val="00777E79"/>
    <w:rsid w:val="0078098B"/>
    <w:rsid w:val="007817D3"/>
    <w:rsid w:val="00781A0B"/>
    <w:rsid w:val="007829B6"/>
    <w:rsid w:val="00787AE8"/>
    <w:rsid w:val="007919DD"/>
    <w:rsid w:val="00793F9D"/>
    <w:rsid w:val="007A1582"/>
    <w:rsid w:val="007A4EAE"/>
    <w:rsid w:val="007A6EB5"/>
    <w:rsid w:val="007B2509"/>
    <w:rsid w:val="007B3177"/>
    <w:rsid w:val="007B45C9"/>
    <w:rsid w:val="007B6181"/>
    <w:rsid w:val="007B70D2"/>
    <w:rsid w:val="007C3779"/>
    <w:rsid w:val="007C6423"/>
    <w:rsid w:val="007C73DA"/>
    <w:rsid w:val="007D15A2"/>
    <w:rsid w:val="007D5AFE"/>
    <w:rsid w:val="007D6DE9"/>
    <w:rsid w:val="007E12F3"/>
    <w:rsid w:val="007E572C"/>
    <w:rsid w:val="007E6B43"/>
    <w:rsid w:val="007F06A3"/>
    <w:rsid w:val="007F1A2E"/>
    <w:rsid w:val="007F200B"/>
    <w:rsid w:val="007F4D2B"/>
    <w:rsid w:val="007F7C5A"/>
    <w:rsid w:val="00801684"/>
    <w:rsid w:val="00801A6F"/>
    <w:rsid w:val="0080554A"/>
    <w:rsid w:val="008055AF"/>
    <w:rsid w:val="00805CE1"/>
    <w:rsid w:val="00806248"/>
    <w:rsid w:val="0080682F"/>
    <w:rsid w:val="0080692E"/>
    <w:rsid w:val="00807882"/>
    <w:rsid w:val="00807F75"/>
    <w:rsid w:val="00810127"/>
    <w:rsid w:val="00811179"/>
    <w:rsid w:val="00812174"/>
    <w:rsid w:val="0081345B"/>
    <w:rsid w:val="00821B51"/>
    <w:rsid w:val="00822767"/>
    <w:rsid w:val="00822A04"/>
    <w:rsid w:val="00823546"/>
    <w:rsid w:val="00826010"/>
    <w:rsid w:val="00827276"/>
    <w:rsid w:val="0082743D"/>
    <w:rsid w:val="00827D17"/>
    <w:rsid w:val="008313A6"/>
    <w:rsid w:val="00833259"/>
    <w:rsid w:val="00834AFF"/>
    <w:rsid w:val="00835631"/>
    <w:rsid w:val="00835E8A"/>
    <w:rsid w:val="008366F9"/>
    <w:rsid w:val="00840DD6"/>
    <w:rsid w:val="008415FC"/>
    <w:rsid w:val="00841E41"/>
    <w:rsid w:val="00843A44"/>
    <w:rsid w:val="008501CE"/>
    <w:rsid w:val="00853045"/>
    <w:rsid w:val="00854439"/>
    <w:rsid w:val="00854773"/>
    <w:rsid w:val="00855797"/>
    <w:rsid w:val="00856373"/>
    <w:rsid w:val="00860F5C"/>
    <w:rsid w:val="008663E6"/>
    <w:rsid w:val="00866A68"/>
    <w:rsid w:val="008701B1"/>
    <w:rsid w:val="008714CC"/>
    <w:rsid w:val="00871D19"/>
    <w:rsid w:val="00876978"/>
    <w:rsid w:val="00880134"/>
    <w:rsid w:val="00883453"/>
    <w:rsid w:val="00883602"/>
    <w:rsid w:val="00883934"/>
    <w:rsid w:val="0088691E"/>
    <w:rsid w:val="00890A9E"/>
    <w:rsid w:val="0089188B"/>
    <w:rsid w:val="00892BC3"/>
    <w:rsid w:val="00892D61"/>
    <w:rsid w:val="0089639E"/>
    <w:rsid w:val="00897D2A"/>
    <w:rsid w:val="008A0A3C"/>
    <w:rsid w:val="008A2DD7"/>
    <w:rsid w:val="008A37E5"/>
    <w:rsid w:val="008A3A45"/>
    <w:rsid w:val="008A5505"/>
    <w:rsid w:val="008B3F76"/>
    <w:rsid w:val="008B4E4E"/>
    <w:rsid w:val="008B61B3"/>
    <w:rsid w:val="008B6690"/>
    <w:rsid w:val="008C095E"/>
    <w:rsid w:val="008C1D69"/>
    <w:rsid w:val="008C3E7A"/>
    <w:rsid w:val="008C46AD"/>
    <w:rsid w:val="008C4D15"/>
    <w:rsid w:val="008C76C8"/>
    <w:rsid w:val="008D10A8"/>
    <w:rsid w:val="008D1474"/>
    <w:rsid w:val="008D4541"/>
    <w:rsid w:val="008D6191"/>
    <w:rsid w:val="008E00F2"/>
    <w:rsid w:val="008E1A2C"/>
    <w:rsid w:val="008E3AC4"/>
    <w:rsid w:val="008F14DE"/>
    <w:rsid w:val="008F3B1B"/>
    <w:rsid w:val="008F51CC"/>
    <w:rsid w:val="008F7DA7"/>
    <w:rsid w:val="008F7F0E"/>
    <w:rsid w:val="00903BF1"/>
    <w:rsid w:val="0090686D"/>
    <w:rsid w:val="009072EE"/>
    <w:rsid w:val="009116F4"/>
    <w:rsid w:val="0091459D"/>
    <w:rsid w:val="00921768"/>
    <w:rsid w:val="00922267"/>
    <w:rsid w:val="0092271C"/>
    <w:rsid w:val="009230E8"/>
    <w:rsid w:val="00923CDC"/>
    <w:rsid w:val="00924DCD"/>
    <w:rsid w:val="009256C2"/>
    <w:rsid w:val="00927489"/>
    <w:rsid w:val="0093317C"/>
    <w:rsid w:val="009336EA"/>
    <w:rsid w:val="009343C5"/>
    <w:rsid w:val="009343DF"/>
    <w:rsid w:val="00935446"/>
    <w:rsid w:val="00936781"/>
    <w:rsid w:val="00937DAD"/>
    <w:rsid w:val="00941E46"/>
    <w:rsid w:val="00945AFF"/>
    <w:rsid w:val="00947945"/>
    <w:rsid w:val="00947BEF"/>
    <w:rsid w:val="0095189D"/>
    <w:rsid w:val="009522F3"/>
    <w:rsid w:val="00954270"/>
    <w:rsid w:val="00957B31"/>
    <w:rsid w:val="009610E6"/>
    <w:rsid w:val="009624AB"/>
    <w:rsid w:val="00963199"/>
    <w:rsid w:val="00966C9E"/>
    <w:rsid w:val="0097250F"/>
    <w:rsid w:val="009727A0"/>
    <w:rsid w:val="00975926"/>
    <w:rsid w:val="00980B6C"/>
    <w:rsid w:val="0098222B"/>
    <w:rsid w:val="0098448C"/>
    <w:rsid w:val="009846F8"/>
    <w:rsid w:val="0098470C"/>
    <w:rsid w:val="009849BD"/>
    <w:rsid w:val="00986721"/>
    <w:rsid w:val="009867AD"/>
    <w:rsid w:val="00990C0A"/>
    <w:rsid w:val="00990C7A"/>
    <w:rsid w:val="00992858"/>
    <w:rsid w:val="00996C78"/>
    <w:rsid w:val="009A5A3C"/>
    <w:rsid w:val="009B01F1"/>
    <w:rsid w:val="009B11CB"/>
    <w:rsid w:val="009B1268"/>
    <w:rsid w:val="009B1956"/>
    <w:rsid w:val="009B2C6B"/>
    <w:rsid w:val="009B2ECD"/>
    <w:rsid w:val="009B3895"/>
    <w:rsid w:val="009B3DB6"/>
    <w:rsid w:val="009C011A"/>
    <w:rsid w:val="009C061D"/>
    <w:rsid w:val="009C2EE8"/>
    <w:rsid w:val="009C3EA6"/>
    <w:rsid w:val="009C4655"/>
    <w:rsid w:val="009C47D5"/>
    <w:rsid w:val="009C7760"/>
    <w:rsid w:val="009D2328"/>
    <w:rsid w:val="009D23DE"/>
    <w:rsid w:val="009D5EF0"/>
    <w:rsid w:val="009D6681"/>
    <w:rsid w:val="009D71AF"/>
    <w:rsid w:val="009D7DE3"/>
    <w:rsid w:val="009E218C"/>
    <w:rsid w:val="009E27CE"/>
    <w:rsid w:val="009E3AEE"/>
    <w:rsid w:val="009E73E6"/>
    <w:rsid w:val="009E7C69"/>
    <w:rsid w:val="009F233E"/>
    <w:rsid w:val="009F530B"/>
    <w:rsid w:val="00A00F8C"/>
    <w:rsid w:val="00A01220"/>
    <w:rsid w:val="00A01694"/>
    <w:rsid w:val="00A02B37"/>
    <w:rsid w:val="00A06A24"/>
    <w:rsid w:val="00A0767E"/>
    <w:rsid w:val="00A12E06"/>
    <w:rsid w:val="00A14E72"/>
    <w:rsid w:val="00A165B6"/>
    <w:rsid w:val="00A167FF"/>
    <w:rsid w:val="00A16AC7"/>
    <w:rsid w:val="00A16D6C"/>
    <w:rsid w:val="00A16E1E"/>
    <w:rsid w:val="00A22B6C"/>
    <w:rsid w:val="00A22C12"/>
    <w:rsid w:val="00A24352"/>
    <w:rsid w:val="00A24A7A"/>
    <w:rsid w:val="00A257DF"/>
    <w:rsid w:val="00A25B3D"/>
    <w:rsid w:val="00A2745F"/>
    <w:rsid w:val="00A308FF"/>
    <w:rsid w:val="00A310EC"/>
    <w:rsid w:val="00A3247F"/>
    <w:rsid w:val="00A3378D"/>
    <w:rsid w:val="00A337CC"/>
    <w:rsid w:val="00A35E1C"/>
    <w:rsid w:val="00A3610C"/>
    <w:rsid w:val="00A3674B"/>
    <w:rsid w:val="00A42AFF"/>
    <w:rsid w:val="00A43621"/>
    <w:rsid w:val="00A45A39"/>
    <w:rsid w:val="00A467E8"/>
    <w:rsid w:val="00A47934"/>
    <w:rsid w:val="00A47B7C"/>
    <w:rsid w:val="00A52BCA"/>
    <w:rsid w:val="00A54F32"/>
    <w:rsid w:val="00A55C61"/>
    <w:rsid w:val="00A56E3B"/>
    <w:rsid w:val="00A57C3A"/>
    <w:rsid w:val="00A6115E"/>
    <w:rsid w:val="00A614B1"/>
    <w:rsid w:val="00A649D0"/>
    <w:rsid w:val="00A7070D"/>
    <w:rsid w:val="00A74A23"/>
    <w:rsid w:val="00A77DDD"/>
    <w:rsid w:val="00A80004"/>
    <w:rsid w:val="00A833BB"/>
    <w:rsid w:val="00A835C4"/>
    <w:rsid w:val="00A8406F"/>
    <w:rsid w:val="00A84695"/>
    <w:rsid w:val="00A84AA7"/>
    <w:rsid w:val="00A866A3"/>
    <w:rsid w:val="00A90A08"/>
    <w:rsid w:val="00A9284E"/>
    <w:rsid w:val="00A9331B"/>
    <w:rsid w:val="00A943DE"/>
    <w:rsid w:val="00A94673"/>
    <w:rsid w:val="00A94A3E"/>
    <w:rsid w:val="00A9687F"/>
    <w:rsid w:val="00A97D41"/>
    <w:rsid w:val="00AA3422"/>
    <w:rsid w:val="00AA489D"/>
    <w:rsid w:val="00AB0891"/>
    <w:rsid w:val="00AB2138"/>
    <w:rsid w:val="00AB2E6F"/>
    <w:rsid w:val="00AB2FF7"/>
    <w:rsid w:val="00AB32FB"/>
    <w:rsid w:val="00AB3D52"/>
    <w:rsid w:val="00AB4057"/>
    <w:rsid w:val="00AB7072"/>
    <w:rsid w:val="00AB7C67"/>
    <w:rsid w:val="00AC0934"/>
    <w:rsid w:val="00AC1369"/>
    <w:rsid w:val="00AC169B"/>
    <w:rsid w:val="00AC35E7"/>
    <w:rsid w:val="00AC5569"/>
    <w:rsid w:val="00AC743B"/>
    <w:rsid w:val="00AD5AE8"/>
    <w:rsid w:val="00AD617C"/>
    <w:rsid w:val="00AD6364"/>
    <w:rsid w:val="00AD6938"/>
    <w:rsid w:val="00AD75E1"/>
    <w:rsid w:val="00AD7D27"/>
    <w:rsid w:val="00AE1FC1"/>
    <w:rsid w:val="00AE2A7F"/>
    <w:rsid w:val="00AE3F1E"/>
    <w:rsid w:val="00AE646B"/>
    <w:rsid w:val="00AE6E68"/>
    <w:rsid w:val="00AF3FDB"/>
    <w:rsid w:val="00AF54BC"/>
    <w:rsid w:val="00AF5FB7"/>
    <w:rsid w:val="00B02672"/>
    <w:rsid w:val="00B02964"/>
    <w:rsid w:val="00B02B26"/>
    <w:rsid w:val="00B032B5"/>
    <w:rsid w:val="00B04D4E"/>
    <w:rsid w:val="00B07637"/>
    <w:rsid w:val="00B10FCD"/>
    <w:rsid w:val="00B12D09"/>
    <w:rsid w:val="00B143AC"/>
    <w:rsid w:val="00B16840"/>
    <w:rsid w:val="00B20860"/>
    <w:rsid w:val="00B2129F"/>
    <w:rsid w:val="00B214F3"/>
    <w:rsid w:val="00B223D3"/>
    <w:rsid w:val="00B2376C"/>
    <w:rsid w:val="00B24C14"/>
    <w:rsid w:val="00B27093"/>
    <w:rsid w:val="00B3289C"/>
    <w:rsid w:val="00B34C90"/>
    <w:rsid w:val="00B36978"/>
    <w:rsid w:val="00B37336"/>
    <w:rsid w:val="00B40499"/>
    <w:rsid w:val="00B41021"/>
    <w:rsid w:val="00B435CC"/>
    <w:rsid w:val="00B435EA"/>
    <w:rsid w:val="00B43A8F"/>
    <w:rsid w:val="00B45E0C"/>
    <w:rsid w:val="00B47B56"/>
    <w:rsid w:val="00B518A1"/>
    <w:rsid w:val="00B543D2"/>
    <w:rsid w:val="00B5554F"/>
    <w:rsid w:val="00B55B43"/>
    <w:rsid w:val="00B616C6"/>
    <w:rsid w:val="00B61828"/>
    <w:rsid w:val="00B61A78"/>
    <w:rsid w:val="00B64181"/>
    <w:rsid w:val="00B64C33"/>
    <w:rsid w:val="00B65AC0"/>
    <w:rsid w:val="00B6622E"/>
    <w:rsid w:val="00B668F4"/>
    <w:rsid w:val="00B677AE"/>
    <w:rsid w:val="00B708A3"/>
    <w:rsid w:val="00B75FB8"/>
    <w:rsid w:val="00B76C66"/>
    <w:rsid w:val="00B7796B"/>
    <w:rsid w:val="00B828E8"/>
    <w:rsid w:val="00B83310"/>
    <w:rsid w:val="00B83DC0"/>
    <w:rsid w:val="00B91A1A"/>
    <w:rsid w:val="00B92C26"/>
    <w:rsid w:val="00B94DD3"/>
    <w:rsid w:val="00B94FB7"/>
    <w:rsid w:val="00B9698A"/>
    <w:rsid w:val="00BA1AB6"/>
    <w:rsid w:val="00BA2ED8"/>
    <w:rsid w:val="00BA4D73"/>
    <w:rsid w:val="00BB05AC"/>
    <w:rsid w:val="00BB163C"/>
    <w:rsid w:val="00BB29B5"/>
    <w:rsid w:val="00BB6246"/>
    <w:rsid w:val="00BB781A"/>
    <w:rsid w:val="00BC26E8"/>
    <w:rsid w:val="00BC30D1"/>
    <w:rsid w:val="00BC465D"/>
    <w:rsid w:val="00BC7E9E"/>
    <w:rsid w:val="00BD1202"/>
    <w:rsid w:val="00BD1795"/>
    <w:rsid w:val="00BD2498"/>
    <w:rsid w:val="00BD24BC"/>
    <w:rsid w:val="00BD3D67"/>
    <w:rsid w:val="00BD4EE2"/>
    <w:rsid w:val="00BD61E0"/>
    <w:rsid w:val="00BE17D4"/>
    <w:rsid w:val="00BE1CA4"/>
    <w:rsid w:val="00BE276C"/>
    <w:rsid w:val="00BF3FB7"/>
    <w:rsid w:val="00BF4527"/>
    <w:rsid w:val="00BF4589"/>
    <w:rsid w:val="00C00570"/>
    <w:rsid w:val="00C01871"/>
    <w:rsid w:val="00C0292C"/>
    <w:rsid w:val="00C0679C"/>
    <w:rsid w:val="00C07843"/>
    <w:rsid w:val="00C11825"/>
    <w:rsid w:val="00C125A7"/>
    <w:rsid w:val="00C1508B"/>
    <w:rsid w:val="00C215CB"/>
    <w:rsid w:val="00C2214E"/>
    <w:rsid w:val="00C265F1"/>
    <w:rsid w:val="00C32435"/>
    <w:rsid w:val="00C338AA"/>
    <w:rsid w:val="00C346BD"/>
    <w:rsid w:val="00C36AA7"/>
    <w:rsid w:val="00C36C7A"/>
    <w:rsid w:val="00C37160"/>
    <w:rsid w:val="00C40669"/>
    <w:rsid w:val="00C40DA1"/>
    <w:rsid w:val="00C4443A"/>
    <w:rsid w:val="00C44E8D"/>
    <w:rsid w:val="00C45C6A"/>
    <w:rsid w:val="00C46BAB"/>
    <w:rsid w:val="00C5481E"/>
    <w:rsid w:val="00C549E1"/>
    <w:rsid w:val="00C561F3"/>
    <w:rsid w:val="00C5709D"/>
    <w:rsid w:val="00C57D34"/>
    <w:rsid w:val="00C603F9"/>
    <w:rsid w:val="00C60563"/>
    <w:rsid w:val="00C65327"/>
    <w:rsid w:val="00C66A9B"/>
    <w:rsid w:val="00C7515B"/>
    <w:rsid w:val="00C756DC"/>
    <w:rsid w:val="00C82BFB"/>
    <w:rsid w:val="00C846A9"/>
    <w:rsid w:val="00C92C95"/>
    <w:rsid w:val="00C937D3"/>
    <w:rsid w:val="00C9692C"/>
    <w:rsid w:val="00C97885"/>
    <w:rsid w:val="00C97CBA"/>
    <w:rsid w:val="00CA3100"/>
    <w:rsid w:val="00CA4A8D"/>
    <w:rsid w:val="00CA6057"/>
    <w:rsid w:val="00CB0799"/>
    <w:rsid w:val="00CB0AA7"/>
    <w:rsid w:val="00CB1708"/>
    <w:rsid w:val="00CB2555"/>
    <w:rsid w:val="00CB70DA"/>
    <w:rsid w:val="00CC01A9"/>
    <w:rsid w:val="00CC3862"/>
    <w:rsid w:val="00CC6310"/>
    <w:rsid w:val="00CC6DDE"/>
    <w:rsid w:val="00CD0511"/>
    <w:rsid w:val="00CD1F82"/>
    <w:rsid w:val="00CD2DCF"/>
    <w:rsid w:val="00CD3401"/>
    <w:rsid w:val="00CD377C"/>
    <w:rsid w:val="00CD4A15"/>
    <w:rsid w:val="00CE0078"/>
    <w:rsid w:val="00CE0ABC"/>
    <w:rsid w:val="00CE194F"/>
    <w:rsid w:val="00CE2B67"/>
    <w:rsid w:val="00CE5BCA"/>
    <w:rsid w:val="00CE5EDE"/>
    <w:rsid w:val="00CE6F65"/>
    <w:rsid w:val="00CF2693"/>
    <w:rsid w:val="00CF49D4"/>
    <w:rsid w:val="00CF53C9"/>
    <w:rsid w:val="00CF58DA"/>
    <w:rsid w:val="00CF77F8"/>
    <w:rsid w:val="00D02B4B"/>
    <w:rsid w:val="00D0640E"/>
    <w:rsid w:val="00D07AE1"/>
    <w:rsid w:val="00D1018D"/>
    <w:rsid w:val="00D1136C"/>
    <w:rsid w:val="00D12E1B"/>
    <w:rsid w:val="00D15A3E"/>
    <w:rsid w:val="00D15DC1"/>
    <w:rsid w:val="00D16F82"/>
    <w:rsid w:val="00D178BE"/>
    <w:rsid w:val="00D17E73"/>
    <w:rsid w:val="00D20C59"/>
    <w:rsid w:val="00D220BB"/>
    <w:rsid w:val="00D230A1"/>
    <w:rsid w:val="00D23878"/>
    <w:rsid w:val="00D23B2C"/>
    <w:rsid w:val="00D30162"/>
    <w:rsid w:val="00D30884"/>
    <w:rsid w:val="00D31979"/>
    <w:rsid w:val="00D32BE7"/>
    <w:rsid w:val="00D333B2"/>
    <w:rsid w:val="00D344F6"/>
    <w:rsid w:val="00D427B9"/>
    <w:rsid w:val="00D43822"/>
    <w:rsid w:val="00D45AE0"/>
    <w:rsid w:val="00D479BB"/>
    <w:rsid w:val="00D47DB3"/>
    <w:rsid w:val="00D52EC3"/>
    <w:rsid w:val="00D53E42"/>
    <w:rsid w:val="00D55089"/>
    <w:rsid w:val="00D56D5E"/>
    <w:rsid w:val="00D57AE9"/>
    <w:rsid w:val="00D57C93"/>
    <w:rsid w:val="00D60BF0"/>
    <w:rsid w:val="00D610E6"/>
    <w:rsid w:val="00D63ABB"/>
    <w:rsid w:val="00D65327"/>
    <w:rsid w:val="00D6610A"/>
    <w:rsid w:val="00D70621"/>
    <w:rsid w:val="00D759AD"/>
    <w:rsid w:val="00D76862"/>
    <w:rsid w:val="00D770C9"/>
    <w:rsid w:val="00D77F6D"/>
    <w:rsid w:val="00D8114A"/>
    <w:rsid w:val="00D81245"/>
    <w:rsid w:val="00D8327F"/>
    <w:rsid w:val="00D83910"/>
    <w:rsid w:val="00D83B10"/>
    <w:rsid w:val="00D91483"/>
    <w:rsid w:val="00D938C1"/>
    <w:rsid w:val="00D961E0"/>
    <w:rsid w:val="00D96F75"/>
    <w:rsid w:val="00DA2479"/>
    <w:rsid w:val="00DA3C74"/>
    <w:rsid w:val="00DA431B"/>
    <w:rsid w:val="00DB22F1"/>
    <w:rsid w:val="00DB3D0E"/>
    <w:rsid w:val="00DB49D8"/>
    <w:rsid w:val="00DB6465"/>
    <w:rsid w:val="00DC10D1"/>
    <w:rsid w:val="00DC135F"/>
    <w:rsid w:val="00DC32C0"/>
    <w:rsid w:val="00DC4DFF"/>
    <w:rsid w:val="00DC5622"/>
    <w:rsid w:val="00DC6083"/>
    <w:rsid w:val="00DC66D4"/>
    <w:rsid w:val="00DC7060"/>
    <w:rsid w:val="00DC7588"/>
    <w:rsid w:val="00DD3509"/>
    <w:rsid w:val="00DD3C4E"/>
    <w:rsid w:val="00DD4A33"/>
    <w:rsid w:val="00DD5AC9"/>
    <w:rsid w:val="00DD73CC"/>
    <w:rsid w:val="00DE056F"/>
    <w:rsid w:val="00DE09B1"/>
    <w:rsid w:val="00DE2488"/>
    <w:rsid w:val="00DE4768"/>
    <w:rsid w:val="00DE6773"/>
    <w:rsid w:val="00DE776C"/>
    <w:rsid w:val="00DF1C42"/>
    <w:rsid w:val="00DF3C47"/>
    <w:rsid w:val="00DF4BE7"/>
    <w:rsid w:val="00DF5683"/>
    <w:rsid w:val="00DF6A00"/>
    <w:rsid w:val="00DF77DC"/>
    <w:rsid w:val="00DF7EA2"/>
    <w:rsid w:val="00E00515"/>
    <w:rsid w:val="00E022B4"/>
    <w:rsid w:val="00E02FE4"/>
    <w:rsid w:val="00E0301D"/>
    <w:rsid w:val="00E037F5"/>
    <w:rsid w:val="00E04AE0"/>
    <w:rsid w:val="00E12906"/>
    <w:rsid w:val="00E12E8E"/>
    <w:rsid w:val="00E13802"/>
    <w:rsid w:val="00E16FED"/>
    <w:rsid w:val="00E20544"/>
    <w:rsid w:val="00E24B3B"/>
    <w:rsid w:val="00E25F6C"/>
    <w:rsid w:val="00E26700"/>
    <w:rsid w:val="00E27778"/>
    <w:rsid w:val="00E30414"/>
    <w:rsid w:val="00E309AC"/>
    <w:rsid w:val="00E30CB2"/>
    <w:rsid w:val="00E334EF"/>
    <w:rsid w:val="00E439F8"/>
    <w:rsid w:val="00E45298"/>
    <w:rsid w:val="00E47A25"/>
    <w:rsid w:val="00E47D80"/>
    <w:rsid w:val="00E50F56"/>
    <w:rsid w:val="00E56300"/>
    <w:rsid w:val="00E6039C"/>
    <w:rsid w:val="00E61CF3"/>
    <w:rsid w:val="00E6339A"/>
    <w:rsid w:val="00E66977"/>
    <w:rsid w:val="00E67155"/>
    <w:rsid w:val="00E71840"/>
    <w:rsid w:val="00E71D14"/>
    <w:rsid w:val="00E71E93"/>
    <w:rsid w:val="00E72303"/>
    <w:rsid w:val="00E7415E"/>
    <w:rsid w:val="00E750E8"/>
    <w:rsid w:val="00E7518F"/>
    <w:rsid w:val="00E75340"/>
    <w:rsid w:val="00E775B4"/>
    <w:rsid w:val="00E77A65"/>
    <w:rsid w:val="00E80B2C"/>
    <w:rsid w:val="00E8172C"/>
    <w:rsid w:val="00E820C2"/>
    <w:rsid w:val="00E90F1F"/>
    <w:rsid w:val="00E918A8"/>
    <w:rsid w:val="00E92276"/>
    <w:rsid w:val="00E93241"/>
    <w:rsid w:val="00E945FF"/>
    <w:rsid w:val="00E9556E"/>
    <w:rsid w:val="00E96C11"/>
    <w:rsid w:val="00EA4F39"/>
    <w:rsid w:val="00EA4F48"/>
    <w:rsid w:val="00EA6755"/>
    <w:rsid w:val="00EA6A2C"/>
    <w:rsid w:val="00EA71EA"/>
    <w:rsid w:val="00EB1250"/>
    <w:rsid w:val="00EB1EA1"/>
    <w:rsid w:val="00EB255C"/>
    <w:rsid w:val="00EB284B"/>
    <w:rsid w:val="00EB3D04"/>
    <w:rsid w:val="00EB68B3"/>
    <w:rsid w:val="00EB7EE8"/>
    <w:rsid w:val="00EC0216"/>
    <w:rsid w:val="00EC1908"/>
    <w:rsid w:val="00EC3B01"/>
    <w:rsid w:val="00ED016A"/>
    <w:rsid w:val="00ED20A6"/>
    <w:rsid w:val="00ED2907"/>
    <w:rsid w:val="00ED3315"/>
    <w:rsid w:val="00ED4E49"/>
    <w:rsid w:val="00ED6090"/>
    <w:rsid w:val="00ED61B2"/>
    <w:rsid w:val="00EE0C72"/>
    <w:rsid w:val="00EE0CEA"/>
    <w:rsid w:val="00EE1BDF"/>
    <w:rsid w:val="00EE67C3"/>
    <w:rsid w:val="00EF1347"/>
    <w:rsid w:val="00EF21BC"/>
    <w:rsid w:val="00EF2F77"/>
    <w:rsid w:val="00EF60A6"/>
    <w:rsid w:val="00EF6990"/>
    <w:rsid w:val="00EF70FE"/>
    <w:rsid w:val="00F010E2"/>
    <w:rsid w:val="00F01155"/>
    <w:rsid w:val="00F01385"/>
    <w:rsid w:val="00F01DED"/>
    <w:rsid w:val="00F02603"/>
    <w:rsid w:val="00F0488B"/>
    <w:rsid w:val="00F13260"/>
    <w:rsid w:val="00F17F1C"/>
    <w:rsid w:val="00F2016F"/>
    <w:rsid w:val="00F21A88"/>
    <w:rsid w:val="00F21EBB"/>
    <w:rsid w:val="00F22155"/>
    <w:rsid w:val="00F224CB"/>
    <w:rsid w:val="00F22C2A"/>
    <w:rsid w:val="00F241FA"/>
    <w:rsid w:val="00F269DA"/>
    <w:rsid w:val="00F26E30"/>
    <w:rsid w:val="00F30FDE"/>
    <w:rsid w:val="00F32362"/>
    <w:rsid w:val="00F342AE"/>
    <w:rsid w:val="00F3496B"/>
    <w:rsid w:val="00F34A50"/>
    <w:rsid w:val="00F37264"/>
    <w:rsid w:val="00F40524"/>
    <w:rsid w:val="00F40A7B"/>
    <w:rsid w:val="00F4306A"/>
    <w:rsid w:val="00F458A8"/>
    <w:rsid w:val="00F478A2"/>
    <w:rsid w:val="00F536E6"/>
    <w:rsid w:val="00F54AEB"/>
    <w:rsid w:val="00F56734"/>
    <w:rsid w:val="00F6281F"/>
    <w:rsid w:val="00F65155"/>
    <w:rsid w:val="00F65376"/>
    <w:rsid w:val="00F66D70"/>
    <w:rsid w:val="00F75275"/>
    <w:rsid w:val="00F77454"/>
    <w:rsid w:val="00F82A55"/>
    <w:rsid w:val="00F82F64"/>
    <w:rsid w:val="00F830AC"/>
    <w:rsid w:val="00F848C0"/>
    <w:rsid w:val="00F84B27"/>
    <w:rsid w:val="00F87010"/>
    <w:rsid w:val="00F87725"/>
    <w:rsid w:val="00F933B0"/>
    <w:rsid w:val="00F942AD"/>
    <w:rsid w:val="00F94363"/>
    <w:rsid w:val="00F94D6D"/>
    <w:rsid w:val="00FA22B9"/>
    <w:rsid w:val="00FA2B9E"/>
    <w:rsid w:val="00FA44E2"/>
    <w:rsid w:val="00FA578E"/>
    <w:rsid w:val="00FB234F"/>
    <w:rsid w:val="00FB4849"/>
    <w:rsid w:val="00FB749F"/>
    <w:rsid w:val="00FC619A"/>
    <w:rsid w:val="00FC6697"/>
    <w:rsid w:val="00FD0834"/>
    <w:rsid w:val="00FD17F3"/>
    <w:rsid w:val="00FD1A1F"/>
    <w:rsid w:val="00FD1E20"/>
    <w:rsid w:val="00FD373F"/>
    <w:rsid w:val="00FD3AF5"/>
    <w:rsid w:val="00FD55A0"/>
    <w:rsid w:val="00FD5CCE"/>
    <w:rsid w:val="00FD7469"/>
    <w:rsid w:val="00FE3053"/>
    <w:rsid w:val="00FE35AD"/>
    <w:rsid w:val="00FE416D"/>
    <w:rsid w:val="00FE47BB"/>
    <w:rsid w:val="00FE4975"/>
    <w:rsid w:val="00FE6804"/>
    <w:rsid w:val="00FF1737"/>
    <w:rsid w:val="00FF1FE4"/>
    <w:rsid w:val="00FF27D9"/>
    <w:rsid w:val="00FF3B2B"/>
    <w:rsid w:val="00FF443D"/>
    <w:rsid w:val="00FF7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69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D4"/>
    <w:rPr>
      <w:sz w:val="24"/>
      <w:lang w:val="en-GB" w:eastAsia="de-DE"/>
    </w:rPr>
  </w:style>
  <w:style w:type="paragraph" w:styleId="Heading1">
    <w:name w:val="heading 1"/>
    <w:basedOn w:val="CTDtext"/>
    <w:next w:val="CTDtext"/>
    <w:qFormat/>
    <w:rsid w:val="00DC66D4"/>
    <w:pPr>
      <w:keepNext/>
      <w:keepLines/>
      <w:numPr>
        <w:numId w:val="23"/>
      </w:numPr>
      <w:spacing w:after="0"/>
      <w:jc w:val="left"/>
      <w:outlineLvl w:val="0"/>
    </w:pPr>
    <w:rPr>
      <w:b/>
      <w:caps/>
    </w:rPr>
  </w:style>
  <w:style w:type="paragraph" w:styleId="Heading2">
    <w:name w:val="heading 2"/>
    <w:basedOn w:val="CTDtext"/>
    <w:next w:val="CTDtext"/>
    <w:qFormat/>
    <w:rsid w:val="00DC66D4"/>
    <w:pPr>
      <w:keepNext/>
      <w:keepLines/>
      <w:numPr>
        <w:ilvl w:val="1"/>
        <w:numId w:val="23"/>
      </w:numPr>
      <w:spacing w:after="0"/>
      <w:jc w:val="left"/>
      <w:outlineLvl w:val="1"/>
    </w:pPr>
    <w:rPr>
      <w:b/>
      <w:caps/>
    </w:rPr>
  </w:style>
  <w:style w:type="paragraph" w:styleId="Heading3">
    <w:name w:val="heading 3"/>
    <w:basedOn w:val="CTDtext"/>
    <w:next w:val="CTDtext"/>
    <w:link w:val="Heading3Char"/>
    <w:qFormat/>
    <w:rsid w:val="00DC66D4"/>
    <w:pPr>
      <w:keepNext/>
      <w:keepLines/>
      <w:numPr>
        <w:ilvl w:val="2"/>
        <w:numId w:val="23"/>
      </w:numPr>
      <w:spacing w:after="0"/>
      <w:jc w:val="left"/>
      <w:outlineLvl w:val="2"/>
    </w:pPr>
    <w:rPr>
      <w:b/>
    </w:rPr>
  </w:style>
  <w:style w:type="paragraph" w:styleId="Heading4">
    <w:name w:val="heading 4"/>
    <w:basedOn w:val="CTDtext"/>
    <w:next w:val="CTDtext"/>
    <w:qFormat/>
    <w:rsid w:val="00DC66D4"/>
    <w:pPr>
      <w:keepNext/>
      <w:keepLines/>
      <w:numPr>
        <w:ilvl w:val="3"/>
        <w:numId w:val="23"/>
      </w:numPr>
      <w:spacing w:after="0"/>
      <w:jc w:val="left"/>
      <w:outlineLvl w:val="3"/>
    </w:pPr>
    <w:rPr>
      <w:b/>
    </w:rPr>
  </w:style>
  <w:style w:type="paragraph" w:styleId="Heading5">
    <w:name w:val="heading 5"/>
    <w:basedOn w:val="CTDtext"/>
    <w:next w:val="CTDtext"/>
    <w:qFormat/>
    <w:rsid w:val="00DC66D4"/>
    <w:pPr>
      <w:keepNext/>
      <w:keepLines/>
      <w:numPr>
        <w:ilvl w:val="4"/>
        <w:numId w:val="23"/>
      </w:numPr>
      <w:spacing w:after="0"/>
      <w:ind w:left="0" w:firstLine="0"/>
      <w:jc w:val="left"/>
      <w:outlineLvl w:val="4"/>
    </w:pPr>
    <w:rPr>
      <w:b/>
    </w:rPr>
  </w:style>
  <w:style w:type="paragraph" w:styleId="Heading6">
    <w:name w:val="heading 6"/>
    <w:basedOn w:val="CTDtext"/>
    <w:next w:val="CTDtext"/>
    <w:qFormat/>
    <w:rsid w:val="00DC66D4"/>
    <w:pPr>
      <w:keepNext/>
      <w:keepLines/>
      <w:numPr>
        <w:ilvl w:val="5"/>
        <w:numId w:val="23"/>
      </w:numPr>
      <w:spacing w:after="0"/>
      <w:jc w:val="left"/>
      <w:outlineLvl w:val="5"/>
    </w:pPr>
    <w:rPr>
      <w:rFonts w:ascii="Times New" w:hAnsi="Times New"/>
      <w:b/>
      <w:i/>
    </w:rPr>
  </w:style>
  <w:style w:type="paragraph" w:styleId="Heading7">
    <w:name w:val="heading 7"/>
    <w:basedOn w:val="CTDtext"/>
    <w:next w:val="CTDtext"/>
    <w:qFormat/>
    <w:rsid w:val="00DC66D4"/>
    <w:pPr>
      <w:keepNext/>
      <w:spacing w:after="0"/>
      <w:jc w:val="left"/>
      <w:outlineLvl w:val="6"/>
    </w:pPr>
    <w:rPr>
      <w:i/>
      <w:u w:val="single"/>
    </w:rPr>
  </w:style>
  <w:style w:type="paragraph" w:styleId="Heading8">
    <w:name w:val="heading 8"/>
    <w:basedOn w:val="CTDtext"/>
    <w:next w:val="CTDtext"/>
    <w:qFormat/>
    <w:rsid w:val="00DC66D4"/>
    <w:pPr>
      <w:keepNext/>
      <w:keepLines/>
      <w:spacing w:after="0"/>
      <w:jc w:val="left"/>
      <w:outlineLvl w:val="7"/>
    </w:pPr>
    <w:rPr>
      <w:u w:val="single"/>
    </w:rPr>
  </w:style>
  <w:style w:type="paragraph" w:styleId="Heading9">
    <w:name w:val="heading 9"/>
    <w:basedOn w:val="Normal"/>
    <w:next w:val="Normal"/>
    <w:qFormat/>
    <w:rsid w:val="00DC66D4"/>
    <w:pPr>
      <w:keepNext/>
      <w:spacing w:before="113" w:after="57"/>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66D4"/>
    <w:pPr>
      <w:tabs>
        <w:tab w:val="left" w:pos="1701"/>
        <w:tab w:val="center" w:pos="4253"/>
      </w:tabs>
    </w:pPr>
  </w:style>
  <w:style w:type="paragraph" w:styleId="Footer">
    <w:name w:val="footer"/>
    <w:basedOn w:val="CTDtext"/>
    <w:link w:val="FooterChar"/>
    <w:rsid w:val="00DC66D4"/>
    <w:pPr>
      <w:pBdr>
        <w:top w:val="single" w:sz="6" w:space="1" w:color="auto"/>
      </w:pBdr>
      <w:tabs>
        <w:tab w:val="center" w:pos="4536"/>
        <w:tab w:val="right" w:pos="9072"/>
      </w:tabs>
      <w:spacing w:after="0" w:line="240" w:lineRule="auto"/>
    </w:pPr>
  </w:style>
  <w:style w:type="paragraph" w:customStyle="1" w:styleId="Appendix">
    <w:name w:val="Appendix"/>
    <w:basedOn w:val="Normal"/>
    <w:next w:val="Normal"/>
    <w:rsid w:val="004C3C1D"/>
    <w:pPr>
      <w:keepNext/>
      <w:pageBreakBefore/>
      <w:numPr>
        <w:numId w:val="1"/>
      </w:numPr>
      <w:tabs>
        <w:tab w:val="left" w:pos="1584"/>
      </w:tabs>
      <w:spacing w:before="240"/>
      <w:ind w:left="1582" w:hanging="1582"/>
    </w:pPr>
    <w:rPr>
      <w:rFonts w:ascii="Times New Roman Bold" w:hAnsi="Times New Roman Bold"/>
      <w:b/>
    </w:rPr>
  </w:style>
  <w:style w:type="paragraph" w:customStyle="1" w:styleId="Table">
    <w:name w:val="Table"/>
    <w:basedOn w:val="Normal"/>
    <w:next w:val="Normal"/>
    <w:semiHidden/>
    <w:rsid w:val="004C3C1D"/>
    <w:pPr>
      <w:tabs>
        <w:tab w:val="left" w:pos="1584"/>
      </w:tabs>
      <w:jc w:val="center"/>
    </w:pPr>
    <w:rPr>
      <w:rFonts w:ascii="Times New Roman Bold" w:hAnsi="Times New Roman Bold"/>
      <w:b/>
    </w:rPr>
  </w:style>
  <w:style w:type="paragraph" w:customStyle="1" w:styleId="Guidance">
    <w:name w:val="Guidance"/>
    <w:basedOn w:val="Normal"/>
    <w:next w:val="Normal"/>
    <w:rsid w:val="004C3C1D"/>
    <w:rPr>
      <w:color w:val="008000"/>
    </w:rPr>
  </w:style>
  <w:style w:type="paragraph" w:customStyle="1" w:styleId="TitlePDetails">
    <w:name w:val="TitlePDetails"/>
    <w:basedOn w:val="Normal"/>
    <w:semiHidden/>
    <w:rsid w:val="004C3C1D"/>
    <w:pPr>
      <w:spacing w:after="240" w:line="360" w:lineRule="auto"/>
      <w:ind w:left="2160" w:hanging="2160"/>
    </w:pPr>
  </w:style>
  <w:style w:type="table" w:styleId="TableGrid">
    <w:name w:val="Table Grid"/>
    <w:basedOn w:val="TableNormal"/>
    <w:uiPriority w:val="59"/>
    <w:rsid w:val="004C3C1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rsid w:val="004C3C1D"/>
    <w:rPr>
      <w:sz w:val="20"/>
    </w:rPr>
  </w:style>
  <w:style w:type="paragraph" w:customStyle="1" w:styleId="TableHeader10">
    <w:name w:val="TableHeader10"/>
    <w:basedOn w:val="TableText10"/>
    <w:rsid w:val="004C3C1D"/>
    <w:pPr>
      <w:jc w:val="center"/>
    </w:pPr>
    <w:rPr>
      <w:rFonts w:ascii="Times New Roman Bold" w:hAnsi="Times New Roman Bold"/>
      <w:b/>
    </w:rPr>
  </w:style>
  <w:style w:type="paragraph" w:customStyle="1" w:styleId="TableSource10">
    <w:name w:val="TableSource10"/>
    <w:basedOn w:val="TableText10"/>
    <w:next w:val="Normal"/>
    <w:rsid w:val="004C3C1D"/>
    <w:pPr>
      <w:spacing w:before="120" w:after="120"/>
    </w:pPr>
  </w:style>
  <w:style w:type="paragraph" w:customStyle="1" w:styleId="Heading1NoNumb">
    <w:name w:val="Heading 1NoNumb"/>
    <w:basedOn w:val="Heading1"/>
    <w:next w:val="Normal"/>
    <w:rsid w:val="004C3C1D"/>
    <w:pPr>
      <w:numPr>
        <w:numId w:val="0"/>
      </w:numPr>
      <w:tabs>
        <w:tab w:val="left" w:pos="1584"/>
      </w:tabs>
    </w:pPr>
  </w:style>
  <w:style w:type="paragraph" w:customStyle="1" w:styleId="Heading2NoNumb">
    <w:name w:val="Heading 2NoNumb"/>
    <w:basedOn w:val="Heading2"/>
    <w:next w:val="Normal"/>
    <w:rsid w:val="004C3C1D"/>
    <w:pPr>
      <w:numPr>
        <w:ilvl w:val="0"/>
        <w:numId w:val="0"/>
      </w:numPr>
      <w:tabs>
        <w:tab w:val="left" w:pos="1584"/>
      </w:tabs>
    </w:pPr>
  </w:style>
  <w:style w:type="paragraph" w:customStyle="1" w:styleId="Heading3NoNumb">
    <w:name w:val="Heading 3NoNumb"/>
    <w:basedOn w:val="Heading3"/>
    <w:next w:val="Normal"/>
    <w:rsid w:val="004C3C1D"/>
    <w:pPr>
      <w:numPr>
        <w:ilvl w:val="0"/>
        <w:numId w:val="0"/>
      </w:numPr>
      <w:tabs>
        <w:tab w:val="left" w:pos="1584"/>
      </w:tabs>
    </w:pPr>
  </w:style>
  <w:style w:type="paragraph" w:customStyle="1" w:styleId="Heading4NoNumb">
    <w:name w:val="Heading 4NoNumb"/>
    <w:basedOn w:val="Heading4"/>
    <w:next w:val="Normal"/>
    <w:rsid w:val="004C3C1D"/>
    <w:pPr>
      <w:numPr>
        <w:ilvl w:val="0"/>
        <w:numId w:val="0"/>
      </w:numPr>
      <w:tabs>
        <w:tab w:val="left" w:pos="1584"/>
      </w:tabs>
    </w:pPr>
  </w:style>
  <w:style w:type="paragraph" w:customStyle="1" w:styleId="Heading5NoNumb">
    <w:name w:val="Heading 5NoNumb"/>
    <w:basedOn w:val="Heading5"/>
    <w:next w:val="Normal"/>
    <w:rsid w:val="004C3C1D"/>
    <w:pPr>
      <w:numPr>
        <w:ilvl w:val="0"/>
        <w:numId w:val="0"/>
      </w:numPr>
      <w:tabs>
        <w:tab w:val="left" w:pos="1584"/>
      </w:tabs>
    </w:pPr>
  </w:style>
  <w:style w:type="paragraph" w:customStyle="1" w:styleId="HeaderLand">
    <w:name w:val="HeaderLand"/>
    <w:basedOn w:val="Header"/>
    <w:rsid w:val="004C3C1D"/>
    <w:pPr>
      <w:tabs>
        <w:tab w:val="right" w:pos="12960"/>
      </w:tabs>
    </w:pPr>
  </w:style>
  <w:style w:type="paragraph" w:customStyle="1" w:styleId="FooterLand">
    <w:name w:val="FooterLand"/>
    <w:basedOn w:val="Footer"/>
    <w:rsid w:val="004C3C1D"/>
    <w:pPr>
      <w:tabs>
        <w:tab w:val="center" w:pos="6480"/>
        <w:tab w:val="right" w:pos="12960"/>
      </w:tabs>
    </w:pPr>
  </w:style>
  <w:style w:type="paragraph" w:customStyle="1" w:styleId="NormalSingleNoSpace">
    <w:name w:val="NormalSingleNoSpace"/>
    <w:basedOn w:val="Normal"/>
    <w:semiHidden/>
    <w:rsid w:val="004C3C1D"/>
  </w:style>
  <w:style w:type="paragraph" w:customStyle="1" w:styleId="Figure">
    <w:name w:val="Figure"/>
    <w:basedOn w:val="Normal"/>
    <w:next w:val="Normal"/>
    <w:rsid w:val="004C3C1D"/>
    <w:pPr>
      <w:tabs>
        <w:tab w:val="left" w:pos="1728"/>
      </w:tabs>
      <w:jc w:val="center"/>
    </w:pPr>
    <w:rPr>
      <w:rFonts w:ascii="Times New Roman Bold" w:hAnsi="Times New Roman Bold"/>
      <w:b/>
    </w:rPr>
  </w:style>
  <w:style w:type="paragraph" w:customStyle="1" w:styleId="TableText9">
    <w:name w:val="TableText9"/>
    <w:basedOn w:val="TableText10"/>
    <w:rsid w:val="004C3C1D"/>
    <w:rPr>
      <w:sz w:val="18"/>
    </w:rPr>
  </w:style>
  <w:style w:type="paragraph" w:customStyle="1" w:styleId="TableHeader9">
    <w:name w:val="TableHeader9"/>
    <w:basedOn w:val="TableText9"/>
    <w:rsid w:val="004C3C1D"/>
    <w:pPr>
      <w:jc w:val="center"/>
    </w:pPr>
    <w:rPr>
      <w:rFonts w:ascii="Times New Roman Bold" w:hAnsi="Times New Roman Bold"/>
      <w:b/>
    </w:rPr>
  </w:style>
  <w:style w:type="paragraph" w:customStyle="1" w:styleId="List1">
    <w:name w:val="List1"/>
    <w:basedOn w:val="Normal"/>
    <w:rsid w:val="004C3C1D"/>
    <w:pPr>
      <w:numPr>
        <w:ilvl w:val="5"/>
        <w:numId w:val="12"/>
      </w:numPr>
    </w:pPr>
  </w:style>
  <w:style w:type="paragraph" w:customStyle="1" w:styleId="List2">
    <w:name w:val="List2"/>
    <w:basedOn w:val="Normal"/>
    <w:rsid w:val="004C3C1D"/>
    <w:pPr>
      <w:numPr>
        <w:ilvl w:val="6"/>
        <w:numId w:val="12"/>
      </w:numPr>
    </w:pPr>
  </w:style>
  <w:style w:type="paragraph" w:styleId="TOC1">
    <w:name w:val="toc 1"/>
    <w:basedOn w:val="CTDtext"/>
    <w:next w:val="CTDtext"/>
    <w:semiHidden/>
    <w:rsid w:val="00DC66D4"/>
    <w:pPr>
      <w:tabs>
        <w:tab w:val="right" w:leader="dot" w:pos="9072"/>
      </w:tabs>
      <w:spacing w:before="240" w:after="0" w:line="240" w:lineRule="auto"/>
      <w:ind w:left="1418" w:right="567" w:hanging="1418"/>
      <w:jc w:val="left"/>
    </w:pPr>
    <w:rPr>
      <w:b/>
      <w:caps/>
    </w:rPr>
  </w:style>
  <w:style w:type="paragraph" w:styleId="TOC2">
    <w:name w:val="toc 2"/>
    <w:basedOn w:val="CTDtext"/>
    <w:next w:val="CTDtext"/>
    <w:semiHidden/>
    <w:rsid w:val="00DC66D4"/>
    <w:pPr>
      <w:keepLines/>
      <w:tabs>
        <w:tab w:val="right" w:leader="dot" w:pos="9072"/>
      </w:tabs>
      <w:spacing w:before="120" w:after="0" w:line="240" w:lineRule="auto"/>
      <w:ind w:left="1418" w:right="567" w:hanging="1418"/>
      <w:jc w:val="left"/>
    </w:pPr>
    <w:rPr>
      <w:b/>
      <w:caps/>
    </w:rPr>
  </w:style>
  <w:style w:type="paragraph" w:styleId="TOC3">
    <w:name w:val="toc 3"/>
    <w:basedOn w:val="TOC2"/>
    <w:next w:val="Normal"/>
    <w:semiHidden/>
    <w:rsid w:val="00DC66D4"/>
    <w:rPr>
      <w:caps w:val="0"/>
    </w:rPr>
  </w:style>
  <w:style w:type="paragraph" w:styleId="TOC4">
    <w:name w:val="toc 4"/>
    <w:basedOn w:val="TOC3"/>
    <w:next w:val="Normal"/>
    <w:semiHidden/>
    <w:rsid w:val="00DC66D4"/>
    <w:pPr>
      <w:spacing w:before="60"/>
    </w:pPr>
    <w:rPr>
      <w:b w:val="0"/>
    </w:rPr>
  </w:style>
  <w:style w:type="character" w:styleId="Hyperlink">
    <w:name w:val="Hyperlink"/>
    <w:semiHidden/>
    <w:rsid w:val="00DC66D4"/>
    <w:rPr>
      <w:rFonts w:ascii="Times New Roman" w:hAnsi="Times New Roman"/>
      <w:color w:val="0066FF"/>
      <w:sz w:val="24"/>
      <w:bdr w:val="none" w:sz="0" w:space="0" w:color="auto"/>
    </w:rPr>
  </w:style>
  <w:style w:type="paragraph" w:styleId="TOC7">
    <w:name w:val="toc 7"/>
    <w:basedOn w:val="TOC6"/>
    <w:next w:val="Normal"/>
    <w:semiHidden/>
    <w:rsid w:val="00DC66D4"/>
    <w:pPr>
      <w:ind w:left="2608" w:hanging="2211"/>
    </w:pPr>
  </w:style>
  <w:style w:type="paragraph" w:styleId="TOC8">
    <w:name w:val="toc 8"/>
    <w:basedOn w:val="TOC7"/>
    <w:next w:val="Normal"/>
    <w:semiHidden/>
    <w:rsid w:val="00DC66D4"/>
  </w:style>
  <w:style w:type="paragraph" w:styleId="TOC9">
    <w:name w:val="toc 9"/>
    <w:basedOn w:val="TOC8"/>
    <w:next w:val="Normal"/>
    <w:semiHidden/>
    <w:rsid w:val="00DC66D4"/>
  </w:style>
  <w:style w:type="paragraph" w:customStyle="1" w:styleId="TableNotes9">
    <w:name w:val="TableNotes9"/>
    <w:basedOn w:val="TableText10"/>
    <w:next w:val="Normal"/>
    <w:rsid w:val="004C3C1D"/>
    <w:pPr>
      <w:spacing w:before="120" w:after="120"/>
      <w:ind w:left="576" w:hanging="576"/>
    </w:pPr>
    <w:rPr>
      <w:sz w:val="18"/>
    </w:rPr>
  </w:style>
  <w:style w:type="paragraph" w:customStyle="1" w:styleId="TableText8">
    <w:name w:val="TableText8"/>
    <w:basedOn w:val="Normal"/>
    <w:rsid w:val="004C3C1D"/>
    <w:rPr>
      <w:sz w:val="16"/>
    </w:rPr>
  </w:style>
  <w:style w:type="character" w:customStyle="1" w:styleId="Heading3Char">
    <w:name w:val="Heading 3 Char"/>
    <w:link w:val="Heading3"/>
    <w:rsid w:val="004C3C1D"/>
    <w:rPr>
      <w:b/>
      <w:sz w:val="24"/>
      <w:lang w:val="en-GB" w:eastAsia="de-DE"/>
    </w:rPr>
  </w:style>
  <w:style w:type="paragraph" w:customStyle="1" w:styleId="TableHeader8">
    <w:name w:val="TableHeader8"/>
    <w:basedOn w:val="TableText8"/>
    <w:rsid w:val="004C3C1D"/>
    <w:pPr>
      <w:jc w:val="center"/>
    </w:pPr>
    <w:rPr>
      <w:rFonts w:ascii="Times New Roman Bold" w:hAnsi="Times New Roman Bold"/>
      <w:b/>
    </w:rPr>
  </w:style>
  <w:style w:type="paragraph" w:customStyle="1" w:styleId="TableSource9">
    <w:name w:val="TableSource9"/>
    <w:basedOn w:val="TableText9"/>
    <w:next w:val="Normal"/>
    <w:rsid w:val="004C3C1D"/>
    <w:pPr>
      <w:spacing w:before="120" w:after="120"/>
    </w:pPr>
  </w:style>
  <w:style w:type="paragraph" w:customStyle="1" w:styleId="TableSource8">
    <w:name w:val="TableSource8"/>
    <w:basedOn w:val="TableText8"/>
    <w:next w:val="Normal"/>
    <w:rsid w:val="004C3C1D"/>
    <w:pPr>
      <w:spacing w:before="120" w:after="120"/>
    </w:pPr>
  </w:style>
  <w:style w:type="paragraph" w:customStyle="1" w:styleId="TableCont">
    <w:name w:val="TableCont"/>
    <w:basedOn w:val="Table"/>
    <w:next w:val="Normal"/>
    <w:rsid w:val="004C3C1D"/>
    <w:rPr>
      <w:noProof/>
    </w:rPr>
  </w:style>
  <w:style w:type="character" w:styleId="FollowedHyperlink">
    <w:name w:val="FollowedHyperlink"/>
    <w:semiHidden/>
    <w:rsid w:val="00DC66D4"/>
    <w:rPr>
      <w:color w:val="800080"/>
      <w:u w:val="single"/>
    </w:rPr>
  </w:style>
  <w:style w:type="paragraph" w:customStyle="1" w:styleId="DocTitle">
    <w:name w:val="DocTitle"/>
    <w:basedOn w:val="Normal"/>
    <w:semiHidden/>
    <w:rsid w:val="004C3C1D"/>
    <w:pPr>
      <w:spacing w:before="240" w:after="240"/>
      <w:jc w:val="center"/>
    </w:pPr>
    <w:rPr>
      <w:rFonts w:ascii="Times New Roman Bold" w:hAnsi="Times New Roman Bold"/>
      <w:b/>
      <w:sz w:val="28"/>
    </w:rPr>
  </w:style>
  <w:style w:type="paragraph" w:customStyle="1" w:styleId="Instructions">
    <w:name w:val="Instructions"/>
    <w:basedOn w:val="Normal"/>
    <w:next w:val="Normal"/>
    <w:rsid w:val="004C3C1D"/>
    <w:rPr>
      <w:color w:val="FF0000"/>
    </w:rPr>
  </w:style>
  <w:style w:type="paragraph" w:customStyle="1" w:styleId="DocTitleText">
    <w:name w:val="DocTitleText"/>
    <w:basedOn w:val="DocTitle"/>
    <w:semiHidden/>
    <w:rsid w:val="004C3C1D"/>
    <w:rPr>
      <w:sz w:val="24"/>
    </w:rPr>
  </w:style>
  <w:style w:type="paragraph" w:customStyle="1" w:styleId="NormalNoSpace">
    <w:name w:val="NormalNoSpace"/>
    <w:basedOn w:val="Normal"/>
    <w:rsid w:val="004C3C1D"/>
  </w:style>
  <w:style w:type="paragraph" w:styleId="Title">
    <w:name w:val="Title"/>
    <w:basedOn w:val="Normal"/>
    <w:qFormat/>
    <w:rsid w:val="00DC66D4"/>
    <w:pPr>
      <w:spacing w:before="240" w:after="60" w:line="360" w:lineRule="auto"/>
      <w:jc w:val="center"/>
      <w:outlineLvl w:val="0"/>
    </w:pPr>
    <w:rPr>
      <w:rFonts w:cs="Arial"/>
      <w:b/>
      <w:bCs/>
      <w:kern w:val="28"/>
      <w:sz w:val="32"/>
      <w:szCs w:val="32"/>
      <w:lang w:eastAsia="en-US"/>
    </w:rPr>
  </w:style>
  <w:style w:type="paragraph" w:customStyle="1" w:styleId="TableNotes8">
    <w:name w:val="TableNotes8"/>
    <w:basedOn w:val="TableText9"/>
    <w:next w:val="Normal"/>
    <w:rsid w:val="004C3C1D"/>
    <w:pPr>
      <w:spacing w:before="120" w:after="120"/>
      <w:ind w:left="576" w:hanging="576"/>
    </w:pPr>
    <w:rPr>
      <w:sz w:val="16"/>
    </w:rPr>
  </w:style>
  <w:style w:type="paragraph" w:customStyle="1" w:styleId="FigureSource">
    <w:name w:val="FigureSource"/>
    <w:basedOn w:val="Normal"/>
    <w:next w:val="Normal"/>
    <w:rsid w:val="004C3C1D"/>
    <w:rPr>
      <w:sz w:val="20"/>
    </w:rPr>
  </w:style>
  <w:style w:type="paragraph" w:customStyle="1" w:styleId="Bullet">
    <w:name w:val="Bullet"/>
    <w:basedOn w:val="Normal"/>
    <w:semiHidden/>
    <w:rsid w:val="004C3C1D"/>
  </w:style>
  <w:style w:type="paragraph" w:customStyle="1" w:styleId="List4">
    <w:name w:val="List4"/>
    <w:basedOn w:val="Normal"/>
    <w:rsid w:val="004C3C1D"/>
    <w:pPr>
      <w:numPr>
        <w:ilvl w:val="8"/>
        <w:numId w:val="12"/>
      </w:numPr>
    </w:pPr>
  </w:style>
  <w:style w:type="paragraph" w:customStyle="1" w:styleId="List3">
    <w:name w:val="List3"/>
    <w:basedOn w:val="Normal"/>
    <w:rsid w:val="004C3C1D"/>
    <w:pPr>
      <w:numPr>
        <w:ilvl w:val="7"/>
        <w:numId w:val="12"/>
      </w:numPr>
    </w:pPr>
  </w:style>
  <w:style w:type="paragraph" w:styleId="Caption">
    <w:name w:val="caption"/>
    <w:basedOn w:val="CTDtext"/>
    <w:next w:val="CTDtext"/>
    <w:qFormat/>
    <w:rsid w:val="00DC66D4"/>
    <w:pPr>
      <w:spacing w:before="113" w:after="57"/>
      <w:ind w:left="1701" w:hanging="1701"/>
    </w:pPr>
    <w:rPr>
      <w:rFonts w:ascii="Times New (W1)" w:hAnsi="Times New (W1)"/>
    </w:rPr>
  </w:style>
  <w:style w:type="paragraph" w:styleId="TableofFigures">
    <w:name w:val="table of figures"/>
    <w:basedOn w:val="Normal"/>
    <w:semiHidden/>
    <w:rsid w:val="00DC66D4"/>
    <w:pPr>
      <w:tabs>
        <w:tab w:val="right" w:leader="dot" w:pos="9072"/>
      </w:tabs>
      <w:spacing w:before="120"/>
      <w:ind w:left="2552" w:right="567" w:hanging="2552"/>
    </w:pPr>
    <w:rPr>
      <w:b/>
    </w:rPr>
  </w:style>
  <w:style w:type="numbering" w:styleId="111111">
    <w:name w:val="Outline List 2"/>
    <w:basedOn w:val="NoList"/>
    <w:semiHidden/>
    <w:rsid w:val="004C3C1D"/>
    <w:pPr>
      <w:numPr>
        <w:numId w:val="13"/>
      </w:numPr>
    </w:pPr>
  </w:style>
  <w:style w:type="numbering" w:styleId="1ai">
    <w:name w:val="Outline List 1"/>
    <w:basedOn w:val="NoList"/>
    <w:semiHidden/>
    <w:rsid w:val="004C3C1D"/>
    <w:pPr>
      <w:numPr>
        <w:numId w:val="14"/>
      </w:numPr>
    </w:pPr>
  </w:style>
  <w:style w:type="numbering" w:styleId="ArticleSection">
    <w:name w:val="Outline List 3"/>
    <w:basedOn w:val="NoList"/>
    <w:semiHidden/>
    <w:rsid w:val="004C3C1D"/>
    <w:pPr>
      <w:numPr>
        <w:numId w:val="15"/>
      </w:numPr>
    </w:pPr>
  </w:style>
  <w:style w:type="paragraph" w:styleId="BlockText">
    <w:name w:val="Block Text"/>
    <w:basedOn w:val="Normal"/>
    <w:semiHidden/>
    <w:rsid w:val="004C3C1D"/>
    <w:pPr>
      <w:ind w:left="1440" w:right="1440"/>
    </w:pPr>
  </w:style>
  <w:style w:type="paragraph" w:styleId="BodyText">
    <w:name w:val="Body Text"/>
    <w:basedOn w:val="Normal"/>
    <w:semiHidden/>
    <w:rsid w:val="00DC66D4"/>
    <w:pPr>
      <w:spacing w:after="120"/>
      <w:jc w:val="center"/>
      <w:outlineLvl w:val="0"/>
    </w:pPr>
    <w:rPr>
      <w:rFonts w:ascii="Gill Sans MT" w:hAnsi="Gill Sans MT"/>
      <w:b/>
      <w:bCs/>
      <w:sz w:val="72"/>
    </w:rPr>
  </w:style>
  <w:style w:type="paragraph" w:styleId="BodyText2">
    <w:name w:val="Body Text 2"/>
    <w:basedOn w:val="Normal"/>
    <w:semiHidden/>
    <w:rsid w:val="004C3C1D"/>
    <w:pPr>
      <w:spacing w:line="480" w:lineRule="auto"/>
    </w:pPr>
  </w:style>
  <w:style w:type="paragraph" w:styleId="BodyText3">
    <w:name w:val="Body Text 3"/>
    <w:basedOn w:val="Normal"/>
    <w:semiHidden/>
    <w:rsid w:val="004C3C1D"/>
    <w:rPr>
      <w:sz w:val="16"/>
      <w:szCs w:val="16"/>
    </w:rPr>
  </w:style>
  <w:style w:type="paragraph" w:styleId="BodyTextFirstIndent">
    <w:name w:val="Body Text First Indent"/>
    <w:basedOn w:val="BodyText"/>
    <w:semiHidden/>
    <w:rsid w:val="004C3C1D"/>
    <w:pPr>
      <w:ind w:firstLine="210"/>
    </w:pPr>
  </w:style>
  <w:style w:type="paragraph" w:styleId="BodyTextIndent">
    <w:name w:val="Body Text Indent"/>
    <w:basedOn w:val="Normal"/>
    <w:semiHidden/>
    <w:rsid w:val="00DC66D4"/>
    <w:pPr>
      <w:ind w:left="567" w:hanging="567"/>
    </w:pPr>
  </w:style>
  <w:style w:type="paragraph" w:styleId="BodyTextFirstIndent2">
    <w:name w:val="Body Text First Indent 2"/>
    <w:basedOn w:val="BodyTextIndent"/>
    <w:semiHidden/>
    <w:rsid w:val="004C3C1D"/>
    <w:pPr>
      <w:ind w:firstLine="210"/>
    </w:pPr>
  </w:style>
  <w:style w:type="paragraph" w:styleId="BodyTextIndent2">
    <w:name w:val="Body Text Indent 2"/>
    <w:basedOn w:val="Normal"/>
    <w:semiHidden/>
    <w:rsid w:val="004C3C1D"/>
    <w:pPr>
      <w:spacing w:line="480" w:lineRule="auto"/>
      <w:ind w:left="283"/>
    </w:pPr>
  </w:style>
  <w:style w:type="paragraph" w:styleId="BodyTextIndent3">
    <w:name w:val="Body Text Indent 3"/>
    <w:basedOn w:val="Normal"/>
    <w:semiHidden/>
    <w:rsid w:val="004C3C1D"/>
    <w:pPr>
      <w:ind w:left="283"/>
    </w:pPr>
    <w:rPr>
      <w:sz w:val="16"/>
      <w:szCs w:val="16"/>
    </w:rPr>
  </w:style>
  <w:style w:type="paragraph" w:styleId="Closing">
    <w:name w:val="Closing"/>
    <w:basedOn w:val="Normal"/>
    <w:semiHidden/>
    <w:rsid w:val="004C3C1D"/>
    <w:pPr>
      <w:ind w:left="4252"/>
    </w:pPr>
  </w:style>
  <w:style w:type="paragraph" w:styleId="Date">
    <w:name w:val="Date"/>
    <w:basedOn w:val="Normal"/>
    <w:next w:val="Normal"/>
    <w:link w:val="DateChar"/>
    <w:uiPriority w:val="99"/>
    <w:rsid w:val="004C3C1D"/>
  </w:style>
  <w:style w:type="paragraph" w:styleId="E-mailSignature">
    <w:name w:val="E-mail Signature"/>
    <w:basedOn w:val="Normal"/>
    <w:semiHidden/>
    <w:rsid w:val="004C3C1D"/>
  </w:style>
  <w:style w:type="character" w:styleId="Emphasis">
    <w:name w:val="Emphasis"/>
    <w:qFormat/>
    <w:rsid w:val="004C3C1D"/>
    <w:rPr>
      <w:i/>
      <w:iCs/>
    </w:rPr>
  </w:style>
  <w:style w:type="paragraph" w:styleId="EnvelopeAddress">
    <w:name w:val="envelope address"/>
    <w:basedOn w:val="Normal"/>
    <w:semiHidden/>
    <w:rsid w:val="004C3C1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C3C1D"/>
    <w:rPr>
      <w:rFonts w:ascii="Arial" w:hAnsi="Arial" w:cs="Arial"/>
      <w:sz w:val="20"/>
    </w:rPr>
  </w:style>
  <w:style w:type="character" w:styleId="HTMLAcronym">
    <w:name w:val="HTML Acronym"/>
    <w:basedOn w:val="DefaultParagraphFont"/>
    <w:semiHidden/>
    <w:rsid w:val="004C3C1D"/>
  </w:style>
  <w:style w:type="paragraph" w:styleId="HTMLAddress">
    <w:name w:val="HTML Address"/>
    <w:basedOn w:val="Normal"/>
    <w:semiHidden/>
    <w:rsid w:val="004C3C1D"/>
    <w:rPr>
      <w:i/>
      <w:iCs/>
    </w:rPr>
  </w:style>
  <w:style w:type="character" w:styleId="HTMLCite">
    <w:name w:val="HTML Cite"/>
    <w:semiHidden/>
    <w:rsid w:val="004C3C1D"/>
    <w:rPr>
      <w:i/>
      <w:iCs/>
    </w:rPr>
  </w:style>
  <w:style w:type="character" w:styleId="HTMLCode">
    <w:name w:val="HTML Code"/>
    <w:semiHidden/>
    <w:rsid w:val="004C3C1D"/>
    <w:rPr>
      <w:rFonts w:ascii="Courier New" w:hAnsi="Courier New" w:cs="Courier New"/>
      <w:sz w:val="20"/>
      <w:szCs w:val="20"/>
    </w:rPr>
  </w:style>
  <w:style w:type="character" w:styleId="HTMLDefinition">
    <w:name w:val="HTML Definition"/>
    <w:semiHidden/>
    <w:rsid w:val="004C3C1D"/>
    <w:rPr>
      <w:i/>
      <w:iCs/>
    </w:rPr>
  </w:style>
  <w:style w:type="character" w:styleId="HTMLKeyboard">
    <w:name w:val="HTML Keyboard"/>
    <w:semiHidden/>
    <w:rsid w:val="004C3C1D"/>
    <w:rPr>
      <w:rFonts w:ascii="Courier New" w:hAnsi="Courier New" w:cs="Courier New"/>
      <w:sz w:val="20"/>
      <w:szCs w:val="20"/>
    </w:rPr>
  </w:style>
  <w:style w:type="paragraph" w:styleId="HTMLPreformatted">
    <w:name w:val="HTML Preformatted"/>
    <w:basedOn w:val="Normal"/>
    <w:semiHidden/>
    <w:rsid w:val="004C3C1D"/>
    <w:rPr>
      <w:rFonts w:ascii="Courier New" w:hAnsi="Courier New" w:cs="Courier New"/>
      <w:sz w:val="20"/>
    </w:rPr>
  </w:style>
  <w:style w:type="character" w:styleId="HTMLSample">
    <w:name w:val="HTML Sample"/>
    <w:semiHidden/>
    <w:rsid w:val="004C3C1D"/>
    <w:rPr>
      <w:rFonts w:ascii="Courier New" w:hAnsi="Courier New" w:cs="Courier New"/>
    </w:rPr>
  </w:style>
  <w:style w:type="character" w:styleId="HTMLTypewriter">
    <w:name w:val="HTML Typewriter"/>
    <w:semiHidden/>
    <w:rsid w:val="004C3C1D"/>
    <w:rPr>
      <w:rFonts w:ascii="Courier New" w:hAnsi="Courier New" w:cs="Courier New"/>
      <w:sz w:val="20"/>
      <w:szCs w:val="20"/>
    </w:rPr>
  </w:style>
  <w:style w:type="character" w:styleId="HTMLVariable">
    <w:name w:val="HTML Variable"/>
    <w:semiHidden/>
    <w:rsid w:val="004C3C1D"/>
    <w:rPr>
      <w:i/>
      <w:iCs/>
    </w:rPr>
  </w:style>
  <w:style w:type="character" w:styleId="LineNumber">
    <w:name w:val="line number"/>
    <w:basedOn w:val="DefaultParagraphFont"/>
    <w:semiHidden/>
    <w:rsid w:val="004C3C1D"/>
  </w:style>
  <w:style w:type="paragraph" w:styleId="List">
    <w:name w:val="List"/>
    <w:basedOn w:val="Normal"/>
    <w:semiHidden/>
    <w:rsid w:val="004C3C1D"/>
    <w:pPr>
      <w:ind w:left="283" w:hanging="283"/>
    </w:pPr>
  </w:style>
  <w:style w:type="paragraph" w:styleId="List20">
    <w:name w:val="List 2"/>
    <w:basedOn w:val="Normal"/>
    <w:semiHidden/>
    <w:rsid w:val="004C3C1D"/>
    <w:pPr>
      <w:ind w:left="566" w:hanging="283"/>
    </w:pPr>
  </w:style>
  <w:style w:type="paragraph" w:styleId="List30">
    <w:name w:val="List 3"/>
    <w:basedOn w:val="Normal"/>
    <w:semiHidden/>
    <w:rsid w:val="004C3C1D"/>
    <w:pPr>
      <w:ind w:left="849" w:hanging="283"/>
    </w:pPr>
  </w:style>
  <w:style w:type="paragraph" w:styleId="List40">
    <w:name w:val="List 4"/>
    <w:basedOn w:val="Normal"/>
    <w:semiHidden/>
    <w:rsid w:val="004C3C1D"/>
    <w:pPr>
      <w:ind w:left="1132" w:hanging="283"/>
    </w:pPr>
  </w:style>
  <w:style w:type="paragraph" w:styleId="List5">
    <w:name w:val="List 5"/>
    <w:basedOn w:val="Normal"/>
    <w:semiHidden/>
    <w:rsid w:val="004C3C1D"/>
    <w:pPr>
      <w:ind w:left="1415" w:hanging="283"/>
    </w:pPr>
  </w:style>
  <w:style w:type="paragraph" w:styleId="ListBullet">
    <w:name w:val="List Bullet"/>
    <w:basedOn w:val="Normal"/>
    <w:semiHidden/>
    <w:rsid w:val="004C3C1D"/>
    <w:pPr>
      <w:numPr>
        <w:numId w:val="2"/>
      </w:numPr>
    </w:pPr>
  </w:style>
  <w:style w:type="paragraph" w:styleId="ListBullet2">
    <w:name w:val="List Bullet 2"/>
    <w:basedOn w:val="Normal"/>
    <w:semiHidden/>
    <w:rsid w:val="004C3C1D"/>
    <w:pPr>
      <w:numPr>
        <w:numId w:val="3"/>
      </w:numPr>
    </w:pPr>
  </w:style>
  <w:style w:type="paragraph" w:styleId="ListBullet3">
    <w:name w:val="List Bullet 3"/>
    <w:basedOn w:val="Normal"/>
    <w:semiHidden/>
    <w:rsid w:val="004C3C1D"/>
    <w:pPr>
      <w:numPr>
        <w:numId w:val="4"/>
      </w:numPr>
    </w:pPr>
  </w:style>
  <w:style w:type="paragraph" w:styleId="ListBullet4">
    <w:name w:val="List Bullet 4"/>
    <w:basedOn w:val="Normal"/>
    <w:semiHidden/>
    <w:rsid w:val="004C3C1D"/>
    <w:pPr>
      <w:numPr>
        <w:numId w:val="5"/>
      </w:numPr>
    </w:pPr>
  </w:style>
  <w:style w:type="paragraph" w:styleId="ListBullet5">
    <w:name w:val="List Bullet 5"/>
    <w:basedOn w:val="Normal"/>
    <w:semiHidden/>
    <w:rsid w:val="004C3C1D"/>
    <w:pPr>
      <w:numPr>
        <w:numId w:val="6"/>
      </w:numPr>
    </w:pPr>
  </w:style>
  <w:style w:type="paragraph" w:styleId="ListContinue">
    <w:name w:val="List Continue"/>
    <w:basedOn w:val="Normal"/>
    <w:semiHidden/>
    <w:rsid w:val="004C3C1D"/>
    <w:pPr>
      <w:ind w:left="283"/>
    </w:pPr>
  </w:style>
  <w:style w:type="paragraph" w:styleId="ListContinue2">
    <w:name w:val="List Continue 2"/>
    <w:basedOn w:val="Normal"/>
    <w:semiHidden/>
    <w:rsid w:val="004C3C1D"/>
    <w:pPr>
      <w:ind w:left="566"/>
    </w:pPr>
  </w:style>
  <w:style w:type="paragraph" w:styleId="ListContinue3">
    <w:name w:val="List Continue 3"/>
    <w:basedOn w:val="Normal"/>
    <w:semiHidden/>
    <w:rsid w:val="004C3C1D"/>
    <w:pPr>
      <w:ind w:left="849"/>
    </w:pPr>
  </w:style>
  <w:style w:type="paragraph" w:styleId="ListContinue4">
    <w:name w:val="List Continue 4"/>
    <w:basedOn w:val="Normal"/>
    <w:semiHidden/>
    <w:rsid w:val="004C3C1D"/>
    <w:pPr>
      <w:ind w:left="1132"/>
    </w:pPr>
  </w:style>
  <w:style w:type="paragraph" w:styleId="ListContinue5">
    <w:name w:val="List Continue 5"/>
    <w:basedOn w:val="Normal"/>
    <w:semiHidden/>
    <w:rsid w:val="004C3C1D"/>
    <w:pPr>
      <w:ind w:left="1415"/>
    </w:pPr>
  </w:style>
  <w:style w:type="paragraph" w:styleId="ListNumber">
    <w:name w:val="List Number"/>
    <w:basedOn w:val="Normal"/>
    <w:semiHidden/>
    <w:rsid w:val="004C3C1D"/>
    <w:pPr>
      <w:numPr>
        <w:numId w:val="7"/>
      </w:numPr>
    </w:pPr>
  </w:style>
  <w:style w:type="paragraph" w:styleId="ListNumber2">
    <w:name w:val="List Number 2"/>
    <w:basedOn w:val="Normal"/>
    <w:semiHidden/>
    <w:rsid w:val="004C3C1D"/>
    <w:pPr>
      <w:numPr>
        <w:numId w:val="8"/>
      </w:numPr>
    </w:pPr>
  </w:style>
  <w:style w:type="paragraph" w:styleId="ListNumber3">
    <w:name w:val="List Number 3"/>
    <w:basedOn w:val="Normal"/>
    <w:semiHidden/>
    <w:rsid w:val="004C3C1D"/>
    <w:pPr>
      <w:numPr>
        <w:numId w:val="9"/>
      </w:numPr>
    </w:pPr>
  </w:style>
  <w:style w:type="paragraph" w:styleId="ListNumber4">
    <w:name w:val="List Number 4"/>
    <w:basedOn w:val="Normal"/>
    <w:uiPriority w:val="99"/>
    <w:semiHidden/>
    <w:rsid w:val="004C3C1D"/>
    <w:pPr>
      <w:numPr>
        <w:numId w:val="10"/>
      </w:numPr>
    </w:pPr>
  </w:style>
  <w:style w:type="paragraph" w:styleId="ListNumber5">
    <w:name w:val="List Number 5"/>
    <w:basedOn w:val="Normal"/>
    <w:semiHidden/>
    <w:rsid w:val="004C3C1D"/>
    <w:pPr>
      <w:numPr>
        <w:numId w:val="11"/>
      </w:numPr>
    </w:pPr>
  </w:style>
  <w:style w:type="paragraph" w:styleId="MessageHeader">
    <w:name w:val="Message Header"/>
    <w:basedOn w:val="Normal"/>
    <w:semiHidden/>
    <w:rsid w:val="004C3C1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C3C1D"/>
  </w:style>
  <w:style w:type="paragraph" w:styleId="NormalIndent">
    <w:name w:val="Normal Indent"/>
    <w:basedOn w:val="Normal"/>
    <w:semiHidden/>
    <w:rsid w:val="004C3C1D"/>
    <w:pPr>
      <w:ind w:left="720"/>
    </w:pPr>
  </w:style>
  <w:style w:type="paragraph" w:styleId="NoteHeading">
    <w:name w:val="Note Heading"/>
    <w:basedOn w:val="Normal"/>
    <w:next w:val="Normal"/>
    <w:semiHidden/>
    <w:rsid w:val="004C3C1D"/>
  </w:style>
  <w:style w:type="character" w:styleId="PageNumber">
    <w:name w:val="page number"/>
    <w:basedOn w:val="DefaultParagraphFont"/>
    <w:semiHidden/>
    <w:rsid w:val="00DC66D4"/>
  </w:style>
  <w:style w:type="paragraph" w:styleId="PlainText">
    <w:name w:val="Plain Text"/>
    <w:basedOn w:val="Normal"/>
    <w:semiHidden/>
    <w:rsid w:val="004C3C1D"/>
    <w:rPr>
      <w:rFonts w:ascii="Courier New" w:hAnsi="Courier New" w:cs="Courier New"/>
      <w:sz w:val="20"/>
    </w:rPr>
  </w:style>
  <w:style w:type="paragraph" w:styleId="Salutation">
    <w:name w:val="Salutation"/>
    <w:basedOn w:val="Normal"/>
    <w:next w:val="Normal"/>
    <w:semiHidden/>
    <w:rsid w:val="004C3C1D"/>
  </w:style>
  <w:style w:type="paragraph" w:styleId="Signature">
    <w:name w:val="Signature"/>
    <w:basedOn w:val="Normal"/>
    <w:semiHidden/>
    <w:rsid w:val="004C3C1D"/>
    <w:pPr>
      <w:ind w:left="4252"/>
    </w:pPr>
  </w:style>
  <w:style w:type="character" w:styleId="Strong">
    <w:name w:val="Strong"/>
    <w:qFormat/>
    <w:rsid w:val="004C3C1D"/>
    <w:rPr>
      <w:b/>
      <w:bCs/>
    </w:rPr>
  </w:style>
  <w:style w:type="paragraph" w:styleId="Subtitle">
    <w:name w:val="Subtitle"/>
    <w:basedOn w:val="Normal"/>
    <w:qFormat/>
    <w:rsid w:val="004C3C1D"/>
    <w:pPr>
      <w:spacing w:after="60"/>
      <w:jc w:val="center"/>
      <w:outlineLvl w:val="1"/>
    </w:pPr>
    <w:rPr>
      <w:rFonts w:ascii="Arial" w:hAnsi="Arial" w:cs="Arial"/>
    </w:rPr>
  </w:style>
  <w:style w:type="table" w:styleId="Table3Deffects1">
    <w:name w:val="Table 3D effects 1"/>
    <w:basedOn w:val="TableNormal"/>
    <w:semiHidden/>
    <w:rsid w:val="004C3C1D"/>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C3C1D"/>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C3C1D"/>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C3C1D"/>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C3C1D"/>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C3C1D"/>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C3C1D"/>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C3C1D"/>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C3C1D"/>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C3C1D"/>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C3C1D"/>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C3C1D"/>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C3C1D"/>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C3C1D"/>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C3C1D"/>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C3C1D"/>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C3C1D"/>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C3C1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C3C1D"/>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C3C1D"/>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C3C1D"/>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C3C1D"/>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C3C1D"/>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C3C1D"/>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C3C1D"/>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C3C1D"/>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C3C1D"/>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C3C1D"/>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C3C1D"/>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C3C1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C3C1D"/>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C3C1D"/>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C3C1D"/>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C3C1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C3C1D"/>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C3C1D"/>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C3C1D"/>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C3C1D"/>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C3C1D"/>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C3C1D"/>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C3C1D"/>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C3C1D"/>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C3C1D"/>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rsid w:val="004C3C1D"/>
    <w:pPr>
      <w:jc w:val="center"/>
    </w:pPr>
    <w:rPr>
      <w:lang w:val="en-US"/>
    </w:rPr>
  </w:style>
  <w:style w:type="paragraph" w:customStyle="1" w:styleId="Para">
    <w:name w:val="Para"/>
    <w:rsid w:val="00510F15"/>
    <w:pPr>
      <w:suppressAutoHyphens/>
      <w:overflowPunct w:val="0"/>
      <w:autoSpaceDE w:val="0"/>
      <w:autoSpaceDN w:val="0"/>
      <w:adjustRightInd w:val="0"/>
      <w:spacing w:before="240"/>
    </w:pPr>
    <w:rPr>
      <w:rFonts w:eastAsia="SimSun"/>
      <w:sz w:val="22"/>
      <w:szCs w:val="22"/>
      <w:lang w:eastAsia="fr-FR"/>
    </w:rPr>
  </w:style>
  <w:style w:type="paragraph" w:styleId="BalloonText">
    <w:name w:val="Balloon Text"/>
    <w:basedOn w:val="Normal"/>
    <w:semiHidden/>
    <w:rsid w:val="00DC66D4"/>
    <w:rPr>
      <w:rFonts w:ascii="Tahoma" w:hAnsi="Tahoma" w:cs="Tahoma"/>
      <w:sz w:val="16"/>
      <w:szCs w:val="16"/>
    </w:rPr>
  </w:style>
  <w:style w:type="character" w:styleId="CommentReference">
    <w:name w:val="annotation reference"/>
    <w:rsid w:val="00DC66D4"/>
    <w:rPr>
      <w:sz w:val="16"/>
      <w:szCs w:val="16"/>
    </w:rPr>
  </w:style>
  <w:style w:type="paragraph" w:styleId="CommentText">
    <w:name w:val="annotation text"/>
    <w:basedOn w:val="Normal"/>
    <w:link w:val="CommentTextChar"/>
    <w:rsid w:val="00DC66D4"/>
  </w:style>
  <w:style w:type="character" w:customStyle="1" w:styleId="CommentTextChar">
    <w:name w:val="Comment Text Char"/>
    <w:link w:val="CommentText"/>
    <w:uiPriority w:val="99"/>
    <w:rsid w:val="005005FF"/>
    <w:rPr>
      <w:sz w:val="24"/>
      <w:lang w:val="en-GB" w:eastAsia="de-DE"/>
    </w:rPr>
  </w:style>
  <w:style w:type="paragraph" w:styleId="CommentSubject">
    <w:name w:val="annotation subject"/>
    <w:basedOn w:val="CommentText"/>
    <w:next w:val="CommentText"/>
    <w:link w:val="CommentSubjectChar"/>
    <w:rsid w:val="00DC66D4"/>
    <w:rPr>
      <w:b/>
      <w:bCs/>
    </w:rPr>
  </w:style>
  <w:style w:type="character" w:customStyle="1" w:styleId="CommentSubjectChar">
    <w:name w:val="Comment Subject Char"/>
    <w:link w:val="CommentSubject"/>
    <w:rsid w:val="005005FF"/>
    <w:rPr>
      <w:b/>
      <w:bCs/>
      <w:sz w:val="24"/>
      <w:lang w:val="en-GB" w:eastAsia="de-DE"/>
    </w:rPr>
  </w:style>
  <w:style w:type="paragraph" w:customStyle="1" w:styleId="Text">
    <w:name w:val="Text"/>
    <w:basedOn w:val="Normal"/>
    <w:rsid w:val="00402806"/>
    <w:pPr>
      <w:spacing w:line="300" w:lineRule="auto"/>
    </w:pPr>
    <w:rPr>
      <w:kern w:val="24"/>
      <w:lang w:eastAsia="ja-JP"/>
    </w:rPr>
  </w:style>
  <w:style w:type="paragraph" w:customStyle="1" w:styleId="eCTD-narrative-Text">
    <w:name w:val="eCTD-narrative-Text"/>
    <w:rsid w:val="00F4306A"/>
    <w:pPr>
      <w:spacing w:before="120" w:after="120"/>
      <w:jc w:val="both"/>
    </w:pPr>
    <w:rPr>
      <w:sz w:val="24"/>
      <w:szCs w:val="24"/>
      <w:lang w:val="en-GB" w:eastAsia="de-DE"/>
    </w:rPr>
  </w:style>
  <w:style w:type="paragraph" w:customStyle="1" w:styleId="ListParagraph1">
    <w:name w:val="List Paragraph1"/>
    <w:basedOn w:val="Normal"/>
    <w:rsid w:val="00ED20A6"/>
    <w:pPr>
      <w:spacing w:line="360" w:lineRule="auto"/>
      <w:ind w:left="720"/>
      <w:jc w:val="both"/>
    </w:pPr>
    <w:rPr>
      <w:rFonts w:ascii="Arial" w:hAnsi="Arial" w:cs="Arial"/>
      <w:lang w:val="fr-FR"/>
    </w:rPr>
  </w:style>
  <w:style w:type="paragraph" w:customStyle="1" w:styleId="MediumGrid1-Accent21">
    <w:name w:val="Medium Grid 1 - Accent 21"/>
    <w:basedOn w:val="Normal"/>
    <w:qFormat/>
    <w:rsid w:val="00936781"/>
    <w:pPr>
      <w:spacing w:line="360" w:lineRule="auto"/>
      <w:ind w:left="720"/>
      <w:jc w:val="both"/>
    </w:pPr>
    <w:rPr>
      <w:rFonts w:ascii="Arial" w:hAnsi="Arial" w:cs="Arial"/>
      <w:sz w:val="20"/>
      <w:lang w:val="fr-FR"/>
    </w:rPr>
  </w:style>
  <w:style w:type="paragraph" w:customStyle="1" w:styleId="ammcorpstexte">
    <w:name w:val="ammcorpstexte"/>
    <w:basedOn w:val="Normal"/>
    <w:rsid w:val="00936781"/>
    <w:rPr>
      <w:rFonts w:ascii="Arial" w:eastAsia="Calibri" w:hAnsi="Arial" w:cs="Arial"/>
      <w:color w:val="000000"/>
      <w:sz w:val="20"/>
      <w:lang w:eastAsia="fr-FR"/>
    </w:rPr>
  </w:style>
  <w:style w:type="paragraph" w:customStyle="1" w:styleId="ammlistepuces1">
    <w:name w:val="ammlistepuces1"/>
    <w:basedOn w:val="Normal"/>
    <w:rsid w:val="00936781"/>
    <w:pPr>
      <w:spacing w:before="100" w:beforeAutospacing="1" w:after="100" w:afterAutospacing="1"/>
    </w:pPr>
    <w:rPr>
      <w:rFonts w:ascii="Arial" w:eastAsia="Calibri" w:hAnsi="Arial" w:cs="Arial"/>
      <w:sz w:val="20"/>
      <w:lang w:eastAsia="fr-FR"/>
    </w:rPr>
  </w:style>
  <w:style w:type="paragraph" w:styleId="ListParagraph">
    <w:name w:val="List Paragraph"/>
    <w:basedOn w:val="Normal"/>
    <w:uiPriority w:val="99"/>
    <w:qFormat/>
    <w:rsid w:val="00B34C90"/>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8F7DA7"/>
    <w:rPr>
      <w:rFonts w:ascii="Tahoma" w:hAnsi="Tahoma" w:cs="Tahoma"/>
      <w:sz w:val="16"/>
      <w:szCs w:val="16"/>
    </w:rPr>
  </w:style>
  <w:style w:type="character" w:customStyle="1" w:styleId="DocumentMapChar">
    <w:name w:val="Document Map Char"/>
    <w:link w:val="DocumentMap"/>
    <w:rsid w:val="008F7DA7"/>
    <w:rPr>
      <w:rFonts w:ascii="Tahoma" w:hAnsi="Tahoma" w:cs="Tahoma"/>
      <w:sz w:val="16"/>
      <w:szCs w:val="16"/>
    </w:rPr>
  </w:style>
  <w:style w:type="paragraph" w:customStyle="1" w:styleId="CTDtext">
    <w:name w:val="CTD text"/>
    <w:basedOn w:val="Normal"/>
    <w:rsid w:val="00DC66D4"/>
    <w:pPr>
      <w:spacing w:after="240" w:line="360" w:lineRule="auto"/>
      <w:jc w:val="both"/>
    </w:pPr>
  </w:style>
  <w:style w:type="character" w:customStyle="1" w:styleId="CTDtextChar">
    <w:name w:val="CTD text Char"/>
    <w:uiPriority w:val="99"/>
    <w:rsid w:val="00DC66D4"/>
    <w:rPr>
      <w:sz w:val="24"/>
      <w:lang w:val="en-GB" w:eastAsia="de-DE" w:bidi="ar-SA"/>
    </w:rPr>
  </w:style>
  <w:style w:type="paragraph" w:customStyle="1" w:styleId="appendixheading">
    <w:name w:val="appendix heading"/>
    <w:basedOn w:val="Heading1"/>
    <w:rsid w:val="00DC66D4"/>
    <w:pPr>
      <w:ind w:left="0" w:firstLine="0"/>
      <w:outlineLvl w:val="9"/>
    </w:pPr>
    <w:rPr>
      <w:lang w:eastAsia="en-US"/>
    </w:rPr>
  </w:style>
  <w:style w:type="paragraph" w:customStyle="1" w:styleId="Titles">
    <w:name w:val="Titles"/>
    <w:basedOn w:val="Normal"/>
    <w:rsid w:val="00DC66D4"/>
    <w:pPr>
      <w:jc w:val="center"/>
    </w:pPr>
    <w:rPr>
      <w:b/>
      <w:caps/>
      <w:sz w:val="28"/>
    </w:rPr>
  </w:style>
  <w:style w:type="paragraph" w:styleId="TOC5">
    <w:name w:val="toc 5"/>
    <w:basedOn w:val="TOC4"/>
    <w:next w:val="Normal"/>
    <w:rsid w:val="00DC66D4"/>
    <w:pPr>
      <w:spacing w:before="0"/>
    </w:pPr>
  </w:style>
  <w:style w:type="paragraph" w:styleId="TOC6">
    <w:name w:val="toc 6"/>
    <w:basedOn w:val="TOC5"/>
    <w:next w:val="Normal"/>
    <w:rsid w:val="00DC66D4"/>
  </w:style>
  <w:style w:type="paragraph" w:customStyle="1" w:styleId="Reviewerdeletetext">
    <w:name w:val="Reviewer delete text"/>
    <w:basedOn w:val="CTDtext"/>
    <w:rsid w:val="00DC66D4"/>
    <w:rPr>
      <w:strike/>
      <w:color w:val="FF0000"/>
    </w:rPr>
  </w:style>
  <w:style w:type="paragraph" w:customStyle="1" w:styleId="Externalref">
    <w:name w:val="External ref"/>
    <w:basedOn w:val="CTDtext"/>
    <w:rsid w:val="00DC66D4"/>
    <w:rPr>
      <w:color w:val="0066FF"/>
    </w:rPr>
  </w:style>
  <w:style w:type="paragraph" w:customStyle="1" w:styleId="Reviewernewtext">
    <w:name w:val="Reviewer new text"/>
    <w:basedOn w:val="CTDtext"/>
    <w:rsid w:val="00DC66D4"/>
    <w:rPr>
      <w:color w:val="FF0000"/>
    </w:rPr>
  </w:style>
  <w:style w:type="paragraph" w:customStyle="1" w:styleId="Comment">
    <w:name w:val="Comment"/>
    <w:basedOn w:val="Normal"/>
    <w:next w:val="CTDtext"/>
    <w:rsid w:val="00DC66D4"/>
    <w:pPr>
      <w:spacing w:after="240" w:line="360" w:lineRule="auto"/>
    </w:pPr>
    <w:rPr>
      <w:rFonts w:ascii="Courier New" w:hAnsi="Courier New"/>
      <w:color w:val="FF0000"/>
      <w:lang w:eastAsia="en-US"/>
    </w:rPr>
  </w:style>
  <w:style w:type="paragraph" w:customStyle="1" w:styleId="Figureheading">
    <w:name w:val="Figure_heading"/>
    <w:basedOn w:val="CTDtext"/>
    <w:autoRedefine/>
    <w:rsid w:val="00DC66D4"/>
    <w:pPr>
      <w:keepNext/>
      <w:keepLines/>
      <w:tabs>
        <w:tab w:val="left" w:pos="1985"/>
      </w:tabs>
      <w:spacing w:before="120" w:after="120" w:line="240" w:lineRule="auto"/>
      <w:ind w:left="1985" w:hanging="1985"/>
      <w:jc w:val="left"/>
    </w:pPr>
    <w:rPr>
      <w:b/>
      <w:sz w:val="22"/>
      <w:lang w:eastAsia="en-US"/>
    </w:rPr>
  </w:style>
  <w:style w:type="paragraph" w:customStyle="1" w:styleId="Figuretop">
    <w:name w:val="Figuretop"/>
    <w:basedOn w:val="CTDtext"/>
    <w:rsid w:val="00DC66D4"/>
    <w:pPr>
      <w:keepNext/>
      <w:keepLines/>
      <w:spacing w:after="0" w:line="240" w:lineRule="auto"/>
    </w:pPr>
    <w:rPr>
      <w:sz w:val="2"/>
      <w:lang w:eastAsia="en-US"/>
    </w:rPr>
  </w:style>
  <w:style w:type="paragraph" w:customStyle="1" w:styleId="Post-table">
    <w:name w:val="Post-table"/>
    <w:basedOn w:val="CTDtext"/>
    <w:next w:val="CTDtext"/>
    <w:rsid w:val="00DC66D4"/>
    <w:pPr>
      <w:spacing w:after="0" w:line="240" w:lineRule="auto"/>
    </w:pPr>
    <w:rPr>
      <w:lang w:eastAsia="en-US"/>
    </w:rPr>
  </w:style>
  <w:style w:type="paragraph" w:customStyle="1" w:styleId="References">
    <w:name w:val="References"/>
    <w:basedOn w:val="Normal"/>
    <w:next w:val="CTDtext"/>
    <w:rsid w:val="00DC66D4"/>
    <w:pPr>
      <w:tabs>
        <w:tab w:val="left" w:pos="2160"/>
      </w:tabs>
      <w:spacing w:before="60" w:after="60" w:line="360" w:lineRule="auto"/>
    </w:pPr>
    <w:rPr>
      <w:lang w:eastAsia="en-US"/>
    </w:rPr>
  </w:style>
  <w:style w:type="paragraph" w:customStyle="1" w:styleId="Tablefootnote">
    <w:name w:val="Table_footnote"/>
    <w:basedOn w:val="CTDtext"/>
    <w:autoRedefine/>
    <w:rsid w:val="00DC66D4"/>
    <w:pPr>
      <w:spacing w:before="60" w:after="60" w:line="240" w:lineRule="auto"/>
      <w:jc w:val="left"/>
    </w:pPr>
    <w:rPr>
      <w:sz w:val="20"/>
      <w:lang w:eastAsia="en-US"/>
    </w:rPr>
  </w:style>
  <w:style w:type="paragraph" w:customStyle="1" w:styleId="Tableheading">
    <w:name w:val="Table_heading"/>
    <w:basedOn w:val="CTDtext"/>
    <w:autoRedefine/>
    <w:rsid w:val="00DC66D4"/>
    <w:pPr>
      <w:keepNext/>
      <w:keepLines/>
      <w:tabs>
        <w:tab w:val="left" w:pos="1985"/>
      </w:tabs>
      <w:spacing w:before="120" w:after="120" w:line="240" w:lineRule="auto"/>
      <w:ind w:left="1985" w:hanging="1985"/>
      <w:jc w:val="left"/>
    </w:pPr>
    <w:rPr>
      <w:b/>
      <w:sz w:val="22"/>
      <w:lang w:eastAsia="en-US"/>
    </w:rPr>
  </w:style>
  <w:style w:type="paragraph" w:customStyle="1" w:styleId="Tablesubheading">
    <w:name w:val="Table_subheading"/>
    <w:basedOn w:val="CTDtext"/>
    <w:rsid w:val="00DC66D4"/>
    <w:pPr>
      <w:keepNext/>
      <w:keepLines/>
      <w:spacing w:before="60" w:after="60" w:line="240" w:lineRule="auto"/>
      <w:jc w:val="center"/>
    </w:pPr>
    <w:rPr>
      <w:b/>
      <w:sz w:val="22"/>
      <w:lang w:eastAsia="en-US"/>
    </w:rPr>
  </w:style>
  <w:style w:type="paragraph" w:customStyle="1" w:styleId="Tabletext">
    <w:name w:val="Tabletext"/>
    <w:basedOn w:val="CTDtext"/>
    <w:rsid w:val="00DC66D4"/>
    <w:pPr>
      <w:spacing w:before="40" w:after="40" w:line="240" w:lineRule="auto"/>
      <w:jc w:val="center"/>
    </w:pPr>
    <w:rPr>
      <w:sz w:val="20"/>
      <w:lang w:eastAsia="en-US"/>
    </w:rPr>
  </w:style>
  <w:style w:type="paragraph" w:customStyle="1" w:styleId="Tabletop">
    <w:name w:val="Tabletop"/>
    <w:basedOn w:val="CTDtext"/>
    <w:rsid w:val="00DC66D4"/>
    <w:pPr>
      <w:keepNext/>
      <w:keepLines/>
      <w:spacing w:after="0" w:line="240" w:lineRule="auto"/>
    </w:pPr>
    <w:rPr>
      <w:sz w:val="2"/>
      <w:lang w:eastAsia="en-US"/>
    </w:rPr>
  </w:style>
  <w:style w:type="paragraph" w:customStyle="1" w:styleId="TOCtitle">
    <w:name w:val="TOC title"/>
    <w:basedOn w:val="Heading1"/>
    <w:next w:val="CTDtext"/>
    <w:rsid w:val="00DC66D4"/>
    <w:pPr>
      <w:numPr>
        <w:numId w:val="0"/>
      </w:numPr>
      <w:spacing w:before="120" w:line="240" w:lineRule="auto"/>
      <w:jc w:val="center"/>
    </w:pPr>
    <w:rPr>
      <w:bCs/>
      <w:caps w:val="0"/>
      <w:lang w:eastAsia="en-US"/>
    </w:rPr>
  </w:style>
  <w:style w:type="paragraph" w:styleId="FootnoteText">
    <w:name w:val="footnote text"/>
    <w:basedOn w:val="Normal"/>
    <w:link w:val="FootnoteTextChar"/>
    <w:uiPriority w:val="99"/>
    <w:rsid w:val="00DC66D4"/>
    <w:rPr>
      <w:lang w:eastAsia="en-US"/>
    </w:rPr>
  </w:style>
  <w:style w:type="character" w:customStyle="1" w:styleId="FootnoteTextChar">
    <w:name w:val="Footnote Text Char"/>
    <w:link w:val="FootnoteText"/>
    <w:uiPriority w:val="99"/>
    <w:rsid w:val="00DC66D4"/>
    <w:rPr>
      <w:sz w:val="24"/>
      <w:lang w:val="en-GB"/>
    </w:rPr>
  </w:style>
  <w:style w:type="paragraph" w:customStyle="1" w:styleId="Figurefootnote">
    <w:name w:val="Figure_footnote"/>
    <w:basedOn w:val="Tablefootnote"/>
    <w:rsid w:val="00DC66D4"/>
  </w:style>
  <w:style w:type="paragraph" w:customStyle="1" w:styleId="appendix0">
    <w:name w:val="appendix"/>
    <w:basedOn w:val="CTDtext"/>
    <w:rsid w:val="00DC66D4"/>
    <w:pPr>
      <w:ind w:left="2552" w:hanging="2552"/>
      <w:jc w:val="left"/>
    </w:pPr>
    <w:rPr>
      <w:rFonts w:eastAsia="MS Mincho"/>
      <w:lang w:val="en-US"/>
    </w:rPr>
  </w:style>
  <w:style w:type="paragraph" w:customStyle="1" w:styleId="Landscapefooter">
    <w:name w:val="Landscape footer"/>
    <w:basedOn w:val="Footer"/>
    <w:rsid w:val="00DC66D4"/>
    <w:pPr>
      <w:tabs>
        <w:tab w:val="clear" w:pos="4536"/>
        <w:tab w:val="clear" w:pos="9072"/>
        <w:tab w:val="center" w:pos="6379"/>
        <w:tab w:val="right" w:pos="13325"/>
      </w:tabs>
    </w:pPr>
  </w:style>
  <w:style w:type="paragraph" w:customStyle="1" w:styleId="Tabletext10pt">
    <w:name w:val="Tabletext 10pt"/>
    <w:basedOn w:val="Tabletext"/>
    <w:rsid w:val="00DC66D4"/>
  </w:style>
  <w:style w:type="paragraph" w:customStyle="1" w:styleId="Tabletextleft">
    <w:name w:val="Tabletext left"/>
    <w:basedOn w:val="Tabletext"/>
    <w:rsid w:val="00DC66D4"/>
    <w:pPr>
      <w:jc w:val="left"/>
    </w:pPr>
  </w:style>
  <w:style w:type="paragraph" w:customStyle="1" w:styleId="Tabletextright">
    <w:name w:val="Tabletext right"/>
    <w:basedOn w:val="Tabletext"/>
    <w:rsid w:val="00DC66D4"/>
    <w:pPr>
      <w:jc w:val="right"/>
    </w:pPr>
  </w:style>
  <w:style w:type="paragraph" w:customStyle="1" w:styleId="Figuretext">
    <w:name w:val="Figuretext"/>
    <w:basedOn w:val="Tabletext"/>
    <w:next w:val="CTDtext"/>
    <w:rsid w:val="00DC66D4"/>
  </w:style>
  <w:style w:type="character" w:customStyle="1" w:styleId="BodyTextChar">
    <w:name w:val="Body Text Char"/>
    <w:rsid w:val="00DC66D4"/>
    <w:rPr>
      <w:rFonts w:ascii="Gill Sans MT" w:hAnsi="Gill Sans MT"/>
      <w:b/>
      <w:bCs/>
      <w:sz w:val="72"/>
      <w:lang w:val="en-GB" w:eastAsia="de-DE"/>
    </w:rPr>
  </w:style>
  <w:style w:type="character" w:customStyle="1" w:styleId="BodyTextIndentChar">
    <w:name w:val="Body Text Indent Char"/>
    <w:rsid w:val="00DC66D4"/>
    <w:rPr>
      <w:rFonts w:ascii="Times New (W1)" w:hAnsi="Times New (W1)"/>
      <w:sz w:val="24"/>
      <w:lang w:val="en-GB" w:eastAsia="de-DE"/>
    </w:rPr>
  </w:style>
  <w:style w:type="character" w:styleId="EndnoteReference">
    <w:name w:val="endnote reference"/>
    <w:rsid w:val="00DC66D4"/>
    <w:rPr>
      <w:vertAlign w:val="baseline"/>
      <w:lang w:val="en-GB"/>
    </w:rPr>
  </w:style>
  <w:style w:type="paragraph" w:styleId="EndnoteText">
    <w:name w:val="endnote text"/>
    <w:basedOn w:val="CTDtext"/>
    <w:link w:val="EndnoteTextChar"/>
    <w:rsid w:val="00DC66D4"/>
    <w:pPr>
      <w:keepLines/>
      <w:spacing w:after="60"/>
      <w:ind w:left="720" w:hanging="720"/>
    </w:pPr>
    <w:rPr>
      <w:lang w:eastAsia="en-US"/>
    </w:rPr>
  </w:style>
  <w:style w:type="character" w:customStyle="1" w:styleId="EndnoteTextChar">
    <w:name w:val="Endnote Text Char"/>
    <w:link w:val="EndnoteText"/>
    <w:rsid w:val="00DC66D4"/>
    <w:rPr>
      <w:sz w:val="24"/>
      <w:lang w:val="en-GB"/>
    </w:rPr>
  </w:style>
  <w:style w:type="paragraph" w:customStyle="1" w:styleId="ERAComment">
    <w:name w:val="ERA Comment"/>
    <w:basedOn w:val="CTDtext"/>
    <w:next w:val="CTDtext"/>
    <w:rsid w:val="00DC66D4"/>
    <w:pPr>
      <w:spacing w:line="240" w:lineRule="auto"/>
    </w:pPr>
    <w:rPr>
      <w:color w:val="993366"/>
    </w:rPr>
  </w:style>
  <w:style w:type="paragraph" w:customStyle="1" w:styleId="GapAnalysisText">
    <w:name w:val="Gap Analysis Text"/>
    <w:rsid w:val="00DC66D4"/>
    <w:pPr>
      <w:spacing w:after="120"/>
      <w:jc w:val="both"/>
    </w:pPr>
    <w:rPr>
      <w:sz w:val="22"/>
      <w:lang w:val="en-GB"/>
    </w:rPr>
  </w:style>
  <w:style w:type="paragraph" w:customStyle="1" w:styleId="Headertablecentre">
    <w:name w:val="Header_table_centre"/>
    <w:basedOn w:val="Header"/>
    <w:rsid w:val="00DC66D4"/>
    <w:pPr>
      <w:spacing w:before="40" w:after="40"/>
      <w:jc w:val="center"/>
    </w:pPr>
  </w:style>
  <w:style w:type="paragraph" w:customStyle="1" w:styleId="Headertableleft">
    <w:name w:val="Header_table_left"/>
    <w:basedOn w:val="Header"/>
    <w:rsid w:val="00DC66D4"/>
    <w:pPr>
      <w:spacing w:before="40" w:after="40"/>
      <w:ind w:left="2835" w:hanging="2835"/>
    </w:pPr>
    <w:rPr>
      <w:iCs/>
    </w:rPr>
  </w:style>
  <w:style w:type="paragraph" w:customStyle="1" w:styleId="HeadingReference">
    <w:name w:val="Heading Reference"/>
    <w:basedOn w:val="Normal"/>
    <w:rsid w:val="00DC66D4"/>
    <w:pPr>
      <w:ind w:left="1701" w:hanging="1701"/>
    </w:pPr>
    <w:rPr>
      <w:i/>
    </w:rPr>
  </w:style>
  <w:style w:type="paragraph" w:customStyle="1" w:styleId="NotTOC">
    <w:name w:val="Not TOC"/>
    <w:basedOn w:val="Normal"/>
    <w:next w:val="CTDtext"/>
    <w:rsid w:val="00DC66D4"/>
    <w:pPr>
      <w:keepNext/>
      <w:keepLines/>
      <w:spacing w:line="360" w:lineRule="auto"/>
    </w:pPr>
    <w:rPr>
      <w:b/>
      <w:lang w:eastAsia="en-US"/>
    </w:rPr>
  </w:style>
  <w:style w:type="paragraph" w:customStyle="1" w:styleId="PortraitFooter">
    <w:name w:val="Portrait Footer"/>
    <w:basedOn w:val="Footer"/>
    <w:rsid w:val="00DC66D4"/>
    <w:pPr>
      <w:overflowPunct w:val="0"/>
      <w:autoSpaceDE w:val="0"/>
      <w:autoSpaceDN w:val="0"/>
      <w:adjustRightInd w:val="0"/>
      <w:textAlignment w:val="baseline"/>
    </w:pPr>
    <w:rPr>
      <w:b/>
      <w:sz w:val="22"/>
      <w:lang w:eastAsia="en-US"/>
    </w:rPr>
  </w:style>
  <w:style w:type="paragraph" w:customStyle="1" w:styleId="PortraitHeader">
    <w:name w:val="Portrait Header"/>
    <w:basedOn w:val="Header"/>
    <w:rsid w:val="00DC66D4"/>
    <w:pPr>
      <w:jc w:val="both"/>
    </w:pPr>
    <w:rPr>
      <w:lang w:val="en-US" w:eastAsia="en-US"/>
    </w:rPr>
  </w:style>
  <w:style w:type="paragraph" w:customStyle="1" w:styleId="Potraitheader">
    <w:name w:val="Potrait header"/>
    <w:basedOn w:val="Normal"/>
    <w:rsid w:val="00DC66D4"/>
    <w:pPr>
      <w:tabs>
        <w:tab w:val="right" w:pos="8505"/>
      </w:tabs>
      <w:jc w:val="both"/>
    </w:pPr>
    <w:rPr>
      <w:sz w:val="22"/>
      <w:lang w:val="en-US" w:eastAsia="en-US"/>
    </w:rPr>
  </w:style>
  <w:style w:type="paragraph" w:customStyle="1" w:styleId="Refs">
    <w:name w:val="Refs"/>
    <w:basedOn w:val="Normal"/>
    <w:next w:val="Normal"/>
    <w:rsid w:val="00DC66D4"/>
    <w:pPr>
      <w:keepNext/>
      <w:tabs>
        <w:tab w:val="left" w:pos="2160"/>
      </w:tabs>
      <w:spacing w:after="240" w:line="360" w:lineRule="auto"/>
    </w:pPr>
    <w:rPr>
      <w:b/>
      <w:caps/>
      <w:lang w:eastAsia="en-US"/>
    </w:rPr>
  </w:style>
  <w:style w:type="paragraph" w:customStyle="1" w:styleId="StyleBodyText28pt">
    <w:name w:val="Style Body Text + 28 pt"/>
    <w:basedOn w:val="BodyText"/>
    <w:rsid w:val="00DC66D4"/>
    <w:rPr>
      <w:rFonts w:ascii="Times New Roman" w:hAnsi="Times New Roman"/>
      <w:sz w:val="56"/>
    </w:rPr>
  </w:style>
  <w:style w:type="paragraph" w:customStyle="1" w:styleId="StyleTitlesCenturySchoolbook8ptNotBoldNotAllcapsBe">
    <w:name w:val="Style Titles + Century Schoolbook 8 pt Not Bold Not All caps Be..."/>
    <w:basedOn w:val="Titles"/>
    <w:rsid w:val="00DC66D4"/>
    <w:pPr>
      <w:spacing w:before="40" w:after="40"/>
    </w:pPr>
    <w:rPr>
      <w:b w:val="0"/>
      <w:caps w:val="0"/>
      <w:sz w:val="16"/>
    </w:rPr>
  </w:style>
  <w:style w:type="paragraph" w:customStyle="1" w:styleId="TOCHeadings">
    <w:name w:val="TOC Headings"/>
    <w:basedOn w:val="Normal"/>
    <w:rsid w:val="00DC66D4"/>
    <w:pPr>
      <w:tabs>
        <w:tab w:val="center" w:pos="4394"/>
        <w:tab w:val="right" w:pos="8641"/>
      </w:tabs>
      <w:spacing w:before="397" w:after="227"/>
    </w:pPr>
    <w:rPr>
      <w:b/>
    </w:rPr>
  </w:style>
  <w:style w:type="paragraph" w:customStyle="1" w:styleId="Figuresubheading">
    <w:name w:val="Figure_subheading"/>
    <w:basedOn w:val="Tablesubheading"/>
    <w:rsid w:val="00DC66D4"/>
  </w:style>
  <w:style w:type="paragraph" w:customStyle="1" w:styleId="Post-figure">
    <w:name w:val="Post-figure"/>
    <w:basedOn w:val="Post-table"/>
    <w:next w:val="CTDtext"/>
    <w:rsid w:val="00DC66D4"/>
  </w:style>
  <w:style w:type="paragraph" w:customStyle="1" w:styleId="Landscapeheader">
    <w:name w:val="Landscape header"/>
    <w:basedOn w:val="Header"/>
    <w:rsid w:val="00DC66D4"/>
    <w:rPr>
      <w:iCs/>
    </w:rPr>
  </w:style>
  <w:style w:type="paragraph" w:customStyle="1" w:styleId="figureCTD1">
    <w:name w:val="figure CTD1"/>
    <w:rsid w:val="00DC66D4"/>
    <w:pPr>
      <w:spacing w:after="240" w:line="360" w:lineRule="auto"/>
      <w:jc w:val="both"/>
    </w:pPr>
    <w:rPr>
      <w:sz w:val="24"/>
      <w:lang w:val="en-GB" w:eastAsia="de-DE"/>
    </w:rPr>
  </w:style>
  <w:style w:type="paragraph" w:customStyle="1" w:styleId="CTDTextafterbulletedlists">
    <w:name w:val="CTD Text after bulleted lists"/>
    <w:basedOn w:val="CTDtext"/>
    <w:next w:val="CTDtext"/>
    <w:rsid w:val="00DC66D4"/>
    <w:pPr>
      <w:spacing w:before="240" w:after="0"/>
    </w:pPr>
    <w:rPr>
      <w:lang w:eastAsia="en-US"/>
    </w:rPr>
  </w:style>
  <w:style w:type="character" w:customStyle="1" w:styleId="HeaderChar">
    <w:name w:val="Header Char"/>
    <w:link w:val="Header"/>
    <w:locked/>
    <w:rsid w:val="00EF1347"/>
    <w:rPr>
      <w:sz w:val="24"/>
      <w:lang w:val="en-GB" w:eastAsia="de-DE"/>
    </w:rPr>
  </w:style>
  <w:style w:type="character" w:styleId="FootnoteReference">
    <w:name w:val="footnote reference"/>
    <w:basedOn w:val="DefaultParagraphFont"/>
    <w:uiPriority w:val="99"/>
    <w:rsid w:val="00B435EA"/>
    <w:rPr>
      <w:rFonts w:cs="Times New Roman"/>
      <w:vertAlign w:val="superscript"/>
    </w:rPr>
  </w:style>
  <w:style w:type="character" w:customStyle="1" w:styleId="FooterChar">
    <w:name w:val="Footer Char"/>
    <w:link w:val="Footer"/>
    <w:rsid w:val="00CE5BCA"/>
    <w:rPr>
      <w:sz w:val="24"/>
      <w:lang w:val="en-GB" w:eastAsia="de-DE"/>
    </w:rPr>
  </w:style>
  <w:style w:type="character" w:customStyle="1" w:styleId="DateChar">
    <w:name w:val="Date Char"/>
    <w:link w:val="Date"/>
    <w:uiPriority w:val="99"/>
    <w:rsid w:val="001F73D1"/>
    <w:rPr>
      <w:sz w:val="24"/>
      <w:lang w:val="en-GB" w:eastAsia="de-DE"/>
    </w:rPr>
  </w:style>
  <w:style w:type="paragraph" w:customStyle="1" w:styleId="Normaljustifi">
    <w:name w:val="Normal + justifié"/>
    <w:basedOn w:val="Normal"/>
    <w:rsid w:val="00345A34"/>
    <w:pPr>
      <w:spacing w:before="120" w:after="120"/>
    </w:pPr>
    <w:rPr>
      <w:szCs w:val="24"/>
      <w:lang w:val="fr-FR" w:eastAsia="en-US"/>
    </w:rPr>
  </w:style>
  <w:style w:type="paragraph" w:customStyle="1" w:styleId="TitleA">
    <w:name w:val="Title A"/>
    <w:basedOn w:val="Normal"/>
    <w:qFormat/>
    <w:rsid w:val="00640981"/>
    <w:pPr>
      <w:jc w:val="center"/>
      <w:outlineLvl w:val="0"/>
    </w:pPr>
    <w:rPr>
      <w:b/>
      <w:noProof/>
    </w:rPr>
  </w:style>
  <w:style w:type="paragraph" w:customStyle="1" w:styleId="Normal11">
    <w:name w:val="Normal 11"/>
    <w:basedOn w:val="Normal"/>
    <w:rsid w:val="00EE1BDF"/>
    <w:pPr>
      <w:keepNext/>
      <w:keepLines/>
      <w:widowControl w:val="0"/>
    </w:pPr>
    <w:rPr>
      <w:sz w:val="22"/>
      <w:lang w:val="en-US" w:eastAsia="en-US"/>
    </w:rPr>
  </w:style>
  <w:style w:type="paragraph" w:customStyle="1" w:styleId="Default">
    <w:name w:val="Default"/>
    <w:rsid w:val="00097249"/>
    <w:pPr>
      <w:autoSpaceDE w:val="0"/>
      <w:autoSpaceDN w:val="0"/>
      <w:adjustRightInd w:val="0"/>
    </w:pPr>
    <w:rPr>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D4"/>
    <w:rPr>
      <w:sz w:val="24"/>
      <w:lang w:val="en-GB" w:eastAsia="de-DE"/>
    </w:rPr>
  </w:style>
  <w:style w:type="paragraph" w:styleId="Heading1">
    <w:name w:val="heading 1"/>
    <w:basedOn w:val="CTDtext"/>
    <w:next w:val="CTDtext"/>
    <w:qFormat/>
    <w:rsid w:val="00DC66D4"/>
    <w:pPr>
      <w:keepNext/>
      <w:keepLines/>
      <w:numPr>
        <w:numId w:val="23"/>
      </w:numPr>
      <w:spacing w:after="0"/>
      <w:jc w:val="left"/>
      <w:outlineLvl w:val="0"/>
    </w:pPr>
    <w:rPr>
      <w:b/>
      <w:caps/>
    </w:rPr>
  </w:style>
  <w:style w:type="paragraph" w:styleId="Heading2">
    <w:name w:val="heading 2"/>
    <w:basedOn w:val="CTDtext"/>
    <w:next w:val="CTDtext"/>
    <w:qFormat/>
    <w:rsid w:val="00DC66D4"/>
    <w:pPr>
      <w:keepNext/>
      <w:keepLines/>
      <w:numPr>
        <w:ilvl w:val="1"/>
        <w:numId w:val="23"/>
      </w:numPr>
      <w:spacing w:after="0"/>
      <w:jc w:val="left"/>
      <w:outlineLvl w:val="1"/>
    </w:pPr>
    <w:rPr>
      <w:b/>
      <w:caps/>
    </w:rPr>
  </w:style>
  <w:style w:type="paragraph" w:styleId="Heading3">
    <w:name w:val="heading 3"/>
    <w:basedOn w:val="CTDtext"/>
    <w:next w:val="CTDtext"/>
    <w:link w:val="Heading3Char"/>
    <w:qFormat/>
    <w:rsid w:val="00DC66D4"/>
    <w:pPr>
      <w:keepNext/>
      <w:keepLines/>
      <w:numPr>
        <w:ilvl w:val="2"/>
        <w:numId w:val="23"/>
      </w:numPr>
      <w:spacing w:after="0"/>
      <w:jc w:val="left"/>
      <w:outlineLvl w:val="2"/>
    </w:pPr>
    <w:rPr>
      <w:b/>
    </w:rPr>
  </w:style>
  <w:style w:type="paragraph" w:styleId="Heading4">
    <w:name w:val="heading 4"/>
    <w:basedOn w:val="CTDtext"/>
    <w:next w:val="CTDtext"/>
    <w:qFormat/>
    <w:rsid w:val="00DC66D4"/>
    <w:pPr>
      <w:keepNext/>
      <w:keepLines/>
      <w:numPr>
        <w:ilvl w:val="3"/>
        <w:numId w:val="23"/>
      </w:numPr>
      <w:spacing w:after="0"/>
      <w:jc w:val="left"/>
      <w:outlineLvl w:val="3"/>
    </w:pPr>
    <w:rPr>
      <w:b/>
    </w:rPr>
  </w:style>
  <w:style w:type="paragraph" w:styleId="Heading5">
    <w:name w:val="heading 5"/>
    <w:basedOn w:val="CTDtext"/>
    <w:next w:val="CTDtext"/>
    <w:qFormat/>
    <w:rsid w:val="00DC66D4"/>
    <w:pPr>
      <w:keepNext/>
      <w:keepLines/>
      <w:numPr>
        <w:ilvl w:val="4"/>
        <w:numId w:val="23"/>
      </w:numPr>
      <w:spacing w:after="0"/>
      <w:ind w:left="0" w:firstLine="0"/>
      <w:jc w:val="left"/>
      <w:outlineLvl w:val="4"/>
    </w:pPr>
    <w:rPr>
      <w:b/>
    </w:rPr>
  </w:style>
  <w:style w:type="paragraph" w:styleId="Heading6">
    <w:name w:val="heading 6"/>
    <w:basedOn w:val="CTDtext"/>
    <w:next w:val="CTDtext"/>
    <w:qFormat/>
    <w:rsid w:val="00DC66D4"/>
    <w:pPr>
      <w:keepNext/>
      <w:keepLines/>
      <w:numPr>
        <w:ilvl w:val="5"/>
        <w:numId w:val="23"/>
      </w:numPr>
      <w:spacing w:after="0"/>
      <w:jc w:val="left"/>
      <w:outlineLvl w:val="5"/>
    </w:pPr>
    <w:rPr>
      <w:rFonts w:ascii="Times New" w:hAnsi="Times New"/>
      <w:b/>
      <w:i/>
    </w:rPr>
  </w:style>
  <w:style w:type="paragraph" w:styleId="Heading7">
    <w:name w:val="heading 7"/>
    <w:basedOn w:val="CTDtext"/>
    <w:next w:val="CTDtext"/>
    <w:qFormat/>
    <w:rsid w:val="00DC66D4"/>
    <w:pPr>
      <w:keepNext/>
      <w:spacing w:after="0"/>
      <w:jc w:val="left"/>
      <w:outlineLvl w:val="6"/>
    </w:pPr>
    <w:rPr>
      <w:i/>
      <w:u w:val="single"/>
    </w:rPr>
  </w:style>
  <w:style w:type="paragraph" w:styleId="Heading8">
    <w:name w:val="heading 8"/>
    <w:basedOn w:val="CTDtext"/>
    <w:next w:val="CTDtext"/>
    <w:qFormat/>
    <w:rsid w:val="00DC66D4"/>
    <w:pPr>
      <w:keepNext/>
      <w:keepLines/>
      <w:spacing w:after="0"/>
      <w:jc w:val="left"/>
      <w:outlineLvl w:val="7"/>
    </w:pPr>
    <w:rPr>
      <w:u w:val="single"/>
    </w:rPr>
  </w:style>
  <w:style w:type="paragraph" w:styleId="Heading9">
    <w:name w:val="heading 9"/>
    <w:basedOn w:val="Normal"/>
    <w:next w:val="Normal"/>
    <w:qFormat/>
    <w:rsid w:val="00DC66D4"/>
    <w:pPr>
      <w:keepNext/>
      <w:spacing w:before="113" w:after="57"/>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66D4"/>
    <w:pPr>
      <w:tabs>
        <w:tab w:val="left" w:pos="1701"/>
        <w:tab w:val="center" w:pos="4253"/>
      </w:tabs>
    </w:pPr>
  </w:style>
  <w:style w:type="paragraph" w:styleId="Footer">
    <w:name w:val="footer"/>
    <w:basedOn w:val="CTDtext"/>
    <w:link w:val="FooterChar"/>
    <w:rsid w:val="00DC66D4"/>
    <w:pPr>
      <w:pBdr>
        <w:top w:val="single" w:sz="6" w:space="1" w:color="auto"/>
      </w:pBdr>
      <w:tabs>
        <w:tab w:val="center" w:pos="4536"/>
        <w:tab w:val="right" w:pos="9072"/>
      </w:tabs>
      <w:spacing w:after="0" w:line="240" w:lineRule="auto"/>
    </w:pPr>
  </w:style>
  <w:style w:type="paragraph" w:customStyle="1" w:styleId="Appendix">
    <w:name w:val="Appendix"/>
    <w:basedOn w:val="Normal"/>
    <w:next w:val="Normal"/>
    <w:rsid w:val="004C3C1D"/>
    <w:pPr>
      <w:keepNext/>
      <w:pageBreakBefore/>
      <w:numPr>
        <w:numId w:val="1"/>
      </w:numPr>
      <w:tabs>
        <w:tab w:val="left" w:pos="1584"/>
      </w:tabs>
      <w:spacing w:before="240"/>
      <w:ind w:left="1582" w:hanging="1582"/>
    </w:pPr>
    <w:rPr>
      <w:rFonts w:ascii="Times New Roman Bold" w:hAnsi="Times New Roman Bold"/>
      <w:b/>
    </w:rPr>
  </w:style>
  <w:style w:type="paragraph" w:customStyle="1" w:styleId="Table">
    <w:name w:val="Table"/>
    <w:basedOn w:val="Normal"/>
    <w:next w:val="Normal"/>
    <w:semiHidden/>
    <w:rsid w:val="004C3C1D"/>
    <w:pPr>
      <w:tabs>
        <w:tab w:val="left" w:pos="1584"/>
      </w:tabs>
      <w:jc w:val="center"/>
    </w:pPr>
    <w:rPr>
      <w:rFonts w:ascii="Times New Roman Bold" w:hAnsi="Times New Roman Bold"/>
      <w:b/>
    </w:rPr>
  </w:style>
  <w:style w:type="paragraph" w:customStyle="1" w:styleId="Guidance">
    <w:name w:val="Guidance"/>
    <w:basedOn w:val="Normal"/>
    <w:next w:val="Normal"/>
    <w:rsid w:val="004C3C1D"/>
    <w:rPr>
      <w:color w:val="008000"/>
    </w:rPr>
  </w:style>
  <w:style w:type="paragraph" w:customStyle="1" w:styleId="TitlePDetails">
    <w:name w:val="TitlePDetails"/>
    <w:basedOn w:val="Normal"/>
    <w:semiHidden/>
    <w:rsid w:val="004C3C1D"/>
    <w:pPr>
      <w:spacing w:after="240" w:line="360" w:lineRule="auto"/>
      <w:ind w:left="2160" w:hanging="2160"/>
    </w:pPr>
  </w:style>
  <w:style w:type="table" w:styleId="TableGrid">
    <w:name w:val="Table Grid"/>
    <w:basedOn w:val="TableNormal"/>
    <w:uiPriority w:val="59"/>
    <w:rsid w:val="004C3C1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rsid w:val="004C3C1D"/>
    <w:rPr>
      <w:sz w:val="20"/>
    </w:rPr>
  </w:style>
  <w:style w:type="paragraph" w:customStyle="1" w:styleId="TableHeader10">
    <w:name w:val="TableHeader10"/>
    <w:basedOn w:val="TableText10"/>
    <w:rsid w:val="004C3C1D"/>
    <w:pPr>
      <w:jc w:val="center"/>
    </w:pPr>
    <w:rPr>
      <w:rFonts w:ascii="Times New Roman Bold" w:hAnsi="Times New Roman Bold"/>
      <w:b/>
    </w:rPr>
  </w:style>
  <w:style w:type="paragraph" w:customStyle="1" w:styleId="TableSource10">
    <w:name w:val="TableSource10"/>
    <w:basedOn w:val="TableText10"/>
    <w:next w:val="Normal"/>
    <w:rsid w:val="004C3C1D"/>
    <w:pPr>
      <w:spacing w:before="120" w:after="120"/>
    </w:pPr>
  </w:style>
  <w:style w:type="paragraph" w:customStyle="1" w:styleId="Heading1NoNumb">
    <w:name w:val="Heading 1NoNumb"/>
    <w:basedOn w:val="Heading1"/>
    <w:next w:val="Normal"/>
    <w:rsid w:val="004C3C1D"/>
    <w:pPr>
      <w:numPr>
        <w:numId w:val="0"/>
      </w:numPr>
      <w:tabs>
        <w:tab w:val="left" w:pos="1584"/>
      </w:tabs>
    </w:pPr>
  </w:style>
  <w:style w:type="paragraph" w:customStyle="1" w:styleId="Heading2NoNumb">
    <w:name w:val="Heading 2NoNumb"/>
    <w:basedOn w:val="Heading2"/>
    <w:next w:val="Normal"/>
    <w:rsid w:val="004C3C1D"/>
    <w:pPr>
      <w:numPr>
        <w:ilvl w:val="0"/>
        <w:numId w:val="0"/>
      </w:numPr>
      <w:tabs>
        <w:tab w:val="left" w:pos="1584"/>
      </w:tabs>
    </w:pPr>
  </w:style>
  <w:style w:type="paragraph" w:customStyle="1" w:styleId="Heading3NoNumb">
    <w:name w:val="Heading 3NoNumb"/>
    <w:basedOn w:val="Heading3"/>
    <w:next w:val="Normal"/>
    <w:rsid w:val="004C3C1D"/>
    <w:pPr>
      <w:numPr>
        <w:ilvl w:val="0"/>
        <w:numId w:val="0"/>
      </w:numPr>
      <w:tabs>
        <w:tab w:val="left" w:pos="1584"/>
      </w:tabs>
    </w:pPr>
  </w:style>
  <w:style w:type="paragraph" w:customStyle="1" w:styleId="Heading4NoNumb">
    <w:name w:val="Heading 4NoNumb"/>
    <w:basedOn w:val="Heading4"/>
    <w:next w:val="Normal"/>
    <w:rsid w:val="004C3C1D"/>
    <w:pPr>
      <w:numPr>
        <w:ilvl w:val="0"/>
        <w:numId w:val="0"/>
      </w:numPr>
      <w:tabs>
        <w:tab w:val="left" w:pos="1584"/>
      </w:tabs>
    </w:pPr>
  </w:style>
  <w:style w:type="paragraph" w:customStyle="1" w:styleId="Heading5NoNumb">
    <w:name w:val="Heading 5NoNumb"/>
    <w:basedOn w:val="Heading5"/>
    <w:next w:val="Normal"/>
    <w:rsid w:val="004C3C1D"/>
    <w:pPr>
      <w:numPr>
        <w:ilvl w:val="0"/>
        <w:numId w:val="0"/>
      </w:numPr>
      <w:tabs>
        <w:tab w:val="left" w:pos="1584"/>
      </w:tabs>
    </w:pPr>
  </w:style>
  <w:style w:type="paragraph" w:customStyle="1" w:styleId="HeaderLand">
    <w:name w:val="HeaderLand"/>
    <w:basedOn w:val="Header"/>
    <w:rsid w:val="004C3C1D"/>
    <w:pPr>
      <w:tabs>
        <w:tab w:val="right" w:pos="12960"/>
      </w:tabs>
    </w:pPr>
  </w:style>
  <w:style w:type="paragraph" w:customStyle="1" w:styleId="FooterLand">
    <w:name w:val="FooterLand"/>
    <w:basedOn w:val="Footer"/>
    <w:rsid w:val="004C3C1D"/>
    <w:pPr>
      <w:tabs>
        <w:tab w:val="center" w:pos="6480"/>
        <w:tab w:val="right" w:pos="12960"/>
      </w:tabs>
    </w:pPr>
  </w:style>
  <w:style w:type="paragraph" w:customStyle="1" w:styleId="NormalSingleNoSpace">
    <w:name w:val="NormalSingleNoSpace"/>
    <w:basedOn w:val="Normal"/>
    <w:semiHidden/>
    <w:rsid w:val="004C3C1D"/>
  </w:style>
  <w:style w:type="paragraph" w:customStyle="1" w:styleId="Figure">
    <w:name w:val="Figure"/>
    <w:basedOn w:val="Normal"/>
    <w:next w:val="Normal"/>
    <w:rsid w:val="004C3C1D"/>
    <w:pPr>
      <w:tabs>
        <w:tab w:val="left" w:pos="1728"/>
      </w:tabs>
      <w:jc w:val="center"/>
    </w:pPr>
    <w:rPr>
      <w:rFonts w:ascii="Times New Roman Bold" w:hAnsi="Times New Roman Bold"/>
      <w:b/>
    </w:rPr>
  </w:style>
  <w:style w:type="paragraph" w:customStyle="1" w:styleId="TableText9">
    <w:name w:val="TableText9"/>
    <w:basedOn w:val="TableText10"/>
    <w:rsid w:val="004C3C1D"/>
    <w:rPr>
      <w:sz w:val="18"/>
    </w:rPr>
  </w:style>
  <w:style w:type="paragraph" w:customStyle="1" w:styleId="TableHeader9">
    <w:name w:val="TableHeader9"/>
    <w:basedOn w:val="TableText9"/>
    <w:rsid w:val="004C3C1D"/>
    <w:pPr>
      <w:jc w:val="center"/>
    </w:pPr>
    <w:rPr>
      <w:rFonts w:ascii="Times New Roman Bold" w:hAnsi="Times New Roman Bold"/>
      <w:b/>
    </w:rPr>
  </w:style>
  <w:style w:type="paragraph" w:customStyle="1" w:styleId="List1">
    <w:name w:val="List1"/>
    <w:basedOn w:val="Normal"/>
    <w:rsid w:val="004C3C1D"/>
    <w:pPr>
      <w:numPr>
        <w:ilvl w:val="5"/>
        <w:numId w:val="12"/>
      </w:numPr>
    </w:pPr>
  </w:style>
  <w:style w:type="paragraph" w:customStyle="1" w:styleId="List2">
    <w:name w:val="List2"/>
    <w:basedOn w:val="Normal"/>
    <w:rsid w:val="004C3C1D"/>
    <w:pPr>
      <w:numPr>
        <w:ilvl w:val="6"/>
        <w:numId w:val="12"/>
      </w:numPr>
    </w:pPr>
  </w:style>
  <w:style w:type="paragraph" w:styleId="TOC1">
    <w:name w:val="toc 1"/>
    <w:basedOn w:val="CTDtext"/>
    <w:next w:val="CTDtext"/>
    <w:semiHidden/>
    <w:rsid w:val="00DC66D4"/>
    <w:pPr>
      <w:tabs>
        <w:tab w:val="right" w:leader="dot" w:pos="9072"/>
      </w:tabs>
      <w:spacing w:before="240" w:after="0" w:line="240" w:lineRule="auto"/>
      <w:ind w:left="1418" w:right="567" w:hanging="1418"/>
      <w:jc w:val="left"/>
    </w:pPr>
    <w:rPr>
      <w:b/>
      <w:caps/>
    </w:rPr>
  </w:style>
  <w:style w:type="paragraph" w:styleId="TOC2">
    <w:name w:val="toc 2"/>
    <w:basedOn w:val="CTDtext"/>
    <w:next w:val="CTDtext"/>
    <w:semiHidden/>
    <w:rsid w:val="00DC66D4"/>
    <w:pPr>
      <w:keepLines/>
      <w:tabs>
        <w:tab w:val="right" w:leader="dot" w:pos="9072"/>
      </w:tabs>
      <w:spacing w:before="120" w:after="0" w:line="240" w:lineRule="auto"/>
      <w:ind w:left="1418" w:right="567" w:hanging="1418"/>
      <w:jc w:val="left"/>
    </w:pPr>
    <w:rPr>
      <w:b/>
      <w:caps/>
    </w:rPr>
  </w:style>
  <w:style w:type="paragraph" w:styleId="TOC3">
    <w:name w:val="toc 3"/>
    <w:basedOn w:val="TOC2"/>
    <w:next w:val="Normal"/>
    <w:semiHidden/>
    <w:rsid w:val="00DC66D4"/>
    <w:rPr>
      <w:caps w:val="0"/>
    </w:rPr>
  </w:style>
  <w:style w:type="paragraph" w:styleId="TOC4">
    <w:name w:val="toc 4"/>
    <w:basedOn w:val="TOC3"/>
    <w:next w:val="Normal"/>
    <w:semiHidden/>
    <w:rsid w:val="00DC66D4"/>
    <w:pPr>
      <w:spacing w:before="60"/>
    </w:pPr>
    <w:rPr>
      <w:b w:val="0"/>
    </w:rPr>
  </w:style>
  <w:style w:type="character" w:styleId="Hyperlink">
    <w:name w:val="Hyperlink"/>
    <w:semiHidden/>
    <w:rsid w:val="00DC66D4"/>
    <w:rPr>
      <w:rFonts w:ascii="Times New Roman" w:hAnsi="Times New Roman"/>
      <w:color w:val="0066FF"/>
      <w:sz w:val="24"/>
      <w:bdr w:val="none" w:sz="0" w:space="0" w:color="auto"/>
    </w:rPr>
  </w:style>
  <w:style w:type="paragraph" w:styleId="TOC7">
    <w:name w:val="toc 7"/>
    <w:basedOn w:val="TOC6"/>
    <w:next w:val="Normal"/>
    <w:semiHidden/>
    <w:rsid w:val="00DC66D4"/>
    <w:pPr>
      <w:ind w:left="2608" w:hanging="2211"/>
    </w:pPr>
  </w:style>
  <w:style w:type="paragraph" w:styleId="TOC8">
    <w:name w:val="toc 8"/>
    <w:basedOn w:val="TOC7"/>
    <w:next w:val="Normal"/>
    <w:semiHidden/>
    <w:rsid w:val="00DC66D4"/>
  </w:style>
  <w:style w:type="paragraph" w:styleId="TOC9">
    <w:name w:val="toc 9"/>
    <w:basedOn w:val="TOC8"/>
    <w:next w:val="Normal"/>
    <w:semiHidden/>
    <w:rsid w:val="00DC66D4"/>
  </w:style>
  <w:style w:type="paragraph" w:customStyle="1" w:styleId="TableNotes9">
    <w:name w:val="TableNotes9"/>
    <w:basedOn w:val="TableText10"/>
    <w:next w:val="Normal"/>
    <w:rsid w:val="004C3C1D"/>
    <w:pPr>
      <w:spacing w:before="120" w:after="120"/>
      <w:ind w:left="576" w:hanging="576"/>
    </w:pPr>
    <w:rPr>
      <w:sz w:val="18"/>
    </w:rPr>
  </w:style>
  <w:style w:type="paragraph" w:customStyle="1" w:styleId="TableText8">
    <w:name w:val="TableText8"/>
    <w:basedOn w:val="Normal"/>
    <w:rsid w:val="004C3C1D"/>
    <w:rPr>
      <w:sz w:val="16"/>
    </w:rPr>
  </w:style>
  <w:style w:type="character" w:customStyle="1" w:styleId="Heading3Char">
    <w:name w:val="Heading 3 Char"/>
    <w:link w:val="Heading3"/>
    <w:rsid w:val="004C3C1D"/>
    <w:rPr>
      <w:b/>
      <w:sz w:val="24"/>
      <w:lang w:val="en-GB" w:eastAsia="de-DE"/>
    </w:rPr>
  </w:style>
  <w:style w:type="paragraph" w:customStyle="1" w:styleId="TableHeader8">
    <w:name w:val="TableHeader8"/>
    <w:basedOn w:val="TableText8"/>
    <w:rsid w:val="004C3C1D"/>
    <w:pPr>
      <w:jc w:val="center"/>
    </w:pPr>
    <w:rPr>
      <w:rFonts w:ascii="Times New Roman Bold" w:hAnsi="Times New Roman Bold"/>
      <w:b/>
    </w:rPr>
  </w:style>
  <w:style w:type="paragraph" w:customStyle="1" w:styleId="TableSource9">
    <w:name w:val="TableSource9"/>
    <w:basedOn w:val="TableText9"/>
    <w:next w:val="Normal"/>
    <w:rsid w:val="004C3C1D"/>
    <w:pPr>
      <w:spacing w:before="120" w:after="120"/>
    </w:pPr>
  </w:style>
  <w:style w:type="paragraph" w:customStyle="1" w:styleId="TableSource8">
    <w:name w:val="TableSource8"/>
    <w:basedOn w:val="TableText8"/>
    <w:next w:val="Normal"/>
    <w:rsid w:val="004C3C1D"/>
    <w:pPr>
      <w:spacing w:before="120" w:after="120"/>
    </w:pPr>
  </w:style>
  <w:style w:type="paragraph" w:customStyle="1" w:styleId="TableCont">
    <w:name w:val="TableCont"/>
    <w:basedOn w:val="Table"/>
    <w:next w:val="Normal"/>
    <w:rsid w:val="004C3C1D"/>
    <w:rPr>
      <w:noProof/>
    </w:rPr>
  </w:style>
  <w:style w:type="character" w:styleId="FollowedHyperlink">
    <w:name w:val="FollowedHyperlink"/>
    <w:semiHidden/>
    <w:rsid w:val="00DC66D4"/>
    <w:rPr>
      <w:color w:val="800080"/>
      <w:u w:val="single"/>
    </w:rPr>
  </w:style>
  <w:style w:type="paragraph" w:customStyle="1" w:styleId="DocTitle">
    <w:name w:val="DocTitle"/>
    <w:basedOn w:val="Normal"/>
    <w:semiHidden/>
    <w:rsid w:val="004C3C1D"/>
    <w:pPr>
      <w:spacing w:before="240" w:after="240"/>
      <w:jc w:val="center"/>
    </w:pPr>
    <w:rPr>
      <w:rFonts w:ascii="Times New Roman Bold" w:hAnsi="Times New Roman Bold"/>
      <w:b/>
      <w:sz w:val="28"/>
    </w:rPr>
  </w:style>
  <w:style w:type="paragraph" w:customStyle="1" w:styleId="Instructions">
    <w:name w:val="Instructions"/>
    <w:basedOn w:val="Normal"/>
    <w:next w:val="Normal"/>
    <w:rsid w:val="004C3C1D"/>
    <w:rPr>
      <w:color w:val="FF0000"/>
    </w:rPr>
  </w:style>
  <w:style w:type="paragraph" w:customStyle="1" w:styleId="DocTitleText">
    <w:name w:val="DocTitleText"/>
    <w:basedOn w:val="DocTitle"/>
    <w:semiHidden/>
    <w:rsid w:val="004C3C1D"/>
    <w:rPr>
      <w:sz w:val="24"/>
    </w:rPr>
  </w:style>
  <w:style w:type="paragraph" w:customStyle="1" w:styleId="NormalNoSpace">
    <w:name w:val="NormalNoSpace"/>
    <w:basedOn w:val="Normal"/>
    <w:rsid w:val="004C3C1D"/>
  </w:style>
  <w:style w:type="paragraph" w:styleId="Title">
    <w:name w:val="Title"/>
    <w:basedOn w:val="Normal"/>
    <w:qFormat/>
    <w:rsid w:val="00DC66D4"/>
    <w:pPr>
      <w:spacing w:before="240" w:after="60" w:line="360" w:lineRule="auto"/>
      <w:jc w:val="center"/>
      <w:outlineLvl w:val="0"/>
    </w:pPr>
    <w:rPr>
      <w:rFonts w:cs="Arial"/>
      <w:b/>
      <w:bCs/>
      <w:kern w:val="28"/>
      <w:sz w:val="32"/>
      <w:szCs w:val="32"/>
      <w:lang w:eastAsia="en-US"/>
    </w:rPr>
  </w:style>
  <w:style w:type="paragraph" w:customStyle="1" w:styleId="TableNotes8">
    <w:name w:val="TableNotes8"/>
    <w:basedOn w:val="TableText9"/>
    <w:next w:val="Normal"/>
    <w:rsid w:val="004C3C1D"/>
    <w:pPr>
      <w:spacing w:before="120" w:after="120"/>
      <w:ind w:left="576" w:hanging="576"/>
    </w:pPr>
    <w:rPr>
      <w:sz w:val="16"/>
    </w:rPr>
  </w:style>
  <w:style w:type="paragraph" w:customStyle="1" w:styleId="FigureSource">
    <w:name w:val="FigureSource"/>
    <w:basedOn w:val="Normal"/>
    <w:next w:val="Normal"/>
    <w:rsid w:val="004C3C1D"/>
    <w:rPr>
      <w:sz w:val="20"/>
    </w:rPr>
  </w:style>
  <w:style w:type="paragraph" w:customStyle="1" w:styleId="Bullet">
    <w:name w:val="Bullet"/>
    <w:basedOn w:val="Normal"/>
    <w:semiHidden/>
    <w:rsid w:val="004C3C1D"/>
  </w:style>
  <w:style w:type="paragraph" w:customStyle="1" w:styleId="List4">
    <w:name w:val="List4"/>
    <w:basedOn w:val="Normal"/>
    <w:rsid w:val="004C3C1D"/>
    <w:pPr>
      <w:numPr>
        <w:ilvl w:val="8"/>
        <w:numId w:val="12"/>
      </w:numPr>
    </w:pPr>
  </w:style>
  <w:style w:type="paragraph" w:customStyle="1" w:styleId="List3">
    <w:name w:val="List3"/>
    <w:basedOn w:val="Normal"/>
    <w:rsid w:val="004C3C1D"/>
    <w:pPr>
      <w:numPr>
        <w:ilvl w:val="7"/>
        <w:numId w:val="12"/>
      </w:numPr>
    </w:pPr>
  </w:style>
  <w:style w:type="paragraph" w:styleId="Caption">
    <w:name w:val="caption"/>
    <w:basedOn w:val="CTDtext"/>
    <w:next w:val="CTDtext"/>
    <w:qFormat/>
    <w:rsid w:val="00DC66D4"/>
    <w:pPr>
      <w:spacing w:before="113" w:after="57"/>
      <w:ind w:left="1701" w:hanging="1701"/>
    </w:pPr>
    <w:rPr>
      <w:rFonts w:ascii="Times New (W1)" w:hAnsi="Times New (W1)"/>
    </w:rPr>
  </w:style>
  <w:style w:type="paragraph" w:styleId="TableofFigures">
    <w:name w:val="table of figures"/>
    <w:basedOn w:val="Normal"/>
    <w:semiHidden/>
    <w:rsid w:val="00DC66D4"/>
    <w:pPr>
      <w:tabs>
        <w:tab w:val="right" w:leader="dot" w:pos="9072"/>
      </w:tabs>
      <w:spacing w:before="120"/>
      <w:ind w:left="2552" w:right="567" w:hanging="2552"/>
    </w:pPr>
    <w:rPr>
      <w:b/>
    </w:rPr>
  </w:style>
  <w:style w:type="numbering" w:styleId="111111">
    <w:name w:val="Outline List 2"/>
    <w:basedOn w:val="NoList"/>
    <w:semiHidden/>
    <w:rsid w:val="004C3C1D"/>
    <w:pPr>
      <w:numPr>
        <w:numId w:val="13"/>
      </w:numPr>
    </w:pPr>
  </w:style>
  <w:style w:type="numbering" w:styleId="1ai">
    <w:name w:val="Outline List 1"/>
    <w:basedOn w:val="NoList"/>
    <w:semiHidden/>
    <w:rsid w:val="004C3C1D"/>
    <w:pPr>
      <w:numPr>
        <w:numId w:val="14"/>
      </w:numPr>
    </w:pPr>
  </w:style>
  <w:style w:type="numbering" w:styleId="ArticleSection">
    <w:name w:val="Outline List 3"/>
    <w:basedOn w:val="NoList"/>
    <w:semiHidden/>
    <w:rsid w:val="004C3C1D"/>
    <w:pPr>
      <w:numPr>
        <w:numId w:val="15"/>
      </w:numPr>
    </w:pPr>
  </w:style>
  <w:style w:type="paragraph" w:styleId="BlockText">
    <w:name w:val="Block Text"/>
    <w:basedOn w:val="Normal"/>
    <w:semiHidden/>
    <w:rsid w:val="004C3C1D"/>
    <w:pPr>
      <w:ind w:left="1440" w:right="1440"/>
    </w:pPr>
  </w:style>
  <w:style w:type="paragraph" w:styleId="BodyText">
    <w:name w:val="Body Text"/>
    <w:basedOn w:val="Normal"/>
    <w:semiHidden/>
    <w:rsid w:val="00DC66D4"/>
    <w:pPr>
      <w:spacing w:after="120"/>
      <w:jc w:val="center"/>
      <w:outlineLvl w:val="0"/>
    </w:pPr>
    <w:rPr>
      <w:rFonts w:ascii="Gill Sans MT" w:hAnsi="Gill Sans MT"/>
      <w:b/>
      <w:bCs/>
      <w:sz w:val="72"/>
    </w:rPr>
  </w:style>
  <w:style w:type="paragraph" w:styleId="BodyText2">
    <w:name w:val="Body Text 2"/>
    <w:basedOn w:val="Normal"/>
    <w:semiHidden/>
    <w:rsid w:val="004C3C1D"/>
    <w:pPr>
      <w:spacing w:line="480" w:lineRule="auto"/>
    </w:pPr>
  </w:style>
  <w:style w:type="paragraph" w:styleId="BodyText3">
    <w:name w:val="Body Text 3"/>
    <w:basedOn w:val="Normal"/>
    <w:semiHidden/>
    <w:rsid w:val="004C3C1D"/>
    <w:rPr>
      <w:sz w:val="16"/>
      <w:szCs w:val="16"/>
    </w:rPr>
  </w:style>
  <w:style w:type="paragraph" w:styleId="BodyTextFirstIndent">
    <w:name w:val="Body Text First Indent"/>
    <w:basedOn w:val="BodyText"/>
    <w:semiHidden/>
    <w:rsid w:val="004C3C1D"/>
    <w:pPr>
      <w:ind w:firstLine="210"/>
    </w:pPr>
  </w:style>
  <w:style w:type="paragraph" w:styleId="BodyTextIndent">
    <w:name w:val="Body Text Indent"/>
    <w:basedOn w:val="Normal"/>
    <w:semiHidden/>
    <w:rsid w:val="00DC66D4"/>
    <w:pPr>
      <w:ind w:left="567" w:hanging="567"/>
    </w:pPr>
  </w:style>
  <w:style w:type="paragraph" w:styleId="BodyTextFirstIndent2">
    <w:name w:val="Body Text First Indent 2"/>
    <w:basedOn w:val="BodyTextIndent"/>
    <w:semiHidden/>
    <w:rsid w:val="004C3C1D"/>
    <w:pPr>
      <w:ind w:firstLine="210"/>
    </w:pPr>
  </w:style>
  <w:style w:type="paragraph" w:styleId="BodyTextIndent2">
    <w:name w:val="Body Text Indent 2"/>
    <w:basedOn w:val="Normal"/>
    <w:semiHidden/>
    <w:rsid w:val="004C3C1D"/>
    <w:pPr>
      <w:spacing w:line="480" w:lineRule="auto"/>
      <w:ind w:left="283"/>
    </w:pPr>
  </w:style>
  <w:style w:type="paragraph" w:styleId="BodyTextIndent3">
    <w:name w:val="Body Text Indent 3"/>
    <w:basedOn w:val="Normal"/>
    <w:semiHidden/>
    <w:rsid w:val="004C3C1D"/>
    <w:pPr>
      <w:ind w:left="283"/>
    </w:pPr>
    <w:rPr>
      <w:sz w:val="16"/>
      <w:szCs w:val="16"/>
    </w:rPr>
  </w:style>
  <w:style w:type="paragraph" w:styleId="Closing">
    <w:name w:val="Closing"/>
    <w:basedOn w:val="Normal"/>
    <w:semiHidden/>
    <w:rsid w:val="004C3C1D"/>
    <w:pPr>
      <w:ind w:left="4252"/>
    </w:pPr>
  </w:style>
  <w:style w:type="paragraph" w:styleId="Date">
    <w:name w:val="Date"/>
    <w:basedOn w:val="Normal"/>
    <w:next w:val="Normal"/>
    <w:link w:val="DateChar"/>
    <w:uiPriority w:val="99"/>
    <w:rsid w:val="004C3C1D"/>
  </w:style>
  <w:style w:type="paragraph" w:styleId="E-mailSignature">
    <w:name w:val="E-mail Signature"/>
    <w:basedOn w:val="Normal"/>
    <w:semiHidden/>
    <w:rsid w:val="004C3C1D"/>
  </w:style>
  <w:style w:type="character" w:styleId="Emphasis">
    <w:name w:val="Emphasis"/>
    <w:qFormat/>
    <w:rsid w:val="004C3C1D"/>
    <w:rPr>
      <w:i/>
      <w:iCs/>
    </w:rPr>
  </w:style>
  <w:style w:type="paragraph" w:styleId="EnvelopeAddress">
    <w:name w:val="envelope address"/>
    <w:basedOn w:val="Normal"/>
    <w:semiHidden/>
    <w:rsid w:val="004C3C1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C3C1D"/>
    <w:rPr>
      <w:rFonts w:ascii="Arial" w:hAnsi="Arial" w:cs="Arial"/>
      <w:sz w:val="20"/>
    </w:rPr>
  </w:style>
  <w:style w:type="character" w:styleId="HTMLAcronym">
    <w:name w:val="HTML Acronym"/>
    <w:basedOn w:val="DefaultParagraphFont"/>
    <w:semiHidden/>
    <w:rsid w:val="004C3C1D"/>
  </w:style>
  <w:style w:type="paragraph" w:styleId="HTMLAddress">
    <w:name w:val="HTML Address"/>
    <w:basedOn w:val="Normal"/>
    <w:semiHidden/>
    <w:rsid w:val="004C3C1D"/>
    <w:rPr>
      <w:i/>
      <w:iCs/>
    </w:rPr>
  </w:style>
  <w:style w:type="character" w:styleId="HTMLCite">
    <w:name w:val="HTML Cite"/>
    <w:semiHidden/>
    <w:rsid w:val="004C3C1D"/>
    <w:rPr>
      <w:i/>
      <w:iCs/>
    </w:rPr>
  </w:style>
  <w:style w:type="character" w:styleId="HTMLCode">
    <w:name w:val="HTML Code"/>
    <w:semiHidden/>
    <w:rsid w:val="004C3C1D"/>
    <w:rPr>
      <w:rFonts w:ascii="Courier New" w:hAnsi="Courier New" w:cs="Courier New"/>
      <w:sz w:val="20"/>
      <w:szCs w:val="20"/>
    </w:rPr>
  </w:style>
  <w:style w:type="character" w:styleId="HTMLDefinition">
    <w:name w:val="HTML Definition"/>
    <w:semiHidden/>
    <w:rsid w:val="004C3C1D"/>
    <w:rPr>
      <w:i/>
      <w:iCs/>
    </w:rPr>
  </w:style>
  <w:style w:type="character" w:styleId="HTMLKeyboard">
    <w:name w:val="HTML Keyboard"/>
    <w:semiHidden/>
    <w:rsid w:val="004C3C1D"/>
    <w:rPr>
      <w:rFonts w:ascii="Courier New" w:hAnsi="Courier New" w:cs="Courier New"/>
      <w:sz w:val="20"/>
      <w:szCs w:val="20"/>
    </w:rPr>
  </w:style>
  <w:style w:type="paragraph" w:styleId="HTMLPreformatted">
    <w:name w:val="HTML Preformatted"/>
    <w:basedOn w:val="Normal"/>
    <w:semiHidden/>
    <w:rsid w:val="004C3C1D"/>
    <w:rPr>
      <w:rFonts w:ascii="Courier New" w:hAnsi="Courier New" w:cs="Courier New"/>
      <w:sz w:val="20"/>
    </w:rPr>
  </w:style>
  <w:style w:type="character" w:styleId="HTMLSample">
    <w:name w:val="HTML Sample"/>
    <w:semiHidden/>
    <w:rsid w:val="004C3C1D"/>
    <w:rPr>
      <w:rFonts w:ascii="Courier New" w:hAnsi="Courier New" w:cs="Courier New"/>
    </w:rPr>
  </w:style>
  <w:style w:type="character" w:styleId="HTMLTypewriter">
    <w:name w:val="HTML Typewriter"/>
    <w:semiHidden/>
    <w:rsid w:val="004C3C1D"/>
    <w:rPr>
      <w:rFonts w:ascii="Courier New" w:hAnsi="Courier New" w:cs="Courier New"/>
      <w:sz w:val="20"/>
      <w:szCs w:val="20"/>
    </w:rPr>
  </w:style>
  <w:style w:type="character" w:styleId="HTMLVariable">
    <w:name w:val="HTML Variable"/>
    <w:semiHidden/>
    <w:rsid w:val="004C3C1D"/>
    <w:rPr>
      <w:i/>
      <w:iCs/>
    </w:rPr>
  </w:style>
  <w:style w:type="character" w:styleId="LineNumber">
    <w:name w:val="line number"/>
    <w:basedOn w:val="DefaultParagraphFont"/>
    <w:semiHidden/>
    <w:rsid w:val="004C3C1D"/>
  </w:style>
  <w:style w:type="paragraph" w:styleId="List">
    <w:name w:val="List"/>
    <w:basedOn w:val="Normal"/>
    <w:semiHidden/>
    <w:rsid w:val="004C3C1D"/>
    <w:pPr>
      <w:ind w:left="283" w:hanging="283"/>
    </w:pPr>
  </w:style>
  <w:style w:type="paragraph" w:styleId="List20">
    <w:name w:val="List 2"/>
    <w:basedOn w:val="Normal"/>
    <w:semiHidden/>
    <w:rsid w:val="004C3C1D"/>
    <w:pPr>
      <w:ind w:left="566" w:hanging="283"/>
    </w:pPr>
  </w:style>
  <w:style w:type="paragraph" w:styleId="List30">
    <w:name w:val="List 3"/>
    <w:basedOn w:val="Normal"/>
    <w:semiHidden/>
    <w:rsid w:val="004C3C1D"/>
    <w:pPr>
      <w:ind w:left="849" w:hanging="283"/>
    </w:pPr>
  </w:style>
  <w:style w:type="paragraph" w:styleId="List40">
    <w:name w:val="List 4"/>
    <w:basedOn w:val="Normal"/>
    <w:semiHidden/>
    <w:rsid w:val="004C3C1D"/>
    <w:pPr>
      <w:ind w:left="1132" w:hanging="283"/>
    </w:pPr>
  </w:style>
  <w:style w:type="paragraph" w:styleId="List5">
    <w:name w:val="List 5"/>
    <w:basedOn w:val="Normal"/>
    <w:semiHidden/>
    <w:rsid w:val="004C3C1D"/>
    <w:pPr>
      <w:ind w:left="1415" w:hanging="283"/>
    </w:pPr>
  </w:style>
  <w:style w:type="paragraph" w:styleId="ListBullet">
    <w:name w:val="List Bullet"/>
    <w:basedOn w:val="Normal"/>
    <w:semiHidden/>
    <w:rsid w:val="004C3C1D"/>
    <w:pPr>
      <w:numPr>
        <w:numId w:val="2"/>
      </w:numPr>
    </w:pPr>
  </w:style>
  <w:style w:type="paragraph" w:styleId="ListBullet2">
    <w:name w:val="List Bullet 2"/>
    <w:basedOn w:val="Normal"/>
    <w:semiHidden/>
    <w:rsid w:val="004C3C1D"/>
    <w:pPr>
      <w:numPr>
        <w:numId w:val="3"/>
      </w:numPr>
    </w:pPr>
  </w:style>
  <w:style w:type="paragraph" w:styleId="ListBullet3">
    <w:name w:val="List Bullet 3"/>
    <w:basedOn w:val="Normal"/>
    <w:semiHidden/>
    <w:rsid w:val="004C3C1D"/>
    <w:pPr>
      <w:numPr>
        <w:numId w:val="4"/>
      </w:numPr>
    </w:pPr>
  </w:style>
  <w:style w:type="paragraph" w:styleId="ListBullet4">
    <w:name w:val="List Bullet 4"/>
    <w:basedOn w:val="Normal"/>
    <w:semiHidden/>
    <w:rsid w:val="004C3C1D"/>
    <w:pPr>
      <w:numPr>
        <w:numId w:val="5"/>
      </w:numPr>
    </w:pPr>
  </w:style>
  <w:style w:type="paragraph" w:styleId="ListBullet5">
    <w:name w:val="List Bullet 5"/>
    <w:basedOn w:val="Normal"/>
    <w:semiHidden/>
    <w:rsid w:val="004C3C1D"/>
    <w:pPr>
      <w:numPr>
        <w:numId w:val="6"/>
      </w:numPr>
    </w:pPr>
  </w:style>
  <w:style w:type="paragraph" w:styleId="ListContinue">
    <w:name w:val="List Continue"/>
    <w:basedOn w:val="Normal"/>
    <w:semiHidden/>
    <w:rsid w:val="004C3C1D"/>
    <w:pPr>
      <w:ind w:left="283"/>
    </w:pPr>
  </w:style>
  <w:style w:type="paragraph" w:styleId="ListContinue2">
    <w:name w:val="List Continue 2"/>
    <w:basedOn w:val="Normal"/>
    <w:semiHidden/>
    <w:rsid w:val="004C3C1D"/>
    <w:pPr>
      <w:ind w:left="566"/>
    </w:pPr>
  </w:style>
  <w:style w:type="paragraph" w:styleId="ListContinue3">
    <w:name w:val="List Continue 3"/>
    <w:basedOn w:val="Normal"/>
    <w:semiHidden/>
    <w:rsid w:val="004C3C1D"/>
    <w:pPr>
      <w:ind w:left="849"/>
    </w:pPr>
  </w:style>
  <w:style w:type="paragraph" w:styleId="ListContinue4">
    <w:name w:val="List Continue 4"/>
    <w:basedOn w:val="Normal"/>
    <w:semiHidden/>
    <w:rsid w:val="004C3C1D"/>
    <w:pPr>
      <w:ind w:left="1132"/>
    </w:pPr>
  </w:style>
  <w:style w:type="paragraph" w:styleId="ListContinue5">
    <w:name w:val="List Continue 5"/>
    <w:basedOn w:val="Normal"/>
    <w:semiHidden/>
    <w:rsid w:val="004C3C1D"/>
    <w:pPr>
      <w:ind w:left="1415"/>
    </w:pPr>
  </w:style>
  <w:style w:type="paragraph" w:styleId="ListNumber">
    <w:name w:val="List Number"/>
    <w:basedOn w:val="Normal"/>
    <w:semiHidden/>
    <w:rsid w:val="004C3C1D"/>
    <w:pPr>
      <w:numPr>
        <w:numId w:val="7"/>
      </w:numPr>
    </w:pPr>
  </w:style>
  <w:style w:type="paragraph" w:styleId="ListNumber2">
    <w:name w:val="List Number 2"/>
    <w:basedOn w:val="Normal"/>
    <w:semiHidden/>
    <w:rsid w:val="004C3C1D"/>
    <w:pPr>
      <w:numPr>
        <w:numId w:val="8"/>
      </w:numPr>
    </w:pPr>
  </w:style>
  <w:style w:type="paragraph" w:styleId="ListNumber3">
    <w:name w:val="List Number 3"/>
    <w:basedOn w:val="Normal"/>
    <w:semiHidden/>
    <w:rsid w:val="004C3C1D"/>
    <w:pPr>
      <w:numPr>
        <w:numId w:val="9"/>
      </w:numPr>
    </w:pPr>
  </w:style>
  <w:style w:type="paragraph" w:styleId="ListNumber4">
    <w:name w:val="List Number 4"/>
    <w:basedOn w:val="Normal"/>
    <w:uiPriority w:val="99"/>
    <w:semiHidden/>
    <w:rsid w:val="004C3C1D"/>
    <w:pPr>
      <w:numPr>
        <w:numId w:val="10"/>
      </w:numPr>
    </w:pPr>
  </w:style>
  <w:style w:type="paragraph" w:styleId="ListNumber5">
    <w:name w:val="List Number 5"/>
    <w:basedOn w:val="Normal"/>
    <w:semiHidden/>
    <w:rsid w:val="004C3C1D"/>
    <w:pPr>
      <w:numPr>
        <w:numId w:val="11"/>
      </w:numPr>
    </w:pPr>
  </w:style>
  <w:style w:type="paragraph" w:styleId="MessageHeader">
    <w:name w:val="Message Header"/>
    <w:basedOn w:val="Normal"/>
    <w:semiHidden/>
    <w:rsid w:val="004C3C1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C3C1D"/>
  </w:style>
  <w:style w:type="paragraph" w:styleId="NormalIndent">
    <w:name w:val="Normal Indent"/>
    <w:basedOn w:val="Normal"/>
    <w:semiHidden/>
    <w:rsid w:val="004C3C1D"/>
    <w:pPr>
      <w:ind w:left="720"/>
    </w:pPr>
  </w:style>
  <w:style w:type="paragraph" w:styleId="NoteHeading">
    <w:name w:val="Note Heading"/>
    <w:basedOn w:val="Normal"/>
    <w:next w:val="Normal"/>
    <w:semiHidden/>
    <w:rsid w:val="004C3C1D"/>
  </w:style>
  <w:style w:type="character" w:styleId="PageNumber">
    <w:name w:val="page number"/>
    <w:basedOn w:val="DefaultParagraphFont"/>
    <w:semiHidden/>
    <w:rsid w:val="00DC66D4"/>
  </w:style>
  <w:style w:type="paragraph" w:styleId="PlainText">
    <w:name w:val="Plain Text"/>
    <w:basedOn w:val="Normal"/>
    <w:semiHidden/>
    <w:rsid w:val="004C3C1D"/>
    <w:rPr>
      <w:rFonts w:ascii="Courier New" w:hAnsi="Courier New" w:cs="Courier New"/>
      <w:sz w:val="20"/>
    </w:rPr>
  </w:style>
  <w:style w:type="paragraph" w:styleId="Salutation">
    <w:name w:val="Salutation"/>
    <w:basedOn w:val="Normal"/>
    <w:next w:val="Normal"/>
    <w:semiHidden/>
    <w:rsid w:val="004C3C1D"/>
  </w:style>
  <w:style w:type="paragraph" w:styleId="Signature">
    <w:name w:val="Signature"/>
    <w:basedOn w:val="Normal"/>
    <w:semiHidden/>
    <w:rsid w:val="004C3C1D"/>
    <w:pPr>
      <w:ind w:left="4252"/>
    </w:pPr>
  </w:style>
  <w:style w:type="character" w:styleId="Strong">
    <w:name w:val="Strong"/>
    <w:qFormat/>
    <w:rsid w:val="004C3C1D"/>
    <w:rPr>
      <w:b/>
      <w:bCs/>
    </w:rPr>
  </w:style>
  <w:style w:type="paragraph" w:styleId="Subtitle">
    <w:name w:val="Subtitle"/>
    <w:basedOn w:val="Normal"/>
    <w:qFormat/>
    <w:rsid w:val="004C3C1D"/>
    <w:pPr>
      <w:spacing w:after="60"/>
      <w:jc w:val="center"/>
      <w:outlineLvl w:val="1"/>
    </w:pPr>
    <w:rPr>
      <w:rFonts w:ascii="Arial" w:hAnsi="Arial" w:cs="Arial"/>
    </w:rPr>
  </w:style>
  <w:style w:type="table" w:styleId="Table3Deffects1">
    <w:name w:val="Table 3D effects 1"/>
    <w:basedOn w:val="TableNormal"/>
    <w:semiHidden/>
    <w:rsid w:val="004C3C1D"/>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C3C1D"/>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C3C1D"/>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C3C1D"/>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C3C1D"/>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C3C1D"/>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C3C1D"/>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C3C1D"/>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C3C1D"/>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C3C1D"/>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C3C1D"/>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C3C1D"/>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C3C1D"/>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C3C1D"/>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C3C1D"/>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C3C1D"/>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C3C1D"/>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C3C1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C3C1D"/>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C3C1D"/>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C3C1D"/>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C3C1D"/>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C3C1D"/>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C3C1D"/>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C3C1D"/>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C3C1D"/>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C3C1D"/>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C3C1D"/>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C3C1D"/>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C3C1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C3C1D"/>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C3C1D"/>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C3C1D"/>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C3C1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C3C1D"/>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C3C1D"/>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C3C1D"/>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C3C1D"/>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C3C1D"/>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C3C1D"/>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C3C1D"/>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C3C1D"/>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C3C1D"/>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NormalSingleNoSpaceCentered">
    <w:name w:val="Style NormalSingleNoSpace + Centered"/>
    <w:basedOn w:val="NormalSingleNoSpace"/>
    <w:rsid w:val="004C3C1D"/>
    <w:pPr>
      <w:jc w:val="center"/>
    </w:pPr>
    <w:rPr>
      <w:lang w:val="en-US"/>
    </w:rPr>
  </w:style>
  <w:style w:type="paragraph" w:customStyle="1" w:styleId="Para">
    <w:name w:val="Para"/>
    <w:rsid w:val="00510F15"/>
    <w:pPr>
      <w:suppressAutoHyphens/>
      <w:overflowPunct w:val="0"/>
      <w:autoSpaceDE w:val="0"/>
      <w:autoSpaceDN w:val="0"/>
      <w:adjustRightInd w:val="0"/>
      <w:spacing w:before="240"/>
    </w:pPr>
    <w:rPr>
      <w:rFonts w:eastAsia="SimSun"/>
      <w:sz w:val="22"/>
      <w:szCs w:val="22"/>
      <w:lang w:eastAsia="fr-FR"/>
    </w:rPr>
  </w:style>
  <w:style w:type="paragraph" w:styleId="BalloonText">
    <w:name w:val="Balloon Text"/>
    <w:basedOn w:val="Normal"/>
    <w:semiHidden/>
    <w:rsid w:val="00DC66D4"/>
    <w:rPr>
      <w:rFonts w:ascii="Tahoma" w:hAnsi="Tahoma" w:cs="Tahoma"/>
      <w:sz w:val="16"/>
      <w:szCs w:val="16"/>
    </w:rPr>
  </w:style>
  <w:style w:type="character" w:styleId="CommentReference">
    <w:name w:val="annotation reference"/>
    <w:rsid w:val="00DC66D4"/>
    <w:rPr>
      <w:sz w:val="16"/>
      <w:szCs w:val="16"/>
    </w:rPr>
  </w:style>
  <w:style w:type="paragraph" w:styleId="CommentText">
    <w:name w:val="annotation text"/>
    <w:basedOn w:val="Normal"/>
    <w:link w:val="CommentTextChar"/>
    <w:rsid w:val="00DC66D4"/>
  </w:style>
  <w:style w:type="character" w:customStyle="1" w:styleId="CommentTextChar">
    <w:name w:val="Comment Text Char"/>
    <w:link w:val="CommentText"/>
    <w:uiPriority w:val="99"/>
    <w:rsid w:val="005005FF"/>
    <w:rPr>
      <w:sz w:val="24"/>
      <w:lang w:val="en-GB" w:eastAsia="de-DE"/>
    </w:rPr>
  </w:style>
  <w:style w:type="paragraph" w:styleId="CommentSubject">
    <w:name w:val="annotation subject"/>
    <w:basedOn w:val="CommentText"/>
    <w:next w:val="CommentText"/>
    <w:link w:val="CommentSubjectChar"/>
    <w:rsid w:val="00DC66D4"/>
    <w:rPr>
      <w:b/>
      <w:bCs/>
    </w:rPr>
  </w:style>
  <w:style w:type="character" w:customStyle="1" w:styleId="CommentSubjectChar">
    <w:name w:val="Comment Subject Char"/>
    <w:link w:val="CommentSubject"/>
    <w:rsid w:val="005005FF"/>
    <w:rPr>
      <w:b/>
      <w:bCs/>
      <w:sz w:val="24"/>
      <w:lang w:val="en-GB" w:eastAsia="de-DE"/>
    </w:rPr>
  </w:style>
  <w:style w:type="paragraph" w:customStyle="1" w:styleId="Text">
    <w:name w:val="Text"/>
    <w:basedOn w:val="Normal"/>
    <w:rsid w:val="00402806"/>
    <w:pPr>
      <w:spacing w:line="300" w:lineRule="auto"/>
    </w:pPr>
    <w:rPr>
      <w:kern w:val="24"/>
      <w:lang w:eastAsia="ja-JP"/>
    </w:rPr>
  </w:style>
  <w:style w:type="paragraph" w:customStyle="1" w:styleId="eCTD-narrative-Text">
    <w:name w:val="eCTD-narrative-Text"/>
    <w:rsid w:val="00F4306A"/>
    <w:pPr>
      <w:spacing w:before="120" w:after="120"/>
      <w:jc w:val="both"/>
    </w:pPr>
    <w:rPr>
      <w:sz w:val="24"/>
      <w:szCs w:val="24"/>
      <w:lang w:val="en-GB" w:eastAsia="de-DE"/>
    </w:rPr>
  </w:style>
  <w:style w:type="paragraph" w:customStyle="1" w:styleId="ListParagraph1">
    <w:name w:val="List Paragraph1"/>
    <w:basedOn w:val="Normal"/>
    <w:rsid w:val="00ED20A6"/>
    <w:pPr>
      <w:spacing w:line="360" w:lineRule="auto"/>
      <w:ind w:left="720"/>
      <w:jc w:val="both"/>
    </w:pPr>
    <w:rPr>
      <w:rFonts w:ascii="Arial" w:hAnsi="Arial" w:cs="Arial"/>
      <w:lang w:val="fr-FR"/>
    </w:rPr>
  </w:style>
  <w:style w:type="paragraph" w:customStyle="1" w:styleId="MediumGrid1-Accent21">
    <w:name w:val="Medium Grid 1 - Accent 21"/>
    <w:basedOn w:val="Normal"/>
    <w:qFormat/>
    <w:rsid w:val="00936781"/>
    <w:pPr>
      <w:spacing w:line="360" w:lineRule="auto"/>
      <w:ind w:left="720"/>
      <w:jc w:val="both"/>
    </w:pPr>
    <w:rPr>
      <w:rFonts w:ascii="Arial" w:hAnsi="Arial" w:cs="Arial"/>
      <w:sz w:val="20"/>
      <w:lang w:val="fr-FR"/>
    </w:rPr>
  </w:style>
  <w:style w:type="paragraph" w:customStyle="1" w:styleId="ammcorpstexte">
    <w:name w:val="ammcorpstexte"/>
    <w:basedOn w:val="Normal"/>
    <w:rsid w:val="00936781"/>
    <w:rPr>
      <w:rFonts w:ascii="Arial" w:eastAsia="Calibri" w:hAnsi="Arial" w:cs="Arial"/>
      <w:color w:val="000000"/>
      <w:sz w:val="20"/>
      <w:lang w:eastAsia="fr-FR"/>
    </w:rPr>
  </w:style>
  <w:style w:type="paragraph" w:customStyle="1" w:styleId="ammlistepuces1">
    <w:name w:val="ammlistepuces1"/>
    <w:basedOn w:val="Normal"/>
    <w:rsid w:val="00936781"/>
    <w:pPr>
      <w:spacing w:before="100" w:beforeAutospacing="1" w:after="100" w:afterAutospacing="1"/>
    </w:pPr>
    <w:rPr>
      <w:rFonts w:ascii="Arial" w:eastAsia="Calibri" w:hAnsi="Arial" w:cs="Arial"/>
      <w:sz w:val="20"/>
      <w:lang w:eastAsia="fr-FR"/>
    </w:rPr>
  </w:style>
  <w:style w:type="paragraph" w:styleId="ListParagraph">
    <w:name w:val="List Paragraph"/>
    <w:basedOn w:val="Normal"/>
    <w:uiPriority w:val="99"/>
    <w:qFormat/>
    <w:rsid w:val="00B34C90"/>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8F7DA7"/>
    <w:rPr>
      <w:rFonts w:ascii="Tahoma" w:hAnsi="Tahoma" w:cs="Tahoma"/>
      <w:sz w:val="16"/>
      <w:szCs w:val="16"/>
    </w:rPr>
  </w:style>
  <w:style w:type="character" w:customStyle="1" w:styleId="DocumentMapChar">
    <w:name w:val="Document Map Char"/>
    <w:link w:val="DocumentMap"/>
    <w:rsid w:val="008F7DA7"/>
    <w:rPr>
      <w:rFonts w:ascii="Tahoma" w:hAnsi="Tahoma" w:cs="Tahoma"/>
      <w:sz w:val="16"/>
      <w:szCs w:val="16"/>
    </w:rPr>
  </w:style>
  <w:style w:type="paragraph" w:customStyle="1" w:styleId="CTDtext">
    <w:name w:val="CTD text"/>
    <w:basedOn w:val="Normal"/>
    <w:rsid w:val="00DC66D4"/>
    <w:pPr>
      <w:spacing w:after="240" w:line="360" w:lineRule="auto"/>
      <w:jc w:val="both"/>
    </w:pPr>
  </w:style>
  <w:style w:type="character" w:customStyle="1" w:styleId="CTDtextChar">
    <w:name w:val="CTD text Char"/>
    <w:uiPriority w:val="99"/>
    <w:rsid w:val="00DC66D4"/>
    <w:rPr>
      <w:sz w:val="24"/>
      <w:lang w:val="en-GB" w:eastAsia="de-DE" w:bidi="ar-SA"/>
    </w:rPr>
  </w:style>
  <w:style w:type="paragraph" w:customStyle="1" w:styleId="appendixheading">
    <w:name w:val="appendix heading"/>
    <w:basedOn w:val="Heading1"/>
    <w:rsid w:val="00DC66D4"/>
    <w:pPr>
      <w:ind w:left="0" w:firstLine="0"/>
      <w:outlineLvl w:val="9"/>
    </w:pPr>
    <w:rPr>
      <w:lang w:eastAsia="en-US"/>
    </w:rPr>
  </w:style>
  <w:style w:type="paragraph" w:customStyle="1" w:styleId="Titles">
    <w:name w:val="Titles"/>
    <w:basedOn w:val="Normal"/>
    <w:rsid w:val="00DC66D4"/>
    <w:pPr>
      <w:jc w:val="center"/>
    </w:pPr>
    <w:rPr>
      <w:b/>
      <w:caps/>
      <w:sz w:val="28"/>
    </w:rPr>
  </w:style>
  <w:style w:type="paragraph" w:styleId="TOC5">
    <w:name w:val="toc 5"/>
    <w:basedOn w:val="TOC4"/>
    <w:next w:val="Normal"/>
    <w:rsid w:val="00DC66D4"/>
    <w:pPr>
      <w:spacing w:before="0"/>
    </w:pPr>
  </w:style>
  <w:style w:type="paragraph" w:styleId="TOC6">
    <w:name w:val="toc 6"/>
    <w:basedOn w:val="TOC5"/>
    <w:next w:val="Normal"/>
    <w:rsid w:val="00DC66D4"/>
  </w:style>
  <w:style w:type="paragraph" w:customStyle="1" w:styleId="Reviewerdeletetext">
    <w:name w:val="Reviewer delete text"/>
    <w:basedOn w:val="CTDtext"/>
    <w:rsid w:val="00DC66D4"/>
    <w:rPr>
      <w:strike/>
      <w:color w:val="FF0000"/>
    </w:rPr>
  </w:style>
  <w:style w:type="paragraph" w:customStyle="1" w:styleId="Externalref">
    <w:name w:val="External ref"/>
    <w:basedOn w:val="CTDtext"/>
    <w:rsid w:val="00DC66D4"/>
    <w:rPr>
      <w:color w:val="0066FF"/>
    </w:rPr>
  </w:style>
  <w:style w:type="paragraph" w:customStyle="1" w:styleId="Reviewernewtext">
    <w:name w:val="Reviewer new text"/>
    <w:basedOn w:val="CTDtext"/>
    <w:rsid w:val="00DC66D4"/>
    <w:rPr>
      <w:color w:val="FF0000"/>
    </w:rPr>
  </w:style>
  <w:style w:type="paragraph" w:customStyle="1" w:styleId="Comment">
    <w:name w:val="Comment"/>
    <w:basedOn w:val="Normal"/>
    <w:next w:val="CTDtext"/>
    <w:rsid w:val="00DC66D4"/>
    <w:pPr>
      <w:spacing w:after="240" w:line="360" w:lineRule="auto"/>
    </w:pPr>
    <w:rPr>
      <w:rFonts w:ascii="Courier New" w:hAnsi="Courier New"/>
      <w:color w:val="FF0000"/>
      <w:lang w:eastAsia="en-US"/>
    </w:rPr>
  </w:style>
  <w:style w:type="paragraph" w:customStyle="1" w:styleId="Figureheading">
    <w:name w:val="Figure_heading"/>
    <w:basedOn w:val="CTDtext"/>
    <w:autoRedefine/>
    <w:rsid w:val="00DC66D4"/>
    <w:pPr>
      <w:keepNext/>
      <w:keepLines/>
      <w:tabs>
        <w:tab w:val="left" w:pos="1985"/>
      </w:tabs>
      <w:spacing w:before="120" w:after="120" w:line="240" w:lineRule="auto"/>
      <w:ind w:left="1985" w:hanging="1985"/>
      <w:jc w:val="left"/>
    </w:pPr>
    <w:rPr>
      <w:b/>
      <w:sz w:val="22"/>
      <w:lang w:eastAsia="en-US"/>
    </w:rPr>
  </w:style>
  <w:style w:type="paragraph" w:customStyle="1" w:styleId="Figuretop">
    <w:name w:val="Figuretop"/>
    <w:basedOn w:val="CTDtext"/>
    <w:rsid w:val="00DC66D4"/>
    <w:pPr>
      <w:keepNext/>
      <w:keepLines/>
      <w:spacing w:after="0" w:line="240" w:lineRule="auto"/>
    </w:pPr>
    <w:rPr>
      <w:sz w:val="2"/>
      <w:lang w:eastAsia="en-US"/>
    </w:rPr>
  </w:style>
  <w:style w:type="paragraph" w:customStyle="1" w:styleId="Post-table">
    <w:name w:val="Post-table"/>
    <w:basedOn w:val="CTDtext"/>
    <w:next w:val="CTDtext"/>
    <w:rsid w:val="00DC66D4"/>
    <w:pPr>
      <w:spacing w:after="0" w:line="240" w:lineRule="auto"/>
    </w:pPr>
    <w:rPr>
      <w:lang w:eastAsia="en-US"/>
    </w:rPr>
  </w:style>
  <w:style w:type="paragraph" w:customStyle="1" w:styleId="References">
    <w:name w:val="References"/>
    <w:basedOn w:val="Normal"/>
    <w:next w:val="CTDtext"/>
    <w:rsid w:val="00DC66D4"/>
    <w:pPr>
      <w:tabs>
        <w:tab w:val="left" w:pos="2160"/>
      </w:tabs>
      <w:spacing w:before="60" w:after="60" w:line="360" w:lineRule="auto"/>
    </w:pPr>
    <w:rPr>
      <w:lang w:eastAsia="en-US"/>
    </w:rPr>
  </w:style>
  <w:style w:type="paragraph" w:customStyle="1" w:styleId="Tablefootnote">
    <w:name w:val="Table_footnote"/>
    <w:basedOn w:val="CTDtext"/>
    <w:autoRedefine/>
    <w:rsid w:val="00DC66D4"/>
    <w:pPr>
      <w:spacing w:before="60" w:after="60" w:line="240" w:lineRule="auto"/>
      <w:jc w:val="left"/>
    </w:pPr>
    <w:rPr>
      <w:sz w:val="20"/>
      <w:lang w:eastAsia="en-US"/>
    </w:rPr>
  </w:style>
  <w:style w:type="paragraph" w:customStyle="1" w:styleId="Tableheading">
    <w:name w:val="Table_heading"/>
    <w:basedOn w:val="CTDtext"/>
    <w:autoRedefine/>
    <w:rsid w:val="00DC66D4"/>
    <w:pPr>
      <w:keepNext/>
      <w:keepLines/>
      <w:tabs>
        <w:tab w:val="left" w:pos="1985"/>
      </w:tabs>
      <w:spacing w:before="120" w:after="120" w:line="240" w:lineRule="auto"/>
      <w:ind w:left="1985" w:hanging="1985"/>
      <w:jc w:val="left"/>
    </w:pPr>
    <w:rPr>
      <w:b/>
      <w:sz w:val="22"/>
      <w:lang w:eastAsia="en-US"/>
    </w:rPr>
  </w:style>
  <w:style w:type="paragraph" w:customStyle="1" w:styleId="Tablesubheading">
    <w:name w:val="Table_subheading"/>
    <w:basedOn w:val="CTDtext"/>
    <w:rsid w:val="00DC66D4"/>
    <w:pPr>
      <w:keepNext/>
      <w:keepLines/>
      <w:spacing w:before="60" w:after="60" w:line="240" w:lineRule="auto"/>
      <w:jc w:val="center"/>
    </w:pPr>
    <w:rPr>
      <w:b/>
      <w:sz w:val="22"/>
      <w:lang w:eastAsia="en-US"/>
    </w:rPr>
  </w:style>
  <w:style w:type="paragraph" w:customStyle="1" w:styleId="Tabletext">
    <w:name w:val="Tabletext"/>
    <w:basedOn w:val="CTDtext"/>
    <w:rsid w:val="00DC66D4"/>
    <w:pPr>
      <w:spacing w:before="40" w:after="40" w:line="240" w:lineRule="auto"/>
      <w:jc w:val="center"/>
    </w:pPr>
    <w:rPr>
      <w:sz w:val="20"/>
      <w:lang w:eastAsia="en-US"/>
    </w:rPr>
  </w:style>
  <w:style w:type="paragraph" w:customStyle="1" w:styleId="Tabletop">
    <w:name w:val="Tabletop"/>
    <w:basedOn w:val="CTDtext"/>
    <w:rsid w:val="00DC66D4"/>
    <w:pPr>
      <w:keepNext/>
      <w:keepLines/>
      <w:spacing w:after="0" w:line="240" w:lineRule="auto"/>
    </w:pPr>
    <w:rPr>
      <w:sz w:val="2"/>
      <w:lang w:eastAsia="en-US"/>
    </w:rPr>
  </w:style>
  <w:style w:type="paragraph" w:customStyle="1" w:styleId="TOCtitle">
    <w:name w:val="TOC title"/>
    <w:basedOn w:val="Heading1"/>
    <w:next w:val="CTDtext"/>
    <w:rsid w:val="00DC66D4"/>
    <w:pPr>
      <w:numPr>
        <w:numId w:val="0"/>
      </w:numPr>
      <w:spacing w:before="120" w:line="240" w:lineRule="auto"/>
      <w:jc w:val="center"/>
    </w:pPr>
    <w:rPr>
      <w:bCs/>
      <w:caps w:val="0"/>
      <w:lang w:eastAsia="en-US"/>
    </w:rPr>
  </w:style>
  <w:style w:type="paragraph" w:styleId="FootnoteText">
    <w:name w:val="footnote text"/>
    <w:basedOn w:val="Normal"/>
    <w:link w:val="FootnoteTextChar"/>
    <w:uiPriority w:val="99"/>
    <w:rsid w:val="00DC66D4"/>
    <w:rPr>
      <w:lang w:eastAsia="en-US"/>
    </w:rPr>
  </w:style>
  <w:style w:type="character" w:customStyle="1" w:styleId="FootnoteTextChar">
    <w:name w:val="Footnote Text Char"/>
    <w:link w:val="FootnoteText"/>
    <w:uiPriority w:val="99"/>
    <w:rsid w:val="00DC66D4"/>
    <w:rPr>
      <w:sz w:val="24"/>
      <w:lang w:val="en-GB"/>
    </w:rPr>
  </w:style>
  <w:style w:type="paragraph" w:customStyle="1" w:styleId="Figurefootnote">
    <w:name w:val="Figure_footnote"/>
    <w:basedOn w:val="Tablefootnote"/>
    <w:rsid w:val="00DC66D4"/>
  </w:style>
  <w:style w:type="paragraph" w:customStyle="1" w:styleId="appendix0">
    <w:name w:val="appendix"/>
    <w:basedOn w:val="CTDtext"/>
    <w:rsid w:val="00DC66D4"/>
    <w:pPr>
      <w:ind w:left="2552" w:hanging="2552"/>
      <w:jc w:val="left"/>
    </w:pPr>
    <w:rPr>
      <w:rFonts w:eastAsia="MS Mincho"/>
      <w:lang w:val="en-US"/>
    </w:rPr>
  </w:style>
  <w:style w:type="paragraph" w:customStyle="1" w:styleId="Landscapefooter">
    <w:name w:val="Landscape footer"/>
    <w:basedOn w:val="Footer"/>
    <w:rsid w:val="00DC66D4"/>
    <w:pPr>
      <w:tabs>
        <w:tab w:val="clear" w:pos="4536"/>
        <w:tab w:val="clear" w:pos="9072"/>
        <w:tab w:val="center" w:pos="6379"/>
        <w:tab w:val="right" w:pos="13325"/>
      </w:tabs>
    </w:pPr>
  </w:style>
  <w:style w:type="paragraph" w:customStyle="1" w:styleId="Tabletext10pt">
    <w:name w:val="Tabletext 10pt"/>
    <w:basedOn w:val="Tabletext"/>
    <w:rsid w:val="00DC66D4"/>
  </w:style>
  <w:style w:type="paragraph" w:customStyle="1" w:styleId="Tabletextleft">
    <w:name w:val="Tabletext left"/>
    <w:basedOn w:val="Tabletext"/>
    <w:rsid w:val="00DC66D4"/>
    <w:pPr>
      <w:jc w:val="left"/>
    </w:pPr>
  </w:style>
  <w:style w:type="paragraph" w:customStyle="1" w:styleId="Tabletextright">
    <w:name w:val="Tabletext right"/>
    <w:basedOn w:val="Tabletext"/>
    <w:rsid w:val="00DC66D4"/>
    <w:pPr>
      <w:jc w:val="right"/>
    </w:pPr>
  </w:style>
  <w:style w:type="paragraph" w:customStyle="1" w:styleId="Figuretext">
    <w:name w:val="Figuretext"/>
    <w:basedOn w:val="Tabletext"/>
    <w:next w:val="CTDtext"/>
    <w:rsid w:val="00DC66D4"/>
  </w:style>
  <w:style w:type="character" w:customStyle="1" w:styleId="BodyTextChar">
    <w:name w:val="Body Text Char"/>
    <w:rsid w:val="00DC66D4"/>
    <w:rPr>
      <w:rFonts w:ascii="Gill Sans MT" w:hAnsi="Gill Sans MT"/>
      <w:b/>
      <w:bCs/>
      <w:sz w:val="72"/>
      <w:lang w:val="en-GB" w:eastAsia="de-DE"/>
    </w:rPr>
  </w:style>
  <w:style w:type="character" w:customStyle="1" w:styleId="BodyTextIndentChar">
    <w:name w:val="Body Text Indent Char"/>
    <w:rsid w:val="00DC66D4"/>
    <w:rPr>
      <w:rFonts w:ascii="Times New (W1)" w:hAnsi="Times New (W1)"/>
      <w:sz w:val="24"/>
      <w:lang w:val="en-GB" w:eastAsia="de-DE"/>
    </w:rPr>
  </w:style>
  <w:style w:type="character" w:styleId="EndnoteReference">
    <w:name w:val="endnote reference"/>
    <w:rsid w:val="00DC66D4"/>
    <w:rPr>
      <w:vertAlign w:val="baseline"/>
      <w:lang w:val="en-GB"/>
    </w:rPr>
  </w:style>
  <w:style w:type="paragraph" w:styleId="EndnoteText">
    <w:name w:val="endnote text"/>
    <w:basedOn w:val="CTDtext"/>
    <w:link w:val="EndnoteTextChar"/>
    <w:rsid w:val="00DC66D4"/>
    <w:pPr>
      <w:keepLines/>
      <w:spacing w:after="60"/>
      <w:ind w:left="720" w:hanging="720"/>
    </w:pPr>
    <w:rPr>
      <w:lang w:eastAsia="en-US"/>
    </w:rPr>
  </w:style>
  <w:style w:type="character" w:customStyle="1" w:styleId="EndnoteTextChar">
    <w:name w:val="Endnote Text Char"/>
    <w:link w:val="EndnoteText"/>
    <w:rsid w:val="00DC66D4"/>
    <w:rPr>
      <w:sz w:val="24"/>
      <w:lang w:val="en-GB"/>
    </w:rPr>
  </w:style>
  <w:style w:type="paragraph" w:customStyle="1" w:styleId="ERAComment">
    <w:name w:val="ERA Comment"/>
    <w:basedOn w:val="CTDtext"/>
    <w:next w:val="CTDtext"/>
    <w:rsid w:val="00DC66D4"/>
    <w:pPr>
      <w:spacing w:line="240" w:lineRule="auto"/>
    </w:pPr>
    <w:rPr>
      <w:color w:val="993366"/>
    </w:rPr>
  </w:style>
  <w:style w:type="paragraph" w:customStyle="1" w:styleId="GapAnalysisText">
    <w:name w:val="Gap Analysis Text"/>
    <w:rsid w:val="00DC66D4"/>
    <w:pPr>
      <w:spacing w:after="120"/>
      <w:jc w:val="both"/>
    </w:pPr>
    <w:rPr>
      <w:sz w:val="22"/>
      <w:lang w:val="en-GB"/>
    </w:rPr>
  </w:style>
  <w:style w:type="paragraph" w:customStyle="1" w:styleId="Headertablecentre">
    <w:name w:val="Header_table_centre"/>
    <w:basedOn w:val="Header"/>
    <w:rsid w:val="00DC66D4"/>
    <w:pPr>
      <w:spacing w:before="40" w:after="40"/>
      <w:jc w:val="center"/>
    </w:pPr>
  </w:style>
  <w:style w:type="paragraph" w:customStyle="1" w:styleId="Headertableleft">
    <w:name w:val="Header_table_left"/>
    <w:basedOn w:val="Header"/>
    <w:rsid w:val="00DC66D4"/>
    <w:pPr>
      <w:spacing w:before="40" w:after="40"/>
      <w:ind w:left="2835" w:hanging="2835"/>
    </w:pPr>
    <w:rPr>
      <w:iCs/>
    </w:rPr>
  </w:style>
  <w:style w:type="paragraph" w:customStyle="1" w:styleId="HeadingReference">
    <w:name w:val="Heading Reference"/>
    <w:basedOn w:val="Normal"/>
    <w:rsid w:val="00DC66D4"/>
    <w:pPr>
      <w:ind w:left="1701" w:hanging="1701"/>
    </w:pPr>
    <w:rPr>
      <w:i/>
    </w:rPr>
  </w:style>
  <w:style w:type="paragraph" w:customStyle="1" w:styleId="NotTOC">
    <w:name w:val="Not TOC"/>
    <w:basedOn w:val="Normal"/>
    <w:next w:val="CTDtext"/>
    <w:rsid w:val="00DC66D4"/>
    <w:pPr>
      <w:keepNext/>
      <w:keepLines/>
      <w:spacing w:line="360" w:lineRule="auto"/>
    </w:pPr>
    <w:rPr>
      <w:b/>
      <w:lang w:eastAsia="en-US"/>
    </w:rPr>
  </w:style>
  <w:style w:type="paragraph" w:customStyle="1" w:styleId="PortraitFooter">
    <w:name w:val="Portrait Footer"/>
    <w:basedOn w:val="Footer"/>
    <w:rsid w:val="00DC66D4"/>
    <w:pPr>
      <w:overflowPunct w:val="0"/>
      <w:autoSpaceDE w:val="0"/>
      <w:autoSpaceDN w:val="0"/>
      <w:adjustRightInd w:val="0"/>
      <w:textAlignment w:val="baseline"/>
    </w:pPr>
    <w:rPr>
      <w:b/>
      <w:sz w:val="22"/>
      <w:lang w:eastAsia="en-US"/>
    </w:rPr>
  </w:style>
  <w:style w:type="paragraph" w:customStyle="1" w:styleId="PortraitHeader">
    <w:name w:val="Portrait Header"/>
    <w:basedOn w:val="Header"/>
    <w:rsid w:val="00DC66D4"/>
    <w:pPr>
      <w:jc w:val="both"/>
    </w:pPr>
    <w:rPr>
      <w:lang w:val="en-US" w:eastAsia="en-US"/>
    </w:rPr>
  </w:style>
  <w:style w:type="paragraph" w:customStyle="1" w:styleId="Potraitheader">
    <w:name w:val="Potrait header"/>
    <w:basedOn w:val="Normal"/>
    <w:rsid w:val="00DC66D4"/>
    <w:pPr>
      <w:tabs>
        <w:tab w:val="right" w:pos="8505"/>
      </w:tabs>
      <w:jc w:val="both"/>
    </w:pPr>
    <w:rPr>
      <w:sz w:val="22"/>
      <w:lang w:val="en-US" w:eastAsia="en-US"/>
    </w:rPr>
  </w:style>
  <w:style w:type="paragraph" w:customStyle="1" w:styleId="Refs">
    <w:name w:val="Refs"/>
    <w:basedOn w:val="Normal"/>
    <w:next w:val="Normal"/>
    <w:rsid w:val="00DC66D4"/>
    <w:pPr>
      <w:keepNext/>
      <w:tabs>
        <w:tab w:val="left" w:pos="2160"/>
      </w:tabs>
      <w:spacing w:after="240" w:line="360" w:lineRule="auto"/>
    </w:pPr>
    <w:rPr>
      <w:b/>
      <w:caps/>
      <w:lang w:eastAsia="en-US"/>
    </w:rPr>
  </w:style>
  <w:style w:type="paragraph" w:customStyle="1" w:styleId="StyleBodyText28pt">
    <w:name w:val="Style Body Text + 28 pt"/>
    <w:basedOn w:val="BodyText"/>
    <w:rsid w:val="00DC66D4"/>
    <w:rPr>
      <w:rFonts w:ascii="Times New Roman" w:hAnsi="Times New Roman"/>
      <w:sz w:val="56"/>
    </w:rPr>
  </w:style>
  <w:style w:type="paragraph" w:customStyle="1" w:styleId="StyleTitlesCenturySchoolbook8ptNotBoldNotAllcapsBe">
    <w:name w:val="Style Titles + Century Schoolbook 8 pt Not Bold Not All caps Be..."/>
    <w:basedOn w:val="Titles"/>
    <w:rsid w:val="00DC66D4"/>
    <w:pPr>
      <w:spacing w:before="40" w:after="40"/>
    </w:pPr>
    <w:rPr>
      <w:b w:val="0"/>
      <w:caps w:val="0"/>
      <w:sz w:val="16"/>
    </w:rPr>
  </w:style>
  <w:style w:type="paragraph" w:customStyle="1" w:styleId="TOCHeadings">
    <w:name w:val="TOC Headings"/>
    <w:basedOn w:val="Normal"/>
    <w:rsid w:val="00DC66D4"/>
    <w:pPr>
      <w:tabs>
        <w:tab w:val="center" w:pos="4394"/>
        <w:tab w:val="right" w:pos="8641"/>
      </w:tabs>
      <w:spacing w:before="397" w:after="227"/>
    </w:pPr>
    <w:rPr>
      <w:b/>
    </w:rPr>
  </w:style>
  <w:style w:type="paragraph" w:customStyle="1" w:styleId="Figuresubheading">
    <w:name w:val="Figure_subheading"/>
    <w:basedOn w:val="Tablesubheading"/>
    <w:rsid w:val="00DC66D4"/>
  </w:style>
  <w:style w:type="paragraph" w:customStyle="1" w:styleId="Post-figure">
    <w:name w:val="Post-figure"/>
    <w:basedOn w:val="Post-table"/>
    <w:next w:val="CTDtext"/>
    <w:rsid w:val="00DC66D4"/>
  </w:style>
  <w:style w:type="paragraph" w:customStyle="1" w:styleId="Landscapeheader">
    <w:name w:val="Landscape header"/>
    <w:basedOn w:val="Header"/>
    <w:rsid w:val="00DC66D4"/>
    <w:rPr>
      <w:iCs/>
    </w:rPr>
  </w:style>
  <w:style w:type="paragraph" w:customStyle="1" w:styleId="figureCTD1">
    <w:name w:val="figure CTD1"/>
    <w:rsid w:val="00DC66D4"/>
    <w:pPr>
      <w:spacing w:after="240" w:line="360" w:lineRule="auto"/>
      <w:jc w:val="both"/>
    </w:pPr>
    <w:rPr>
      <w:sz w:val="24"/>
      <w:lang w:val="en-GB" w:eastAsia="de-DE"/>
    </w:rPr>
  </w:style>
  <w:style w:type="paragraph" w:customStyle="1" w:styleId="CTDTextafterbulletedlists">
    <w:name w:val="CTD Text after bulleted lists"/>
    <w:basedOn w:val="CTDtext"/>
    <w:next w:val="CTDtext"/>
    <w:rsid w:val="00DC66D4"/>
    <w:pPr>
      <w:spacing w:before="240" w:after="0"/>
    </w:pPr>
    <w:rPr>
      <w:lang w:eastAsia="en-US"/>
    </w:rPr>
  </w:style>
  <w:style w:type="character" w:customStyle="1" w:styleId="HeaderChar">
    <w:name w:val="Header Char"/>
    <w:link w:val="Header"/>
    <w:locked/>
    <w:rsid w:val="00EF1347"/>
    <w:rPr>
      <w:sz w:val="24"/>
      <w:lang w:val="en-GB" w:eastAsia="de-DE"/>
    </w:rPr>
  </w:style>
  <w:style w:type="character" w:styleId="FootnoteReference">
    <w:name w:val="footnote reference"/>
    <w:basedOn w:val="DefaultParagraphFont"/>
    <w:uiPriority w:val="99"/>
    <w:rsid w:val="00B435EA"/>
    <w:rPr>
      <w:rFonts w:cs="Times New Roman"/>
      <w:vertAlign w:val="superscript"/>
    </w:rPr>
  </w:style>
  <w:style w:type="character" w:customStyle="1" w:styleId="FooterChar">
    <w:name w:val="Footer Char"/>
    <w:link w:val="Footer"/>
    <w:rsid w:val="00CE5BCA"/>
    <w:rPr>
      <w:sz w:val="24"/>
      <w:lang w:val="en-GB" w:eastAsia="de-DE"/>
    </w:rPr>
  </w:style>
  <w:style w:type="character" w:customStyle="1" w:styleId="DateChar">
    <w:name w:val="Date Char"/>
    <w:link w:val="Date"/>
    <w:uiPriority w:val="99"/>
    <w:rsid w:val="001F73D1"/>
    <w:rPr>
      <w:sz w:val="24"/>
      <w:lang w:val="en-GB" w:eastAsia="de-DE"/>
    </w:rPr>
  </w:style>
  <w:style w:type="paragraph" w:customStyle="1" w:styleId="Normaljustifi">
    <w:name w:val="Normal + justifié"/>
    <w:basedOn w:val="Normal"/>
    <w:rsid w:val="00345A34"/>
    <w:pPr>
      <w:spacing w:before="120" w:after="120"/>
    </w:pPr>
    <w:rPr>
      <w:szCs w:val="24"/>
      <w:lang w:val="fr-FR" w:eastAsia="en-US"/>
    </w:rPr>
  </w:style>
  <w:style w:type="paragraph" w:customStyle="1" w:styleId="TitleA">
    <w:name w:val="Title A"/>
    <w:basedOn w:val="Normal"/>
    <w:qFormat/>
    <w:rsid w:val="00640981"/>
    <w:pPr>
      <w:jc w:val="center"/>
      <w:outlineLvl w:val="0"/>
    </w:pPr>
    <w:rPr>
      <w:b/>
      <w:noProof/>
    </w:rPr>
  </w:style>
  <w:style w:type="paragraph" w:customStyle="1" w:styleId="Normal11">
    <w:name w:val="Normal 11"/>
    <w:basedOn w:val="Normal"/>
    <w:rsid w:val="00EE1BDF"/>
    <w:pPr>
      <w:keepNext/>
      <w:keepLines/>
      <w:widowControl w:val="0"/>
    </w:pPr>
    <w:rPr>
      <w:sz w:val="22"/>
      <w:lang w:val="en-US" w:eastAsia="en-US"/>
    </w:rPr>
  </w:style>
  <w:style w:type="paragraph" w:customStyle="1" w:styleId="Default">
    <w:name w:val="Default"/>
    <w:rsid w:val="00097249"/>
    <w:pPr>
      <w:autoSpaceDE w:val="0"/>
      <w:autoSpaceDN w:val="0"/>
      <w:adjustRightInd w:val="0"/>
    </w:pPr>
    <w:rPr>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414326">
      <w:bodyDiv w:val="1"/>
      <w:marLeft w:val="0"/>
      <w:marRight w:val="0"/>
      <w:marTop w:val="0"/>
      <w:marBottom w:val="0"/>
      <w:divBdr>
        <w:top w:val="none" w:sz="0" w:space="0" w:color="auto"/>
        <w:left w:val="none" w:sz="0" w:space="0" w:color="auto"/>
        <w:bottom w:val="none" w:sz="0" w:space="0" w:color="auto"/>
        <w:right w:val="none" w:sz="0" w:space="0" w:color="auto"/>
      </w:divBdr>
    </w:div>
    <w:div w:id="2057924856">
      <w:bodyDiv w:val="1"/>
      <w:marLeft w:val="0"/>
      <w:marRight w:val="0"/>
      <w:marTop w:val="0"/>
      <w:marBottom w:val="0"/>
      <w:divBdr>
        <w:top w:val="none" w:sz="0" w:space="0" w:color="auto"/>
        <w:left w:val="none" w:sz="0" w:space="0" w:color="auto"/>
        <w:bottom w:val="none" w:sz="0" w:space="0" w:color="auto"/>
        <w:right w:val="none" w:sz="0" w:space="0" w:color="auto"/>
      </w:divBdr>
    </w:div>
    <w:div w:id="207847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A584F-9070-4D3D-B34E-D80595F7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4103</Words>
  <Characters>24096</Characters>
  <Application>Microsoft Office Word</Application>
  <DocSecurity>0</DocSecurity>
  <Lines>454</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Product Information</vt:lpstr>
      <vt:lpstr>Product Information</vt:lpstr>
    </vt:vector>
  </TitlesOfParts>
  <Company>ERA Consulting</Company>
  <LinksUpToDate>false</LinksUpToDate>
  <CharactersWithSpaces>27912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EllaOne</dc:title>
  <dc:subject>Prescription medicines</dc:subject>
  <dc:creator>ERA Consulting (Australia) Pty Ltd</dc:creator>
  <cp:keywords>AusPARs</cp:keywords>
  <cp:lastModifiedBy>Sheppard, Fran</cp:lastModifiedBy>
  <cp:revision>5</cp:revision>
  <cp:lastPrinted>2015-03-20T02:00:00Z</cp:lastPrinted>
  <dcterms:created xsi:type="dcterms:W3CDTF">2015-03-20T01:57:00Z</dcterms:created>
  <dcterms:modified xsi:type="dcterms:W3CDTF">2015-09-15T05:38:00Z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CompanyName</vt:lpwstr>
  </property>
  <property fmtid="{D5CDD505-2E9C-101B-9397-08002B2CF9AE}" pid="3" name="DosageForm">
    <vt:lpwstr>DosageForm</vt:lpwstr>
  </property>
  <property fmtid="{D5CDD505-2E9C-101B-9397-08002B2CF9AE}" pid="4" name="ProductName">
    <vt:lpwstr>ProductName</vt:lpwstr>
  </property>
  <property fmtid="{D5CDD505-2E9C-101B-9397-08002B2CF9AE}" pid="5" name="DosageStrength">
    <vt:lpwstr>DosageStrength</vt:lpwstr>
  </property>
  <property fmtid="{D5CDD505-2E9C-101B-9397-08002B2CF9AE}" pid="6" name="Name">
    <vt:lpwstr>Name</vt:lpwstr>
  </property>
  <property fmtid="{D5CDD505-2E9C-101B-9397-08002B2CF9AE}" pid="7" name="Manufacturer">
    <vt:lpwstr>Manufacturer</vt:lpwstr>
  </property>
  <property fmtid="{D5CDD505-2E9C-101B-9397-08002B2CF9AE}" pid="8" name="Date">
    <vt:lpwstr>February 2010-Version 00-Seq 0000</vt:lpwstr>
  </property>
</Properties>
</file>