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tblGrid>
      <w:tr w:rsidR="008E7846" w:rsidRPr="00487162" w:rsidTr="00126911">
        <w:trPr>
          <w:trHeight w:val="1863"/>
        </w:trPr>
        <w:tc>
          <w:tcPr>
            <w:tcW w:w="6062" w:type="dxa"/>
            <w:tcBorders>
              <w:top w:val="nil"/>
              <w:left w:val="nil"/>
              <w:bottom w:val="nil"/>
              <w:right w:val="nil"/>
            </w:tcBorders>
          </w:tcPr>
          <w:p w:rsidR="008E7846" w:rsidRPr="00E12C08" w:rsidRDefault="00284B92" w:rsidP="00E12C08">
            <w:pPr>
              <w:pStyle w:val="Date"/>
              <w:framePr w:hSpace="0" w:wrap="auto" w:vAnchor="margin" w:hAnchor="text" w:yAlign="inline"/>
              <w:suppressOverlap w:val="0"/>
            </w:pPr>
            <w:r w:rsidRPr="00E12C08">
              <w:t>Date of</w:t>
            </w:r>
            <w:r w:rsidR="00506460" w:rsidRPr="00E12C08">
              <w:t xml:space="preserve"> CER: </w:t>
            </w:r>
            <w:r w:rsidR="00EC5B35" w:rsidRPr="00E12C08">
              <w:t>3</w:t>
            </w:r>
            <w:r w:rsidR="007033E8" w:rsidRPr="00E12C08">
              <w:t>1</w:t>
            </w:r>
            <w:r w:rsidR="00506460" w:rsidRPr="00E12C08">
              <w:t xml:space="preserve"> </w:t>
            </w:r>
            <w:r w:rsidR="00126911" w:rsidRPr="00E12C08">
              <w:t>July 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E12C08">
            <w:pPr>
              <w:pStyle w:val="Title"/>
              <w:framePr w:hSpace="0" w:wrap="auto" w:vAnchor="margin" w:yAlign="inline"/>
            </w:pPr>
            <w:proofErr w:type="spellStart"/>
            <w:r w:rsidRPr="00E12C08">
              <w:t>AusPAR</w:t>
            </w:r>
            <w:proofErr w:type="spellEnd"/>
            <w:r w:rsidRPr="00E12C08">
              <w:t xml:space="preserve"> Attachment</w:t>
            </w:r>
            <w:r>
              <w:t xml:space="preserve"> 2</w:t>
            </w:r>
          </w:p>
        </w:tc>
      </w:tr>
      <w:tr w:rsidR="00E07F15" w:rsidRPr="00A964D1" w:rsidTr="00E07F15">
        <w:trPr>
          <w:trHeight w:val="868"/>
        </w:trPr>
        <w:tc>
          <w:tcPr>
            <w:tcW w:w="9079" w:type="dxa"/>
          </w:tcPr>
          <w:p w:rsidR="00E07F15" w:rsidRPr="00A964D1" w:rsidRDefault="00E07F15" w:rsidP="00E12C08">
            <w:pPr>
              <w:pStyle w:val="Title"/>
              <w:framePr w:hSpace="0" w:wrap="auto" w:vAnchor="margin" w:yAlign="inline"/>
            </w:pPr>
            <w:r>
              <w:t>Extract from the Clinical Evaluation Report</w:t>
            </w:r>
            <w:r w:rsidR="001A4089">
              <w:t xml:space="preserve"> for </w:t>
            </w:r>
            <w:proofErr w:type="spellStart"/>
            <w:r w:rsidR="001A4089">
              <w:t>u</w:t>
            </w:r>
            <w:r w:rsidR="001A4089" w:rsidRPr="003D2041">
              <w:t>lipristal</w:t>
            </w:r>
            <w:proofErr w:type="spellEnd"/>
            <w:r w:rsidR="001A4089" w:rsidRPr="003D2041">
              <w:t xml:space="preserve"> acetate</w:t>
            </w:r>
          </w:p>
        </w:tc>
      </w:tr>
      <w:tr w:rsidR="00E07F15" w:rsidRPr="00B64760" w:rsidTr="00E07F15">
        <w:tc>
          <w:tcPr>
            <w:tcW w:w="9079" w:type="dxa"/>
          </w:tcPr>
          <w:p w:rsidR="00E07F15" w:rsidRPr="008E7846" w:rsidRDefault="00E07F15" w:rsidP="00E12C08">
            <w:pPr>
              <w:pStyle w:val="Subtitle"/>
              <w:framePr w:hSpace="0" w:wrap="auto" w:vAnchor="margin" w:yAlign="inline"/>
            </w:pPr>
            <w:r w:rsidRPr="008E7846">
              <w:t xml:space="preserve">Proprietary </w:t>
            </w:r>
            <w:r w:rsidRPr="00E12C08">
              <w:t xml:space="preserve">Product Name: </w:t>
            </w:r>
            <w:proofErr w:type="spellStart"/>
            <w:r w:rsidR="001A4089" w:rsidRPr="00E12C08">
              <w:t>EllaOne</w:t>
            </w:r>
            <w:proofErr w:type="spellEnd"/>
          </w:p>
        </w:tc>
      </w:tr>
      <w:tr w:rsidR="00E07F15" w:rsidRPr="00B64760" w:rsidTr="00E07F15">
        <w:trPr>
          <w:trHeight w:val="486"/>
        </w:trPr>
        <w:tc>
          <w:tcPr>
            <w:tcW w:w="9079" w:type="dxa"/>
          </w:tcPr>
          <w:p w:rsidR="00E07F15" w:rsidRPr="008E7846" w:rsidRDefault="001A4089" w:rsidP="00E12C08">
            <w:pPr>
              <w:pStyle w:val="Subtitle"/>
              <w:framePr w:hSpace="0" w:wrap="auto" w:vAnchor="margin" w:yAlign="inline"/>
            </w:pPr>
            <w:r>
              <w:t xml:space="preserve">Sponsor: </w:t>
            </w:r>
            <w:r w:rsidRPr="003D2041">
              <w:t>ERA Consulting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7F0527">
      <w:pPr>
        <w:pStyle w:val="ListBullet"/>
        <w:numPr>
          <w:ilvl w:val="0"/>
          <w:numId w:val="1"/>
        </w:numPr>
        <w:ind w:left="357" w:hanging="357"/>
      </w:pPr>
      <w:r>
        <w:t xml:space="preserve">The Therapeutic Goods Administration (TGA) is </w:t>
      </w:r>
      <w:r w:rsidR="00E624A5">
        <w:t xml:space="preserve">part </w:t>
      </w:r>
      <w:r>
        <w:t xml:space="preserve">of the Australian Government Department of Health, and is responsible for regulating medicines and medical </w:t>
      </w:r>
      <w:proofErr w:type="gramStart"/>
      <w:r>
        <w:t>devices</w:t>
      </w:r>
      <w:proofErr w:type="gramEnd"/>
      <w:r>
        <w:t>.</w:t>
      </w:r>
    </w:p>
    <w:p w:rsidR="008E7846" w:rsidRDefault="00C811C0" w:rsidP="007F0527">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7F0527">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7F0527">
      <w:pPr>
        <w:pStyle w:val="ListBullet"/>
        <w:numPr>
          <w:ilvl w:val="0"/>
          <w:numId w:val="1"/>
        </w:numPr>
        <w:ind w:left="357" w:hanging="357"/>
      </w:pPr>
      <w:r>
        <w:t xml:space="preserve">The TGA relies on the public, healthcare professionals and industry to report problems with medicines or medical devices. </w:t>
      </w:r>
      <w:r w:rsidR="00BA6FF3">
        <w:t xml:space="preserve">The </w:t>
      </w:r>
      <w:r>
        <w:t>TGA investigates reports received by it to determine any necessary regulatory action.</w:t>
      </w:r>
    </w:p>
    <w:p w:rsidR="008E7846" w:rsidRDefault="008E7846" w:rsidP="007F0527">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BA6FF3" w:rsidRPr="00CE5481">
          <w:rPr>
            <w:rStyle w:val="Hyperlink"/>
          </w:rPr>
          <w:t>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A05812" w:rsidP="003D0A3B">
      <w:pPr>
        <w:pStyle w:val="ListBullet"/>
      </w:pPr>
      <w:r>
        <w:t>The words [i</w:t>
      </w:r>
      <w:r w:rsidR="003D0A3B" w:rsidRPr="003D0A3B">
        <w:t>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BA6FF3" w:rsidRPr="00CE5481">
          <w:rPr>
            <w:rStyle w:val="Hyperlink"/>
          </w:rPr>
          <w:t>www.tga.gov.au/product-information-pi</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87961">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D7592F" w:rsidRDefault="00147373">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bookmarkStart w:id="2" w:name="_GoBack"/>
          <w:bookmarkEnd w:id="2"/>
          <w:r w:rsidR="00D7592F" w:rsidRPr="00FA58BD">
            <w:rPr>
              <w:rStyle w:val="Hyperlink"/>
              <w:noProof/>
            </w:rPr>
            <w:fldChar w:fldCharType="begin"/>
          </w:r>
          <w:r w:rsidR="00D7592F" w:rsidRPr="00FA58BD">
            <w:rPr>
              <w:rStyle w:val="Hyperlink"/>
              <w:noProof/>
            </w:rPr>
            <w:instrText xml:space="preserve"> </w:instrText>
          </w:r>
          <w:r w:rsidR="00D7592F">
            <w:rPr>
              <w:noProof/>
            </w:rPr>
            <w:instrText>HYPERLINK \l "_Toc430094047"</w:instrText>
          </w:r>
          <w:r w:rsidR="00D7592F" w:rsidRPr="00FA58BD">
            <w:rPr>
              <w:rStyle w:val="Hyperlink"/>
              <w:noProof/>
            </w:rPr>
            <w:instrText xml:space="preserve"> </w:instrText>
          </w:r>
          <w:r w:rsidR="00D7592F" w:rsidRPr="00FA58BD">
            <w:rPr>
              <w:rStyle w:val="Hyperlink"/>
              <w:noProof/>
            </w:rPr>
          </w:r>
          <w:r w:rsidR="00D7592F" w:rsidRPr="00FA58BD">
            <w:rPr>
              <w:rStyle w:val="Hyperlink"/>
              <w:noProof/>
            </w:rPr>
            <w:fldChar w:fldCharType="separate"/>
          </w:r>
          <w:r w:rsidR="00D7592F" w:rsidRPr="00FA58BD">
            <w:rPr>
              <w:rStyle w:val="Hyperlink"/>
              <w:noProof/>
            </w:rPr>
            <w:t>List of abbreviations</w:t>
          </w:r>
          <w:r w:rsidR="00D7592F">
            <w:rPr>
              <w:noProof/>
              <w:webHidden/>
            </w:rPr>
            <w:tab/>
          </w:r>
          <w:r w:rsidR="00D7592F">
            <w:rPr>
              <w:noProof/>
              <w:webHidden/>
            </w:rPr>
            <w:fldChar w:fldCharType="begin"/>
          </w:r>
          <w:r w:rsidR="00D7592F">
            <w:rPr>
              <w:noProof/>
              <w:webHidden/>
            </w:rPr>
            <w:instrText xml:space="preserve"> PAGEREF _Toc430094047 \h </w:instrText>
          </w:r>
          <w:r w:rsidR="00D7592F">
            <w:rPr>
              <w:noProof/>
              <w:webHidden/>
            </w:rPr>
          </w:r>
          <w:r w:rsidR="00D7592F">
            <w:rPr>
              <w:noProof/>
              <w:webHidden/>
            </w:rPr>
            <w:fldChar w:fldCharType="separate"/>
          </w:r>
          <w:r w:rsidR="00D7592F">
            <w:rPr>
              <w:noProof/>
              <w:webHidden/>
            </w:rPr>
            <w:t>5</w:t>
          </w:r>
          <w:r w:rsidR="00D7592F">
            <w:rPr>
              <w:noProof/>
              <w:webHidden/>
            </w:rPr>
            <w:fldChar w:fldCharType="end"/>
          </w:r>
          <w:r w:rsidR="00D7592F" w:rsidRPr="00FA58BD">
            <w:rPr>
              <w:rStyle w:val="Hyperlink"/>
              <w:noProof/>
            </w:rPr>
            <w:fldChar w:fldCharType="end"/>
          </w:r>
        </w:p>
        <w:p w:rsidR="00D7592F" w:rsidRDefault="00D7592F">
          <w:pPr>
            <w:pStyle w:val="TOC2"/>
            <w:tabs>
              <w:tab w:val="left" w:pos="1100"/>
            </w:tabs>
            <w:rPr>
              <w:rFonts w:asciiTheme="minorHAnsi" w:eastAsiaTheme="minorEastAsia" w:hAnsiTheme="minorHAnsi" w:cstheme="minorBidi"/>
              <w:b w:val="0"/>
              <w:noProof/>
              <w:sz w:val="22"/>
              <w:lang w:eastAsia="en-AU"/>
            </w:rPr>
          </w:pPr>
          <w:hyperlink w:anchor="_Toc430094048" w:history="1">
            <w:r w:rsidRPr="00FA58BD">
              <w:rPr>
                <w:rStyle w:val="Hyperlink"/>
                <w:noProof/>
                <w:lang w:eastAsia="en-AU"/>
              </w:rPr>
              <w:t>1.</w:t>
            </w:r>
            <w:r>
              <w:rPr>
                <w:rFonts w:asciiTheme="minorHAnsi" w:eastAsiaTheme="minorEastAsia" w:hAnsiTheme="minorHAnsi" w:cstheme="minorBidi"/>
                <w:b w:val="0"/>
                <w:noProof/>
                <w:sz w:val="22"/>
                <w:lang w:eastAsia="en-AU"/>
              </w:rPr>
              <w:tab/>
            </w:r>
            <w:r w:rsidRPr="00FA58BD">
              <w:rPr>
                <w:rStyle w:val="Hyperlink"/>
                <w:noProof/>
                <w:lang w:eastAsia="en-AU"/>
              </w:rPr>
              <w:t>Clinical rationale</w:t>
            </w:r>
            <w:r>
              <w:rPr>
                <w:noProof/>
                <w:webHidden/>
              </w:rPr>
              <w:tab/>
            </w:r>
            <w:r>
              <w:rPr>
                <w:noProof/>
                <w:webHidden/>
              </w:rPr>
              <w:fldChar w:fldCharType="begin"/>
            </w:r>
            <w:r>
              <w:rPr>
                <w:noProof/>
                <w:webHidden/>
              </w:rPr>
              <w:instrText xml:space="preserve"> PAGEREF _Toc430094048 \h </w:instrText>
            </w:r>
            <w:r>
              <w:rPr>
                <w:noProof/>
                <w:webHidden/>
              </w:rPr>
            </w:r>
            <w:r>
              <w:rPr>
                <w:noProof/>
                <w:webHidden/>
              </w:rPr>
              <w:fldChar w:fldCharType="separate"/>
            </w:r>
            <w:r>
              <w:rPr>
                <w:noProof/>
                <w:webHidden/>
              </w:rPr>
              <w:t>7</w:t>
            </w:r>
            <w:r>
              <w:rPr>
                <w:noProof/>
                <w:webHidden/>
              </w:rPr>
              <w:fldChar w:fldCharType="end"/>
            </w:r>
          </w:hyperlink>
        </w:p>
        <w:p w:rsidR="00D7592F" w:rsidRDefault="00D7592F">
          <w:pPr>
            <w:pStyle w:val="TOC2"/>
            <w:tabs>
              <w:tab w:val="left" w:pos="1100"/>
            </w:tabs>
            <w:rPr>
              <w:rFonts w:asciiTheme="minorHAnsi" w:eastAsiaTheme="minorEastAsia" w:hAnsiTheme="minorHAnsi" w:cstheme="minorBidi"/>
              <w:b w:val="0"/>
              <w:noProof/>
              <w:sz w:val="22"/>
              <w:lang w:eastAsia="en-AU"/>
            </w:rPr>
          </w:pPr>
          <w:hyperlink w:anchor="_Toc430094049" w:history="1">
            <w:r w:rsidRPr="00FA58BD">
              <w:rPr>
                <w:rStyle w:val="Hyperlink"/>
                <w:noProof/>
                <w:lang w:eastAsia="en-AU"/>
              </w:rPr>
              <w:t>2.</w:t>
            </w:r>
            <w:r>
              <w:rPr>
                <w:rFonts w:asciiTheme="minorHAnsi" w:eastAsiaTheme="minorEastAsia" w:hAnsiTheme="minorHAnsi" w:cstheme="minorBidi"/>
                <w:b w:val="0"/>
                <w:noProof/>
                <w:sz w:val="22"/>
                <w:lang w:eastAsia="en-AU"/>
              </w:rPr>
              <w:tab/>
            </w:r>
            <w:r w:rsidRPr="00FA58BD">
              <w:rPr>
                <w:rStyle w:val="Hyperlink"/>
                <w:noProof/>
                <w:lang w:eastAsia="en-AU"/>
              </w:rPr>
              <w:t xml:space="preserve">Contents </w:t>
            </w:r>
            <w:r w:rsidRPr="00FA58BD">
              <w:rPr>
                <w:rStyle w:val="Hyperlink"/>
                <w:noProof/>
              </w:rPr>
              <w:t>of</w:t>
            </w:r>
            <w:r w:rsidRPr="00FA58BD">
              <w:rPr>
                <w:rStyle w:val="Hyperlink"/>
                <w:noProof/>
                <w:lang w:eastAsia="en-AU"/>
              </w:rPr>
              <w:t xml:space="preserve"> the clinical dossier</w:t>
            </w:r>
            <w:r>
              <w:rPr>
                <w:noProof/>
                <w:webHidden/>
              </w:rPr>
              <w:tab/>
            </w:r>
            <w:r>
              <w:rPr>
                <w:noProof/>
                <w:webHidden/>
              </w:rPr>
              <w:fldChar w:fldCharType="begin"/>
            </w:r>
            <w:r>
              <w:rPr>
                <w:noProof/>
                <w:webHidden/>
              </w:rPr>
              <w:instrText xml:space="preserve"> PAGEREF _Toc430094049 \h </w:instrText>
            </w:r>
            <w:r>
              <w:rPr>
                <w:noProof/>
                <w:webHidden/>
              </w:rPr>
            </w:r>
            <w:r>
              <w:rPr>
                <w:noProof/>
                <w:webHidden/>
              </w:rPr>
              <w:fldChar w:fldCharType="separate"/>
            </w:r>
            <w:r>
              <w:rPr>
                <w:noProof/>
                <w:webHidden/>
              </w:rPr>
              <w:t>7</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50" w:history="1">
            <w:r w:rsidRPr="00FA58BD">
              <w:rPr>
                <w:rStyle w:val="Hyperlink"/>
                <w:noProof/>
              </w:rPr>
              <w:t>2.1.</w:t>
            </w:r>
            <w:r>
              <w:rPr>
                <w:rFonts w:asciiTheme="minorHAnsi" w:eastAsiaTheme="minorEastAsia" w:hAnsiTheme="minorHAnsi" w:cstheme="minorBidi"/>
                <w:noProof/>
                <w:lang w:eastAsia="en-AU"/>
              </w:rPr>
              <w:tab/>
            </w:r>
            <w:r w:rsidRPr="00FA58BD">
              <w:rPr>
                <w:rStyle w:val="Hyperlink"/>
                <w:noProof/>
              </w:rPr>
              <w:t>Scope of the clinical dossier</w:t>
            </w:r>
            <w:r>
              <w:rPr>
                <w:noProof/>
                <w:webHidden/>
              </w:rPr>
              <w:tab/>
            </w:r>
            <w:r>
              <w:rPr>
                <w:noProof/>
                <w:webHidden/>
              </w:rPr>
              <w:fldChar w:fldCharType="begin"/>
            </w:r>
            <w:r>
              <w:rPr>
                <w:noProof/>
                <w:webHidden/>
              </w:rPr>
              <w:instrText xml:space="preserve"> PAGEREF _Toc430094050 \h </w:instrText>
            </w:r>
            <w:r>
              <w:rPr>
                <w:noProof/>
                <w:webHidden/>
              </w:rPr>
            </w:r>
            <w:r>
              <w:rPr>
                <w:noProof/>
                <w:webHidden/>
              </w:rPr>
              <w:fldChar w:fldCharType="separate"/>
            </w:r>
            <w:r>
              <w:rPr>
                <w:noProof/>
                <w:webHidden/>
              </w:rPr>
              <w:t>7</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51" w:history="1">
            <w:r w:rsidRPr="00FA58BD">
              <w:rPr>
                <w:rStyle w:val="Hyperlink"/>
                <w:noProof/>
              </w:rPr>
              <w:t>2.2.</w:t>
            </w:r>
            <w:r>
              <w:rPr>
                <w:rFonts w:asciiTheme="minorHAnsi" w:eastAsiaTheme="minorEastAsia" w:hAnsiTheme="minorHAnsi" w:cstheme="minorBidi"/>
                <w:noProof/>
                <w:lang w:eastAsia="en-AU"/>
              </w:rPr>
              <w:tab/>
            </w:r>
            <w:r w:rsidRPr="00FA58BD">
              <w:rPr>
                <w:rStyle w:val="Hyperlink"/>
                <w:noProof/>
              </w:rPr>
              <w:t>Paediatric data</w:t>
            </w:r>
            <w:r>
              <w:rPr>
                <w:noProof/>
                <w:webHidden/>
              </w:rPr>
              <w:tab/>
            </w:r>
            <w:r>
              <w:rPr>
                <w:noProof/>
                <w:webHidden/>
              </w:rPr>
              <w:fldChar w:fldCharType="begin"/>
            </w:r>
            <w:r>
              <w:rPr>
                <w:noProof/>
                <w:webHidden/>
              </w:rPr>
              <w:instrText xml:space="preserve"> PAGEREF _Toc430094051 \h </w:instrText>
            </w:r>
            <w:r>
              <w:rPr>
                <w:noProof/>
                <w:webHidden/>
              </w:rPr>
            </w:r>
            <w:r>
              <w:rPr>
                <w:noProof/>
                <w:webHidden/>
              </w:rPr>
              <w:fldChar w:fldCharType="separate"/>
            </w:r>
            <w:r>
              <w:rPr>
                <w:noProof/>
                <w:webHidden/>
              </w:rPr>
              <w:t>7</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52" w:history="1">
            <w:r w:rsidRPr="00FA58BD">
              <w:rPr>
                <w:rStyle w:val="Hyperlink"/>
                <w:noProof/>
              </w:rPr>
              <w:t>2.3.</w:t>
            </w:r>
            <w:r>
              <w:rPr>
                <w:rFonts w:asciiTheme="minorHAnsi" w:eastAsiaTheme="minorEastAsia" w:hAnsiTheme="minorHAnsi" w:cstheme="minorBidi"/>
                <w:noProof/>
                <w:lang w:eastAsia="en-AU"/>
              </w:rPr>
              <w:tab/>
            </w:r>
            <w:r w:rsidRPr="00FA58BD">
              <w:rPr>
                <w:rStyle w:val="Hyperlink"/>
                <w:noProof/>
              </w:rPr>
              <w:t>Good clinical practice</w:t>
            </w:r>
            <w:r>
              <w:rPr>
                <w:noProof/>
                <w:webHidden/>
              </w:rPr>
              <w:tab/>
            </w:r>
            <w:r>
              <w:rPr>
                <w:noProof/>
                <w:webHidden/>
              </w:rPr>
              <w:fldChar w:fldCharType="begin"/>
            </w:r>
            <w:r>
              <w:rPr>
                <w:noProof/>
                <w:webHidden/>
              </w:rPr>
              <w:instrText xml:space="preserve"> PAGEREF _Toc430094052 \h </w:instrText>
            </w:r>
            <w:r>
              <w:rPr>
                <w:noProof/>
                <w:webHidden/>
              </w:rPr>
            </w:r>
            <w:r>
              <w:rPr>
                <w:noProof/>
                <w:webHidden/>
              </w:rPr>
              <w:fldChar w:fldCharType="separate"/>
            </w:r>
            <w:r>
              <w:rPr>
                <w:noProof/>
                <w:webHidden/>
              </w:rPr>
              <w:t>7</w:t>
            </w:r>
            <w:r>
              <w:rPr>
                <w:noProof/>
                <w:webHidden/>
              </w:rPr>
              <w:fldChar w:fldCharType="end"/>
            </w:r>
          </w:hyperlink>
        </w:p>
        <w:p w:rsidR="00D7592F" w:rsidRDefault="00D7592F">
          <w:pPr>
            <w:pStyle w:val="TOC2"/>
            <w:tabs>
              <w:tab w:val="left" w:pos="1100"/>
            </w:tabs>
            <w:rPr>
              <w:rFonts w:asciiTheme="minorHAnsi" w:eastAsiaTheme="minorEastAsia" w:hAnsiTheme="minorHAnsi" w:cstheme="minorBidi"/>
              <w:b w:val="0"/>
              <w:noProof/>
              <w:sz w:val="22"/>
              <w:lang w:eastAsia="en-AU"/>
            </w:rPr>
          </w:pPr>
          <w:hyperlink w:anchor="_Toc430094053" w:history="1">
            <w:r w:rsidRPr="00FA58BD">
              <w:rPr>
                <w:rStyle w:val="Hyperlink"/>
                <w:noProof/>
              </w:rPr>
              <w:t>3.</w:t>
            </w:r>
            <w:r>
              <w:rPr>
                <w:rFonts w:asciiTheme="minorHAnsi" w:eastAsiaTheme="minorEastAsia" w:hAnsiTheme="minorHAnsi" w:cstheme="minorBidi"/>
                <w:b w:val="0"/>
                <w:noProof/>
                <w:sz w:val="22"/>
                <w:lang w:eastAsia="en-AU"/>
              </w:rPr>
              <w:tab/>
            </w:r>
            <w:r w:rsidRPr="00FA58BD">
              <w:rPr>
                <w:rStyle w:val="Hyperlink"/>
                <w:noProof/>
              </w:rPr>
              <w:t>Pharmacokinetics</w:t>
            </w:r>
            <w:r>
              <w:rPr>
                <w:noProof/>
                <w:webHidden/>
              </w:rPr>
              <w:tab/>
            </w:r>
            <w:r>
              <w:rPr>
                <w:noProof/>
                <w:webHidden/>
              </w:rPr>
              <w:fldChar w:fldCharType="begin"/>
            </w:r>
            <w:r>
              <w:rPr>
                <w:noProof/>
                <w:webHidden/>
              </w:rPr>
              <w:instrText xml:space="preserve"> PAGEREF _Toc430094053 \h </w:instrText>
            </w:r>
            <w:r>
              <w:rPr>
                <w:noProof/>
                <w:webHidden/>
              </w:rPr>
            </w:r>
            <w:r>
              <w:rPr>
                <w:noProof/>
                <w:webHidden/>
              </w:rPr>
              <w:fldChar w:fldCharType="separate"/>
            </w:r>
            <w:r>
              <w:rPr>
                <w:noProof/>
                <w:webHidden/>
              </w:rPr>
              <w:t>7</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54" w:history="1">
            <w:r w:rsidRPr="00FA58BD">
              <w:rPr>
                <w:rStyle w:val="Hyperlink"/>
                <w:noProof/>
              </w:rPr>
              <w:t>3.1.</w:t>
            </w:r>
            <w:r>
              <w:rPr>
                <w:rFonts w:asciiTheme="minorHAnsi" w:eastAsiaTheme="minorEastAsia" w:hAnsiTheme="minorHAnsi" w:cstheme="minorBidi"/>
                <w:noProof/>
                <w:lang w:eastAsia="en-AU"/>
              </w:rPr>
              <w:tab/>
            </w:r>
            <w:r w:rsidRPr="00FA58BD">
              <w:rPr>
                <w:rStyle w:val="Hyperlink"/>
                <w:noProof/>
              </w:rPr>
              <w:t>Studies providing pharmacokinetic data</w:t>
            </w:r>
            <w:r>
              <w:rPr>
                <w:noProof/>
                <w:webHidden/>
              </w:rPr>
              <w:tab/>
            </w:r>
            <w:r>
              <w:rPr>
                <w:noProof/>
                <w:webHidden/>
              </w:rPr>
              <w:fldChar w:fldCharType="begin"/>
            </w:r>
            <w:r>
              <w:rPr>
                <w:noProof/>
                <w:webHidden/>
              </w:rPr>
              <w:instrText xml:space="preserve"> PAGEREF _Toc430094054 \h </w:instrText>
            </w:r>
            <w:r>
              <w:rPr>
                <w:noProof/>
                <w:webHidden/>
              </w:rPr>
            </w:r>
            <w:r>
              <w:rPr>
                <w:noProof/>
                <w:webHidden/>
              </w:rPr>
              <w:fldChar w:fldCharType="separate"/>
            </w:r>
            <w:r>
              <w:rPr>
                <w:noProof/>
                <w:webHidden/>
              </w:rPr>
              <w:t>7</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55" w:history="1">
            <w:r w:rsidRPr="00FA58BD">
              <w:rPr>
                <w:rStyle w:val="Hyperlink"/>
                <w:noProof/>
              </w:rPr>
              <w:t>3.2.</w:t>
            </w:r>
            <w:r>
              <w:rPr>
                <w:rFonts w:asciiTheme="minorHAnsi" w:eastAsiaTheme="minorEastAsia" w:hAnsiTheme="minorHAnsi" w:cstheme="minorBidi"/>
                <w:noProof/>
                <w:lang w:eastAsia="en-AU"/>
              </w:rPr>
              <w:tab/>
            </w:r>
            <w:r w:rsidRPr="00FA58BD">
              <w:rPr>
                <w:rStyle w:val="Hyperlink"/>
                <w:noProof/>
              </w:rPr>
              <w:t>Summary of pharmacokinetics</w:t>
            </w:r>
            <w:r>
              <w:rPr>
                <w:noProof/>
                <w:webHidden/>
              </w:rPr>
              <w:tab/>
            </w:r>
            <w:r>
              <w:rPr>
                <w:noProof/>
                <w:webHidden/>
              </w:rPr>
              <w:fldChar w:fldCharType="begin"/>
            </w:r>
            <w:r>
              <w:rPr>
                <w:noProof/>
                <w:webHidden/>
              </w:rPr>
              <w:instrText xml:space="preserve"> PAGEREF _Toc430094055 \h </w:instrText>
            </w:r>
            <w:r>
              <w:rPr>
                <w:noProof/>
                <w:webHidden/>
              </w:rPr>
            </w:r>
            <w:r>
              <w:rPr>
                <w:noProof/>
                <w:webHidden/>
              </w:rPr>
              <w:fldChar w:fldCharType="separate"/>
            </w:r>
            <w:r>
              <w:rPr>
                <w:noProof/>
                <w:webHidden/>
              </w:rPr>
              <w:t>8</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56" w:history="1">
            <w:r w:rsidRPr="00FA58BD">
              <w:rPr>
                <w:rStyle w:val="Hyperlink"/>
                <w:noProof/>
              </w:rPr>
              <w:t>3.3.</w:t>
            </w:r>
            <w:r>
              <w:rPr>
                <w:rFonts w:asciiTheme="minorHAnsi" w:eastAsiaTheme="minorEastAsia" w:hAnsiTheme="minorHAnsi" w:cstheme="minorBidi"/>
                <w:noProof/>
                <w:lang w:eastAsia="en-AU"/>
              </w:rPr>
              <w:tab/>
            </w:r>
            <w:r w:rsidRPr="00FA58BD">
              <w:rPr>
                <w:rStyle w:val="Hyperlink"/>
                <w:noProof/>
              </w:rPr>
              <w:t>Evaluator’s conclusions on pharmacokinetics</w:t>
            </w:r>
            <w:r>
              <w:rPr>
                <w:noProof/>
                <w:webHidden/>
              </w:rPr>
              <w:tab/>
            </w:r>
            <w:r>
              <w:rPr>
                <w:noProof/>
                <w:webHidden/>
              </w:rPr>
              <w:fldChar w:fldCharType="begin"/>
            </w:r>
            <w:r>
              <w:rPr>
                <w:noProof/>
                <w:webHidden/>
              </w:rPr>
              <w:instrText xml:space="preserve"> PAGEREF _Toc430094056 \h </w:instrText>
            </w:r>
            <w:r>
              <w:rPr>
                <w:noProof/>
                <w:webHidden/>
              </w:rPr>
            </w:r>
            <w:r>
              <w:rPr>
                <w:noProof/>
                <w:webHidden/>
              </w:rPr>
              <w:fldChar w:fldCharType="separate"/>
            </w:r>
            <w:r>
              <w:rPr>
                <w:noProof/>
                <w:webHidden/>
              </w:rPr>
              <w:t>11</w:t>
            </w:r>
            <w:r>
              <w:rPr>
                <w:noProof/>
                <w:webHidden/>
              </w:rPr>
              <w:fldChar w:fldCharType="end"/>
            </w:r>
          </w:hyperlink>
        </w:p>
        <w:p w:rsidR="00D7592F" w:rsidRDefault="00D7592F">
          <w:pPr>
            <w:pStyle w:val="TOC2"/>
            <w:tabs>
              <w:tab w:val="left" w:pos="1100"/>
            </w:tabs>
            <w:rPr>
              <w:rFonts w:asciiTheme="minorHAnsi" w:eastAsiaTheme="minorEastAsia" w:hAnsiTheme="minorHAnsi" w:cstheme="minorBidi"/>
              <w:b w:val="0"/>
              <w:noProof/>
              <w:sz w:val="22"/>
              <w:lang w:eastAsia="en-AU"/>
            </w:rPr>
          </w:pPr>
          <w:hyperlink w:anchor="_Toc430094057" w:history="1">
            <w:r w:rsidRPr="00FA58BD">
              <w:rPr>
                <w:rStyle w:val="Hyperlink"/>
                <w:noProof/>
              </w:rPr>
              <w:t>4.</w:t>
            </w:r>
            <w:r>
              <w:rPr>
                <w:rFonts w:asciiTheme="minorHAnsi" w:eastAsiaTheme="minorEastAsia" w:hAnsiTheme="minorHAnsi" w:cstheme="minorBidi"/>
                <w:b w:val="0"/>
                <w:noProof/>
                <w:sz w:val="22"/>
                <w:lang w:eastAsia="en-AU"/>
              </w:rPr>
              <w:tab/>
            </w:r>
            <w:r w:rsidRPr="00FA58BD">
              <w:rPr>
                <w:rStyle w:val="Hyperlink"/>
                <w:noProof/>
              </w:rPr>
              <w:t>Pharmacodynamics</w:t>
            </w:r>
            <w:r>
              <w:rPr>
                <w:noProof/>
                <w:webHidden/>
              </w:rPr>
              <w:tab/>
            </w:r>
            <w:r>
              <w:rPr>
                <w:noProof/>
                <w:webHidden/>
              </w:rPr>
              <w:fldChar w:fldCharType="begin"/>
            </w:r>
            <w:r>
              <w:rPr>
                <w:noProof/>
                <w:webHidden/>
              </w:rPr>
              <w:instrText xml:space="preserve"> PAGEREF _Toc430094057 \h </w:instrText>
            </w:r>
            <w:r>
              <w:rPr>
                <w:noProof/>
                <w:webHidden/>
              </w:rPr>
            </w:r>
            <w:r>
              <w:rPr>
                <w:noProof/>
                <w:webHidden/>
              </w:rPr>
              <w:fldChar w:fldCharType="separate"/>
            </w:r>
            <w:r>
              <w:rPr>
                <w:noProof/>
                <w:webHidden/>
              </w:rPr>
              <w:t>12</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58" w:history="1">
            <w:r w:rsidRPr="00FA58BD">
              <w:rPr>
                <w:rStyle w:val="Hyperlink"/>
                <w:noProof/>
              </w:rPr>
              <w:t>4.1.</w:t>
            </w:r>
            <w:r>
              <w:rPr>
                <w:rFonts w:asciiTheme="minorHAnsi" w:eastAsiaTheme="minorEastAsia" w:hAnsiTheme="minorHAnsi" w:cstheme="minorBidi"/>
                <w:noProof/>
                <w:lang w:eastAsia="en-AU"/>
              </w:rPr>
              <w:tab/>
            </w:r>
            <w:r w:rsidRPr="00FA58BD">
              <w:rPr>
                <w:rStyle w:val="Hyperlink"/>
                <w:noProof/>
              </w:rPr>
              <w:t>Studies providing pharmacodynamic data</w:t>
            </w:r>
            <w:r>
              <w:rPr>
                <w:noProof/>
                <w:webHidden/>
              </w:rPr>
              <w:tab/>
            </w:r>
            <w:r>
              <w:rPr>
                <w:noProof/>
                <w:webHidden/>
              </w:rPr>
              <w:fldChar w:fldCharType="begin"/>
            </w:r>
            <w:r>
              <w:rPr>
                <w:noProof/>
                <w:webHidden/>
              </w:rPr>
              <w:instrText xml:space="preserve"> PAGEREF _Toc430094058 \h </w:instrText>
            </w:r>
            <w:r>
              <w:rPr>
                <w:noProof/>
                <w:webHidden/>
              </w:rPr>
            </w:r>
            <w:r>
              <w:rPr>
                <w:noProof/>
                <w:webHidden/>
              </w:rPr>
              <w:fldChar w:fldCharType="separate"/>
            </w:r>
            <w:r>
              <w:rPr>
                <w:noProof/>
                <w:webHidden/>
              </w:rPr>
              <w:t>12</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59" w:history="1">
            <w:r w:rsidRPr="00FA58BD">
              <w:rPr>
                <w:rStyle w:val="Hyperlink"/>
                <w:noProof/>
              </w:rPr>
              <w:t>4.2.</w:t>
            </w:r>
            <w:r>
              <w:rPr>
                <w:rFonts w:asciiTheme="minorHAnsi" w:eastAsiaTheme="minorEastAsia" w:hAnsiTheme="minorHAnsi" w:cstheme="minorBidi"/>
                <w:noProof/>
                <w:lang w:eastAsia="en-AU"/>
              </w:rPr>
              <w:tab/>
            </w:r>
            <w:r w:rsidRPr="00FA58BD">
              <w:rPr>
                <w:rStyle w:val="Hyperlink"/>
                <w:noProof/>
              </w:rPr>
              <w:t>Summary of pharmacodynamics</w:t>
            </w:r>
            <w:r>
              <w:rPr>
                <w:noProof/>
                <w:webHidden/>
              </w:rPr>
              <w:tab/>
            </w:r>
            <w:r>
              <w:rPr>
                <w:noProof/>
                <w:webHidden/>
              </w:rPr>
              <w:fldChar w:fldCharType="begin"/>
            </w:r>
            <w:r>
              <w:rPr>
                <w:noProof/>
                <w:webHidden/>
              </w:rPr>
              <w:instrText xml:space="preserve"> PAGEREF _Toc430094059 \h </w:instrText>
            </w:r>
            <w:r>
              <w:rPr>
                <w:noProof/>
                <w:webHidden/>
              </w:rPr>
            </w:r>
            <w:r>
              <w:rPr>
                <w:noProof/>
                <w:webHidden/>
              </w:rPr>
              <w:fldChar w:fldCharType="separate"/>
            </w:r>
            <w:r>
              <w:rPr>
                <w:noProof/>
                <w:webHidden/>
              </w:rPr>
              <w:t>12</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60" w:history="1">
            <w:r w:rsidRPr="00FA58BD">
              <w:rPr>
                <w:rStyle w:val="Hyperlink"/>
                <w:noProof/>
              </w:rPr>
              <w:t>4.3.</w:t>
            </w:r>
            <w:r>
              <w:rPr>
                <w:rFonts w:asciiTheme="minorHAnsi" w:eastAsiaTheme="minorEastAsia" w:hAnsiTheme="minorHAnsi" w:cstheme="minorBidi"/>
                <w:noProof/>
                <w:lang w:eastAsia="en-AU"/>
              </w:rPr>
              <w:tab/>
            </w:r>
            <w:r w:rsidRPr="00FA58BD">
              <w:rPr>
                <w:rStyle w:val="Hyperlink"/>
                <w:noProof/>
              </w:rPr>
              <w:t>Evaluator’s conclusions on pharmacodynamics</w:t>
            </w:r>
            <w:r>
              <w:rPr>
                <w:noProof/>
                <w:webHidden/>
              </w:rPr>
              <w:tab/>
            </w:r>
            <w:r>
              <w:rPr>
                <w:noProof/>
                <w:webHidden/>
              </w:rPr>
              <w:fldChar w:fldCharType="begin"/>
            </w:r>
            <w:r>
              <w:rPr>
                <w:noProof/>
                <w:webHidden/>
              </w:rPr>
              <w:instrText xml:space="preserve"> PAGEREF _Toc430094060 \h </w:instrText>
            </w:r>
            <w:r>
              <w:rPr>
                <w:noProof/>
                <w:webHidden/>
              </w:rPr>
            </w:r>
            <w:r>
              <w:rPr>
                <w:noProof/>
                <w:webHidden/>
              </w:rPr>
              <w:fldChar w:fldCharType="separate"/>
            </w:r>
            <w:r>
              <w:rPr>
                <w:noProof/>
                <w:webHidden/>
              </w:rPr>
              <w:t>14</w:t>
            </w:r>
            <w:r>
              <w:rPr>
                <w:noProof/>
                <w:webHidden/>
              </w:rPr>
              <w:fldChar w:fldCharType="end"/>
            </w:r>
          </w:hyperlink>
        </w:p>
        <w:p w:rsidR="00D7592F" w:rsidRDefault="00D7592F">
          <w:pPr>
            <w:pStyle w:val="TOC2"/>
            <w:tabs>
              <w:tab w:val="left" w:pos="1100"/>
            </w:tabs>
            <w:rPr>
              <w:rFonts w:asciiTheme="minorHAnsi" w:eastAsiaTheme="minorEastAsia" w:hAnsiTheme="minorHAnsi" w:cstheme="minorBidi"/>
              <w:b w:val="0"/>
              <w:noProof/>
              <w:sz w:val="22"/>
              <w:lang w:eastAsia="en-AU"/>
            </w:rPr>
          </w:pPr>
          <w:hyperlink w:anchor="_Toc430094061" w:history="1">
            <w:r w:rsidRPr="00FA58BD">
              <w:rPr>
                <w:rStyle w:val="Hyperlink"/>
                <w:noProof/>
              </w:rPr>
              <w:t>5.</w:t>
            </w:r>
            <w:r>
              <w:rPr>
                <w:rFonts w:asciiTheme="minorHAnsi" w:eastAsiaTheme="minorEastAsia" w:hAnsiTheme="minorHAnsi" w:cstheme="minorBidi"/>
                <w:b w:val="0"/>
                <w:noProof/>
                <w:sz w:val="22"/>
                <w:lang w:eastAsia="en-AU"/>
              </w:rPr>
              <w:tab/>
            </w:r>
            <w:r w:rsidRPr="00FA58BD">
              <w:rPr>
                <w:rStyle w:val="Hyperlink"/>
                <w:noProof/>
              </w:rPr>
              <w:t>Dosage selection for the pivotal studies</w:t>
            </w:r>
            <w:r>
              <w:rPr>
                <w:noProof/>
                <w:webHidden/>
              </w:rPr>
              <w:tab/>
            </w:r>
            <w:r>
              <w:rPr>
                <w:noProof/>
                <w:webHidden/>
              </w:rPr>
              <w:fldChar w:fldCharType="begin"/>
            </w:r>
            <w:r>
              <w:rPr>
                <w:noProof/>
                <w:webHidden/>
              </w:rPr>
              <w:instrText xml:space="preserve"> PAGEREF _Toc430094061 \h </w:instrText>
            </w:r>
            <w:r>
              <w:rPr>
                <w:noProof/>
                <w:webHidden/>
              </w:rPr>
            </w:r>
            <w:r>
              <w:rPr>
                <w:noProof/>
                <w:webHidden/>
              </w:rPr>
              <w:fldChar w:fldCharType="separate"/>
            </w:r>
            <w:r>
              <w:rPr>
                <w:noProof/>
                <w:webHidden/>
              </w:rPr>
              <w:t>14</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62" w:history="1">
            <w:r w:rsidRPr="00FA58BD">
              <w:rPr>
                <w:rStyle w:val="Hyperlink"/>
                <w:noProof/>
              </w:rPr>
              <w:t>5.1.</w:t>
            </w:r>
            <w:r>
              <w:rPr>
                <w:rFonts w:asciiTheme="minorHAnsi" w:eastAsiaTheme="minorEastAsia" w:hAnsiTheme="minorHAnsi" w:cstheme="minorBidi"/>
                <w:noProof/>
                <w:lang w:eastAsia="en-AU"/>
              </w:rPr>
              <w:tab/>
            </w:r>
            <w:r w:rsidRPr="00FA58BD">
              <w:rPr>
                <w:rStyle w:val="Hyperlink"/>
                <w:noProof/>
              </w:rPr>
              <w:t>Study HRA2914-507</w:t>
            </w:r>
            <w:r>
              <w:rPr>
                <w:noProof/>
                <w:webHidden/>
              </w:rPr>
              <w:tab/>
            </w:r>
            <w:r>
              <w:rPr>
                <w:noProof/>
                <w:webHidden/>
              </w:rPr>
              <w:fldChar w:fldCharType="begin"/>
            </w:r>
            <w:r>
              <w:rPr>
                <w:noProof/>
                <w:webHidden/>
              </w:rPr>
              <w:instrText xml:space="preserve"> PAGEREF _Toc430094062 \h </w:instrText>
            </w:r>
            <w:r>
              <w:rPr>
                <w:noProof/>
                <w:webHidden/>
              </w:rPr>
            </w:r>
            <w:r>
              <w:rPr>
                <w:noProof/>
                <w:webHidden/>
              </w:rPr>
              <w:fldChar w:fldCharType="separate"/>
            </w:r>
            <w:r>
              <w:rPr>
                <w:noProof/>
                <w:webHidden/>
              </w:rPr>
              <w:t>14</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63" w:history="1">
            <w:r w:rsidRPr="00FA58BD">
              <w:rPr>
                <w:rStyle w:val="Hyperlink"/>
                <w:noProof/>
              </w:rPr>
              <w:t>5.2.</w:t>
            </w:r>
            <w:r>
              <w:rPr>
                <w:rFonts w:asciiTheme="minorHAnsi" w:eastAsiaTheme="minorEastAsia" w:hAnsiTheme="minorHAnsi" w:cstheme="minorBidi"/>
                <w:noProof/>
                <w:lang w:eastAsia="en-AU"/>
              </w:rPr>
              <w:tab/>
            </w:r>
            <w:r w:rsidRPr="00FA58BD">
              <w:rPr>
                <w:rStyle w:val="Hyperlink"/>
                <w:noProof/>
              </w:rPr>
              <w:t>Study HRA2914-508</w:t>
            </w:r>
            <w:r>
              <w:rPr>
                <w:noProof/>
                <w:webHidden/>
              </w:rPr>
              <w:tab/>
            </w:r>
            <w:r>
              <w:rPr>
                <w:noProof/>
                <w:webHidden/>
              </w:rPr>
              <w:fldChar w:fldCharType="begin"/>
            </w:r>
            <w:r>
              <w:rPr>
                <w:noProof/>
                <w:webHidden/>
              </w:rPr>
              <w:instrText xml:space="preserve"> PAGEREF _Toc430094063 \h </w:instrText>
            </w:r>
            <w:r>
              <w:rPr>
                <w:noProof/>
                <w:webHidden/>
              </w:rPr>
            </w:r>
            <w:r>
              <w:rPr>
                <w:noProof/>
                <w:webHidden/>
              </w:rPr>
              <w:fldChar w:fldCharType="separate"/>
            </w:r>
            <w:r>
              <w:rPr>
                <w:noProof/>
                <w:webHidden/>
              </w:rPr>
              <w:t>16</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64" w:history="1">
            <w:r w:rsidRPr="00FA58BD">
              <w:rPr>
                <w:rStyle w:val="Hyperlink"/>
                <w:noProof/>
              </w:rPr>
              <w:t>5.3.</w:t>
            </w:r>
            <w:r>
              <w:rPr>
                <w:rFonts w:asciiTheme="minorHAnsi" w:eastAsiaTheme="minorEastAsia" w:hAnsiTheme="minorHAnsi" w:cstheme="minorBidi"/>
                <w:noProof/>
                <w:lang w:eastAsia="en-AU"/>
              </w:rPr>
              <w:tab/>
            </w:r>
            <w:r w:rsidRPr="00FA58BD">
              <w:rPr>
                <w:rStyle w:val="Hyperlink"/>
                <w:noProof/>
              </w:rPr>
              <w:t>Conclusions with regard to the dose finding studies</w:t>
            </w:r>
            <w:r>
              <w:rPr>
                <w:noProof/>
                <w:webHidden/>
              </w:rPr>
              <w:tab/>
            </w:r>
            <w:r>
              <w:rPr>
                <w:noProof/>
                <w:webHidden/>
              </w:rPr>
              <w:fldChar w:fldCharType="begin"/>
            </w:r>
            <w:r>
              <w:rPr>
                <w:noProof/>
                <w:webHidden/>
              </w:rPr>
              <w:instrText xml:space="preserve"> PAGEREF _Toc430094064 \h </w:instrText>
            </w:r>
            <w:r>
              <w:rPr>
                <w:noProof/>
                <w:webHidden/>
              </w:rPr>
            </w:r>
            <w:r>
              <w:rPr>
                <w:noProof/>
                <w:webHidden/>
              </w:rPr>
              <w:fldChar w:fldCharType="separate"/>
            </w:r>
            <w:r>
              <w:rPr>
                <w:noProof/>
                <w:webHidden/>
              </w:rPr>
              <w:t>16</w:t>
            </w:r>
            <w:r>
              <w:rPr>
                <w:noProof/>
                <w:webHidden/>
              </w:rPr>
              <w:fldChar w:fldCharType="end"/>
            </w:r>
          </w:hyperlink>
        </w:p>
        <w:p w:rsidR="00D7592F" w:rsidRDefault="00D7592F">
          <w:pPr>
            <w:pStyle w:val="TOC2"/>
            <w:tabs>
              <w:tab w:val="left" w:pos="1100"/>
            </w:tabs>
            <w:rPr>
              <w:rFonts w:asciiTheme="minorHAnsi" w:eastAsiaTheme="minorEastAsia" w:hAnsiTheme="minorHAnsi" w:cstheme="minorBidi"/>
              <w:b w:val="0"/>
              <w:noProof/>
              <w:sz w:val="22"/>
              <w:lang w:eastAsia="en-AU"/>
            </w:rPr>
          </w:pPr>
          <w:hyperlink w:anchor="_Toc430094065" w:history="1">
            <w:r w:rsidRPr="00FA58BD">
              <w:rPr>
                <w:rStyle w:val="Hyperlink"/>
                <w:noProof/>
              </w:rPr>
              <w:t>6.</w:t>
            </w:r>
            <w:r>
              <w:rPr>
                <w:rFonts w:asciiTheme="minorHAnsi" w:eastAsiaTheme="minorEastAsia" w:hAnsiTheme="minorHAnsi" w:cstheme="minorBidi"/>
                <w:b w:val="0"/>
                <w:noProof/>
                <w:sz w:val="22"/>
                <w:lang w:eastAsia="en-AU"/>
              </w:rPr>
              <w:tab/>
            </w:r>
            <w:r w:rsidRPr="00FA58BD">
              <w:rPr>
                <w:rStyle w:val="Hyperlink"/>
                <w:noProof/>
              </w:rPr>
              <w:t>Clinical efficacy</w:t>
            </w:r>
            <w:r>
              <w:rPr>
                <w:noProof/>
                <w:webHidden/>
              </w:rPr>
              <w:tab/>
            </w:r>
            <w:r>
              <w:rPr>
                <w:noProof/>
                <w:webHidden/>
              </w:rPr>
              <w:fldChar w:fldCharType="begin"/>
            </w:r>
            <w:r>
              <w:rPr>
                <w:noProof/>
                <w:webHidden/>
              </w:rPr>
              <w:instrText xml:space="preserve"> PAGEREF _Toc430094065 \h </w:instrText>
            </w:r>
            <w:r>
              <w:rPr>
                <w:noProof/>
                <w:webHidden/>
              </w:rPr>
            </w:r>
            <w:r>
              <w:rPr>
                <w:noProof/>
                <w:webHidden/>
              </w:rPr>
              <w:fldChar w:fldCharType="separate"/>
            </w:r>
            <w:r>
              <w:rPr>
                <w:noProof/>
                <w:webHidden/>
              </w:rPr>
              <w:t>17</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66" w:history="1">
            <w:r w:rsidRPr="00FA58BD">
              <w:rPr>
                <w:rStyle w:val="Hyperlink"/>
                <w:noProof/>
              </w:rPr>
              <w:t>6.1.</w:t>
            </w:r>
            <w:r>
              <w:rPr>
                <w:rFonts w:asciiTheme="minorHAnsi" w:eastAsiaTheme="minorEastAsia" w:hAnsiTheme="minorHAnsi" w:cstheme="minorBidi"/>
                <w:noProof/>
                <w:lang w:eastAsia="en-AU"/>
              </w:rPr>
              <w:tab/>
            </w:r>
            <w:r w:rsidRPr="00FA58BD">
              <w:rPr>
                <w:rStyle w:val="Hyperlink"/>
                <w:noProof/>
              </w:rPr>
              <w:t>Emergency contraception</w:t>
            </w:r>
            <w:r>
              <w:rPr>
                <w:noProof/>
                <w:webHidden/>
              </w:rPr>
              <w:tab/>
            </w:r>
            <w:r>
              <w:rPr>
                <w:noProof/>
                <w:webHidden/>
              </w:rPr>
              <w:fldChar w:fldCharType="begin"/>
            </w:r>
            <w:r>
              <w:rPr>
                <w:noProof/>
                <w:webHidden/>
              </w:rPr>
              <w:instrText xml:space="preserve"> PAGEREF _Toc430094066 \h </w:instrText>
            </w:r>
            <w:r>
              <w:rPr>
                <w:noProof/>
                <w:webHidden/>
              </w:rPr>
            </w:r>
            <w:r>
              <w:rPr>
                <w:noProof/>
                <w:webHidden/>
              </w:rPr>
              <w:fldChar w:fldCharType="separate"/>
            </w:r>
            <w:r>
              <w:rPr>
                <w:noProof/>
                <w:webHidden/>
              </w:rPr>
              <w:t>17</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67" w:history="1">
            <w:r w:rsidRPr="00FA58BD">
              <w:rPr>
                <w:rStyle w:val="Hyperlink"/>
                <w:noProof/>
              </w:rPr>
              <w:t>6.2.</w:t>
            </w:r>
            <w:r>
              <w:rPr>
                <w:rFonts w:asciiTheme="minorHAnsi" w:eastAsiaTheme="minorEastAsia" w:hAnsiTheme="minorHAnsi" w:cstheme="minorBidi"/>
                <w:noProof/>
                <w:lang w:eastAsia="en-AU"/>
              </w:rPr>
              <w:tab/>
            </w:r>
            <w:r w:rsidRPr="00FA58BD">
              <w:rPr>
                <w:rStyle w:val="Hyperlink"/>
                <w:noProof/>
              </w:rPr>
              <w:t>Evaluator’s conclusions on efficacy for emergency contraception</w:t>
            </w:r>
            <w:r>
              <w:rPr>
                <w:noProof/>
                <w:webHidden/>
              </w:rPr>
              <w:tab/>
            </w:r>
            <w:r>
              <w:rPr>
                <w:noProof/>
                <w:webHidden/>
              </w:rPr>
              <w:fldChar w:fldCharType="begin"/>
            </w:r>
            <w:r>
              <w:rPr>
                <w:noProof/>
                <w:webHidden/>
              </w:rPr>
              <w:instrText xml:space="preserve"> PAGEREF _Toc430094067 \h </w:instrText>
            </w:r>
            <w:r>
              <w:rPr>
                <w:noProof/>
                <w:webHidden/>
              </w:rPr>
            </w:r>
            <w:r>
              <w:rPr>
                <w:noProof/>
                <w:webHidden/>
              </w:rPr>
              <w:fldChar w:fldCharType="separate"/>
            </w:r>
            <w:r>
              <w:rPr>
                <w:noProof/>
                <w:webHidden/>
              </w:rPr>
              <w:t>22</w:t>
            </w:r>
            <w:r>
              <w:rPr>
                <w:noProof/>
                <w:webHidden/>
              </w:rPr>
              <w:fldChar w:fldCharType="end"/>
            </w:r>
          </w:hyperlink>
        </w:p>
        <w:p w:rsidR="00D7592F" w:rsidRDefault="00D7592F">
          <w:pPr>
            <w:pStyle w:val="TOC2"/>
            <w:tabs>
              <w:tab w:val="left" w:pos="1100"/>
            </w:tabs>
            <w:rPr>
              <w:rFonts w:asciiTheme="minorHAnsi" w:eastAsiaTheme="minorEastAsia" w:hAnsiTheme="minorHAnsi" w:cstheme="minorBidi"/>
              <w:b w:val="0"/>
              <w:noProof/>
              <w:sz w:val="22"/>
              <w:lang w:eastAsia="en-AU"/>
            </w:rPr>
          </w:pPr>
          <w:hyperlink w:anchor="_Toc430094068" w:history="1">
            <w:r w:rsidRPr="00FA58BD">
              <w:rPr>
                <w:rStyle w:val="Hyperlink"/>
                <w:noProof/>
              </w:rPr>
              <w:t>7.</w:t>
            </w:r>
            <w:r>
              <w:rPr>
                <w:rFonts w:asciiTheme="minorHAnsi" w:eastAsiaTheme="minorEastAsia" w:hAnsiTheme="minorHAnsi" w:cstheme="minorBidi"/>
                <w:b w:val="0"/>
                <w:noProof/>
                <w:sz w:val="22"/>
                <w:lang w:eastAsia="en-AU"/>
              </w:rPr>
              <w:tab/>
            </w:r>
            <w:r w:rsidRPr="00FA58BD">
              <w:rPr>
                <w:rStyle w:val="Hyperlink"/>
                <w:noProof/>
              </w:rPr>
              <w:t>Clinical safety</w:t>
            </w:r>
            <w:r>
              <w:rPr>
                <w:noProof/>
                <w:webHidden/>
              </w:rPr>
              <w:tab/>
            </w:r>
            <w:r>
              <w:rPr>
                <w:noProof/>
                <w:webHidden/>
              </w:rPr>
              <w:fldChar w:fldCharType="begin"/>
            </w:r>
            <w:r>
              <w:rPr>
                <w:noProof/>
                <w:webHidden/>
              </w:rPr>
              <w:instrText xml:space="preserve"> PAGEREF _Toc430094068 \h </w:instrText>
            </w:r>
            <w:r>
              <w:rPr>
                <w:noProof/>
                <w:webHidden/>
              </w:rPr>
            </w:r>
            <w:r>
              <w:rPr>
                <w:noProof/>
                <w:webHidden/>
              </w:rPr>
              <w:fldChar w:fldCharType="separate"/>
            </w:r>
            <w:r>
              <w:rPr>
                <w:noProof/>
                <w:webHidden/>
              </w:rPr>
              <w:t>23</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69" w:history="1">
            <w:r w:rsidRPr="00FA58BD">
              <w:rPr>
                <w:rStyle w:val="Hyperlink"/>
                <w:noProof/>
              </w:rPr>
              <w:t>7.1.</w:t>
            </w:r>
            <w:r>
              <w:rPr>
                <w:rFonts w:asciiTheme="minorHAnsi" w:eastAsiaTheme="minorEastAsia" w:hAnsiTheme="minorHAnsi" w:cstheme="minorBidi"/>
                <w:noProof/>
                <w:lang w:eastAsia="en-AU"/>
              </w:rPr>
              <w:tab/>
            </w:r>
            <w:r w:rsidRPr="00FA58BD">
              <w:rPr>
                <w:rStyle w:val="Hyperlink"/>
                <w:noProof/>
              </w:rPr>
              <w:t>Studies providing safety data</w:t>
            </w:r>
            <w:r>
              <w:rPr>
                <w:noProof/>
                <w:webHidden/>
              </w:rPr>
              <w:tab/>
            </w:r>
            <w:r>
              <w:rPr>
                <w:noProof/>
                <w:webHidden/>
              </w:rPr>
              <w:fldChar w:fldCharType="begin"/>
            </w:r>
            <w:r>
              <w:rPr>
                <w:noProof/>
                <w:webHidden/>
              </w:rPr>
              <w:instrText xml:space="preserve"> PAGEREF _Toc430094069 \h </w:instrText>
            </w:r>
            <w:r>
              <w:rPr>
                <w:noProof/>
                <w:webHidden/>
              </w:rPr>
            </w:r>
            <w:r>
              <w:rPr>
                <w:noProof/>
                <w:webHidden/>
              </w:rPr>
              <w:fldChar w:fldCharType="separate"/>
            </w:r>
            <w:r>
              <w:rPr>
                <w:noProof/>
                <w:webHidden/>
              </w:rPr>
              <w:t>23</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70" w:history="1">
            <w:r w:rsidRPr="00FA58BD">
              <w:rPr>
                <w:rStyle w:val="Hyperlink"/>
                <w:noProof/>
              </w:rPr>
              <w:t>7.2.</w:t>
            </w:r>
            <w:r>
              <w:rPr>
                <w:rFonts w:asciiTheme="minorHAnsi" w:eastAsiaTheme="minorEastAsia" w:hAnsiTheme="minorHAnsi" w:cstheme="minorBidi"/>
                <w:noProof/>
                <w:lang w:eastAsia="en-AU"/>
              </w:rPr>
              <w:tab/>
            </w:r>
            <w:r w:rsidRPr="00FA58BD">
              <w:rPr>
                <w:rStyle w:val="Hyperlink"/>
                <w:noProof/>
              </w:rPr>
              <w:t>Studies providing evaluable safety data</w:t>
            </w:r>
            <w:r>
              <w:rPr>
                <w:noProof/>
                <w:webHidden/>
              </w:rPr>
              <w:tab/>
            </w:r>
            <w:r>
              <w:rPr>
                <w:noProof/>
                <w:webHidden/>
              </w:rPr>
              <w:fldChar w:fldCharType="begin"/>
            </w:r>
            <w:r>
              <w:rPr>
                <w:noProof/>
                <w:webHidden/>
              </w:rPr>
              <w:instrText xml:space="preserve"> PAGEREF _Toc430094070 \h </w:instrText>
            </w:r>
            <w:r>
              <w:rPr>
                <w:noProof/>
                <w:webHidden/>
              </w:rPr>
            </w:r>
            <w:r>
              <w:rPr>
                <w:noProof/>
                <w:webHidden/>
              </w:rPr>
              <w:fldChar w:fldCharType="separate"/>
            </w:r>
            <w:r>
              <w:rPr>
                <w:noProof/>
                <w:webHidden/>
              </w:rPr>
              <w:t>23</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71" w:history="1">
            <w:r w:rsidRPr="00FA58BD">
              <w:rPr>
                <w:rStyle w:val="Hyperlink"/>
                <w:noProof/>
              </w:rPr>
              <w:t>7.3.</w:t>
            </w:r>
            <w:r>
              <w:rPr>
                <w:rFonts w:asciiTheme="minorHAnsi" w:eastAsiaTheme="minorEastAsia" w:hAnsiTheme="minorHAnsi" w:cstheme="minorBidi"/>
                <w:noProof/>
                <w:lang w:eastAsia="en-AU"/>
              </w:rPr>
              <w:tab/>
            </w:r>
            <w:r w:rsidRPr="00FA58BD">
              <w:rPr>
                <w:rStyle w:val="Hyperlink"/>
                <w:noProof/>
              </w:rPr>
              <w:t>Pivotal studies that assessed safety as a primary outcome</w:t>
            </w:r>
            <w:r>
              <w:rPr>
                <w:noProof/>
                <w:webHidden/>
              </w:rPr>
              <w:tab/>
            </w:r>
            <w:r>
              <w:rPr>
                <w:noProof/>
                <w:webHidden/>
              </w:rPr>
              <w:fldChar w:fldCharType="begin"/>
            </w:r>
            <w:r>
              <w:rPr>
                <w:noProof/>
                <w:webHidden/>
              </w:rPr>
              <w:instrText xml:space="preserve"> PAGEREF _Toc430094071 \h </w:instrText>
            </w:r>
            <w:r>
              <w:rPr>
                <w:noProof/>
                <w:webHidden/>
              </w:rPr>
            </w:r>
            <w:r>
              <w:rPr>
                <w:noProof/>
                <w:webHidden/>
              </w:rPr>
              <w:fldChar w:fldCharType="separate"/>
            </w:r>
            <w:r>
              <w:rPr>
                <w:noProof/>
                <w:webHidden/>
              </w:rPr>
              <w:t>24</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72" w:history="1">
            <w:r w:rsidRPr="00FA58BD">
              <w:rPr>
                <w:rStyle w:val="Hyperlink"/>
                <w:noProof/>
              </w:rPr>
              <w:t>7.4.</w:t>
            </w:r>
            <w:r>
              <w:rPr>
                <w:rFonts w:asciiTheme="minorHAnsi" w:eastAsiaTheme="minorEastAsia" w:hAnsiTheme="minorHAnsi" w:cstheme="minorBidi"/>
                <w:noProof/>
                <w:lang w:eastAsia="en-AU"/>
              </w:rPr>
              <w:tab/>
            </w:r>
            <w:r w:rsidRPr="00FA58BD">
              <w:rPr>
                <w:rStyle w:val="Hyperlink"/>
                <w:noProof/>
              </w:rPr>
              <w:t>Patient exposure</w:t>
            </w:r>
            <w:r>
              <w:rPr>
                <w:noProof/>
                <w:webHidden/>
              </w:rPr>
              <w:tab/>
            </w:r>
            <w:r>
              <w:rPr>
                <w:noProof/>
                <w:webHidden/>
              </w:rPr>
              <w:fldChar w:fldCharType="begin"/>
            </w:r>
            <w:r>
              <w:rPr>
                <w:noProof/>
                <w:webHidden/>
              </w:rPr>
              <w:instrText xml:space="preserve"> PAGEREF _Toc430094072 \h </w:instrText>
            </w:r>
            <w:r>
              <w:rPr>
                <w:noProof/>
                <w:webHidden/>
              </w:rPr>
            </w:r>
            <w:r>
              <w:rPr>
                <w:noProof/>
                <w:webHidden/>
              </w:rPr>
              <w:fldChar w:fldCharType="separate"/>
            </w:r>
            <w:r>
              <w:rPr>
                <w:noProof/>
                <w:webHidden/>
              </w:rPr>
              <w:t>24</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73" w:history="1">
            <w:r w:rsidRPr="00FA58BD">
              <w:rPr>
                <w:rStyle w:val="Hyperlink"/>
                <w:noProof/>
              </w:rPr>
              <w:t>7.5.</w:t>
            </w:r>
            <w:r>
              <w:rPr>
                <w:rFonts w:asciiTheme="minorHAnsi" w:eastAsiaTheme="minorEastAsia" w:hAnsiTheme="minorHAnsi" w:cstheme="minorBidi"/>
                <w:noProof/>
                <w:lang w:eastAsia="en-AU"/>
              </w:rPr>
              <w:tab/>
            </w:r>
            <w:r w:rsidRPr="00FA58BD">
              <w:rPr>
                <w:rStyle w:val="Hyperlink"/>
                <w:noProof/>
              </w:rPr>
              <w:t>Adverse events</w:t>
            </w:r>
            <w:r>
              <w:rPr>
                <w:noProof/>
                <w:webHidden/>
              </w:rPr>
              <w:tab/>
            </w:r>
            <w:r>
              <w:rPr>
                <w:noProof/>
                <w:webHidden/>
              </w:rPr>
              <w:fldChar w:fldCharType="begin"/>
            </w:r>
            <w:r>
              <w:rPr>
                <w:noProof/>
                <w:webHidden/>
              </w:rPr>
              <w:instrText xml:space="preserve"> PAGEREF _Toc430094073 \h </w:instrText>
            </w:r>
            <w:r>
              <w:rPr>
                <w:noProof/>
                <w:webHidden/>
              </w:rPr>
            </w:r>
            <w:r>
              <w:rPr>
                <w:noProof/>
                <w:webHidden/>
              </w:rPr>
              <w:fldChar w:fldCharType="separate"/>
            </w:r>
            <w:r>
              <w:rPr>
                <w:noProof/>
                <w:webHidden/>
              </w:rPr>
              <w:t>24</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74" w:history="1">
            <w:r w:rsidRPr="00FA58BD">
              <w:rPr>
                <w:rStyle w:val="Hyperlink"/>
                <w:noProof/>
              </w:rPr>
              <w:t>7.6.</w:t>
            </w:r>
            <w:r>
              <w:rPr>
                <w:rFonts w:asciiTheme="minorHAnsi" w:eastAsiaTheme="minorEastAsia" w:hAnsiTheme="minorHAnsi" w:cstheme="minorBidi"/>
                <w:noProof/>
                <w:lang w:eastAsia="en-AU"/>
              </w:rPr>
              <w:tab/>
            </w:r>
            <w:r w:rsidRPr="00FA58BD">
              <w:rPr>
                <w:rStyle w:val="Hyperlink"/>
                <w:noProof/>
              </w:rPr>
              <w:t>Laboratory tests</w:t>
            </w:r>
            <w:r>
              <w:rPr>
                <w:noProof/>
                <w:webHidden/>
              </w:rPr>
              <w:tab/>
            </w:r>
            <w:r>
              <w:rPr>
                <w:noProof/>
                <w:webHidden/>
              </w:rPr>
              <w:fldChar w:fldCharType="begin"/>
            </w:r>
            <w:r>
              <w:rPr>
                <w:noProof/>
                <w:webHidden/>
              </w:rPr>
              <w:instrText xml:space="preserve"> PAGEREF _Toc430094074 \h </w:instrText>
            </w:r>
            <w:r>
              <w:rPr>
                <w:noProof/>
                <w:webHidden/>
              </w:rPr>
            </w:r>
            <w:r>
              <w:rPr>
                <w:noProof/>
                <w:webHidden/>
              </w:rPr>
              <w:fldChar w:fldCharType="separate"/>
            </w:r>
            <w:r>
              <w:rPr>
                <w:noProof/>
                <w:webHidden/>
              </w:rPr>
              <w:t>26</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75" w:history="1">
            <w:r w:rsidRPr="00FA58BD">
              <w:rPr>
                <w:rStyle w:val="Hyperlink"/>
                <w:noProof/>
              </w:rPr>
              <w:t>7.7.</w:t>
            </w:r>
            <w:r>
              <w:rPr>
                <w:rFonts w:asciiTheme="minorHAnsi" w:eastAsiaTheme="minorEastAsia" w:hAnsiTheme="minorHAnsi" w:cstheme="minorBidi"/>
                <w:noProof/>
                <w:lang w:eastAsia="en-AU"/>
              </w:rPr>
              <w:tab/>
            </w:r>
            <w:r w:rsidRPr="00FA58BD">
              <w:rPr>
                <w:rStyle w:val="Hyperlink"/>
                <w:noProof/>
              </w:rPr>
              <w:t>Post-marketing experience</w:t>
            </w:r>
            <w:r>
              <w:rPr>
                <w:noProof/>
                <w:webHidden/>
              </w:rPr>
              <w:tab/>
            </w:r>
            <w:r>
              <w:rPr>
                <w:noProof/>
                <w:webHidden/>
              </w:rPr>
              <w:fldChar w:fldCharType="begin"/>
            </w:r>
            <w:r>
              <w:rPr>
                <w:noProof/>
                <w:webHidden/>
              </w:rPr>
              <w:instrText xml:space="preserve"> PAGEREF _Toc430094075 \h </w:instrText>
            </w:r>
            <w:r>
              <w:rPr>
                <w:noProof/>
                <w:webHidden/>
              </w:rPr>
            </w:r>
            <w:r>
              <w:rPr>
                <w:noProof/>
                <w:webHidden/>
              </w:rPr>
              <w:fldChar w:fldCharType="separate"/>
            </w:r>
            <w:r>
              <w:rPr>
                <w:noProof/>
                <w:webHidden/>
              </w:rPr>
              <w:t>27</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76" w:history="1">
            <w:r w:rsidRPr="00FA58BD">
              <w:rPr>
                <w:rStyle w:val="Hyperlink"/>
                <w:noProof/>
              </w:rPr>
              <w:t>7.8.</w:t>
            </w:r>
            <w:r>
              <w:rPr>
                <w:rFonts w:asciiTheme="minorHAnsi" w:eastAsiaTheme="minorEastAsia" w:hAnsiTheme="minorHAnsi" w:cstheme="minorBidi"/>
                <w:noProof/>
                <w:lang w:eastAsia="en-AU"/>
              </w:rPr>
              <w:tab/>
            </w:r>
            <w:r w:rsidRPr="00FA58BD">
              <w:rPr>
                <w:rStyle w:val="Hyperlink"/>
                <w:noProof/>
              </w:rPr>
              <w:t>Safety issues with the potential for major regulatory impact</w:t>
            </w:r>
            <w:r>
              <w:rPr>
                <w:noProof/>
                <w:webHidden/>
              </w:rPr>
              <w:tab/>
            </w:r>
            <w:r>
              <w:rPr>
                <w:noProof/>
                <w:webHidden/>
              </w:rPr>
              <w:fldChar w:fldCharType="begin"/>
            </w:r>
            <w:r>
              <w:rPr>
                <w:noProof/>
                <w:webHidden/>
              </w:rPr>
              <w:instrText xml:space="preserve"> PAGEREF _Toc430094076 \h </w:instrText>
            </w:r>
            <w:r>
              <w:rPr>
                <w:noProof/>
                <w:webHidden/>
              </w:rPr>
            </w:r>
            <w:r>
              <w:rPr>
                <w:noProof/>
                <w:webHidden/>
              </w:rPr>
              <w:fldChar w:fldCharType="separate"/>
            </w:r>
            <w:r>
              <w:rPr>
                <w:noProof/>
                <w:webHidden/>
              </w:rPr>
              <w:t>28</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77" w:history="1">
            <w:r w:rsidRPr="00FA58BD">
              <w:rPr>
                <w:rStyle w:val="Hyperlink"/>
                <w:noProof/>
              </w:rPr>
              <w:t>7.9.</w:t>
            </w:r>
            <w:r>
              <w:rPr>
                <w:rFonts w:asciiTheme="minorHAnsi" w:eastAsiaTheme="minorEastAsia" w:hAnsiTheme="minorHAnsi" w:cstheme="minorBidi"/>
                <w:noProof/>
                <w:lang w:eastAsia="en-AU"/>
              </w:rPr>
              <w:tab/>
            </w:r>
            <w:r w:rsidRPr="00FA58BD">
              <w:rPr>
                <w:rStyle w:val="Hyperlink"/>
                <w:noProof/>
              </w:rPr>
              <w:t>Evaluator’s conclusions on safety</w:t>
            </w:r>
            <w:r>
              <w:rPr>
                <w:noProof/>
                <w:webHidden/>
              </w:rPr>
              <w:tab/>
            </w:r>
            <w:r>
              <w:rPr>
                <w:noProof/>
                <w:webHidden/>
              </w:rPr>
              <w:fldChar w:fldCharType="begin"/>
            </w:r>
            <w:r>
              <w:rPr>
                <w:noProof/>
                <w:webHidden/>
              </w:rPr>
              <w:instrText xml:space="preserve"> PAGEREF _Toc430094077 \h </w:instrText>
            </w:r>
            <w:r>
              <w:rPr>
                <w:noProof/>
                <w:webHidden/>
              </w:rPr>
            </w:r>
            <w:r>
              <w:rPr>
                <w:noProof/>
                <w:webHidden/>
              </w:rPr>
              <w:fldChar w:fldCharType="separate"/>
            </w:r>
            <w:r>
              <w:rPr>
                <w:noProof/>
                <w:webHidden/>
              </w:rPr>
              <w:t>29</w:t>
            </w:r>
            <w:r>
              <w:rPr>
                <w:noProof/>
                <w:webHidden/>
              </w:rPr>
              <w:fldChar w:fldCharType="end"/>
            </w:r>
          </w:hyperlink>
        </w:p>
        <w:p w:rsidR="00D7592F" w:rsidRDefault="00D7592F">
          <w:pPr>
            <w:pStyle w:val="TOC2"/>
            <w:tabs>
              <w:tab w:val="left" w:pos="1100"/>
            </w:tabs>
            <w:rPr>
              <w:rFonts w:asciiTheme="minorHAnsi" w:eastAsiaTheme="minorEastAsia" w:hAnsiTheme="minorHAnsi" w:cstheme="minorBidi"/>
              <w:b w:val="0"/>
              <w:noProof/>
              <w:sz w:val="22"/>
              <w:lang w:eastAsia="en-AU"/>
            </w:rPr>
          </w:pPr>
          <w:hyperlink w:anchor="_Toc430094078" w:history="1">
            <w:r w:rsidRPr="00FA58BD">
              <w:rPr>
                <w:rStyle w:val="Hyperlink"/>
                <w:noProof/>
              </w:rPr>
              <w:t>8.</w:t>
            </w:r>
            <w:r>
              <w:rPr>
                <w:rFonts w:asciiTheme="minorHAnsi" w:eastAsiaTheme="minorEastAsia" w:hAnsiTheme="minorHAnsi" w:cstheme="minorBidi"/>
                <w:b w:val="0"/>
                <w:noProof/>
                <w:sz w:val="22"/>
                <w:lang w:eastAsia="en-AU"/>
              </w:rPr>
              <w:tab/>
            </w:r>
            <w:r w:rsidRPr="00FA58BD">
              <w:rPr>
                <w:rStyle w:val="Hyperlink"/>
                <w:noProof/>
              </w:rPr>
              <w:t>First round benefit-risk assessment</w:t>
            </w:r>
            <w:r>
              <w:rPr>
                <w:noProof/>
                <w:webHidden/>
              </w:rPr>
              <w:tab/>
            </w:r>
            <w:r>
              <w:rPr>
                <w:noProof/>
                <w:webHidden/>
              </w:rPr>
              <w:fldChar w:fldCharType="begin"/>
            </w:r>
            <w:r>
              <w:rPr>
                <w:noProof/>
                <w:webHidden/>
              </w:rPr>
              <w:instrText xml:space="preserve"> PAGEREF _Toc430094078 \h </w:instrText>
            </w:r>
            <w:r>
              <w:rPr>
                <w:noProof/>
                <w:webHidden/>
              </w:rPr>
            </w:r>
            <w:r>
              <w:rPr>
                <w:noProof/>
                <w:webHidden/>
              </w:rPr>
              <w:fldChar w:fldCharType="separate"/>
            </w:r>
            <w:r>
              <w:rPr>
                <w:noProof/>
                <w:webHidden/>
              </w:rPr>
              <w:t>29</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79" w:history="1">
            <w:r w:rsidRPr="00FA58BD">
              <w:rPr>
                <w:rStyle w:val="Hyperlink"/>
                <w:noProof/>
              </w:rPr>
              <w:t>8.1.</w:t>
            </w:r>
            <w:r>
              <w:rPr>
                <w:rFonts w:asciiTheme="minorHAnsi" w:eastAsiaTheme="minorEastAsia" w:hAnsiTheme="minorHAnsi" w:cstheme="minorBidi"/>
                <w:noProof/>
                <w:lang w:eastAsia="en-AU"/>
              </w:rPr>
              <w:tab/>
            </w:r>
            <w:r w:rsidRPr="00FA58BD">
              <w:rPr>
                <w:rStyle w:val="Hyperlink"/>
                <w:noProof/>
              </w:rPr>
              <w:t>First round assessment of benefits</w:t>
            </w:r>
            <w:r>
              <w:rPr>
                <w:noProof/>
                <w:webHidden/>
              </w:rPr>
              <w:tab/>
            </w:r>
            <w:r>
              <w:rPr>
                <w:noProof/>
                <w:webHidden/>
              </w:rPr>
              <w:fldChar w:fldCharType="begin"/>
            </w:r>
            <w:r>
              <w:rPr>
                <w:noProof/>
                <w:webHidden/>
              </w:rPr>
              <w:instrText xml:space="preserve"> PAGEREF _Toc430094079 \h </w:instrText>
            </w:r>
            <w:r>
              <w:rPr>
                <w:noProof/>
                <w:webHidden/>
              </w:rPr>
            </w:r>
            <w:r>
              <w:rPr>
                <w:noProof/>
                <w:webHidden/>
              </w:rPr>
              <w:fldChar w:fldCharType="separate"/>
            </w:r>
            <w:r>
              <w:rPr>
                <w:noProof/>
                <w:webHidden/>
              </w:rPr>
              <w:t>29</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80" w:history="1">
            <w:r w:rsidRPr="00FA58BD">
              <w:rPr>
                <w:rStyle w:val="Hyperlink"/>
                <w:noProof/>
              </w:rPr>
              <w:t>8.2.</w:t>
            </w:r>
            <w:r>
              <w:rPr>
                <w:rFonts w:asciiTheme="minorHAnsi" w:eastAsiaTheme="minorEastAsia" w:hAnsiTheme="minorHAnsi" w:cstheme="minorBidi"/>
                <w:noProof/>
                <w:lang w:eastAsia="en-AU"/>
              </w:rPr>
              <w:tab/>
            </w:r>
            <w:r w:rsidRPr="00FA58BD">
              <w:rPr>
                <w:rStyle w:val="Hyperlink"/>
                <w:noProof/>
              </w:rPr>
              <w:t>First round assessment of risks</w:t>
            </w:r>
            <w:r>
              <w:rPr>
                <w:noProof/>
                <w:webHidden/>
              </w:rPr>
              <w:tab/>
            </w:r>
            <w:r>
              <w:rPr>
                <w:noProof/>
                <w:webHidden/>
              </w:rPr>
              <w:fldChar w:fldCharType="begin"/>
            </w:r>
            <w:r>
              <w:rPr>
                <w:noProof/>
                <w:webHidden/>
              </w:rPr>
              <w:instrText xml:space="preserve"> PAGEREF _Toc430094080 \h </w:instrText>
            </w:r>
            <w:r>
              <w:rPr>
                <w:noProof/>
                <w:webHidden/>
              </w:rPr>
            </w:r>
            <w:r>
              <w:rPr>
                <w:noProof/>
                <w:webHidden/>
              </w:rPr>
              <w:fldChar w:fldCharType="separate"/>
            </w:r>
            <w:r>
              <w:rPr>
                <w:noProof/>
                <w:webHidden/>
              </w:rPr>
              <w:t>30</w:t>
            </w:r>
            <w:r>
              <w:rPr>
                <w:noProof/>
                <w:webHidden/>
              </w:rPr>
              <w:fldChar w:fldCharType="end"/>
            </w:r>
          </w:hyperlink>
        </w:p>
        <w:p w:rsidR="00D7592F" w:rsidRDefault="00D7592F">
          <w:pPr>
            <w:pStyle w:val="TOC3"/>
            <w:tabs>
              <w:tab w:val="left" w:pos="1760"/>
            </w:tabs>
            <w:rPr>
              <w:rFonts w:asciiTheme="minorHAnsi" w:eastAsiaTheme="minorEastAsia" w:hAnsiTheme="minorHAnsi" w:cstheme="minorBidi"/>
              <w:noProof/>
              <w:lang w:eastAsia="en-AU"/>
            </w:rPr>
          </w:pPr>
          <w:hyperlink w:anchor="_Toc430094081" w:history="1">
            <w:r w:rsidRPr="00FA58BD">
              <w:rPr>
                <w:rStyle w:val="Hyperlink"/>
                <w:noProof/>
              </w:rPr>
              <w:t>8.3.</w:t>
            </w:r>
            <w:r>
              <w:rPr>
                <w:rFonts w:asciiTheme="minorHAnsi" w:eastAsiaTheme="minorEastAsia" w:hAnsiTheme="minorHAnsi" w:cstheme="minorBidi"/>
                <w:noProof/>
                <w:lang w:eastAsia="en-AU"/>
              </w:rPr>
              <w:tab/>
            </w:r>
            <w:r w:rsidRPr="00FA58BD">
              <w:rPr>
                <w:rStyle w:val="Hyperlink"/>
                <w:noProof/>
              </w:rPr>
              <w:t>First round assessment of benefit-risk balance</w:t>
            </w:r>
            <w:r>
              <w:rPr>
                <w:noProof/>
                <w:webHidden/>
              </w:rPr>
              <w:tab/>
            </w:r>
            <w:r>
              <w:rPr>
                <w:noProof/>
                <w:webHidden/>
              </w:rPr>
              <w:fldChar w:fldCharType="begin"/>
            </w:r>
            <w:r>
              <w:rPr>
                <w:noProof/>
                <w:webHidden/>
              </w:rPr>
              <w:instrText xml:space="preserve"> PAGEREF _Toc430094081 \h </w:instrText>
            </w:r>
            <w:r>
              <w:rPr>
                <w:noProof/>
                <w:webHidden/>
              </w:rPr>
            </w:r>
            <w:r>
              <w:rPr>
                <w:noProof/>
                <w:webHidden/>
              </w:rPr>
              <w:fldChar w:fldCharType="separate"/>
            </w:r>
            <w:r>
              <w:rPr>
                <w:noProof/>
                <w:webHidden/>
              </w:rPr>
              <w:t>30</w:t>
            </w:r>
            <w:r>
              <w:rPr>
                <w:noProof/>
                <w:webHidden/>
              </w:rPr>
              <w:fldChar w:fldCharType="end"/>
            </w:r>
          </w:hyperlink>
        </w:p>
        <w:p w:rsidR="00D7592F" w:rsidRDefault="00D7592F">
          <w:pPr>
            <w:pStyle w:val="TOC2"/>
            <w:tabs>
              <w:tab w:val="left" w:pos="1100"/>
            </w:tabs>
            <w:rPr>
              <w:rFonts w:asciiTheme="minorHAnsi" w:eastAsiaTheme="minorEastAsia" w:hAnsiTheme="minorHAnsi" w:cstheme="minorBidi"/>
              <w:b w:val="0"/>
              <w:noProof/>
              <w:sz w:val="22"/>
              <w:lang w:eastAsia="en-AU"/>
            </w:rPr>
          </w:pPr>
          <w:hyperlink w:anchor="_Toc430094082" w:history="1">
            <w:r w:rsidRPr="00FA58BD">
              <w:rPr>
                <w:rStyle w:val="Hyperlink"/>
                <w:noProof/>
              </w:rPr>
              <w:t>9.</w:t>
            </w:r>
            <w:r>
              <w:rPr>
                <w:rFonts w:asciiTheme="minorHAnsi" w:eastAsiaTheme="minorEastAsia" w:hAnsiTheme="minorHAnsi" w:cstheme="minorBidi"/>
                <w:b w:val="0"/>
                <w:noProof/>
                <w:sz w:val="22"/>
                <w:lang w:eastAsia="en-AU"/>
              </w:rPr>
              <w:tab/>
            </w:r>
            <w:r w:rsidRPr="00FA58BD">
              <w:rPr>
                <w:rStyle w:val="Hyperlink"/>
                <w:noProof/>
              </w:rPr>
              <w:t>First round recommendation regarding authorisation</w:t>
            </w:r>
            <w:r>
              <w:rPr>
                <w:noProof/>
                <w:webHidden/>
              </w:rPr>
              <w:tab/>
            </w:r>
            <w:r>
              <w:rPr>
                <w:noProof/>
                <w:webHidden/>
              </w:rPr>
              <w:fldChar w:fldCharType="begin"/>
            </w:r>
            <w:r>
              <w:rPr>
                <w:noProof/>
                <w:webHidden/>
              </w:rPr>
              <w:instrText xml:space="preserve"> PAGEREF _Toc430094082 \h </w:instrText>
            </w:r>
            <w:r>
              <w:rPr>
                <w:noProof/>
                <w:webHidden/>
              </w:rPr>
            </w:r>
            <w:r>
              <w:rPr>
                <w:noProof/>
                <w:webHidden/>
              </w:rPr>
              <w:fldChar w:fldCharType="separate"/>
            </w:r>
            <w:r>
              <w:rPr>
                <w:noProof/>
                <w:webHidden/>
              </w:rPr>
              <w:t>30</w:t>
            </w:r>
            <w:r>
              <w:rPr>
                <w:noProof/>
                <w:webHidden/>
              </w:rPr>
              <w:fldChar w:fldCharType="end"/>
            </w:r>
          </w:hyperlink>
        </w:p>
        <w:p w:rsidR="00D7592F" w:rsidRDefault="00D7592F">
          <w:pPr>
            <w:pStyle w:val="TOC2"/>
            <w:tabs>
              <w:tab w:val="left" w:pos="1320"/>
            </w:tabs>
            <w:rPr>
              <w:rFonts w:asciiTheme="minorHAnsi" w:eastAsiaTheme="minorEastAsia" w:hAnsiTheme="minorHAnsi" w:cstheme="minorBidi"/>
              <w:b w:val="0"/>
              <w:noProof/>
              <w:sz w:val="22"/>
              <w:lang w:eastAsia="en-AU"/>
            </w:rPr>
          </w:pPr>
          <w:hyperlink w:anchor="_Toc430094083" w:history="1">
            <w:r w:rsidRPr="00FA58BD">
              <w:rPr>
                <w:rStyle w:val="Hyperlink"/>
                <w:noProof/>
              </w:rPr>
              <w:t>10.</w:t>
            </w:r>
            <w:r>
              <w:rPr>
                <w:rFonts w:asciiTheme="minorHAnsi" w:eastAsiaTheme="minorEastAsia" w:hAnsiTheme="minorHAnsi" w:cstheme="minorBidi"/>
                <w:b w:val="0"/>
                <w:noProof/>
                <w:sz w:val="22"/>
                <w:lang w:eastAsia="en-AU"/>
              </w:rPr>
              <w:tab/>
            </w:r>
            <w:r w:rsidRPr="00FA58BD">
              <w:rPr>
                <w:rStyle w:val="Hyperlink"/>
                <w:noProof/>
              </w:rPr>
              <w:t>Clinical questions</w:t>
            </w:r>
            <w:r>
              <w:rPr>
                <w:noProof/>
                <w:webHidden/>
              </w:rPr>
              <w:tab/>
            </w:r>
            <w:r>
              <w:rPr>
                <w:noProof/>
                <w:webHidden/>
              </w:rPr>
              <w:fldChar w:fldCharType="begin"/>
            </w:r>
            <w:r>
              <w:rPr>
                <w:noProof/>
                <w:webHidden/>
              </w:rPr>
              <w:instrText xml:space="preserve"> PAGEREF _Toc430094083 \h </w:instrText>
            </w:r>
            <w:r>
              <w:rPr>
                <w:noProof/>
                <w:webHidden/>
              </w:rPr>
            </w:r>
            <w:r>
              <w:rPr>
                <w:noProof/>
                <w:webHidden/>
              </w:rPr>
              <w:fldChar w:fldCharType="separate"/>
            </w:r>
            <w:r>
              <w:rPr>
                <w:noProof/>
                <w:webHidden/>
              </w:rPr>
              <w:t>30</w:t>
            </w:r>
            <w:r>
              <w:rPr>
                <w:noProof/>
                <w:webHidden/>
              </w:rPr>
              <w:fldChar w:fldCharType="end"/>
            </w:r>
          </w:hyperlink>
        </w:p>
        <w:p w:rsidR="003A7F6C" w:rsidRPr="00B811C6" w:rsidRDefault="00147373" w:rsidP="00B811C6">
          <w:pPr>
            <w:pStyle w:val="TOC2"/>
          </w:pPr>
          <w:r>
            <w:fldChar w:fldCharType="end"/>
          </w:r>
        </w:p>
      </w:sdtContent>
    </w:sdt>
    <w:bookmarkStart w:id="3" w:name="_Toc314842482" w:displacedByCustomXml="prev"/>
    <w:p w:rsidR="00586F98" w:rsidRDefault="00586F98" w:rsidP="00E02702">
      <w:pPr>
        <w:pStyle w:val="Heading2"/>
        <w:pageBreakBefore/>
        <w:numPr>
          <w:ilvl w:val="0"/>
          <w:numId w:val="0"/>
        </w:numPr>
      </w:pPr>
      <w:bookmarkStart w:id="4" w:name="_Toc351716269"/>
      <w:bookmarkStart w:id="5" w:name="_Toc351718881"/>
      <w:bookmarkStart w:id="6" w:name="_Toc355338616"/>
      <w:bookmarkStart w:id="7" w:name="_Toc430094047"/>
      <w:r>
        <w:lastRenderedPageBreak/>
        <w:t>List of abbreviations</w:t>
      </w:r>
      <w:bookmarkEnd w:id="4"/>
      <w:bookmarkEnd w:id="5"/>
      <w:bookmarkEnd w:id="6"/>
      <w:bookmarkEnd w:id="7"/>
    </w:p>
    <w:tbl>
      <w:tblPr>
        <w:tblStyle w:val="TableTGAblue"/>
        <w:tblW w:w="0" w:type="auto"/>
        <w:tblLook w:val="04A0" w:firstRow="1" w:lastRow="0" w:firstColumn="1" w:lastColumn="0" w:noHBand="0" w:noVBand="1"/>
      </w:tblPr>
      <w:tblGrid>
        <w:gridCol w:w="1890"/>
        <w:gridCol w:w="6911"/>
      </w:tblGrid>
      <w:tr w:rsidR="00586F98" w:rsidTr="003418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tcPr>
          <w:p w:rsidR="00586F98" w:rsidRDefault="00586F98" w:rsidP="000A63AF">
            <w:r>
              <w:t>Abbreviation</w:t>
            </w:r>
          </w:p>
        </w:tc>
        <w:tc>
          <w:tcPr>
            <w:tcW w:w="6911" w:type="dxa"/>
          </w:tcPr>
          <w:p w:rsidR="00586F98" w:rsidRDefault="00586F98" w:rsidP="000A63AF">
            <w:pPr>
              <w:cnfStyle w:val="100000000000" w:firstRow="1" w:lastRow="0" w:firstColumn="0" w:lastColumn="0" w:oddVBand="0" w:evenVBand="0" w:oddHBand="0" w:evenHBand="0" w:firstRowFirstColumn="0" w:firstRowLastColumn="0" w:lastRowFirstColumn="0" w:lastRowLastColumn="0"/>
            </w:pPr>
            <w:r>
              <w:t>Meaning</w:t>
            </w:r>
          </w:p>
        </w:tc>
      </w:tr>
      <w:tr w:rsidR="00341809" w:rsidRPr="009C4639" w:rsidTr="00341809">
        <w:tc>
          <w:tcPr>
            <w:cnfStyle w:val="001000000000" w:firstRow="0" w:lastRow="0" w:firstColumn="1" w:lastColumn="0" w:oddVBand="0" w:evenVBand="0" w:oddHBand="0" w:evenHBand="0" w:firstRowFirstColumn="0" w:firstRowLastColumn="0" w:lastRowFirstColumn="0" w:lastRowLastColumn="0"/>
            <w:tcW w:w="1890" w:type="dxa"/>
          </w:tcPr>
          <w:p w:rsidR="00341809" w:rsidRPr="009C4639" w:rsidRDefault="004E2875" w:rsidP="009C4639">
            <w:r w:rsidRPr="009C4639">
              <w:t>AE</w:t>
            </w:r>
          </w:p>
        </w:tc>
        <w:tc>
          <w:tcPr>
            <w:tcW w:w="6911" w:type="dxa"/>
          </w:tcPr>
          <w:p w:rsidR="00341809" w:rsidRPr="009C4639" w:rsidRDefault="004E2875" w:rsidP="009C4639">
            <w:pPr>
              <w:cnfStyle w:val="000000000000" w:firstRow="0" w:lastRow="0" w:firstColumn="0" w:lastColumn="0" w:oddVBand="0" w:evenVBand="0" w:oddHBand="0" w:evenHBand="0" w:firstRowFirstColumn="0" w:firstRowLastColumn="0" w:lastRowFirstColumn="0" w:lastRowLastColumn="0"/>
            </w:pPr>
            <w:r w:rsidRPr="009C4639">
              <w:t>Adverse Event</w:t>
            </w:r>
          </w:p>
        </w:tc>
      </w:tr>
      <w:tr w:rsidR="001A408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1A4089" w:rsidRPr="009C4639" w:rsidRDefault="004E2875" w:rsidP="009C4639">
            <w:r w:rsidRPr="009C4639">
              <w:t>ALT</w:t>
            </w:r>
          </w:p>
        </w:tc>
        <w:tc>
          <w:tcPr>
            <w:tcW w:w="6911" w:type="dxa"/>
          </w:tcPr>
          <w:p w:rsidR="001A4089" w:rsidRPr="009C4639" w:rsidRDefault="004E2875" w:rsidP="009C4639">
            <w:pPr>
              <w:cnfStyle w:val="000000000000" w:firstRow="0" w:lastRow="0" w:firstColumn="0" w:lastColumn="0" w:oddVBand="0" w:evenVBand="0" w:oddHBand="0" w:evenHBand="0" w:firstRowFirstColumn="0" w:firstRowLastColumn="0" w:lastRowFirstColumn="0" w:lastRowLastColumn="0"/>
            </w:pPr>
            <w:r w:rsidRPr="009C4639">
              <w:t>Alanine aminotransferase</w:t>
            </w:r>
          </w:p>
        </w:tc>
      </w:tr>
      <w:tr w:rsidR="001A408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1A4089" w:rsidRPr="009C4639" w:rsidRDefault="00E02702" w:rsidP="009C4639">
            <w:r>
              <w:t>AST</w:t>
            </w:r>
          </w:p>
        </w:tc>
        <w:tc>
          <w:tcPr>
            <w:tcW w:w="6911" w:type="dxa"/>
          </w:tcPr>
          <w:p w:rsidR="001A4089" w:rsidRPr="009C4639" w:rsidRDefault="004E2875" w:rsidP="009C4639">
            <w:pPr>
              <w:cnfStyle w:val="000000000000" w:firstRow="0" w:lastRow="0" w:firstColumn="0" w:lastColumn="0" w:oddVBand="0" w:evenVBand="0" w:oddHBand="0" w:evenHBand="0" w:firstRowFirstColumn="0" w:firstRowLastColumn="0" w:lastRowFirstColumn="0" w:lastRowLastColumn="0"/>
            </w:pPr>
            <w:r w:rsidRPr="009C4639">
              <w:t xml:space="preserve">Aspartate </w:t>
            </w:r>
            <w:proofErr w:type="spellStart"/>
            <w:r w:rsidRPr="009C4639">
              <w:t>aminotrasferase</w:t>
            </w:r>
            <w:proofErr w:type="spellEnd"/>
          </w:p>
        </w:tc>
      </w:tr>
      <w:tr w:rsidR="001A408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1A4089" w:rsidRPr="009C4639" w:rsidRDefault="00823EC9" w:rsidP="009C4639">
            <w:r w:rsidRPr="009C4639">
              <w:t>AUC</w:t>
            </w:r>
          </w:p>
        </w:tc>
        <w:tc>
          <w:tcPr>
            <w:tcW w:w="6911" w:type="dxa"/>
          </w:tcPr>
          <w:p w:rsidR="001A4089" w:rsidRPr="009C4639" w:rsidRDefault="00823EC9" w:rsidP="009C4639">
            <w:pPr>
              <w:cnfStyle w:val="000000000000" w:firstRow="0" w:lastRow="0" w:firstColumn="0" w:lastColumn="0" w:oddVBand="0" w:evenVBand="0" w:oddHBand="0" w:evenHBand="0" w:firstRowFirstColumn="0" w:firstRowLastColumn="0" w:lastRowFirstColumn="0" w:lastRowLastColumn="0"/>
            </w:pPr>
            <w:r w:rsidRPr="009C4639">
              <w:t>Area Under the Curve</w:t>
            </w:r>
          </w:p>
        </w:tc>
      </w:tr>
      <w:tr w:rsidR="001A408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1A4089" w:rsidRPr="009C4639" w:rsidRDefault="00823EC9" w:rsidP="009C4639">
            <w:r w:rsidRPr="009C4639">
              <w:t>AUC0-inf</w:t>
            </w:r>
          </w:p>
        </w:tc>
        <w:tc>
          <w:tcPr>
            <w:tcW w:w="6911" w:type="dxa"/>
          </w:tcPr>
          <w:p w:rsidR="001A4089" w:rsidRPr="009C4639" w:rsidRDefault="00823EC9" w:rsidP="009C4639">
            <w:pPr>
              <w:cnfStyle w:val="000000000000" w:firstRow="0" w:lastRow="0" w:firstColumn="0" w:lastColumn="0" w:oddVBand="0" w:evenVBand="0" w:oddHBand="0" w:evenHBand="0" w:firstRowFirstColumn="0" w:firstRowLastColumn="0" w:lastRowFirstColumn="0" w:lastRowLastColumn="0"/>
            </w:pPr>
            <w:r w:rsidRPr="009C4639">
              <w:t>Area Under the plasma concentration time Curve from time 0 to infinity</w:t>
            </w:r>
          </w:p>
        </w:tc>
      </w:tr>
      <w:tr w:rsidR="001A408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1A4089" w:rsidRPr="009C4639" w:rsidRDefault="00823EC9" w:rsidP="009C4639">
            <w:r w:rsidRPr="009C4639">
              <w:t>AUC0-t</w:t>
            </w:r>
          </w:p>
        </w:tc>
        <w:tc>
          <w:tcPr>
            <w:tcW w:w="6911" w:type="dxa"/>
          </w:tcPr>
          <w:p w:rsidR="001A4089" w:rsidRPr="009C4639" w:rsidRDefault="00823EC9" w:rsidP="009C4639">
            <w:pPr>
              <w:cnfStyle w:val="000000000000" w:firstRow="0" w:lastRow="0" w:firstColumn="0" w:lastColumn="0" w:oddVBand="0" w:evenVBand="0" w:oddHBand="0" w:evenHBand="0" w:firstRowFirstColumn="0" w:firstRowLastColumn="0" w:lastRowFirstColumn="0" w:lastRowLastColumn="0"/>
            </w:pPr>
            <w:r w:rsidRPr="009C4639">
              <w:t>Area Under the plasma concentration time Curve from time 0 to last observation</w:t>
            </w:r>
          </w:p>
        </w:tc>
      </w:tr>
      <w:tr w:rsidR="001A408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1A4089" w:rsidRPr="009C4639" w:rsidRDefault="00823EC9" w:rsidP="009C4639">
            <w:r w:rsidRPr="009C4639">
              <w:t>CL/F</w:t>
            </w:r>
          </w:p>
        </w:tc>
        <w:tc>
          <w:tcPr>
            <w:tcW w:w="6911" w:type="dxa"/>
          </w:tcPr>
          <w:p w:rsidR="001A4089" w:rsidRPr="009C4639" w:rsidRDefault="00823EC9" w:rsidP="009C4639">
            <w:pPr>
              <w:cnfStyle w:val="000000000000" w:firstRow="0" w:lastRow="0" w:firstColumn="0" w:lastColumn="0" w:oddVBand="0" w:evenVBand="0" w:oddHBand="0" w:evenHBand="0" w:firstRowFirstColumn="0" w:firstRowLastColumn="0" w:lastRowFirstColumn="0" w:lastRowLastColumn="0"/>
            </w:pPr>
            <w:r w:rsidRPr="009C4639">
              <w:t xml:space="preserve">Clearance divided by </w:t>
            </w:r>
            <w:proofErr w:type="spellStart"/>
            <w:r w:rsidRPr="009C4639">
              <w:t>bioavailablity</w:t>
            </w:r>
            <w:proofErr w:type="spellEnd"/>
            <w:r w:rsidRPr="009C4639">
              <w:t xml:space="preserve"> (plasma clearance of an orally administered dose)</w:t>
            </w:r>
          </w:p>
        </w:tc>
      </w:tr>
      <w:tr w:rsidR="001A408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1A4089" w:rsidRPr="009C4639" w:rsidRDefault="00823EC9" w:rsidP="009C4639">
            <w:proofErr w:type="spellStart"/>
            <w:r w:rsidRPr="009C4639">
              <w:t>Cmax</w:t>
            </w:r>
            <w:proofErr w:type="spellEnd"/>
          </w:p>
        </w:tc>
        <w:tc>
          <w:tcPr>
            <w:tcW w:w="6911" w:type="dxa"/>
          </w:tcPr>
          <w:p w:rsidR="001A4089" w:rsidRPr="009C4639" w:rsidRDefault="00823EC9" w:rsidP="009C4639">
            <w:pPr>
              <w:cnfStyle w:val="000000000000" w:firstRow="0" w:lastRow="0" w:firstColumn="0" w:lastColumn="0" w:oddVBand="0" w:evenVBand="0" w:oddHBand="0" w:evenHBand="0" w:firstRowFirstColumn="0" w:firstRowLastColumn="0" w:lastRowFirstColumn="0" w:lastRowLastColumn="0"/>
            </w:pPr>
            <w:r w:rsidRPr="009C4639">
              <w:t>Maximum plasma concentration</w:t>
            </w:r>
          </w:p>
        </w:tc>
      </w:tr>
      <w:tr w:rsidR="00341809" w:rsidRPr="009C4639" w:rsidTr="00341809">
        <w:tc>
          <w:tcPr>
            <w:cnfStyle w:val="001000000000" w:firstRow="0" w:lastRow="0" w:firstColumn="1" w:lastColumn="0" w:oddVBand="0" w:evenVBand="0" w:oddHBand="0" w:evenHBand="0" w:firstRowFirstColumn="0" w:firstRowLastColumn="0" w:lastRowFirstColumn="0" w:lastRowLastColumn="0"/>
            <w:tcW w:w="1890" w:type="dxa"/>
          </w:tcPr>
          <w:p w:rsidR="00341809" w:rsidRPr="009C4639" w:rsidRDefault="00823EC9" w:rsidP="009C4639">
            <w:r w:rsidRPr="009C4639">
              <w:t>CV</w:t>
            </w:r>
          </w:p>
        </w:tc>
        <w:tc>
          <w:tcPr>
            <w:tcW w:w="6911" w:type="dxa"/>
          </w:tcPr>
          <w:p w:rsidR="00341809" w:rsidRPr="009C4639" w:rsidRDefault="00823EC9" w:rsidP="009C4639">
            <w:pPr>
              <w:cnfStyle w:val="000000000000" w:firstRow="0" w:lastRow="0" w:firstColumn="0" w:lastColumn="0" w:oddVBand="0" w:evenVBand="0" w:oddHBand="0" w:evenHBand="0" w:firstRowFirstColumn="0" w:firstRowLastColumn="0" w:lastRowFirstColumn="0" w:lastRowLastColumn="0"/>
            </w:pPr>
            <w:r w:rsidRPr="009C4639">
              <w:t>Coefficient of Variability</w:t>
            </w:r>
          </w:p>
        </w:tc>
      </w:tr>
      <w:tr w:rsidR="00341809" w:rsidRPr="009C4639" w:rsidTr="00341809">
        <w:tc>
          <w:tcPr>
            <w:cnfStyle w:val="001000000000" w:firstRow="0" w:lastRow="0" w:firstColumn="1" w:lastColumn="0" w:oddVBand="0" w:evenVBand="0" w:oddHBand="0" w:evenHBand="0" w:firstRowFirstColumn="0" w:firstRowLastColumn="0" w:lastRowFirstColumn="0" w:lastRowLastColumn="0"/>
            <w:tcW w:w="1890" w:type="dxa"/>
          </w:tcPr>
          <w:p w:rsidR="00341809" w:rsidRPr="009C4639" w:rsidRDefault="00823EC9" w:rsidP="009C4639">
            <w:r w:rsidRPr="009C4639">
              <w:t>DAE</w:t>
            </w:r>
          </w:p>
        </w:tc>
        <w:tc>
          <w:tcPr>
            <w:tcW w:w="6911" w:type="dxa"/>
          </w:tcPr>
          <w:p w:rsidR="00341809" w:rsidRPr="009C4639" w:rsidRDefault="00823EC9" w:rsidP="009C4639">
            <w:pPr>
              <w:cnfStyle w:val="000000000000" w:firstRow="0" w:lastRow="0" w:firstColumn="0" w:lastColumn="0" w:oddVBand="0" w:evenVBand="0" w:oddHBand="0" w:evenHBand="0" w:firstRowFirstColumn="0" w:firstRowLastColumn="0" w:lastRowFirstColumn="0" w:lastRowLastColumn="0"/>
            </w:pPr>
            <w:r w:rsidRPr="009C4639">
              <w:t>Adverse Event leading to Discontinuation</w:t>
            </w:r>
          </w:p>
        </w:tc>
      </w:tr>
      <w:tr w:rsidR="00823EC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823EC9" w:rsidRPr="009C4639" w:rsidRDefault="002F7E8A" w:rsidP="009C4639">
            <w:r w:rsidRPr="009C4639">
              <w:t>EC</w:t>
            </w:r>
          </w:p>
        </w:tc>
        <w:tc>
          <w:tcPr>
            <w:tcW w:w="6911" w:type="dxa"/>
          </w:tcPr>
          <w:p w:rsidR="00823EC9" w:rsidRPr="009C4639" w:rsidRDefault="002F7E8A" w:rsidP="009C4639">
            <w:pPr>
              <w:cnfStyle w:val="000000000000" w:firstRow="0" w:lastRow="0" w:firstColumn="0" w:lastColumn="0" w:oddVBand="0" w:evenVBand="0" w:oddHBand="0" w:evenHBand="0" w:firstRowFirstColumn="0" w:firstRowLastColumn="0" w:lastRowFirstColumn="0" w:lastRowLastColumn="0"/>
            </w:pPr>
            <w:r w:rsidRPr="009C4639">
              <w:t>Emergency Contraception</w:t>
            </w:r>
          </w:p>
        </w:tc>
      </w:tr>
      <w:tr w:rsidR="00823EC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823EC9" w:rsidRPr="009C4639" w:rsidRDefault="002F7E8A" w:rsidP="009C4639">
            <w:r w:rsidRPr="009C4639">
              <w:t>HCP</w:t>
            </w:r>
          </w:p>
        </w:tc>
        <w:tc>
          <w:tcPr>
            <w:tcW w:w="6911" w:type="dxa"/>
          </w:tcPr>
          <w:p w:rsidR="00823EC9" w:rsidRPr="009C4639" w:rsidRDefault="002F7E8A" w:rsidP="009C4639">
            <w:pPr>
              <w:cnfStyle w:val="000000000000" w:firstRow="0" w:lastRow="0" w:firstColumn="0" w:lastColumn="0" w:oddVBand="0" w:evenVBand="0" w:oddHBand="0" w:evenHBand="0" w:firstRowFirstColumn="0" w:firstRowLastColumn="0" w:lastRowFirstColumn="0" w:lastRowLastColumn="0"/>
            </w:pPr>
            <w:r w:rsidRPr="009C4639">
              <w:t>Health Care Professional</w:t>
            </w:r>
          </w:p>
        </w:tc>
      </w:tr>
      <w:tr w:rsidR="00823EC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823EC9" w:rsidRPr="009C4639" w:rsidRDefault="002F7E8A" w:rsidP="009C4639">
            <w:r w:rsidRPr="009C4639">
              <w:t>HSUP</w:t>
            </w:r>
          </w:p>
        </w:tc>
        <w:tc>
          <w:tcPr>
            <w:tcW w:w="6911" w:type="dxa"/>
          </w:tcPr>
          <w:p w:rsidR="00823EC9" w:rsidRPr="009C4639" w:rsidRDefault="002F7E8A" w:rsidP="009C4639">
            <w:pPr>
              <w:cnfStyle w:val="000000000000" w:firstRow="0" w:lastRow="0" w:firstColumn="0" w:lastColumn="0" w:oddVBand="0" w:evenVBand="0" w:oddHBand="0" w:evenHBand="0" w:firstRowFirstColumn="0" w:firstRowLastColumn="0" w:lastRowFirstColumn="0" w:lastRowLastColumn="0"/>
            </w:pPr>
            <w:r w:rsidRPr="009C4639">
              <w:t>High Sensitivity Urine Pregnancy test</w:t>
            </w:r>
          </w:p>
        </w:tc>
      </w:tr>
      <w:tr w:rsidR="00823EC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823EC9" w:rsidRPr="009C4639" w:rsidRDefault="002F7E8A" w:rsidP="009C4639">
            <w:r w:rsidRPr="009C4639">
              <w:t>ITT</w:t>
            </w:r>
          </w:p>
        </w:tc>
        <w:tc>
          <w:tcPr>
            <w:tcW w:w="6911" w:type="dxa"/>
          </w:tcPr>
          <w:p w:rsidR="00823EC9" w:rsidRPr="009C4639" w:rsidRDefault="002F7E8A" w:rsidP="009C4639">
            <w:pPr>
              <w:cnfStyle w:val="000000000000" w:firstRow="0" w:lastRow="0" w:firstColumn="0" w:lastColumn="0" w:oddVBand="0" w:evenVBand="0" w:oddHBand="0" w:evenHBand="0" w:firstRowFirstColumn="0" w:firstRowLastColumn="0" w:lastRowFirstColumn="0" w:lastRowLastColumn="0"/>
            </w:pPr>
            <w:r w:rsidRPr="009C4639">
              <w:t>Intention To Treat</w:t>
            </w:r>
          </w:p>
        </w:tc>
      </w:tr>
      <w:tr w:rsidR="00823EC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823EC9" w:rsidRPr="009C4639" w:rsidRDefault="002F7E8A" w:rsidP="009C4639">
            <w:r w:rsidRPr="009C4639">
              <w:t>IUD</w:t>
            </w:r>
          </w:p>
        </w:tc>
        <w:tc>
          <w:tcPr>
            <w:tcW w:w="6911" w:type="dxa"/>
          </w:tcPr>
          <w:p w:rsidR="00823EC9" w:rsidRPr="009C4639" w:rsidRDefault="002F7E8A" w:rsidP="009C4639">
            <w:pPr>
              <w:cnfStyle w:val="000000000000" w:firstRow="0" w:lastRow="0" w:firstColumn="0" w:lastColumn="0" w:oddVBand="0" w:evenVBand="0" w:oddHBand="0" w:evenHBand="0" w:firstRowFirstColumn="0" w:firstRowLastColumn="0" w:lastRowFirstColumn="0" w:lastRowLastColumn="0"/>
            </w:pPr>
            <w:r w:rsidRPr="009C4639">
              <w:t>Intra-Uterine Device</w:t>
            </w:r>
          </w:p>
        </w:tc>
      </w:tr>
      <w:tr w:rsidR="00823EC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823EC9" w:rsidRPr="009C4639" w:rsidRDefault="002F7E8A" w:rsidP="009C4639">
            <w:r w:rsidRPr="009C4639">
              <w:t>LH</w:t>
            </w:r>
          </w:p>
        </w:tc>
        <w:tc>
          <w:tcPr>
            <w:tcW w:w="6911" w:type="dxa"/>
          </w:tcPr>
          <w:p w:rsidR="00823EC9" w:rsidRPr="009C4639" w:rsidRDefault="002F7E8A" w:rsidP="009C4639">
            <w:pPr>
              <w:cnfStyle w:val="000000000000" w:firstRow="0" w:lastRow="0" w:firstColumn="0" w:lastColumn="0" w:oddVBand="0" w:evenVBand="0" w:oddHBand="0" w:evenHBand="0" w:firstRowFirstColumn="0" w:firstRowLastColumn="0" w:lastRowFirstColumn="0" w:lastRowLastColumn="0"/>
            </w:pPr>
            <w:proofErr w:type="spellStart"/>
            <w:r w:rsidRPr="009C4639">
              <w:t>Lutenising</w:t>
            </w:r>
            <w:proofErr w:type="spellEnd"/>
            <w:r w:rsidRPr="009C4639">
              <w:t xml:space="preserve"> Hormone</w:t>
            </w:r>
          </w:p>
        </w:tc>
      </w:tr>
      <w:tr w:rsidR="00823EC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823EC9" w:rsidRPr="009C4639" w:rsidRDefault="00EA4EBA" w:rsidP="009C4639">
            <w:proofErr w:type="spellStart"/>
            <w:r>
              <w:t>mITT</w:t>
            </w:r>
            <w:proofErr w:type="spellEnd"/>
          </w:p>
        </w:tc>
        <w:tc>
          <w:tcPr>
            <w:tcW w:w="6911" w:type="dxa"/>
          </w:tcPr>
          <w:p w:rsidR="00823EC9" w:rsidRPr="009C4639" w:rsidRDefault="002F7E8A" w:rsidP="009C4639">
            <w:pPr>
              <w:cnfStyle w:val="000000000000" w:firstRow="0" w:lastRow="0" w:firstColumn="0" w:lastColumn="0" w:oddVBand="0" w:evenVBand="0" w:oddHBand="0" w:evenHBand="0" w:firstRowFirstColumn="0" w:firstRowLastColumn="0" w:lastRowFirstColumn="0" w:lastRowLastColumn="0"/>
            </w:pPr>
            <w:r w:rsidRPr="009C4639">
              <w:t>modified Intention To Treat</w:t>
            </w:r>
          </w:p>
        </w:tc>
      </w:tr>
      <w:tr w:rsidR="00823EC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823EC9" w:rsidRPr="009C4639" w:rsidRDefault="002F7E8A" w:rsidP="009C4639">
            <w:r w:rsidRPr="009C4639">
              <w:t>PI</w:t>
            </w:r>
          </w:p>
        </w:tc>
        <w:tc>
          <w:tcPr>
            <w:tcW w:w="6911" w:type="dxa"/>
          </w:tcPr>
          <w:p w:rsidR="00823EC9" w:rsidRPr="009C4639" w:rsidRDefault="002F7E8A" w:rsidP="009C4639">
            <w:pPr>
              <w:cnfStyle w:val="000000000000" w:firstRow="0" w:lastRow="0" w:firstColumn="0" w:lastColumn="0" w:oddVBand="0" w:evenVBand="0" w:oddHBand="0" w:evenHBand="0" w:firstRowFirstColumn="0" w:firstRowLastColumn="0" w:lastRowFirstColumn="0" w:lastRowLastColumn="0"/>
            </w:pPr>
            <w:r w:rsidRPr="009C4639">
              <w:t>Product Information document</w:t>
            </w:r>
          </w:p>
        </w:tc>
      </w:tr>
      <w:tr w:rsidR="00341809" w:rsidRPr="009C4639" w:rsidTr="00341809">
        <w:tc>
          <w:tcPr>
            <w:cnfStyle w:val="001000000000" w:firstRow="0" w:lastRow="0" w:firstColumn="1" w:lastColumn="0" w:oddVBand="0" w:evenVBand="0" w:oddHBand="0" w:evenHBand="0" w:firstRowFirstColumn="0" w:firstRowLastColumn="0" w:lastRowFirstColumn="0" w:lastRowLastColumn="0"/>
            <w:tcW w:w="1890" w:type="dxa"/>
          </w:tcPr>
          <w:p w:rsidR="00341809" w:rsidRPr="009C4639" w:rsidRDefault="002F7E8A" w:rsidP="009C4639">
            <w:r w:rsidRPr="009C4639">
              <w:t>PD</w:t>
            </w:r>
          </w:p>
        </w:tc>
        <w:tc>
          <w:tcPr>
            <w:tcW w:w="6911" w:type="dxa"/>
          </w:tcPr>
          <w:p w:rsidR="00341809" w:rsidRPr="009C4639" w:rsidRDefault="002F7E8A" w:rsidP="009C4639">
            <w:pPr>
              <w:cnfStyle w:val="000000000000" w:firstRow="0" w:lastRow="0" w:firstColumn="0" w:lastColumn="0" w:oddVBand="0" w:evenVBand="0" w:oddHBand="0" w:evenHBand="0" w:firstRowFirstColumn="0" w:firstRowLastColumn="0" w:lastRowFirstColumn="0" w:lastRowLastColumn="0"/>
            </w:pPr>
            <w:r w:rsidRPr="009C4639">
              <w:t>Pharmacodynamics</w:t>
            </w:r>
          </w:p>
        </w:tc>
      </w:tr>
      <w:tr w:rsidR="002F7E8A"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2F7E8A" w:rsidRPr="009C4639" w:rsidRDefault="002F7E8A" w:rsidP="009C4639">
            <w:r w:rsidRPr="009C4639">
              <w:t>PK</w:t>
            </w:r>
          </w:p>
        </w:tc>
        <w:tc>
          <w:tcPr>
            <w:tcW w:w="6911" w:type="dxa"/>
          </w:tcPr>
          <w:p w:rsidR="002F7E8A" w:rsidRPr="009C4639" w:rsidRDefault="002F7E8A" w:rsidP="009C4639">
            <w:pPr>
              <w:cnfStyle w:val="000000000000" w:firstRow="0" w:lastRow="0" w:firstColumn="0" w:lastColumn="0" w:oddVBand="0" w:evenVBand="0" w:oddHBand="0" w:evenHBand="0" w:firstRowFirstColumn="0" w:firstRowLastColumn="0" w:lastRowFirstColumn="0" w:lastRowLastColumn="0"/>
            </w:pPr>
            <w:r w:rsidRPr="009C4639">
              <w:t>Pharmacokinetics</w:t>
            </w:r>
          </w:p>
        </w:tc>
      </w:tr>
      <w:tr w:rsidR="002F7E8A"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2F7E8A" w:rsidRPr="009C4639" w:rsidRDefault="002F7E8A" w:rsidP="009C4639">
            <w:r w:rsidRPr="009C4639">
              <w:t>SAE</w:t>
            </w:r>
          </w:p>
        </w:tc>
        <w:tc>
          <w:tcPr>
            <w:tcW w:w="6911" w:type="dxa"/>
          </w:tcPr>
          <w:p w:rsidR="002F7E8A" w:rsidRPr="009C4639" w:rsidRDefault="002F7E8A" w:rsidP="009C4639">
            <w:pPr>
              <w:cnfStyle w:val="000000000000" w:firstRow="0" w:lastRow="0" w:firstColumn="0" w:lastColumn="0" w:oddVBand="0" w:evenVBand="0" w:oddHBand="0" w:evenHBand="0" w:firstRowFirstColumn="0" w:firstRowLastColumn="0" w:lastRowFirstColumn="0" w:lastRowLastColumn="0"/>
            </w:pPr>
            <w:r w:rsidRPr="009C4639">
              <w:t>Serious Adverse Event</w:t>
            </w:r>
          </w:p>
        </w:tc>
      </w:tr>
      <w:tr w:rsidR="002F7E8A"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2F7E8A" w:rsidRPr="009C4639" w:rsidRDefault="002F7E8A" w:rsidP="009C4639">
            <w:r w:rsidRPr="009C4639">
              <w:t>SD</w:t>
            </w:r>
          </w:p>
        </w:tc>
        <w:tc>
          <w:tcPr>
            <w:tcW w:w="6911" w:type="dxa"/>
          </w:tcPr>
          <w:p w:rsidR="002F7E8A" w:rsidRPr="009C4639" w:rsidRDefault="002F7E8A" w:rsidP="009C4639">
            <w:pPr>
              <w:cnfStyle w:val="000000000000" w:firstRow="0" w:lastRow="0" w:firstColumn="0" w:lastColumn="0" w:oddVBand="0" w:evenVBand="0" w:oddHBand="0" w:evenHBand="0" w:firstRowFirstColumn="0" w:firstRowLastColumn="0" w:lastRowFirstColumn="0" w:lastRowLastColumn="0"/>
            </w:pPr>
            <w:r w:rsidRPr="009C4639">
              <w:t>Standard Deviation</w:t>
            </w:r>
          </w:p>
        </w:tc>
      </w:tr>
      <w:tr w:rsidR="002F7E8A"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2F7E8A" w:rsidRPr="009C4639" w:rsidRDefault="00EA4EBA" w:rsidP="009C4639">
            <w:r>
              <w:lastRenderedPageBreak/>
              <w:t>SE</w:t>
            </w:r>
          </w:p>
        </w:tc>
        <w:tc>
          <w:tcPr>
            <w:tcW w:w="6911" w:type="dxa"/>
          </w:tcPr>
          <w:p w:rsidR="002F7E8A" w:rsidRPr="009C4639" w:rsidRDefault="002F7E8A" w:rsidP="009C4639">
            <w:pPr>
              <w:cnfStyle w:val="000000000000" w:firstRow="0" w:lastRow="0" w:firstColumn="0" w:lastColumn="0" w:oddVBand="0" w:evenVBand="0" w:oddHBand="0" w:evenHBand="0" w:firstRowFirstColumn="0" w:firstRowLastColumn="0" w:lastRowFirstColumn="0" w:lastRowLastColumn="0"/>
            </w:pPr>
            <w:r w:rsidRPr="009C4639">
              <w:t>Standard Error</w:t>
            </w:r>
          </w:p>
        </w:tc>
      </w:tr>
      <w:tr w:rsidR="00341809" w:rsidRPr="009C4639" w:rsidTr="00341809">
        <w:tc>
          <w:tcPr>
            <w:cnfStyle w:val="001000000000" w:firstRow="0" w:lastRow="0" w:firstColumn="1" w:lastColumn="0" w:oddVBand="0" w:evenVBand="0" w:oddHBand="0" w:evenHBand="0" w:firstRowFirstColumn="0" w:firstRowLastColumn="0" w:lastRowFirstColumn="0" w:lastRowLastColumn="0"/>
            <w:tcW w:w="1890" w:type="dxa"/>
          </w:tcPr>
          <w:p w:rsidR="00341809" w:rsidRPr="009C4639" w:rsidRDefault="009C4639" w:rsidP="009C4639">
            <w:r w:rsidRPr="009C4639">
              <w:t>SPRM</w:t>
            </w:r>
          </w:p>
        </w:tc>
        <w:tc>
          <w:tcPr>
            <w:tcW w:w="6911" w:type="dxa"/>
          </w:tcPr>
          <w:p w:rsidR="00341809" w:rsidRPr="009C4639" w:rsidRDefault="009C4639" w:rsidP="009C4639">
            <w:pPr>
              <w:cnfStyle w:val="000000000000" w:firstRow="0" w:lastRow="0" w:firstColumn="0" w:lastColumn="0" w:oddVBand="0" w:evenVBand="0" w:oddHBand="0" w:evenHBand="0" w:firstRowFirstColumn="0" w:firstRowLastColumn="0" w:lastRowFirstColumn="0" w:lastRowLastColumn="0"/>
            </w:pPr>
            <w:r w:rsidRPr="009C4639">
              <w:t>Selective Progesterone Receptor Modulator</w:t>
            </w:r>
          </w:p>
        </w:tc>
      </w:tr>
      <w:tr w:rsidR="009C463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9C4639" w:rsidRPr="009C4639" w:rsidRDefault="009C4639" w:rsidP="009C4639">
            <w:r w:rsidRPr="009C4639">
              <w:t>TEAE</w:t>
            </w:r>
          </w:p>
        </w:tc>
        <w:tc>
          <w:tcPr>
            <w:tcW w:w="6911" w:type="dxa"/>
          </w:tcPr>
          <w:p w:rsidR="009C4639" w:rsidRPr="009C4639" w:rsidRDefault="009C4639" w:rsidP="009C4639">
            <w:pPr>
              <w:cnfStyle w:val="000000000000" w:firstRow="0" w:lastRow="0" w:firstColumn="0" w:lastColumn="0" w:oddVBand="0" w:evenVBand="0" w:oddHBand="0" w:evenHBand="0" w:firstRowFirstColumn="0" w:firstRowLastColumn="0" w:lastRowFirstColumn="0" w:lastRowLastColumn="0"/>
            </w:pPr>
            <w:r w:rsidRPr="009C4639">
              <w:t>Treatment Emergent Adverse Event</w:t>
            </w:r>
          </w:p>
        </w:tc>
      </w:tr>
      <w:tr w:rsidR="009C4639" w:rsidRPr="009C4639" w:rsidTr="00BA1624">
        <w:tc>
          <w:tcPr>
            <w:cnfStyle w:val="001000000000" w:firstRow="0" w:lastRow="0" w:firstColumn="1" w:lastColumn="0" w:oddVBand="0" w:evenVBand="0" w:oddHBand="0" w:evenHBand="0" w:firstRowFirstColumn="0" w:firstRowLastColumn="0" w:lastRowFirstColumn="0" w:lastRowLastColumn="0"/>
            <w:tcW w:w="1890" w:type="dxa"/>
          </w:tcPr>
          <w:p w:rsidR="009C4639" w:rsidRPr="009C4639" w:rsidRDefault="009C4639" w:rsidP="009C4639">
            <w:r w:rsidRPr="009C4639">
              <w:t>t½</w:t>
            </w:r>
          </w:p>
        </w:tc>
        <w:tc>
          <w:tcPr>
            <w:tcW w:w="6911" w:type="dxa"/>
          </w:tcPr>
          <w:p w:rsidR="009C4639" w:rsidRPr="009C4639" w:rsidRDefault="009C4639" w:rsidP="009C4639">
            <w:pPr>
              <w:cnfStyle w:val="000000000000" w:firstRow="0" w:lastRow="0" w:firstColumn="0" w:lastColumn="0" w:oddVBand="0" w:evenVBand="0" w:oddHBand="0" w:evenHBand="0" w:firstRowFirstColumn="0" w:firstRowLastColumn="0" w:lastRowFirstColumn="0" w:lastRowLastColumn="0"/>
            </w:pPr>
            <w:r w:rsidRPr="009C4639">
              <w:t>Half-life</w:t>
            </w:r>
          </w:p>
        </w:tc>
      </w:tr>
      <w:tr w:rsidR="00586F98" w:rsidRPr="009C4639" w:rsidTr="00341809">
        <w:tc>
          <w:tcPr>
            <w:cnfStyle w:val="001000000000" w:firstRow="0" w:lastRow="0" w:firstColumn="1" w:lastColumn="0" w:oddVBand="0" w:evenVBand="0" w:oddHBand="0" w:evenHBand="0" w:firstRowFirstColumn="0" w:firstRowLastColumn="0" w:lastRowFirstColumn="0" w:lastRowLastColumn="0"/>
            <w:tcW w:w="1890" w:type="dxa"/>
          </w:tcPr>
          <w:p w:rsidR="00586F98" w:rsidRPr="009C4639" w:rsidRDefault="00EA4EBA" w:rsidP="009C4639">
            <w:proofErr w:type="spellStart"/>
            <w:r>
              <w:t>Tmax</w:t>
            </w:r>
            <w:proofErr w:type="spellEnd"/>
          </w:p>
        </w:tc>
        <w:tc>
          <w:tcPr>
            <w:tcW w:w="6911" w:type="dxa"/>
          </w:tcPr>
          <w:p w:rsidR="00586F98" w:rsidRPr="009C4639" w:rsidRDefault="009C4639" w:rsidP="009C4639">
            <w:pPr>
              <w:cnfStyle w:val="000000000000" w:firstRow="0" w:lastRow="0" w:firstColumn="0" w:lastColumn="0" w:oddVBand="0" w:evenVBand="0" w:oddHBand="0" w:evenHBand="0" w:firstRowFirstColumn="0" w:firstRowLastColumn="0" w:lastRowFirstColumn="0" w:lastRowLastColumn="0"/>
            </w:pPr>
            <w:r w:rsidRPr="009C4639">
              <w:t>Time to maximum plasma concentration</w:t>
            </w:r>
          </w:p>
        </w:tc>
      </w:tr>
      <w:tr w:rsidR="00586F98" w:rsidRPr="009C4639" w:rsidTr="00341809">
        <w:tc>
          <w:tcPr>
            <w:cnfStyle w:val="001000000000" w:firstRow="0" w:lastRow="0" w:firstColumn="1" w:lastColumn="0" w:oddVBand="0" w:evenVBand="0" w:oddHBand="0" w:evenHBand="0" w:firstRowFirstColumn="0" w:firstRowLastColumn="0" w:lastRowFirstColumn="0" w:lastRowLastColumn="0"/>
            <w:tcW w:w="1890" w:type="dxa"/>
          </w:tcPr>
          <w:p w:rsidR="00586F98" w:rsidRPr="009C4639" w:rsidRDefault="009C4639" w:rsidP="009C4639">
            <w:r w:rsidRPr="009C4639">
              <w:t>UPI</w:t>
            </w:r>
          </w:p>
        </w:tc>
        <w:tc>
          <w:tcPr>
            <w:tcW w:w="6911" w:type="dxa"/>
          </w:tcPr>
          <w:p w:rsidR="00396C92" w:rsidRPr="009C4639" w:rsidRDefault="009C4639" w:rsidP="009C4639">
            <w:pPr>
              <w:cnfStyle w:val="000000000000" w:firstRow="0" w:lastRow="0" w:firstColumn="0" w:lastColumn="0" w:oddVBand="0" w:evenVBand="0" w:oddHBand="0" w:evenHBand="0" w:firstRowFirstColumn="0" w:firstRowLastColumn="0" w:lastRowFirstColumn="0" w:lastRowLastColumn="0"/>
            </w:pPr>
            <w:r w:rsidRPr="009C4639">
              <w:t>Un-Protected Intercourse</w:t>
            </w:r>
          </w:p>
        </w:tc>
      </w:tr>
    </w:tbl>
    <w:p w:rsidR="00586F98" w:rsidRDefault="00586F98" w:rsidP="0043797D">
      <w:pPr>
        <w:pStyle w:val="Heading2"/>
        <w:pageBreakBefore/>
        <w:rPr>
          <w:lang w:eastAsia="en-AU"/>
        </w:rPr>
      </w:pPr>
      <w:bookmarkStart w:id="8" w:name="_Toc351718900"/>
      <w:bookmarkStart w:id="9" w:name="_Toc355338635"/>
      <w:bookmarkStart w:id="10" w:name="_Toc430094048"/>
      <w:r>
        <w:rPr>
          <w:lang w:eastAsia="en-AU"/>
        </w:rPr>
        <w:lastRenderedPageBreak/>
        <w:t>Clinical rationale</w:t>
      </w:r>
      <w:bookmarkEnd w:id="10"/>
    </w:p>
    <w:p w:rsidR="000564FD" w:rsidRPr="008939FD" w:rsidRDefault="000564FD" w:rsidP="000564FD">
      <w:r w:rsidRPr="008939FD">
        <w:t>There is a clinical need for the availability of emergency contraception because of the health and social</w:t>
      </w:r>
      <w:r>
        <w:t xml:space="preserve"> costs of unplanned pregnancy. </w:t>
      </w:r>
      <w:r w:rsidRPr="008939FD">
        <w:t>Unplanned pregnancy may result from contraception failure or situations where intercourse is not anticipated or has been coerced.</w:t>
      </w:r>
      <w:r>
        <w:t xml:space="preserve"> </w:t>
      </w:r>
      <w:r w:rsidRPr="008939FD">
        <w:t>Abortion is a less acceptable alternative to emergency contraception.</w:t>
      </w:r>
      <w:r>
        <w:t xml:space="preserve"> </w:t>
      </w:r>
      <w:r w:rsidRPr="008939FD">
        <w:t>High dose oestrogen</w:t>
      </w:r>
      <w:r>
        <w:t xml:space="preserve"> progestin regimens, </w:t>
      </w:r>
      <w:r w:rsidRPr="008939FD">
        <w:t>a</w:t>
      </w:r>
      <w:r>
        <w:t xml:space="preserve">nd more recently </w:t>
      </w:r>
      <w:proofErr w:type="spellStart"/>
      <w:r>
        <w:t>levonorgestrel</w:t>
      </w:r>
      <w:proofErr w:type="spellEnd"/>
      <w:r>
        <w:t xml:space="preserve">, </w:t>
      </w:r>
      <w:r w:rsidRPr="008939FD">
        <w:t>have been previously used as emergency contraception.</w:t>
      </w:r>
      <w:r>
        <w:t xml:space="preserve"> </w:t>
      </w:r>
      <w:r w:rsidRPr="008939FD">
        <w:t xml:space="preserve">However, with </w:t>
      </w:r>
      <w:proofErr w:type="spellStart"/>
      <w:r w:rsidRPr="008939FD">
        <w:t>levonorgestrel</w:t>
      </w:r>
      <w:proofErr w:type="spellEnd"/>
      <w:r w:rsidRPr="008939FD">
        <w:t xml:space="preserve"> reported pregnancy rates rise from approximately 1.5 to 2.6%, respect</w:t>
      </w:r>
      <w:r>
        <w:t>ively, for intake 0 to 24 h</w:t>
      </w:r>
      <w:r w:rsidRPr="008939FD">
        <w:t xml:space="preserve"> as </w:t>
      </w:r>
      <w:r>
        <w:t>compared to intake 48 to 72 h</w:t>
      </w:r>
      <w:r w:rsidRPr="008939FD">
        <w:t xml:space="preserve"> after intercourse.</w:t>
      </w:r>
      <w:r>
        <w:t xml:space="preserve"> </w:t>
      </w:r>
      <w:r w:rsidRPr="008939FD">
        <w:t xml:space="preserve">Hence, </w:t>
      </w:r>
      <w:proofErr w:type="spellStart"/>
      <w:r w:rsidRPr="008939FD">
        <w:t>ulipristal</w:t>
      </w:r>
      <w:proofErr w:type="spellEnd"/>
      <w:r w:rsidRPr="008939FD">
        <w:t xml:space="preserve"> offers the potential for emergency contraception that can be taken within 5 days of </w:t>
      </w:r>
      <w:r>
        <w:t>UPI</w:t>
      </w:r>
      <w:r w:rsidRPr="008939FD">
        <w:t>.</w:t>
      </w:r>
    </w:p>
    <w:p w:rsidR="00586F98" w:rsidRDefault="00586F98" w:rsidP="00EA4EBA">
      <w:pPr>
        <w:pStyle w:val="Heading2"/>
        <w:rPr>
          <w:lang w:eastAsia="en-AU"/>
        </w:rPr>
      </w:pPr>
      <w:bookmarkStart w:id="11" w:name="_Toc430094049"/>
      <w:r>
        <w:rPr>
          <w:lang w:eastAsia="en-AU"/>
        </w:rPr>
        <w:t xml:space="preserve">Contents </w:t>
      </w:r>
      <w:r w:rsidRPr="00EA4EBA">
        <w:t>of</w:t>
      </w:r>
      <w:r>
        <w:rPr>
          <w:lang w:eastAsia="en-AU"/>
        </w:rPr>
        <w:t xml:space="preserve"> the clinical dossier</w:t>
      </w:r>
      <w:bookmarkEnd w:id="8"/>
      <w:bookmarkEnd w:id="9"/>
      <w:bookmarkEnd w:id="11"/>
    </w:p>
    <w:p w:rsidR="00586F98" w:rsidRDefault="00586F98" w:rsidP="00EA4EBA">
      <w:pPr>
        <w:pStyle w:val="Heading3"/>
      </w:pPr>
      <w:bookmarkStart w:id="12" w:name="_Toc430094050"/>
      <w:r>
        <w:t xml:space="preserve">Scope of </w:t>
      </w:r>
      <w:r w:rsidRPr="00EA4EBA">
        <w:t>the</w:t>
      </w:r>
      <w:r>
        <w:t xml:space="preserve"> clinical dossier</w:t>
      </w:r>
      <w:bookmarkEnd w:id="12"/>
    </w:p>
    <w:p w:rsidR="007027FA" w:rsidRPr="003A6897" w:rsidRDefault="007027FA" w:rsidP="007027FA">
      <w:r w:rsidRPr="003A6897">
        <w:t>The submission contained the following clinical information:</w:t>
      </w:r>
    </w:p>
    <w:p w:rsidR="007027FA" w:rsidRPr="003A6897" w:rsidRDefault="007027FA" w:rsidP="00EA4EBA">
      <w:pPr>
        <w:pStyle w:val="ListBullet"/>
      </w:pPr>
      <w:r w:rsidRPr="003A6897">
        <w:t xml:space="preserve">19 clinical pharmacology studies, including 14 that provided pharmacokinetic data and 6 that provided </w:t>
      </w:r>
      <w:proofErr w:type="spellStart"/>
      <w:r w:rsidRPr="00EA4EBA">
        <w:t>pharmacodynamic</w:t>
      </w:r>
      <w:proofErr w:type="spellEnd"/>
      <w:r>
        <w:t xml:space="preserve"> data;</w:t>
      </w:r>
    </w:p>
    <w:p w:rsidR="007027FA" w:rsidRPr="003A6897" w:rsidRDefault="007027FA" w:rsidP="007F0527">
      <w:pPr>
        <w:pStyle w:val="ListBullet"/>
        <w:numPr>
          <w:ilvl w:val="0"/>
          <w:numId w:val="1"/>
        </w:numPr>
      </w:pPr>
      <w:r w:rsidRPr="003A6897">
        <w:t>No popu</w:t>
      </w:r>
      <w:r>
        <w:t>lation pharmacokinetic analyses;</w:t>
      </w:r>
    </w:p>
    <w:p w:rsidR="007027FA" w:rsidRPr="003A6897" w:rsidRDefault="007027FA" w:rsidP="007F0527">
      <w:pPr>
        <w:pStyle w:val="ListBullet"/>
        <w:numPr>
          <w:ilvl w:val="0"/>
          <w:numId w:val="1"/>
        </w:numPr>
      </w:pPr>
      <w:r w:rsidRPr="003A6897">
        <w:t>On</w:t>
      </w:r>
      <w:r>
        <w:t>e pivotal efficacy/safety study;</w:t>
      </w:r>
    </w:p>
    <w:p w:rsidR="007027FA" w:rsidRPr="003A6897" w:rsidRDefault="007027FA" w:rsidP="007F0527">
      <w:pPr>
        <w:pStyle w:val="ListBullet"/>
        <w:numPr>
          <w:ilvl w:val="0"/>
          <w:numId w:val="1"/>
        </w:numPr>
      </w:pPr>
      <w:r w:rsidRPr="003A6897">
        <w:t>Two dose</w:t>
      </w:r>
      <w:r>
        <w:t xml:space="preserve"> finding studies;</w:t>
      </w:r>
    </w:p>
    <w:p w:rsidR="007027FA" w:rsidRPr="003A6897" w:rsidRDefault="007027FA" w:rsidP="007F0527">
      <w:pPr>
        <w:pStyle w:val="ListBullet"/>
        <w:numPr>
          <w:ilvl w:val="0"/>
          <w:numId w:val="1"/>
        </w:numPr>
      </w:pPr>
      <w:r w:rsidRPr="003A6897">
        <w:t>Tw</w:t>
      </w:r>
      <w:r>
        <w:t>o other efficacy/safety studies;</w:t>
      </w:r>
    </w:p>
    <w:p w:rsidR="007027FA" w:rsidRPr="003A6897" w:rsidRDefault="007027FA" w:rsidP="007F0527">
      <w:pPr>
        <w:pStyle w:val="ListBullet"/>
        <w:numPr>
          <w:ilvl w:val="0"/>
          <w:numId w:val="1"/>
        </w:numPr>
      </w:pPr>
      <w:r w:rsidRPr="003A6897">
        <w:t>Four pooled anal</w:t>
      </w:r>
      <w:r>
        <w:t xml:space="preserve">yses, seven </w:t>
      </w:r>
      <w:r w:rsidRPr="00144BAB">
        <w:t xml:space="preserve">periodic </w:t>
      </w:r>
      <w:proofErr w:type="gramStart"/>
      <w:r w:rsidRPr="00144BAB">
        <w:t>safety</w:t>
      </w:r>
      <w:proofErr w:type="gramEnd"/>
      <w:r w:rsidRPr="00144BAB">
        <w:t xml:space="preserve"> update reports </w:t>
      </w:r>
      <w:r>
        <w:t xml:space="preserve">(PSURs), and one </w:t>
      </w:r>
      <w:proofErr w:type="spellStart"/>
      <w:r>
        <w:t>post</w:t>
      </w:r>
      <w:r w:rsidRPr="003A6897">
        <w:t>marketing</w:t>
      </w:r>
      <w:proofErr w:type="spellEnd"/>
      <w:r w:rsidRPr="003A6897">
        <w:t xml:space="preserve"> study</w:t>
      </w:r>
      <w:r>
        <w:t>.</w:t>
      </w:r>
    </w:p>
    <w:p w:rsidR="00586F98" w:rsidRDefault="00586F98" w:rsidP="00EA4EBA">
      <w:pPr>
        <w:pStyle w:val="Heading3"/>
      </w:pPr>
      <w:bookmarkStart w:id="13" w:name="_Toc430094051"/>
      <w:r w:rsidRPr="00EA4EBA">
        <w:t>Paediatric</w:t>
      </w:r>
      <w:r>
        <w:t xml:space="preserve"> data</w:t>
      </w:r>
      <w:bookmarkEnd w:id="13"/>
    </w:p>
    <w:p w:rsidR="000564FD" w:rsidRPr="003A6897" w:rsidRDefault="000564FD" w:rsidP="000564FD">
      <w:r w:rsidRPr="003A6897">
        <w:t>The submission included data for females aged 13 years and over.</w:t>
      </w:r>
      <w:r>
        <w:t xml:space="preserve"> </w:t>
      </w:r>
      <w:r w:rsidRPr="003A6897">
        <w:t xml:space="preserve">The </w:t>
      </w:r>
      <w:r>
        <w:t>s</w:t>
      </w:r>
      <w:r w:rsidRPr="003A6897">
        <w:t xml:space="preserve">ponsor has an approved </w:t>
      </w:r>
      <w:r w:rsidRPr="00FB7FAA">
        <w:t xml:space="preserve">paediatric investigation plan </w:t>
      </w:r>
      <w:r>
        <w:t>(</w:t>
      </w:r>
      <w:r w:rsidRPr="003A6897">
        <w:t>PIP</w:t>
      </w:r>
      <w:r>
        <w:t>)</w:t>
      </w:r>
      <w:r w:rsidRPr="003A6897">
        <w:t xml:space="preserve"> that includes adolescent girls aged 12 to 17 years.</w:t>
      </w:r>
      <w:r>
        <w:t xml:space="preserve"> </w:t>
      </w:r>
      <w:r w:rsidRPr="003A6897">
        <w:t xml:space="preserve">The </w:t>
      </w:r>
      <w:r>
        <w:t>s</w:t>
      </w:r>
      <w:r w:rsidRPr="003A6897">
        <w:t>ponsor has a waiver for children aged ≤12 years because pre</w:t>
      </w:r>
      <w:r>
        <w:t xml:space="preserve"> </w:t>
      </w:r>
      <w:proofErr w:type="spellStart"/>
      <w:r w:rsidRPr="003A6897">
        <w:t>menarchic</w:t>
      </w:r>
      <w:proofErr w:type="spellEnd"/>
      <w:r w:rsidRPr="003A6897">
        <w:t xml:space="preserve"> girls are not considered to be at risk of pregnancy.</w:t>
      </w:r>
    </w:p>
    <w:p w:rsidR="00586F98" w:rsidRDefault="00586F98" w:rsidP="00586F98">
      <w:pPr>
        <w:pStyle w:val="Heading3"/>
      </w:pPr>
      <w:bookmarkStart w:id="14" w:name="_Toc430094052"/>
      <w:r>
        <w:t>Good clinical practice</w:t>
      </w:r>
      <w:bookmarkEnd w:id="14"/>
    </w:p>
    <w:p w:rsidR="00A8181A" w:rsidRPr="002A7A08" w:rsidRDefault="00A8181A" w:rsidP="00A8181A">
      <w:bookmarkStart w:id="15" w:name="_Toc241374282"/>
      <w:r w:rsidRPr="002A7A08">
        <w:t xml:space="preserve">The clinical studies were stated, and appeared, to have been conducted according to </w:t>
      </w:r>
      <w:r>
        <w:t>Good Clinical Practice</w:t>
      </w:r>
      <w:r w:rsidRPr="002A7A08">
        <w:t>.</w:t>
      </w:r>
    </w:p>
    <w:p w:rsidR="00586F98" w:rsidRDefault="00586F98" w:rsidP="00EA4EBA">
      <w:pPr>
        <w:pStyle w:val="Heading2"/>
      </w:pPr>
      <w:bookmarkStart w:id="16" w:name="_Toc355338639"/>
      <w:bookmarkStart w:id="17" w:name="_Toc430094053"/>
      <w:bookmarkEnd w:id="15"/>
      <w:r>
        <w:t>Pharmacokinetics</w:t>
      </w:r>
      <w:bookmarkEnd w:id="16"/>
      <w:bookmarkEnd w:id="17"/>
    </w:p>
    <w:p w:rsidR="005C5248" w:rsidRPr="00A62D02" w:rsidRDefault="005C5248" w:rsidP="005C5248">
      <w:pPr>
        <w:pStyle w:val="Heading3"/>
      </w:pPr>
      <w:bookmarkStart w:id="18" w:name="_Ref271017296"/>
      <w:bookmarkStart w:id="19" w:name="_Ref271018924"/>
      <w:bookmarkStart w:id="20" w:name="_Ref271018934"/>
      <w:bookmarkStart w:id="21" w:name="_Toc272414614"/>
      <w:bookmarkStart w:id="22" w:name="_Toc290846238"/>
      <w:bookmarkStart w:id="23" w:name="_Toc389848846"/>
      <w:bookmarkStart w:id="24" w:name="_Toc430094054"/>
      <w:r w:rsidRPr="00A62D02">
        <w:t>Studies</w:t>
      </w:r>
      <w:bookmarkEnd w:id="18"/>
      <w:bookmarkEnd w:id="19"/>
      <w:bookmarkEnd w:id="20"/>
      <w:r w:rsidRPr="00A62D02">
        <w:t xml:space="preserve"> providing pharmacokinetic data</w:t>
      </w:r>
      <w:bookmarkEnd w:id="21"/>
      <w:bookmarkEnd w:id="22"/>
      <w:bookmarkEnd w:id="23"/>
      <w:bookmarkEnd w:id="24"/>
    </w:p>
    <w:p w:rsidR="00294F13" w:rsidRPr="00CD58A0" w:rsidRDefault="00294F13" w:rsidP="00294F13">
      <w:r>
        <w:t xml:space="preserve">Table 1 </w:t>
      </w:r>
      <w:r w:rsidRPr="00CD58A0">
        <w:t>shows the studies relating to each pharmacokinetic topic and the location of each study summary.</w:t>
      </w:r>
    </w:p>
    <w:p w:rsidR="00294F13" w:rsidRDefault="00294F13" w:rsidP="00EA4EBA">
      <w:pPr>
        <w:pStyle w:val="TableTitle0"/>
      </w:pPr>
      <w:r>
        <w:lastRenderedPageBreak/>
        <w:t>Table 1:</w:t>
      </w:r>
      <w:r w:rsidRPr="00282C9A">
        <w:t xml:space="preserve"> </w:t>
      </w:r>
      <w:r w:rsidRPr="00EA4EBA">
        <w:t>Submitted</w:t>
      </w:r>
      <w:r>
        <w:t xml:space="preserve"> pharmacokinetic studies.</w:t>
      </w:r>
    </w:p>
    <w:p w:rsidR="00294F13" w:rsidRDefault="00294F13" w:rsidP="00294F13">
      <w:r>
        <w:rPr>
          <w:noProof/>
          <w:lang w:eastAsia="en-AU"/>
        </w:rPr>
        <w:drawing>
          <wp:inline distT="0" distB="0" distL="0" distR="0">
            <wp:extent cx="3599215" cy="2986657"/>
            <wp:effectExtent l="0" t="0" r="0" b="0"/>
            <wp:docPr id="15" name="Picture 15" descr="Table 1: Submitted pharmacokinetic studies." title="Table 1: Submitted pharmacokinetic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3601748" cy="2988759"/>
                    </a:xfrm>
                    <a:prstGeom prst="rect">
                      <a:avLst/>
                    </a:prstGeom>
                  </pic:spPr>
                </pic:pic>
              </a:graphicData>
            </a:graphic>
          </wp:inline>
        </w:drawing>
      </w:r>
    </w:p>
    <w:p w:rsidR="00586F98" w:rsidRDefault="00294F13" w:rsidP="00294F13">
      <w:r w:rsidRPr="00134949">
        <w:t>None of the pharmacokinetic studies had deficiencies that excluded their results from</w:t>
      </w:r>
      <w:r w:rsidR="004170BA">
        <w:t xml:space="preserve"> consideration.</w:t>
      </w:r>
    </w:p>
    <w:p w:rsidR="000A3662" w:rsidRPr="000F3B52" w:rsidRDefault="000A3662" w:rsidP="00EA4EBA">
      <w:pPr>
        <w:pStyle w:val="Heading3"/>
      </w:pPr>
      <w:bookmarkStart w:id="25" w:name="_Ref269118175"/>
      <w:bookmarkStart w:id="26" w:name="_Toc272414616"/>
      <w:bookmarkStart w:id="27" w:name="_Toc290846239"/>
      <w:bookmarkStart w:id="28" w:name="_Toc389848847"/>
      <w:bookmarkStart w:id="29" w:name="_Toc430094055"/>
      <w:r w:rsidRPr="00EA4EBA">
        <w:t>Summary</w:t>
      </w:r>
      <w:r w:rsidRPr="000F3B52">
        <w:t xml:space="preserve"> of pharmacokinetics</w:t>
      </w:r>
      <w:bookmarkEnd w:id="25"/>
      <w:bookmarkEnd w:id="26"/>
      <w:bookmarkEnd w:id="27"/>
      <w:bookmarkEnd w:id="28"/>
      <w:bookmarkEnd w:id="29"/>
    </w:p>
    <w:p w:rsidR="000A3662" w:rsidRPr="00AD084F" w:rsidRDefault="000A3662" w:rsidP="00AD084F">
      <w:r w:rsidRPr="00AD084F">
        <w:t>The information in the following summary is derived from conventional pharmacokinetic studies unless otherwise stated.</w:t>
      </w:r>
    </w:p>
    <w:p w:rsidR="000A3662" w:rsidRPr="000F3B52" w:rsidRDefault="000A3662" w:rsidP="00AD084F">
      <w:pPr>
        <w:pStyle w:val="Heading4"/>
      </w:pPr>
      <w:bookmarkStart w:id="30" w:name="_Toc272414617"/>
      <w:bookmarkStart w:id="31" w:name="_Toc290846240"/>
      <w:bookmarkStart w:id="32" w:name="_Toc389848848"/>
      <w:r w:rsidRPr="000F3B52">
        <w:t>Physicochemical characteristics of the active substance</w:t>
      </w:r>
      <w:bookmarkEnd w:id="30"/>
      <w:bookmarkEnd w:id="31"/>
      <w:bookmarkEnd w:id="32"/>
    </w:p>
    <w:p w:rsidR="000A3662" w:rsidRPr="00AD084F" w:rsidRDefault="000A3662" w:rsidP="00AD084F">
      <w:r w:rsidRPr="00AD084F">
        <w:t xml:space="preserve">The following information is derived from the </w:t>
      </w:r>
      <w:r w:rsidR="00480B01">
        <w:t>s</w:t>
      </w:r>
      <w:r w:rsidRPr="00AD084F">
        <w:t>ponsor’s PI.</w:t>
      </w:r>
      <w:r w:rsidR="00892FBC">
        <w:t xml:space="preserve"> </w:t>
      </w:r>
      <w:proofErr w:type="spellStart"/>
      <w:r w:rsidRPr="00AD084F">
        <w:t>Ulipristal</w:t>
      </w:r>
      <w:proofErr w:type="spellEnd"/>
      <w:r w:rsidRPr="00AD084F">
        <w:t xml:space="preserve"> acetate is a white to yellowish crystalline powder.</w:t>
      </w:r>
      <w:r w:rsidR="00892FBC">
        <w:t xml:space="preserve"> </w:t>
      </w:r>
      <w:r w:rsidRPr="00AD084F">
        <w:t>It is freely soluble in methylene chloride, soluble in methanol, acetone and ethanol and insoluble in water.</w:t>
      </w:r>
    </w:p>
    <w:p w:rsidR="000A3662" w:rsidRPr="000F3B52" w:rsidRDefault="000A3662" w:rsidP="00AD084F">
      <w:pPr>
        <w:pStyle w:val="Heading4"/>
      </w:pPr>
      <w:bookmarkStart w:id="33" w:name="_Ref271189106"/>
      <w:bookmarkStart w:id="34" w:name="_Ref271189143"/>
      <w:bookmarkStart w:id="35" w:name="_Toc272414618"/>
      <w:bookmarkStart w:id="36" w:name="_Toc290846241"/>
      <w:bookmarkStart w:id="37" w:name="_Toc389848849"/>
      <w:r w:rsidRPr="000F3B52">
        <w:t>Pharmacokinetics in healthy subjects</w:t>
      </w:r>
      <w:bookmarkEnd w:id="33"/>
      <w:bookmarkEnd w:id="34"/>
      <w:bookmarkEnd w:id="35"/>
      <w:bookmarkEnd w:id="36"/>
      <w:bookmarkEnd w:id="37"/>
    </w:p>
    <w:p w:rsidR="000A3662" w:rsidRPr="000F3B52" w:rsidRDefault="000A3662" w:rsidP="00AD084F">
      <w:pPr>
        <w:pStyle w:val="Heading5"/>
      </w:pPr>
      <w:bookmarkStart w:id="38" w:name="_Toc272414619"/>
      <w:bookmarkStart w:id="39" w:name="_Toc290846242"/>
      <w:bookmarkStart w:id="40" w:name="_Toc389848850"/>
      <w:r w:rsidRPr="000F3B52">
        <w:t>Absorption</w:t>
      </w:r>
      <w:bookmarkEnd w:id="38"/>
      <w:bookmarkEnd w:id="39"/>
      <w:bookmarkEnd w:id="40"/>
    </w:p>
    <w:p w:rsidR="000A3662" w:rsidRPr="000F3B52" w:rsidRDefault="000A3662" w:rsidP="00AD084F">
      <w:pPr>
        <w:pStyle w:val="Heading6"/>
      </w:pPr>
      <w:r w:rsidRPr="000F3B52">
        <w:t>Sites and mechanisms of absorption</w:t>
      </w:r>
    </w:p>
    <w:p w:rsidR="000A3662" w:rsidRPr="00AD084F" w:rsidRDefault="000A3662" w:rsidP="00AD084F">
      <w:r w:rsidRPr="00AD084F">
        <w:t>In</w:t>
      </w:r>
      <w:r w:rsidR="00185849">
        <w:t xml:space="preserve"> Study 111014-001, </w:t>
      </w:r>
      <w:r w:rsidRPr="00AD084F">
        <w:t>mean (</w:t>
      </w:r>
      <w:proofErr w:type="gramStart"/>
      <w:r w:rsidRPr="00AD084F">
        <w:t>CV%</w:t>
      </w:r>
      <w:proofErr w:type="gramEnd"/>
      <w:r w:rsidRPr="00AD084F">
        <w:t xml:space="preserve">) </w:t>
      </w:r>
      <w:proofErr w:type="spellStart"/>
      <w:r w:rsidRPr="00AD084F">
        <w:t>Cmax</w:t>
      </w:r>
      <w:proofErr w:type="spellEnd"/>
      <w:r w:rsidRPr="00AD084F">
        <w:t xml:space="preserve"> following a 30 mg oral tablet was 223 (36.7%) ng/mL, there was no absorption time lag and median (range) </w:t>
      </w:r>
      <w:proofErr w:type="spellStart"/>
      <w:r w:rsidRPr="00AD084F">
        <w:t>Tmax</w:t>
      </w:r>
      <w:proofErr w:type="spellEnd"/>
      <w:r w:rsidRPr="00AD084F">
        <w:t xml:space="preserve"> was 0.500 (0.50 to 1.00) hours.</w:t>
      </w:r>
    </w:p>
    <w:p w:rsidR="000A3662" w:rsidRPr="00AD084F" w:rsidRDefault="000A3662" w:rsidP="00AD084F">
      <w:r w:rsidRPr="00AD084F">
        <w:t>In S</w:t>
      </w:r>
      <w:r w:rsidR="00185849">
        <w:t xml:space="preserve">tudy HRA2914-504, </w:t>
      </w:r>
      <w:r w:rsidRPr="00AD084F">
        <w:t xml:space="preserve">for a 30 mg oral dose, mean (SD) CL/F was 76.8 (64.0) L/h, </w:t>
      </w:r>
      <w:proofErr w:type="spellStart"/>
      <w:r w:rsidRPr="00AD084F">
        <w:t>Cmax</w:t>
      </w:r>
      <w:proofErr w:type="spellEnd"/>
      <w:r w:rsidRPr="00AD084F">
        <w:t xml:space="preserve"> was 176 (88.9) ng/mL, AUC0-inf was 556 (260) </w:t>
      </w:r>
      <w:proofErr w:type="spellStart"/>
      <w:r w:rsidRPr="00AD084F">
        <w:t>h•ng</w:t>
      </w:r>
      <w:proofErr w:type="spellEnd"/>
      <w:r w:rsidRPr="00AD084F">
        <w:t>/mL and t½ was 32.4 (6.33) hours.</w:t>
      </w:r>
      <w:r w:rsidR="00892FBC">
        <w:t xml:space="preserve"> </w:t>
      </w:r>
      <w:r w:rsidRPr="00AD084F">
        <w:t xml:space="preserve">Median (range) </w:t>
      </w:r>
      <w:proofErr w:type="spellStart"/>
      <w:r w:rsidRPr="00AD084F">
        <w:t>Tmax</w:t>
      </w:r>
      <w:proofErr w:type="spellEnd"/>
      <w:r w:rsidRPr="00AD084F">
        <w:t xml:space="preserve"> was 0.88 (0.50 to 2.00) hours.</w:t>
      </w:r>
      <w:r w:rsidR="00892FBC">
        <w:t xml:space="preserve"> </w:t>
      </w:r>
      <w:r w:rsidRPr="00AD084F">
        <w:t>The plasma concentration time profile was consistent with a two compartment model.</w:t>
      </w:r>
    </w:p>
    <w:p w:rsidR="000A3662" w:rsidRPr="000F3B52" w:rsidRDefault="000A3662" w:rsidP="00537964">
      <w:pPr>
        <w:pStyle w:val="Heading5"/>
      </w:pPr>
      <w:bookmarkStart w:id="41" w:name="_Toc241374287"/>
      <w:bookmarkStart w:id="42" w:name="_Toc272414620"/>
      <w:bookmarkStart w:id="43" w:name="_Toc290846243"/>
      <w:bookmarkStart w:id="44" w:name="_Toc389848851"/>
      <w:r w:rsidRPr="000F3B52">
        <w:t>Bioavailability</w:t>
      </w:r>
      <w:bookmarkEnd w:id="41"/>
      <w:bookmarkEnd w:id="42"/>
      <w:bookmarkEnd w:id="43"/>
      <w:bookmarkEnd w:id="44"/>
    </w:p>
    <w:p w:rsidR="000A3662" w:rsidRPr="000F3B52" w:rsidRDefault="000A3662" w:rsidP="00537964">
      <w:pPr>
        <w:pStyle w:val="Heading6"/>
      </w:pPr>
      <w:r w:rsidRPr="000F3B52">
        <w:t>Absolute bioavailability</w:t>
      </w:r>
    </w:p>
    <w:p w:rsidR="000A3662" w:rsidRPr="00BD0011" w:rsidRDefault="001178E8" w:rsidP="00BD0011">
      <w:r w:rsidRPr="00BD0011">
        <w:t xml:space="preserve">In Study 111014-001, </w:t>
      </w:r>
      <w:r w:rsidR="000A3662" w:rsidRPr="00BD0011">
        <w:t>mean (SD) absolute oral bioavailability was 27.46 (4.97) %.</w:t>
      </w:r>
    </w:p>
    <w:p w:rsidR="000A3662" w:rsidRPr="000F3B52" w:rsidRDefault="000A3662" w:rsidP="002B50F0">
      <w:pPr>
        <w:pStyle w:val="Heading6"/>
      </w:pPr>
      <w:r w:rsidRPr="000F3B52">
        <w:t>Bioequivalence of clinical trial and market formulations</w:t>
      </w:r>
    </w:p>
    <w:p w:rsidR="000A3662" w:rsidRPr="002B50F0" w:rsidRDefault="00185849" w:rsidP="002B50F0">
      <w:r>
        <w:t>In Study 2914-011,</w:t>
      </w:r>
      <w:r w:rsidR="000A3662" w:rsidRPr="002B50F0">
        <w:t xml:space="preserve"> </w:t>
      </w:r>
      <w:proofErr w:type="spellStart"/>
      <w:r w:rsidR="000A3662" w:rsidRPr="002B50F0">
        <w:t>ulipristal</w:t>
      </w:r>
      <w:proofErr w:type="spellEnd"/>
      <w:r w:rsidR="000A3662" w:rsidRPr="002B50F0">
        <w:t xml:space="preserve"> 30 mg tablets manufactured at LEON </w:t>
      </w:r>
      <w:proofErr w:type="spellStart"/>
      <w:r w:rsidR="000A3662" w:rsidRPr="002B50F0">
        <w:t>Farma</w:t>
      </w:r>
      <w:proofErr w:type="spellEnd"/>
      <w:r w:rsidR="000A3662" w:rsidRPr="002B50F0">
        <w:t xml:space="preserve"> and at Cardinal Health France were found to be bioequivalent.</w:t>
      </w:r>
    </w:p>
    <w:p w:rsidR="000A3662" w:rsidRPr="000F3B52" w:rsidRDefault="000A3662" w:rsidP="002B50F0">
      <w:pPr>
        <w:pStyle w:val="Heading6"/>
      </w:pPr>
      <w:r w:rsidRPr="000F3B52">
        <w:lastRenderedPageBreak/>
        <w:t>Bioequivalence of different dosage forms and strengths</w:t>
      </w:r>
    </w:p>
    <w:p w:rsidR="000A3662" w:rsidRPr="002B50F0" w:rsidRDefault="002B50F0" w:rsidP="002B50F0">
      <w:r>
        <w:t xml:space="preserve">In Study 02-CH-0219, </w:t>
      </w:r>
      <w:r w:rsidR="000A3662" w:rsidRPr="002B50F0">
        <w:t xml:space="preserve">the bioavailability of a 10 mg </w:t>
      </w:r>
      <w:proofErr w:type="spellStart"/>
      <w:r w:rsidR="000A3662" w:rsidRPr="002B50F0">
        <w:t>micronised</w:t>
      </w:r>
      <w:proofErr w:type="spellEnd"/>
      <w:r w:rsidR="000A3662" w:rsidRPr="002B50F0">
        <w:t xml:space="preserve"> tablet formulation was similar to that for a </w:t>
      </w:r>
      <w:proofErr w:type="spellStart"/>
      <w:r w:rsidR="000A3662" w:rsidRPr="002B50F0">
        <w:t>micronised</w:t>
      </w:r>
      <w:proofErr w:type="spellEnd"/>
      <w:r w:rsidR="000A3662" w:rsidRPr="002B50F0">
        <w:t xml:space="preserve"> capsule formulation, but greater than for a crystalline capsule formulation.</w:t>
      </w:r>
      <w:r w:rsidR="00892FBC">
        <w:t xml:space="preserve"> </w:t>
      </w:r>
      <w:r w:rsidR="000A3662" w:rsidRPr="002B50F0">
        <w:t xml:space="preserve">AUC was increased by approximately 40% for both </w:t>
      </w:r>
      <w:proofErr w:type="spellStart"/>
      <w:r w:rsidR="000A3662" w:rsidRPr="002B50F0">
        <w:t>ulipristal</w:t>
      </w:r>
      <w:proofErr w:type="spellEnd"/>
      <w:r w:rsidR="000A3662" w:rsidRPr="002B50F0">
        <w:t xml:space="preserve"> and its major metabolite in the </w:t>
      </w:r>
      <w:proofErr w:type="spellStart"/>
      <w:r w:rsidR="000A3662" w:rsidRPr="002B50F0">
        <w:t>micronised</w:t>
      </w:r>
      <w:proofErr w:type="spellEnd"/>
      <w:r w:rsidR="000A3662" w:rsidRPr="002B50F0">
        <w:t xml:space="preserve"> tablet formulation relative to the crystalline capsule formulation.</w:t>
      </w:r>
    </w:p>
    <w:p w:rsidR="000A3662" w:rsidRPr="000F3B52" w:rsidRDefault="000A3662" w:rsidP="00B637A9">
      <w:pPr>
        <w:pStyle w:val="Heading6"/>
      </w:pPr>
      <w:r w:rsidRPr="000F3B52">
        <w:t>Influence of food</w:t>
      </w:r>
    </w:p>
    <w:p w:rsidR="000A3662" w:rsidRPr="00B637A9" w:rsidRDefault="000A3662" w:rsidP="00B637A9">
      <w:r w:rsidRPr="00B637A9">
        <w:t xml:space="preserve">Food decreased the rate of absorption of </w:t>
      </w:r>
      <w:proofErr w:type="spellStart"/>
      <w:r w:rsidRPr="00B637A9">
        <w:t>ulipristal</w:t>
      </w:r>
      <w:proofErr w:type="spellEnd"/>
      <w:r w:rsidRPr="00B637A9">
        <w:t>, but increased bioav</w:t>
      </w:r>
      <w:r w:rsidR="00B637A9">
        <w:t>ailability.</w:t>
      </w:r>
      <w:r w:rsidR="00892FBC">
        <w:t xml:space="preserve"> </w:t>
      </w:r>
      <w:r w:rsidR="00B637A9">
        <w:t xml:space="preserve">In Study 2914-008, </w:t>
      </w:r>
      <w:r w:rsidRPr="00B637A9">
        <w:t xml:space="preserve">following a high fat breakfast, compared to fasted, </w:t>
      </w:r>
      <w:proofErr w:type="spellStart"/>
      <w:r w:rsidRPr="00B637A9">
        <w:t>Cmax</w:t>
      </w:r>
      <w:proofErr w:type="spellEnd"/>
      <w:r w:rsidRPr="00B637A9">
        <w:t xml:space="preserve"> was decreased by 44% and </w:t>
      </w:r>
      <w:proofErr w:type="spellStart"/>
      <w:r w:rsidRPr="00B637A9">
        <w:t>Tmax</w:t>
      </w:r>
      <w:proofErr w:type="spellEnd"/>
      <w:r w:rsidRPr="00B637A9">
        <w:t xml:space="preserve"> was increased by 1.5 hours for both </w:t>
      </w:r>
      <w:proofErr w:type="spellStart"/>
      <w:r w:rsidRPr="00B637A9">
        <w:t>ulipristal</w:t>
      </w:r>
      <w:proofErr w:type="spellEnd"/>
      <w:r w:rsidRPr="00B637A9">
        <w:t xml:space="preserve"> and its major metabolite (3877A).</w:t>
      </w:r>
      <w:r w:rsidR="00892FBC">
        <w:t xml:space="preserve"> </w:t>
      </w:r>
      <w:r w:rsidRPr="00B637A9">
        <w:t xml:space="preserve">However, AUC </w:t>
      </w:r>
      <w:r w:rsidR="00EA4EBA">
        <w:t>increased by approximately 25%.</w:t>
      </w:r>
    </w:p>
    <w:p w:rsidR="000A3662" w:rsidRPr="000F3B52" w:rsidRDefault="000A3662" w:rsidP="003C1DDE">
      <w:pPr>
        <w:pStyle w:val="Heading6"/>
      </w:pPr>
      <w:r w:rsidRPr="000F3B52">
        <w:t>Dose proportionality</w:t>
      </w:r>
    </w:p>
    <w:p w:rsidR="000A3662" w:rsidRPr="003C1DDE" w:rsidRDefault="000A3662" w:rsidP="003C1DDE">
      <w:r w:rsidRPr="003C1DDE">
        <w:t xml:space="preserve">In </w:t>
      </w:r>
      <w:proofErr w:type="spellStart"/>
      <w:r w:rsidRPr="003C1DDE">
        <w:t>Pasarro</w:t>
      </w:r>
      <w:proofErr w:type="spellEnd"/>
      <w:r w:rsidRPr="003C1DDE">
        <w:t xml:space="preserve"> et al</w:t>
      </w:r>
      <w:r w:rsidR="003C1DDE" w:rsidRPr="003C1DDE">
        <w:t xml:space="preserve"> 2003, </w:t>
      </w:r>
      <w:r w:rsidRPr="003C1DDE">
        <w:t xml:space="preserve">the PK for </w:t>
      </w:r>
      <w:proofErr w:type="spellStart"/>
      <w:r w:rsidRPr="003C1DDE">
        <w:t>ulipristal</w:t>
      </w:r>
      <w:proofErr w:type="spellEnd"/>
      <w:r w:rsidRPr="003C1DDE">
        <w:t xml:space="preserve"> were not dose-proportional in the dose range 1 mg to 200 mg, with a relative decease in AUC and </w:t>
      </w:r>
      <w:proofErr w:type="spellStart"/>
      <w:r w:rsidRPr="003C1DDE">
        <w:t>Cmax</w:t>
      </w:r>
      <w:proofErr w:type="spellEnd"/>
      <w:r w:rsidRPr="003C1DDE">
        <w:t xml:space="preserve"> with increasing dose.</w:t>
      </w:r>
    </w:p>
    <w:p w:rsidR="000A3662" w:rsidRPr="003C1DDE" w:rsidRDefault="003C1DDE" w:rsidP="003C1DDE">
      <w:r w:rsidRPr="003C1DDE">
        <w:t xml:space="preserve">In Study PGL09-023, </w:t>
      </w:r>
      <w:r w:rsidR="000A3662" w:rsidRPr="003C1DDE">
        <w:t xml:space="preserve">the PK for </w:t>
      </w:r>
      <w:proofErr w:type="spellStart"/>
      <w:r w:rsidR="000A3662" w:rsidRPr="003C1DDE">
        <w:t>ulipristal</w:t>
      </w:r>
      <w:proofErr w:type="spellEnd"/>
      <w:r w:rsidR="000A3662" w:rsidRPr="003C1DDE">
        <w:t xml:space="preserve"> were not dose proportional in the dose range 10 mg to 50 mg.</w:t>
      </w:r>
      <w:r w:rsidR="00892FBC">
        <w:t xml:space="preserve"> </w:t>
      </w:r>
      <w:r w:rsidR="000A3662" w:rsidRPr="003C1DDE">
        <w:t>Dose-normalized AUC were 1.4 and 1.1 fold higher with the 20 mg and 50 mg dose, respectively, compared to the dose of 10 mg.</w:t>
      </w:r>
    </w:p>
    <w:p w:rsidR="000A3662" w:rsidRPr="000F3B52" w:rsidRDefault="000A3662" w:rsidP="003C1DDE">
      <w:pPr>
        <w:pStyle w:val="Heading6"/>
      </w:pPr>
      <w:r w:rsidRPr="000F3B52">
        <w:t>Bioavailability during multiple-dosing</w:t>
      </w:r>
    </w:p>
    <w:p w:rsidR="000A3662" w:rsidRPr="003C1DDE" w:rsidRDefault="003C1DDE" w:rsidP="003C1DDE">
      <w:r>
        <w:t xml:space="preserve">In Study PGL09-023 </w:t>
      </w:r>
      <w:r w:rsidR="000A3662" w:rsidRPr="003C1DDE">
        <w:t xml:space="preserve">with multiple daily dosing over 10 days, and in the dose range 10 mg to 50 mg there was no unpredictable accumulation of </w:t>
      </w:r>
      <w:proofErr w:type="spellStart"/>
      <w:r w:rsidR="000A3662" w:rsidRPr="003C1DDE">
        <w:t>ulipristal</w:t>
      </w:r>
      <w:proofErr w:type="spellEnd"/>
      <w:r w:rsidR="000A3662" w:rsidRPr="003C1DDE">
        <w:t xml:space="preserve"> and no indication of changes in metab</w:t>
      </w:r>
      <w:r>
        <w:t>olism over time</w:t>
      </w:r>
      <w:r w:rsidR="000A3662" w:rsidRPr="003C1DDE">
        <w:t>.</w:t>
      </w:r>
      <w:r w:rsidR="00892FBC">
        <w:t xml:space="preserve"> </w:t>
      </w:r>
      <w:r w:rsidR="000A3662" w:rsidRPr="003C1DDE">
        <w:t>Over the 10 day period there were also no changes in the metab</w:t>
      </w:r>
      <w:r>
        <w:t>olism of PGL4002</w:t>
      </w:r>
      <w:r w:rsidR="000A3662" w:rsidRPr="003C1DDE">
        <w:t>.</w:t>
      </w:r>
    </w:p>
    <w:p w:rsidR="000A3662" w:rsidRPr="000F3B52" w:rsidRDefault="000A3662" w:rsidP="003C1DDE">
      <w:pPr>
        <w:pStyle w:val="Heading5"/>
      </w:pPr>
      <w:bookmarkStart w:id="45" w:name="_Toc241374288"/>
      <w:bookmarkStart w:id="46" w:name="_Toc272414621"/>
      <w:bookmarkStart w:id="47" w:name="_Toc290846244"/>
      <w:bookmarkStart w:id="48" w:name="_Toc389848852"/>
      <w:r w:rsidRPr="000F3B52">
        <w:t>Distribution</w:t>
      </w:r>
      <w:bookmarkEnd w:id="45"/>
      <w:bookmarkEnd w:id="46"/>
      <w:bookmarkEnd w:id="47"/>
      <w:bookmarkEnd w:id="48"/>
    </w:p>
    <w:p w:rsidR="000A3662" w:rsidRPr="000F3B52" w:rsidRDefault="000A3662" w:rsidP="003C1DDE">
      <w:pPr>
        <w:pStyle w:val="Heading6"/>
      </w:pPr>
      <w:r w:rsidRPr="000F3B52">
        <w:t>Volume of distribution</w:t>
      </w:r>
    </w:p>
    <w:p w:rsidR="000A3662" w:rsidRPr="003C1DDE" w:rsidRDefault="003C1DDE" w:rsidP="003C1DDE">
      <w:r>
        <w:t xml:space="preserve">In Study 111014-001, </w:t>
      </w:r>
      <w:r w:rsidR="000A3662" w:rsidRPr="003C1DDE">
        <w:t>mean (</w:t>
      </w:r>
      <w:proofErr w:type="gramStart"/>
      <w:r w:rsidR="000A3662" w:rsidRPr="003C1DDE">
        <w:t>CV%</w:t>
      </w:r>
      <w:proofErr w:type="gramEnd"/>
      <w:r w:rsidR="000A3662" w:rsidRPr="003C1DDE">
        <w:t>) volume of distribution was 644.000 L (32.9%).</w:t>
      </w:r>
    </w:p>
    <w:p w:rsidR="000A3662" w:rsidRPr="000F3B52" w:rsidRDefault="000A3662" w:rsidP="004A33BD">
      <w:pPr>
        <w:pStyle w:val="Heading6"/>
      </w:pPr>
      <w:r w:rsidRPr="000F3B52">
        <w:t>Plasma protein binding</w:t>
      </w:r>
    </w:p>
    <w:p w:rsidR="000A3662" w:rsidRPr="004A33BD" w:rsidRDefault="000A3662" w:rsidP="004A33BD">
      <w:r w:rsidRPr="004A33BD">
        <w:t xml:space="preserve">Although there were no clinical data with regard to protein binding, the Non-Clinical overview states: “In humans, </w:t>
      </w:r>
      <w:proofErr w:type="spellStart"/>
      <w:r w:rsidRPr="004A33BD">
        <w:t>ulipristal</w:t>
      </w:r>
      <w:proofErr w:type="spellEnd"/>
      <w:r w:rsidRPr="004A33BD">
        <w:t xml:space="preserve"> acetate is highly bound in plasma (94.1% to plasma proteins), with a free fraction just above 1%. In human plasma, </w:t>
      </w:r>
      <w:proofErr w:type="spellStart"/>
      <w:r w:rsidRPr="004A33BD">
        <w:t>ulipristal</w:t>
      </w:r>
      <w:proofErr w:type="spellEnd"/>
      <w:r w:rsidRPr="004A33BD">
        <w:t xml:space="preserve"> acetate is mainly bound to α-acid glycoprotein, human serum albumin, high density lipoprotein and low density lipoprotein. The total protein binding remained constant over the concentration range tested despite a saturable binding to α-acid glycoprotein (HRA2914-427).”</w:t>
      </w:r>
    </w:p>
    <w:p w:rsidR="000A3662" w:rsidRPr="000F3B52" w:rsidRDefault="000A3662" w:rsidP="004A33BD">
      <w:pPr>
        <w:pStyle w:val="Heading5"/>
      </w:pPr>
      <w:bookmarkStart w:id="49" w:name="_Toc272414622"/>
      <w:bookmarkStart w:id="50" w:name="_Toc290846245"/>
      <w:bookmarkStart w:id="51" w:name="_Toc389848853"/>
      <w:r w:rsidRPr="000F3B52">
        <w:t>Metabolism</w:t>
      </w:r>
      <w:bookmarkEnd w:id="49"/>
      <w:bookmarkEnd w:id="50"/>
      <w:bookmarkEnd w:id="51"/>
    </w:p>
    <w:p w:rsidR="000A3662" w:rsidRPr="000F3B52" w:rsidRDefault="000A3662" w:rsidP="004A33BD">
      <w:pPr>
        <w:pStyle w:val="Heading6"/>
      </w:pPr>
      <w:r w:rsidRPr="000F3B52">
        <w:t>Sites of metabolism and mechanisms / enzyme systems involved</w:t>
      </w:r>
    </w:p>
    <w:p w:rsidR="000A3662" w:rsidRPr="004A33BD" w:rsidRDefault="000A3662" w:rsidP="004A33BD">
      <w:proofErr w:type="spellStart"/>
      <w:r w:rsidRPr="004A33BD">
        <w:t>Ulipristal</w:t>
      </w:r>
      <w:proofErr w:type="spellEnd"/>
      <w:r w:rsidRPr="004A33BD">
        <w:t xml:space="preserve"> acetate is predominantly metabolised by CYP3A4.</w:t>
      </w:r>
    </w:p>
    <w:p w:rsidR="000A3662" w:rsidRPr="00B8422D" w:rsidRDefault="000A3662" w:rsidP="00B8422D">
      <w:pPr>
        <w:pStyle w:val="Heading5"/>
      </w:pPr>
      <w:r w:rsidRPr="00B8422D">
        <w:t>Non-renal clearance</w:t>
      </w:r>
    </w:p>
    <w:p w:rsidR="000A3662" w:rsidRPr="00B8422D" w:rsidRDefault="000A3662" w:rsidP="00B8422D">
      <w:r w:rsidRPr="00B8422D">
        <w:t xml:space="preserve">In </w:t>
      </w:r>
      <w:r w:rsidR="00B8422D">
        <w:t>Study HRA2914-553,</w:t>
      </w:r>
      <w:r w:rsidRPr="00B8422D">
        <w:t xml:space="preserve"> following a single oral dose of 14C-Ulipristal 20 mg 6% of radioactivity was recovered in urine within 48 hours of dosing.</w:t>
      </w:r>
      <w:r w:rsidR="00892FBC">
        <w:t xml:space="preserve"> </w:t>
      </w:r>
      <w:r w:rsidRPr="00B8422D">
        <w:t xml:space="preserve">Hence </w:t>
      </w:r>
      <w:proofErr w:type="spellStart"/>
      <w:r w:rsidRPr="00B8422D">
        <w:t>ulipristal</w:t>
      </w:r>
      <w:proofErr w:type="spellEnd"/>
      <w:r w:rsidRPr="00B8422D">
        <w:t xml:space="preserve"> clearance is predominantly non-renal.</w:t>
      </w:r>
      <w:r w:rsidR="00892FBC">
        <w:t xml:space="preserve"> </w:t>
      </w:r>
      <w:r w:rsidRPr="00B8422D">
        <w:t>There was 72% of administered radioactivity recovered in faeces over 264 hours.</w:t>
      </w:r>
    </w:p>
    <w:p w:rsidR="000A3662" w:rsidRPr="000F3B52" w:rsidRDefault="000A3662" w:rsidP="00B8422D">
      <w:pPr>
        <w:pStyle w:val="Heading6"/>
      </w:pPr>
      <w:r w:rsidRPr="000F3B52">
        <w:t>Metabolites identified in humans</w:t>
      </w:r>
    </w:p>
    <w:p w:rsidR="000A3662" w:rsidRPr="009423F4" w:rsidRDefault="000A3662" w:rsidP="00B8422D">
      <w:pPr>
        <w:pStyle w:val="Heading7"/>
        <w:rPr>
          <w:sz w:val="20"/>
          <w:szCs w:val="20"/>
        </w:rPr>
      </w:pPr>
      <w:r w:rsidRPr="009423F4">
        <w:rPr>
          <w:sz w:val="20"/>
          <w:szCs w:val="20"/>
        </w:rPr>
        <w:t>Active metabolites</w:t>
      </w:r>
    </w:p>
    <w:p w:rsidR="000A3662" w:rsidRPr="00B8422D" w:rsidRDefault="00A5157E" w:rsidP="00B8422D">
      <w:proofErr w:type="spellStart"/>
      <w:r w:rsidRPr="00A5157E">
        <w:t>Ulipristal</w:t>
      </w:r>
      <w:proofErr w:type="spellEnd"/>
      <w:r w:rsidRPr="00A5157E">
        <w:t xml:space="preserve"> acetate main active metabolite is </w:t>
      </w:r>
      <w:proofErr w:type="spellStart"/>
      <w:r w:rsidRPr="00A5157E">
        <w:t>monodemethyl-ulipristal</w:t>
      </w:r>
      <w:proofErr w:type="spellEnd"/>
      <w:r w:rsidRPr="00A5157E">
        <w:t xml:space="preserve"> acetate.</w:t>
      </w:r>
    </w:p>
    <w:p w:rsidR="000A3662" w:rsidRPr="009423F4" w:rsidRDefault="000A3662" w:rsidP="00B8422D">
      <w:pPr>
        <w:pStyle w:val="Heading7"/>
        <w:rPr>
          <w:sz w:val="20"/>
          <w:szCs w:val="20"/>
        </w:rPr>
      </w:pPr>
      <w:r w:rsidRPr="009423F4">
        <w:rPr>
          <w:sz w:val="20"/>
          <w:szCs w:val="20"/>
        </w:rPr>
        <w:lastRenderedPageBreak/>
        <w:t>Other metabolites</w:t>
      </w:r>
    </w:p>
    <w:p w:rsidR="000A3662" w:rsidRPr="00B8422D" w:rsidRDefault="00B8422D" w:rsidP="00B8422D">
      <w:r>
        <w:t xml:space="preserve">In Study HRA2914-553, </w:t>
      </w:r>
      <w:r w:rsidR="000A3662" w:rsidRPr="00B8422D">
        <w:t>following a single oral dose of 14C-Ulipristal 20 mg approximately 80% of the administered radioactivity was recovered.</w:t>
      </w:r>
      <w:r w:rsidR="00892FBC">
        <w:t xml:space="preserve"> </w:t>
      </w:r>
      <w:r w:rsidR="000A3662" w:rsidRPr="00B8422D">
        <w:t>There was 72% of administered radioactivity recovered in faeces over 264 hours, and 6% of radioactivity was recovered in urine within 48 hours of dosing.</w:t>
      </w:r>
      <w:r w:rsidR="00892FBC">
        <w:t xml:space="preserve"> </w:t>
      </w:r>
      <w:r w:rsidR="000A3662" w:rsidRPr="00B8422D">
        <w:t>The principal metabolite was PGL4002 and systemic exposure was 33% of the parent drug.</w:t>
      </w:r>
      <w:r w:rsidR="00892FBC">
        <w:t xml:space="preserve"> </w:t>
      </w:r>
      <w:r w:rsidR="000A3662" w:rsidRPr="00B8422D">
        <w:t xml:space="preserve">Total radioactivity in plasma and whole blood was more slowly eliminated than </w:t>
      </w:r>
      <w:proofErr w:type="spellStart"/>
      <w:r w:rsidR="000A3662" w:rsidRPr="00B8422D">
        <w:t>ulipristal</w:t>
      </w:r>
      <w:proofErr w:type="spellEnd"/>
      <w:r w:rsidR="000A3662" w:rsidRPr="00B8422D">
        <w:t xml:space="preserve"> and PGL4002, resulting in mean elimination half-lives of 120 and 260 hours, respectively.</w:t>
      </w:r>
      <w:r w:rsidR="00892FBC">
        <w:t xml:space="preserve"> </w:t>
      </w:r>
      <w:r w:rsidR="000A3662" w:rsidRPr="00B8422D">
        <w:t>This prolonged elimination suggests the presence of unidentified metabolites that are slowly cleared from the systemic circulation.</w:t>
      </w:r>
    </w:p>
    <w:p w:rsidR="000A3662" w:rsidRPr="000F3B52" w:rsidRDefault="000A3662" w:rsidP="00B8422D">
      <w:pPr>
        <w:pStyle w:val="Heading6"/>
      </w:pPr>
      <w:r w:rsidRPr="000F3B52">
        <w:t>Pharmacokinetics of metabolites</w:t>
      </w:r>
    </w:p>
    <w:p w:rsidR="000A3662" w:rsidRPr="00B8422D" w:rsidRDefault="00B8422D" w:rsidP="00B8422D">
      <w:r>
        <w:t xml:space="preserve">In Study 2914-011, </w:t>
      </w:r>
      <w:r w:rsidR="000A3662" w:rsidRPr="00B8422D">
        <w:t xml:space="preserve">the </w:t>
      </w:r>
      <w:proofErr w:type="spellStart"/>
      <w:r w:rsidR="000A3662" w:rsidRPr="00B8422D">
        <w:t>half life</w:t>
      </w:r>
      <w:proofErr w:type="spellEnd"/>
      <w:r w:rsidR="000A3662" w:rsidRPr="00B8422D">
        <w:t xml:space="preserve"> of 11-demethyl-ulipristal acetate was around 41 hours.</w:t>
      </w:r>
      <w:r w:rsidR="00892FBC">
        <w:t xml:space="preserve"> </w:t>
      </w:r>
      <w:proofErr w:type="spellStart"/>
      <w:r w:rsidR="000A3662" w:rsidRPr="00B8422D">
        <w:t>Tmax</w:t>
      </w:r>
      <w:proofErr w:type="spellEnd"/>
      <w:r w:rsidR="000A3662" w:rsidRPr="00B8422D">
        <w:t xml:space="preserve"> was 1 hour, indicating rapid biotransformation of </w:t>
      </w:r>
      <w:proofErr w:type="spellStart"/>
      <w:r w:rsidR="000A3662" w:rsidRPr="00B8422D">
        <w:t>ulipristal</w:t>
      </w:r>
      <w:proofErr w:type="spellEnd"/>
      <w:r w:rsidR="000A3662" w:rsidRPr="00B8422D">
        <w:t xml:space="preserve"> acetate to its major metabolite.</w:t>
      </w:r>
    </w:p>
    <w:p w:rsidR="000A3662" w:rsidRPr="000F3B52" w:rsidRDefault="000A3662" w:rsidP="00B8422D">
      <w:pPr>
        <w:pStyle w:val="Heading5"/>
      </w:pPr>
      <w:bookmarkStart w:id="52" w:name="_Toc241374289"/>
      <w:bookmarkStart w:id="53" w:name="_Toc272414623"/>
      <w:bookmarkStart w:id="54" w:name="_Toc290846246"/>
      <w:bookmarkStart w:id="55" w:name="_Toc389848854"/>
      <w:r w:rsidRPr="000F3B52">
        <w:t>E</w:t>
      </w:r>
      <w:bookmarkEnd w:id="52"/>
      <w:r w:rsidRPr="000F3B52">
        <w:t>xcretion</w:t>
      </w:r>
      <w:bookmarkEnd w:id="53"/>
      <w:bookmarkEnd w:id="54"/>
      <w:bookmarkEnd w:id="55"/>
    </w:p>
    <w:p w:rsidR="000A3662" w:rsidRPr="000F3B52" w:rsidRDefault="000A3662" w:rsidP="003D03E3">
      <w:pPr>
        <w:pStyle w:val="Heading6"/>
      </w:pPr>
      <w:r w:rsidRPr="000F3B52">
        <w:t>Routes and mechanisms of excretion</w:t>
      </w:r>
    </w:p>
    <w:p w:rsidR="000A3662" w:rsidRPr="003D03E3" w:rsidRDefault="003D03E3" w:rsidP="003D03E3">
      <w:r>
        <w:t xml:space="preserve">In Study 111014-001, </w:t>
      </w:r>
      <w:r w:rsidR="000A3662" w:rsidRPr="003D03E3">
        <w:t>mean (</w:t>
      </w:r>
      <w:proofErr w:type="gramStart"/>
      <w:r w:rsidR="000A3662" w:rsidRPr="003D03E3">
        <w:t>CV%</w:t>
      </w:r>
      <w:proofErr w:type="gramEnd"/>
      <w:r w:rsidR="000A3662" w:rsidRPr="003D03E3">
        <w:t xml:space="preserve">) clearance of </w:t>
      </w:r>
      <w:proofErr w:type="spellStart"/>
      <w:r w:rsidR="000A3662" w:rsidRPr="003D03E3">
        <w:t>ulipristal</w:t>
      </w:r>
      <w:proofErr w:type="spellEnd"/>
      <w:r w:rsidR="000A3662" w:rsidRPr="003D03E3">
        <w:t xml:space="preserve"> was 10.300 L/hour (26.1%).</w:t>
      </w:r>
    </w:p>
    <w:p w:rsidR="000A3662" w:rsidRPr="003D03E3" w:rsidRDefault="003D03E3" w:rsidP="003D03E3">
      <w:r>
        <w:t xml:space="preserve">In Study 111014-001, </w:t>
      </w:r>
      <w:r w:rsidR="000A3662" w:rsidRPr="003D03E3">
        <w:t>mean (</w:t>
      </w:r>
      <w:proofErr w:type="gramStart"/>
      <w:r w:rsidR="000A3662" w:rsidRPr="003D03E3">
        <w:t>CV%</w:t>
      </w:r>
      <w:proofErr w:type="gramEnd"/>
      <w:r w:rsidR="000A3662" w:rsidRPr="003D03E3">
        <w:t>) t1/2 was approximately 43.280 (30.4) hours.</w:t>
      </w:r>
    </w:p>
    <w:p w:rsidR="000A3662" w:rsidRPr="000F3B52" w:rsidRDefault="000A3662" w:rsidP="00A47855">
      <w:pPr>
        <w:pStyle w:val="Heading6"/>
      </w:pPr>
      <w:r w:rsidRPr="000F3B52">
        <w:t>Mass balance studies</w:t>
      </w:r>
    </w:p>
    <w:p w:rsidR="000A3662" w:rsidRPr="00A47855" w:rsidRDefault="000A3662" w:rsidP="00A47855">
      <w:proofErr w:type="gramStart"/>
      <w:r w:rsidRPr="00A47855">
        <w:t>As per above</w:t>
      </w:r>
      <w:r w:rsidR="002C3017" w:rsidRPr="00A47855">
        <w:t>.</w:t>
      </w:r>
      <w:proofErr w:type="gramEnd"/>
    </w:p>
    <w:p w:rsidR="000A3662" w:rsidRPr="000F3B52" w:rsidRDefault="000A3662" w:rsidP="00A47855">
      <w:pPr>
        <w:pStyle w:val="Heading6"/>
      </w:pPr>
      <w:r w:rsidRPr="000F3B52">
        <w:t>Renal clearance</w:t>
      </w:r>
    </w:p>
    <w:p w:rsidR="000A3662" w:rsidRPr="00A47855" w:rsidRDefault="000A3662" w:rsidP="00A47855">
      <w:r w:rsidRPr="00A47855">
        <w:t xml:space="preserve">Renal clearance of unchanged </w:t>
      </w:r>
      <w:proofErr w:type="spellStart"/>
      <w:r w:rsidRPr="00A47855">
        <w:t>ulipristal</w:t>
      </w:r>
      <w:proofErr w:type="spellEnd"/>
      <w:r w:rsidRPr="00A47855">
        <w:t xml:space="preserve"> is minimal.</w:t>
      </w:r>
    </w:p>
    <w:p w:rsidR="000A3662" w:rsidRPr="000F3B52" w:rsidRDefault="000A3662" w:rsidP="007F0527">
      <w:pPr>
        <w:pStyle w:val="Heading4"/>
      </w:pPr>
      <w:bookmarkStart w:id="56" w:name="_Toc241374292"/>
      <w:bookmarkStart w:id="57" w:name="_Ref271189131"/>
      <w:bookmarkStart w:id="58" w:name="_Ref271189136"/>
      <w:bookmarkStart w:id="59" w:name="_Toc272414625"/>
      <w:bookmarkStart w:id="60" w:name="_Toc290846248"/>
      <w:bookmarkStart w:id="61" w:name="_Toc389848855"/>
      <w:r w:rsidRPr="000F3B52">
        <w:t xml:space="preserve">Pharmacokinetics in </w:t>
      </w:r>
      <w:r w:rsidRPr="007F0527">
        <w:t>the</w:t>
      </w:r>
      <w:r w:rsidRPr="000F3B52">
        <w:t xml:space="preserve"> target population</w:t>
      </w:r>
      <w:bookmarkEnd w:id="56"/>
      <w:bookmarkEnd w:id="57"/>
      <w:bookmarkEnd w:id="58"/>
      <w:bookmarkEnd w:id="59"/>
      <w:bookmarkEnd w:id="60"/>
      <w:bookmarkEnd w:id="61"/>
    </w:p>
    <w:p w:rsidR="000A3662" w:rsidRPr="00A47855" w:rsidRDefault="000A3662" w:rsidP="00A47855">
      <w:r w:rsidRPr="00A47855">
        <w:t>PK studies were not conducted in the target population.</w:t>
      </w:r>
      <w:r w:rsidR="00892FBC">
        <w:t xml:space="preserve"> </w:t>
      </w:r>
      <w:r w:rsidRPr="00A47855">
        <w:t>However, the target population is healthy females and this would be similar to the volunteer populations used in the PK studies.</w:t>
      </w:r>
    </w:p>
    <w:p w:rsidR="000A3662" w:rsidRPr="000F3B52" w:rsidRDefault="000A3662" w:rsidP="00A47855">
      <w:pPr>
        <w:pStyle w:val="Heading4"/>
      </w:pPr>
      <w:bookmarkStart w:id="62" w:name="_Toc241374293"/>
      <w:bookmarkStart w:id="63" w:name="_Toc272414626"/>
      <w:bookmarkStart w:id="64" w:name="_Toc290846249"/>
      <w:bookmarkStart w:id="65" w:name="_Toc389848856"/>
      <w:r w:rsidRPr="000F3B52">
        <w:t>Pharmacokinetics in other special populations</w:t>
      </w:r>
      <w:bookmarkEnd w:id="62"/>
      <w:bookmarkEnd w:id="63"/>
      <w:bookmarkEnd w:id="64"/>
      <w:bookmarkEnd w:id="65"/>
    </w:p>
    <w:p w:rsidR="000A3662" w:rsidRPr="000F3B52" w:rsidRDefault="000A3662" w:rsidP="00A47855">
      <w:pPr>
        <w:pStyle w:val="Heading5"/>
      </w:pPr>
      <w:bookmarkStart w:id="66" w:name="_Toc272414627"/>
      <w:bookmarkStart w:id="67" w:name="_Toc290846250"/>
      <w:bookmarkStart w:id="68" w:name="_Toc389848857"/>
      <w:r w:rsidRPr="000F3B52">
        <w:t>Pharmacokinetics in subjects with impaired hepatic function</w:t>
      </w:r>
      <w:bookmarkEnd w:id="66"/>
      <w:bookmarkEnd w:id="67"/>
      <w:bookmarkEnd w:id="68"/>
    </w:p>
    <w:p w:rsidR="000A3662" w:rsidRPr="00A47855" w:rsidRDefault="000A3662" w:rsidP="00A47855">
      <w:r w:rsidRPr="00A47855">
        <w:t>No data.</w:t>
      </w:r>
    </w:p>
    <w:p w:rsidR="000A3662" w:rsidRPr="000F3B52" w:rsidRDefault="000A3662" w:rsidP="00A47855">
      <w:pPr>
        <w:pStyle w:val="Heading5"/>
      </w:pPr>
      <w:bookmarkStart w:id="69" w:name="_Toc272414628"/>
      <w:bookmarkStart w:id="70" w:name="_Toc290846251"/>
      <w:bookmarkStart w:id="71" w:name="_Toc389848858"/>
      <w:r w:rsidRPr="000F3B52">
        <w:t>Pharmacokinetics in subjects with impaired renal function</w:t>
      </w:r>
      <w:bookmarkEnd w:id="69"/>
      <w:bookmarkEnd w:id="70"/>
      <w:bookmarkEnd w:id="71"/>
    </w:p>
    <w:p w:rsidR="000A3662" w:rsidRPr="00A47855" w:rsidRDefault="000A3662" w:rsidP="00A47855">
      <w:r w:rsidRPr="00A47855">
        <w:t>No data.</w:t>
      </w:r>
    </w:p>
    <w:p w:rsidR="000A3662" w:rsidRPr="000F3B52" w:rsidRDefault="000A3662" w:rsidP="00A47855">
      <w:pPr>
        <w:pStyle w:val="Heading5"/>
      </w:pPr>
      <w:bookmarkStart w:id="72" w:name="_Toc272414629"/>
      <w:bookmarkStart w:id="73" w:name="_Toc290846252"/>
      <w:bookmarkStart w:id="74" w:name="_Toc389848859"/>
      <w:r w:rsidRPr="000F3B52">
        <w:t>Pharmacokinetics according to age</w:t>
      </w:r>
      <w:bookmarkEnd w:id="72"/>
      <w:bookmarkEnd w:id="73"/>
      <w:bookmarkEnd w:id="74"/>
    </w:p>
    <w:p w:rsidR="00A47855" w:rsidRPr="00A47855" w:rsidRDefault="00A47855" w:rsidP="00A47855">
      <w:bookmarkStart w:id="75" w:name="_Toc272414630"/>
      <w:bookmarkStart w:id="76" w:name="_Toc290846253"/>
      <w:bookmarkStart w:id="77" w:name="_Toc389848860"/>
      <w:r w:rsidRPr="00A47855">
        <w:t>No data.</w:t>
      </w:r>
    </w:p>
    <w:p w:rsidR="000A3662" w:rsidRPr="000F3B52" w:rsidRDefault="000A3662" w:rsidP="00A47855">
      <w:pPr>
        <w:pStyle w:val="Heading5"/>
      </w:pPr>
      <w:r w:rsidRPr="000F3B52">
        <w:t>Pharmacokinetics related to genetic factors</w:t>
      </w:r>
      <w:bookmarkEnd w:id="75"/>
      <w:bookmarkEnd w:id="76"/>
      <w:bookmarkEnd w:id="77"/>
    </w:p>
    <w:p w:rsidR="00A47855" w:rsidRPr="00A47855" w:rsidRDefault="00A47855" w:rsidP="00A47855">
      <w:bookmarkStart w:id="78" w:name="_Toc272414631"/>
      <w:bookmarkStart w:id="79" w:name="_Toc290846254"/>
      <w:bookmarkStart w:id="80" w:name="_Toc389848861"/>
      <w:r w:rsidRPr="00A47855">
        <w:t>No data.</w:t>
      </w:r>
    </w:p>
    <w:p w:rsidR="000A3662" w:rsidRPr="000F3B52" w:rsidRDefault="000A3662" w:rsidP="00A47855">
      <w:pPr>
        <w:pStyle w:val="Heading5"/>
      </w:pPr>
      <w:r w:rsidRPr="000F3B52">
        <w:t>Pharmacokinetics</w:t>
      </w:r>
      <w:bookmarkEnd w:id="78"/>
      <w:bookmarkEnd w:id="79"/>
      <w:r w:rsidRPr="000F3B52">
        <w:t xml:space="preserve"> in lactating women</w:t>
      </w:r>
      <w:bookmarkEnd w:id="80"/>
    </w:p>
    <w:p w:rsidR="000A3662" w:rsidRPr="00A47855" w:rsidRDefault="000A3662" w:rsidP="00A47855">
      <w:r w:rsidRPr="00A47855">
        <w:t xml:space="preserve">In </w:t>
      </w:r>
      <w:r w:rsidR="00A47855">
        <w:t>Study HRA2914-514,</w:t>
      </w:r>
      <w:r w:rsidRPr="00A47855">
        <w:t xml:space="preserve"> the excretion of </w:t>
      </w:r>
      <w:proofErr w:type="spellStart"/>
      <w:r w:rsidRPr="00A47855">
        <w:t>ulipristal</w:t>
      </w:r>
      <w:proofErr w:type="spellEnd"/>
      <w:r w:rsidRPr="00A47855">
        <w:t xml:space="preserve"> into breast milk was investigated.</w:t>
      </w:r>
      <w:r w:rsidR="00892FBC">
        <w:t xml:space="preserve"> </w:t>
      </w:r>
      <w:r w:rsidRPr="00A47855">
        <w:t xml:space="preserve">Following a 30 mg tablet of </w:t>
      </w:r>
      <w:proofErr w:type="spellStart"/>
      <w:r w:rsidRPr="00A47855">
        <w:t>ulipristal</w:t>
      </w:r>
      <w:proofErr w:type="spellEnd"/>
      <w:r w:rsidRPr="00A47855">
        <w:t xml:space="preserve">, mean (SD) plasma </w:t>
      </w:r>
      <w:proofErr w:type="spellStart"/>
      <w:r w:rsidRPr="00A47855">
        <w:t>Cmax</w:t>
      </w:r>
      <w:proofErr w:type="spellEnd"/>
      <w:r w:rsidRPr="00A47855">
        <w:t xml:space="preserve"> was 259.82 (155.73) ng/mL, AUC0-t was 813.71 (292.61) </w:t>
      </w:r>
      <w:proofErr w:type="spellStart"/>
      <w:r w:rsidRPr="00A47855">
        <w:t>h•ng</w:t>
      </w:r>
      <w:proofErr w:type="spellEnd"/>
      <w:r w:rsidRPr="00A47855">
        <w:t xml:space="preserve">/mL and median (range) </w:t>
      </w:r>
      <w:proofErr w:type="spellStart"/>
      <w:r w:rsidRPr="00A47855">
        <w:t>Tmax</w:t>
      </w:r>
      <w:proofErr w:type="spellEnd"/>
      <w:r w:rsidRPr="00A47855">
        <w:t xml:space="preserve"> was 0.88 (0.5 to 2.0) hours.</w:t>
      </w:r>
      <w:r w:rsidR="00892FBC">
        <w:t xml:space="preserve"> </w:t>
      </w:r>
      <w:r w:rsidRPr="00A47855">
        <w:t xml:space="preserve">Mean (SD) breast milk </w:t>
      </w:r>
      <w:proofErr w:type="spellStart"/>
      <w:r w:rsidRPr="00A47855">
        <w:t>Cmax</w:t>
      </w:r>
      <w:proofErr w:type="spellEnd"/>
      <w:r w:rsidRPr="00A47855">
        <w:t xml:space="preserve"> was 92.08 (49.72) ng/mL, AUC0-t was 565.25 (292.61) </w:t>
      </w:r>
      <w:proofErr w:type="spellStart"/>
      <w:r w:rsidRPr="00A47855">
        <w:t>h•ng</w:t>
      </w:r>
      <w:proofErr w:type="spellEnd"/>
      <w:r w:rsidRPr="00A47855">
        <w:t xml:space="preserve">/mL and median (range) </w:t>
      </w:r>
      <w:proofErr w:type="spellStart"/>
      <w:r w:rsidRPr="00A47855">
        <w:t>Tmax</w:t>
      </w:r>
      <w:proofErr w:type="spellEnd"/>
      <w:r w:rsidRPr="00A47855">
        <w:t xml:space="preserve"> was 0.88 (0.5 to 2.0) hours.</w:t>
      </w:r>
      <w:r w:rsidR="00892FBC">
        <w:t xml:space="preserve"> </w:t>
      </w:r>
      <w:r w:rsidRPr="00A47855">
        <w:t>Over the first 24 hours post dose an infant would be exposed to 0.04% of the dose, and over the second 24 hours post-dose a further 0.01%.</w:t>
      </w:r>
    </w:p>
    <w:p w:rsidR="000A3662" w:rsidRPr="00254D9B" w:rsidRDefault="000A3662" w:rsidP="000733B4">
      <w:pPr>
        <w:pStyle w:val="Heading4"/>
      </w:pPr>
      <w:bookmarkStart w:id="81" w:name="_Toc241374294"/>
      <w:bookmarkStart w:id="82" w:name="_Toc272414632"/>
      <w:bookmarkStart w:id="83" w:name="_Toc290846255"/>
      <w:bookmarkStart w:id="84" w:name="_Toc389848862"/>
      <w:r w:rsidRPr="00254D9B">
        <w:lastRenderedPageBreak/>
        <w:t>Pharmacokinetic interactions</w:t>
      </w:r>
      <w:bookmarkEnd w:id="81"/>
      <w:bookmarkEnd w:id="82"/>
      <w:bookmarkEnd w:id="83"/>
      <w:bookmarkEnd w:id="84"/>
    </w:p>
    <w:p w:rsidR="000A3662" w:rsidRPr="00254D9B" w:rsidRDefault="000A3662" w:rsidP="000733B4">
      <w:pPr>
        <w:pStyle w:val="Heading5"/>
      </w:pPr>
      <w:bookmarkStart w:id="85" w:name="_Toc272414633"/>
      <w:bookmarkStart w:id="86" w:name="_Toc290846256"/>
      <w:bookmarkStart w:id="87" w:name="_Toc389848863"/>
      <w:r w:rsidRPr="00254D9B">
        <w:t>Pharmacokinetic interactions demonstrated in human studies</w:t>
      </w:r>
      <w:bookmarkEnd w:id="85"/>
      <w:bookmarkEnd w:id="86"/>
      <w:bookmarkEnd w:id="87"/>
    </w:p>
    <w:p w:rsidR="000A3662" w:rsidRPr="000733B4" w:rsidRDefault="000A3662" w:rsidP="000733B4">
      <w:r w:rsidRPr="000733B4">
        <w:t xml:space="preserve">Esomeprazole decreases the rate of absorption of </w:t>
      </w:r>
      <w:proofErr w:type="spellStart"/>
      <w:r w:rsidRPr="000733B4">
        <w:t>ulipristal</w:t>
      </w:r>
      <w:proofErr w:type="spellEnd"/>
      <w:r w:rsidRPr="000733B4">
        <w:t xml:space="preserve"> but does not significantly affect overall exposure, and does not affect half-life.</w:t>
      </w:r>
      <w:r w:rsidR="00892FBC">
        <w:t xml:space="preserve"> </w:t>
      </w:r>
      <w:r w:rsidRPr="000733B4">
        <w:t xml:space="preserve">In </w:t>
      </w:r>
      <w:r w:rsidR="00025F7B">
        <w:t xml:space="preserve">Study HRA2914-546, </w:t>
      </w:r>
      <w:proofErr w:type="spellStart"/>
      <w:r w:rsidRPr="000733B4">
        <w:t>comedication</w:t>
      </w:r>
      <w:proofErr w:type="spellEnd"/>
      <w:r w:rsidRPr="000733B4">
        <w:t xml:space="preserve"> with esomeprazole increased </w:t>
      </w:r>
      <w:proofErr w:type="spellStart"/>
      <w:r w:rsidRPr="000733B4">
        <w:t>Tmax</w:t>
      </w:r>
      <w:proofErr w:type="spellEnd"/>
      <w:r w:rsidRPr="000733B4">
        <w:t xml:space="preserve"> from 0.75 hours to 1 hour, and decreased </w:t>
      </w:r>
      <w:proofErr w:type="spellStart"/>
      <w:r w:rsidRPr="000733B4">
        <w:t>Cmax</w:t>
      </w:r>
      <w:proofErr w:type="spellEnd"/>
      <w:r w:rsidRPr="000733B4">
        <w:t xml:space="preserve"> </w:t>
      </w:r>
      <w:proofErr w:type="gramStart"/>
      <w:r w:rsidRPr="000733B4">
        <w:t>from 61.0 ng/mL</w:t>
      </w:r>
      <w:proofErr w:type="gramEnd"/>
      <w:r w:rsidRPr="000733B4">
        <w:t xml:space="preserve"> to 21.2 ng/</w:t>
      </w:r>
      <w:proofErr w:type="spellStart"/>
      <w:r w:rsidRPr="000733B4">
        <w:t>mL.</w:t>
      </w:r>
      <w:proofErr w:type="spellEnd"/>
      <w:r w:rsidR="00892FBC">
        <w:t xml:space="preserve"> </w:t>
      </w:r>
      <w:r w:rsidRPr="000733B4">
        <w:t>However, there was bioequivalence as evaluated by AUC.</w:t>
      </w:r>
      <w:r w:rsidR="00892FBC">
        <w:t xml:space="preserve"> </w:t>
      </w:r>
      <w:r w:rsidRPr="000733B4">
        <w:t xml:space="preserve">The mean (90% CI) ratio for AUC0-t, </w:t>
      </w:r>
      <w:proofErr w:type="spellStart"/>
      <w:r w:rsidRPr="000733B4">
        <w:t>ulipristal</w:t>
      </w:r>
      <w:proofErr w:type="spellEnd"/>
      <w:r w:rsidRPr="000733B4">
        <w:t xml:space="preserve"> + esomeprazole / </w:t>
      </w:r>
      <w:proofErr w:type="spellStart"/>
      <w:r w:rsidRPr="000733B4">
        <w:t>ulipristal</w:t>
      </w:r>
      <w:proofErr w:type="spellEnd"/>
      <w:r w:rsidRPr="000733B4">
        <w:t>, was 1.152 (1.0151 to 1.3071).</w:t>
      </w:r>
      <w:r w:rsidR="00892FBC">
        <w:t xml:space="preserve"> </w:t>
      </w:r>
      <w:r w:rsidR="00792025">
        <w:t>The half-</w:t>
      </w:r>
      <w:r w:rsidRPr="000733B4">
        <w:t xml:space="preserve">life of </w:t>
      </w:r>
      <w:proofErr w:type="spellStart"/>
      <w:r w:rsidRPr="000733B4">
        <w:t>ulipristal</w:t>
      </w:r>
      <w:proofErr w:type="spellEnd"/>
      <w:r w:rsidRPr="000733B4">
        <w:t xml:space="preserve"> administered alone was 43.02 hours, and with esomeprazole was 45.55 hours.</w:t>
      </w:r>
    </w:p>
    <w:p w:rsidR="000A3662" w:rsidRPr="000733B4" w:rsidRDefault="000A3662" w:rsidP="000733B4">
      <w:r w:rsidRPr="000733B4">
        <w:t xml:space="preserve">Co-administration with ketoconazole doubled </w:t>
      </w:r>
      <w:proofErr w:type="spellStart"/>
      <w:r w:rsidRPr="000733B4">
        <w:t>Cmax</w:t>
      </w:r>
      <w:proofErr w:type="spellEnd"/>
      <w:r w:rsidRPr="000733B4">
        <w:t xml:space="preserve"> and increased AUC by approximately 500%.</w:t>
      </w:r>
      <w:r w:rsidR="00892FBC">
        <w:t xml:space="preserve"> </w:t>
      </w:r>
      <w:r w:rsidRPr="000733B4">
        <w:t>In</w:t>
      </w:r>
      <w:r w:rsidR="000733B4">
        <w:t xml:space="preserve"> Study HRA2914-547,</w:t>
      </w:r>
      <w:r w:rsidRPr="000733B4">
        <w:t xml:space="preserve"> the mean ratio (90% CI), </w:t>
      </w:r>
      <w:proofErr w:type="spellStart"/>
      <w:r w:rsidRPr="000733B4">
        <w:t>ulipristal</w:t>
      </w:r>
      <w:proofErr w:type="spellEnd"/>
      <w:r w:rsidRPr="000733B4">
        <w:t xml:space="preserve"> + ketoconazole / </w:t>
      </w:r>
      <w:proofErr w:type="spellStart"/>
      <w:r w:rsidRPr="000733B4">
        <w:t>ulipristal</w:t>
      </w:r>
      <w:proofErr w:type="spellEnd"/>
      <w:r w:rsidRPr="000733B4">
        <w:t xml:space="preserve"> was 1.96 (1.71 to 2.25) for </w:t>
      </w:r>
      <w:proofErr w:type="spellStart"/>
      <w:r w:rsidRPr="000733B4">
        <w:t>Cmax</w:t>
      </w:r>
      <w:proofErr w:type="spellEnd"/>
      <w:r w:rsidRPr="000733B4">
        <w:t xml:space="preserve"> and 5.86 (5.08 to 6.77) for AUC0-inf.</w:t>
      </w:r>
      <w:r w:rsidR="00892FBC">
        <w:t xml:space="preserve"> </w:t>
      </w:r>
      <w:r w:rsidRPr="000733B4">
        <w:t xml:space="preserve">CL/F for </w:t>
      </w:r>
      <w:proofErr w:type="spellStart"/>
      <w:r w:rsidRPr="000733B4">
        <w:t>ulipristal</w:t>
      </w:r>
      <w:proofErr w:type="spellEnd"/>
      <w:r w:rsidRPr="000733B4">
        <w:t xml:space="preserve"> decreased from 58.4 L/hour to 10.0 L/hour.</w:t>
      </w:r>
      <w:r w:rsidR="00892FBC">
        <w:t xml:space="preserve"> </w:t>
      </w:r>
      <w:r w:rsidRPr="000733B4">
        <w:t xml:space="preserve">For the primary metabolite, PGL4002, the mean ratio (90% CI), </w:t>
      </w:r>
      <w:proofErr w:type="spellStart"/>
      <w:r w:rsidRPr="000733B4">
        <w:t>ulipristal</w:t>
      </w:r>
      <w:proofErr w:type="spellEnd"/>
      <w:r w:rsidRPr="000733B4">
        <w:t xml:space="preserve"> + ketoconazole / </w:t>
      </w:r>
      <w:proofErr w:type="spellStart"/>
      <w:r w:rsidRPr="000733B4">
        <w:t>ulipristal</w:t>
      </w:r>
      <w:proofErr w:type="spellEnd"/>
      <w:r w:rsidRPr="000733B4">
        <w:t xml:space="preserve"> was 0.53 (0.47 to 0.60) for </w:t>
      </w:r>
      <w:proofErr w:type="spellStart"/>
      <w:r w:rsidRPr="000733B4">
        <w:t>Cmax</w:t>
      </w:r>
      <w:proofErr w:type="spellEnd"/>
      <w:r w:rsidRPr="000733B4">
        <w:t xml:space="preserve"> and 2.41 (2.13 to 2.72) for AUC0-inf.</w:t>
      </w:r>
      <w:r w:rsidR="00892FBC">
        <w:t xml:space="preserve"> </w:t>
      </w:r>
      <w:r w:rsidRPr="000733B4">
        <w:t>For PGL4002 CL/F decreased from 169.5 L/hour to 70.2 L/hour.</w:t>
      </w:r>
    </w:p>
    <w:p w:rsidR="000A3662" w:rsidRPr="000733B4" w:rsidRDefault="000A3662" w:rsidP="000733B4">
      <w:r w:rsidRPr="000733B4">
        <w:t xml:space="preserve">In </w:t>
      </w:r>
      <w:r w:rsidR="000733B4">
        <w:t xml:space="preserve">Study HRA2914-548, </w:t>
      </w:r>
      <w:r w:rsidRPr="000733B4">
        <w:t xml:space="preserve">there was no significant effect of </w:t>
      </w:r>
      <w:proofErr w:type="spellStart"/>
      <w:r w:rsidRPr="000733B4">
        <w:t>ulipristal</w:t>
      </w:r>
      <w:proofErr w:type="spellEnd"/>
      <w:r w:rsidRPr="000733B4">
        <w:t xml:space="preserve"> on the PK of fexofenadine, a p-glycoprotein substrate.</w:t>
      </w:r>
      <w:r w:rsidR="00892FBC">
        <w:t xml:space="preserve"> </w:t>
      </w:r>
      <w:r w:rsidRPr="000733B4">
        <w:t xml:space="preserve">The mean ratio (90% CI), fexofenadine + </w:t>
      </w:r>
      <w:proofErr w:type="spellStart"/>
      <w:r w:rsidRPr="000733B4">
        <w:t>ulipristal</w:t>
      </w:r>
      <w:proofErr w:type="spellEnd"/>
      <w:r w:rsidRPr="000733B4">
        <w:t xml:space="preserve"> / fexofenadine, for AUC0-inf was 0.97 (0.86 to 1.11) and for </w:t>
      </w:r>
      <w:proofErr w:type="spellStart"/>
      <w:r w:rsidRPr="000733B4">
        <w:t>Cmax</w:t>
      </w:r>
      <w:proofErr w:type="spellEnd"/>
      <w:r w:rsidRPr="000733B4">
        <w:t xml:space="preserve"> was 0.91 (0.77 to 1.06).</w:t>
      </w:r>
    </w:p>
    <w:p w:rsidR="000A3662" w:rsidRPr="000733B4" w:rsidRDefault="000A3662" w:rsidP="000733B4">
      <w:r w:rsidRPr="000733B4">
        <w:t xml:space="preserve">Erythromycin resulted in increased bioavailability of </w:t>
      </w:r>
      <w:proofErr w:type="spellStart"/>
      <w:r w:rsidRPr="000733B4">
        <w:t>ulipristal</w:t>
      </w:r>
      <w:proofErr w:type="spellEnd"/>
      <w:r w:rsidRPr="000733B4">
        <w:t xml:space="preserve"> and increased half-life for PGL4002.</w:t>
      </w:r>
      <w:r w:rsidR="00892FBC">
        <w:t xml:space="preserve"> </w:t>
      </w:r>
      <w:r w:rsidRPr="000733B4">
        <w:t>In</w:t>
      </w:r>
      <w:r w:rsidR="000733B4">
        <w:t xml:space="preserve"> Study HRA2914-549,</w:t>
      </w:r>
      <w:r w:rsidRPr="000733B4">
        <w:t xml:space="preserve"> concomitant erythromycin resulted in an 18.17% increase in </w:t>
      </w:r>
      <w:proofErr w:type="spellStart"/>
      <w:r w:rsidRPr="000733B4">
        <w:t>Cmax</w:t>
      </w:r>
      <w:proofErr w:type="spellEnd"/>
      <w:r w:rsidRPr="000733B4">
        <w:t xml:space="preserve"> and 191.86% increase in AUC0-inf for </w:t>
      </w:r>
      <w:proofErr w:type="spellStart"/>
      <w:r w:rsidRPr="000733B4">
        <w:t>ulipristal</w:t>
      </w:r>
      <w:proofErr w:type="spellEnd"/>
      <w:r w:rsidRPr="000733B4">
        <w:t>.</w:t>
      </w:r>
      <w:r w:rsidR="00892FBC">
        <w:t xml:space="preserve"> </w:t>
      </w:r>
      <w:r w:rsidRPr="000733B4">
        <w:t xml:space="preserve">However </w:t>
      </w:r>
      <w:proofErr w:type="spellStart"/>
      <w:r w:rsidRPr="000733B4">
        <w:t>ulipristal</w:t>
      </w:r>
      <w:proofErr w:type="spellEnd"/>
      <w:r w:rsidRPr="000733B4">
        <w:t xml:space="preserve"> half-life was unchanged (approximately 35 hours).</w:t>
      </w:r>
      <w:r w:rsidR="00892FBC">
        <w:t xml:space="preserve"> </w:t>
      </w:r>
      <w:r w:rsidRPr="000733B4">
        <w:t xml:space="preserve">For PGL4002, with concomitant erythromycin, </w:t>
      </w:r>
      <w:proofErr w:type="spellStart"/>
      <w:r w:rsidRPr="000733B4">
        <w:t>Cmax</w:t>
      </w:r>
      <w:proofErr w:type="spellEnd"/>
      <w:r w:rsidRPr="000733B4">
        <w:t xml:space="preserve"> was decreased by 52.04%, AUC0-inf increased by 52.81% and half</w:t>
      </w:r>
      <w:r w:rsidR="00792025">
        <w:t>-</w:t>
      </w:r>
      <w:r w:rsidRPr="000733B4">
        <w:t>life increased from 23.89 hours to 47.69 hours.</w:t>
      </w:r>
    </w:p>
    <w:p w:rsidR="000A3662" w:rsidRPr="000733B4" w:rsidRDefault="000A3662" w:rsidP="000733B4">
      <w:r w:rsidRPr="000733B4">
        <w:t>In Stu</w:t>
      </w:r>
      <w:r w:rsidR="000733B4">
        <w:t xml:space="preserve">dy HRA2914-551, </w:t>
      </w:r>
      <w:r w:rsidRPr="000733B4">
        <w:t xml:space="preserve">co-administration of rifampicin decreased exposure to </w:t>
      </w:r>
      <w:proofErr w:type="spellStart"/>
      <w:r w:rsidRPr="000733B4">
        <w:t>ulipristal</w:t>
      </w:r>
      <w:proofErr w:type="spellEnd"/>
      <w:r w:rsidRPr="000733B4">
        <w:t xml:space="preserve"> by more than 90%.</w:t>
      </w:r>
      <w:r w:rsidR="00892FBC">
        <w:t xml:space="preserve"> </w:t>
      </w:r>
      <w:r w:rsidRPr="000733B4">
        <w:t xml:space="preserve">The AUC0-inf decreased from 673.1 </w:t>
      </w:r>
      <w:proofErr w:type="spellStart"/>
      <w:r w:rsidRPr="000733B4">
        <w:t>h•ng</w:t>
      </w:r>
      <w:proofErr w:type="spellEnd"/>
      <w:r w:rsidRPr="000733B4">
        <w:t xml:space="preserve">/mL to 51.1 </w:t>
      </w:r>
      <w:proofErr w:type="spellStart"/>
      <w:r w:rsidRPr="000733B4">
        <w:t>h•ng</w:t>
      </w:r>
      <w:proofErr w:type="spellEnd"/>
      <w:r w:rsidRPr="000733B4">
        <w:t xml:space="preserve">/mL and </w:t>
      </w:r>
      <w:proofErr w:type="spellStart"/>
      <w:r w:rsidRPr="000733B4">
        <w:t>Cmax</w:t>
      </w:r>
      <w:proofErr w:type="spellEnd"/>
      <w:r w:rsidRPr="000733B4">
        <w:t xml:space="preserve"> decreased from 250 ng/mL to 26.3 ng/</w:t>
      </w:r>
      <w:proofErr w:type="spellStart"/>
      <w:r w:rsidRPr="000733B4">
        <w:t>mL.</w:t>
      </w:r>
      <w:proofErr w:type="spellEnd"/>
      <w:r w:rsidR="00892FBC">
        <w:t xml:space="preserve"> </w:t>
      </w:r>
      <w:r w:rsidRPr="000733B4">
        <w:t xml:space="preserve">The half-life of </w:t>
      </w:r>
      <w:proofErr w:type="spellStart"/>
      <w:r w:rsidRPr="000733B4">
        <w:t>ulipristal</w:t>
      </w:r>
      <w:proofErr w:type="spellEnd"/>
      <w:r w:rsidRPr="000733B4">
        <w:t xml:space="preserve"> decreased from 34.83 h to 15.84 h.</w:t>
      </w:r>
      <w:r w:rsidR="00892FBC">
        <w:t xml:space="preserve"> </w:t>
      </w:r>
      <w:r w:rsidRPr="000733B4">
        <w:t xml:space="preserve">The AUC0-inf for </w:t>
      </w:r>
      <w:proofErr w:type="spellStart"/>
      <w:r w:rsidRPr="000733B4">
        <w:t>monodemethylated</w:t>
      </w:r>
      <w:proofErr w:type="spellEnd"/>
      <w:r w:rsidRPr="000733B4">
        <w:t xml:space="preserve"> UPA decreased by 93% from 255.4 </w:t>
      </w:r>
      <w:proofErr w:type="spellStart"/>
      <w:r w:rsidRPr="000733B4">
        <w:t>h•ng</w:t>
      </w:r>
      <w:proofErr w:type="spellEnd"/>
      <w:r w:rsidRPr="000733B4">
        <w:t xml:space="preserve">/mL to 25.0 </w:t>
      </w:r>
      <w:proofErr w:type="spellStart"/>
      <w:r w:rsidRPr="000733B4">
        <w:t>h•ng</w:t>
      </w:r>
      <w:proofErr w:type="spellEnd"/>
      <w:r w:rsidRPr="000733B4">
        <w:t>/</w:t>
      </w:r>
      <w:proofErr w:type="spellStart"/>
      <w:r w:rsidRPr="000733B4">
        <w:t>mL.</w:t>
      </w:r>
      <w:proofErr w:type="spellEnd"/>
    </w:p>
    <w:p w:rsidR="000A3662" w:rsidRPr="0065506C" w:rsidRDefault="000A3662" w:rsidP="007F0527">
      <w:pPr>
        <w:pStyle w:val="Heading5"/>
      </w:pPr>
      <w:bookmarkStart w:id="88" w:name="_Toc272414634"/>
      <w:bookmarkStart w:id="89" w:name="_Toc290846257"/>
      <w:bookmarkStart w:id="90" w:name="_Toc389848864"/>
      <w:r w:rsidRPr="0065506C">
        <w:t xml:space="preserve">Clinical </w:t>
      </w:r>
      <w:r w:rsidRPr="007F0527">
        <w:t>implications</w:t>
      </w:r>
      <w:r w:rsidRPr="0065506C">
        <w:t xml:space="preserve"> of in vitro findings</w:t>
      </w:r>
      <w:bookmarkEnd w:id="88"/>
      <w:bookmarkEnd w:id="89"/>
      <w:bookmarkEnd w:id="90"/>
    </w:p>
    <w:p w:rsidR="000A3662" w:rsidRPr="00FE308F" w:rsidRDefault="00A02D1D" w:rsidP="00FE308F">
      <w:proofErr w:type="spellStart"/>
      <w:r w:rsidRPr="00A02D1D">
        <w:t>Ulipristal</w:t>
      </w:r>
      <w:proofErr w:type="spellEnd"/>
      <w:r w:rsidR="000A3662" w:rsidRPr="00FE308F">
        <w:t xml:space="preserve"> appears to be metabolised primarily by CYP3A4.</w:t>
      </w:r>
      <w:r w:rsidR="00892FBC">
        <w:t xml:space="preserve"> </w:t>
      </w:r>
      <w:r w:rsidR="000A3662" w:rsidRPr="00FE308F">
        <w:t xml:space="preserve">Hence induction of CYP3A4, for example co-administration of St John’s </w:t>
      </w:r>
      <w:proofErr w:type="spellStart"/>
      <w:r w:rsidR="000A3662" w:rsidRPr="00FE308F">
        <w:t>Wort</w:t>
      </w:r>
      <w:proofErr w:type="spellEnd"/>
      <w:r w:rsidR="000A3662" w:rsidRPr="00FE308F">
        <w:t>) may impair efficacy.</w:t>
      </w:r>
      <w:r w:rsidR="00892FBC">
        <w:t xml:space="preserve"> </w:t>
      </w:r>
      <w:r w:rsidR="000A3662" w:rsidRPr="00FE308F">
        <w:t>Inhibition of CYP3A4 may result in an incr</w:t>
      </w:r>
      <w:r w:rsidR="007F0527">
        <w:t>eased risk of adverse reaction.</w:t>
      </w:r>
    </w:p>
    <w:p w:rsidR="004170BA" w:rsidRPr="00FB2770" w:rsidRDefault="004170BA" w:rsidP="007F0527">
      <w:pPr>
        <w:pStyle w:val="Heading3"/>
      </w:pPr>
      <w:bookmarkStart w:id="91" w:name="_Toc430094056"/>
      <w:r>
        <w:t xml:space="preserve">Evaluator’s conclusions on </w:t>
      </w:r>
      <w:r w:rsidRPr="007F0527">
        <w:t>pharmacokinetics</w:t>
      </w:r>
      <w:bookmarkEnd w:id="91"/>
    </w:p>
    <w:p w:rsidR="004170BA" w:rsidRPr="00835C1E" w:rsidRDefault="004170BA" w:rsidP="004170BA">
      <w:r w:rsidRPr="00835C1E">
        <w:t xml:space="preserve">The </w:t>
      </w:r>
      <w:r w:rsidRPr="00134949">
        <w:t>pharmacokinetic</w:t>
      </w:r>
      <w:r w:rsidRPr="00835C1E">
        <w:t xml:space="preserve"> data presented in the submission are consistent with the PK properties stated in the proposed PI document.</w:t>
      </w:r>
      <w:r>
        <w:t xml:space="preserve"> </w:t>
      </w:r>
      <w:r w:rsidRPr="00835C1E">
        <w:t xml:space="preserve">The </w:t>
      </w:r>
      <w:r w:rsidRPr="00134949">
        <w:t>pharmacokinetic</w:t>
      </w:r>
      <w:r>
        <w:t>s</w:t>
      </w:r>
      <w:r w:rsidRPr="00835C1E">
        <w:t xml:space="preserve"> of </w:t>
      </w:r>
      <w:proofErr w:type="spellStart"/>
      <w:r w:rsidRPr="00835C1E">
        <w:t>ulipristal</w:t>
      </w:r>
      <w:proofErr w:type="spellEnd"/>
      <w:r w:rsidRPr="00835C1E">
        <w:t xml:space="preserve"> have been adequately described for the population intended </w:t>
      </w:r>
      <w:r>
        <w:t>in the proposed indication, that is,</w:t>
      </w:r>
      <w:r w:rsidRPr="00835C1E">
        <w:t xml:space="preserve"> women of childbearing potential.</w:t>
      </w:r>
      <w:r>
        <w:t xml:space="preserve"> </w:t>
      </w:r>
      <w:r w:rsidRPr="00835C1E">
        <w:t xml:space="preserve">However, should </w:t>
      </w:r>
      <w:proofErr w:type="spellStart"/>
      <w:r w:rsidRPr="00835C1E">
        <w:t>ulipristal</w:t>
      </w:r>
      <w:proofErr w:type="spellEnd"/>
      <w:r w:rsidRPr="00835C1E">
        <w:t xml:space="preserve"> be proposed for use in other populations, such as the elderly, patients with impaired renal function or patients with impaired h</w:t>
      </w:r>
      <w:r>
        <w:t xml:space="preserve">epatic function, then further </w:t>
      </w:r>
      <w:r w:rsidRPr="00134949">
        <w:t>pharmacokinetic</w:t>
      </w:r>
      <w:r w:rsidRPr="00835C1E">
        <w:t xml:space="preserve"> data should be provided.</w:t>
      </w:r>
      <w:r w:rsidR="005346BF">
        <w:rPr>
          <w:rStyle w:val="FootnoteReference"/>
        </w:rPr>
        <w:footnoteReference w:id="1"/>
      </w:r>
    </w:p>
    <w:p w:rsidR="00586F98" w:rsidRDefault="00586F98" w:rsidP="007F0527">
      <w:pPr>
        <w:pStyle w:val="Heading2"/>
      </w:pPr>
      <w:bookmarkStart w:id="92" w:name="_Toc430094057"/>
      <w:r w:rsidRPr="007F0527">
        <w:lastRenderedPageBreak/>
        <w:t>Pharmacodynamics</w:t>
      </w:r>
      <w:bookmarkEnd w:id="92"/>
    </w:p>
    <w:p w:rsidR="006F2E5C" w:rsidRDefault="006F2E5C" w:rsidP="006F2E5C">
      <w:pPr>
        <w:pStyle w:val="Heading3"/>
      </w:pPr>
      <w:bookmarkStart w:id="93" w:name="_Toc430094058"/>
      <w:r>
        <w:t xml:space="preserve">Studies providing </w:t>
      </w:r>
      <w:proofErr w:type="spellStart"/>
      <w:r>
        <w:t>pharmacodynamic</w:t>
      </w:r>
      <w:proofErr w:type="spellEnd"/>
      <w:r>
        <w:t xml:space="preserve"> data</w:t>
      </w:r>
      <w:bookmarkEnd w:id="93"/>
    </w:p>
    <w:p w:rsidR="006F2E5C" w:rsidRPr="00F97F3C" w:rsidRDefault="006F2E5C" w:rsidP="006F2E5C">
      <w:r>
        <w:t xml:space="preserve">Table </w:t>
      </w:r>
      <w:r w:rsidR="00CB6B9D">
        <w:t>2</w:t>
      </w:r>
      <w:r>
        <w:t xml:space="preserve"> </w:t>
      </w:r>
      <w:r w:rsidRPr="00F97F3C">
        <w:t xml:space="preserve">shows the studies relating to each </w:t>
      </w:r>
      <w:proofErr w:type="spellStart"/>
      <w:r w:rsidRPr="00F97F3C">
        <w:t>pharmacodynamic</w:t>
      </w:r>
      <w:proofErr w:type="spellEnd"/>
      <w:r w:rsidRPr="00F97F3C">
        <w:t xml:space="preserve"> topic and the location of each study summary.</w:t>
      </w:r>
    </w:p>
    <w:p w:rsidR="006F2E5C" w:rsidRDefault="006F2E5C" w:rsidP="007F0527">
      <w:pPr>
        <w:pStyle w:val="TableTitle0"/>
      </w:pPr>
      <w:proofErr w:type="gramStart"/>
      <w:r>
        <w:t xml:space="preserve">Table </w:t>
      </w:r>
      <w:r w:rsidR="00CB6B9D">
        <w:t>2</w:t>
      </w:r>
      <w:r>
        <w:t>:</w:t>
      </w:r>
      <w:r w:rsidRPr="00282C9A">
        <w:t xml:space="preserve"> </w:t>
      </w:r>
      <w:r w:rsidRPr="005F2597">
        <w:t xml:space="preserve">Submitted </w:t>
      </w:r>
      <w:proofErr w:type="spellStart"/>
      <w:r w:rsidRPr="007F0527">
        <w:t>pharmacodynamic</w:t>
      </w:r>
      <w:proofErr w:type="spellEnd"/>
      <w:r w:rsidRPr="005F2597">
        <w:t xml:space="preserve"> studies</w:t>
      </w:r>
      <w:r>
        <w:t>.</w:t>
      </w:r>
      <w:proofErr w:type="gramEnd"/>
    </w:p>
    <w:p w:rsidR="006F2E5C" w:rsidRDefault="006F2E5C" w:rsidP="006F2E5C">
      <w:r>
        <w:rPr>
          <w:noProof/>
          <w:lang w:eastAsia="en-AU"/>
        </w:rPr>
        <w:drawing>
          <wp:inline distT="0" distB="0" distL="0" distR="0">
            <wp:extent cx="3646381" cy="1023791"/>
            <wp:effectExtent l="0" t="0" r="0" b="0"/>
            <wp:docPr id="16" name="Picture 16" descr="Table 2: Submitted pharmacodynamic studies." title="Table 2: Submitted pharmacodynamic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3655679" cy="1026402"/>
                    </a:xfrm>
                    <a:prstGeom prst="rect">
                      <a:avLst/>
                    </a:prstGeom>
                  </pic:spPr>
                </pic:pic>
              </a:graphicData>
            </a:graphic>
          </wp:inline>
        </w:drawing>
      </w:r>
    </w:p>
    <w:p w:rsidR="006F2E5C" w:rsidRDefault="006F2E5C" w:rsidP="006F2E5C">
      <w:r w:rsidRPr="007913A5">
        <w:t xml:space="preserve">None of the </w:t>
      </w:r>
      <w:proofErr w:type="spellStart"/>
      <w:r w:rsidRPr="007913A5">
        <w:t>pharmacodynamic</w:t>
      </w:r>
      <w:proofErr w:type="spellEnd"/>
      <w:r w:rsidRPr="007913A5">
        <w:t xml:space="preserve"> studies had deficiencies that excluded their results from consideration.</w:t>
      </w:r>
    </w:p>
    <w:p w:rsidR="003735EC" w:rsidRPr="003E2B11" w:rsidRDefault="003735EC" w:rsidP="00BC4710">
      <w:pPr>
        <w:pStyle w:val="Heading3"/>
      </w:pPr>
      <w:bookmarkStart w:id="94" w:name="_Ref269119989"/>
      <w:bookmarkStart w:id="95" w:name="_Toc272414639"/>
      <w:bookmarkStart w:id="96" w:name="_Toc290846261"/>
      <w:bookmarkStart w:id="97" w:name="_Toc389848868"/>
      <w:bookmarkStart w:id="98" w:name="_Toc430094059"/>
      <w:r w:rsidRPr="003E2B11">
        <w:t>Summary of pharmacodynamics</w:t>
      </w:r>
      <w:bookmarkEnd w:id="94"/>
      <w:bookmarkEnd w:id="95"/>
      <w:bookmarkEnd w:id="96"/>
      <w:bookmarkEnd w:id="97"/>
      <w:bookmarkEnd w:id="98"/>
    </w:p>
    <w:p w:rsidR="003735EC" w:rsidRPr="00BC4710" w:rsidRDefault="003735EC" w:rsidP="00BC4710">
      <w:r w:rsidRPr="00BC4710">
        <w:t xml:space="preserve">The information in the following summary is derived from conventional </w:t>
      </w:r>
      <w:proofErr w:type="spellStart"/>
      <w:r w:rsidRPr="00BC4710">
        <w:t>pharmacodynamic</w:t>
      </w:r>
      <w:proofErr w:type="spellEnd"/>
      <w:r w:rsidRPr="00BC4710">
        <w:t xml:space="preserve"> studies in humans unless otherwise stated.</w:t>
      </w:r>
    </w:p>
    <w:p w:rsidR="003735EC" w:rsidRPr="003E2B11" w:rsidRDefault="003735EC" w:rsidP="00BC4710">
      <w:pPr>
        <w:pStyle w:val="Heading4"/>
      </w:pPr>
      <w:bookmarkStart w:id="99" w:name="_Toc241374299"/>
      <w:bookmarkStart w:id="100" w:name="_Toc272414640"/>
      <w:bookmarkStart w:id="101" w:name="_Toc290846262"/>
      <w:bookmarkStart w:id="102" w:name="_Toc389848869"/>
      <w:r w:rsidRPr="003E2B11">
        <w:t>Mechanism of action</w:t>
      </w:r>
      <w:bookmarkEnd w:id="99"/>
      <w:bookmarkEnd w:id="100"/>
      <w:bookmarkEnd w:id="101"/>
      <w:bookmarkEnd w:id="102"/>
    </w:p>
    <w:p w:rsidR="003735EC" w:rsidRPr="00BC4710" w:rsidRDefault="003735EC" w:rsidP="00BC4710">
      <w:proofErr w:type="spellStart"/>
      <w:r w:rsidRPr="00BC4710">
        <w:t>Ulipristal</w:t>
      </w:r>
      <w:proofErr w:type="spellEnd"/>
      <w:r w:rsidRPr="00BC4710">
        <w:t xml:space="preserve"> acetate is a synthetic selective progesterone receptor modulator that acts via high-affinity binding to the human progesterone receptor.</w:t>
      </w:r>
    </w:p>
    <w:p w:rsidR="003735EC" w:rsidRPr="003E2B11" w:rsidRDefault="003735EC" w:rsidP="00BC4710">
      <w:pPr>
        <w:pStyle w:val="Heading4"/>
      </w:pPr>
      <w:bookmarkStart w:id="103" w:name="_Toc241374300"/>
      <w:bookmarkStart w:id="104" w:name="_Toc272414641"/>
      <w:bookmarkStart w:id="105" w:name="_Toc290846263"/>
      <w:bookmarkStart w:id="106" w:name="_Toc389848870"/>
      <w:proofErr w:type="spellStart"/>
      <w:r w:rsidRPr="003E2B11">
        <w:t>Pharmacodynamic</w:t>
      </w:r>
      <w:proofErr w:type="spellEnd"/>
      <w:r w:rsidRPr="003E2B11">
        <w:t xml:space="preserve"> effects</w:t>
      </w:r>
      <w:bookmarkEnd w:id="103"/>
      <w:bookmarkEnd w:id="104"/>
      <w:bookmarkEnd w:id="105"/>
      <w:bookmarkEnd w:id="106"/>
    </w:p>
    <w:p w:rsidR="003735EC" w:rsidRPr="003E2B11" w:rsidRDefault="003735EC" w:rsidP="00BC4710">
      <w:pPr>
        <w:pStyle w:val="Heading5"/>
      </w:pPr>
      <w:bookmarkStart w:id="107" w:name="_Toc272414642"/>
      <w:bookmarkStart w:id="108" w:name="_Toc290846264"/>
      <w:bookmarkStart w:id="109" w:name="_Toc389848871"/>
      <w:r w:rsidRPr="003E2B11">
        <w:t xml:space="preserve">Primary </w:t>
      </w:r>
      <w:proofErr w:type="spellStart"/>
      <w:r w:rsidRPr="003E2B11">
        <w:t>pharmacodynamic</w:t>
      </w:r>
      <w:proofErr w:type="spellEnd"/>
      <w:r w:rsidRPr="003E2B11">
        <w:t xml:space="preserve"> effects</w:t>
      </w:r>
      <w:bookmarkEnd w:id="107"/>
      <w:bookmarkEnd w:id="108"/>
      <w:bookmarkEnd w:id="109"/>
    </w:p>
    <w:p w:rsidR="003735EC" w:rsidRPr="00BC4710" w:rsidRDefault="003735EC" w:rsidP="00BC4710">
      <w:r w:rsidRPr="00BC4710">
        <w:t xml:space="preserve">In </w:t>
      </w:r>
      <w:proofErr w:type="spellStart"/>
      <w:r w:rsidRPr="00BC4710">
        <w:t>Pasarro</w:t>
      </w:r>
      <w:proofErr w:type="spellEnd"/>
      <w:r w:rsidRPr="00BC4710">
        <w:t xml:space="preserve"> et al</w:t>
      </w:r>
      <w:r w:rsidR="00BC4710" w:rsidRPr="00BC4710">
        <w:t xml:space="preserve"> 2003,</w:t>
      </w:r>
      <w:r w:rsidRPr="00BC4710">
        <w:t xml:space="preserve"> at a dose of 200 mg all of six volunteers had early bleeding at the 200 mg dose level, and at the 50 mg and 100 mg dose levels approximately half of t</w:t>
      </w:r>
      <w:r w:rsidR="007F0527">
        <w:t>he subjects had early bleeding.</w:t>
      </w:r>
    </w:p>
    <w:p w:rsidR="003735EC" w:rsidRPr="00BC4710" w:rsidRDefault="003735EC" w:rsidP="00BC4710">
      <w:r w:rsidRPr="00BC4710">
        <w:t xml:space="preserve">In </w:t>
      </w:r>
      <w:r w:rsidR="00BC4710" w:rsidRPr="00BC4710">
        <w:t>Study HRA2914-505,</w:t>
      </w:r>
      <w:r w:rsidRPr="00BC4710">
        <w:t xml:space="preserve"> there was a dose dependent increase in the time to follicular collapse following </w:t>
      </w:r>
      <w:proofErr w:type="spellStart"/>
      <w:r w:rsidRPr="00BC4710">
        <w:t>ulipristal</w:t>
      </w:r>
      <w:proofErr w:type="spellEnd"/>
      <w:r w:rsidRPr="00BC4710">
        <w:t xml:space="preserve"> in the dose range 10 mg to 100 mg, compared to placebo.</w:t>
      </w:r>
      <w:r w:rsidR="00892FBC">
        <w:t xml:space="preserve"> </w:t>
      </w:r>
      <w:r w:rsidRPr="00BC4710">
        <w:t>There was an arrest in follicular growth at the 100 mg dose level, with dose dependent decrease in follicular growth at the 10 mg and 50 mg dose levels.</w:t>
      </w:r>
      <w:r w:rsidR="00892FBC">
        <w:t xml:space="preserve"> </w:t>
      </w:r>
      <w:r w:rsidRPr="00BC4710">
        <w:t>Plasma oestradiol concentrations were suppressed at the 50 mg and 100 mg dose levels (p &lt;0.001).</w:t>
      </w:r>
      <w:r w:rsidR="00892FBC">
        <w:t xml:space="preserve"> </w:t>
      </w:r>
      <w:r w:rsidRPr="00BC4710">
        <w:t>There was delayed endometrial maturation in two (16.7%) women in the placebo group, none in the 10 mg group, four (36.4%) in the 50 mg group and seven (70%) in the 100 mg group.</w:t>
      </w:r>
      <w:r w:rsidR="00892FBC">
        <w:t xml:space="preserve"> </w:t>
      </w:r>
      <w:r w:rsidRPr="00BC4710">
        <w:t>There was a dose dependent increase in menstrual cycle length: mean (SE) 29 (1.3) days in the placebo group, 29 (1.0) days in the 10 mg, 33 (1.5) days in the 50 mg and 33 (1.4) days in the 100 mg.</w:t>
      </w:r>
      <w:r w:rsidR="00892FBC">
        <w:t xml:space="preserve"> </w:t>
      </w:r>
      <w:r w:rsidRPr="00BC4710">
        <w:t>There was no difference between the groups in the length of the subsequent menstrual cycle.</w:t>
      </w:r>
    </w:p>
    <w:p w:rsidR="003735EC" w:rsidRPr="00BC4710" w:rsidRDefault="003735EC" w:rsidP="00BC4710">
      <w:r w:rsidRPr="00BC4710">
        <w:t xml:space="preserve">In </w:t>
      </w:r>
      <w:r w:rsidR="00BC4710" w:rsidRPr="00BC4710">
        <w:t>Study HRA2914-506,</w:t>
      </w:r>
      <w:r w:rsidRPr="00BC4710">
        <w:t xml:space="preserve"> there were no significant differences in length of follicular or luteal phase, or overall length of menstrual cycle.</w:t>
      </w:r>
      <w:r w:rsidR="00892FBC">
        <w:t xml:space="preserve"> </w:t>
      </w:r>
      <w:r w:rsidRPr="00BC4710">
        <w:t xml:space="preserve">There was a significant increase in delayed endometrial maturation in the </w:t>
      </w:r>
      <w:proofErr w:type="spellStart"/>
      <w:r w:rsidRPr="00BC4710">
        <w:t>ulipristal</w:t>
      </w:r>
      <w:proofErr w:type="spellEnd"/>
      <w:r w:rsidRPr="00BC4710">
        <w:t xml:space="preserve"> 50 mg and 100 mg groups when compared to the placebo and 10 mg groups: OR (95% CI) 4.2 (1.0 - 17.6); Fisher’s exact test, p = 0.05.</w:t>
      </w:r>
      <w:r w:rsidR="00892FBC">
        <w:t xml:space="preserve"> </w:t>
      </w:r>
      <w:r w:rsidRPr="00BC4710">
        <w:t xml:space="preserve">There was a significant reduction in endometrial thickness among those subjects receiving higher doses of </w:t>
      </w:r>
      <w:proofErr w:type="spellStart"/>
      <w:r w:rsidRPr="00BC4710">
        <w:t>ulipristal</w:t>
      </w:r>
      <w:proofErr w:type="spellEnd"/>
      <w:r w:rsidRPr="00BC4710">
        <w:t xml:space="preserve"> (50 or 100 mg) compared to those receiving placebo or 10 mg: mean (SD) high-dose: 9.3 (1.9) mm, low-dose: 11.0 (3.1) mm; p=0.01.</w:t>
      </w:r>
      <w:r w:rsidR="00892FBC">
        <w:t xml:space="preserve"> </w:t>
      </w:r>
      <w:r w:rsidRPr="00BC4710">
        <w:t xml:space="preserve">Glandular progesterone receptor staining differed among treatment groups (Fisher’s exact test; p=0.02) with those receiving higher </w:t>
      </w:r>
      <w:proofErr w:type="spellStart"/>
      <w:r w:rsidRPr="00BC4710">
        <w:t>ulipristal</w:t>
      </w:r>
      <w:proofErr w:type="spellEnd"/>
      <w:r w:rsidRPr="00BC4710">
        <w:t xml:space="preserve"> doses demonstrating greater staining as evidenced by immunohistochemistry.</w:t>
      </w:r>
    </w:p>
    <w:p w:rsidR="003735EC" w:rsidRPr="00BC4710" w:rsidRDefault="00BC4710" w:rsidP="00BC4710">
      <w:r w:rsidRPr="00BC4710">
        <w:lastRenderedPageBreak/>
        <w:t>In Study HRA2914-510,</w:t>
      </w:r>
      <w:r w:rsidR="003735EC" w:rsidRPr="00BC4710">
        <w:t xml:space="preserve"> anovulation occurred in one (9.1%) subjects in the 2.5 mg group, nine (81.8%) in the 5 mg, eight (80%) in the 10 mg and none in the placebo.</w:t>
      </w:r>
      <w:r w:rsidR="00892FBC">
        <w:t xml:space="preserve"> </w:t>
      </w:r>
      <w:r w:rsidR="003735EC" w:rsidRPr="00BC4710">
        <w:t>This was statistically significant for the 5 mg and 10 mg groups compared to placebo (p &lt;0.001).</w:t>
      </w:r>
      <w:r w:rsidR="00892FBC">
        <w:t xml:space="preserve"> </w:t>
      </w:r>
      <w:proofErr w:type="spellStart"/>
      <w:r w:rsidR="003735EC" w:rsidRPr="00BC4710">
        <w:t>Estradiol</w:t>
      </w:r>
      <w:proofErr w:type="spellEnd"/>
      <w:r w:rsidR="003735EC" w:rsidRPr="00BC4710">
        <w:t>, FSH and LH concentrations were in the normal range.</w:t>
      </w:r>
      <w:r w:rsidR="00892FBC">
        <w:t xml:space="preserve"> </w:t>
      </w:r>
      <w:r w:rsidR="003735EC" w:rsidRPr="00BC4710">
        <w:t>There was no significant effect on follicular growth.</w:t>
      </w:r>
      <w:r w:rsidR="00892FBC">
        <w:t xml:space="preserve"> </w:t>
      </w:r>
      <w:r w:rsidR="003735EC" w:rsidRPr="00BC4710">
        <w:t xml:space="preserve">Amenorrhea was achieved in 81.8% women in the 5 mg group and 90% women in 10 mg group by the third month of treatment, while only 18.2% women were </w:t>
      </w:r>
      <w:proofErr w:type="spellStart"/>
      <w:r w:rsidR="003735EC" w:rsidRPr="00BC4710">
        <w:t>amenorrheic</w:t>
      </w:r>
      <w:proofErr w:type="spellEnd"/>
      <w:r w:rsidR="003735EC" w:rsidRPr="00BC4710">
        <w:t xml:space="preserve"> in the 2.5 mg group and none were </w:t>
      </w:r>
      <w:proofErr w:type="spellStart"/>
      <w:r w:rsidR="003735EC" w:rsidRPr="00BC4710">
        <w:t>amenorrheic</w:t>
      </w:r>
      <w:proofErr w:type="spellEnd"/>
      <w:r w:rsidR="003735EC" w:rsidRPr="00BC4710">
        <w:t xml:space="preserve"> in the placebo group.</w:t>
      </w:r>
      <w:r w:rsidR="00892FBC">
        <w:t xml:space="preserve"> </w:t>
      </w:r>
      <w:r w:rsidR="003735EC" w:rsidRPr="00BC4710">
        <w:t xml:space="preserve">No significant modification of the </w:t>
      </w:r>
      <w:proofErr w:type="spellStart"/>
      <w:r w:rsidR="003735EC" w:rsidRPr="00BC4710">
        <w:t>Insler</w:t>
      </w:r>
      <w:proofErr w:type="spellEnd"/>
      <w:r w:rsidR="003735EC" w:rsidRPr="00BC4710">
        <w:t xml:space="preserve"> score compared to baseline was observed in treated women, suggesting the absence of </w:t>
      </w:r>
      <w:proofErr w:type="spellStart"/>
      <w:r w:rsidR="003735EC" w:rsidRPr="00BC4710">
        <w:t>progestogenic</w:t>
      </w:r>
      <w:proofErr w:type="spellEnd"/>
      <w:r w:rsidR="003735EC" w:rsidRPr="00BC4710">
        <w:t xml:space="preserve"> effect of the compound on cervical glands.</w:t>
      </w:r>
      <w:r w:rsidR="00892FBC">
        <w:t xml:space="preserve"> </w:t>
      </w:r>
      <w:r w:rsidR="003735EC" w:rsidRPr="00BC4710">
        <w:t>In the 10 mg group, 60% of subjects had atrophic endometrium.</w:t>
      </w:r>
    </w:p>
    <w:p w:rsidR="003735EC" w:rsidRPr="00BC4710" w:rsidRDefault="003735EC" w:rsidP="00BC4710">
      <w:r w:rsidRPr="00BC4710">
        <w:t xml:space="preserve">In Study HRA2914-511, following a single dose of </w:t>
      </w:r>
      <w:proofErr w:type="spellStart"/>
      <w:r w:rsidRPr="00BC4710">
        <w:t>ulipristal</w:t>
      </w:r>
      <w:proofErr w:type="spellEnd"/>
      <w:r w:rsidRPr="00BC4710">
        <w:t xml:space="preserve"> 30 mg, when lead follicle reached 18 mm, there were the following findings:</w:t>
      </w:r>
    </w:p>
    <w:p w:rsidR="003735EC" w:rsidRPr="00BC4710" w:rsidRDefault="003735EC" w:rsidP="00BC4710">
      <w:pPr>
        <w:pStyle w:val="ListBullet"/>
      </w:pPr>
      <w:r w:rsidRPr="00BC4710">
        <w:t xml:space="preserve">Follicle rupture inhibited in 15 (44%) of </w:t>
      </w:r>
      <w:proofErr w:type="spellStart"/>
      <w:r w:rsidRPr="00BC4710">
        <w:t>ulipristal</w:t>
      </w:r>
      <w:proofErr w:type="spellEnd"/>
      <w:r w:rsidRPr="00BC4710">
        <w:t xml:space="preserve"> treated cycles and none (0%) of placebo treated, p = 0.0001.</w:t>
      </w:r>
    </w:p>
    <w:p w:rsidR="003735EC" w:rsidRPr="00BC4710" w:rsidRDefault="003735EC" w:rsidP="007F0527">
      <w:pPr>
        <w:pStyle w:val="ListBullet"/>
      </w:pPr>
      <w:r w:rsidRPr="00BC4710">
        <w:t xml:space="preserve">When administered after the LH surge seven (36.8%) of </w:t>
      </w:r>
      <w:proofErr w:type="spellStart"/>
      <w:r w:rsidRPr="00BC4710">
        <w:t>ulipristal</w:t>
      </w:r>
      <w:proofErr w:type="spellEnd"/>
      <w:r w:rsidRPr="00BC4710">
        <w:t xml:space="preserve"> treated cycles had inhibition of follicle rupture, compared with none (0%) of the placebo, p = 0.0082.</w:t>
      </w:r>
    </w:p>
    <w:p w:rsidR="003735EC" w:rsidRPr="00BC4710" w:rsidRDefault="003735EC" w:rsidP="00BC4710">
      <w:pPr>
        <w:pStyle w:val="ListBullet"/>
      </w:pPr>
      <w:r w:rsidRPr="00BC4710">
        <w:t xml:space="preserve">Mean (SD) time to follicular rupture was 6.03 (3.86) days in the </w:t>
      </w:r>
      <w:proofErr w:type="spellStart"/>
      <w:r w:rsidRPr="00BC4710">
        <w:t>ulipistal</w:t>
      </w:r>
      <w:proofErr w:type="spellEnd"/>
      <w:r w:rsidRPr="00BC4710">
        <w:t xml:space="preserve"> group and 2.41 (1.31) </w:t>
      </w:r>
      <w:r w:rsidR="00407C4F">
        <w:t xml:space="preserve">days </w:t>
      </w:r>
      <w:r w:rsidRPr="00BC4710">
        <w:t>in the placebo, p &lt;0.0001.</w:t>
      </w:r>
    </w:p>
    <w:p w:rsidR="003735EC" w:rsidRPr="00BC4710" w:rsidRDefault="003735EC" w:rsidP="00BC4710">
      <w:pPr>
        <w:pStyle w:val="ListBullet"/>
      </w:pPr>
      <w:r w:rsidRPr="00BC4710">
        <w:t xml:space="preserve">Continued growth of the follicle occurred for 18 (75%) of the </w:t>
      </w:r>
      <w:proofErr w:type="spellStart"/>
      <w:r w:rsidRPr="00BC4710">
        <w:t>ulipristal</w:t>
      </w:r>
      <w:proofErr w:type="spellEnd"/>
      <w:r w:rsidRPr="00BC4710">
        <w:t xml:space="preserve"> treated and 6 (25%) of the placebo, p = 0.0013.</w:t>
      </w:r>
    </w:p>
    <w:p w:rsidR="003735EC" w:rsidRPr="00BC4710" w:rsidRDefault="003735EC" w:rsidP="00BC4710">
      <w:pPr>
        <w:pStyle w:val="ListBullet"/>
      </w:pPr>
      <w:r w:rsidRPr="00BC4710">
        <w:t xml:space="preserve">Mean (SD) cycle length was 32.68 (3.75) days in the </w:t>
      </w:r>
      <w:proofErr w:type="spellStart"/>
      <w:r w:rsidRPr="00BC4710">
        <w:t>ulipristal</w:t>
      </w:r>
      <w:proofErr w:type="spellEnd"/>
      <w:r w:rsidRPr="00BC4710">
        <w:t xml:space="preserve"> group and 30.18 (4.11) days in the placebo, p = 0.0024.</w:t>
      </w:r>
    </w:p>
    <w:p w:rsidR="003735EC" w:rsidRPr="00BC4710" w:rsidRDefault="003735EC" w:rsidP="00BC4710">
      <w:pPr>
        <w:pStyle w:val="ListBullet"/>
      </w:pPr>
      <w:r w:rsidRPr="00BC4710">
        <w:t xml:space="preserve">LH surge was detected in 26 (76.5%) of </w:t>
      </w:r>
      <w:proofErr w:type="spellStart"/>
      <w:r w:rsidRPr="00BC4710">
        <w:t>ulipristal</w:t>
      </w:r>
      <w:proofErr w:type="spellEnd"/>
      <w:r w:rsidRPr="00BC4710">
        <w:t xml:space="preserve"> treated cycles and 33 (97.1%) of placebo.</w:t>
      </w:r>
    </w:p>
    <w:p w:rsidR="003735EC" w:rsidRPr="00BC4710" w:rsidRDefault="003735EC" w:rsidP="00BC4710">
      <w:pPr>
        <w:pStyle w:val="ListBullet"/>
      </w:pPr>
      <w:r w:rsidRPr="00BC4710">
        <w:t>There was no significant difference in mean LH concentrations between the treatment groups.</w:t>
      </w:r>
      <w:r w:rsidR="00892FBC">
        <w:t xml:space="preserve"> </w:t>
      </w:r>
      <w:r w:rsidRPr="00BC4710">
        <w:t>However there was no other difference between the groups for indicators of ovulation.</w:t>
      </w:r>
    </w:p>
    <w:p w:rsidR="003735EC" w:rsidRPr="00BC4710" w:rsidRDefault="003735EC" w:rsidP="00BC4710">
      <w:r w:rsidRPr="00BC4710">
        <w:t xml:space="preserve">In Study HRA2914-554 , when comparing </w:t>
      </w:r>
      <w:proofErr w:type="spellStart"/>
      <w:r w:rsidRPr="00BC4710">
        <w:t>ulipristal</w:t>
      </w:r>
      <w:proofErr w:type="spellEnd"/>
      <w:r w:rsidRPr="00BC4710">
        <w:t xml:space="preserve"> dosing regimens of 30 mg weekly and 30 mg every 5 days:</w:t>
      </w:r>
    </w:p>
    <w:p w:rsidR="003735EC" w:rsidRPr="00BC4710" w:rsidRDefault="003735EC" w:rsidP="00BC4710">
      <w:pPr>
        <w:pStyle w:val="ListBullet"/>
      </w:pPr>
      <w:r w:rsidRPr="00BC4710">
        <w:t>There was no significant difference between the treatment groups in risk of ovulation: occurrence of ovulation at least once during the 8 week treatment period was 11 (91.7%) for the weekly group and 8 (72.7%) for the every 5 days group</w:t>
      </w:r>
    </w:p>
    <w:p w:rsidR="003735EC" w:rsidRPr="00BC4710" w:rsidRDefault="003735EC" w:rsidP="00BC4710">
      <w:pPr>
        <w:pStyle w:val="ListBullet"/>
      </w:pPr>
      <w:r w:rsidRPr="00BC4710">
        <w:t>Of the ovulatory cycles, only one in the weekly group was considered not to be at risk for pregnancy</w:t>
      </w:r>
    </w:p>
    <w:p w:rsidR="003735EC" w:rsidRPr="00BC4710" w:rsidRDefault="003735EC" w:rsidP="00BC4710">
      <w:pPr>
        <w:pStyle w:val="ListBullet"/>
      </w:pPr>
      <w:r w:rsidRPr="00BC4710">
        <w:t xml:space="preserve">Luteinised, </w:t>
      </w:r>
      <w:proofErr w:type="spellStart"/>
      <w:r w:rsidRPr="00BC4710">
        <w:t>unruptured</w:t>
      </w:r>
      <w:proofErr w:type="spellEnd"/>
      <w:r w:rsidRPr="00BC4710">
        <w:t xml:space="preserve"> follicles occurred during the 8 week treatment period in 5 (41.7%) subjects in the weekly group and one (9.1%) in the every 5 days group</w:t>
      </w:r>
    </w:p>
    <w:p w:rsidR="003735EC" w:rsidRPr="00BC4710" w:rsidRDefault="003735EC" w:rsidP="00BC4710">
      <w:pPr>
        <w:pStyle w:val="ListBullet"/>
      </w:pPr>
      <w:r w:rsidRPr="00BC4710">
        <w:t>Persistent follicles occurred in one subject in the weekly group and two in the every five days group</w:t>
      </w:r>
    </w:p>
    <w:p w:rsidR="003735EC" w:rsidRPr="00BC4710" w:rsidRDefault="003735EC" w:rsidP="00BC4710">
      <w:pPr>
        <w:pStyle w:val="ListBullet"/>
      </w:pPr>
      <w:r w:rsidRPr="00BC4710">
        <w:t>Neither treatment regimen affected cervical mucous.</w:t>
      </w:r>
      <w:r w:rsidR="00892FBC">
        <w:t xml:space="preserve"> </w:t>
      </w:r>
      <w:r w:rsidRPr="00BC4710">
        <w:t>LH, oestradiol and progesterone concentrations were within physiological ranges.</w:t>
      </w:r>
    </w:p>
    <w:p w:rsidR="003735EC" w:rsidRPr="003E2B11" w:rsidRDefault="003735EC" w:rsidP="00BC4710">
      <w:pPr>
        <w:pStyle w:val="Heading5"/>
      </w:pPr>
      <w:bookmarkStart w:id="110" w:name="_Toc272414643"/>
      <w:bookmarkStart w:id="111" w:name="_Toc290846265"/>
      <w:bookmarkStart w:id="112" w:name="_Toc389848872"/>
      <w:r w:rsidRPr="003E2B11">
        <w:t xml:space="preserve">Secondary </w:t>
      </w:r>
      <w:proofErr w:type="spellStart"/>
      <w:r w:rsidRPr="003E2B11">
        <w:t>pharmacodynamic</w:t>
      </w:r>
      <w:proofErr w:type="spellEnd"/>
      <w:r w:rsidRPr="003E2B11">
        <w:t xml:space="preserve"> effects</w:t>
      </w:r>
      <w:bookmarkEnd w:id="110"/>
      <w:bookmarkEnd w:id="111"/>
      <w:bookmarkEnd w:id="112"/>
    </w:p>
    <w:p w:rsidR="003735EC" w:rsidRPr="00BC4710" w:rsidRDefault="003735EC" w:rsidP="00BC4710">
      <w:r w:rsidRPr="00BC4710">
        <w:t xml:space="preserve">Secondary </w:t>
      </w:r>
      <w:proofErr w:type="spellStart"/>
      <w:r w:rsidRPr="00BC4710">
        <w:t>pharmacodynamic</w:t>
      </w:r>
      <w:proofErr w:type="spellEnd"/>
      <w:r w:rsidRPr="00BC4710">
        <w:t xml:space="preserve"> effects were not studied.</w:t>
      </w:r>
    </w:p>
    <w:p w:rsidR="003735EC" w:rsidRPr="003E2B11" w:rsidRDefault="003735EC" w:rsidP="00BC4710">
      <w:pPr>
        <w:pStyle w:val="Heading4"/>
      </w:pPr>
      <w:bookmarkStart w:id="113" w:name="_Toc241374304"/>
      <w:bookmarkStart w:id="114" w:name="_Toc272414646"/>
      <w:bookmarkStart w:id="115" w:name="_Toc290846268"/>
      <w:bookmarkStart w:id="116" w:name="_Toc389848873"/>
      <w:r w:rsidRPr="003E2B11">
        <w:t xml:space="preserve">Genetic-, gender- and age-related differences in </w:t>
      </w:r>
      <w:proofErr w:type="spellStart"/>
      <w:r w:rsidRPr="003E2B11">
        <w:t>pharmacodynamic</w:t>
      </w:r>
      <w:proofErr w:type="spellEnd"/>
      <w:r w:rsidRPr="003E2B11">
        <w:t xml:space="preserve"> response</w:t>
      </w:r>
      <w:bookmarkEnd w:id="113"/>
      <w:bookmarkEnd w:id="114"/>
      <w:bookmarkEnd w:id="115"/>
      <w:bookmarkEnd w:id="116"/>
    </w:p>
    <w:p w:rsidR="003735EC" w:rsidRPr="00BC4710" w:rsidRDefault="003735EC" w:rsidP="00BC4710">
      <w:r w:rsidRPr="00BC4710">
        <w:t xml:space="preserve">Genetic, gender and age-related differences in </w:t>
      </w:r>
      <w:proofErr w:type="spellStart"/>
      <w:r w:rsidRPr="00BC4710">
        <w:t>pharmacodynamic</w:t>
      </w:r>
      <w:proofErr w:type="spellEnd"/>
      <w:r w:rsidRPr="00BC4710">
        <w:t xml:space="preserve"> response were not studied.</w:t>
      </w:r>
    </w:p>
    <w:p w:rsidR="003735EC" w:rsidRPr="003E2B11" w:rsidRDefault="003735EC" w:rsidP="00BC4710">
      <w:pPr>
        <w:pStyle w:val="Heading4"/>
      </w:pPr>
      <w:bookmarkStart w:id="117" w:name="_Toc241374303"/>
      <w:bookmarkStart w:id="118" w:name="_Toc272414647"/>
      <w:bookmarkStart w:id="119" w:name="_Toc290846269"/>
      <w:bookmarkStart w:id="120" w:name="_Toc389848874"/>
      <w:proofErr w:type="spellStart"/>
      <w:r w:rsidRPr="003E2B11">
        <w:lastRenderedPageBreak/>
        <w:t>Pharmacodynamic</w:t>
      </w:r>
      <w:proofErr w:type="spellEnd"/>
      <w:r w:rsidRPr="003E2B11">
        <w:t xml:space="preserve"> interactions</w:t>
      </w:r>
      <w:bookmarkEnd w:id="117"/>
      <w:bookmarkEnd w:id="118"/>
      <w:bookmarkEnd w:id="119"/>
      <w:bookmarkEnd w:id="120"/>
    </w:p>
    <w:p w:rsidR="003735EC" w:rsidRPr="00BC4710" w:rsidRDefault="003735EC" w:rsidP="00BC4710">
      <w:proofErr w:type="spellStart"/>
      <w:r w:rsidRPr="00BC4710">
        <w:t>Pharmacodynamic</w:t>
      </w:r>
      <w:proofErr w:type="spellEnd"/>
      <w:r w:rsidRPr="00BC4710">
        <w:t xml:space="preserve"> interactions were not studied.</w:t>
      </w:r>
    </w:p>
    <w:p w:rsidR="006F2E5C" w:rsidRDefault="006F2E5C" w:rsidP="006F2E5C">
      <w:pPr>
        <w:pStyle w:val="Heading3"/>
      </w:pPr>
      <w:bookmarkStart w:id="121" w:name="_Toc430094060"/>
      <w:r>
        <w:t>Evaluator’s conclusions on pharmacodynamics</w:t>
      </w:r>
      <w:bookmarkEnd w:id="121"/>
    </w:p>
    <w:p w:rsidR="006F2E5C" w:rsidRPr="000855B9" w:rsidRDefault="006F2E5C" w:rsidP="006F2E5C">
      <w:r>
        <w:t xml:space="preserve">The </w:t>
      </w:r>
      <w:proofErr w:type="spellStart"/>
      <w:r w:rsidRPr="007913A5">
        <w:t>pharmacodynamic</w:t>
      </w:r>
      <w:proofErr w:type="spellEnd"/>
      <w:r w:rsidRPr="000855B9">
        <w:t xml:space="preserve"> studies examined the </w:t>
      </w:r>
      <w:proofErr w:type="spellStart"/>
      <w:r w:rsidRPr="000855B9">
        <w:t>ulipristal</w:t>
      </w:r>
      <w:proofErr w:type="spellEnd"/>
      <w:r w:rsidRPr="000855B9">
        <w:t xml:space="preserve"> dose range from 10 to 200 mg as a single dose.</w:t>
      </w:r>
      <w:r>
        <w:t xml:space="preserve"> </w:t>
      </w:r>
      <w:r w:rsidRPr="000855B9">
        <w:t>There were dose dependent effects on follicular growth, follicular rupture, endometrial growth and cycle length.</w:t>
      </w:r>
      <w:r>
        <w:t xml:space="preserve"> </w:t>
      </w:r>
      <w:r w:rsidRPr="000855B9">
        <w:t>These effects were not significant at the 10 mg dose level.</w:t>
      </w:r>
      <w:r>
        <w:t xml:space="preserve"> </w:t>
      </w:r>
      <w:r w:rsidRPr="000855B9">
        <w:t>At the 30 mg dose level in S</w:t>
      </w:r>
      <w:r>
        <w:t xml:space="preserve">tudy HRA2914-511, </w:t>
      </w:r>
      <w:r w:rsidRPr="000855B9">
        <w:t xml:space="preserve">following a single dose of </w:t>
      </w:r>
      <w:proofErr w:type="spellStart"/>
      <w:r w:rsidRPr="000855B9">
        <w:t>ulipristal</w:t>
      </w:r>
      <w:proofErr w:type="spellEnd"/>
      <w:r w:rsidRPr="000855B9">
        <w:t xml:space="preserve"> 30 mg, when lead follicle reached 18 mm, there were the following findings:</w:t>
      </w:r>
    </w:p>
    <w:p w:rsidR="006F2E5C" w:rsidRPr="000855B9" w:rsidRDefault="006F2E5C" w:rsidP="007F0527">
      <w:pPr>
        <w:pStyle w:val="ListBullet"/>
        <w:numPr>
          <w:ilvl w:val="0"/>
          <w:numId w:val="1"/>
        </w:numPr>
      </w:pPr>
      <w:r w:rsidRPr="000855B9">
        <w:t xml:space="preserve">Follicle rupture inhibited in 15 (44%) of </w:t>
      </w:r>
      <w:proofErr w:type="spellStart"/>
      <w:r w:rsidRPr="000855B9">
        <w:t>ulipristal</w:t>
      </w:r>
      <w:proofErr w:type="spellEnd"/>
      <w:r w:rsidRPr="000855B9">
        <w:t xml:space="preserve"> treated cycles and none (0%)</w:t>
      </w:r>
      <w:r>
        <w:t xml:space="preserve"> of placebo treated, p = 0.0001;</w:t>
      </w:r>
    </w:p>
    <w:p w:rsidR="006F2E5C" w:rsidRPr="000855B9" w:rsidRDefault="006F2E5C" w:rsidP="007F0527">
      <w:pPr>
        <w:pStyle w:val="ListBullet"/>
        <w:numPr>
          <w:ilvl w:val="0"/>
          <w:numId w:val="1"/>
        </w:numPr>
      </w:pPr>
      <w:r w:rsidRPr="000855B9">
        <w:t>When administered after the LH surge</w:t>
      </w:r>
      <w:r>
        <w:t>,</w:t>
      </w:r>
      <w:r w:rsidRPr="000855B9">
        <w:t xml:space="preserve"> seven (36.8%) of </w:t>
      </w:r>
      <w:proofErr w:type="spellStart"/>
      <w:r w:rsidRPr="000855B9">
        <w:t>ulipristal</w:t>
      </w:r>
      <w:proofErr w:type="spellEnd"/>
      <w:r w:rsidRPr="000855B9">
        <w:t xml:space="preserve"> treated cycles had inhibition of follicle rupture, compared with none </w:t>
      </w:r>
      <w:r>
        <w:t>(0%) of the placebo, p = 0.0082;</w:t>
      </w:r>
    </w:p>
    <w:p w:rsidR="006F2E5C" w:rsidRPr="000855B9" w:rsidRDefault="006F2E5C" w:rsidP="007F0527">
      <w:pPr>
        <w:pStyle w:val="ListBullet"/>
        <w:numPr>
          <w:ilvl w:val="0"/>
          <w:numId w:val="1"/>
        </w:numPr>
      </w:pPr>
      <w:r w:rsidRPr="000855B9">
        <w:t xml:space="preserve">Mean (SD) time to follicular rupture was 6.03 (3.86) days in the </w:t>
      </w:r>
      <w:proofErr w:type="spellStart"/>
      <w:r w:rsidRPr="000855B9">
        <w:t>ulipistal</w:t>
      </w:r>
      <w:proofErr w:type="spellEnd"/>
      <w:r w:rsidRPr="000855B9">
        <w:t xml:space="preserve"> group and 2.41 (</w:t>
      </w:r>
      <w:r>
        <w:t>1.31) in the placebo, p &lt;0.0001;</w:t>
      </w:r>
    </w:p>
    <w:p w:rsidR="006F2E5C" w:rsidRPr="000855B9" w:rsidRDefault="006F2E5C" w:rsidP="007F0527">
      <w:pPr>
        <w:pStyle w:val="ListBullet"/>
        <w:numPr>
          <w:ilvl w:val="0"/>
          <w:numId w:val="1"/>
        </w:numPr>
      </w:pPr>
      <w:r w:rsidRPr="000855B9">
        <w:t xml:space="preserve">Continued growth of the follicle occurred for 18 (75%) of the </w:t>
      </w:r>
      <w:proofErr w:type="spellStart"/>
      <w:r w:rsidRPr="000855B9">
        <w:t>ulipristal</w:t>
      </w:r>
      <w:proofErr w:type="spellEnd"/>
      <w:r w:rsidRPr="000855B9">
        <w:t xml:space="preserve"> treated and 6 (</w:t>
      </w:r>
      <w:r>
        <w:t>25%) of the placebo, p = 0.0013;</w:t>
      </w:r>
    </w:p>
    <w:p w:rsidR="006F2E5C" w:rsidRPr="000855B9" w:rsidRDefault="006F2E5C" w:rsidP="007F0527">
      <w:pPr>
        <w:pStyle w:val="ListBullet"/>
        <w:numPr>
          <w:ilvl w:val="0"/>
          <w:numId w:val="1"/>
        </w:numPr>
      </w:pPr>
      <w:r w:rsidRPr="000855B9">
        <w:t xml:space="preserve">Mean (SD) cycle length was 32.68 (3.75) days in the </w:t>
      </w:r>
      <w:proofErr w:type="spellStart"/>
      <w:r w:rsidRPr="000855B9">
        <w:t>ulipristal</w:t>
      </w:r>
      <w:proofErr w:type="spellEnd"/>
      <w:r w:rsidRPr="000855B9">
        <w:t xml:space="preserve"> group and 30.18 (4.11) </w:t>
      </w:r>
      <w:r>
        <w:t>days in the placebo, p = 0.0024;</w:t>
      </w:r>
    </w:p>
    <w:p w:rsidR="006F2E5C" w:rsidRPr="000855B9" w:rsidRDefault="006F2E5C" w:rsidP="007F0527">
      <w:pPr>
        <w:pStyle w:val="ListBullet"/>
        <w:numPr>
          <w:ilvl w:val="0"/>
          <w:numId w:val="1"/>
        </w:numPr>
      </w:pPr>
      <w:r w:rsidRPr="000855B9">
        <w:t xml:space="preserve">LH surge was detected in 26 (76.5%) of </w:t>
      </w:r>
      <w:proofErr w:type="spellStart"/>
      <w:r w:rsidRPr="000855B9">
        <w:t>ulipristal</w:t>
      </w:r>
      <w:proofErr w:type="spellEnd"/>
      <w:r w:rsidRPr="000855B9">
        <w:t xml:space="preserve"> treated cycles and 33 (97.1%) of placebo.</w:t>
      </w:r>
    </w:p>
    <w:p w:rsidR="006F2E5C" w:rsidRPr="000855B9" w:rsidRDefault="006F2E5C" w:rsidP="006F2E5C">
      <w:proofErr w:type="spellStart"/>
      <w:r w:rsidRPr="000855B9">
        <w:t>Ulipristal</w:t>
      </w:r>
      <w:proofErr w:type="spellEnd"/>
      <w:r w:rsidRPr="000855B9">
        <w:t xml:space="preserve"> did not alter cervical mucous.</w:t>
      </w:r>
    </w:p>
    <w:p w:rsidR="006F2E5C" w:rsidRPr="000855B9" w:rsidRDefault="006F2E5C" w:rsidP="006F2E5C">
      <w:r>
        <w:t xml:space="preserve">The </w:t>
      </w:r>
      <w:proofErr w:type="spellStart"/>
      <w:r w:rsidRPr="007913A5">
        <w:t>pharmacodynamic</w:t>
      </w:r>
      <w:proofErr w:type="spellEnd"/>
      <w:r w:rsidRPr="000855B9">
        <w:t xml:space="preserve"> characteristics of </w:t>
      </w:r>
      <w:proofErr w:type="spellStart"/>
      <w:r w:rsidRPr="000855B9">
        <w:t>ulipristal</w:t>
      </w:r>
      <w:proofErr w:type="spellEnd"/>
      <w:r w:rsidRPr="000855B9">
        <w:t xml:space="preserve"> have been adequately characterised for the proposed indication.</w:t>
      </w:r>
    </w:p>
    <w:p w:rsidR="00586F98" w:rsidRDefault="00C22678" w:rsidP="007F0527">
      <w:pPr>
        <w:pStyle w:val="Heading2"/>
      </w:pPr>
      <w:bookmarkStart w:id="122" w:name="_Toc430094061"/>
      <w:r>
        <w:t xml:space="preserve">Dosage </w:t>
      </w:r>
      <w:r w:rsidRPr="007F0527">
        <w:t>selection</w:t>
      </w:r>
      <w:r>
        <w:t xml:space="preserve"> for the pivotal studies</w:t>
      </w:r>
      <w:bookmarkEnd w:id="122"/>
    </w:p>
    <w:p w:rsidR="006F2E5C" w:rsidRPr="000679F6" w:rsidRDefault="006F2E5C" w:rsidP="007F0527">
      <w:pPr>
        <w:pStyle w:val="Heading3"/>
      </w:pPr>
      <w:bookmarkStart w:id="123" w:name="_Toc389848877"/>
      <w:bookmarkStart w:id="124" w:name="_Toc430094062"/>
      <w:r w:rsidRPr="000679F6">
        <w:t xml:space="preserve">Study </w:t>
      </w:r>
      <w:r w:rsidRPr="007F0527">
        <w:t>HRA2914</w:t>
      </w:r>
      <w:r w:rsidRPr="000679F6">
        <w:t>-507</w:t>
      </w:r>
      <w:bookmarkEnd w:id="123"/>
      <w:bookmarkEnd w:id="124"/>
    </w:p>
    <w:p w:rsidR="006F2E5C" w:rsidRPr="00B73692" w:rsidRDefault="006F2E5C" w:rsidP="006F2E5C">
      <w:r>
        <w:t xml:space="preserve">Study HRA2914-507 </w:t>
      </w:r>
      <w:r w:rsidRPr="00B73692">
        <w:t xml:space="preserve">was a multicentre, randomised, double blind, active controlled study to assess the efficacy, safety and tolerance of </w:t>
      </w:r>
      <w:proofErr w:type="spellStart"/>
      <w:r w:rsidRPr="00B73692">
        <w:t>ulipristal</w:t>
      </w:r>
      <w:proofErr w:type="spellEnd"/>
      <w:r w:rsidRPr="00B73692">
        <w:t xml:space="preserve"> in comparison with </w:t>
      </w:r>
      <w:proofErr w:type="spellStart"/>
      <w:r w:rsidRPr="00B73692">
        <w:t>levonorgestrel</w:t>
      </w:r>
      <w:proofErr w:type="spellEnd"/>
      <w:r w:rsidRPr="00B73692">
        <w:t xml:space="preserve"> for emerg</w:t>
      </w:r>
      <w:r>
        <w:t>ency contraception</w:t>
      </w:r>
      <w:r w:rsidRPr="00B73692">
        <w:t>.</w:t>
      </w:r>
      <w:r>
        <w:t xml:space="preserve"> </w:t>
      </w:r>
      <w:r w:rsidRPr="00B73692">
        <w:t>The study was conducted at seven sites in the US from September 1999 to September 2001.</w:t>
      </w:r>
    </w:p>
    <w:p w:rsidR="006F2E5C" w:rsidRPr="00B73692" w:rsidRDefault="006F2E5C" w:rsidP="006F2E5C">
      <w:r w:rsidRPr="00B73692">
        <w:t>The inclusion criteria included:</w:t>
      </w:r>
    </w:p>
    <w:p w:rsidR="006F2E5C" w:rsidRPr="00B73692" w:rsidRDefault="006F2E5C" w:rsidP="007F0527">
      <w:pPr>
        <w:pStyle w:val="ListBullet"/>
        <w:numPr>
          <w:ilvl w:val="0"/>
          <w:numId w:val="1"/>
        </w:numPr>
      </w:pPr>
      <w:r w:rsidRPr="00B73692">
        <w:t>Menstruating women &gt;18 years age</w:t>
      </w:r>
    </w:p>
    <w:p w:rsidR="006F2E5C" w:rsidRPr="00B73692" w:rsidRDefault="006F2E5C" w:rsidP="007F0527">
      <w:pPr>
        <w:pStyle w:val="ListBullet"/>
        <w:numPr>
          <w:ilvl w:val="0"/>
          <w:numId w:val="1"/>
        </w:numPr>
      </w:pPr>
      <w:r w:rsidRPr="00B73692">
        <w:t>Requested emergen</w:t>
      </w:r>
      <w:r>
        <w:t>cy contraception within 72 h</w:t>
      </w:r>
      <w:r w:rsidRPr="00B73692">
        <w:t xml:space="preserve"> (3 days) after unprotected coitus, as defined by lack of contraceptive use, or condom breakage (including condoms lubricated with spermicide) or other barrier contraceptive method failure</w:t>
      </w:r>
      <w:r>
        <w:t>;</w:t>
      </w:r>
    </w:p>
    <w:p w:rsidR="006F2E5C" w:rsidRPr="00B73692" w:rsidRDefault="006F2E5C" w:rsidP="007F0527">
      <w:pPr>
        <w:pStyle w:val="ListBullet"/>
        <w:numPr>
          <w:ilvl w:val="0"/>
          <w:numId w:val="1"/>
        </w:numPr>
      </w:pPr>
      <w:r w:rsidRPr="00B73692">
        <w:t>Reported that all acts of unp</w:t>
      </w:r>
      <w:r>
        <w:t>rotected coitus during the enro</w:t>
      </w:r>
      <w:r w:rsidRPr="00B73692">
        <w:t>lment cycle wer</w:t>
      </w:r>
      <w:r>
        <w:t>e within 72 h prior to enro</w:t>
      </w:r>
      <w:r w:rsidRPr="00B73692">
        <w:t>lment</w:t>
      </w:r>
      <w:r>
        <w:t>;</w:t>
      </w:r>
    </w:p>
    <w:p w:rsidR="006F2E5C" w:rsidRPr="00B73692" w:rsidRDefault="006F2E5C" w:rsidP="007F0527">
      <w:pPr>
        <w:pStyle w:val="ListBullet"/>
        <w:numPr>
          <w:ilvl w:val="0"/>
          <w:numId w:val="1"/>
        </w:numPr>
      </w:pPr>
      <w:r w:rsidRPr="00B73692">
        <w:t>W</w:t>
      </w:r>
      <w:r>
        <w:t>omen who w</w:t>
      </w:r>
      <w:r w:rsidRPr="00B73692">
        <w:t xml:space="preserve">ere willing to abstain from further acts of </w:t>
      </w:r>
      <w:r>
        <w:t>UPI</w:t>
      </w:r>
      <w:r w:rsidRPr="00B73692">
        <w:t xml:space="preserve"> during the treatment cycle</w:t>
      </w:r>
      <w:r>
        <w:t>;</w:t>
      </w:r>
    </w:p>
    <w:p w:rsidR="006F2E5C" w:rsidRPr="00B73692" w:rsidRDefault="006F2E5C" w:rsidP="007F0527">
      <w:pPr>
        <w:pStyle w:val="ListBullet"/>
        <w:numPr>
          <w:ilvl w:val="0"/>
          <w:numId w:val="1"/>
        </w:numPr>
      </w:pPr>
      <w:r w:rsidRPr="00B73692">
        <w:t>Had a history of regular menstrual cycles (mean length of 24-</w:t>
      </w:r>
      <w:r>
        <w:t xml:space="preserve">42 days with intra </w:t>
      </w:r>
      <w:r w:rsidRPr="00B73692">
        <w:t>individual variation of ±5 days)</w:t>
      </w:r>
      <w:r>
        <w:t>;</w:t>
      </w:r>
    </w:p>
    <w:p w:rsidR="006F2E5C" w:rsidRPr="00B73692" w:rsidRDefault="006F2E5C" w:rsidP="007F0527">
      <w:pPr>
        <w:pStyle w:val="ListBullet"/>
        <w:numPr>
          <w:ilvl w:val="0"/>
          <w:numId w:val="1"/>
        </w:numPr>
      </w:pPr>
      <w:r w:rsidRPr="00B73692">
        <w:t xml:space="preserve">Had ≥1 normal menstrual cycle (2 menses) </w:t>
      </w:r>
      <w:proofErr w:type="spellStart"/>
      <w:r w:rsidRPr="00B73692">
        <w:t>post delivery</w:t>
      </w:r>
      <w:proofErr w:type="spellEnd"/>
      <w:r w:rsidRPr="00B73692">
        <w:t xml:space="preserve"> or abortion</w:t>
      </w:r>
      <w:r>
        <w:t>;</w:t>
      </w:r>
    </w:p>
    <w:p w:rsidR="006F2E5C" w:rsidRPr="00B73692" w:rsidRDefault="006F2E5C" w:rsidP="007F0527">
      <w:pPr>
        <w:pStyle w:val="ListBullet"/>
        <w:numPr>
          <w:ilvl w:val="0"/>
          <w:numId w:val="1"/>
        </w:numPr>
      </w:pPr>
      <w:r w:rsidRPr="00B73692">
        <w:lastRenderedPageBreak/>
        <w:t>If subject had recently discontinued hormonal contraception, one normal menstrual cycle (2 menses) must have been completed before entry in the study</w:t>
      </w:r>
      <w:r>
        <w:t>;</w:t>
      </w:r>
    </w:p>
    <w:p w:rsidR="006F2E5C" w:rsidRPr="00B73692" w:rsidRDefault="006F2E5C" w:rsidP="007F0527">
      <w:pPr>
        <w:pStyle w:val="ListBullet"/>
        <w:numPr>
          <w:ilvl w:val="0"/>
          <w:numId w:val="1"/>
        </w:numPr>
      </w:pPr>
      <w:r w:rsidRPr="00B73692">
        <w:t>For women who had a recent history of Depo-Provera use, the most recent injection must have been at least 3 months before study entry and the subject must have had at least one normal menstrual cycle (2 menses)</w:t>
      </w:r>
      <w:r>
        <w:t>.</w:t>
      </w:r>
    </w:p>
    <w:p w:rsidR="006F2E5C" w:rsidRPr="00B73692" w:rsidRDefault="006F2E5C" w:rsidP="007F0527">
      <w:pPr>
        <w:pStyle w:val="ListBullet"/>
        <w:numPr>
          <w:ilvl w:val="0"/>
          <w:numId w:val="1"/>
        </w:numPr>
      </w:pPr>
      <w:r w:rsidRPr="00B73692">
        <w:t>Was available for follow-up ≥ 4 weeks</w:t>
      </w:r>
      <w:r>
        <w:t>.</w:t>
      </w:r>
    </w:p>
    <w:p w:rsidR="006F2E5C" w:rsidRPr="00B73692" w:rsidRDefault="006F2E5C" w:rsidP="007F0527">
      <w:r w:rsidRPr="00B73692">
        <w:t>The exclusion criteria included:</w:t>
      </w:r>
    </w:p>
    <w:p w:rsidR="006F2E5C" w:rsidRPr="00B73692" w:rsidRDefault="006F2E5C" w:rsidP="007F0527">
      <w:pPr>
        <w:pStyle w:val="ListBullet"/>
        <w:numPr>
          <w:ilvl w:val="0"/>
          <w:numId w:val="1"/>
        </w:numPr>
      </w:pPr>
      <w:r w:rsidRPr="00B73692">
        <w:t>Pregnant at scr</w:t>
      </w:r>
      <w:r>
        <w:t>eening or enrol</w:t>
      </w:r>
      <w:r w:rsidRPr="00B73692">
        <w:t>ment (positive high-sensitivity urine pregnancy test)</w:t>
      </w:r>
      <w:r>
        <w:t>;</w:t>
      </w:r>
    </w:p>
    <w:p w:rsidR="006F2E5C" w:rsidRPr="00B73692" w:rsidRDefault="006F2E5C" w:rsidP="007F0527">
      <w:pPr>
        <w:pStyle w:val="ListBullet"/>
        <w:numPr>
          <w:ilvl w:val="0"/>
          <w:numId w:val="1"/>
        </w:numPr>
      </w:pPr>
      <w:r w:rsidRPr="00B73692">
        <w:t>Had been pregnant or breast</w:t>
      </w:r>
      <w:r>
        <w:t xml:space="preserve"> </w:t>
      </w:r>
      <w:r w:rsidRPr="00B73692">
        <w:t>feeding within the 2 mont</w:t>
      </w:r>
      <w:r>
        <w:t>hs prior to screening and enrol</w:t>
      </w:r>
      <w:r w:rsidRPr="00B73692">
        <w:t>ment</w:t>
      </w:r>
      <w:r>
        <w:t>;</w:t>
      </w:r>
    </w:p>
    <w:p w:rsidR="006F2E5C" w:rsidRPr="00B73692" w:rsidRDefault="006F2E5C" w:rsidP="007F0527">
      <w:pPr>
        <w:pStyle w:val="ListBullet"/>
        <w:numPr>
          <w:ilvl w:val="0"/>
          <w:numId w:val="1"/>
        </w:numPr>
      </w:pPr>
      <w:r w:rsidRPr="00B73692">
        <w:t>Had used hormonal methods o</w:t>
      </w:r>
      <w:r>
        <w:t>f contraception during the enro</w:t>
      </w:r>
      <w:r w:rsidRPr="00B73692">
        <w:t>lment cycle or previous two cycles</w:t>
      </w:r>
      <w:r>
        <w:t>;</w:t>
      </w:r>
    </w:p>
    <w:p w:rsidR="006F2E5C" w:rsidRPr="00B73692" w:rsidRDefault="006F2E5C" w:rsidP="007F0527">
      <w:pPr>
        <w:pStyle w:val="ListBullet"/>
        <w:numPr>
          <w:ilvl w:val="0"/>
          <w:numId w:val="1"/>
        </w:numPr>
      </w:pPr>
      <w:r w:rsidRPr="00B73692">
        <w:t xml:space="preserve">Was an </w:t>
      </w:r>
      <w:r w:rsidRPr="00733304">
        <w:t xml:space="preserve">intrauterine device </w:t>
      </w:r>
      <w:r>
        <w:t xml:space="preserve">(IUD) user </w:t>
      </w:r>
      <w:r w:rsidRPr="00B73692">
        <w:t>at</w:t>
      </w:r>
      <w:r>
        <w:t xml:space="preserve"> the time of screening or enrol</w:t>
      </w:r>
      <w:r w:rsidRPr="00B73692">
        <w:t>ment</w:t>
      </w:r>
      <w:r>
        <w:t>;</w:t>
      </w:r>
    </w:p>
    <w:p w:rsidR="006F2E5C" w:rsidRPr="00B73692" w:rsidRDefault="006F2E5C" w:rsidP="007F0527">
      <w:pPr>
        <w:pStyle w:val="ListBullet"/>
        <w:numPr>
          <w:ilvl w:val="0"/>
          <w:numId w:val="1"/>
        </w:numPr>
      </w:pPr>
      <w:r w:rsidRPr="00B73692">
        <w:t>Had a Tubal ligation</w:t>
      </w:r>
      <w:r>
        <w:t>;</w:t>
      </w:r>
    </w:p>
    <w:p w:rsidR="006F2E5C" w:rsidRPr="00B73692" w:rsidRDefault="006F2E5C" w:rsidP="007F0527">
      <w:pPr>
        <w:pStyle w:val="ListBullet"/>
        <w:numPr>
          <w:ilvl w:val="0"/>
          <w:numId w:val="1"/>
        </w:numPr>
      </w:pPr>
      <w:r w:rsidRPr="00B73692">
        <w:t>Had a partner with a history of vasectomy</w:t>
      </w:r>
      <w:r>
        <w:t>;</w:t>
      </w:r>
    </w:p>
    <w:p w:rsidR="006F2E5C" w:rsidRPr="00B73692" w:rsidRDefault="006F2E5C" w:rsidP="007F0527">
      <w:pPr>
        <w:pStyle w:val="ListBullet"/>
        <w:numPr>
          <w:ilvl w:val="0"/>
          <w:numId w:val="1"/>
        </w:numPr>
      </w:pPr>
      <w:r w:rsidRPr="00B73692">
        <w:t>Was unsure about the date of the last menstrual period (+3 days)</w:t>
      </w:r>
      <w:r>
        <w:t>;</w:t>
      </w:r>
    </w:p>
    <w:p w:rsidR="006F2E5C" w:rsidRPr="00B73692" w:rsidRDefault="006F2E5C" w:rsidP="007F0527">
      <w:pPr>
        <w:pStyle w:val="ListBullet"/>
        <w:numPr>
          <w:ilvl w:val="0"/>
          <w:numId w:val="1"/>
        </w:numPr>
      </w:pPr>
      <w:r w:rsidRPr="00B73692">
        <w:t>Had irregular menstrual cycles, as defined in the inclusion criteria</w:t>
      </w:r>
      <w:r>
        <w:t>;</w:t>
      </w:r>
    </w:p>
    <w:p w:rsidR="006F2E5C" w:rsidRPr="00B73692" w:rsidRDefault="006F2E5C" w:rsidP="007F0527">
      <w:pPr>
        <w:pStyle w:val="ListBullet"/>
        <w:numPr>
          <w:ilvl w:val="0"/>
          <w:numId w:val="1"/>
        </w:numPr>
      </w:pPr>
      <w:r w:rsidRPr="00B73692">
        <w:t>Had experienced nausea and vomiting within the 2 we</w:t>
      </w:r>
      <w:r>
        <w:t>eks prior to screening and enro</w:t>
      </w:r>
      <w:r w:rsidRPr="00B73692">
        <w:t>lment</w:t>
      </w:r>
      <w:r>
        <w:t>;</w:t>
      </w:r>
    </w:p>
    <w:p w:rsidR="006F2E5C" w:rsidRPr="00B73692" w:rsidRDefault="006F2E5C" w:rsidP="007F0527">
      <w:pPr>
        <w:pStyle w:val="ListBullet"/>
        <w:numPr>
          <w:ilvl w:val="0"/>
          <w:numId w:val="1"/>
        </w:numPr>
      </w:pPr>
      <w:r w:rsidRPr="00B73692">
        <w:t>Had impaired hypothalamic-pituitary-adrenal reserve or had received oral glucocorticoid replacement therapy in the y</w:t>
      </w:r>
      <w:r>
        <w:t>ear prior to screening and enro</w:t>
      </w:r>
      <w:r w:rsidRPr="00B73692">
        <w:t>lment</w:t>
      </w:r>
      <w:r>
        <w:t>; and</w:t>
      </w:r>
    </w:p>
    <w:p w:rsidR="006F2E5C" w:rsidRPr="00B73692" w:rsidRDefault="006F2E5C" w:rsidP="007F0527">
      <w:pPr>
        <w:pStyle w:val="ListBullet"/>
        <w:numPr>
          <w:ilvl w:val="0"/>
          <w:numId w:val="1"/>
        </w:numPr>
      </w:pPr>
      <w:r w:rsidRPr="00B73692">
        <w:t>Was not concurrently enrolled in any other investigational trial and agreed not to re-enrol in this study</w:t>
      </w:r>
      <w:r>
        <w:t>.</w:t>
      </w:r>
    </w:p>
    <w:p w:rsidR="006F2E5C" w:rsidRPr="00B73692" w:rsidRDefault="006F2E5C" w:rsidP="006F2E5C">
      <w:r w:rsidRPr="00B73692">
        <w:t>The study treatments were:</w:t>
      </w:r>
    </w:p>
    <w:p w:rsidR="006F2E5C" w:rsidRPr="00B73692" w:rsidRDefault="006F2E5C" w:rsidP="007F0527">
      <w:pPr>
        <w:pStyle w:val="Numberbullet0"/>
      </w:pPr>
      <w:proofErr w:type="spellStart"/>
      <w:r w:rsidRPr="00B73692">
        <w:t>Ulipristal</w:t>
      </w:r>
      <w:proofErr w:type="spellEnd"/>
      <w:r w:rsidRPr="00B73692">
        <w:t xml:space="preserve"> 50 mg </w:t>
      </w:r>
      <w:proofErr w:type="spellStart"/>
      <w:r w:rsidRPr="00B73692">
        <w:t>unmicronised</w:t>
      </w:r>
      <w:proofErr w:type="spellEnd"/>
      <w:r w:rsidRPr="00B73692">
        <w:t xml:space="preserve"> in </w:t>
      </w:r>
      <w:proofErr w:type="spellStart"/>
      <w:r w:rsidRPr="00B73692">
        <w:t>gelatin</w:t>
      </w:r>
      <w:proofErr w:type="spellEnd"/>
      <w:r w:rsidRPr="00B73692">
        <w:t xml:space="preserve"> capsules</w:t>
      </w:r>
    </w:p>
    <w:p w:rsidR="006F2E5C" w:rsidRPr="00B73692" w:rsidRDefault="006F2E5C" w:rsidP="007F0527">
      <w:pPr>
        <w:pStyle w:val="Numberbullet0"/>
      </w:pPr>
      <w:proofErr w:type="spellStart"/>
      <w:r w:rsidRPr="00B73692">
        <w:t>Levonorgestrel</w:t>
      </w:r>
      <w:proofErr w:type="spellEnd"/>
      <w:r w:rsidRPr="00B73692">
        <w:t xml:space="preserve"> 0.75 mg, two doses take</w:t>
      </w:r>
      <w:r>
        <w:t>n up to 12 h</w:t>
      </w:r>
      <w:r w:rsidRPr="00B73692">
        <w:t xml:space="preserve"> apart</w:t>
      </w:r>
    </w:p>
    <w:p w:rsidR="006F2E5C" w:rsidRPr="00B73692" w:rsidRDefault="006F2E5C" w:rsidP="006F2E5C">
      <w:r w:rsidRPr="00B73692">
        <w:t xml:space="preserve">The treatments were </w:t>
      </w:r>
      <w:proofErr w:type="spellStart"/>
      <w:r w:rsidRPr="00B73692">
        <w:t>self</w:t>
      </w:r>
      <w:r>
        <w:t xml:space="preserve"> </w:t>
      </w:r>
      <w:r w:rsidRPr="00B73692">
        <w:t>administered</w:t>
      </w:r>
      <w:proofErr w:type="spellEnd"/>
      <w:r>
        <w:t xml:space="preserve"> as a single dose up to 72 h</w:t>
      </w:r>
      <w:r w:rsidRPr="00B73692">
        <w:t xml:space="preserve"> after </w:t>
      </w:r>
      <w:r>
        <w:t>UPI</w:t>
      </w:r>
      <w:r w:rsidRPr="00B73692">
        <w:t>.</w:t>
      </w:r>
    </w:p>
    <w:p w:rsidR="006F2E5C" w:rsidRPr="00B73692" w:rsidRDefault="006F2E5C" w:rsidP="006F2E5C">
      <w:r w:rsidRPr="00B73692">
        <w:t>The primary efficacy outcome measure was the rate of post</w:t>
      </w:r>
      <w:r>
        <w:t xml:space="preserve"> </w:t>
      </w:r>
      <w:r w:rsidRPr="00B73692">
        <w:t>treatment pregnancy.</w:t>
      </w:r>
      <w:r>
        <w:t xml:space="preserve"> </w:t>
      </w:r>
      <w:r w:rsidRPr="00B73692">
        <w:t xml:space="preserve">The secondary efficacy outcome measures were: the incidence of pregnancy in an efficacy evaluable population, the tolerability of </w:t>
      </w:r>
      <w:proofErr w:type="spellStart"/>
      <w:r w:rsidRPr="00B73692">
        <w:t>ulipristal</w:t>
      </w:r>
      <w:proofErr w:type="spellEnd"/>
      <w:r w:rsidRPr="00B73692">
        <w:t xml:space="preserve"> (as measured by the incidence of nausea and vomiting), and the effects of </w:t>
      </w:r>
      <w:proofErr w:type="spellStart"/>
      <w:r w:rsidRPr="00B73692">
        <w:t>ulipristal</w:t>
      </w:r>
      <w:proofErr w:type="spellEnd"/>
      <w:r w:rsidRPr="00B73692">
        <w:t xml:space="preserve"> on the menstrual cycle.</w:t>
      </w:r>
      <w:r>
        <w:t xml:space="preserve"> </w:t>
      </w:r>
      <w:r w:rsidRPr="00B73692">
        <w:t xml:space="preserve">The </w:t>
      </w:r>
      <w:r>
        <w:t>safety outcome measures were adverse events (AEs)</w:t>
      </w:r>
      <w:r w:rsidRPr="00B73692">
        <w:t xml:space="preserve"> and symptom diary.</w:t>
      </w:r>
    </w:p>
    <w:p w:rsidR="006F2E5C" w:rsidRPr="00B73692" w:rsidRDefault="006F2E5C" w:rsidP="006F2E5C">
      <w:r w:rsidRPr="00B73692">
        <w:t xml:space="preserve">A total of 1672 subjects were randomised: 832 to </w:t>
      </w:r>
      <w:proofErr w:type="spellStart"/>
      <w:r w:rsidRPr="00B73692">
        <w:t>ulipristal</w:t>
      </w:r>
      <w:proofErr w:type="spellEnd"/>
      <w:r w:rsidRPr="00B73692">
        <w:t xml:space="preserve"> and 840 to </w:t>
      </w:r>
      <w:proofErr w:type="spellStart"/>
      <w:r w:rsidRPr="00B73692">
        <w:t>levonorgestrel</w:t>
      </w:r>
      <w:proofErr w:type="spellEnd"/>
      <w:r w:rsidRPr="00B73692">
        <w:t>.</w:t>
      </w:r>
      <w:r>
        <w:t xml:space="preserve"> </w:t>
      </w:r>
      <w:r w:rsidRPr="00B73692">
        <w:t xml:space="preserve">There were 792 subjects in the </w:t>
      </w:r>
      <w:proofErr w:type="spellStart"/>
      <w:r w:rsidRPr="00B73692">
        <w:t>ulipristal</w:t>
      </w:r>
      <w:proofErr w:type="spellEnd"/>
      <w:r w:rsidRPr="00B73692">
        <w:t xml:space="preserve"> group and 786 in the </w:t>
      </w:r>
      <w:proofErr w:type="spellStart"/>
      <w:r w:rsidRPr="00B73692">
        <w:t>levonorgestrel</w:t>
      </w:r>
      <w:proofErr w:type="spellEnd"/>
      <w:r w:rsidRPr="00B73692">
        <w:t xml:space="preserve"> that completed the study.</w:t>
      </w:r>
      <w:r>
        <w:t xml:space="preserve"> </w:t>
      </w:r>
      <w:r w:rsidRPr="00B73692">
        <w:t xml:space="preserve">The mean (SD) age was 24.4 (5.77) in the </w:t>
      </w:r>
      <w:proofErr w:type="spellStart"/>
      <w:r w:rsidRPr="00B73692">
        <w:t>ulipristal</w:t>
      </w:r>
      <w:proofErr w:type="spellEnd"/>
      <w:r w:rsidRPr="00B73692">
        <w:t xml:space="preserve"> group and 24.2 (5.59) in the </w:t>
      </w:r>
      <w:proofErr w:type="spellStart"/>
      <w:r w:rsidRPr="00B73692">
        <w:t>levonorgestrel</w:t>
      </w:r>
      <w:proofErr w:type="spellEnd"/>
      <w:r w:rsidRPr="00B73692">
        <w:t>.</w:t>
      </w:r>
      <w:r>
        <w:t xml:space="preserve"> </w:t>
      </w:r>
      <w:r w:rsidRPr="00B73692">
        <w:t>The treatment groups were similar in demograph</w:t>
      </w:r>
      <w:r>
        <w:t>ic characteristics</w:t>
      </w:r>
      <w:r w:rsidRPr="00B73692">
        <w:t>.</w:t>
      </w:r>
      <w:r>
        <w:t xml:space="preserve"> </w:t>
      </w:r>
      <w:r w:rsidRPr="00B73692">
        <w:t>The medical and gynaecological histories were similar for the two treatment groups.</w:t>
      </w:r>
    </w:p>
    <w:p w:rsidR="006F2E5C" w:rsidRPr="00B73692" w:rsidRDefault="006F2E5C" w:rsidP="006F2E5C">
      <w:r w:rsidRPr="00B73692">
        <w:t xml:space="preserve">There were 12 pregnancies in the </w:t>
      </w:r>
      <w:proofErr w:type="spellStart"/>
      <w:r w:rsidRPr="00B73692">
        <w:t>ulipristal</w:t>
      </w:r>
      <w:proofErr w:type="spellEnd"/>
      <w:r w:rsidRPr="00B73692">
        <w:t xml:space="preserve"> group and 14 in the </w:t>
      </w:r>
      <w:proofErr w:type="spellStart"/>
      <w:r w:rsidRPr="00B73692">
        <w:t>levonorgestrel</w:t>
      </w:r>
      <w:proofErr w:type="spellEnd"/>
      <w:r w:rsidRPr="00B73692">
        <w:t>.</w:t>
      </w:r>
      <w:r>
        <w:t xml:space="preserve"> </w:t>
      </w:r>
      <w:r w:rsidRPr="00B73692">
        <w:t>The pregnancy rate (95% C</w:t>
      </w:r>
      <w:r>
        <w:t>onfidence Interval [CI])</w:t>
      </w:r>
      <w:r w:rsidRPr="00B73692">
        <w:t xml:space="preserve"> was 1.52 (0.785 to 2.632) % in the </w:t>
      </w:r>
      <w:proofErr w:type="spellStart"/>
      <w:r w:rsidRPr="00B73692">
        <w:t>ulipristal</w:t>
      </w:r>
      <w:proofErr w:type="spellEnd"/>
      <w:r w:rsidRPr="00B73692">
        <w:t xml:space="preserve"> group and 1.78 (0.977 to 2.970) % in the </w:t>
      </w:r>
      <w:proofErr w:type="spellStart"/>
      <w:r w:rsidRPr="00B73692">
        <w:t>levonorgestrel</w:t>
      </w:r>
      <w:proofErr w:type="spellEnd"/>
      <w:r w:rsidRPr="00B73692">
        <w:t>.</w:t>
      </w:r>
      <w:r>
        <w:t xml:space="preserve"> </w:t>
      </w:r>
      <w:r w:rsidRPr="00B73692">
        <w:t xml:space="preserve">The mean (95% CI) difference in pregnancy rates, </w:t>
      </w:r>
      <w:proofErr w:type="spellStart"/>
      <w:r w:rsidRPr="00B73692">
        <w:t>ulipristal</w:t>
      </w:r>
      <w:proofErr w:type="spellEnd"/>
      <w:r w:rsidRPr="00B73692">
        <w:t xml:space="preserve"> – </w:t>
      </w:r>
      <w:proofErr w:type="spellStart"/>
      <w:r w:rsidRPr="00B73692">
        <w:t>levonorgest</w:t>
      </w:r>
      <w:r>
        <w:t>rel</w:t>
      </w:r>
      <w:proofErr w:type="spellEnd"/>
      <w:r>
        <w:t xml:space="preserve"> was -0.27 (-1.992 to 1.420) </w:t>
      </w:r>
      <w:r w:rsidRPr="00B73692">
        <w:t>%.</w:t>
      </w:r>
    </w:p>
    <w:p w:rsidR="006F2E5C" w:rsidRPr="00B73692" w:rsidRDefault="006F2E5C" w:rsidP="006F2E5C">
      <w:r w:rsidRPr="00B73692">
        <w:t>In the efficacy evaluable population</w:t>
      </w:r>
      <w:r>
        <w:t>,</w:t>
      </w:r>
      <w:r w:rsidRPr="00B73692">
        <w:t xml:space="preserve"> there were seven post treatment pregnancies in the </w:t>
      </w:r>
      <w:proofErr w:type="spellStart"/>
      <w:r w:rsidRPr="00B73692">
        <w:t>ulipristal</w:t>
      </w:r>
      <w:proofErr w:type="spellEnd"/>
      <w:r w:rsidRPr="00B73692">
        <w:t xml:space="preserve"> group and 13 in the </w:t>
      </w:r>
      <w:proofErr w:type="spellStart"/>
      <w:r w:rsidRPr="00B73692">
        <w:t>levonorgestrel</w:t>
      </w:r>
      <w:proofErr w:type="spellEnd"/>
      <w:r w:rsidRPr="00B73692">
        <w:t>.</w:t>
      </w:r>
      <w:r>
        <w:t xml:space="preserve"> </w:t>
      </w:r>
      <w:r w:rsidRPr="00B73692">
        <w:t xml:space="preserve">The post treatment pregnancy rate (95% CI) was 0.91 (0.365 to 1.857) % in the </w:t>
      </w:r>
      <w:proofErr w:type="spellStart"/>
      <w:r w:rsidRPr="00B73692">
        <w:t>ulipristal</w:t>
      </w:r>
      <w:proofErr w:type="spellEnd"/>
      <w:r w:rsidRPr="00B73692">
        <w:t xml:space="preserve"> group and 1.68 (0.898 to 2.859) % in the </w:t>
      </w:r>
      <w:proofErr w:type="spellStart"/>
      <w:r w:rsidRPr="00B73692">
        <w:lastRenderedPageBreak/>
        <w:t>levonorgestrel</w:t>
      </w:r>
      <w:proofErr w:type="spellEnd"/>
      <w:r w:rsidRPr="00B73692">
        <w:t>.</w:t>
      </w:r>
      <w:r>
        <w:t xml:space="preserve"> </w:t>
      </w:r>
      <w:r w:rsidRPr="00B73692">
        <w:t xml:space="preserve">The mean (95% CI) difference in pregnancy rates, </w:t>
      </w:r>
      <w:proofErr w:type="spellStart"/>
      <w:r w:rsidRPr="00B73692">
        <w:t>ulipristal</w:t>
      </w:r>
      <w:proofErr w:type="spellEnd"/>
      <w:r w:rsidRPr="00B73692">
        <w:t xml:space="preserve"> – </w:t>
      </w:r>
      <w:proofErr w:type="spellStart"/>
      <w:r w:rsidRPr="00B73692">
        <w:t>levonorgest</w:t>
      </w:r>
      <w:r>
        <w:t>rel</w:t>
      </w:r>
      <w:proofErr w:type="spellEnd"/>
      <w:r>
        <w:t xml:space="preserve"> was -0.78 (-2.407 to 0.773) </w:t>
      </w:r>
      <w:r w:rsidRPr="00B73692">
        <w:t>%.</w:t>
      </w:r>
    </w:p>
    <w:p w:rsidR="006F2E5C" w:rsidRPr="000679F6" w:rsidRDefault="006F2E5C" w:rsidP="006F2E5C">
      <w:pPr>
        <w:pStyle w:val="Heading3"/>
      </w:pPr>
      <w:bookmarkStart w:id="125" w:name="_Toc389848878"/>
      <w:bookmarkStart w:id="126" w:name="_Toc430094063"/>
      <w:r w:rsidRPr="000679F6">
        <w:t>Study HRA2914-508</w:t>
      </w:r>
      <w:bookmarkEnd w:id="125"/>
      <w:bookmarkEnd w:id="126"/>
    </w:p>
    <w:p w:rsidR="006F2E5C" w:rsidRPr="006C0036" w:rsidRDefault="006F2E5C" w:rsidP="006F2E5C">
      <w:r>
        <w:t xml:space="preserve">Study HRA2914-508 </w:t>
      </w:r>
      <w:r w:rsidRPr="006C0036">
        <w:t xml:space="preserve">was a multicentre, randomised, active controlled study to assess the efficacy, safety and tolerance of two different doses of </w:t>
      </w:r>
      <w:proofErr w:type="spellStart"/>
      <w:r w:rsidRPr="006C0036">
        <w:t>ulipristal</w:t>
      </w:r>
      <w:proofErr w:type="spellEnd"/>
      <w:r w:rsidRPr="006C0036">
        <w:t xml:space="preserve"> for emerg</w:t>
      </w:r>
      <w:r>
        <w:t>ency contraception</w:t>
      </w:r>
      <w:r w:rsidRPr="006C0036">
        <w:t>.</w:t>
      </w:r>
      <w:r>
        <w:t xml:space="preserve"> </w:t>
      </w:r>
      <w:r w:rsidRPr="006C0036">
        <w:t>The study was conducted at nine sites in the US from August 2001 to November 2003.</w:t>
      </w:r>
    </w:p>
    <w:p w:rsidR="006F2E5C" w:rsidRPr="006C0036" w:rsidRDefault="006F2E5C" w:rsidP="006F2E5C">
      <w:r w:rsidRPr="006C0036">
        <w:t>The inclusion and exclusion criteria were th</w:t>
      </w:r>
      <w:r>
        <w:t>e same as for Study HRA2914-507.</w:t>
      </w:r>
    </w:p>
    <w:p w:rsidR="006F2E5C" w:rsidRPr="006C0036" w:rsidRDefault="006F2E5C" w:rsidP="006F2E5C">
      <w:r w:rsidRPr="006C0036">
        <w:t>The study treatments were:</w:t>
      </w:r>
    </w:p>
    <w:p w:rsidR="006F2E5C" w:rsidRPr="006C0036" w:rsidRDefault="006F2E5C" w:rsidP="007F0527">
      <w:pPr>
        <w:pStyle w:val="Numberbullet0"/>
        <w:numPr>
          <w:ilvl w:val="0"/>
          <w:numId w:val="8"/>
        </w:numPr>
      </w:pPr>
      <w:proofErr w:type="spellStart"/>
      <w:r w:rsidRPr="006C0036">
        <w:t>Ulipristal</w:t>
      </w:r>
      <w:proofErr w:type="spellEnd"/>
      <w:r w:rsidRPr="006C0036">
        <w:t xml:space="preserve"> 50 mg, </w:t>
      </w:r>
      <w:proofErr w:type="spellStart"/>
      <w:r w:rsidRPr="006C0036">
        <w:t>unmicronised</w:t>
      </w:r>
      <w:proofErr w:type="spellEnd"/>
      <w:r w:rsidRPr="006C0036">
        <w:t xml:space="preserve"> in </w:t>
      </w:r>
      <w:proofErr w:type="spellStart"/>
      <w:r w:rsidRPr="006C0036">
        <w:t>gelatin</w:t>
      </w:r>
      <w:proofErr w:type="spellEnd"/>
      <w:r w:rsidRPr="006C0036">
        <w:t xml:space="preserve"> capsule</w:t>
      </w:r>
    </w:p>
    <w:p w:rsidR="006F2E5C" w:rsidRPr="006C0036" w:rsidRDefault="006F2E5C" w:rsidP="007F0527">
      <w:pPr>
        <w:pStyle w:val="Numberbullet0"/>
      </w:pPr>
      <w:proofErr w:type="spellStart"/>
      <w:r w:rsidRPr="006C0036">
        <w:t>Ulipristal</w:t>
      </w:r>
      <w:proofErr w:type="spellEnd"/>
      <w:r w:rsidRPr="006C0036">
        <w:t xml:space="preserve"> 10 mg, </w:t>
      </w:r>
      <w:proofErr w:type="spellStart"/>
      <w:r w:rsidRPr="006C0036">
        <w:t>micronised</w:t>
      </w:r>
      <w:proofErr w:type="spellEnd"/>
      <w:r w:rsidRPr="006C0036">
        <w:t xml:space="preserve"> in </w:t>
      </w:r>
      <w:proofErr w:type="spellStart"/>
      <w:r w:rsidRPr="006C0036">
        <w:t>gelatin</w:t>
      </w:r>
      <w:proofErr w:type="spellEnd"/>
      <w:r w:rsidRPr="006C0036">
        <w:t xml:space="preserve"> capsule</w:t>
      </w:r>
    </w:p>
    <w:p w:rsidR="006F2E5C" w:rsidRPr="006C0036" w:rsidRDefault="006F2E5C" w:rsidP="007F0527">
      <w:pPr>
        <w:pStyle w:val="Numberbullet0"/>
      </w:pPr>
      <w:proofErr w:type="spellStart"/>
      <w:r w:rsidRPr="006C0036">
        <w:t>Ulipristal</w:t>
      </w:r>
      <w:proofErr w:type="spellEnd"/>
      <w:r w:rsidRPr="006C0036">
        <w:t xml:space="preserve"> 10 mg, </w:t>
      </w:r>
      <w:proofErr w:type="spellStart"/>
      <w:r w:rsidRPr="006C0036">
        <w:t>unmicronised</w:t>
      </w:r>
      <w:proofErr w:type="spellEnd"/>
      <w:r w:rsidRPr="006C0036">
        <w:t xml:space="preserve"> in </w:t>
      </w:r>
      <w:proofErr w:type="spellStart"/>
      <w:r w:rsidRPr="006C0036">
        <w:t>gelatin</w:t>
      </w:r>
      <w:proofErr w:type="spellEnd"/>
      <w:r w:rsidRPr="006C0036">
        <w:t xml:space="preserve"> capsule (discontinued arm)</w:t>
      </w:r>
    </w:p>
    <w:p w:rsidR="006F2E5C" w:rsidRPr="006C0036" w:rsidRDefault="006F2E5C" w:rsidP="006F2E5C">
      <w:r w:rsidRPr="006C0036">
        <w:t>The treatments were administered</w:t>
      </w:r>
      <w:r>
        <w:t xml:space="preserve"> as a single dose up to 72 h</w:t>
      </w:r>
      <w:r w:rsidRPr="006C0036">
        <w:t xml:space="preserve"> after </w:t>
      </w:r>
      <w:r>
        <w:t>UPI</w:t>
      </w:r>
      <w:r w:rsidRPr="006C0036">
        <w:t>.</w:t>
      </w:r>
      <w:r>
        <w:t xml:space="preserve"> </w:t>
      </w:r>
      <w:r w:rsidRPr="006C0036">
        <w:t>There was no placebo or other active comparator.</w:t>
      </w:r>
    </w:p>
    <w:p w:rsidR="006F2E5C" w:rsidRPr="006C0036" w:rsidRDefault="006F2E5C" w:rsidP="006F2E5C">
      <w:r w:rsidRPr="006C0036">
        <w:t>The primary efficacy outcome measure was pregnancy.</w:t>
      </w:r>
      <w:r>
        <w:t xml:space="preserve"> </w:t>
      </w:r>
      <w:r w:rsidRPr="006C0036">
        <w:t>Suspected pregnancy was initially detected by a urine pregnancy test, and if this wa</w:t>
      </w:r>
      <w:r>
        <w:t>s positive quantitative serum β-</w:t>
      </w:r>
      <w:proofErr w:type="spellStart"/>
      <w:r w:rsidRPr="006C0036">
        <w:t>hCG</w:t>
      </w:r>
      <w:proofErr w:type="spellEnd"/>
      <w:r w:rsidRPr="006C0036">
        <w:t xml:space="preserve"> </w:t>
      </w:r>
      <w:r>
        <w:t xml:space="preserve">(human chorionic gonadotropin) </w:t>
      </w:r>
      <w:r w:rsidRPr="006C0036">
        <w:t>and ultrasound to determine gestational age.</w:t>
      </w:r>
      <w:r>
        <w:t xml:space="preserve"> </w:t>
      </w:r>
      <w:r w:rsidRPr="006C0036">
        <w:t>Tolerance was measured by comparing the incidence of vomiting and nausea using a daily diary.</w:t>
      </w:r>
      <w:r>
        <w:t xml:space="preserve"> </w:t>
      </w:r>
      <w:r w:rsidRPr="006C0036">
        <w:t>The safety outcome measures were AEs and concomitant medications.</w:t>
      </w:r>
    </w:p>
    <w:p w:rsidR="006F2E5C" w:rsidRPr="006C0036" w:rsidRDefault="006F2E5C" w:rsidP="006F2E5C">
      <w:r w:rsidRPr="006C0036">
        <w:t xml:space="preserve">A total of 1026 subjects were randomised to treatment: 413 to </w:t>
      </w:r>
      <w:proofErr w:type="spellStart"/>
      <w:r w:rsidRPr="006C0036">
        <w:t>unmicronised</w:t>
      </w:r>
      <w:proofErr w:type="spellEnd"/>
      <w:r w:rsidRPr="006C0036">
        <w:t xml:space="preserve"> 50 mg, 399 to </w:t>
      </w:r>
      <w:proofErr w:type="spellStart"/>
      <w:r w:rsidRPr="006C0036">
        <w:t>micronised</w:t>
      </w:r>
      <w:proofErr w:type="spellEnd"/>
      <w:r w:rsidRPr="006C0036">
        <w:t xml:space="preserve"> 10 mg and 214 to </w:t>
      </w:r>
      <w:proofErr w:type="spellStart"/>
      <w:r w:rsidRPr="006C0036">
        <w:t>unmicronised</w:t>
      </w:r>
      <w:proofErr w:type="spellEnd"/>
      <w:r w:rsidRPr="006C0036">
        <w:t xml:space="preserve"> 10 mg.</w:t>
      </w:r>
      <w:r>
        <w:t xml:space="preserve"> </w:t>
      </w:r>
      <w:r w:rsidRPr="006C0036">
        <w:t xml:space="preserve">There were 952 evaluable subjects: 384 in the </w:t>
      </w:r>
      <w:proofErr w:type="spellStart"/>
      <w:r w:rsidRPr="006C0036">
        <w:t>unmicronised</w:t>
      </w:r>
      <w:proofErr w:type="spellEnd"/>
      <w:r w:rsidRPr="006C0036">
        <w:t xml:space="preserve"> 50 mg group, 365 in the </w:t>
      </w:r>
      <w:proofErr w:type="spellStart"/>
      <w:r w:rsidRPr="006C0036">
        <w:t>micronised</w:t>
      </w:r>
      <w:proofErr w:type="spellEnd"/>
      <w:r w:rsidRPr="006C0036">
        <w:t xml:space="preserve"> 10 mg and 203 in the </w:t>
      </w:r>
      <w:proofErr w:type="spellStart"/>
      <w:r w:rsidRPr="006C0036">
        <w:t>u</w:t>
      </w:r>
      <w:r>
        <w:t>nmicronised</w:t>
      </w:r>
      <w:proofErr w:type="spellEnd"/>
      <w:r>
        <w:t xml:space="preserve"> 10 mg</w:t>
      </w:r>
      <w:r w:rsidRPr="006C0036">
        <w:t>.</w:t>
      </w:r>
      <w:r>
        <w:t xml:space="preserve"> </w:t>
      </w:r>
      <w:r w:rsidRPr="006C0036">
        <w:t>The mean (SD) age was 24.4 (5.6) years and the treatment groups were similar in demograph</w:t>
      </w:r>
      <w:r>
        <w:t>ic characteristics</w:t>
      </w:r>
      <w:r w:rsidRPr="006C0036">
        <w:t>.</w:t>
      </w:r>
    </w:p>
    <w:p w:rsidR="006F2E5C" w:rsidRPr="006C0036" w:rsidRDefault="006F2E5C" w:rsidP="006F2E5C">
      <w:r w:rsidRPr="006C0036">
        <w:t xml:space="preserve">There were five pregnancies in the </w:t>
      </w:r>
      <w:proofErr w:type="spellStart"/>
      <w:r w:rsidRPr="006C0036">
        <w:t>ulipristal</w:t>
      </w:r>
      <w:proofErr w:type="spellEnd"/>
      <w:r w:rsidRPr="006C0036">
        <w:t xml:space="preserve"> </w:t>
      </w:r>
      <w:proofErr w:type="spellStart"/>
      <w:r w:rsidRPr="006C0036">
        <w:t>unmicronised</w:t>
      </w:r>
      <w:proofErr w:type="spellEnd"/>
      <w:r w:rsidRPr="006C0036">
        <w:t xml:space="preserve"> 50 mg group and ten in the </w:t>
      </w:r>
      <w:proofErr w:type="spellStart"/>
      <w:r w:rsidRPr="006C0036">
        <w:t>micronised</w:t>
      </w:r>
      <w:proofErr w:type="spellEnd"/>
      <w:r w:rsidRPr="006C0036">
        <w:t xml:space="preserve"> 10 mg group.</w:t>
      </w:r>
      <w:r>
        <w:t xml:space="preserve"> </w:t>
      </w:r>
      <w:r w:rsidRPr="006C0036">
        <w:t xml:space="preserve">The pregnancy rate (95% CI) was 1.30 (0.423 to 3.016) % in the </w:t>
      </w:r>
      <w:proofErr w:type="spellStart"/>
      <w:r w:rsidRPr="006C0036">
        <w:t>unmicronised</w:t>
      </w:r>
      <w:proofErr w:type="spellEnd"/>
      <w:r w:rsidRPr="006C0036">
        <w:t xml:space="preserve"> 50 mg group and 2.74 (1.320 to 4.985) % in the </w:t>
      </w:r>
      <w:proofErr w:type="spellStart"/>
      <w:r w:rsidRPr="006C0036">
        <w:t>micronised</w:t>
      </w:r>
      <w:proofErr w:type="spellEnd"/>
      <w:r w:rsidRPr="006C0036">
        <w:t xml:space="preserve"> 10 mg.</w:t>
      </w:r>
      <w:r>
        <w:t xml:space="preserve"> </w:t>
      </w:r>
      <w:r w:rsidRPr="006C0036">
        <w:t>The mean (95% CI) differe</w:t>
      </w:r>
      <w:r>
        <w:t>nce in pregnancy rates, 10-</w:t>
      </w:r>
      <w:r w:rsidRPr="006C0036">
        <w:t>50 mg, was 1.44 (-0.660 to 3.820) %.</w:t>
      </w:r>
      <w:r>
        <w:t xml:space="preserve"> </w:t>
      </w:r>
      <w:r w:rsidRPr="006C0036">
        <w:t xml:space="preserve">The expected number of pregnancies in each of the treatment groups was 21: hence the contraceptive effectiveness was 76.19% for the </w:t>
      </w:r>
      <w:proofErr w:type="spellStart"/>
      <w:r w:rsidRPr="006C0036">
        <w:t>unmicronised</w:t>
      </w:r>
      <w:proofErr w:type="spellEnd"/>
      <w:r w:rsidRPr="006C0036">
        <w:t xml:space="preserve"> 50 mg and 52.38 for the </w:t>
      </w:r>
      <w:proofErr w:type="spellStart"/>
      <w:r w:rsidRPr="006C0036">
        <w:t>micronised</w:t>
      </w:r>
      <w:proofErr w:type="spellEnd"/>
      <w:r w:rsidRPr="006C0036">
        <w:t xml:space="preserve"> 10 mg.</w:t>
      </w:r>
      <w:r>
        <w:t xml:space="preserve"> </w:t>
      </w:r>
      <w:r w:rsidRPr="006C0036">
        <w:t xml:space="preserve">There were </w:t>
      </w:r>
      <w:proofErr w:type="spellStart"/>
      <w:r w:rsidRPr="006C0036">
        <w:t>ten</w:t>
      </w:r>
      <w:proofErr w:type="spellEnd"/>
      <w:r w:rsidRPr="006C0036">
        <w:t xml:space="preserve"> pregnancies in the 203 subjects in the </w:t>
      </w:r>
      <w:proofErr w:type="spellStart"/>
      <w:r w:rsidRPr="006C0036">
        <w:t>unmicronised</w:t>
      </w:r>
      <w:proofErr w:type="spellEnd"/>
      <w:r w:rsidRPr="006C0036">
        <w:t xml:space="preserve"> 10 mg arm (discontinued arm).</w:t>
      </w:r>
    </w:p>
    <w:p w:rsidR="006F2E5C" w:rsidRPr="000679F6" w:rsidRDefault="006F2E5C" w:rsidP="007F0527">
      <w:pPr>
        <w:pStyle w:val="Heading3"/>
      </w:pPr>
      <w:bookmarkStart w:id="127" w:name="_Toc389848879"/>
      <w:bookmarkStart w:id="128" w:name="_Toc430094064"/>
      <w:r w:rsidRPr="007F0527">
        <w:t>Conclusions</w:t>
      </w:r>
      <w:r w:rsidRPr="000679F6">
        <w:t xml:space="preserve"> with regard to the dose</w:t>
      </w:r>
      <w:r>
        <w:t xml:space="preserve"> </w:t>
      </w:r>
      <w:r w:rsidRPr="000679F6">
        <w:t>finding studies</w:t>
      </w:r>
      <w:bookmarkEnd w:id="127"/>
      <w:bookmarkEnd w:id="128"/>
    </w:p>
    <w:p w:rsidR="006F2E5C" w:rsidRPr="006C0036" w:rsidRDefault="006F2E5C" w:rsidP="006F2E5C">
      <w:r w:rsidRPr="006C0036">
        <w:t>Study HRA2914-507 and Study HRA2914-508 were both conducted using dose levels other than that proposed for marketing.</w:t>
      </w:r>
      <w:r>
        <w:t xml:space="preserve"> Up to 72 h after UPI</w:t>
      </w:r>
      <w:r w:rsidRPr="006C0036">
        <w:t xml:space="preserve">, </w:t>
      </w:r>
      <w:proofErr w:type="spellStart"/>
      <w:r w:rsidRPr="006C0036">
        <w:t>ulipristal</w:t>
      </w:r>
      <w:proofErr w:type="spellEnd"/>
      <w:r w:rsidRPr="006C0036">
        <w:t xml:space="preserve"> 50 mg, </w:t>
      </w:r>
      <w:proofErr w:type="spellStart"/>
      <w:r w:rsidRPr="006C0036">
        <w:t>unmicronised</w:t>
      </w:r>
      <w:proofErr w:type="spellEnd"/>
      <w:r w:rsidRPr="006C0036">
        <w:t xml:space="preserve"> in </w:t>
      </w:r>
      <w:proofErr w:type="spellStart"/>
      <w:r w:rsidRPr="006C0036">
        <w:t>gelatin</w:t>
      </w:r>
      <w:proofErr w:type="spellEnd"/>
      <w:r w:rsidRPr="006C0036">
        <w:t xml:space="preserve"> capsules, as a single dose had comparable efficacy to </w:t>
      </w:r>
      <w:proofErr w:type="spellStart"/>
      <w:r w:rsidRPr="006C0036">
        <w:t>levonorgestrel</w:t>
      </w:r>
      <w:proofErr w:type="spellEnd"/>
      <w:r w:rsidRPr="006C0036">
        <w:t xml:space="preserve"> 0.75 mg</w:t>
      </w:r>
      <w:r>
        <w:t>, two doses taken up to 12 h</w:t>
      </w:r>
      <w:r w:rsidRPr="006C0036">
        <w:t xml:space="preserve"> apart.</w:t>
      </w:r>
      <w:r>
        <w:t xml:space="preserve"> </w:t>
      </w:r>
      <w:r w:rsidRPr="006C0036">
        <w:t xml:space="preserve">However, although </w:t>
      </w:r>
      <w:proofErr w:type="spellStart"/>
      <w:r w:rsidRPr="006C0036">
        <w:t>ulipristal</w:t>
      </w:r>
      <w:proofErr w:type="spellEnd"/>
      <w:r w:rsidRPr="006C0036">
        <w:t xml:space="preserve"> 10 mg, </w:t>
      </w:r>
      <w:proofErr w:type="spellStart"/>
      <w:r w:rsidRPr="006C0036">
        <w:t>m</w:t>
      </w:r>
      <w:r w:rsidR="00B733A1">
        <w:t>icronised</w:t>
      </w:r>
      <w:proofErr w:type="spellEnd"/>
      <w:r w:rsidR="00B733A1">
        <w:t>, appeared to have low</w:t>
      </w:r>
      <w:r w:rsidRPr="006C0036">
        <w:t xml:space="preserve">er efficacy than an </w:t>
      </w:r>
      <w:proofErr w:type="spellStart"/>
      <w:r w:rsidRPr="006C0036">
        <w:t>unmicronised</w:t>
      </w:r>
      <w:proofErr w:type="spellEnd"/>
      <w:r w:rsidRPr="006C0036">
        <w:t xml:space="preserve"> 50 mg dose, both were considered to be at least 50% effective.</w:t>
      </w:r>
      <w:r>
        <w:t xml:space="preserve"> </w:t>
      </w:r>
      <w:r w:rsidRPr="006C0036">
        <w:t xml:space="preserve">Although there was more nausea with the 10 mg </w:t>
      </w:r>
      <w:proofErr w:type="spellStart"/>
      <w:r w:rsidRPr="006C0036">
        <w:t>micronised</w:t>
      </w:r>
      <w:proofErr w:type="spellEnd"/>
      <w:r w:rsidRPr="006C0036">
        <w:t xml:space="preserve"> dose, indicating this AE did not appear to be dose related, the </w:t>
      </w:r>
      <w:r>
        <w:t>s</w:t>
      </w:r>
      <w:r w:rsidRPr="006C0036">
        <w:t>ponsor opted for a dose lower than the 50 mg level in further development.</w:t>
      </w:r>
    </w:p>
    <w:p w:rsidR="00C22678" w:rsidRDefault="00C22678" w:rsidP="007F0527">
      <w:pPr>
        <w:pStyle w:val="Heading2"/>
      </w:pPr>
      <w:bookmarkStart w:id="129" w:name="_Toc430094065"/>
      <w:r w:rsidRPr="007F0527">
        <w:lastRenderedPageBreak/>
        <w:t>Clinical</w:t>
      </w:r>
      <w:r>
        <w:t xml:space="preserve"> efficacy</w:t>
      </w:r>
      <w:bookmarkEnd w:id="129"/>
    </w:p>
    <w:p w:rsidR="00543A61" w:rsidRPr="0051471D" w:rsidRDefault="00543A61" w:rsidP="007F0527">
      <w:pPr>
        <w:pStyle w:val="Heading3"/>
      </w:pPr>
      <w:bookmarkStart w:id="130" w:name="_Toc389848881"/>
      <w:bookmarkStart w:id="131" w:name="_Toc430094066"/>
      <w:r w:rsidRPr="0051471D">
        <w:t xml:space="preserve">Emergency </w:t>
      </w:r>
      <w:r w:rsidR="003544C1" w:rsidRPr="007F0527">
        <w:t>c</w:t>
      </w:r>
      <w:r w:rsidRPr="007F0527">
        <w:t>ontraception</w:t>
      </w:r>
      <w:bookmarkEnd w:id="130"/>
      <w:bookmarkEnd w:id="131"/>
    </w:p>
    <w:p w:rsidR="00543A61" w:rsidRPr="0051471D" w:rsidRDefault="00543A61" w:rsidP="007F0527">
      <w:pPr>
        <w:pStyle w:val="Heading4"/>
      </w:pPr>
      <w:bookmarkStart w:id="132" w:name="_Ref271037274"/>
      <w:bookmarkStart w:id="133" w:name="_Toc272414652"/>
      <w:bookmarkStart w:id="134" w:name="_Toc290846274"/>
      <w:bookmarkStart w:id="135" w:name="_Toc389848882"/>
      <w:r w:rsidRPr="0051471D">
        <w:t>Pivotal efficacy studies</w:t>
      </w:r>
      <w:bookmarkEnd w:id="132"/>
      <w:bookmarkEnd w:id="133"/>
      <w:bookmarkEnd w:id="134"/>
      <w:bookmarkEnd w:id="135"/>
    </w:p>
    <w:p w:rsidR="00543A61" w:rsidRPr="0051471D" w:rsidRDefault="00543A61" w:rsidP="00917B9A">
      <w:pPr>
        <w:pStyle w:val="Heading5"/>
        <w:rPr>
          <w:color w:val="auto"/>
        </w:rPr>
      </w:pPr>
      <w:bookmarkStart w:id="136" w:name="_Ref271040927"/>
      <w:bookmarkStart w:id="137" w:name="_Ref271040932"/>
      <w:bookmarkStart w:id="138" w:name="_Toc272414653"/>
      <w:bookmarkStart w:id="139" w:name="_Toc290846275"/>
      <w:bookmarkStart w:id="140" w:name="_Toc389848883"/>
      <w:r w:rsidRPr="0051471D">
        <w:t>Study HRA2914-513</w:t>
      </w:r>
      <w:bookmarkEnd w:id="136"/>
      <w:bookmarkEnd w:id="137"/>
      <w:bookmarkEnd w:id="138"/>
      <w:bookmarkEnd w:id="139"/>
      <w:bookmarkEnd w:id="140"/>
    </w:p>
    <w:p w:rsidR="00543A61" w:rsidRPr="0051471D" w:rsidRDefault="00543A61" w:rsidP="00917B9A">
      <w:pPr>
        <w:pStyle w:val="Heading6"/>
      </w:pPr>
      <w:r w:rsidRPr="0051471D">
        <w:t>Study design, objectives, locations and dates</w:t>
      </w:r>
    </w:p>
    <w:p w:rsidR="00543A61" w:rsidRPr="00917B9A" w:rsidRDefault="00917B9A" w:rsidP="00917B9A">
      <w:r w:rsidRPr="00917B9A">
        <w:t xml:space="preserve">Study HRA2914-513 </w:t>
      </w:r>
      <w:r w:rsidR="00543A61" w:rsidRPr="00917B9A">
        <w:t xml:space="preserve">was a multicentre, single blind, randomised, two-arm, </w:t>
      </w:r>
      <w:proofErr w:type="gramStart"/>
      <w:r w:rsidR="00543A61" w:rsidRPr="00917B9A">
        <w:t>comparator</w:t>
      </w:r>
      <w:proofErr w:type="gramEnd"/>
      <w:r w:rsidR="00543A61" w:rsidRPr="00917B9A">
        <w:t xml:space="preserve"> controlled study to evaluate the observed pregnancy rate following </w:t>
      </w:r>
      <w:proofErr w:type="spellStart"/>
      <w:r w:rsidR="00543A61" w:rsidRPr="00917B9A">
        <w:t>ulipristal</w:t>
      </w:r>
      <w:proofErr w:type="spellEnd"/>
      <w:r w:rsidR="00543A61" w:rsidRPr="00917B9A">
        <w:t xml:space="preserve"> 30 mg within 72 hours of unpro</w:t>
      </w:r>
      <w:r w:rsidRPr="00917B9A">
        <w:t>tected intercourse</w:t>
      </w:r>
      <w:r w:rsidR="00543A61" w:rsidRPr="00917B9A">
        <w:t>.</w:t>
      </w:r>
      <w:r w:rsidR="00892FBC">
        <w:t xml:space="preserve"> </w:t>
      </w:r>
      <w:r w:rsidR="00543A61" w:rsidRPr="00917B9A">
        <w:t>The study also investigate efficacy up to 120 hours after UPI.</w:t>
      </w:r>
      <w:r w:rsidR="00892FBC">
        <w:t xml:space="preserve"> </w:t>
      </w:r>
      <w:r w:rsidR="00543A61" w:rsidRPr="00917B9A">
        <w:t>The study was conducted by 17 investigators: 10 in UK/Ireland and 7 in the US from April 2007 to April 2009.</w:t>
      </w:r>
    </w:p>
    <w:p w:rsidR="00543A61" w:rsidRPr="0051471D" w:rsidRDefault="00543A61" w:rsidP="00917B9A">
      <w:pPr>
        <w:pStyle w:val="Heading6"/>
      </w:pPr>
      <w:r w:rsidRPr="0051471D">
        <w:t>Inclusion and exclusion criteria</w:t>
      </w:r>
    </w:p>
    <w:p w:rsidR="00543A61" w:rsidRPr="00917B9A" w:rsidRDefault="00543A61" w:rsidP="00917B9A">
      <w:r w:rsidRPr="00917B9A">
        <w:t>The inclusion criteria included:</w:t>
      </w:r>
    </w:p>
    <w:p w:rsidR="00543A61" w:rsidRPr="00917B9A" w:rsidRDefault="00543A61" w:rsidP="00917B9A">
      <w:pPr>
        <w:pStyle w:val="ListBullet"/>
      </w:pPr>
      <w:r w:rsidRPr="00917B9A">
        <w:t>Women, 16 years of age or older in the UK (except Northern Ireland), 17 years or older in Northern Ireland (UK) and 18 years</w:t>
      </w:r>
      <w:r w:rsidR="007F0527">
        <w:t xml:space="preserve"> or older in Ireland and the US</w:t>
      </w:r>
    </w:p>
    <w:p w:rsidR="00543A61" w:rsidRPr="00917B9A" w:rsidRDefault="00543A61" w:rsidP="00917B9A">
      <w:pPr>
        <w:pStyle w:val="ListBullet"/>
      </w:pPr>
      <w:r w:rsidRPr="00917B9A">
        <w:t>Had regular menstrual cycle (between 24 and 35 days) and intra-individual variations less</w:t>
      </w:r>
      <w:r w:rsidR="007F0527">
        <w:t xml:space="preserve"> than or equal to 5 days</w:t>
      </w:r>
    </w:p>
    <w:p w:rsidR="00543A61" w:rsidRPr="00917B9A" w:rsidRDefault="00543A61" w:rsidP="00917B9A">
      <w:pPr>
        <w:pStyle w:val="ListBullet"/>
      </w:pPr>
      <w:r w:rsidRPr="00917B9A">
        <w:t>EC requested within 120 hours after UPI. UPI was defined by lack of contraceptive use, condom breakage (including condoms lubricated with spermicide) or other barri</w:t>
      </w:r>
      <w:r w:rsidR="007F0527">
        <w:t>er contraceptive method failure</w:t>
      </w:r>
    </w:p>
    <w:p w:rsidR="00543A61" w:rsidRPr="00917B9A" w:rsidRDefault="00543A61" w:rsidP="00917B9A">
      <w:pPr>
        <w:pStyle w:val="ListBullet"/>
      </w:pPr>
      <w:r w:rsidRPr="00917B9A">
        <w:t>No current use of hormonal contraception and at least one complete menstrual cycle (two menses) since hor</w:t>
      </w:r>
      <w:r w:rsidR="007F0527">
        <w:t>monal contraception was stopped</w:t>
      </w:r>
    </w:p>
    <w:p w:rsidR="00543A61" w:rsidRPr="00917B9A" w:rsidRDefault="00543A61" w:rsidP="00917B9A">
      <w:pPr>
        <w:pStyle w:val="ListBullet"/>
      </w:pPr>
      <w:r w:rsidRPr="00917B9A">
        <w:t xml:space="preserve">If there was a recent history of </w:t>
      </w:r>
      <w:proofErr w:type="spellStart"/>
      <w:r w:rsidRPr="00917B9A">
        <w:t>Depo</w:t>
      </w:r>
      <w:proofErr w:type="spellEnd"/>
      <w:r w:rsidRPr="00917B9A">
        <w:t xml:space="preserve"> Provera use, the most recent injection was to be at least 9 months before study entry and followed by at least one comple</w:t>
      </w:r>
      <w:r w:rsidR="007F0527">
        <w:t>te menstrual cycle (two menses)</w:t>
      </w:r>
    </w:p>
    <w:p w:rsidR="00543A61" w:rsidRPr="00917B9A" w:rsidRDefault="00543A61" w:rsidP="00917B9A">
      <w:pPr>
        <w:pStyle w:val="ListBullet"/>
      </w:pPr>
      <w:r w:rsidRPr="00917B9A">
        <w:t>Willing not to use hormonal methods of contr</w:t>
      </w:r>
      <w:r w:rsidR="007F0527">
        <w:t>aception until study completion</w:t>
      </w:r>
    </w:p>
    <w:p w:rsidR="00543A61" w:rsidRPr="00917B9A" w:rsidRDefault="00543A61" w:rsidP="00917B9A">
      <w:pPr>
        <w:pStyle w:val="ListBullet"/>
      </w:pPr>
      <w:r w:rsidRPr="00917B9A">
        <w:t xml:space="preserve">At least one complete menstrual cycle (two menses) </w:t>
      </w:r>
      <w:proofErr w:type="spellStart"/>
      <w:r w:rsidRPr="00917B9A">
        <w:t>post de</w:t>
      </w:r>
      <w:r w:rsidR="007F0527">
        <w:t>livery</w:t>
      </w:r>
      <w:proofErr w:type="spellEnd"/>
      <w:r w:rsidR="007F0527">
        <w:t>, miscarriage or abortion</w:t>
      </w:r>
    </w:p>
    <w:p w:rsidR="00543A61" w:rsidRPr="00917B9A" w:rsidRDefault="00543A61" w:rsidP="00917B9A">
      <w:pPr>
        <w:pStyle w:val="ListBullet"/>
      </w:pPr>
      <w:r w:rsidRPr="00917B9A">
        <w:t>Women who presented more than 72 hours after intercourse, but declined the insertion of an IUD for EC and/or had con</w:t>
      </w:r>
      <w:r w:rsidR="007F0527">
        <w:t>traindications to IUD insertion</w:t>
      </w:r>
    </w:p>
    <w:p w:rsidR="00543A61" w:rsidRPr="00917B9A" w:rsidRDefault="00543A61" w:rsidP="00917B9A">
      <w:pPr>
        <w:pStyle w:val="ListBullet"/>
      </w:pPr>
      <w:r w:rsidRPr="00917B9A">
        <w:t>Willing to abstain from further acts of UPI during participation in the study and until p</w:t>
      </w:r>
      <w:r w:rsidR="007F0527">
        <w:t>regnancy status was ascertained</w:t>
      </w:r>
    </w:p>
    <w:p w:rsidR="00543A61" w:rsidRPr="00917B9A" w:rsidRDefault="00543A61" w:rsidP="00917B9A">
      <w:r w:rsidRPr="00917B9A">
        <w:t>The exclusion criteria included:</w:t>
      </w:r>
    </w:p>
    <w:p w:rsidR="00543A61" w:rsidRPr="00917B9A" w:rsidRDefault="00543A61" w:rsidP="00917B9A">
      <w:pPr>
        <w:pStyle w:val="ListBullet"/>
      </w:pPr>
      <w:r w:rsidRPr="00917B9A">
        <w:t>One or more acts of UPI more than 120 hours before req</w:t>
      </w:r>
      <w:r w:rsidR="007F0527">
        <w:t>uesting EC in the current cycle</w:t>
      </w:r>
    </w:p>
    <w:p w:rsidR="00543A61" w:rsidRPr="00917B9A" w:rsidRDefault="00543A61" w:rsidP="00917B9A">
      <w:pPr>
        <w:pStyle w:val="ListBullet"/>
      </w:pPr>
      <w:r w:rsidRPr="00917B9A">
        <w:t>Currently pregnant as confirmed by positive HSUP test performed</w:t>
      </w:r>
      <w:r w:rsidR="007F0527">
        <w:t xml:space="preserve"> at Screening (Treatment Visit)</w:t>
      </w:r>
    </w:p>
    <w:p w:rsidR="00543A61" w:rsidRPr="00917B9A" w:rsidRDefault="007F0527" w:rsidP="00917B9A">
      <w:pPr>
        <w:pStyle w:val="ListBullet"/>
      </w:pPr>
      <w:r>
        <w:t>Currently breast-feeding</w:t>
      </w:r>
    </w:p>
    <w:p w:rsidR="00543A61" w:rsidRPr="00917B9A" w:rsidRDefault="00543A61" w:rsidP="00917B9A">
      <w:pPr>
        <w:pStyle w:val="ListBullet"/>
      </w:pPr>
      <w:r w:rsidRPr="00917B9A">
        <w:t>Curren</w:t>
      </w:r>
      <w:r w:rsidR="007F0527">
        <w:t>t use of hormonal contraception</w:t>
      </w:r>
    </w:p>
    <w:p w:rsidR="00543A61" w:rsidRPr="00917B9A" w:rsidRDefault="00543A61" w:rsidP="00917B9A">
      <w:pPr>
        <w:pStyle w:val="ListBullet"/>
      </w:pPr>
      <w:r w:rsidRPr="00917B9A">
        <w:t>Use of hormonal</w:t>
      </w:r>
      <w:r w:rsidR="007F0527">
        <w:t xml:space="preserve"> EC since last menstrual period</w:t>
      </w:r>
    </w:p>
    <w:p w:rsidR="00543A61" w:rsidRPr="00917B9A" w:rsidRDefault="007F0527" w:rsidP="00917B9A">
      <w:pPr>
        <w:pStyle w:val="ListBullet"/>
      </w:pPr>
      <w:r>
        <w:t>Current use of IUD</w:t>
      </w:r>
    </w:p>
    <w:p w:rsidR="00543A61" w:rsidRPr="00917B9A" w:rsidRDefault="007F0527" w:rsidP="00917B9A">
      <w:pPr>
        <w:pStyle w:val="ListBullet"/>
      </w:pPr>
      <w:r>
        <w:t>Tubal ligation</w:t>
      </w:r>
    </w:p>
    <w:p w:rsidR="00543A61" w:rsidRPr="00917B9A" w:rsidRDefault="007F0527" w:rsidP="00917B9A">
      <w:pPr>
        <w:pStyle w:val="ListBullet"/>
      </w:pPr>
      <w:r>
        <w:lastRenderedPageBreak/>
        <w:t>Partner with a vasectomy</w:t>
      </w:r>
    </w:p>
    <w:p w:rsidR="00543A61" w:rsidRPr="00917B9A" w:rsidRDefault="00543A61" w:rsidP="00917B9A">
      <w:pPr>
        <w:pStyle w:val="ListBullet"/>
      </w:pPr>
      <w:r w:rsidRPr="00917B9A">
        <w:t>Unsure about the da</w:t>
      </w:r>
      <w:r w:rsidR="007F0527">
        <w:t>te of the last menstrual period</w:t>
      </w:r>
    </w:p>
    <w:p w:rsidR="00543A61" w:rsidRPr="00917B9A" w:rsidRDefault="00543A61" w:rsidP="007F0527">
      <w:pPr>
        <w:pStyle w:val="ListBullet"/>
      </w:pPr>
      <w:r w:rsidRPr="00917B9A">
        <w:t>Severe asthma insufficiently co</w:t>
      </w:r>
      <w:r w:rsidR="007F0527">
        <w:t>ntrolled by oral glucocorticoid</w:t>
      </w:r>
    </w:p>
    <w:p w:rsidR="00543A61" w:rsidRPr="00917B9A" w:rsidRDefault="00543A61" w:rsidP="00917B9A">
      <w:pPr>
        <w:pStyle w:val="ListBullet"/>
      </w:pPr>
      <w:r w:rsidRPr="00917B9A">
        <w:t>Currently enrolled in any other trial</w:t>
      </w:r>
      <w:r w:rsidR="007F0527">
        <w:t xml:space="preserve"> of an investigational medicine</w:t>
      </w:r>
    </w:p>
    <w:p w:rsidR="00543A61" w:rsidRPr="00917B9A" w:rsidRDefault="00543A61" w:rsidP="00917B9A">
      <w:pPr>
        <w:pStyle w:val="ListBullet"/>
      </w:pPr>
      <w:r w:rsidRPr="00917B9A">
        <w:t xml:space="preserve">Hypersensitivity to the active substance </w:t>
      </w:r>
      <w:proofErr w:type="spellStart"/>
      <w:r w:rsidRPr="00917B9A">
        <w:t>levonorgestrel</w:t>
      </w:r>
      <w:proofErr w:type="spellEnd"/>
      <w:r w:rsidRPr="00917B9A">
        <w:t xml:space="preserve"> or any of the excipients of the </w:t>
      </w:r>
      <w:r w:rsidR="007F0527">
        <w:t>drug products used in the study</w:t>
      </w:r>
    </w:p>
    <w:p w:rsidR="00543A61" w:rsidRPr="0051471D" w:rsidRDefault="00543A61" w:rsidP="007F0527">
      <w:pPr>
        <w:pStyle w:val="Heading6"/>
      </w:pPr>
      <w:r w:rsidRPr="0051471D">
        <w:t xml:space="preserve">Study </w:t>
      </w:r>
      <w:r w:rsidRPr="007F0527">
        <w:t>treatments</w:t>
      </w:r>
    </w:p>
    <w:p w:rsidR="00543A61" w:rsidRPr="00917B9A" w:rsidRDefault="00543A61" w:rsidP="007F0527">
      <w:pPr>
        <w:pStyle w:val="Numberbullet0"/>
        <w:numPr>
          <w:ilvl w:val="0"/>
          <w:numId w:val="9"/>
        </w:numPr>
      </w:pPr>
      <w:proofErr w:type="spellStart"/>
      <w:r w:rsidRPr="00917B9A">
        <w:t>Ulipristal</w:t>
      </w:r>
      <w:proofErr w:type="spellEnd"/>
      <w:r w:rsidRPr="00917B9A">
        <w:t xml:space="preserve"> acetate 30 mg tablet</w:t>
      </w:r>
    </w:p>
    <w:p w:rsidR="00543A61" w:rsidRPr="00917B9A" w:rsidRDefault="00543A61" w:rsidP="007F0527">
      <w:pPr>
        <w:pStyle w:val="Numberbullet0"/>
      </w:pPr>
      <w:proofErr w:type="spellStart"/>
      <w:r w:rsidRPr="00917B9A">
        <w:t>Levonorgestrel</w:t>
      </w:r>
      <w:proofErr w:type="spellEnd"/>
      <w:r w:rsidRPr="00917B9A">
        <w:t xml:space="preserve"> 1.5 mg tablet</w:t>
      </w:r>
    </w:p>
    <w:p w:rsidR="00543A61" w:rsidRPr="00917B9A" w:rsidRDefault="00543A61" w:rsidP="00917B9A">
      <w:r w:rsidRPr="00917B9A">
        <w:t>Treatments were administered as a single dose within 120 hours of unprotected intercourse.</w:t>
      </w:r>
    </w:p>
    <w:p w:rsidR="00543A61" w:rsidRPr="0051471D" w:rsidRDefault="00543A61" w:rsidP="00917B9A">
      <w:pPr>
        <w:pStyle w:val="Heading6"/>
      </w:pPr>
      <w:r w:rsidRPr="0051471D">
        <w:t>Efficacy variables and outcomes</w:t>
      </w:r>
    </w:p>
    <w:p w:rsidR="00543A61" w:rsidRPr="00917B9A" w:rsidRDefault="00543A61" w:rsidP="00917B9A">
      <w:r w:rsidRPr="00917B9A">
        <w:t xml:space="preserve">The primary efficacy outcome measure was the pregnancy rate when </w:t>
      </w:r>
      <w:proofErr w:type="spellStart"/>
      <w:r w:rsidRPr="00917B9A">
        <w:t>ulipristal</w:t>
      </w:r>
      <w:proofErr w:type="spellEnd"/>
      <w:r w:rsidRPr="00917B9A">
        <w:t xml:space="preserve"> 30 mg is administered within 72 hours of UPI is statistically significantly lower than the estimated expected pregnancy rate in the absence of EC.</w:t>
      </w:r>
      <w:r w:rsidR="00892FBC">
        <w:t xml:space="preserve"> </w:t>
      </w:r>
      <w:r w:rsidRPr="00917B9A">
        <w:t>The secondary efficacy outcome measures were:</w:t>
      </w:r>
    </w:p>
    <w:p w:rsidR="00543A61" w:rsidRPr="00917B9A" w:rsidRDefault="00543A61" w:rsidP="00917B9A">
      <w:pPr>
        <w:pStyle w:val="ListBullet"/>
      </w:pPr>
      <w:r w:rsidRPr="00917B9A">
        <w:t xml:space="preserve">The pregnancy rate when </w:t>
      </w:r>
      <w:proofErr w:type="spellStart"/>
      <w:r w:rsidRPr="00917B9A">
        <w:t>ulipristal</w:t>
      </w:r>
      <w:proofErr w:type="spellEnd"/>
      <w:r w:rsidRPr="00917B9A">
        <w:t xml:space="preserve"> 30 mg is admin</w:t>
      </w:r>
      <w:r w:rsidR="007F0527">
        <w:t>istered within 120 hours of UPI</w:t>
      </w:r>
    </w:p>
    <w:p w:rsidR="00543A61" w:rsidRPr="00917B9A" w:rsidRDefault="00543A61" w:rsidP="00917B9A">
      <w:pPr>
        <w:pStyle w:val="ListBullet"/>
      </w:pPr>
      <w:r w:rsidRPr="00917B9A">
        <w:t xml:space="preserve">The pregnancy rate when </w:t>
      </w:r>
      <w:proofErr w:type="spellStart"/>
      <w:r w:rsidRPr="00917B9A">
        <w:t>ulipristal</w:t>
      </w:r>
      <w:proofErr w:type="spellEnd"/>
      <w:r w:rsidRPr="00917B9A">
        <w:t xml:space="preserve"> 30 mg is administered within 72 hours of UPI in comparison with the 4% rate considered as the</w:t>
      </w:r>
      <w:r w:rsidR="007F0527">
        <w:t xml:space="preserve"> clinical irrelevance threshold</w:t>
      </w:r>
    </w:p>
    <w:p w:rsidR="00543A61" w:rsidRPr="00917B9A" w:rsidRDefault="00543A61" w:rsidP="00917B9A">
      <w:pPr>
        <w:pStyle w:val="ListBullet"/>
      </w:pPr>
      <w:r w:rsidRPr="00917B9A">
        <w:t xml:space="preserve">The pregnancy rate when </w:t>
      </w:r>
      <w:proofErr w:type="spellStart"/>
      <w:r w:rsidRPr="00917B9A">
        <w:t>ulipristal</w:t>
      </w:r>
      <w:proofErr w:type="spellEnd"/>
      <w:r w:rsidRPr="00917B9A">
        <w:t xml:space="preserve"> 30 mg is administered within 120 hours of UPI in comparison with the 4% rate considered as the clinical irrelevance threshold</w:t>
      </w:r>
    </w:p>
    <w:p w:rsidR="00543A61" w:rsidRPr="00917B9A" w:rsidRDefault="00543A61" w:rsidP="00917B9A">
      <w:pPr>
        <w:pStyle w:val="ListBullet"/>
      </w:pPr>
      <w:r w:rsidRPr="00917B9A">
        <w:t xml:space="preserve">Test of non-inferiority for </w:t>
      </w:r>
      <w:proofErr w:type="spellStart"/>
      <w:r w:rsidRPr="00917B9A">
        <w:t>ulipristal</w:t>
      </w:r>
      <w:proofErr w:type="spellEnd"/>
      <w:r w:rsidRPr="00917B9A">
        <w:t xml:space="preserve"> 30 mg in comparison with </w:t>
      </w:r>
      <w:proofErr w:type="spellStart"/>
      <w:r w:rsidRPr="00917B9A">
        <w:t>levonorgestrel</w:t>
      </w:r>
      <w:proofErr w:type="spellEnd"/>
      <w:r w:rsidRPr="00917B9A">
        <w:t xml:space="preserve"> 1.5 mg as emergency contraception within 72 hours of UPI</w:t>
      </w:r>
    </w:p>
    <w:p w:rsidR="00543A61" w:rsidRPr="00917B9A" w:rsidRDefault="00543A61" w:rsidP="00917B9A">
      <w:pPr>
        <w:pStyle w:val="ListBullet"/>
      </w:pPr>
      <w:r w:rsidRPr="00917B9A">
        <w:t xml:space="preserve">Test of non-inferiority for </w:t>
      </w:r>
      <w:proofErr w:type="spellStart"/>
      <w:r w:rsidRPr="00917B9A">
        <w:t>ulipristal</w:t>
      </w:r>
      <w:proofErr w:type="spellEnd"/>
      <w:r w:rsidRPr="00917B9A">
        <w:t xml:space="preserve"> 30 mg in comparison with </w:t>
      </w:r>
      <w:proofErr w:type="spellStart"/>
      <w:r w:rsidRPr="00917B9A">
        <w:t>levonorgestrel</w:t>
      </w:r>
      <w:proofErr w:type="spellEnd"/>
      <w:r w:rsidRPr="00917B9A">
        <w:t xml:space="preserve"> 1.5 mg as emergency contraception within 120 hours of UPI</w:t>
      </w:r>
    </w:p>
    <w:p w:rsidR="00543A61" w:rsidRPr="00917B9A" w:rsidRDefault="00543A61" w:rsidP="00917B9A">
      <w:pPr>
        <w:pStyle w:val="ListBullet"/>
      </w:pPr>
      <w:r w:rsidRPr="00917B9A">
        <w:t>Trend in pregnancy ra</w:t>
      </w:r>
      <w:r w:rsidR="007F0527">
        <w:t>tes over time since intercourse</w:t>
      </w:r>
    </w:p>
    <w:p w:rsidR="00543A61" w:rsidRPr="00917B9A" w:rsidRDefault="00543A61" w:rsidP="00917B9A">
      <w:pPr>
        <w:pStyle w:val="ListBullet"/>
      </w:pPr>
      <w:r w:rsidRPr="00917B9A">
        <w:t>Contraceptive effectiveness (prevented fra</w:t>
      </w:r>
      <w:r w:rsidR="007F0527">
        <w:t>ction) between treatment groups</w:t>
      </w:r>
    </w:p>
    <w:p w:rsidR="00543A61" w:rsidRPr="00917B9A" w:rsidRDefault="00543A61" w:rsidP="00917B9A">
      <w:pPr>
        <w:pStyle w:val="ListBullet"/>
      </w:pPr>
      <w:r w:rsidRPr="00917B9A">
        <w:t xml:space="preserve">Effect of </w:t>
      </w:r>
      <w:proofErr w:type="spellStart"/>
      <w:r w:rsidRPr="00917B9A">
        <w:t>ulipristal</w:t>
      </w:r>
      <w:proofErr w:type="spellEnd"/>
      <w:r w:rsidRPr="00917B9A">
        <w:t xml:space="preserve"> 30 mg on the menstrual cycle compared to </w:t>
      </w:r>
      <w:proofErr w:type="spellStart"/>
      <w:r w:rsidRPr="00917B9A">
        <w:t>levonorgestrel</w:t>
      </w:r>
      <w:proofErr w:type="spellEnd"/>
      <w:r w:rsidRPr="00917B9A">
        <w:t xml:space="preserve"> 1.5 mg</w:t>
      </w:r>
    </w:p>
    <w:p w:rsidR="00543A61" w:rsidRPr="00917B9A" w:rsidRDefault="00543A61" w:rsidP="00917B9A">
      <w:r w:rsidRPr="00917B9A">
        <w:t>The safety outcome measure was AEs.</w:t>
      </w:r>
    </w:p>
    <w:p w:rsidR="00543A61" w:rsidRPr="00917B9A" w:rsidRDefault="00543A61" w:rsidP="007F0527">
      <w:r w:rsidRPr="00917B9A">
        <w:t>The number of expected pregnancies was determined based on conception probabilities by cycle day of intercourse (</w:t>
      </w:r>
      <w:proofErr w:type="spellStart"/>
      <w:r w:rsidRPr="00917B9A">
        <w:t>Trussell</w:t>
      </w:r>
      <w:proofErr w:type="spellEnd"/>
      <w:r w:rsidRPr="00917B9A">
        <w:t xml:space="preserve"> et al. 1998). The expected pregnancy rate was determined to be 8%, and a halving of this rate (a reduction of 4%) was consider</w:t>
      </w:r>
      <w:r w:rsidR="007F0527">
        <w:t>ed to be clinically meaningful.</w:t>
      </w:r>
    </w:p>
    <w:p w:rsidR="00543A61" w:rsidRPr="0051471D" w:rsidRDefault="00543A61" w:rsidP="00917B9A">
      <w:pPr>
        <w:pStyle w:val="Heading6"/>
      </w:pPr>
      <w:r w:rsidRPr="0051471D">
        <w:t>Randomisation and blinding methods</w:t>
      </w:r>
    </w:p>
    <w:p w:rsidR="00543A61" w:rsidRPr="00917B9A" w:rsidRDefault="00543A61" w:rsidP="00917B9A">
      <w:r w:rsidRPr="00917B9A">
        <w:t>Subjects were block randomised, stratified by study centre.</w:t>
      </w:r>
    </w:p>
    <w:p w:rsidR="00543A61" w:rsidRPr="0051471D" w:rsidRDefault="00543A61" w:rsidP="00917B9A">
      <w:pPr>
        <w:pStyle w:val="Heading6"/>
      </w:pPr>
      <w:r w:rsidRPr="0051471D">
        <w:t>Analysis populations</w:t>
      </w:r>
    </w:p>
    <w:p w:rsidR="00543A61" w:rsidRPr="00917B9A" w:rsidRDefault="00543A61" w:rsidP="00917B9A">
      <w:r w:rsidRPr="00917B9A">
        <w:t>The efficacy analysis was performed for the modified intention to treat (</w:t>
      </w:r>
      <w:proofErr w:type="spellStart"/>
      <w:r w:rsidRPr="00917B9A">
        <w:t>mITT</w:t>
      </w:r>
      <w:proofErr w:type="spellEnd"/>
      <w:r w:rsidRPr="00917B9A">
        <w:t>) population.</w:t>
      </w:r>
      <w:r w:rsidR="00892FBC">
        <w:t xml:space="preserve"> </w:t>
      </w:r>
      <w:r w:rsidRPr="00917B9A">
        <w:t xml:space="preserve">The </w:t>
      </w:r>
      <w:proofErr w:type="spellStart"/>
      <w:r w:rsidRPr="00917B9A">
        <w:t>mITT</w:t>
      </w:r>
      <w:proofErr w:type="spellEnd"/>
      <w:r w:rsidRPr="00917B9A">
        <w:t xml:space="preserve"> population included all subjects:</w:t>
      </w:r>
    </w:p>
    <w:p w:rsidR="00543A61" w:rsidRPr="00917B9A" w:rsidRDefault="00543A61" w:rsidP="00917B9A">
      <w:pPr>
        <w:pStyle w:val="ListBullet"/>
      </w:pPr>
      <w:r w:rsidRPr="00917B9A">
        <w:t>Ran</w:t>
      </w:r>
      <w:r w:rsidR="007F0527">
        <w:t>domized and received study drug</w:t>
      </w:r>
    </w:p>
    <w:p w:rsidR="00543A61" w:rsidRPr="00917B9A" w:rsidRDefault="00543A61" w:rsidP="00917B9A">
      <w:pPr>
        <w:pStyle w:val="ListBullet"/>
      </w:pPr>
      <w:r w:rsidRPr="00917B9A">
        <w:t xml:space="preserve">Had at least one UPI in the </w:t>
      </w:r>
      <w:r w:rsidR="007F0527">
        <w:t>current cycle before enrolment</w:t>
      </w:r>
    </w:p>
    <w:p w:rsidR="00543A61" w:rsidRPr="00917B9A" w:rsidRDefault="00543A61" w:rsidP="00917B9A">
      <w:pPr>
        <w:pStyle w:val="ListBullet"/>
      </w:pPr>
      <w:r w:rsidRPr="00917B9A">
        <w:t xml:space="preserve">Participated for the </w:t>
      </w:r>
      <w:r w:rsidR="007F0527">
        <w:t>first time in the current study</w:t>
      </w:r>
    </w:p>
    <w:p w:rsidR="00543A61" w:rsidRPr="00917B9A" w:rsidRDefault="00543A61" w:rsidP="00917B9A">
      <w:pPr>
        <w:pStyle w:val="ListBullet"/>
      </w:pPr>
      <w:r w:rsidRPr="00917B9A">
        <w:lastRenderedPageBreak/>
        <w:t>Known pregnancy status using high sensitivity urinary pregnancy (HSUP) test after EC intake (not lost-to-follo</w:t>
      </w:r>
      <w:r w:rsidR="004A436A">
        <w:t>w-up at follow-up Visits 1 &amp; 2)</w:t>
      </w:r>
    </w:p>
    <w:p w:rsidR="00543A61" w:rsidRPr="00917B9A" w:rsidRDefault="004A436A" w:rsidP="00917B9A">
      <w:pPr>
        <w:pStyle w:val="ListBullet"/>
      </w:pPr>
      <w:r>
        <w:t>35 years of age or younger</w:t>
      </w:r>
    </w:p>
    <w:p w:rsidR="00543A61" w:rsidRPr="00917B9A" w:rsidRDefault="00543A61" w:rsidP="00917B9A">
      <w:pPr>
        <w:pStyle w:val="ListBullet"/>
      </w:pPr>
      <w:r w:rsidRPr="00917B9A">
        <w:t>If pregnant, pregnancy not identified as started before EC intake (as measured by pre-treatment serum β-</w:t>
      </w:r>
      <w:proofErr w:type="spellStart"/>
      <w:r w:rsidRPr="00917B9A">
        <w:t>hCG</w:t>
      </w:r>
      <w:proofErr w:type="spellEnd"/>
      <w:r w:rsidRPr="00917B9A">
        <w:t xml:space="preserve"> level and gestational age confirmed by </w:t>
      </w:r>
      <w:proofErr w:type="spellStart"/>
      <w:r w:rsidRPr="00917B9A">
        <w:t>transvaginal</w:t>
      </w:r>
      <w:proofErr w:type="spellEnd"/>
      <w:r w:rsidRPr="00917B9A">
        <w:t xml:space="preserve"> ultrasound) or as “not compatible” with an EC failure, based on independent evaluation as assessed by DSMB</w:t>
      </w:r>
    </w:p>
    <w:p w:rsidR="00543A61" w:rsidRPr="00917B9A" w:rsidRDefault="00543A61" w:rsidP="00917B9A">
      <w:r w:rsidRPr="00917B9A">
        <w:t>The primary efficacy analysis was to be conducted on the first 1200 subjects that completed the study.</w:t>
      </w:r>
    </w:p>
    <w:p w:rsidR="00543A61" w:rsidRPr="0051471D" w:rsidDel="0081373E" w:rsidRDefault="00543A61" w:rsidP="00917B9A">
      <w:pPr>
        <w:pStyle w:val="Heading6"/>
      </w:pPr>
      <w:r w:rsidRPr="0051471D" w:rsidDel="0081373E">
        <w:t>Sample size</w:t>
      </w:r>
    </w:p>
    <w:p w:rsidR="00543A61" w:rsidRPr="00917B9A" w:rsidRDefault="00543A61" w:rsidP="00917B9A">
      <w:r w:rsidRPr="00917B9A">
        <w:t xml:space="preserve">The sample size was estimated in order to reach at least 85% power for both primary and main secondary efficacy analyses: inferiority to clinical irrelevance threshold and the non-inferiority analysis of </w:t>
      </w:r>
      <w:proofErr w:type="spellStart"/>
      <w:r w:rsidRPr="00917B9A">
        <w:t>ulipristal</w:t>
      </w:r>
      <w:proofErr w:type="spellEnd"/>
      <w:r w:rsidRPr="00917B9A">
        <w:t xml:space="preserve"> 30 mg versus </w:t>
      </w:r>
      <w:proofErr w:type="spellStart"/>
      <w:r w:rsidRPr="00917B9A">
        <w:t>levonorgestrel</w:t>
      </w:r>
      <w:proofErr w:type="spellEnd"/>
      <w:r w:rsidRPr="00917B9A">
        <w:t xml:space="preserve"> 1.5 mg as EC within 72 hours of UPI.</w:t>
      </w:r>
    </w:p>
    <w:p w:rsidR="00543A61" w:rsidRPr="00917B9A" w:rsidDel="0081373E" w:rsidRDefault="00543A61" w:rsidP="00917B9A">
      <w:r w:rsidRPr="00917B9A">
        <w:t xml:space="preserve">Based on previous similar clinical trials, pregnancy rates in the </w:t>
      </w:r>
      <w:proofErr w:type="spellStart"/>
      <w:r w:rsidRPr="00917B9A">
        <w:t>ulipristal</w:t>
      </w:r>
      <w:proofErr w:type="spellEnd"/>
      <w:r w:rsidRPr="00917B9A">
        <w:t xml:space="preserve"> and </w:t>
      </w:r>
      <w:proofErr w:type="spellStart"/>
      <w:r w:rsidRPr="00917B9A">
        <w:t>levonorgestrel</w:t>
      </w:r>
      <w:proofErr w:type="spellEnd"/>
      <w:r w:rsidRPr="00917B9A">
        <w:t xml:space="preserve"> group were expected to be 1% and 1.7% respectively.</w:t>
      </w:r>
      <w:r w:rsidR="00892FBC">
        <w:t xml:space="preserve"> </w:t>
      </w:r>
      <w:r w:rsidRPr="00917B9A">
        <w:t xml:space="preserve">In order to demonstrate the non-inferiority of CDB-2914 to </w:t>
      </w:r>
      <w:proofErr w:type="spellStart"/>
      <w:r w:rsidRPr="00917B9A">
        <w:t>levonorgestrel</w:t>
      </w:r>
      <w:proofErr w:type="spellEnd"/>
      <w:r w:rsidRPr="00917B9A">
        <w:t xml:space="preserve"> for subjects within 72 hours of UPI, 827 subjects per treatment group were needed.</w:t>
      </w:r>
      <w:r w:rsidR="00892FBC">
        <w:t xml:space="preserve"> </w:t>
      </w:r>
      <w:r w:rsidRPr="00917B9A">
        <w:t>For this comparison, the non-inferiority margin was set to 1.6 in odds ratio with a type I error rate of 5% (two-sided) and 85% power.</w:t>
      </w:r>
      <w:r w:rsidR="00892FBC">
        <w:t xml:space="preserve"> </w:t>
      </w:r>
      <w:r w:rsidRPr="00917B9A">
        <w:t xml:space="preserve">A non-inferiority margin of 1.6 in odds ratio was stated to be equivalent to a non-inferiority margin of 1% in percent point with an assumed pregnancy rate with </w:t>
      </w:r>
      <w:proofErr w:type="spellStart"/>
      <w:r w:rsidRPr="00917B9A">
        <w:t>levonorgestrel</w:t>
      </w:r>
      <w:proofErr w:type="spellEnd"/>
      <w:r w:rsidRPr="00917B9A">
        <w:t xml:space="preserve"> of 1.7%.</w:t>
      </w:r>
      <w:r w:rsidR="00892FBC">
        <w:t xml:space="preserve"> </w:t>
      </w:r>
      <w:r w:rsidRPr="00917B9A">
        <w:t>In order to compensate for an anticipated lost to follow-up rate of 10%, 910 subjects per group were included in the 0-72 hour time interval.</w:t>
      </w:r>
    </w:p>
    <w:p w:rsidR="00543A61" w:rsidRPr="0051471D" w:rsidRDefault="00543A61" w:rsidP="00917B9A">
      <w:pPr>
        <w:pStyle w:val="Heading6"/>
      </w:pPr>
      <w:r w:rsidRPr="0051471D">
        <w:t>Statistical methods</w:t>
      </w:r>
    </w:p>
    <w:p w:rsidR="00543A61" w:rsidRPr="00917B9A" w:rsidRDefault="00543A61" w:rsidP="00917B9A">
      <w:r w:rsidRPr="00917B9A">
        <w:t xml:space="preserve">The 95% CI of the pregnancy rate was constructed using </w:t>
      </w:r>
      <w:proofErr w:type="spellStart"/>
      <w:r w:rsidRPr="00917B9A">
        <w:t>Agresti</w:t>
      </w:r>
      <w:proofErr w:type="spellEnd"/>
      <w:r w:rsidRPr="00917B9A">
        <w:t xml:space="preserve"> and </w:t>
      </w:r>
      <w:proofErr w:type="spellStart"/>
      <w:r w:rsidRPr="00917B9A">
        <w:t>Coull</w:t>
      </w:r>
      <w:proofErr w:type="spellEnd"/>
      <w:r w:rsidRPr="00917B9A">
        <w:t xml:space="preserve"> method.</w:t>
      </w:r>
      <w:r w:rsidR="00892FBC">
        <w:t xml:space="preserve"> </w:t>
      </w:r>
      <w:r w:rsidRPr="00917B9A">
        <w:t>Logistic regression was used to investigate the trend of pregnancy rate and to estimate the odds ratios for some cofactors.</w:t>
      </w:r>
      <w:r w:rsidR="00892FBC">
        <w:t xml:space="preserve"> </w:t>
      </w:r>
      <w:r w:rsidRPr="00917B9A">
        <w:t>The chi-square test was used for sensitivity analysis to confirm results obtained from the primary efficacy analysis.</w:t>
      </w:r>
    </w:p>
    <w:p w:rsidR="00543A61" w:rsidRPr="00917B9A" w:rsidRDefault="00543A61" w:rsidP="00917B9A">
      <w:r w:rsidRPr="00917B9A">
        <w:t xml:space="preserve">The non-inferiority of </w:t>
      </w:r>
      <w:proofErr w:type="spellStart"/>
      <w:r w:rsidRPr="00917B9A">
        <w:t>ulipristal</w:t>
      </w:r>
      <w:proofErr w:type="spellEnd"/>
      <w:r w:rsidRPr="00917B9A">
        <w:t xml:space="preserve"> 30 mg versus </w:t>
      </w:r>
      <w:proofErr w:type="spellStart"/>
      <w:r w:rsidRPr="00917B9A">
        <w:t>levonorgestrel</w:t>
      </w:r>
      <w:proofErr w:type="spellEnd"/>
      <w:r w:rsidRPr="00917B9A">
        <w:t xml:space="preserve"> 1.5 mg as EC was concluded if the upper bound of the 95% CI of the odds ratio of pregnancy in the </w:t>
      </w:r>
      <w:proofErr w:type="spellStart"/>
      <w:r w:rsidRPr="00917B9A">
        <w:t>ulipristal</w:t>
      </w:r>
      <w:proofErr w:type="spellEnd"/>
      <w:r w:rsidRPr="00917B9A">
        <w:t xml:space="preserve"> group and the </w:t>
      </w:r>
      <w:proofErr w:type="spellStart"/>
      <w:r w:rsidRPr="00917B9A">
        <w:t>levonorgestrel</w:t>
      </w:r>
      <w:proofErr w:type="spellEnd"/>
      <w:r w:rsidRPr="00917B9A">
        <w:t xml:space="preserve"> group is lower than the non-inferiority margin of 1.6.</w:t>
      </w:r>
      <w:r w:rsidR="00892FBC">
        <w:t xml:space="preserve"> </w:t>
      </w:r>
      <w:r w:rsidRPr="00917B9A">
        <w:t>Superiority was established if the upper bound of the 95% CI of the odds ratio is below 1.0.</w:t>
      </w:r>
    </w:p>
    <w:p w:rsidR="00543A61" w:rsidRPr="0051471D" w:rsidRDefault="00543A61" w:rsidP="00917B9A">
      <w:pPr>
        <w:pStyle w:val="Heading6"/>
      </w:pPr>
      <w:r w:rsidRPr="0051471D">
        <w:t>Participant flow</w:t>
      </w:r>
    </w:p>
    <w:p w:rsidR="00543A61" w:rsidRPr="00917B9A" w:rsidRDefault="00543A61" w:rsidP="00917B9A">
      <w:r w:rsidRPr="00917B9A">
        <w:t xml:space="preserve">There were 2321 subjects screened and 2221 were randomised to treatment: 1104 to </w:t>
      </w:r>
      <w:proofErr w:type="spellStart"/>
      <w:r w:rsidRPr="00917B9A">
        <w:t>ulipristal</w:t>
      </w:r>
      <w:proofErr w:type="spellEnd"/>
      <w:r w:rsidRPr="00917B9A">
        <w:t xml:space="preserve"> and 1117 to </w:t>
      </w:r>
      <w:proofErr w:type="spellStart"/>
      <w:r w:rsidRPr="00917B9A">
        <w:t>levonorgestrel</w:t>
      </w:r>
      <w:proofErr w:type="spellEnd"/>
      <w:r w:rsidRPr="00917B9A">
        <w:t>.</w:t>
      </w:r>
      <w:r w:rsidR="00892FBC">
        <w:t xml:space="preserve"> </w:t>
      </w:r>
      <w:r w:rsidRPr="00917B9A">
        <w:t xml:space="preserve">All scheduled study visits were completed by 1013 (91.8%) subjects in the </w:t>
      </w:r>
      <w:proofErr w:type="spellStart"/>
      <w:r w:rsidRPr="00917B9A">
        <w:t>ulipristal</w:t>
      </w:r>
      <w:proofErr w:type="spellEnd"/>
      <w:r w:rsidRPr="00917B9A">
        <w:t xml:space="preserve"> group and 1046 (93.6%) in the </w:t>
      </w:r>
      <w:proofErr w:type="spellStart"/>
      <w:r w:rsidRPr="00917B9A">
        <w:t>levonorgestrel</w:t>
      </w:r>
      <w:proofErr w:type="spellEnd"/>
      <w:r w:rsidRPr="00917B9A">
        <w:t xml:space="preserve"> (Figure 7.1.1.1.1).</w:t>
      </w:r>
    </w:p>
    <w:p w:rsidR="00543A61" w:rsidRPr="0051471D" w:rsidRDefault="00543A61" w:rsidP="004A436A">
      <w:pPr>
        <w:pStyle w:val="Heading6"/>
      </w:pPr>
      <w:r w:rsidRPr="0051471D">
        <w:t>Major protocol violations/deviations</w:t>
      </w:r>
    </w:p>
    <w:p w:rsidR="00543A61" w:rsidRPr="00917B9A" w:rsidRDefault="00543A61" w:rsidP="00917B9A">
      <w:r w:rsidRPr="00917B9A">
        <w:t xml:space="preserve">One subject in the </w:t>
      </w:r>
      <w:proofErr w:type="spellStart"/>
      <w:r w:rsidRPr="00917B9A">
        <w:t>ulipristal</w:t>
      </w:r>
      <w:proofErr w:type="spellEnd"/>
      <w:r w:rsidRPr="00917B9A">
        <w:t xml:space="preserve"> group and two in the </w:t>
      </w:r>
      <w:proofErr w:type="spellStart"/>
      <w:r w:rsidRPr="00917B9A">
        <w:t>levonorgestrel</w:t>
      </w:r>
      <w:proofErr w:type="spellEnd"/>
      <w:r w:rsidRPr="00917B9A">
        <w:t xml:space="preserve"> were excluded from the </w:t>
      </w:r>
      <w:proofErr w:type="spellStart"/>
      <w:r w:rsidRPr="00917B9A">
        <w:t>mITT</w:t>
      </w:r>
      <w:proofErr w:type="spellEnd"/>
      <w:r w:rsidRPr="00917B9A">
        <w:t xml:space="preserve"> population because of pregnancy not compatible per DSMB.</w:t>
      </w:r>
    </w:p>
    <w:p w:rsidR="00543A61" w:rsidRPr="00917B9A" w:rsidRDefault="00543A61" w:rsidP="00917B9A">
      <w:pPr>
        <w:pStyle w:val="Heading6"/>
      </w:pPr>
      <w:r w:rsidRPr="00917B9A">
        <w:t>Baseline data</w:t>
      </w:r>
    </w:p>
    <w:p w:rsidR="00543A61" w:rsidRPr="00917B9A" w:rsidRDefault="00543A61" w:rsidP="00917B9A">
      <w:r w:rsidRPr="00917B9A">
        <w:t>The age range of the study subjects was 16 to 55 years.</w:t>
      </w:r>
      <w:r w:rsidR="00892FBC">
        <w:t xml:space="preserve"> </w:t>
      </w:r>
      <w:r w:rsidRPr="00917B9A">
        <w:t>The treatment groups were similar in demographic c</w:t>
      </w:r>
      <w:r w:rsidR="00917B9A">
        <w:t>haracteristics</w:t>
      </w:r>
      <w:r w:rsidRPr="00917B9A">
        <w:t>.</w:t>
      </w:r>
      <w:r w:rsidR="00892FBC">
        <w:t xml:space="preserve"> </w:t>
      </w:r>
      <w:r w:rsidRPr="00917B9A">
        <w:t>The treatment groups were similar in gynaecological history and time from U</w:t>
      </w:r>
      <w:r w:rsidR="00917B9A">
        <w:t>PI to treatment</w:t>
      </w:r>
      <w:r w:rsidRPr="00917B9A">
        <w:t>.</w:t>
      </w:r>
    </w:p>
    <w:p w:rsidR="00543A61" w:rsidRPr="0051471D" w:rsidRDefault="00543A61" w:rsidP="00917B9A">
      <w:pPr>
        <w:pStyle w:val="Heading6"/>
      </w:pPr>
      <w:r w:rsidRPr="0051471D">
        <w:t>Results for the primary efficacy outcome</w:t>
      </w:r>
    </w:p>
    <w:p w:rsidR="00543A61" w:rsidRPr="00917B9A" w:rsidRDefault="00543A61" w:rsidP="00917B9A">
      <w:r w:rsidRPr="00917B9A">
        <w:t xml:space="preserve">The primary efficacy analysis was based on the first 1200 subjects in the </w:t>
      </w:r>
      <w:proofErr w:type="spellStart"/>
      <w:r w:rsidRPr="00917B9A">
        <w:t>mITT</w:t>
      </w:r>
      <w:proofErr w:type="spellEnd"/>
      <w:r w:rsidRPr="00917B9A">
        <w:t xml:space="preserve"> population.</w:t>
      </w:r>
      <w:r w:rsidR="00892FBC">
        <w:t xml:space="preserve"> </w:t>
      </w:r>
      <w:r w:rsidRPr="00917B9A">
        <w:t xml:space="preserve">The observed pregnancy rate (95% CI) within 72 hours of UPI for </w:t>
      </w:r>
      <w:proofErr w:type="spellStart"/>
      <w:r w:rsidRPr="00917B9A">
        <w:t>ulipristal</w:t>
      </w:r>
      <w:proofErr w:type="spellEnd"/>
      <w:r w:rsidRPr="00917B9A">
        <w:t xml:space="preserve"> was 1.51% (0.62% to </w:t>
      </w:r>
      <w:r w:rsidRPr="00917B9A">
        <w:lastRenderedPageBreak/>
        <w:t xml:space="preserve">3.32%), whereas the expected pregnancy </w:t>
      </w:r>
      <w:r w:rsidR="00917B9A">
        <w:t>rate was 5.63%</w:t>
      </w:r>
      <w:r w:rsidRPr="00917B9A">
        <w:t>.</w:t>
      </w:r>
      <w:r w:rsidR="00892FBC">
        <w:t xml:space="preserve"> </w:t>
      </w:r>
      <w:r w:rsidRPr="00917B9A">
        <w:t xml:space="preserve">The observed pregnancy rate (95% CI) for </w:t>
      </w:r>
      <w:proofErr w:type="spellStart"/>
      <w:r w:rsidRPr="00917B9A">
        <w:t>levonorgestrel</w:t>
      </w:r>
      <w:proofErr w:type="spellEnd"/>
      <w:r w:rsidRPr="00917B9A">
        <w:t xml:space="preserve"> was 2.81% (1.54%, 4.97%), whereas the expected pregnancy rate was 5.88%.</w:t>
      </w:r>
    </w:p>
    <w:p w:rsidR="00543A61" w:rsidRPr="0051471D" w:rsidRDefault="00543A61" w:rsidP="00917B9A">
      <w:pPr>
        <w:pStyle w:val="Heading6"/>
      </w:pPr>
      <w:r w:rsidRPr="0051471D">
        <w:t>Results for other efficacy outcomes</w:t>
      </w:r>
    </w:p>
    <w:p w:rsidR="00543A61" w:rsidRPr="00917B9A" w:rsidRDefault="00543A61" w:rsidP="004A436A">
      <w:pPr>
        <w:pStyle w:val="ListBullet"/>
      </w:pPr>
      <w:r w:rsidRPr="00917B9A">
        <w:t xml:space="preserve">Up to 72 hours post UPI the pregnancy rate (95% CI) in the </w:t>
      </w:r>
      <w:proofErr w:type="spellStart"/>
      <w:r w:rsidRPr="00917B9A">
        <w:t>mITT</w:t>
      </w:r>
      <w:proofErr w:type="spellEnd"/>
      <w:r w:rsidRPr="00917B9A">
        <w:t xml:space="preserve"> population for </w:t>
      </w:r>
      <w:proofErr w:type="spellStart"/>
      <w:r w:rsidRPr="00917B9A">
        <w:t>ulipristal</w:t>
      </w:r>
      <w:proofErr w:type="spellEnd"/>
      <w:r w:rsidRPr="00917B9A">
        <w:t xml:space="preserve"> was 1.78 (1.04 to 2.98) %, which was significantly lower than the expected pregnancy rate of 5.54%.</w:t>
      </w:r>
      <w:r w:rsidR="00892FBC">
        <w:t xml:space="preserve"> </w:t>
      </w:r>
      <w:r w:rsidRPr="00917B9A">
        <w:t xml:space="preserve">The pregnancy rate (95% CI) in the </w:t>
      </w:r>
      <w:proofErr w:type="spellStart"/>
      <w:r w:rsidRPr="00917B9A">
        <w:t>mITT</w:t>
      </w:r>
      <w:proofErr w:type="spellEnd"/>
      <w:r w:rsidRPr="00917B9A">
        <w:t xml:space="preserve"> population for </w:t>
      </w:r>
      <w:proofErr w:type="spellStart"/>
      <w:r w:rsidRPr="00917B9A">
        <w:t>levonorgestrel</w:t>
      </w:r>
      <w:proofErr w:type="spellEnd"/>
      <w:r w:rsidRPr="00917B9A">
        <w:t xml:space="preserve"> was 2.59 (1.68 to 3.94) %, which was significantly lower than the expected pregnancy rate of 5.43%.</w:t>
      </w:r>
    </w:p>
    <w:p w:rsidR="00543A61" w:rsidRPr="00917B9A" w:rsidRDefault="00543A61" w:rsidP="00917B9A">
      <w:pPr>
        <w:pStyle w:val="ListBullet"/>
      </w:pPr>
      <w:r w:rsidRPr="00917B9A">
        <w:t xml:space="preserve">Up to 120 hours post UPI the pregnancy rate (95% CI) in the </w:t>
      </w:r>
      <w:proofErr w:type="spellStart"/>
      <w:r w:rsidRPr="00917B9A">
        <w:t>mITT</w:t>
      </w:r>
      <w:proofErr w:type="spellEnd"/>
      <w:r w:rsidRPr="00917B9A">
        <w:t xml:space="preserve"> population for </w:t>
      </w:r>
      <w:proofErr w:type="spellStart"/>
      <w:r w:rsidRPr="00917B9A">
        <w:t>ulipristal</w:t>
      </w:r>
      <w:proofErr w:type="spellEnd"/>
      <w:r w:rsidRPr="00917B9A">
        <w:t xml:space="preserve"> was 1.60 (0.93 to 2.67) %, which was significantly lower than the expected pregnancy</w:t>
      </w:r>
      <w:r w:rsidR="00917B9A">
        <w:t xml:space="preserve"> rate of 5.72%</w:t>
      </w:r>
      <w:r w:rsidRPr="00917B9A">
        <w:t>.</w:t>
      </w:r>
      <w:r w:rsidR="00892FBC">
        <w:t xml:space="preserve"> </w:t>
      </w:r>
      <w:r w:rsidRPr="00917B9A">
        <w:t xml:space="preserve">The pregnancy rate (95% CI) in the </w:t>
      </w:r>
      <w:proofErr w:type="spellStart"/>
      <w:r w:rsidRPr="00917B9A">
        <w:t>mITT</w:t>
      </w:r>
      <w:proofErr w:type="spellEnd"/>
      <w:r w:rsidRPr="00917B9A">
        <w:t xml:space="preserve"> population for </w:t>
      </w:r>
      <w:proofErr w:type="spellStart"/>
      <w:r w:rsidRPr="00917B9A">
        <w:t>levonorgestrel</w:t>
      </w:r>
      <w:proofErr w:type="spellEnd"/>
      <w:r w:rsidRPr="00917B9A">
        <w:t xml:space="preserve"> was 2.62 (1.75 to 3.89) %, which was significantly lower than the expected pregnancy rate of 5.52%.</w:t>
      </w:r>
    </w:p>
    <w:p w:rsidR="00543A61" w:rsidRPr="00917B9A" w:rsidRDefault="00543A61" w:rsidP="00917B9A">
      <w:pPr>
        <w:pStyle w:val="ListBullet"/>
      </w:pPr>
      <w:r w:rsidRPr="00917B9A">
        <w:t xml:space="preserve">The upper bounds of the 95% CI for pregnancy rates at 72 hours and 120 hours, for </w:t>
      </w:r>
      <w:proofErr w:type="spellStart"/>
      <w:r w:rsidRPr="00917B9A">
        <w:t>ulipristal</w:t>
      </w:r>
      <w:proofErr w:type="spellEnd"/>
      <w:r w:rsidRPr="00917B9A">
        <w:t xml:space="preserve"> in the </w:t>
      </w:r>
      <w:proofErr w:type="spellStart"/>
      <w:r w:rsidRPr="00917B9A">
        <w:t>mITT</w:t>
      </w:r>
      <w:proofErr w:type="spellEnd"/>
      <w:r w:rsidRPr="00917B9A">
        <w:t xml:space="preserve"> population, were both below the clinical relevance threshold of 4%.</w:t>
      </w:r>
    </w:p>
    <w:p w:rsidR="00543A61" w:rsidRPr="00917B9A" w:rsidRDefault="00543A61" w:rsidP="00917B9A">
      <w:pPr>
        <w:pStyle w:val="ListBullet"/>
      </w:pPr>
      <w:proofErr w:type="spellStart"/>
      <w:r w:rsidRPr="00917B9A">
        <w:t>Ulipri</w:t>
      </w:r>
      <w:r w:rsidR="00631216">
        <w:t>s</w:t>
      </w:r>
      <w:r w:rsidRPr="00917B9A">
        <w:t>tal</w:t>
      </w:r>
      <w:proofErr w:type="spellEnd"/>
      <w:r w:rsidRPr="00917B9A">
        <w:t xml:space="preserve"> was non-inferior to </w:t>
      </w:r>
      <w:proofErr w:type="spellStart"/>
      <w:r w:rsidRPr="00917B9A">
        <w:t>levonorgestrel</w:t>
      </w:r>
      <w:proofErr w:type="spellEnd"/>
      <w:r w:rsidRPr="00917B9A">
        <w:t xml:space="preserve"> at 72 hours and 120 hours post UPI.</w:t>
      </w:r>
      <w:r w:rsidR="00892FBC">
        <w:t xml:space="preserve"> </w:t>
      </w:r>
      <w:r w:rsidRPr="00917B9A">
        <w:t xml:space="preserve">The OR (95% CI) for pregnancy for </w:t>
      </w:r>
      <w:proofErr w:type="spellStart"/>
      <w:r w:rsidRPr="00917B9A">
        <w:t>ulipristal</w:t>
      </w:r>
      <w:proofErr w:type="spellEnd"/>
      <w:r w:rsidRPr="00917B9A">
        <w:t xml:space="preserve"> in comparison with </w:t>
      </w:r>
      <w:proofErr w:type="spellStart"/>
      <w:r w:rsidRPr="00917B9A">
        <w:t>levonorgestrel</w:t>
      </w:r>
      <w:proofErr w:type="spellEnd"/>
      <w:r w:rsidRPr="00917B9A">
        <w:t xml:space="preserve"> was:</w:t>
      </w:r>
    </w:p>
    <w:p w:rsidR="00543A61" w:rsidRPr="00917B9A" w:rsidRDefault="00543A61" w:rsidP="004A436A">
      <w:pPr>
        <w:pStyle w:val="ListBullet2"/>
      </w:pPr>
      <w:r w:rsidRPr="00917B9A">
        <w:t xml:space="preserve">For the interim </w:t>
      </w:r>
      <w:proofErr w:type="spellStart"/>
      <w:r w:rsidRPr="00917B9A">
        <w:t>mITT</w:t>
      </w:r>
      <w:proofErr w:type="spellEnd"/>
      <w:r w:rsidRPr="00917B9A">
        <w:t xml:space="preserve"> </w:t>
      </w:r>
      <w:r w:rsidRPr="004A436A">
        <w:t>population</w:t>
      </w:r>
      <w:r w:rsidRPr="00917B9A">
        <w:t xml:space="preserve"> at 72 hours: 0.53 (0.20 to 1.44)</w:t>
      </w:r>
    </w:p>
    <w:p w:rsidR="00543A61" w:rsidRPr="00917B9A" w:rsidRDefault="00543A61" w:rsidP="00917B9A">
      <w:pPr>
        <w:pStyle w:val="ListBullet2"/>
      </w:pPr>
      <w:r w:rsidRPr="00917B9A">
        <w:t xml:space="preserve">For the </w:t>
      </w:r>
      <w:proofErr w:type="spellStart"/>
      <w:r w:rsidRPr="00917B9A">
        <w:t>mITT</w:t>
      </w:r>
      <w:proofErr w:type="spellEnd"/>
      <w:r w:rsidRPr="00917B9A">
        <w:t xml:space="preserve"> population at 72 hours: 0.68 (0.35 to 1.31)</w:t>
      </w:r>
    </w:p>
    <w:p w:rsidR="00543A61" w:rsidRPr="00917B9A" w:rsidRDefault="00543A61" w:rsidP="00917B9A">
      <w:pPr>
        <w:pStyle w:val="ListBullet2"/>
      </w:pPr>
      <w:r w:rsidRPr="00917B9A">
        <w:t xml:space="preserve">For the interim </w:t>
      </w:r>
      <w:proofErr w:type="spellStart"/>
      <w:r w:rsidRPr="00917B9A">
        <w:t>mITT</w:t>
      </w:r>
      <w:proofErr w:type="spellEnd"/>
      <w:r w:rsidRPr="00917B9A">
        <w:t xml:space="preserve"> population at 120 hours: 0.59 (0.31 to 1.14)</w:t>
      </w:r>
    </w:p>
    <w:p w:rsidR="00543A61" w:rsidRPr="00917B9A" w:rsidRDefault="00543A61" w:rsidP="00917B9A">
      <w:pPr>
        <w:pStyle w:val="ListBullet2"/>
      </w:pPr>
      <w:r w:rsidRPr="00917B9A">
        <w:t xml:space="preserve">For the </w:t>
      </w:r>
      <w:proofErr w:type="spellStart"/>
      <w:r w:rsidRPr="00917B9A">
        <w:t>mITT</w:t>
      </w:r>
      <w:proofErr w:type="spellEnd"/>
      <w:r w:rsidRPr="00917B9A">
        <w:t xml:space="preserve"> population at 120 hours: 0.69 (0.36 to 1.32</w:t>
      </w:r>
      <w:r w:rsidR="00917B9A">
        <w:t>)</w:t>
      </w:r>
    </w:p>
    <w:p w:rsidR="00543A61" w:rsidRPr="008F5049" w:rsidRDefault="00543A61" w:rsidP="008F5049">
      <w:r w:rsidRPr="008F5049">
        <w:t>In each case the upper 95% CI was less than the predefined level of non-inferiority of 1.6.</w:t>
      </w:r>
    </w:p>
    <w:p w:rsidR="00543A61" w:rsidRPr="008F5049" w:rsidRDefault="00543A61" w:rsidP="008F5049">
      <w:pPr>
        <w:pStyle w:val="ListBullet2"/>
      </w:pPr>
      <w:r w:rsidRPr="008F5049">
        <w:t xml:space="preserve">The pregnancy rates over time for </w:t>
      </w:r>
      <w:proofErr w:type="spellStart"/>
      <w:r w:rsidRPr="008F5049">
        <w:t>ulipristal</w:t>
      </w:r>
      <w:proofErr w:type="spellEnd"/>
      <w:r w:rsidRPr="008F5049">
        <w:t xml:space="preserve"> were 1.60% for the 0 to 24 hour time interval, 2.12% for the 24 to 48 hour interval and 1.48% for the &gt;48 to 72 </w:t>
      </w:r>
      <w:r w:rsidR="008F5049">
        <w:t>hour interval</w:t>
      </w:r>
      <w:r w:rsidRPr="008F5049">
        <w:t>.</w:t>
      </w:r>
      <w:r w:rsidR="00892FBC">
        <w:t xml:space="preserve"> </w:t>
      </w:r>
      <w:r w:rsidRPr="008F5049">
        <w:t>No pregnancies were observed at the &gt;72 to 96 and &gt;</w:t>
      </w:r>
      <w:r w:rsidR="004A436A">
        <w:t>96 to 120 hour intervals.</w:t>
      </w:r>
    </w:p>
    <w:p w:rsidR="00543A61" w:rsidRPr="008F5049" w:rsidRDefault="00543A61" w:rsidP="008F5049">
      <w:pPr>
        <w:pStyle w:val="ListBullet2"/>
      </w:pPr>
      <w:r w:rsidRPr="008F5049">
        <w:t xml:space="preserve">At 72 hours after UPI the prevention fraction (95% CI) was 68.1 (45.8 to 81.2) % for </w:t>
      </w:r>
      <w:proofErr w:type="spellStart"/>
      <w:r w:rsidRPr="008F5049">
        <w:t>ulipristal</w:t>
      </w:r>
      <w:proofErr w:type="spellEnd"/>
      <w:r w:rsidRPr="008F5049">
        <w:t xml:space="preserve"> and 52.2 (25.1 to 69.5)</w:t>
      </w:r>
      <w:r w:rsidR="008F5049">
        <w:t xml:space="preserve"> % for </w:t>
      </w:r>
      <w:proofErr w:type="spellStart"/>
      <w:r w:rsidR="008F5049">
        <w:t>levonorgestrel</w:t>
      </w:r>
      <w:proofErr w:type="spellEnd"/>
    </w:p>
    <w:p w:rsidR="00543A61" w:rsidRPr="008F5049" w:rsidRDefault="00543A61" w:rsidP="008F5049">
      <w:pPr>
        <w:pStyle w:val="ListBullet2"/>
      </w:pPr>
      <w:r w:rsidRPr="008F5049">
        <w:t xml:space="preserve">At 120 hours after UPI the prevention fraction (95% CI) was 72.2 (52.8 to 83.7) % for </w:t>
      </w:r>
      <w:proofErr w:type="spellStart"/>
      <w:r w:rsidRPr="008F5049">
        <w:t>ulipristal</w:t>
      </w:r>
      <w:proofErr w:type="spellEnd"/>
      <w:r w:rsidRPr="008F5049">
        <w:t xml:space="preserve"> and 52.8 (27.8 to 69.2) % for </w:t>
      </w:r>
      <w:proofErr w:type="spellStart"/>
      <w:r w:rsidRPr="008F5049">
        <w:t>levonorgestrel</w:t>
      </w:r>
      <w:proofErr w:type="spellEnd"/>
    </w:p>
    <w:p w:rsidR="00543A61" w:rsidRPr="008F5049" w:rsidRDefault="00543A61" w:rsidP="008F5049">
      <w:pPr>
        <w:pStyle w:val="ListBullet2"/>
      </w:pPr>
      <w:r w:rsidRPr="008F5049">
        <w:t xml:space="preserve">In the time interval &gt;72 to 120 hours after UPI the prevention rate was significantly greater for </w:t>
      </w:r>
      <w:proofErr w:type="spellStart"/>
      <w:r w:rsidRPr="008F5049">
        <w:t>ulipristal</w:t>
      </w:r>
      <w:proofErr w:type="spellEnd"/>
      <w:r w:rsidRPr="008F5049">
        <w:t xml:space="preserve"> than for </w:t>
      </w:r>
      <w:proofErr w:type="spellStart"/>
      <w:r w:rsidRPr="008F5049">
        <w:t>levonorgestrel</w:t>
      </w:r>
      <w:proofErr w:type="spellEnd"/>
      <w:r w:rsidRPr="008F5049">
        <w:t xml:space="preserve">: 0.07736 for </w:t>
      </w:r>
      <w:proofErr w:type="spellStart"/>
      <w:r w:rsidRPr="008F5049">
        <w:t>ulipristal</w:t>
      </w:r>
      <w:proofErr w:type="spellEnd"/>
      <w:r w:rsidRPr="008F5049">
        <w:t xml:space="preserve"> compared with 0.4514 </w:t>
      </w:r>
      <w:r w:rsidR="008F5049">
        <w:t xml:space="preserve">for </w:t>
      </w:r>
      <w:proofErr w:type="spellStart"/>
      <w:r w:rsidR="008F5049">
        <w:t>levonorgestrel</w:t>
      </w:r>
      <w:proofErr w:type="spellEnd"/>
      <w:r w:rsidR="008F5049">
        <w:t>, p = 0.0374</w:t>
      </w:r>
    </w:p>
    <w:p w:rsidR="00543A61" w:rsidRPr="008F5049" w:rsidRDefault="00543A61" w:rsidP="008F5049">
      <w:r w:rsidRPr="008F5049">
        <w:t>An exploratory analysis was performed to evaluate the effects of investigator, age, time from intercourse to treatment, glucocorticoid use and further UPI post treatment intake. Age had an effect on pregnancy rate as did further UPI post treatment.</w:t>
      </w:r>
      <w:r w:rsidR="00892FBC">
        <w:t xml:space="preserve"> </w:t>
      </w:r>
      <w:r w:rsidRPr="008F5049">
        <w:t>However, these effects would not influence the choice of treatment.</w:t>
      </w:r>
    </w:p>
    <w:p w:rsidR="00543A61" w:rsidRPr="0051471D" w:rsidRDefault="00543A61" w:rsidP="004A436A">
      <w:pPr>
        <w:pStyle w:val="Heading4"/>
      </w:pPr>
      <w:bookmarkStart w:id="141" w:name="_Ref271037188"/>
      <w:bookmarkStart w:id="142" w:name="_Ref271037210"/>
      <w:bookmarkStart w:id="143" w:name="_Toc272414655"/>
      <w:bookmarkStart w:id="144" w:name="_Toc290846277"/>
      <w:bookmarkStart w:id="145" w:name="_Toc389848884"/>
      <w:bookmarkStart w:id="146" w:name="_Toc241374311"/>
      <w:bookmarkStart w:id="147" w:name="_Ref243294291"/>
      <w:r w:rsidRPr="0051471D">
        <w:t xml:space="preserve">Other efficacy </w:t>
      </w:r>
      <w:r w:rsidRPr="004A436A">
        <w:t>studies</w:t>
      </w:r>
      <w:bookmarkEnd w:id="141"/>
      <w:bookmarkEnd w:id="142"/>
      <w:bookmarkEnd w:id="143"/>
      <w:bookmarkEnd w:id="144"/>
      <w:bookmarkEnd w:id="145"/>
    </w:p>
    <w:p w:rsidR="00543A61" w:rsidRPr="0051471D" w:rsidRDefault="00543A61" w:rsidP="000676D6">
      <w:pPr>
        <w:pStyle w:val="Heading5"/>
      </w:pPr>
      <w:bookmarkStart w:id="148" w:name="_Toc389848885"/>
      <w:bookmarkEnd w:id="146"/>
      <w:bookmarkEnd w:id="147"/>
      <w:r w:rsidRPr="0051471D">
        <w:t>Study HRA2914-509</w:t>
      </w:r>
      <w:bookmarkEnd w:id="148"/>
    </w:p>
    <w:p w:rsidR="00543A61" w:rsidRPr="000676D6" w:rsidRDefault="000676D6" w:rsidP="000676D6">
      <w:r>
        <w:t xml:space="preserve">Study HRA2914-509 </w:t>
      </w:r>
      <w:r w:rsidR="00543A61" w:rsidRPr="000676D6">
        <w:t>was a multicentre, open-label, single arm, study to assess the efficacy, safety and tolerance of a</w:t>
      </w:r>
      <w:r>
        <w:t xml:space="preserve"> single dose of EC</w:t>
      </w:r>
      <w:r w:rsidR="00543A61" w:rsidRPr="000676D6">
        <w:t>.</w:t>
      </w:r>
      <w:r w:rsidR="00892FBC">
        <w:t xml:space="preserve"> </w:t>
      </w:r>
      <w:r w:rsidR="00543A61" w:rsidRPr="000676D6">
        <w:t>The study was conducted at 40 sites by 16 investigators in the US from November 2006 to March 2008.</w:t>
      </w:r>
    </w:p>
    <w:p w:rsidR="00543A61" w:rsidRPr="000676D6" w:rsidRDefault="00543A61" w:rsidP="000676D6">
      <w:r w:rsidRPr="000676D6">
        <w:t>The inclusion criter</w:t>
      </w:r>
      <w:r w:rsidR="004A436A">
        <w:t>ia included:</w:t>
      </w:r>
    </w:p>
    <w:p w:rsidR="00543A61" w:rsidRPr="000676D6" w:rsidRDefault="00543A61" w:rsidP="004A436A">
      <w:pPr>
        <w:pStyle w:val="ListBullet"/>
      </w:pPr>
      <w:r w:rsidRPr="000676D6">
        <w:t xml:space="preserve">Women, ≥18 </w:t>
      </w:r>
      <w:r w:rsidRPr="004A436A">
        <w:t>years</w:t>
      </w:r>
      <w:r w:rsidRPr="000676D6">
        <w:t xml:space="preserve"> of age</w:t>
      </w:r>
    </w:p>
    <w:p w:rsidR="00543A61" w:rsidRPr="000676D6" w:rsidRDefault="00543A61" w:rsidP="000676D6">
      <w:pPr>
        <w:pStyle w:val="ListBullet"/>
      </w:pPr>
      <w:r w:rsidRPr="000676D6">
        <w:lastRenderedPageBreak/>
        <w:t>Regular menstrual cycle (between 24 and 35 days) and intra-individual variations less than or equal to 5 days</w:t>
      </w:r>
    </w:p>
    <w:p w:rsidR="00543A61" w:rsidRPr="000676D6" w:rsidRDefault="00543A61" w:rsidP="000676D6">
      <w:pPr>
        <w:pStyle w:val="ListBullet"/>
      </w:pPr>
      <w:r w:rsidRPr="000676D6">
        <w:t>Emergency contraception requested between 48 hours and 120 hours after UPI. UPI was defined by lack of contraceptive use, condom breakage (including condoms lubricated with spermicide) or other barrier contraceptive method failure</w:t>
      </w:r>
    </w:p>
    <w:p w:rsidR="00543A61" w:rsidRPr="000676D6" w:rsidRDefault="00543A61" w:rsidP="000676D6">
      <w:pPr>
        <w:pStyle w:val="ListBullet"/>
      </w:pPr>
      <w:r w:rsidRPr="000676D6">
        <w:t>No current use of hormonal contraception and at least one complete menstrual cycle (two menses) since hormonal contraception was stopped</w:t>
      </w:r>
    </w:p>
    <w:p w:rsidR="00543A61" w:rsidRPr="000676D6" w:rsidRDefault="00543A61" w:rsidP="000676D6">
      <w:pPr>
        <w:pStyle w:val="ListBullet"/>
      </w:pPr>
      <w:r w:rsidRPr="000676D6">
        <w:t xml:space="preserve">If there was a recent history of </w:t>
      </w:r>
      <w:proofErr w:type="spellStart"/>
      <w:r w:rsidRPr="000676D6">
        <w:t>Depo</w:t>
      </w:r>
      <w:proofErr w:type="spellEnd"/>
      <w:r w:rsidRPr="000676D6">
        <w:t xml:space="preserve"> Provera use, the most recent injection was to be at least 9 months before study entry and followed by at least one complete menstrual cycle (two menses)</w:t>
      </w:r>
    </w:p>
    <w:p w:rsidR="00543A61" w:rsidRPr="000676D6" w:rsidRDefault="00543A61" w:rsidP="000676D6">
      <w:pPr>
        <w:pStyle w:val="ListBullet"/>
      </w:pPr>
      <w:r w:rsidRPr="000676D6">
        <w:t>Willing not to use hormonal methods of contraception until study completion</w:t>
      </w:r>
    </w:p>
    <w:p w:rsidR="00543A61" w:rsidRPr="000676D6" w:rsidRDefault="00543A61" w:rsidP="000676D6">
      <w:pPr>
        <w:pStyle w:val="ListBullet"/>
      </w:pPr>
      <w:r w:rsidRPr="000676D6">
        <w:t xml:space="preserve">At least one complete menstrual cycle (two menses) </w:t>
      </w:r>
      <w:proofErr w:type="spellStart"/>
      <w:r w:rsidRPr="000676D6">
        <w:t>post delivery</w:t>
      </w:r>
      <w:proofErr w:type="spellEnd"/>
      <w:r w:rsidRPr="000676D6">
        <w:t>, miscarriage or abortion</w:t>
      </w:r>
    </w:p>
    <w:p w:rsidR="00543A61" w:rsidRPr="000676D6" w:rsidRDefault="00543A61" w:rsidP="000676D6">
      <w:pPr>
        <w:pStyle w:val="ListBullet"/>
      </w:pPr>
      <w:r w:rsidRPr="000676D6">
        <w:t>Willing to abstain from further acts of UPI during participation in the study and until pregnancy status was ascertained</w:t>
      </w:r>
    </w:p>
    <w:p w:rsidR="00543A61" w:rsidRPr="000676D6" w:rsidRDefault="00543A61" w:rsidP="000676D6">
      <w:r w:rsidRPr="000676D6">
        <w:t>The exclusion criteria included:</w:t>
      </w:r>
    </w:p>
    <w:p w:rsidR="00543A61" w:rsidRPr="000676D6" w:rsidRDefault="00543A61" w:rsidP="000676D6">
      <w:pPr>
        <w:pStyle w:val="ListBullet"/>
      </w:pPr>
      <w:r w:rsidRPr="000676D6">
        <w:t>One or more acts of one UPI more than 120 hours before requesting emergency contraception in the current cycle</w:t>
      </w:r>
    </w:p>
    <w:p w:rsidR="00543A61" w:rsidRPr="000676D6" w:rsidRDefault="00543A61" w:rsidP="000676D6">
      <w:pPr>
        <w:pStyle w:val="ListBullet"/>
      </w:pPr>
      <w:r w:rsidRPr="000676D6">
        <w:t>All acts of UPI (in the current cycle) within 48 hours of presentation</w:t>
      </w:r>
    </w:p>
    <w:p w:rsidR="00543A61" w:rsidRPr="000676D6" w:rsidRDefault="00543A61" w:rsidP="000676D6">
      <w:pPr>
        <w:pStyle w:val="ListBullet"/>
      </w:pPr>
      <w:r w:rsidRPr="000676D6">
        <w:t>Currently pregnant as confirmed by positive HSUP test performed at Screening/Treatment Visit</w:t>
      </w:r>
    </w:p>
    <w:p w:rsidR="00543A61" w:rsidRPr="000676D6" w:rsidRDefault="00543A61" w:rsidP="000676D6">
      <w:pPr>
        <w:pStyle w:val="ListBullet"/>
      </w:pPr>
      <w:r w:rsidRPr="000676D6">
        <w:t>Currently breast-feeding</w:t>
      </w:r>
    </w:p>
    <w:p w:rsidR="00543A61" w:rsidRPr="000676D6" w:rsidRDefault="00543A61" w:rsidP="000676D6">
      <w:pPr>
        <w:pStyle w:val="ListBullet"/>
      </w:pPr>
      <w:r w:rsidRPr="000676D6">
        <w:t>Current use of hormonal contraception</w:t>
      </w:r>
    </w:p>
    <w:p w:rsidR="00543A61" w:rsidRPr="000676D6" w:rsidRDefault="00543A61" w:rsidP="000676D6">
      <w:pPr>
        <w:pStyle w:val="ListBullet"/>
      </w:pPr>
      <w:r w:rsidRPr="000676D6">
        <w:t>Use of hormonal emergency contraception since last menstrual period</w:t>
      </w:r>
    </w:p>
    <w:p w:rsidR="00543A61" w:rsidRPr="000676D6" w:rsidRDefault="00543A61" w:rsidP="000676D6">
      <w:pPr>
        <w:pStyle w:val="ListBullet"/>
      </w:pPr>
      <w:r w:rsidRPr="000676D6">
        <w:t>Current use of IUD</w:t>
      </w:r>
    </w:p>
    <w:p w:rsidR="00543A61" w:rsidRPr="000676D6" w:rsidRDefault="00543A61" w:rsidP="000676D6">
      <w:pPr>
        <w:pStyle w:val="ListBullet"/>
      </w:pPr>
      <w:r w:rsidRPr="000676D6">
        <w:t>Tubal ligation</w:t>
      </w:r>
    </w:p>
    <w:p w:rsidR="00543A61" w:rsidRPr="000676D6" w:rsidRDefault="00543A61" w:rsidP="000676D6">
      <w:pPr>
        <w:pStyle w:val="ListBullet"/>
      </w:pPr>
      <w:r w:rsidRPr="000676D6">
        <w:t>Partner with a vasectomy</w:t>
      </w:r>
    </w:p>
    <w:p w:rsidR="00543A61" w:rsidRPr="000676D6" w:rsidRDefault="00543A61" w:rsidP="000676D6">
      <w:pPr>
        <w:pStyle w:val="ListBullet"/>
      </w:pPr>
      <w:r w:rsidRPr="000676D6">
        <w:t>Unsure about the date of the last menstrual period</w:t>
      </w:r>
    </w:p>
    <w:p w:rsidR="00543A61" w:rsidRPr="000676D6" w:rsidRDefault="00543A61" w:rsidP="000676D6">
      <w:pPr>
        <w:pStyle w:val="ListBullet"/>
      </w:pPr>
      <w:r w:rsidRPr="000676D6">
        <w:t>Severe asthma insufficiently controlled by oral glucocorticoid</w:t>
      </w:r>
    </w:p>
    <w:p w:rsidR="00543A61" w:rsidRPr="000676D6" w:rsidRDefault="00543A61" w:rsidP="000676D6">
      <w:r w:rsidRPr="000676D6">
        <w:t xml:space="preserve">The study treatment was </w:t>
      </w:r>
      <w:proofErr w:type="spellStart"/>
      <w:r w:rsidRPr="000676D6">
        <w:t>ulipristal</w:t>
      </w:r>
      <w:proofErr w:type="spellEnd"/>
      <w:r w:rsidRPr="000676D6">
        <w:t xml:space="preserve"> acetate 30 mg </w:t>
      </w:r>
      <w:proofErr w:type="spellStart"/>
      <w:r w:rsidRPr="000676D6">
        <w:t>micronised</w:t>
      </w:r>
      <w:proofErr w:type="spellEnd"/>
      <w:r w:rsidRPr="000676D6">
        <w:t xml:space="preserve"> tablet administered as a single dose between 48 and 120 hours of UPI.</w:t>
      </w:r>
    </w:p>
    <w:p w:rsidR="00543A61" w:rsidRPr="000676D6" w:rsidRDefault="00543A61" w:rsidP="000676D6">
      <w:r w:rsidRPr="000676D6">
        <w:t xml:space="preserve">The primary efficacy outcome measure was the pregnancy rate observed after taking </w:t>
      </w:r>
      <w:proofErr w:type="spellStart"/>
      <w:r w:rsidRPr="000676D6">
        <w:t>ulipristal</w:t>
      </w:r>
      <w:proofErr w:type="spellEnd"/>
      <w:r w:rsidRPr="000676D6">
        <w:t xml:space="preserve"> 30 mg between 48 hours and 120 hours of UPI compared with the estimated expected pregnancy rate in the absence of EC.</w:t>
      </w:r>
      <w:r w:rsidR="00892FBC">
        <w:t xml:space="preserve"> </w:t>
      </w:r>
      <w:r w:rsidRPr="000676D6">
        <w:t>The secondary efficacy outcome measures were:</w:t>
      </w:r>
    </w:p>
    <w:p w:rsidR="00543A61" w:rsidRPr="000676D6" w:rsidRDefault="00543A61" w:rsidP="000676D6">
      <w:pPr>
        <w:pStyle w:val="ListBullet"/>
      </w:pPr>
      <w:r w:rsidRPr="000676D6">
        <w:t xml:space="preserve">The pregnancy rate when </w:t>
      </w:r>
      <w:proofErr w:type="spellStart"/>
      <w:r w:rsidRPr="000676D6">
        <w:t>ulipristal</w:t>
      </w:r>
      <w:proofErr w:type="spellEnd"/>
      <w:r w:rsidRPr="000676D6">
        <w:t xml:space="preserve"> 30 mg is administered between 48 and 120 hours of UPI in comparison with the 4% rate considered as the</w:t>
      </w:r>
      <w:r w:rsidR="004A436A">
        <w:t xml:space="preserve"> clinical irrelevance threshold</w:t>
      </w:r>
    </w:p>
    <w:p w:rsidR="00543A61" w:rsidRPr="000676D6" w:rsidRDefault="00543A61" w:rsidP="000676D6">
      <w:pPr>
        <w:pStyle w:val="ListBullet"/>
      </w:pPr>
      <w:r w:rsidRPr="000676D6">
        <w:t>Trend in pregnancy ra</w:t>
      </w:r>
      <w:r w:rsidR="004A436A">
        <w:t>tes over time since intercourse</w:t>
      </w:r>
    </w:p>
    <w:p w:rsidR="00543A61" w:rsidRPr="000676D6" w:rsidRDefault="00543A61" w:rsidP="000676D6">
      <w:pPr>
        <w:pStyle w:val="ListBullet"/>
      </w:pPr>
      <w:r w:rsidRPr="000676D6">
        <w:t>Contraceptive effectiveness (prevented fra</w:t>
      </w:r>
      <w:r w:rsidR="004A436A">
        <w:t>ction) between treatment groups</w:t>
      </w:r>
    </w:p>
    <w:p w:rsidR="00543A61" w:rsidRPr="000676D6" w:rsidRDefault="00543A61" w:rsidP="004A436A">
      <w:pPr>
        <w:pStyle w:val="ListBullet"/>
      </w:pPr>
      <w:r w:rsidRPr="000676D6">
        <w:t xml:space="preserve">Effect of </w:t>
      </w:r>
      <w:proofErr w:type="spellStart"/>
      <w:r w:rsidRPr="000676D6">
        <w:t>uliprist</w:t>
      </w:r>
      <w:r w:rsidR="004A436A">
        <w:t>al</w:t>
      </w:r>
      <w:proofErr w:type="spellEnd"/>
      <w:r w:rsidR="004A436A">
        <w:t xml:space="preserve"> 30 mg on the menstrual cycle</w:t>
      </w:r>
    </w:p>
    <w:p w:rsidR="00543A61" w:rsidRPr="000676D6" w:rsidRDefault="00543A61" w:rsidP="004A436A">
      <w:r w:rsidRPr="000676D6">
        <w:t>Safety was measured using AEs.</w:t>
      </w:r>
    </w:p>
    <w:p w:rsidR="00543A61" w:rsidRPr="000676D6" w:rsidRDefault="00543A61" w:rsidP="000676D6">
      <w:r w:rsidRPr="000676D6">
        <w:lastRenderedPageBreak/>
        <w:t xml:space="preserve">There were 1623 subjects consented, 1533 were treated of whom 1507 were eligible for the </w:t>
      </w:r>
      <w:proofErr w:type="gramStart"/>
      <w:r w:rsidRPr="000676D6">
        <w:t>study</w:t>
      </w:r>
      <w:proofErr w:type="gramEnd"/>
      <w:r w:rsidRPr="000676D6">
        <w:t>.</w:t>
      </w:r>
      <w:r w:rsidR="00892FBC">
        <w:t xml:space="preserve"> </w:t>
      </w:r>
      <w:r w:rsidRPr="000676D6">
        <w:t>Of the treated subjects, 1362 (88.8%) completed all scheduled visits</w:t>
      </w:r>
      <w:r w:rsidR="000676D6">
        <w:t xml:space="preserve">. </w:t>
      </w:r>
      <w:r w:rsidRPr="000676D6">
        <w:t xml:space="preserve">There were 1533 subjects in the ITT dataset and 1343 in the ITT </w:t>
      </w:r>
      <w:proofErr w:type="gramStart"/>
      <w:r w:rsidRPr="000676D6">
        <w:t>completers</w:t>
      </w:r>
      <w:proofErr w:type="gramEnd"/>
      <w:r w:rsidRPr="000676D6">
        <w:t xml:space="preserve"> dataset.</w:t>
      </w:r>
      <w:r w:rsidR="00892FBC">
        <w:t xml:space="preserve"> </w:t>
      </w:r>
      <w:r w:rsidRPr="000676D6">
        <w:t>The age range was 18 to 50 years, 921 (60.3%) subjects were White and 328 (21.5%) we</w:t>
      </w:r>
      <w:r w:rsidR="000676D6">
        <w:t>re Black or African American</w:t>
      </w:r>
      <w:r w:rsidRPr="000676D6">
        <w:t>.</w:t>
      </w:r>
      <w:r w:rsidR="00892FBC">
        <w:t xml:space="preserve"> </w:t>
      </w:r>
      <w:r w:rsidRPr="000676D6">
        <w:t>There were 615 (40.1%) subjects treated in the &gt;72 to 120 hours post UP</w:t>
      </w:r>
      <w:r w:rsidR="000676D6">
        <w:t>I time window.</w:t>
      </w:r>
    </w:p>
    <w:p w:rsidR="00543A61" w:rsidRPr="000676D6" w:rsidRDefault="00543A61" w:rsidP="000676D6">
      <w:r w:rsidRPr="000676D6">
        <w:t>The observed pregnancy rate (95% CI) was 2.10 (1.41 to 3.10) % compared to the expected pregnanc</w:t>
      </w:r>
      <w:r w:rsidR="000676D6">
        <w:t>y rate of 5.53%</w:t>
      </w:r>
      <w:r w:rsidRPr="000676D6">
        <w:t>.</w:t>
      </w:r>
      <w:r w:rsidR="00892FBC">
        <w:t xml:space="preserve"> </w:t>
      </w:r>
      <w:r w:rsidRPr="000676D6">
        <w:t>The upper 95% CI for pregnancy rate was below the clinically relevant threshold of 4%.</w:t>
      </w:r>
      <w:r w:rsidR="00892FBC">
        <w:t xml:space="preserve"> </w:t>
      </w:r>
      <w:r w:rsidRPr="000676D6">
        <w:t>The estimated pregnancy rate were 1.61% at 48 to 60 hours, 2.85% at 61 to 72 hours, 2.90% at 73 to 84 hours, 1.38% at 85 to 96 hours, 1.21% at 97 to 108 hours and 1.31% at 109 to 120 hours.</w:t>
      </w:r>
      <w:r w:rsidR="00892FBC">
        <w:t xml:space="preserve"> </w:t>
      </w:r>
      <w:r w:rsidRPr="000676D6">
        <w:t>The number of observed pregnancies was 26.</w:t>
      </w:r>
      <w:r w:rsidR="00892FBC">
        <w:t xml:space="preserve"> </w:t>
      </w:r>
      <w:r w:rsidRPr="000676D6">
        <w:t>The number of expected pregnancies was 69, and the prevented fraction (95% CI) was 62.32 (41.89 to 75.56) %.</w:t>
      </w:r>
      <w:r w:rsidR="00892FBC">
        <w:t xml:space="preserve"> </w:t>
      </w:r>
      <w:r w:rsidRPr="000676D6">
        <w:t xml:space="preserve">Further UPI after treatment increased the risk of pregnancy (OR 5.691), but there was no effect for age, investigator, </w:t>
      </w:r>
      <w:proofErr w:type="gramStart"/>
      <w:r w:rsidRPr="000676D6">
        <w:t>time</w:t>
      </w:r>
      <w:proofErr w:type="gramEnd"/>
      <w:r w:rsidRPr="000676D6">
        <w:t xml:space="preserve"> from UPI to treatment or glucocorticoid use.</w:t>
      </w:r>
    </w:p>
    <w:p w:rsidR="00543A61" w:rsidRPr="0051471D" w:rsidRDefault="00543A61" w:rsidP="00A105A7">
      <w:pPr>
        <w:pStyle w:val="Heading5"/>
      </w:pPr>
      <w:bookmarkStart w:id="149" w:name="_Toc389848886"/>
      <w:r w:rsidRPr="0051471D">
        <w:t>Study HRA2914-515</w:t>
      </w:r>
      <w:bookmarkEnd w:id="149"/>
    </w:p>
    <w:p w:rsidR="00543A61" w:rsidRPr="00A105A7" w:rsidRDefault="00543A61" w:rsidP="00A105A7">
      <w:r w:rsidRPr="00A105A7">
        <w:t xml:space="preserve">Study HRA2914-515 was a multicentre, open label, single arm, observational study to assess the safety and tolerability of </w:t>
      </w:r>
      <w:proofErr w:type="spellStart"/>
      <w:r w:rsidRPr="00A105A7">
        <w:t>ulipristal</w:t>
      </w:r>
      <w:proofErr w:type="spellEnd"/>
      <w:r w:rsidRPr="00A105A7">
        <w:t xml:space="preserve"> in routine conditions of use for EC in post </w:t>
      </w:r>
      <w:proofErr w:type="spellStart"/>
      <w:r w:rsidRPr="00A105A7">
        <w:t>menarcheal</w:t>
      </w:r>
      <w:proofErr w:type="spellEnd"/>
      <w:r w:rsidRPr="00A105A7">
        <w:t xml:space="preserve"> adolescents and adult women in particular menorrhagia, </w:t>
      </w:r>
      <w:proofErr w:type="spellStart"/>
      <w:r w:rsidRPr="00A105A7">
        <w:t>metrorrhagia</w:t>
      </w:r>
      <w:proofErr w:type="spellEnd"/>
      <w:r w:rsidRPr="00A105A7">
        <w:t>, dysmenorrhoea and effect on menstrual cycles.</w:t>
      </w:r>
      <w:r w:rsidR="00892FBC">
        <w:t xml:space="preserve"> </w:t>
      </w:r>
      <w:r w:rsidRPr="00A105A7">
        <w:t>The study was conducted at 36 sites in Sweden, UK, France, US and Germany from December 2010 to January 2013.</w:t>
      </w:r>
      <w:r w:rsidR="00892FBC">
        <w:t xml:space="preserve"> </w:t>
      </w:r>
      <w:r w:rsidRPr="00A105A7">
        <w:t xml:space="preserve">The study included subjects receiving </w:t>
      </w:r>
      <w:proofErr w:type="spellStart"/>
      <w:r w:rsidRPr="00A105A7">
        <w:t>ulipristal</w:t>
      </w:r>
      <w:proofErr w:type="spellEnd"/>
      <w:r w:rsidRPr="00A105A7">
        <w:t xml:space="preserve"> 30 mg as EC; post</w:t>
      </w:r>
      <w:r w:rsidR="000E1219">
        <w:t xml:space="preserve"> </w:t>
      </w:r>
      <w:proofErr w:type="spellStart"/>
      <w:r w:rsidRPr="00A105A7">
        <w:t>menarcheal</w:t>
      </w:r>
      <w:proofErr w:type="spellEnd"/>
      <w:r w:rsidRPr="00A105A7">
        <w:t xml:space="preserve"> adolescents or adult women in Sweden, France, the US and Germany and aged from 13 years in the United Kingdom.</w:t>
      </w:r>
      <w:r w:rsidR="00892FBC">
        <w:t xml:space="preserve"> </w:t>
      </w:r>
      <w:r w:rsidRPr="00A105A7">
        <w:t xml:space="preserve">The study treatment was </w:t>
      </w:r>
      <w:proofErr w:type="spellStart"/>
      <w:r w:rsidRPr="00A105A7">
        <w:t>Ulipristal</w:t>
      </w:r>
      <w:proofErr w:type="spellEnd"/>
      <w:r w:rsidRPr="00A105A7">
        <w:t xml:space="preserve"> acetate, 30 mg tablet, by oral administration.</w:t>
      </w:r>
      <w:r w:rsidR="00892FBC">
        <w:t xml:space="preserve"> </w:t>
      </w:r>
      <w:r w:rsidRPr="00A105A7">
        <w:t>There were 1310 subjects approached and 579 included in the study.</w:t>
      </w:r>
      <w:r w:rsidR="00892FBC">
        <w:t xml:space="preserve"> </w:t>
      </w:r>
      <w:r w:rsidRPr="00A105A7">
        <w:t>The age range was 13 to 46 years: 279 were aged &lt;18 years and 76 were &lt;16 years.</w:t>
      </w:r>
      <w:r w:rsidR="00892FBC">
        <w:t xml:space="preserve"> </w:t>
      </w:r>
      <w:r w:rsidRPr="00A105A7">
        <w:t>A total of 423 (73.1%) subjects completed the study: 140 subjects were lost to follow-up.</w:t>
      </w:r>
      <w:r w:rsidR="00892FBC">
        <w:t xml:space="preserve"> </w:t>
      </w:r>
      <w:r w:rsidRPr="00A105A7">
        <w:t>There were seven (1.5%) pregnancies.</w:t>
      </w:r>
      <w:r w:rsidR="00892FBC">
        <w:t xml:space="preserve"> </w:t>
      </w:r>
      <w:r w:rsidRPr="00A105A7">
        <w:t>There were 50 (10.8%) subjects that had further UPI during the treatment cycle.</w:t>
      </w:r>
    </w:p>
    <w:p w:rsidR="00543A61" w:rsidRPr="0051471D" w:rsidRDefault="00543A61" w:rsidP="00A105A7">
      <w:pPr>
        <w:pStyle w:val="Heading4"/>
      </w:pPr>
      <w:bookmarkStart w:id="150" w:name="_Toc241374312"/>
      <w:bookmarkStart w:id="151" w:name="_Toc272414656"/>
      <w:bookmarkStart w:id="152" w:name="_Toc290846281"/>
      <w:bookmarkStart w:id="153" w:name="_Toc389848887"/>
      <w:r w:rsidRPr="0051471D">
        <w:t>Analyses performed across trials (pooled analyses and meta-analyses)</w:t>
      </w:r>
      <w:bookmarkEnd w:id="150"/>
      <w:bookmarkEnd w:id="151"/>
      <w:bookmarkEnd w:id="152"/>
      <w:bookmarkEnd w:id="153"/>
    </w:p>
    <w:p w:rsidR="00543A61" w:rsidRPr="00A105A7" w:rsidRDefault="00543A61" w:rsidP="00A105A7">
      <w:r w:rsidRPr="00A105A7">
        <w:t>Study HRA2914 was a pooled analysis of data from Study HRA2914-004 and Study HRA2914-507.</w:t>
      </w:r>
      <w:r w:rsidR="00892FBC">
        <w:t xml:space="preserve"> </w:t>
      </w:r>
      <w:r w:rsidRPr="00A105A7">
        <w:t xml:space="preserve">These studies used different doses and formulations of </w:t>
      </w:r>
      <w:proofErr w:type="spellStart"/>
      <w:r w:rsidRPr="00A105A7">
        <w:t>ulipristal</w:t>
      </w:r>
      <w:proofErr w:type="spellEnd"/>
      <w:r w:rsidRPr="00A105A7">
        <w:t>.</w:t>
      </w:r>
      <w:r w:rsidR="00892FBC">
        <w:t xml:space="preserve"> </w:t>
      </w:r>
      <w:r w:rsidRPr="00A105A7">
        <w:t>Hence the analysis does not contribute additional useful efficacy data, in addition to that already contributed by Study HRA2914-004, relating to the product proposed for marketing.</w:t>
      </w:r>
      <w:r w:rsidR="00892FBC">
        <w:t xml:space="preserve"> </w:t>
      </w:r>
      <w:r w:rsidRPr="00A105A7">
        <w:t>The study did find that the risk of pregnancy is increased by increasing BMI, increased conception probability and by further UPI.</w:t>
      </w:r>
      <w:r w:rsidR="00892FBC">
        <w:t xml:space="preserve"> </w:t>
      </w:r>
      <w:r w:rsidRPr="00A105A7">
        <w:t>In obese grade II individuals the risk of pregnancy was 3.64% and in obese grade III individuals the risk was 5.56%.</w:t>
      </w:r>
    </w:p>
    <w:p w:rsidR="00543A61" w:rsidRPr="00A105A7" w:rsidRDefault="00543A61" w:rsidP="00A105A7">
      <w:r w:rsidRPr="00A105A7">
        <w:t>Study HRA2914-5001 was a further analysis of the effect of body weight on efficacy.</w:t>
      </w:r>
      <w:r w:rsidR="00892FBC">
        <w:t xml:space="preserve"> </w:t>
      </w:r>
      <w:r w:rsidRPr="00A105A7">
        <w:t xml:space="preserve">The data were </w:t>
      </w:r>
      <w:r w:rsidR="008272E1">
        <w:t>pooled</w:t>
      </w:r>
      <w:r w:rsidRPr="00A105A7">
        <w:t xml:space="preserve"> from Study HRA2914-508, Study HRA2914-507 and Study HRA2914-513 and Study HRA2914-509.</w:t>
      </w:r>
      <w:r w:rsidR="00892FBC">
        <w:t xml:space="preserve"> </w:t>
      </w:r>
      <w:r w:rsidRPr="00A105A7">
        <w:t xml:space="preserve">The analysis concluded that in women 72 kg or more, </w:t>
      </w:r>
      <w:proofErr w:type="spellStart"/>
      <w:r w:rsidRPr="00A105A7">
        <w:t>ulipristal</w:t>
      </w:r>
      <w:proofErr w:type="spellEnd"/>
      <w:r w:rsidRPr="00A105A7">
        <w:t xml:space="preserve"> appeared to be more efficacious than </w:t>
      </w:r>
      <w:proofErr w:type="spellStart"/>
      <w:r w:rsidRPr="00A105A7">
        <w:t>levonorgestrel</w:t>
      </w:r>
      <w:proofErr w:type="spellEnd"/>
      <w:r w:rsidR="008272E1">
        <w:rPr>
          <w:rStyle w:val="FootnoteReference"/>
        </w:rPr>
        <w:footnoteReference w:id="2"/>
      </w:r>
      <w:r w:rsidRPr="00A105A7">
        <w:t xml:space="preserve"> and that there was no identifiable weight threshold for the efficacy of </w:t>
      </w:r>
      <w:proofErr w:type="spellStart"/>
      <w:r w:rsidRPr="00A105A7">
        <w:t>ulipristal</w:t>
      </w:r>
      <w:proofErr w:type="spellEnd"/>
      <w:r w:rsidRPr="00A105A7">
        <w:t>.</w:t>
      </w:r>
    </w:p>
    <w:p w:rsidR="00CC2C13" w:rsidRDefault="00CC2C13" w:rsidP="00CC2C13">
      <w:pPr>
        <w:pStyle w:val="Heading3"/>
      </w:pPr>
      <w:bookmarkStart w:id="154" w:name="_Toc184439992"/>
      <w:bookmarkStart w:id="155" w:name="_Toc184440279"/>
      <w:bookmarkStart w:id="156" w:name="_Toc184444657"/>
      <w:bookmarkStart w:id="157" w:name="_Toc196046487"/>
      <w:bookmarkStart w:id="158" w:name="_Toc430094067"/>
      <w:r>
        <w:t>Evaluator’s conclusions on efficacy</w:t>
      </w:r>
      <w:r w:rsidR="00543A61">
        <w:t xml:space="preserve"> for emergency contraception</w:t>
      </w:r>
      <w:bookmarkEnd w:id="158"/>
    </w:p>
    <w:bookmarkEnd w:id="154"/>
    <w:bookmarkEnd w:id="155"/>
    <w:bookmarkEnd w:id="156"/>
    <w:bookmarkEnd w:id="157"/>
    <w:p w:rsidR="00CC2C13" w:rsidRPr="00A174A6" w:rsidRDefault="00CC2C13" w:rsidP="00CC2C13">
      <w:r>
        <w:t>In the p</w:t>
      </w:r>
      <w:r w:rsidRPr="00A174A6">
        <w:t>i</w:t>
      </w:r>
      <w:r>
        <w:t xml:space="preserve">votal study (Study HRA2914-513), </w:t>
      </w:r>
      <w:proofErr w:type="spellStart"/>
      <w:r w:rsidRPr="00A174A6">
        <w:t>ulipristal</w:t>
      </w:r>
      <w:proofErr w:type="spellEnd"/>
      <w:r w:rsidRPr="00A174A6">
        <w:t xml:space="preserve"> 30 mg as a single dose was demonstrated to have efficacy in comparison with expected pregnancy rates, and </w:t>
      </w:r>
      <w:proofErr w:type="spellStart"/>
      <w:r w:rsidRPr="00A174A6">
        <w:t>non</w:t>
      </w:r>
      <w:r>
        <w:t xml:space="preserve"> </w:t>
      </w:r>
      <w:r w:rsidRPr="00A174A6">
        <w:t>inferiority</w:t>
      </w:r>
      <w:proofErr w:type="spellEnd"/>
      <w:r w:rsidRPr="00A174A6">
        <w:t xml:space="preserve"> in comparison with </w:t>
      </w:r>
      <w:proofErr w:type="spellStart"/>
      <w:r w:rsidRPr="00A174A6">
        <w:t>levonorgestrel</w:t>
      </w:r>
      <w:proofErr w:type="spellEnd"/>
      <w:r w:rsidRPr="00A174A6">
        <w:t xml:space="preserve"> w</w:t>
      </w:r>
      <w:r>
        <w:t>hen administered up to 120 h</w:t>
      </w:r>
      <w:r w:rsidRPr="00A174A6">
        <w:t xml:space="preserve"> post UPI.</w:t>
      </w:r>
      <w:r>
        <w:t xml:space="preserve"> </w:t>
      </w:r>
      <w:r w:rsidRPr="00A174A6">
        <w:t>There were the following efficacy findings:</w:t>
      </w:r>
    </w:p>
    <w:p w:rsidR="00CC2C13" w:rsidRPr="003D5BB8" w:rsidRDefault="00CC2C13" w:rsidP="007F0527">
      <w:pPr>
        <w:pStyle w:val="ListBullet"/>
        <w:numPr>
          <w:ilvl w:val="0"/>
          <w:numId w:val="1"/>
        </w:numPr>
      </w:pPr>
      <w:r w:rsidRPr="003D5BB8">
        <w:t>The observed pregnan</w:t>
      </w:r>
      <w:r>
        <w:t>cy rate (95% CI) within 72 h</w:t>
      </w:r>
      <w:r w:rsidRPr="003D5BB8">
        <w:t xml:space="preserve"> of UPI for </w:t>
      </w:r>
      <w:proofErr w:type="spellStart"/>
      <w:r w:rsidRPr="003D5BB8">
        <w:t>ulipristal</w:t>
      </w:r>
      <w:proofErr w:type="spellEnd"/>
      <w:r w:rsidRPr="003D5BB8">
        <w:t xml:space="preserve"> was 1.51% (0.62% to 3.32%), whereas the expected pregnancy rate was 5.63%</w:t>
      </w:r>
    </w:p>
    <w:p w:rsidR="00CC2C13" w:rsidRPr="003D5BB8" w:rsidRDefault="00CC2C13" w:rsidP="007F0527">
      <w:pPr>
        <w:pStyle w:val="ListBullet"/>
        <w:numPr>
          <w:ilvl w:val="0"/>
          <w:numId w:val="1"/>
        </w:numPr>
      </w:pPr>
      <w:r>
        <w:lastRenderedPageBreak/>
        <w:t>Up to 120 h</w:t>
      </w:r>
      <w:r w:rsidRPr="003D5BB8">
        <w:t xml:space="preserve"> post UPI the pregnancy rate (95% CI) was 1.60 (0.93 to 2.67) %, which was significantly lower than the expected pregnancy rate of 5.72%.</w:t>
      </w:r>
    </w:p>
    <w:p w:rsidR="00CC2C13" w:rsidRPr="003D5BB8" w:rsidRDefault="00CC2C13" w:rsidP="007F0527">
      <w:pPr>
        <w:pStyle w:val="ListBullet"/>
        <w:numPr>
          <w:ilvl w:val="0"/>
          <w:numId w:val="1"/>
        </w:numPr>
      </w:pPr>
      <w:r w:rsidRPr="003D5BB8">
        <w:t>The upper bounds of the 95%</w:t>
      </w:r>
      <w:r>
        <w:t xml:space="preserve"> CI for pregnancy rates at 72 h and 120 h</w:t>
      </w:r>
      <w:r w:rsidRPr="003D5BB8">
        <w:t xml:space="preserve">, for </w:t>
      </w:r>
      <w:proofErr w:type="spellStart"/>
      <w:r w:rsidRPr="003D5BB8">
        <w:t>ulipristal</w:t>
      </w:r>
      <w:proofErr w:type="spellEnd"/>
      <w:r w:rsidRPr="003D5BB8">
        <w:t xml:space="preserve"> in the </w:t>
      </w:r>
      <w:proofErr w:type="spellStart"/>
      <w:r w:rsidRPr="003D5BB8">
        <w:t>mITT</w:t>
      </w:r>
      <w:proofErr w:type="spellEnd"/>
      <w:r w:rsidRPr="003D5BB8">
        <w:t xml:space="preserve"> population, were both below the clinical relevance threshold of 4%.</w:t>
      </w:r>
    </w:p>
    <w:p w:rsidR="00CC2C13" w:rsidRPr="003D5BB8" w:rsidRDefault="00CC2C13" w:rsidP="007F0527">
      <w:pPr>
        <w:pStyle w:val="ListBullet"/>
        <w:numPr>
          <w:ilvl w:val="0"/>
          <w:numId w:val="1"/>
        </w:numPr>
      </w:pPr>
      <w:proofErr w:type="spellStart"/>
      <w:r>
        <w:t>Uliprital</w:t>
      </w:r>
      <w:proofErr w:type="spellEnd"/>
      <w:r>
        <w:t xml:space="preserve"> was non </w:t>
      </w:r>
      <w:r w:rsidRPr="003D5BB8">
        <w:t>inferi</w:t>
      </w:r>
      <w:r>
        <w:t xml:space="preserve">or to </w:t>
      </w:r>
      <w:proofErr w:type="spellStart"/>
      <w:r>
        <w:t>levonorgestrel</w:t>
      </w:r>
      <w:proofErr w:type="spellEnd"/>
      <w:r>
        <w:t xml:space="preserve"> at 72 h and 120 h</w:t>
      </w:r>
      <w:r w:rsidRPr="003D5BB8">
        <w:t xml:space="preserve"> post UPI.</w:t>
      </w:r>
      <w:r>
        <w:t xml:space="preserve"> The observed rate (OR)</w:t>
      </w:r>
      <w:r w:rsidRPr="003D5BB8">
        <w:t xml:space="preserve"> (95% CI) for pregnancy for </w:t>
      </w:r>
      <w:proofErr w:type="spellStart"/>
      <w:r w:rsidRPr="003D5BB8">
        <w:t>ulipristal</w:t>
      </w:r>
      <w:proofErr w:type="spellEnd"/>
      <w:r w:rsidRPr="003D5BB8">
        <w:t xml:space="preserve"> in comparison with </w:t>
      </w:r>
      <w:proofErr w:type="spellStart"/>
      <w:r w:rsidRPr="003D5BB8">
        <w:t>levonorgestrel</w:t>
      </w:r>
      <w:proofErr w:type="spellEnd"/>
      <w:r w:rsidRPr="003D5BB8">
        <w:t xml:space="preserve"> was:</w:t>
      </w:r>
    </w:p>
    <w:p w:rsidR="00CC2C13" w:rsidRPr="003D5BB8" w:rsidRDefault="00CC2C13" w:rsidP="007E5D41">
      <w:pPr>
        <w:pStyle w:val="ListBullet2"/>
      </w:pPr>
      <w:r w:rsidRPr="003D5BB8">
        <w:t>For the int</w:t>
      </w:r>
      <w:r>
        <w:t xml:space="preserve">erim </w:t>
      </w:r>
      <w:proofErr w:type="spellStart"/>
      <w:r>
        <w:t>mITT</w:t>
      </w:r>
      <w:proofErr w:type="spellEnd"/>
      <w:r>
        <w:t xml:space="preserve"> population at 72 h</w:t>
      </w:r>
      <w:r w:rsidRPr="003D5BB8">
        <w:t>: 0.53 (0.20 to 1.44)</w:t>
      </w:r>
    </w:p>
    <w:p w:rsidR="00CC2C13" w:rsidRPr="003D5BB8" w:rsidRDefault="00CC2C13" w:rsidP="007F0527">
      <w:pPr>
        <w:pStyle w:val="ListBullet2"/>
        <w:numPr>
          <w:ilvl w:val="1"/>
          <w:numId w:val="1"/>
        </w:numPr>
      </w:pPr>
      <w:r w:rsidRPr="003D5BB8">
        <w:t>For</w:t>
      </w:r>
      <w:r>
        <w:t xml:space="preserve"> the </w:t>
      </w:r>
      <w:proofErr w:type="spellStart"/>
      <w:r>
        <w:t>mITT</w:t>
      </w:r>
      <w:proofErr w:type="spellEnd"/>
      <w:r>
        <w:t xml:space="preserve"> population at 72 h</w:t>
      </w:r>
      <w:r w:rsidRPr="003D5BB8">
        <w:t>: 0.68 (0.35 to 1.31)</w:t>
      </w:r>
    </w:p>
    <w:p w:rsidR="00CC2C13" w:rsidRPr="003D5BB8" w:rsidRDefault="00CC2C13" w:rsidP="007F0527">
      <w:pPr>
        <w:pStyle w:val="ListBullet2"/>
        <w:numPr>
          <w:ilvl w:val="1"/>
          <w:numId w:val="1"/>
        </w:numPr>
      </w:pPr>
      <w:r w:rsidRPr="003D5BB8">
        <w:t>For the int</w:t>
      </w:r>
      <w:r>
        <w:t xml:space="preserve">erim </w:t>
      </w:r>
      <w:proofErr w:type="spellStart"/>
      <w:r>
        <w:t>mITT</w:t>
      </w:r>
      <w:proofErr w:type="spellEnd"/>
      <w:r>
        <w:t xml:space="preserve"> population at 120 h</w:t>
      </w:r>
      <w:r w:rsidRPr="003D5BB8">
        <w:t>: 0.59 (0.31 to 1.14)</w:t>
      </w:r>
    </w:p>
    <w:p w:rsidR="00CC2C13" w:rsidRDefault="00CC2C13" w:rsidP="007F0527">
      <w:pPr>
        <w:pStyle w:val="ListBullet2"/>
        <w:numPr>
          <w:ilvl w:val="1"/>
          <w:numId w:val="1"/>
        </w:numPr>
      </w:pPr>
      <w:r w:rsidRPr="003D5BB8">
        <w:t xml:space="preserve">For </w:t>
      </w:r>
      <w:r>
        <w:t xml:space="preserve">the </w:t>
      </w:r>
      <w:proofErr w:type="spellStart"/>
      <w:r>
        <w:t>mITT</w:t>
      </w:r>
      <w:proofErr w:type="spellEnd"/>
      <w:r>
        <w:t xml:space="preserve"> population at 120 h</w:t>
      </w:r>
      <w:r w:rsidRPr="003D5BB8">
        <w:t xml:space="preserve">: 0.69 (0.36 to </w:t>
      </w:r>
      <w:r>
        <w:t>1.32)</w:t>
      </w:r>
    </w:p>
    <w:p w:rsidR="00CC2C13" w:rsidRPr="003D5BB8" w:rsidRDefault="00CC2C13" w:rsidP="00CC2C13">
      <w:pPr>
        <w:pStyle w:val="ListBullet2"/>
        <w:numPr>
          <w:ilvl w:val="0"/>
          <w:numId w:val="0"/>
        </w:numPr>
        <w:ind w:left="360"/>
      </w:pPr>
      <w:r w:rsidRPr="003D5BB8">
        <w:t>In each case</w:t>
      </w:r>
      <w:r>
        <w:t>,</w:t>
      </w:r>
      <w:r w:rsidRPr="003D5BB8">
        <w:t xml:space="preserve"> the upper 95% CI was less t</w:t>
      </w:r>
      <w:r>
        <w:t xml:space="preserve">han the predefined level of </w:t>
      </w:r>
      <w:proofErr w:type="spellStart"/>
      <w:r>
        <w:t xml:space="preserve">non </w:t>
      </w:r>
      <w:r w:rsidRPr="003D5BB8">
        <w:t>inferiority</w:t>
      </w:r>
      <w:proofErr w:type="spellEnd"/>
      <w:r w:rsidRPr="003D5BB8">
        <w:t xml:space="preserve"> of 1.6.</w:t>
      </w:r>
    </w:p>
    <w:p w:rsidR="00CC2C13" w:rsidRPr="008D69A0" w:rsidRDefault="00CC2C13" w:rsidP="007F0527">
      <w:pPr>
        <w:pStyle w:val="ListBullet"/>
        <w:numPr>
          <w:ilvl w:val="0"/>
          <w:numId w:val="1"/>
        </w:numPr>
      </w:pPr>
      <w:r w:rsidRPr="008D69A0">
        <w:t xml:space="preserve">The pregnancy rates over time for </w:t>
      </w:r>
      <w:proofErr w:type="spellStart"/>
      <w:r w:rsidRPr="008D69A0">
        <w:t>uliprista</w:t>
      </w:r>
      <w:r>
        <w:t>l</w:t>
      </w:r>
      <w:proofErr w:type="spellEnd"/>
      <w:r>
        <w:t xml:space="preserve"> were 1.60% for the 0 to 24 h time interval, 2.12% for the 24 to 48 h</w:t>
      </w:r>
      <w:r w:rsidRPr="008D69A0">
        <w:t xml:space="preserve"> interval and 1.48% for the &gt;4</w:t>
      </w:r>
      <w:r>
        <w:t>8 to 72 h</w:t>
      </w:r>
      <w:r w:rsidRPr="008D69A0">
        <w:t xml:space="preserve"> interval.</w:t>
      </w:r>
      <w:r>
        <w:t xml:space="preserve"> </w:t>
      </w:r>
      <w:r w:rsidRPr="008D69A0">
        <w:t>No pregnancies were observed at t</w:t>
      </w:r>
      <w:r>
        <w:t>he &gt;72 to 96 and &gt;96 to 120 h</w:t>
      </w:r>
      <w:r w:rsidRPr="008D69A0">
        <w:t xml:space="preserve"> intervals.</w:t>
      </w:r>
    </w:p>
    <w:p w:rsidR="00CC2C13" w:rsidRPr="008D69A0" w:rsidRDefault="00CC2C13" w:rsidP="007F0527">
      <w:pPr>
        <w:pStyle w:val="ListBullet"/>
        <w:numPr>
          <w:ilvl w:val="0"/>
          <w:numId w:val="1"/>
        </w:numPr>
      </w:pPr>
      <w:r>
        <w:t>At 72 h</w:t>
      </w:r>
      <w:r w:rsidRPr="008D69A0">
        <w:t xml:space="preserve"> after UPI</w:t>
      </w:r>
      <w:r>
        <w:t>,</w:t>
      </w:r>
      <w:r w:rsidRPr="008D69A0">
        <w:t xml:space="preserve"> the prevention fraction (95% CI) was 68.1 (45.8 to 81.2) % for </w:t>
      </w:r>
      <w:proofErr w:type="spellStart"/>
      <w:r w:rsidRPr="008D69A0">
        <w:t>ulipristal</w:t>
      </w:r>
      <w:proofErr w:type="spellEnd"/>
      <w:r w:rsidRPr="008D69A0">
        <w:t xml:space="preserve"> and 52.2 (25.1 to 69.5) % for </w:t>
      </w:r>
      <w:proofErr w:type="spellStart"/>
      <w:r w:rsidRPr="008D69A0">
        <w:t>levonorgestrel</w:t>
      </w:r>
      <w:proofErr w:type="spellEnd"/>
      <w:r>
        <w:t>.</w:t>
      </w:r>
    </w:p>
    <w:p w:rsidR="00CC2C13" w:rsidRPr="008D69A0" w:rsidRDefault="00CC2C13" w:rsidP="007F0527">
      <w:pPr>
        <w:pStyle w:val="ListBullet"/>
        <w:numPr>
          <w:ilvl w:val="0"/>
          <w:numId w:val="1"/>
        </w:numPr>
      </w:pPr>
      <w:r>
        <w:t>At 120 h</w:t>
      </w:r>
      <w:r w:rsidRPr="008D69A0">
        <w:t xml:space="preserve"> after UPI</w:t>
      </w:r>
      <w:r>
        <w:t>,</w:t>
      </w:r>
      <w:r w:rsidRPr="008D69A0">
        <w:t xml:space="preserve"> the prevention fraction (95% CI) was 72.2 (52.8 to 83.7) % for </w:t>
      </w:r>
      <w:proofErr w:type="spellStart"/>
      <w:r w:rsidRPr="008D69A0">
        <w:t>ulipristal</w:t>
      </w:r>
      <w:proofErr w:type="spellEnd"/>
      <w:r w:rsidRPr="008D69A0">
        <w:t xml:space="preserve"> and 52.8 (27.8 to 69.2) % for </w:t>
      </w:r>
      <w:proofErr w:type="spellStart"/>
      <w:r w:rsidRPr="008D69A0">
        <w:t>levonorgestrel</w:t>
      </w:r>
      <w:proofErr w:type="spellEnd"/>
      <w:r>
        <w:t>.</w:t>
      </w:r>
    </w:p>
    <w:p w:rsidR="00CC2C13" w:rsidRPr="008D69A0" w:rsidRDefault="00CC2C13" w:rsidP="007F0527">
      <w:pPr>
        <w:pStyle w:val="ListBullet"/>
        <w:numPr>
          <w:ilvl w:val="0"/>
          <w:numId w:val="1"/>
        </w:numPr>
      </w:pPr>
      <w:r w:rsidRPr="008D69A0">
        <w:t>In th</w:t>
      </w:r>
      <w:r>
        <w:t>e time interval &gt;72 to 120 h</w:t>
      </w:r>
      <w:r w:rsidRPr="008D69A0">
        <w:t xml:space="preserve"> after UPI</w:t>
      </w:r>
      <w:r>
        <w:t>,</w:t>
      </w:r>
      <w:r w:rsidRPr="008D69A0">
        <w:t xml:space="preserve"> the prevention rate was significantly greater for </w:t>
      </w:r>
      <w:proofErr w:type="spellStart"/>
      <w:r w:rsidRPr="008D69A0">
        <w:t>ulipristal</w:t>
      </w:r>
      <w:proofErr w:type="spellEnd"/>
      <w:r w:rsidRPr="008D69A0">
        <w:t xml:space="preserve"> than for </w:t>
      </w:r>
      <w:proofErr w:type="spellStart"/>
      <w:r w:rsidRPr="008D69A0">
        <w:t>levonorgestrel</w:t>
      </w:r>
      <w:proofErr w:type="spellEnd"/>
      <w:r w:rsidRPr="008D69A0">
        <w:t xml:space="preserve">: 0.07736 for </w:t>
      </w:r>
      <w:proofErr w:type="spellStart"/>
      <w:r w:rsidRPr="008D69A0">
        <w:t>ulipristal</w:t>
      </w:r>
      <w:proofErr w:type="spellEnd"/>
      <w:r w:rsidRPr="008D69A0">
        <w:t xml:space="preserve"> compared with 0.4514 for </w:t>
      </w:r>
      <w:proofErr w:type="spellStart"/>
      <w:r w:rsidRPr="008D69A0">
        <w:t>levonorgestrel</w:t>
      </w:r>
      <w:proofErr w:type="spellEnd"/>
      <w:r w:rsidRPr="008D69A0">
        <w:t>, p = 0.0374</w:t>
      </w:r>
      <w:r>
        <w:t>.</w:t>
      </w:r>
    </w:p>
    <w:p w:rsidR="00CC2C13" w:rsidRPr="008D69A0" w:rsidRDefault="00CC2C13" w:rsidP="00CC2C13">
      <w:r w:rsidRPr="008D69A0">
        <w:t xml:space="preserve">The supportive efficacy studies demonstrated similar pregnancy rates </w:t>
      </w:r>
      <w:r>
        <w:t>and prevention fraction to the p</w:t>
      </w:r>
      <w:r w:rsidRPr="008D69A0">
        <w:t>ivotal study.</w:t>
      </w:r>
      <w:r>
        <w:t xml:space="preserve"> In Study HRA2914-509, t</w:t>
      </w:r>
      <w:r w:rsidRPr="008D69A0">
        <w:t>he observed pregnancy rate (95% CI) was 2.10 (1.41 to 3.10) % compared to the expected pregnancy rate of 5.53%.</w:t>
      </w:r>
      <w:r>
        <w:t xml:space="preserve"> </w:t>
      </w:r>
      <w:r w:rsidRPr="008D69A0">
        <w:t>The upper 95% CI for pregnancy rate was below the clinically relevant threshold of 4%.</w:t>
      </w:r>
      <w:r>
        <w:t xml:space="preserve"> </w:t>
      </w:r>
      <w:r w:rsidRPr="008D69A0">
        <w:t>The estimated pregnancy ra</w:t>
      </w:r>
      <w:r>
        <w:t>tes were 1.61% at 48 to 60 h, 2.85% at 61 to 72 h</w:t>
      </w:r>
      <w:r w:rsidRPr="008D69A0">
        <w:t>, 2.90% at</w:t>
      </w:r>
      <w:r>
        <w:t xml:space="preserve"> 73 to 84 h, 1.38% at 85 to 96 h, 1.21% at 97 to 108 h, and 1.31% at 109 to 120 h</w:t>
      </w:r>
      <w:r w:rsidRPr="008D69A0">
        <w:t>.</w:t>
      </w:r>
      <w:r>
        <w:t xml:space="preserve"> </w:t>
      </w:r>
      <w:r w:rsidRPr="008D69A0">
        <w:t>The prevented fraction (95% CI) was 62.32 (41.89 to 75.56) %.</w:t>
      </w:r>
      <w:r>
        <w:t xml:space="preserve"> </w:t>
      </w:r>
      <w:r w:rsidRPr="008D69A0">
        <w:t>In Study HRA2914-515</w:t>
      </w:r>
      <w:r>
        <w:t>,</w:t>
      </w:r>
      <w:r w:rsidRPr="008D69A0">
        <w:t xml:space="preserve"> the pregnancy rate was 1.5%.</w:t>
      </w:r>
    </w:p>
    <w:p w:rsidR="00CC2C13" w:rsidRPr="008D69A0" w:rsidRDefault="00CC2C13" w:rsidP="00CC2C13">
      <w:r w:rsidRPr="008D69A0">
        <w:t>Efficacy was decreased by further UPI after treatment (OR 5.691).</w:t>
      </w:r>
      <w:r>
        <w:t xml:space="preserve"> </w:t>
      </w:r>
      <w:r w:rsidRPr="008D69A0">
        <w:t xml:space="preserve">Although increasing BMI </w:t>
      </w:r>
      <w:r>
        <w:t xml:space="preserve">(body mass index) </w:t>
      </w:r>
      <w:r w:rsidRPr="008D69A0">
        <w:t>decreased efficacy</w:t>
      </w:r>
      <w:r>
        <w:t>,</w:t>
      </w:r>
      <w:r w:rsidRPr="008D69A0">
        <w:t xml:space="preserve"> there was no identifiable weight threshold.</w:t>
      </w:r>
    </w:p>
    <w:p w:rsidR="00CC2C13" w:rsidRPr="008D69A0" w:rsidRDefault="00CC2C13" w:rsidP="00CC2C13">
      <w:r w:rsidRPr="008D69A0">
        <w:t>The clinical studies were conducted in a population similar to that intended in the proposed indication.</w:t>
      </w:r>
      <w:r>
        <w:t xml:space="preserve"> </w:t>
      </w:r>
      <w:r w:rsidRPr="008D69A0">
        <w:t xml:space="preserve">The criterion for </w:t>
      </w:r>
      <w:proofErr w:type="spellStart"/>
      <w:r w:rsidRPr="008D69A0">
        <w:t>non</w:t>
      </w:r>
      <w:r>
        <w:t xml:space="preserve"> </w:t>
      </w:r>
      <w:r w:rsidRPr="008D69A0">
        <w:t>inferiority</w:t>
      </w:r>
      <w:proofErr w:type="spellEnd"/>
      <w:r w:rsidRPr="008D69A0">
        <w:t xml:space="preserve"> was appropriate.</w:t>
      </w:r>
      <w:r>
        <w:t xml:space="preserve"> </w:t>
      </w:r>
      <w:r w:rsidRPr="008D69A0">
        <w:t>The dose and indication for the active comparator (</w:t>
      </w:r>
      <w:proofErr w:type="spellStart"/>
      <w:r w:rsidRPr="008D69A0">
        <w:t>levonorgestrel</w:t>
      </w:r>
      <w:proofErr w:type="spellEnd"/>
      <w:r w:rsidRPr="008D69A0">
        <w:t>) was appropriate.</w:t>
      </w:r>
    </w:p>
    <w:p w:rsidR="00C22678" w:rsidRDefault="00C22678" w:rsidP="007E5D41">
      <w:pPr>
        <w:pStyle w:val="Heading2"/>
      </w:pPr>
      <w:bookmarkStart w:id="159" w:name="_Toc430094068"/>
      <w:r>
        <w:t xml:space="preserve">Clinical </w:t>
      </w:r>
      <w:r w:rsidRPr="007E5D41">
        <w:t>safety</w:t>
      </w:r>
      <w:bookmarkEnd w:id="159"/>
    </w:p>
    <w:p w:rsidR="004D3438" w:rsidRPr="00A361E6" w:rsidRDefault="004D3438" w:rsidP="00A361E6">
      <w:pPr>
        <w:pStyle w:val="Heading3"/>
      </w:pPr>
      <w:bookmarkStart w:id="160" w:name="_Toc430094069"/>
      <w:r w:rsidRPr="00A361E6">
        <w:t>Studies providing safety data</w:t>
      </w:r>
      <w:bookmarkEnd w:id="160"/>
    </w:p>
    <w:p w:rsidR="004D3438" w:rsidRPr="00A361E6" w:rsidRDefault="004D3438" w:rsidP="00A361E6">
      <w:bookmarkStart w:id="161" w:name="_Ref268776745"/>
      <w:r w:rsidRPr="00A361E6">
        <w:t>The following studies provided evaluable safety data.</w:t>
      </w:r>
    </w:p>
    <w:p w:rsidR="00FD669E" w:rsidRPr="00364E2F" w:rsidRDefault="00FD669E" w:rsidP="00A361E6">
      <w:pPr>
        <w:pStyle w:val="Heading3"/>
      </w:pPr>
      <w:bookmarkStart w:id="162" w:name="_Toc272414659"/>
      <w:bookmarkStart w:id="163" w:name="_Toc290846284"/>
      <w:bookmarkStart w:id="164" w:name="_Toc389848890"/>
      <w:bookmarkStart w:id="165" w:name="_Toc430094070"/>
      <w:bookmarkEnd w:id="161"/>
      <w:r w:rsidRPr="00364E2F">
        <w:t>Studies providing evaluable safety data</w:t>
      </w:r>
      <w:bookmarkEnd w:id="162"/>
      <w:bookmarkEnd w:id="163"/>
      <w:bookmarkEnd w:id="164"/>
      <w:bookmarkEnd w:id="165"/>
    </w:p>
    <w:p w:rsidR="00FD669E" w:rsidRPr="00A361E6" w:rsidRDefault="00FD669E" w:rsidP="00A361E6">
      <w:r w:rsidRPr="00A361E6">
        <w:t>The following studies provided evaluable safety data:</w:t>
      </w:r>
    </w:p>
    <w:p w:rsidR="00FD669E" w:rsidRPr="00364E2F" w:rsidRDefault="00FD669E" w:rsidP="00A361E6">
      <w:pPr>
        <w:pStyle w:val="Heading4"/>
      </w:pPr>
      <w:r w:rsidRPr="00364E2F">
        <w:lastRenderedPageBreak/>
        <w:t>Pivotal efficacy studies</w:t>
      </w:r>
    </w:p>
    <w:p w:rsidR="00FD669E" w:rsidRPr="00A361E6" w:rsidRDefault="00FD669E" w:rsidP="00A361E6">
      <w:r w:rsidRPr="00A361E6">
        <w:t>In the pivotal efficacy study, the following safety data were collected:</w:t>
      </w:r>
    </w:p>
    <w:p w:rsidR="00FD669E" w:rsidRPr="00A361E6" w:rsidRDefault="007E5D41" w:rsidP="00A361E6">
      <w:pPr>
        <w:pStyle w:val="ListBullet"/>
      </w:pPr>
      <w:r>
        <w:t>General adverse events (AEs)</w:t>
      </w:r>
    </w:p>
    <w:p w:rsidR="00FD669E" w:rsidRPr="00A361E6" w:rsidRDefault="007E5D41" w:rsidP="00A361E6">
      <w:pPr>
        <w:pStyle w:val="ListBullet"/>
      </w:pPr>
      <w:r>
        <w:t>Menstrual symptoms</w:t>
      </w:r>
    </w:p>
    <w:p w:rsidR="00FD669E" w:rsidRPr="00A361E6" w:rsidRDefault="00FD669E" w:rsidP="00A361E6">
      <w:pPr>
        <w:pStyle w:val="ListBullet"/>
      </w:pPr>
      <w:r w:rsidRPr="00A361E6">
        <w:t>Routine laboratory tests were not performed</w:t>
      </w:r>
    </w:p>
    <w:p w:rsidR="00FD669E" w:rsidRPr="00364E2F" w:rsidRDefault="00FD669E" w:rsidP="007E5D41">
      <w:pPr>
        <w:pStyle w:val="Heading4"/>
      </w:pPr>
      <w:r w:rsidRPr="00364E2F">
        <w:t xml:space="preserve">Pivotal studies that </w:t>
      </w:r>
      <w:r w:rsidRPr="007E5D41">
        <w:t>assessed</w:t>
      </w:r>
      <w:r w:rsidRPr="00364E2F">
        <w:t xml:space="preserve"> safety as a primary outcome</w:t>
      </w:r>
    </w:p>
    <w:p w:rsidR="00FD669E" w:rsidRPr="00A361E6" w:rsidRDefault="00A361E6" w:rsidP="00A361E6">
      <w:r>
        <w:t>Study HRA2914-515</w:t>
      </w:r>
      <w:r w:rsidR="00FD669E" w:rsidRPr="00A361E6">
        <w:t xml:space="preserve"> was a multicentre, open label, single arm, observational study to assess the safety and tolerability of </w:t>
      </w:r>
      <w:proofErr w:type="spellStart"/>
      <w:r w:rsidR="00FD669E" w:rsidRPr="00A361E6">
        <w:t>ulipristal</w:t>
      </w:r>
      <w:proofErr w:type="spellEnd"/>
      <w:r w:rsidR="00FD669E" w:rsidRPr="00A361E6">
        <w:t xml:space="preserve"> in routine conditions of use for EC in post </w:t>
      </w:r>
      <w:proofErr w:type="spellStart"/>
      <w:r w:rsidR="00FD669E" w:rsidRPr="00A361E6">
        <w:t>menarcheal</w:t>
      </w:r>
      <w:proofErr w:type="spellEnd"/>
      <w:r w:rsidR="00FD669E" w:rsidRPr="00A361E6">
        <w:t xml:space="preserve"> adolescents and adult women in particular menorrhagia, </w:t>
      </w:r>
      <w:proofErr w:type="spellStart"/>
      <w:r w:rsidR="00FD669E" w:rsidRPr="00A361E6">
        <w:t>metrorrhagia</w:t>
      </w:r>
      <w:proofErr w:type="spellEnd"/>
      <w:r w:rsidR="00FD669E" w:rsidRPr="00A361E6">
        <w:t>, dysmenorrhoea and effect o</w:t>
      </w:r>
      <w:r>
        <w:t>n menstrual cycles</w:t>
      </w:r>
      <w:r w:rsidR="00FD669E" w:rsidRPr="00A361E6">
        <w:t>.</w:t>
      </w:r>
    </w:p>
    <w:p w:rsidR="00FD669E" w:rsidRPr="00364E2F" w:rsidRDefault="00FD669E" w:rsidP="00A361E6">
      <w:pPr>
        <w:pStyle w:val="Heading4"/>
      </w:pPr>
      <w:r w:rsidRPr="00364E2F">
        <w:t>Dose-response and non-pivotal efficacy studies</w:t>
      </w:r>
    </w:p>
    <w:p w:rsidR="00FD669E" w:rsidRPr="00A361E6" w:rsidRDefault="00FD669E" w:rsidP="00A361E6">
      <w:r w:rsidRPr="00A361E6">
        <w:t>The dose-response and non-pivotal efficacy studies provided safety data, as follows:</w:t>
      </w:r>
    </w:p>
    <w:p w:rsidR="00FD669E" w:rsidRPr="00A361E6" w:rsidRDefault="007E5D41" w:rsidP="00A361E6">
      <w:pPr>
        <w:pStyle w:val="ListBullet"/>
      </w:pPr>
      <w:r>
        <w:t>General adverse events (AEs)</w:t>
      </w:r>
    </w:p>
    <w:p w:rsidR="00FD669E" w:rsidRPr="00A361E6" w:rsidRDefault="00FD669E" w:rsidP="00A361E6">
      <w:pPr>
        <w:pStyle w:val="ListBullet"/>
      </w:pPr>
      <w:r w:rsidRPr="00A361E6">
        <w:t>Nausea / vomiting</w:t>
      </w:r>
    </w:p>
    <w:p w:rsidR="00FD669E" w:rsidRPr="00A361E6" w:rsidRDefault="007E5D41" w:rsidP="00A361E6">
      <w:pPr>
        <w:pStyle w:val="ListBullet"/>
      </w:pPr>
      <w:r>
        <w:t>Menstrual symptoms</w:t>
      </w:r>
    </w:p>
    <w:p w:rsidR="00FD669E" w:rsidRPr="00A361E6" w:rsidRDefault="00FD669E" w:rsidP="00A361E6">
      <w:pPr>
        <w:pStyle w:val="ListBullet"/>
      </w:pPr>
      <w:r w:rsidRPr="00A361E6">
        <w:t>Routine laboratory tests were not performed</w:t>
      </w:r>
    </w:p>
    <w:p w:rsidR="00FD669E" w:rsidRPr="00364E2F" w:rsidRDefault="007E5D41" w:rsidP="00A361E6">
      <w:pPr>
        <w:pStyle w:val="Heading4"/>
      </w:pPr>
      <w:r>
        <w:t>Clinical p</w:t>
      </w:r>
      <w:r w:rsidR="00FD669E" w:rsidRPr="00364E2F">
        <w:t>harmacology studies</w:t>
      </w:r>
    </w:p>
    <w:p w:rsidR="00FD669E" w:rsidRPr="00A361E6" w:rsidRDefault="007E5D41" w:rsidP="00A361E6">
      <w:pPr>
        <w:pStyle w:val="ListBullet"/>
      </w:pPr>
      <w:r>
        <w:t>General adverse events (AEs)</w:t>
      </w:r>
    </w:p>
    <w:p w:rsidR="00FD669E" w:rsidRPr="00A361E6" w:rsidRDefault="007E5D41" w:rsidP="00A361E6">
      <w:pPr>
        <w:pStyle w:val="ListBullet"/>
      </w:pPr>
      <w:r>
        <w:t>Routine laboratory tests</w:t>
      </w:r>
    </w:p>
    <w:p w:rsidR="00FD669E" w:rsidRPr="00364E2F" w:rsidRDefault="00FD669E" w:rsidP="007E5D41">
      <w:pPr>
        <w:pStyle w:val="Heading3"/>
      </w:pPr>
      <w:bookmarkStart w:id="166" w:name="_Ref269204367"/>
      <w:bookmarkStart w:id="167" w:name="_Ref271195835"/>
      <w:bookmarkStart w:id="168" w:name="_Ref271195841"/>
      <w:bookmarkStart w:id="169" w:name="_Toc272414660"/>
      <w:bookmarkStart w:id="170" w:name="_Toc290846285"/>
      <w:bookmarkStart w:id="171" w:name="_Toc389848891"/>
      <w:bookmarkStart w:id="172" w:name="_Toc430094071"/>
      <w:r w:rsidRPr="00364E2F">
        <w:t xml:space="preserve">Pivotal </w:t>
      </w:r>
      <w:r w:rsidRPr="007E5D41">
        <w:t>studies</w:t>
      </w:r>
      <w:r w:rsidRPr="00364E2F">
        <w:t xml:space="preserve"> that assessed safety as a primary outcome</w:t>
      </w:r>
      <w:bookmarkEnd w:id="166"/>
      <w:bookmarkEnd w:id="167"/>
      <w:bookmarkEnd w:id="168"/>
      <w:bookmarkEnd w:id="169"/>
      <w:bookmarkEnd w:id="170"/>
      <w:bookmarkEnd w:id="171"/>
      <w:bookmarkEnd w:id="172"/>
    </w:p>
    <w:p w:rsidR="00FD669E" w:rsidRPr="00A361E6" w:rsidRDefault="00FD669E" w:rsidP="00A361E6">
      <w:r w:rsidRPr="00A361E6">
        <w:t>See above.</w:t>
      </w:r>
    </w:p>
    <w:p w:rsidR="00FD669E" w:rsidRPr="00364E2F" w:rsidRDefault="00FD669E" w:rsidP="00A361E6">
      <w:pPr>
        <w:pStyle w:val="Heading3"/>
      </w:pPr>
      <w:bookmarkStart w:id="173" w:name="_Toc241374318"/>
      <w:bookmarkStart w:id="174" w:name="_Ref271196630"/>
      <w:bookmarkStart w:id="175" w:name="_Toc272414662"/>
      <w:bookmarkStart w:id="176" w:name="_Toc290846300"/>
      <w:bookmarkStart w:id="177" w:name="_Toc389848892"/>
      <w:bookmarkStart w:id="178" w:name="_Toc430094072"/>
      <w:r w:rsidRPr="00364E2F">
        <w:t>Patient exposure</w:t>
      </w:r>
      <w:bookmarkEnd w:id="173"/>
      <w:bookmarkEnd w:id="174"/>
      <w:bookmarkEnd w:id="175"/>
      <w:bookmarkEnd w:id="176"/>
      <w:bookmarkEnd w:id="177"/>
      <w:bookmarkEnd w:id="178"/>
    </w:p>
    <w:p w:rsidR="00FD669E" w:rsidRPr="00277EE5" w:rsidRDefault="00FD669E" w:rsidP="00277EE5">
      <w:r w:rsidRPr="00277EE5">
        <w:t>In Study HRA2914</w:t>
      </w:r>
      <w:r w:rsidR="00A361E6" w:rsidRPr="00277EE5">
        <w:t xml:space="preserve">-507, </w:t>
      </w:r>
      <w:r w:rsidRPr="00277EE5">
        <w:t xml:space="preserve">there were: 832 subjects treated with 50 mg </w:t>
      </w:r>
      <w:proofErr w:type="spellStart"/>
      <w:r w:rsidRPr="00277EE5">
        <w:t>ulipristal</w:t>
      </w:r>
      <w:proofErr w:type="spellEnd"/>
      <w:r w:rsidRPr="00277EE5">
        <w:t xml:space="preserve"> as a single dose.</w:t>
      </w:r>
    </w:p>
    <w:p w:rsidR="00FD669E" w:rsidRPr="00277EE5" w:rsidRDefault="00A361E6" w:rsidP="00277EE5">
      <w:r w:rsidRPr="00277EE5">
        <w:t>In Study HRA2914-508</w:t>
      </w:r>
      <w:r w:rsidR="00FD669E" w:rsidRPr="00277EE5">
        <w:t xml:space="preserve">, there were 399 subjects treated with a single dose of 10 mg </w:t>
      </w:r>
      <w:proofErr w:type="spellStart"/>
      <w:r w:rsidR="00FD669E" w:rsidRPr="00277EE5">
        <w:t>micronised</w:t>
      </w:r>
      <w:proofErr w:type="spellEnd"/>
      <w:r w:rsidR="00FD669E" w:rsidRPr="00277EE5">
        <w:t xml:space="preserve"> </w:t>
      </w:r>
      <w:proofErr w:type="spellStart"/>
      <w:r w:rsidR="00FD669E" w:rsidRPr="00277EE5">
        <w:t>ulipristal</w:t>
      </w:r>
      <w:proofErr w:type="spellEnd"/>
      <w:r w:rsidR="00FD669E" w:rsidRPr="00277EE5">
        <w:t xml:space="preserve"> and 413 treated with a single dose of 50 mg </w:t>
      </w:r>
      <w:proofErr w:type="spellStart"/>
      <w:r w:rsidR="00FD669E" w:rsidRPr="00277EE5">
        <w:t>unmicronised</w:t>
      </w:r>
      <w:proofErr w:type="spellEnd"/>
      <w:r w:rsidR="00FD669E" w:rsidRPr="00277EE5">
        <w:t xml:space="preserve"> </w:t>
      </w:r>
      <w:proofErr w:type="spellStart"/>
      <w:r w:rsidR="00FD669E" w:rsidRPr="00277EE5">
        <w:t>ulipristal</w:t>
      </w:r>
      <w:proofErr w:type="spellEnd"/>
      <w:r w:rsidR="00FD669E" w:rsidRPr="00277EE5">
        <w:t>.</w:t>
      </w:r>
    </w:p>
    <w:p w:rsidR="00FD669E" w:rsidRPr="00277EE5" w:rsidRDefault="00A361E6" w:rsidP="00277EE5">
      <w:r w:rsidRPr="00277EE5">
        <w:t>In Study HRA2914-513</w:t>
      </w:r>
      <w:r w:rsidR="00FD669E" w:rsidRPr="00277EE5">
        <w:t xml:space="preserve">, a total of 1104 subjects were exposed to a single dose of 30 mg </w:t>
      </w:r>
      <w:proofErr w:type="spellStart"/>
      <w:r w:rsidR="00FD669E" w:rsidRPr="00277EE5">
        <w:t>ulipristal</w:t>
      </w:r>
      <w:proofErr w:type="spellEnd"/>
      <w:r w:rsidR="00FD669E" w:rsidRPr="00277EE5">
        <w:t>.</w:t>
      </w:r>
    </w:p>
    <w:p w:rsidR="00FD669E" w:rsidRPr="00277EE5" w:rsidRDefault="00A361E6" w:rsidP="00277EE5">
      <w:r w:rsidRPr="00277EE5">
        <w:t>In Study HRA2914-509</w:t>
      </w:r>
      <w:r w:rsidR="00FD669E" w:rsidRPr="00277EE5">
        <w:t xml:space="preserve">, there were 1533 subjects exposed to </w:t>
      </w:r>
      <w:proofErr w:type="spellStart"/>
      <w:r w:rsidR="00FD669E" w:rsidRPr="00277EE5">
        <w:t>ulipristal</w:t>
      </w:r>
      <w:proofErr w:type="spellEnd"/>
      <w:r w:rsidR="00FD669E" w:rsidRPr="00277EE5">
        <w:t xml:space="preserve"> 30 mg on at least one occasion, with 66 subjects treated on t</w:t>
      </w:r>
      <w:r w:rsidR="007E5D41">
        <w:t>wo occasions and nine on three.</w:t>
      </w:r>
    </w:p>
    <w:p w:rsidR="00FD669E" w:rsidRPr="00277EE5" w:rsidRDefault="00A361E6" w:rsidP="00277EE5">
      <w:r w:rsidRPr="00277EE5">
        <w:t xml:space="preserve">In Study HRA2914-515, </w:t>
      </w:r>
      <w:r w:rsidR="00FD669E" w:rsidRPr="00277EE5">
        <w:t xml:space="preserve">there were 579 subjects treated with </w:t>
      </w:r>
      <w:proofErr w:type="spellStart"/>
      <w:r w:rsidR="00FD669E" w:rsidRPr="00277EE5">
        <w:t>ulipristal</w:t>
      </w:r>
      <w:proofErr w:type="spellEnd"/>
      <w:r w:rsidR="00FD669E" w:rsidRPr="00277EE5">
        <w:t xml:space="preserve"> 30 mg.</w:t>
      </w:r>
      <w:r w:rsidR="00892FBC">
        <w:t xml:space="preserve"> </w:t>
      </w:r>
      <w:r w:rsidR="00FD669E" w:rsidRPr="00277EE5">
        <w:t>There were 279 subjects aged &lt;18 years and 76 aged &lt;16 years.</w:t>
      </w:r>
    </w:p>
    <w:p w:rsidR="00FD669E" w:rsidRPr="00364E2F" w:rsidRDefault="00FD669E" w:rsidP="00277EE5">
      <w:pPr>
        <w:pStyle w:val="Heading3"/>
      </w:pPr>
      <w:bookmarkStart w:id="179" w:name="_Toc241374319"/>
      <w:bookmarkStart w:id="180" w:name="_Ref271044764"/>
      <w:bookmarkStart w:id="181" w:name="_Toc272414663"/>
      <w:bookmarkStart w:id="182" w:name="_Toc290846301"/>
      <w:bookmarkStart w:id="183" w:name="_Toc389848893"/>
      <w:bookmarkStart w:id="184" w:name="_Toc430094073"/>
      <w:r w:rsidRPr="00364E2F">
        <w:t>Adverse events</w:t>
      </w:r>
      <w:bookmarkEnd w:id="179"/>
      <w:bookmarkEnd w:id="180"/>
      <w:bookmarkEnd w:id="181"/>
      <w:bookmarkEnd w:id="182"/>
      <w:bookmarkEnd w:id="183"/>
      <w:bookmarkEnd w:id="184"/>
    </w:p>
    <w:p w:rsidR="00FD669E" w:rsidRPr="00364E2F" w:rsidRDefault="00FD669E" w:rsidP="00277EE5">
      <w:pPr>
        <w:pStyle w:val="Heading4"/>
      </w:pPr>
      <w:bookmarkStart w:id="185" w:name="_Ref272317284"/>
      <w:bookmarkStart w:id="186" w:name="_Ref272333565"/>
      <w:bookmarkStart w:id="187" w:name="_Toc272414664"/>
      <w:bookmarkStart w:id="188" w:name="_Toc290846302"/>
      <w:bookmarkStart w:id="189" w:name="_Toc389848894"/>
      <w:r w:rsidRPr="00364E2F">
        <w:t>All adverse events (irrespective of relationship to study treatment)</w:t>
      </w:r>
      <w:bookmarkEnd w:id="185"/>
      <w:bookmarkEnd w:id="186"/>
      <w:bookmarkEnd w:id="187"/>
      <w:bookmarkEnd w:id="188"/>
      <w:bookmarkEnd w:id="189"/>
    </w:p>
    <w:p w:rsidR="00FD669E" w:rsidRPr="00277EE5" w:rsidRDefault="00FD669E" w:rsidP="00277EE5">
      <w:pPr>
        <w:pStyle w:val="Heading5"/>
      </w:pPr>
      <w:r w:rsidRPr="00277EE5">
        <w:t>Pivotal studies</w:t>
      </w:r>
    </w:p>
    <w:p w:rsidR="00FD669E" w:rsidRDefault="00FD669E" w:rsidP="0011356C">
      <w:r w:rsidRPr="0011356C">
        <w:t>In Study HRA291</w:t>
      </w:r>
      <w:r w:rsidR="00277EE5" w:rsidRPr="0011356C">
        <w:t xml:space="preserve">4-513, </w:t>
      </w:r>
      <w:r w:rsidRPr="0011356C">
        <w:t xml:space="preserve">1506 TEAEs were reported in 597 (54.1%) subjects treated with </w:t>
      </w:r>
      <w:proofErr w:type="spellStart"/>
      <w:r w:rsidRPr="0011356C">
        <w:t>ulipristal</w:t>
      </w:r>
      <w:proofErr w:type="spellEnd"/>
      <w:r w:rsidRPr="0011356C">
        <w:t xml:space="preserve"> and 1629 in 626 (56.0%) subjects treated with </w:t>
      </w:r>
      <w:proofErr w:type="spellStart"/>
      <w:r w:rsidRPr="0011356C">
        <w:t>levonorgestrel</w:t>
      </w:r>
      <w:proofErr w:type="spellEnd"/>
      <w:r w:rsidRPr="0011356C">
        <w:t>.</w:t>
      </w:r>
      <w:r w:rsidR="00892FBC">
        <w:t xml:space="preserve"> </w:t>
      </w:r>
      <w:r w:rsidRPr="0011356C">
        <w:t xml:space="preserve">The pattern of AEs was </w:t>
      </w:r>
      <w:r w:rsidRPr="0011356C">
        <w:lastRenderedPageBreak/>
        <w:t>similar for the two treatment groups and the most commonly reported TEAEs were headache, dysmenorrhoe</w:t>
      </w:r>
      <w:r w:rsidR="000A05A4">
        <w:t>a and nause</w:t>
      </w:r>
      <w:r w:rsidR="00AF1697">
        <w:t>a</w:t>
      </w:r>
      <w:r w:rsidR="00FB2BEA">
        <w:t xml:space="preserve"> (Table 3)</w:t>
      </w:r>
      <w:r w:rsidR="00892FBC">
        <w:t>.</w:t>
      </w:r>
    </w:p>
    <w:p w:rsidR="000A05A4" w:rsidRDefault="000A05A4" w:rsidP="000A05A4">
      <w:pPr>
        <w:pStyle w:val="TableTitle0"/>
      </w:pPr>
      <w:r>
        <w:t>Table 3:</w:t>
      </w:r>
      <w:r w:rsidRPr="00282C9A">
        <w:t xml:space="preserve"> </w:t>
      </w:r>
      <w:r w:rsidR="00AF1697" w:rsidRPr="00AF1697">
        <w:t>AEs (Preferred Term) Reported in ≥ 1% of the Subjects (Study HRA2914-513</w:t>
      </w:r>
      <w:r w:rsidR="00AF1697">
        <w:t>)</w:t>
      </w:r>
      <w:r>
        <w:t>.</w:t>
      </w:r>
    </w:p>
    <w:p w:rsidR="000A05A4" w:rsidRPr="0011356C" w:rsidRDefault="00AD182A" w:rsidP="0011356C">
      <w:r>
        <w:rPr>
          <w:noProof/>
          <w:lang w:eastAsia="en-AU"/>
        </w:rPr>
        <w:drawing>
          <wp:inline distT="0" distB="0" distL="0" distR="0">
            <wp:extent cx="4308339" cy="2676601"/>
            <wp:effectExtent l="0" t="0" r="0" b="0"/>
            <wp:docPr id="1" name="Picture 1" descr="Table 3: AEs (Preferred Term) Reported in ≥ 1% of the Subjects (Study HRA2914-513)." title="Table 3: AEs (Preferred Term) Reported in ≥ 1% of the Subjects (Study HRA291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4311030" cy="2678273"/>
                    </a:xfrm>
                    <a:prstGeom prst="rect">
                      <a:avLst/>
                    </a:prstGeom>
                  </pic:spPr>
                </pic:pic>
              </a:graphicData>
            </a:graphic>
          </wp:inline>
        </w:drawing>
      </w:r>
    </w:p>
    <w:p w:rsidR="00FD669E" w:rsidRPr="00BC2085" w:rsidRDefault="00FD669E" w:rsidP="00BC2085">
      <w:pPr>
        <w:pStyle w:val="Heading5"/>
      </w:pPr>
      <w:r w:rsidRPr="00BC2085">
        <w:t>Other studies</w:t>
      </w:r>
    </w:p>
    <w:p w:rsidR="00FD669E" w:rsidRPr="00BC2085" w:rsidRDefault="00FD669E" w:rsidP="00BC2085">
      <w:r w:rsidRPr="00BC2085">
        <w:t xml:space="preserve">In </w:t>
      </w:r>
      <w:r w:rsidR="00BC2085" w:rsidRPr="00BC2085">
        <w:t>Study HRA2914-510</w:t>
      </w:r>
      <w:r w:rsidRPr="00BC2085">
        <w:t>, with continuous treatment over 12 weeks, TEAEs were reported in ten (83.3%) in the 2.5 mg group, eleven (91.7%) in the 5 mg, eleven (100%) in the 10 mg and nine (81.8%) in</w:t>
      </w:r>
      <w:r w:rsidR="00BC2085" w:rsidRPr="00BC2085">
        <w:t xml:space="preserve"> the placebo</w:t>
      </w:r>
      <w:r w:rsidRPr="00BC2085">
        <w:t>.</w:t>
      </w:r>
      <w:r w:rsidR="00892FBC">
        <w:t xml:space="preserve"> </w:t>
      </w:r>
      <w:r w:rsidRPr="00BC2085">
        <w:t>Ovarian cyst &gt;20 mm was reported in two (16.6%) in the 2.5 mg group, six (50.0%) in the 5 mg, nine (81.8%) in the 10 mg and one (9.1%) in the placebo.</w:t>
      </w:r>
      <w:r w:rsidR="00892FBC">
        <w:t xml:space="preserve"> </w:t>
      </w:r>
      <w:r w:rsidRPr="00BC2085">
        <w:t xml:space="preserve">Headache was more common in the </w:t>
      </w:r>
      <w:proofErr w:type="spellStart"/>
      <w:r w:rsidRPr="00BC2085">
        <w:t>ulipristal</w:t>
      </w:r>
      <w:proofErr w:type="spellEnd"/>
      <w:r w:rsidRPr="00BC2085">
        <w:t xml:space="preserve"> groups: six (50.0%) in the 2.5 mg group, five (41.7%) in the 5 mg, four (36.4%) in the 10 mg and two (18.2%) in the placebo.</w:t>
      </w:r>
    </w:p>
    <w:p w:rsidR="00FD669E" w:rsidRPr="00BC2085" w:rsidRDefault="00FD669E" w:rsidP="00BC2085">
      <w:r w:rsidRPr="00BC2085">
        <w:t xml:space="preserve">In </w:t>
      </w:r>
      <w:r w:rsidR="00BC2085" w:rsidRPr="00BC2085">
        <w:t>Study HRA2914-554</w:t>
      </w:r>
      <w:r w:rsidRPr="00BC2085">
        <w:t>, 39 TEAEs were reported in 11 (91.7%) subjects in the weekly group and 29 in 11 (100%) in the every 5 days group.</w:t>
      </w:r>
      <w:r w:rsidR="00892FBC">
        <w:t xml:space="preserve"> </w:t>
      </w:r>
      <w:r w:rsidRPr="00BC2085">
        <w:t xml:space="preserve">Headache was reported in 10 (43.5%) </w:t>
      </w:r>
      <w:proofErr w:type="gramStart"/>
      <w:r w:rsidRPr="00BC2085">
        <w:t>subjects,</w:t>
      </w:r>
      <w:proofErr w:type="gramEnd"/>
      <w:r w:rsidRPr="00BC2085">
        <w:t xml:space="preserve"> and anaemia </w:t>
      </w:r>
      <w:r w:rsidR="00BC2085" w:rsidRPr="00BC2085">
        <w:t>in 4 (17.4%)</w:t>
      </w:r>
      <w:r w:rsidRPr="00BC2085">
        <w:t>.</w:t>
      </w:r>
    </w:p>
    <w:p w:rsidR="00FD669E" w:rsidRPr="00BC2085" w:rsidRDefault="00FD669E" w:rsidP="00BC2085">
      <w:r w:rsidRPr="00BC2085">
        <w:t>In</w:t>
      </w:r>
      <w:r w:rsidR="00BC2085" w:rsidRPr="00BC2085">
        <w:t xml:space="preserve"> Study HRA2914-507,</w:t>
      </w:r>
      <w:r w:rsidRPr="00BC2085">
        <w:t xml:space="preserve"> TEAEs were reported in 639 (77%) subjects in the </w:t>
      </w:r>
      <w:proofErr w:type="spellStart"/>
      <w:r w:rsidRPr="00BC2085">
        <w:t>uliprisal</w:t>
      </w:r>
      <w:proofErr w:type="spellEnd"/>
      <w:r w:rsidRPr="00BC2085">
        <w:t xml:space="preserve"> group and 636 (76%) in the </w:t>
      </w:r>
      <w:proofErr w:type="spellStart"/>
      <w:r w:rsidRPr="00BC2085">
        <w:t>levonorgestrel</w:t>
      </w:r>
      <w:proofErr w:type="spellEnd"/>
      <w:r w:rsidRPr="00BC2085">
        <w:t>.</w:t>
      </w:r>
      <w:r w:rsidR="00892FBC">
        <w:t xml:space="preserve"> </w:t>
      </w:r>
      <w:r w:rsidRPr="00BC2085">
        <w:t>The pattern of TEAEs was similar for the two trea</w:t>
      </w:r>
      <w:r w:rsidR="00BC2085" w:rsidRPr="00BC2085">
        <w:t>tment groups</w:t>
      </w:r>
      <w:r w:rsidRPr="00BC2085">
        <w:t>.</w:t>
      </w:r>
      <w:r w:rsidR="00892FBC">
        <w:t xml:space="preserve"> </w:t>
      </w:r>
      <w:r w:rsidRPr="00BC2085">
        <w:t xml:space="preserve">The commonest TEAEs in the </w:t>
      </w:r>
      <w:proofErr w:type="spellStart"/>
      <w:r w:rsidRPr="00BC2085">
        <w:t>ulipristal</w:t>
      </w:r>
      <w:proofErr w:type="spellEnd"/>
      <w:r w:rsidRPr="00BC2085">
        <w:t xml:space="preserve"> group were: fatigue, headache, nausea, dizziness, uterine pain, breast tenderness and diarrhoea.</w:t>
      </w:r>
    </w:p>
    <w:p w:rsidR="00FD669E" w:rsidRPr="00BC2085" w:rsidRDefault="00FD669E" w:rsidP="00BC2085">
      <w:r w:rsidRPr="00BC2085">
        <w:t>In</w:t>
      </w:r>
      <w:r w:rsidR="00BC2085" w:rsidRPr="00BC2085">
        <w:t xml:space="preserve"> Study HRA2914-508,</w:t>
      </w:r>
      <w:r w:rsidRPr="00BC2085">
        <w:t xml:space="preserve"> TEAEs were reported in 315 (78.9%) subjects in the 10 mg </w:t>
      </w:r>
      <w:proofErr w:type="spellStart"/>
      <w:r w:rsidRPr="00BC2085">
        <w:t>micronised</w:t>
      </w:r>
      <w:proofErr w:type="spellEnd"/>
      <w:r w:rsidRPr="00BC2085">
        <w:t xml:space="preserve"> group and 314 (76.0%) in the </w:t>
      </w:r>
      <w:proofErr w:type="spellStart"/>
      <w:r w:rsidRPr="00BC2085">
        <w:t>unmicronised</w:t>
      </w:r>
      <w:proofErr w:type="spellEnd"/>
      <w:r w:rsidRPr="00BC2085">
        <w:t xml:space="preserve"> 50 mg group.</w:t>
      </w:r>
      <w:r w:rsidR="00892FBC">
        <w:t xml:space="preserve"> </w:t>
      </w:r>
      <w:r w:rsidRPr="00BC2085">
        <w:t>The commonest TEAEs were: headache, nausea, uterine pain, fatigue, dizziness, breast tenderness and menstr</w:t>
      </w:r>
      <w:r w:rsidR="00BC2085" w:rsidRPr="00BC2085">
        <w:t>ual irregularity</w:t>
      </w:r>
      <w:r w:rsidRPr="00BC2085">
        <w:t>.</w:t>
      </w:r>
    </w:p>
    <w:p w:rsidR="00FD669E" w:rsidRPr="00BC2085" w:rsidRDefault="00FD669E" w:rsidP="00BC2085">
      <w:r w:rsidRPr="00BC2085">
        <w:t>In</w:t>
      </w:r>
      <w:r w:rsidR="00BC2085" w:rsidRPr="00BC2085">
        <w:t xml:space="preserve"> Study HRA2914-509,</w:t>
      </w:r>
      <w:r w:rsidRPr="00BC2085">
        <w:t xml:space="preserve"> there were 2232 TEAEs reported in 876 (61.4%) subjects.</w:t>
      </w:r>
      <w:r w:rsidR="00892FBC">
        <w:t xml:space="preserve"> </w:t>
      </w:r>
      <w:r w:rsidRPr="00BC2085">
        <w:t xml:space="preserve">The commonest TEAEs were headache (17.5% subjects), nausea (12.2%), and </w:t>
      </w:r>
      <w:r w:rsidR="00BC2085" w:rsidRPr="00BC2085">
        <w:t>abdominal pain (11.7%)</w:t>
      </w:r>
      <w:r w:rsidRPr="00BC2085">
        <w:t>.</w:t>
      </w:r>
    </w:p>
    <w:p w:rsidR="00FD669E" w:rsidRPr="00BC2085" w:rsidRDefault="00FD669E" w:rsidP="00BC2085">
      <w:r w:rsidRPr="00BC2085">
        <w:t>In</w:t>
      </w:r>
      <w:r w:rsidR="00BC2085" w:rsidRPr="00BC2085">
        <w:t xml:space="preserve"> Study HRA2914-515,</w:t>
      </w:r>
      <w:r w:rsidRPr="00BC2085">
        <w:t xml:space="preserve"> there were 350 TEAEs in 148 (31.4%) subjects: 47 in 19 (29.7%) in the &lt; 16 years group and 171 in 68 (28.5%) in the &lt;18 years group.</w:t>
      </w:r>
      <w:r w:rsidR="00892FBC">
        <w:t xml:space="preserve"> </w:t>
      </w:r>
      <w:r w:rsidRPr="00BC2085">
        <w:t>The most common TEAE was headach</w:t>
      </w:r>
      <w:r w:rsidR="00BC2085" w:rsidRPr="00BC2085">
        <w:t>e, occurring in 10.8% subjects</w:t>
      </w:r>
      <w:r w:rsidRPr="00BC2085">
        <w:t>.</w:t>
      </w:r>
      <w:r w:rsidR="00892FBC">
        <w:t xml:space="preserve"> </w:t>
      </w:r>
      <w:r w:rsidRPr="00BC2085">
        <w:t>Upper abdominal pain was more common in the &lt;16 years age group: 7.8% subjects compared with 2.5%.</w:t>
      </w:r>
    </w:p>
    <w:p w:rsidR="00FD669E" w:rsidRPr="00364E2F" w:rsidRDefault="00FD669E" w:rsidP="00BC2085">
      <w:pPr>
        <w:pStyle w:val="Heading4"/>
      </w:pPr>
      <w:bookmarkStart w:id="190" w:name="_Ref272333567"/>
      <w:bookmarkStart w:id="191" w:name="_Toc272414665"/>
      <w:bookmarkStart w:id="192" w:name="_Toc290846303"/>
      <w:bookmarkStart w:id="193" w:name="_Toc389848895"/>
      <w:r w:rsidRPr="00364E2F">
        <w:t>Treatment-related adverse events (adverse drug reactions)</w:t>
      </w:r>
      <w:bookmarkEnd w:id="190"/>
      <w:bookmarkEnd w:id="191"/>
      <w:bookmarkEnd w:id="192"/>
      <w:bookmarkEnd w:id="193"/>
    </w:p>
    <w:p w:rsidR="00FD669E" w:rsidRPr="00BC2085" w:rsidRDefault="00FD669E" w:rsidP="00BC2085">
      <w:pPr>
        <w:pStyle w:val="Heading5"/>
      </w:pPr>
      <w:r w:rsidRPr="00BC2085">
        <w:t>Pivotal studies</w:t>
      </w:r>
    </w:p>
    <w:p w:rsidR="00FD669E" w:rsidRPr="00BC2085" w:rsidRDefault="00FD669E" w:rsidP="00BC2085">
      <w:r w:rsidRPr="00BC2085">
        <w:t>In</w:t>
      </w:r>
      <w:r w:rsidR="00BC2085" w:rsidRPr="00BC2085">
        <w:t xml:space="preserve"> Study HRA2914-513,</w:t>
      </w:r>
      <w:r w:rsidRPr="00BC2085">
        <w:t xml:space="preserve"> TEAEs certainly, probably or possibly related to treatment were reported in 286 (33.4%) subjects in the </w:t>
      </w:r>
      <w:proofErr w:type="spellStart"/>
      <w:r w:rsidRPr="00BC2085">
        <w:t>ulipristal</w:t>
      </w:r>
      <w:proofErr w:type="spellEnd"/>
      <w:r w:rsidRPr="00BC2085">
        <w:t xml:space="preserve"> group and 307 (35.4%) in the </w:t>
      </w:r>
      <w:proofErr w:type="spellStart"/>
      <w:r w:rsidRPr="00BC2085">
        <w:t>levonorgestrel</w:t>
      </w:r>
      <w:proofErr w:type="spellEnd"/>
      <w:r w:rsidRPr="00BC2085">
        <w:t>.</w:t>
      </w:r>
      <w:r w:rsidR="00892FBC">
        <w:t xml:space="preserve"> </w:t>
      </w:r>
      <w:r w:rsidRPr="00BC2085">
        <w:lastRenderedPageBreak/>
        <w:t>The pattern of these TEAEs was similar for the two groups, and no single event occurred</w:t>
      </w:r>
      <w:r w:rsidR="00BC2085" w:rsidRPr="00BC2085">
        <w:t xml:space="preserve"> in ≥10% in either study group</w:t>
      </w:r>
      <w:r w:rsidRPr="00BC2085">
        <w:t>.</w:t>
      </w:r>
    </w:p>
    <w:p w:rsidR="00FD669E" w:rsidRPr="00BC2085" w:rsidRDefault="00FD669E" w:rsidP="00BC2085">
      <w:pPr>
        <w:pStyle w:val="Heading5"/>
      </w:pPr>
      <w:r w:rsidRPr="00BC2085">
        <w:t>Other studies</w:t>
      </w:r>
    </w:p>
    <w:p w:rsidR="00FD669E" w:rsidRPr="00BC2085" w:rsidRDefault="00FD669E" w:rsidP="00BC2085">
      <w:r w:rsidRPr="00BC2085">
        <w:t>In</w:t>
      </w:r>
      <w:r w:rsidR="00BC2085">
        <w:t xml:space="preserve"> Study HRA2914-509,</w:t>
      </w:r>
      <w:r w:rsidRPr="00BC2085">
        <w:t xml:space="preserve"> the commonest TEAEs attributed to study treatment were headache (10.6% subjects) and na</w:t>
      </w:r>
      <w:r w:rsidR="00BC2085">
        <w:t>usea (10.5%)</w:t>
      </w:r>
      <w:r w:rsidRPr="00BC2085">
        <w:t>.</w:t>
      </w:r>
    </w:p>
    <w:p w:rsidR="00FD669E" w:rsidRPr="00BC2085" w:rsidRDefault="00BC2085" w:rsidP="00BC2085">
      <w:r>
        <w:t>In Study HRA2914-515,</w:t>
      </w:r>
      <w:r w:rsidR="00FD669E" w:rsidRPr="00BC2085">
        <w:t xml:space="preserve"> two TEAEs certainly related to study medication were reported in one (0.2%) subject, there were 35 in 23 (4.9%) probably related to study medication and 70 in 39 (8.3%) possibly related to study medication.</w:t>
      </w:r>
    </w:p>
    <w:p w:rsidR="00FD669E" w:rsidRPr="00364E2F" w:rsidRDefault="00FD669E" w:rsidP="00BC2085">
      <w:pPr>
        <w:pStyle w:val="Heading4"/>
      </w:pPr>
      <w:bookmarkStart w:id="194" w:name="_Toc241374320"/>
      <w:bookmarkStart w:id="195" w:name="_Ref272333507"/>
      <w:bookmarkStart w:id="196" w:name="_Toc272414666"/>
      <w:bookmarkStart w:id="197" w:name="_Toc290846304"/>
      <w:bookmarkStart w:id="198" w:name="_Toc389848896"/>
      <w:r w:rsidRPr="00364E2F">
        <w:t>Deaths and other serious adverse events</w:t>
      </w:r>
      <w:bookmarkEnd w:id="194"/>
      <w:bookmarkEnd w:id="195"/>
      <w:bookmarkEnd w:id="196"/>
      <w:bookmarkEnd w:id="197"/>
      <w:bookmarkEnd w:id="198"/>
    </w:p>
    <w:p w:rsidR="00FD669E" w:rsidRPr="00BC2085" w:rsidRDefault="00FD669E" w:rsidP="00BC2085">
      <w:pPr>
        <w:pStyle w:val="Heading5"/>
      </w:pPr>
      <w:r w:rsidRPr="00BC2085">
        <w:t>Pivotal studies</w:t>
      </w:r>
    </w:p>
    <w:p w:rsidR="00FD669E" w:rsidRPr="00BC2085" w:rsidRDefault="00FD669E" w:rsidP="00BC2085">
      <w:r w:rsidRPr="00BC2085">
        <w:t>In</w:t>
      </w:r>
      <w:r w:rsidR="00BC2085" w:rsidRPr="00BC2085">
        <w:t xml:space="preserve"> Study HRA2914-513,</w:t>
      </w:r>
      <w:r w:rsidRPr="00BC2085">
        <w:t xml:space="preserve"> there were no deaths reported during the study.</w:t>
      </w:r>
      <w:r w:rsidR="00892FBC">
        <w:t xml:space="preserve"> </w:t>
      </w:r>
      <w:r w:rsidRPr="00BC2085">
        <w:t xml:space="preserve">There were three SAEs in the </w:t>
      </w:r>
      <w:proofErr w:type="spellStart"/>
      <w:r w:rsidRPr="00BC2085">
        <w:t>ulipristal</w:t>
      </w:r>
      <w:proofErr w:type="spellEnd"/>
      <w:r w:rsidRPr="00BC2085">
        <w:t xml:space="preserve"> group: urinary tract infection, right contact lens related corneal ulcer and dizziness; and four in the </w:t>
      </w:r>
      <w:proofErr w:type="spellStart"/>
      <w:r w:rsidRPr="00BC2085">
        <w:t>levonorgestrel</w:t>
      </w:r>
      <w:proofErr w:type="spellEnd"/>
      <w:r w:rsidRPr="00BC2085">
        <w:t>: vomiting blood stained fluid, molar pregnancy, ruptured ovarian cyst, and kidney stones.</w:t>
      </w:r>
    </w:p>
    <w:p w:rsidR="00FD669E" w:rsidRPr="00BC2085" w:rsidRDefault="00FD669E" w:rsidP="00BC2085">
      <w:pPr>
        <w:pStyle w:val="Heading5"/>
      </w:pPr>
      <w:r w:rsidRPr="00BC2085">
        <w:t>Other studies</w:t>
      </w:r>
    </w:p>
    <w:p w:rsidR="00FD669E" w:rsidRPr="00BC2085" w:rsidRDefault="00FD669E" w:rsidP="00BC2085">
      <w:r w:rsidRPr="00BC2085">
        <w:t xml:space="preserve">In </w:t>
      </w:r>
      <w:r w:rsidR="00BC2085" w:rsidRPr="00BC2085">
        <w:t>Study HRA2914-510</w:t>
      </w:r>
      <w:r w:rsidRPr="00BC2085">
        <w:t>, with continuous treatment over 12 weeks, there were no deaths.</w:t>
      </w:r>
      <w:r w:rsidR="00892FBC">
        <w:t xml:space="preserve"> </w:t>
      </w:r>
      <w:r w:rsidRPr="00BC2085">
        <w:t>There were two SAEs: abdominal pain/fever and Grave’s disease.</w:t>
      </w:r>
    </w:p>
    <w:p w:rsidR="00FD669E" w:rsidRPr="00BC2085" w:rsidRDefault="00FD669E" w:rsidP="00BC2085">
      <w:r w:rsidRPr="00BC2085">
        <w:t xml:space="preserve">In </w:t>
      </w:r>
      <w:r w:rsidR="00BC2085" w:rsidRPr="00BC2085">
        <w:t>Study HRA2914-554,</w:t>
      </w:r>
      <w:r w:rsidRPr="00BC2085">
        <w:t xml:space="preserve"> there were no deaths, and no SAEs.</w:t>
      </w:r>
    </w:p>
    <w:p w:rsidR="00FD669E" w:rsidRPr="00BC2085" w:rsidRDefault="00FD669E" w:rsidP="00BC2085">
      <w:r w:rsidRPr="00BC2085">
        <w:t>In</w:t>
      </w:r>
      <w:r w:rsidR="00BC2085" w:rsidRPr="00BC2085">
        <w:t xml:space="preserve"> Study HRA2914-507,</w:t>
      </w:r>
      <w:r w:rsidRPr="00BC2085">
        <w:t xml:space="preserve"> there were no deaths.</w:t>
      </w:r>
      <w:r w:rsidR="00892FBC">
        <w:t xml:space="preserve"> </w:t>
      </w:r>
      <w:r w:rsidRPr="00BC2085">
        <w:t xml:space="preserve">There were two SAEs, both in the </w:t>
      </w:r>
      <w:proofErr w:type="spellStart"/>
      <w:r w:rsidRPr="00BC2085">
        <w:t>ulipristal</w:t>
      </w:r>
      <w:proofErr w:type="spellEnd"/>
      <w:r w:rsidRPr="00BC2085">
        <w:t xml:space="preserve"> group: kidney infection and pelvic inflammatory disease.</w:t>
      </w:r>
    </w:p>
    <w:p w:rsidR="00FD669E" w:rsidRPr="00BC2085" w:rsidRDefault="00FD669E" w:rsidP="00BC2085">
      <w:r w:rsidRPr="00BC2085">
        <w:t>In Study HR</w:t>
      </w:r>
      <w:r w:rsidR="00BC2085" w:rsidRPr="00BC2085">
        <w:t>A2914-508,</w:t>
      </w:r>
      <w:r w:rsidRPr="00BC2085">
        <w:t xml:space="preserve"> there were no deaths or SAEs.</w:t>
      </w:r>
    </w:p>
    <w:p w:rsidR="00FD669E" w:rsidRPr="00BC2085" w:rsidRDefault="00FD669E" w:rsidP="00BC2085">
      <w:r w:rsidRPr="00BC2085">
        <w:t>In</w:t>
      </w:r>
      <w:r w:rsidR="00BC2085" w:rsidRPr="00BC2085">
        <w:t xml:space="preserve"> Study HRA2914-509,</w:t>
      </w:r>
      <w:r w:rsidRPr="00BC2085">
        <w:t xml:space="preserve"> there were no deaths.</w:t>
      </w:r>
      <w:r w:rsidR="00892FBC">
        <w:t xml:space="preserve"> </w:t>
      </w:r>
      <w:r w:rsidRPr="00BC2085">
        <w:t>There was one SAE reported: seizures.</w:t>
      </w:r>
    </w:p>
    <w:p w:rsidR="00FD669E" w:rsidRPr="00BC2085" w:rsidRDefault="00FD669E" w:rsidP="00BC2085">
      <w:r w:rsidRPr="00BC2085">
        <w:t>In</w:t>
      </w:r>
      <w:r w:rsidR="00BC2085" w:rsidRPr="00BC2085">
        <w:t xml:space="preserve"> Study HRA2914-515,</w:t>
      </w:r>
      <w:r w:rsidRPr="00BC2085">
        <w:t xml:space="preserve"> there were no deaths reported.</w:t>
      </w:r>
      <w:r w:rsidR="00892FBC">
        <w:t xml:space="preserve"> </w:t>
      </w:r>
      <w:r w:rsidRPr="00BC2085">
        <w:t>There was one SAE: viral infection.</w:t>
      </w:r>
    </w:p>
    <w:p w:rsidR="00FD669E" w:rsidRPr="00364E2F" w:rsidRDefault="00FD669E" w:rsidP="007E5D41">
      <w:pPr>
        <w:pStyle w:val="Heading4"/>
      </w:pPr>
      <w:bookmarkStart w:id="199" w:name="_Toc241374325"/>
      <w:bookmarkStart w:id="200" w:name="_Ref272333477"/>
      <w:bookmarkStart w:id="201" w:name="_Toc272414667"/>
      <w:bookmarkStart w:id="202" w:name="_Toc290846305"/>
      <w:bookmarkStart w:id="203" w:name="_Toc389848897"/>
      <w:r w:rsidRPr="00364E2F">
        <w:t>Discontinuation due to adverse events</w:t>
      </w:r>
      <w:bookmarkEnd w:id="199"/>
      <w:bookmarkEnd w:id="200"/>
      <w:bookmarkEnd w:id="201"/>
      <w:bookmarkEnd w:id="202"/>
      <w:bookmarkEnd w:id="203"/>
    </w:p>
    <w:p w:rsidR="00FD669E" w:rsidRPr="00BC2085" w:rsidRDefault="00FD669E" w:rsidP="00BC2085">
      <w:pPr>
        <w:pStyle w:val="Heading5"/>
      </w:pPr>
      <w:r w:rsidRPr="00BC2085">
        <w:t>Pivotal studies</w:t>
      </w:r>
    </w:p>
    <w:p w:rsidR="00FD669E" w:rsidRPr="00BC2085" w:rsidRDefault="00FD669E" w:rsidP="00BC2085">
      <w:r w:rsidRPr="00BC2085">
        <w:t>In</w:t>
      </w:r>
      <w:r w:rsidR="00BC2085" w:rsidRPr="00BC2085">
        <w:t xml:space="preserve"> Study HRA2914-513,</w:t>
      </w:r>
      <w:r w:rsidRPr="00BC2085">
        <w:t xml:space="preserve"> two subjects in the </w:t>
      </w:r>
      <w:proofErr w:type="spellStart"/>
      <w:r w:rsidRPr="00BC2085">
        <w:t>ulipristal</w:t>
      </w:r>
      <w:proofErr w:type="spellEnd"/>
      <w:r w:rsidRPr="00BC2085">
        <w:t xml:space="preserve"> group discontinued because of AEs: vomiting and ruptured ovarian cyst.</w:t>
      </w:r>
    </w:p>
    <w:p w:rsidR="00FD669E" w:rsidRPr="00BC2085" w:rsidRDefault="00FD669E" w:rsidP="00BC2085">
      <w:pPr>
        <w:pStyle w:val="Heading5"/>
      </w:pPr>
      <w:r w:rsidRPr="00BC2085">
        <w:t>Other studies</w:t>
      </w:r>
    </w:p>
    <w:p w:rsidR="00FD669E" w:rsidRPr="00BC2085" w:rsidRDefault="00FD669E" w:rsidP="00BC2085">
      <w:r w:rsidRPr="00BC2085">
        <w:t xml:space="preserve">In </w:t>
      </w:r>
      <w:r w:rsidR="00BC2085">
        <w:t>Study HRA2914-510</w:t>
      </w:r>
      <w:r w:rsidRPr="00BC2085">
        <w:t>, with continuous treatment over 12 weeks, there was one DAE: abdominal pain/fever.</w:t>
      </w:r>
    </w:p>
    <w:p w:rsidR="00FD669E" w:rsidRPr="00BC2085" w:rsidRDefault="00FD669E" w:rsidP="00BC2085">
      <w:r w:rsidRPr="00BC2085">
        <w:t xml:space="preserve">In </w:t>
      </w:r>
      <w:r w:rsidR="00BC2085">
        <w:t>Study HRA2914-554</w:t>
      </w:r>
      <w:r w:rsidRPr="00BC2085">
        <w:t xml:space="preserve">, </w:t>
      </w:r>
      <w:r w:rsidR="00BC2085">
        <w:t>Study HRA2914-507</w:t>
      </w:r>
      <w:r w:rsidRPr="00BC2085">
        <w:t xml:space="preserve">, </w:t>
      </w:r>
      <w:r w:rsidR="00BC2085">
        <w:t>Study HRA2914-508</w:t>
      </w:r>
      <w:r w:rsidRPr="00BC2085">
        <w:t xml:space="preserve">, </w:t>
      </w:r>
      <w:r w:rsidR="00BC2085">
        <w:t>Study HRA2914-509</w:t>
      </w:r>
      <w:r w:rsidRPr="00BC2085">
        <w:t xml:space="preserve">, and </w:t>
      </w:r>
      <w:r w:rsidR="00BC2085">
        <w:t>Study HRA2914-515,</w:t>
      </w:r>
      <w:r w:rsidRPr="00BC2085">
        <w:t xml:space="preserve"> there were no DAEs reported.</w:t>
      </w:r>
    </w:p>
    <w:p w:rsidR="00FD669E" w:rsidRPr="007045B6" w:rsidRDefault="00FD669E" w:rsidP="007E5D41">
      <w:pPr>
        <w:pStyle w:val="Heading3"/>
      </w:pPr>
      <w:bookmarkStart w:id="204" w:name="_Toc241374321"/>
      <w:bookmarkStart w:id="205" w:name="_Ref271044780"/>
      <w:bookmarkStart w:id="206" w:name="_Ref271196640"/>
      <w:bookmarkStart w:id="207" w:name="_Ref272333085"/>
      <w:bookmarkStart w:id="208" w:name="_Toc272414668"/>
      <w:bookmarkStart w:id="209" w:name="_Toc290846306"/>
      <w:bookmarkStart w:id="210" w:name="_Toc389848898"/>
      <w:bookmarkStart w:id="211" w:name="_Toc430094074"/>
      <w:r w:rsidRPr="007E5D41">
        <w:t>Laboratory</w:t>
      </w:r>
      <w:r w:rsidRPr="007045B6">
        <w:t xml:space="preserve"> tests</w:t>
      </w:r>
      <w:bookmarkEnd w:id="204"/>
      <w:bookmarkEnd w:id="205"/>
      <w:bookmarkEnd w:id="206"/>
      <w:bookmarkEnd w:id="207"/>
      <w:bookmarkEnd w:id="208"/>
      <w:bookmarkEnd w:id="209"/>
      <w:bookmarkEnd w:id="210"/>
      <w:bookmarkEnd w:id="211"/>
    </w:p>
    <w:p w:rsidR="00FD669E" w:rsidRPr="007045B6" w:rsidRDefault="00FD669E" w:rsidP="007045B6">
      <w:r w:rsidRPr="007045B6">
        <w:t xml:space="preserve">In Study HRA2914-507 </w:t>
      </w:r>
      <w:r w:rsidR="007045B6">
        <w:t>and Study HRA2914-513,</w:t>
      </w:r>
      <w:r w:rsidRPr="007045B6">
        <w:t xml:space="preserve"> laboratory tests were not performed as a safety outcome measure.</w:t>
      </w:r>
    </w:p>
    <w:p w:rsidR="00FD669E" w:rsidRPr="00364E2F" w:rsidRDefault="00FD669E" w:rsidP="00E527DC">
      <w:pPr>
        <w:pStyle w:val="Heading4"/>
      </w:pPr>
      <w:bookmarkStart w:id="212" w:name="_Toc272414669"/>
      <w:bookmarkStart w:id="213" w:name="_Toc290846307"/>
      <w:bookmarkStart w:id="214" w:name="_Toc389848899"/>
      <w:r w:rsidRPr="00364E2F">
        <w:t>Liver function</w:t>
      </w:r>
      <w:bookmarkEnd w:id="212"/>
      <w:bookmarkEnd w:id="213"/>
      <w:bookmarkEnd w:id="214"/>
    </w:p>
    <w:p w:rsidR="00FD669E" w:rsidRPr="00E527DC" w:rsidRDefault="00FD669E" w:rsidP="00E527DC">
      <w:r w:rsidRPr="00E527DC">
        <w:t>No clinically significant abnormalities in liver function were reported.</w:t>
      </w:r>
    </w:p>
    <w:p w:rsidR="00FD669E" w:rsidRPr="00364E2F" w:rsidRDefault="00FD669E" w:rsidP="00E527DC">
      <w:pPr>
        <w:pStyle w:val="Heading4"/>
      </w:pPr>
      <w:bookmarkStart w:id="215" w:name="_Toc272414670"/>
      <w:bookmarkStart w:id="216" w:name="_Toc290846308"/>
      <w:bookmarkStart w:id="217" w:name="_Toc389848900"/>
      <w:r w:rsidRPr="00364E2F">
        <w:t>Kidney function</w:t>
      </w:r>
      <w:bookmarkEnd w:id="215"/>
      <w:bookmarkEnd w:id="216"/>
      <w:bookmarkEnd w:id="217"/>
    </w:p>
    <w:p w:rsidR="00FD669E" w:rsidRPr="00E527DC" w:rsidRDefault="00FD669E" w:rsidP="00E527DC">
      <w:r w:rsidRPr="00E527DC">
        <w:t>No clinically significant abnormalities in renal function were reported.</w:t>
      </w:r>
    </w:p>
    <w:p w:rsidR="00FD669E" w:rsidRPr="00364E2F" w:rsidRDefault="00FD669E" w:rsidP="00E527DC">
      <w:pPr>
        <w:pStyle w:val="Heading4"/>
      </w:pPr>
      <w:bookmarkStart w:id="218" w:name="_Toc272414671"/>
      <w:bookmarkStart w:id="219" w:name="_Toc290846309"/>
      <w:bookmarkStart w:id="220" w:name="_Toc389848901"/>
      <w:r w:rsidRPr="00364E2F">
        <w:lastRenderedPageBreak/>
        <w:t>Other clinical chemistry</w:t>
      </w:r>
      <w:bookmarkEnd w:id="218"/>
      <w:bookmarkEnd w:id="219"/>
      <w:bookmarkEnd w:id="220"/>
    </w:p>
    <w:p w:rsidR="00FD669E" w:rsidRPr="00E527DC" w:rsidRDefault="00FD669E" w:rsidP="00E527DC">
      <w:r w:rsidRPr="00E527DC">
        <w:t>No clinically significant abnormalities in other clinical chemistry were reported.</w:t>
      </w:r>
    </w:p>
    <w:p w:rsidR="00FD669E" w:rsidRPr="00364E2F" w:rsidRDefault="00FD669E" w:rsidP="00E527DC">
      <w:pPr>
        <w:pStyle w:val="Heading4"/>
      </w:pPr>
      <w:bookmarkStart w:id="221" w:name="_Toc272414672"/>
      <w:bookmarkStart w:id="222" w:name="_Toc290846310"/>
      <w:bookmarkStart w:id="223" w:name="_Toc389848902"/>
      <w:r w:rsidRPr="00364E2F">
        <w:t>Haematology</w:t>
      </w:r>
      <w:bookmarkEnd w:id="221"/>
      <w:bookmarkEnd w:id="222"/>
      <w:bookmarkEnd w:id="223"/>
    </w:p>
    <w:p w:rsidR="00FD669E" w:rsidRPr="00E527DC" w:rsidRDefault="00FD669E" w:rsidP="00E527DC">
      <w:r w:rsidRPr="00E527DC">
        <w:t xml:space="preserve">In </w:t>
      </w:r>
      <w:r w:rsidR="00E527DC">
        <w:t>Study HRA2914-554,</w:t>
      </w:r>
      <w:r w:rsidRPr="00E527DC">
        <w:t xml:space="preserve"> protein C, protein S, APC resistance test, and SHBG remained within normal limits in all subjects.</w:t>
      </w:r>
      <w:r w:rsidR="00892FBC">
        <w:t xml:space="preserve"> </w:t>
      </w:r>
      <w:r w:rsidRPr="00E527DC">
        <w:t>However, four subjects developed anaemia.</w:t>
      </w:r>
    </w:p>
    <w:p w:rsidR="00FD669E" w:rsidRPr="00364E2F" w:rsidRDefault="00FD669E" w:rsidP="00E527DC">
      <w:pPr>
        <w:pStyle w:val="Heading4"/>
      </w:pPr>
      <w:bookmarkStart w:id="224" w:name="_Toc389848903"/>
      <w:r w:rsidRPr="00364E2F">
        <w:t>Nausea and vomiting</w:t>
      </w:r>
      <w:bookmarkEnd w:id="224"/>
    </w:p>
    <w:p w:rsidR="00FD669E" w:rsidRPr="00910EF3" w:rsidRDefault="00FD669E" w:rsidP="00910EF3">
      <w:r w:rsidRPr="00910EF3">
        <w:t>I</w:t>
      </w:r>
      <w:r w:rsidR="00E527DC" w:rsidRPr="00910EF3">
        <w:t>n Study HRA2914-507</w:t>
      </w:r>
      <w:r w:rsidRPr="00910EF3">
        <w:t xml:space="preserve">, at a 50 mg dose level, there </w:t>
      </w:r>
      <w:proofErr w:type="gramStart"/>
      <w:r w:rsidRPr="00910EF3">
        <w:t>was</w:t>
      </w:r>
      <w:proofErr w:type="gramEnd"/>
      <w:r w:rsidRPr="00910EF3">
        <w:t xml:space="preserve"> a greater proportion of subjects with nausea in the </w:t>
      </w:r>
      <w:proofErr w:type="spellStart"/>
      <w:r w:rsidRPr="00910EF3">
        <w:t>ulipristal</w:t>
      </w:r>
      <w:proofErr w:type="spellEnd"/>
      <w:r w:rsidRPr="00910EF3">
        <w:t xml:space="preserve"> group: 237 (30%) subjects compared with 186 (24%) in the </w:t>
      </w:r>
      <w:proofErr w:type="spellStart"/>
      <w:r w:rsidRPr="00910EF3">
        <w:t>levonorgestrel</w:t>
      </w:r>
      <w:proofErr w:type="spellEnd"/>
      <w:r w:rsidRPr="00910EF3">
        <w:t xml:space="preserve"> (p = 0.008).</w:t>
      </w:r>
      <w:r w:rsidR="00892FBC">
        <w:t xml:space="preserve"> </w:t>
      </w:r>
      <w:r w:rsidRPr="00910EF3">
        <w:t>The nausea was more likely on Day</w:t>
      </w:r>
      <w:r w:rsidR="00892FBC">
        <w:t>s 1 and 2 post-dose</w:t>
      </w:r>
      <w:r w:rsidRPr="00910EF3">
        <w:t>.</w:t>
      </w:r>
      <w:r w:rsidR="00892FBC">
        <w:t xml:space="preserve"> </w:t>
      </w:r>
      <w:r w:rsidRPr="00910EF3">
        <w:t xml:space="preserve">However, vomiting was reported in 19 (2%) subjects in the </w:t>
      </w:r>
      <w:proofErr w:type="spellStart"/>
      <w:r w:rsidRPr="00910EF3">
        <w:t>ulipristal</w:t>
      </w:r>
      <w:proofErr w:type="spellEnd"/>
      <w:r w:rsidRPr="00910EF3">
        <w:t xml:space="preserve"> group and 14 (2%) in</w:t>
      </w:r>
      <w:r w:rsidR="00E527DC" w:rsidRPr="00910EF3">
        <w:t xml:space="preserve"> the </w:t>
      </w:r>
      <w:proofErr w:type="spellStart"/>
      <w:r w:rsidR="00E527DC" w:rsidRPr="00910EF3">
        <w:t>levonorgestrel</w:t>
      </w:r>
      <w:proofErr w:type="spellEnd"/>
      <w:r w:rsidRPr="00910EF3">
        <w:t>.</w:t>
      </w:r>
    </w:p>
    <w:p w:rsidR="00FD669E" w:rsidRPr="00910EF3" w:rsidRDefault="00FD669E" w:rsidP="00910EF3">
      <w:r w:rsidRPr="00910EF3">
        <w:t xml:space="preserve">In </w:t>
      </w:r>
      <w:r w:rsidR="00E527DC" w:rsidRPr="00910EF3">
        <w:t xml:space="preserve">Study HRA2914-508, </w:t>
      </w:r>
      <w:r w:rsidRPr="00910EF3">
        <w:t xml:space="preserve">nausea was reported in 122 (30.6%) subjects in the 10 mg </w:t>
      </w:r>
      <w:proofErr w:type="spellStart"/>
      <w:r w:rsidRPr="00910EF3">
        <w:t>micronised</w:t>
      </w:r>
      <w:proofErr w:type="spellEnd"/>
      <w:r w:rsidRPr="00910EF3">
        <w:t xml:space="preserve"> group and 90 (21</w:t>
      </w:r>
      <w:r w:rsidR="00910EF3" w:rsidRPr="00910EF3">
        <w:t xml:space="preserve">.8%) in the 50 mg </w:t>
      </w:r>
      <w:proofErr w:type="spellStart"/>
      <w:r w:rsidR="00910EF3" w:rsidRPr="00910EF3">
        <w:t>unmicronised</w:t>
      </w:r>
      <w:proofErr w:type="spellEnd"/>
      <w:r w:rsidRPr="00910EF3">
        <w:t>.</w:t>
      </w:r>
      <w:r w:rsidR="00892FBC">
        <w:t xml:space="preserve"> </w:t>
      </w:r>
      <w:r w:rsidRPr="00910EF3">
        <w:t>Nausea was more common on Day1 post dose.</w:t>
      </w:r>
      <w:r w:rsidR="00892FBC">
        <w:t xml:space="preserve"> </w:t>
      </w:r>
      <w:r w:rsidRPr="00910EF3">
        <w:t xml:space="preserve">There were few reports of vomiting: on Day 1 seven (2%) subjects in the 10 mg </w:t>
      </w:r>
      <w:proofErr w:type="spellStart"/>
      <w:r w:rsidRPr="00910EF3">
        <w:t>micronised</w:t>
      </w:r>
      <w:proofErr w:type="spellEnd"/>
      <w:r w:rsidRPr="00910EF3">
        <w:t xml:space="preserve"> group and six (1%) in the 50 mg </w:t>
      </w:r>
      <w:proofErr w:type="spellStart"/>
      <w:r w:rsidRPr="00910EF3">
        <w:t>unmicronised</w:t>
      </w:r>
      <w:proofErr w:type="spellEnd"/>
      <w:r w:rsidRPr="00910EF3">
        <w:t>.</w:t>
      </w:r>
    </w:p>
    <w:p w:rsidR="00FD669E" w:rsidRPr="00364E2F" w:rsidRDefault="00FD669E" w:rsidP="003544C1">
      <w:pPr>
        <w:pStyle w:val="Heading4"/>
      </w:pPr>
      <w:bookmarkStart w:id="225" w:name="_Toc389848904"/>
      <w:r w:rsidRPr="00364E2F">
        <w:t>Effects on the menstrual cycle</w:t>
      </w:r>
      <w:bookmarkEnd w:id="225"/>
    </w:p>
    <w:p w:rsidR="00FD669E" w:rsidRPr="00364E2F" w:rsidRDefault="00FD669E" w:rsidP="003544C1">
      <w:pPr>
        <w:pStyle w:val="Heading5"/>
      </w:pPr>
      <w:r w:rsidRPr="00364E2F">
        <w:t>Pivotal studies</w:t>
      </w:r>
    </w:p>
    <w:p w:rsidR="00FD669E" w:rsidRPr="00327D45" w:rsidRDefault="00FD669E" w:rsidP="00327D45">
      <w:r w:rsidRPr="00327D45">
        <w:t>In</w:t>
      </w:r>
      <w:r w:rsidR="00327D45" w:rsidRPr="00327D45">
        <w:t xml:space="preserve"> Study HRA2914-513,</w:t>
      </w:r>
      <w:r w:rsidRPr="00327D45">
        <w:t xml:space="preserve"> the mean (SE) change in menstrual cycle length was 2.3 (0.3) days in the </w:t>
      </w:r>
      <w:proofErr w:type="spellStart"/>
      <w:r w:rsidRPr="00327D45">
        <w:t>ulipristal</w:t>
      </w:r>
      <w:proofErr w:type="spellEnd"/>
      <w:r w:rsidRPr="00327D45">
        <w:t xml:space="preserve"> group and -1.5 (0.3) days in the </w:t>
      </w:r>
      <w:proofErr w:type="spellStart"/>
      <w:r w:rsidRPr="00327D45">
        <w:t>levonorgestrel</w:t>
      </w:r>
      <w:proofErr w:type="spellEnd"/>
      <w:r w:rsidRPr="00327D45">
        <w:t>.</w:t>
      </w:r>
      <w:r w:rsidR="00892FBC">
        <w:t xml:space="preserve"> </w:t>
      </w:r>
      <w:r w:rsidRPr="00327D45">
        <w:t xml:space="preserve">There were 40 (4.7%) subjects in the </w:t>
      </w:r>
      <w:proofErr w:type="spellStart"/>
      <w:r w:rsidRPr="00327D45">
        <w:t>ulipristal</w:t>
      </w:r>
      <w:proofErr w:type="spellEnd"/>
      <w:r w:rsidRPr="00327D45">
        <w:t xml:space="preserve"> group and 19 (2.2%) in the </w:t>
      </w:r>
      <w:proofErr w:type="spellStart"/>
      <w:r w:rsidRPr="00327D45">
        <w:t>levonorgestrel</w:t>
      </w:r>
      <w:proofErr w:type="spellEnd"/>
      <w:r w:rsidRPr="00327D45">
        <w:t xml:space="preserve"> with amenorrhoea follow-up.</w:t>
      </w:r>
      <w:r w:rsidR="00892FBC">
        <w:t xml:space="preserve"> </w:t>
      </w:r>
      <w:r w:rsidRPr="00327D45">
        <w:t xml:space="preserve">Menses had not returned by 60 days for three subjects in the </w:t>
      </w:r>
      <w:proofErr w:type="spellStart"/>
      <w:r w:rsidRPr="00327D45">
        <w:t>ulipristal</w:t>
      </w:r>
      <w:proofErr w:type="spellEnd"/>
      <w:r w:rsidRPr="00327D45">
        <w:t xml:space="preserve"> group, and none in the </w:t>
      </w:r>
      <w:proofErr w:type="spellStart"/>
      <w:r w:rsidRPr="00327D45">
        <w:t>levonorgestrel</w:t>
      </w:r>
      <w:proofErr w:type="spellEnd"/>
      <w:r w:rsidRPr="00327D45">
        <w:t>.</w:t>
      </w:r>
      <w:r w:rsidR="00892FBC">
        <w:t xml:space="preserve"> </w:t>
      </w:r>
      <w:r w:rsidRPr="00327D45">
        <w:t>Vaginal bleeding was similar for the tw</w:t>
      </w:r>
      <w:r w:rsidR="00327D45">
        <w:t>o treatment groups</w:t>
      </w:r>
      <w:r w:rsidRPr="00327D45">
        <w:t>.</w:t>
      </w:r>
    </w:p>
    <w:p w:rsidR="00FD669E" w:rsidRPr="00364E2F" w:rsidRDefault="00FD669E" w:rsidP="003544C1">
      <w:pPr>
        <w:pStyle w:val="Heading5"/>
      </w:pPr>
      <w:r w:rsidRPr="00364E2F">
        <w:t>Other studies</w:t>
      </w:r>
    </w:p>
    <w:p w:rsidR="00FD669E" w:rsidRPr="00327D45" w:rsidRDefault="00FD669E" w:rsidP="00327D45">
      <w:r w:rsidRPr="00327D45">
        <w:t>In</w:t>
      </w:r>
      <w:r w:rsidR="00327D45" w:rsidRPr="00327D45">
        <w:t xml:space="preserve"> Study HRA2914-507</w:t>
      </w:r>
      <w:r w:rsidRPr="00327D45">
        <w:t xml:space="preserve">, at a 50 mg dose level, </w:t>
      </w:r>
      <w:proofErr w:type="spellStart"/>
      <w:r w:rsidRPr="00327D45">
        <w:t>ulipristal</w:t>
      </w:r>
      <w:proofErr w:type="spellEnd"/>
      <w:r w:rsidRPr="00327D45">
        <w:t xml:space="preserve"> increased cycle length by a mean (SD) of 2.8 (9.15) days, whereas </w:t>
      </w:r>
      <w:proofErr w:type="spellStart"/>
      <w:r w:rsidRPr="00327D45">
        <w:t>levonorgestrel</w:t>
      </w:r>
      <w:proofErr w:type="spellEnd"/>
      <w:r w:rsidRPr="00327D45">
        <w:t xml:space="preserve"> decreased cycle length </w:t>
      </w:r>
      <w:r w:rsidR="00327D45" w:rsidRPr="00327D45">
        <w:t>by 2.1 (7.82) days</w:t>
      </w:r>
      <w:r w:rsidRPr="00327D45">
        <w:t>.</w:t>
      </w:r>
    </w:p>
    <w:p w:rsidR="00FD669E" w:rsidRPr="00327D45" w:rsidRDefault="00FD669E" w:rsidP="00327D45">
      <w:r w:rsidRPr="00327D45">
        <w:t xml:space="preserve">Mean (SD) change in cycle length was 1.4 (7.56) days for the 10 mg </w:t>
      </w:r>
      <w:proofErr w:type="spellStart"/>
      <w:r w:rsidRPr="00327D45">
        <w:t>micronised</w:t>
      </w:r>
      <w:proofErr w:type="spellEnd"/>
      <w:r w:rsidRPr="00327D45">
        <w:t xml:space="preserve"> group and 2.0 (8.31) days for the 50 mg </w:t>
      </w:r>
      <w:proofErr w:type="spellStart"/>
      <w:r w:rsidRPr="00327D45">
        <w:t>unmicronised</w:t>
      </w:r>
      <w:proofErr w:type="spellEnd"/>
      <w:r w:rsidRPr="00327D45">
        <w:t>.</w:t>
      </w:r>
      <w:r w:rsidR="00892FBC">
        <w:t xml:space="preserve"> </w:t>
      </w:r>
      <w:r w:rsidRPr="00327D45">
        <w:t>There was no difference between the treatment groups in menstrual symptoms.</w:t>
      </w:r>
    </w:p>
    <w:p w:rsidR="00FD669E" w:rsidRPr="00327D45" w:rsidRDefault="00FD669E" w:rsidP="00327D45">
      <w:r w:rsidRPr="00327D45">
        <w:t>In</w:t>
      </w:r>
      <w:r w:rsidR="00327D45">
        <w:t xml:space="preserve"> Study HRA2914-509,</w:t>
      </w:r>
      <w:r w:rsidRPr="00327D45">
        <w:t xml:space="preserve"> the mean (SE) change in cycle length was 2.9 (0.3) days.</w:t>
      </w:r>
      <w:r w:rsidR="00892FBC">
        <w:t xml:space="preserve"> </w:t>
      </w:r>
      <w:r w:rsidRPr="00327D45">
        <w:t>In eight subjects menses had not returned within 60 days of follow-up visit 2.</w:t>
      </w:r>
      <w:r w:rsidR="00892FBC">
        <w:t xml:space="preserve"> </w:t>
      </w:r>
      <w:proofErr w:type="spellStart"/>
      <w:r w:rsidRPr="00327D45">
        <w:t>Intermenstrual</w:t>
      </w:r>
      <w:proofErr w:type="spellEnd"/>
      <w:r w:rsidRPr="00327D45">
        <w:t xml:space="preserve"> bleeding was reported in 134 (8.7%) subjects, and for 123 of these subjects the bleeding was described as spotting.</w:t>
      </w:r>
    </w:p>
    <w:p w:rsidR="00FD669E" w:rsidRPr="00327D45" w:rsidRDefault="00FD669E" w:rsidP="00327D45">
      <w:r w:rsidRPr="00327D45">
        <w:t>In</w:t>
      </w:r>
      <w:r w:rsidR="00327D45">
        <w:t xml:space="preserve"> Study HRA2914-515,</w:t>
      </w:r>
      <w:r w:rsidRPr="00327D45">
        <w:t xml:space="preserve"> dysmenorrhoea was reported in nine (1.9%) subjects, menorrhagia in 140 (19.7%) and </w:t>
      </w:r>
      <w:proofErr w:type="spellStart"/>
      <w:r w:rsidRPr="00327D45">
        <w:t>metrorrhagia</w:t>
      </w:r>
      <w:proofErr w:type="spellEnd"/>
      <w:r w:rsidRPr="00327D45">
        <w:t xml:space="preserve"> in 99 (21.0%).</w:t>
      </w:r>
      <w:r w:rsidR="00892FBC">
        <w:t xml:space="preserve"> </w:t>
      </w:r>
      <w:r w:rsidRPr="00327D45">
        <w:t>The treatment cycle was increased by &gt;7 days in 174 (45.2%) subjects.</w:t>
      </w:r>
      <w:r w:rsidR="00892FBC">
        <w:t xml:space="preserve"> </w:t>
      </w:r>
      <w:r w:rsidRPr="00327D45">
        <w:t>The mean (SD) increase in treatment cycle was 9.9 (14.6) days.</w:t>
      </w:r>
      <w:r w:rsidR="00892FBC">
        <w:t xml:space="preserve"> </w:t>
      </w:r>
      <w:r w:rsidRPr="00327D45">
        <w:t>The mean (SD) increase in post-treatment cycle was 5.9 (6.7) days.</w:t>
      </w:r>
    </w:p>
    <w:p w:rsidR="00FD669E" w:rsidRPr="00327D45" w:rsidRDefault="00FD669E" w:rsidP="00327D45">
      <w:r w:rsidRPr="00327D45">
        <w:t>Study HRA2914-558 was a pooled analysis of data from Study 2914-509 and Study 2914-513.</w:t>
      </w:r>
      <w:r w:rsidR="00892FBC">
        <w:t xml:space="preserve"> </w:t>
      </w:r>
      <w:r w:rsidRPr="00327D45">
        <w:t>There were two analyses presented.</w:t>
      </w:r>
      <w:r w:rsidR="00892FBC">
        <w:t xml:space="preserve"> </w:t>
      </w:r>
      <w:r w:rsidRPr="00327D45">
        <w:t xml:space="preserve">The larger dataset contained 1533 subjects, of whom 134 (8.7%) had </w:t>
      </w:r>
      <w:proofErr w:type="spellStart"/>
      <w:r w:rsidRPr="00327D45">
        <w:t>intermenstrual</w:t>
      </w:r>
      <w:proofErr w:type="spellEnd"/>
      <w:r w:rsidRPr="00327D45">
        <w:t xml:space="preserve"> bleeding: 127 (94.8%) spotting, five (3.7%) regular and two (1.5%) heavy.</w:t>
      </w:r>
    </w:p>
    <w:p w:rsidR="00FD669E" w:rsidRPr="00364E2F" w:rsidRDefault="00FD669E" w:rsidP="00FB2BEA">
      <w:pPr>
        <w:pStyle w:val="Heading3"/>
      </w:pPr>
      <w:bookmarkStart w:id="226" w:name="_Toc241374326"/>
      <w:bookmarkStart w:id="227" w:name="_Ref272333048"/>
      <w:bookmarkStart w:id="228" w:name="_Toc272414679"/>
      <w:bookmarkStart w:id="229" w:name="_Toc290846317"/>
      <w:bookmarkStart w:id="230" w:name="_Toc389848905"/>
      <w:bookmarkStart w:id="231" w:name="_Toc430094075"/>
      <w:r w:rsidRPr="00364E2F">
        <w:t>Post-marketing experience</w:t>
      </w:r>
      <w:bookmarkEnd w:id="226"/>
      <w:bookmarkEnd w:id="227"/>
      <w:bookmarkEnd w:id="228"/>
      <w:bookmarkEnd w:id="229"/>
      <w:bookmarkEnd w:id="230"/>
      <w:bookmarkEnd w:id="231"/>
    </w:p>
    <w:p w:rsidR="00FD669E" w:rsidRPr="00364E2F" w:rsidRDefault="00FD669E" w:rsidP="007E5D41">
      <w:pPr>
        <w:pStyle w:val="Heading4"/>
      </w:pPr>
      <w:bookmarkStart w:id="232" w:name="_Toc389848906"/>
      <w:r w:rsidRPr="00364E2F">
        <w:t xml:space="preserve">Post-marketing </w:t>
      </w:r>
      <w:r w:rsidRPr="007E5D41">
        <w:t>data</w:t>
      </w:r>
      <w:bookmarkEnd w:id="232"/>
    </w:p>
    <w:p w:rsidR="00FD669E" w:rsidRPr="00FB2BEA" w:rsidRDefault="00FD669E" w:rsidP="00FB2BEA">
      <w:r w:rsidRPr="00FB2BEA">
        <w:t>There were seven PSURs covering the time period 15</w:t>
      </w:r>
      <w:r w:rsidR="00FB2BEA" w:rsidRPr="00FB2BEA">
        <w:t xml:space="preserve"> </w:t>
      </w:r>
      <w:r w:rsidRPr="00FB2BEA">
        <w:t>May 2009 to14 May 2013.</w:t>
      </w:r>
      <w:r w:rsidR="00892FBC">
        <w:t xml:space="preserve"> </w:t>
      </w:r>
      <w:r w:rsidRPr="00FB2BEA">
        <w:t>There was no regulatory action for safety reasons over this time period.</w:t>
      </w:r>
      <w:r w:rsidR="00892FBC">
        <w:t xml:space="preserve"> </w:t>
      </w:r>
      <w:r w:rsidRPr="00FB2BEA">
        <w:t xml:space="preserve">Over this time period the Sponsor </w:t>
      </w:r>
      <w:r w:rsidRPr="00FB2BEA">
        <w:lastRenderedPageBreak/>
        <w:t>estimates 1,434,781 packs have been sold worldwide.</w:t>
      </w:r>
      <w:r w:rsidR="00892FBC">
        <w:t xml:space="preserve"> </w:t>
      </w:r>
      <w:r w:rsidRPr="00FB2BEA">
        <w:t>The case reports were predominantly of unintended pregnancy.</w:t>
      </w:r>
      <w:r w:rsidR="00892FBC">
        <w:t xml:space="preserve"> </w:t>
      </w:r>
      <w:r w:rsidRPr="00FB2BEA">
        <w:t>Other than pregnancy or drug exposure during pregnancy, the serious medically confirmed unlisted reactions were one case of syncope, one case of viral infection, one case of grand-mal seizure, and one case of haemorrhage (unknown site).</w:t>
      </w:r>
      <w:r w:rsidR="00892FBC">
        <w:t xml:space="preserve"> </w:t>
      </w:r>
      <w:r w:rsidRPr="00FB2BEA">
        <w:t>Since IBD the Sponsor has received 282 reports of pregnancy.</w:t>
      </w:r>
      <w:r w:rsidR="00892FBC">
        <w:t xml:space="preserve"> </w:t>
      </w:r>
      <w:r w:rsidRPr="00FB2BEA">
        <w:t>There were 149 reports of unintended pregnancy.</w:t>
      </w:r>
      <w:r w:rsidR="00892FBC">
        <w:t xml:space="preserve"> </w:t>
      </w:r>
      <w:r w:rsidRPr="00FB2BEA">
        <w:t>The results for these 149 cases were: healthy newborn for four, spontaneous abortion for eight, elective abortion for 39, ectopic pregnancy for two, six were ongoing and 90 were lost to follow-up.</w:t>
      </w:r>
    </w:p>
    <w:p w:rsidR="00FD669E" w:rsidRPr="00FB2BEA" w:rsidRDefault="00FD669E" w:rsidP="00FB2BEA">
      <w:r w:rsidRPr="00FB2BEA">
        <w:t>Study HRA2914-648 was a retrospective, post-marketing analysis of pregnancies due to inadvertent exposure or treatment failure.</w:t>
      </w:r>
      <w:r w:rsidR="00892FBC">
        <w:t xml:space="preserve"> </w:t>
      </w:r>
      <w:r w:rsidRPr="00FB2BEA">
        <w:t>The study used data from Planned Parenthood Columbia Willamette, a group of clinics in the US.</w:t>
      </w:r>
      <w:r w:rsidR="00892FBC">
        <w:t xml:space="preserve"> </w:t>
      </w:r>
      <w:r w:rsidRPr="00FB2BEA">
        <w:t>There were 55 pregnancies identified from the clinic database.</w:t>
      </w:r>
      <w:r w:rsidR="00892FBC">
        <w:t xml:space="preserve"> </w:t>
      </w:r>
      <w:r w:rsidRPr="00FB2BEA">
        <w:t>The age range was 18 to 42 years and mean (SD) BMI was 25.4 (4.5).</w:t>
      </w:r>
      <w:r w:rsidR="00892FBC">
        <w:t xml:space="preserve"> </w:t>
      </w:r>
      <w:r w:rsidRPr="00FB2BEA">
        <w:t>The outco</w:t>
      </w:r>
      <w:r w:rsidR="00885E2D">
        <w:t>me of the pregnancies was</w:t>
      </w:r>
      <w:r w:rsidRPr="00FB2BEA">
        <w:t xml:space="preserve">: induced abortion for 33, spontaneous abortion 2, ectopic pregnancy 1, </w:t>
      </w:r>
      <w:r w:rsidR="00885E2D">
        <w:t xml:space="preserve">and </w:t>
      </w:r>
      <w:r w:rsidRPr="00FB2BEA">
        <w:t>continuation of pregnancy in 9.</w:t>
      </w:r>
      <w:r w:rsidR="00892FBC">
        <w:t xml:space="preserve"> </w:t>
      </w:r>
      <w:r w:rsidRPr="00FB2BEA">
        <w:t>There were 10 subjects lost to follow-up.</w:t>
      </w:r>
    </w:p>
    <w:p w:rsidR="00FD669E" w:rsidRPr="00364E2F" w:rsidRDefault="00FD669E" w:rsidP="00FB2BEA">
      <w:pPr>
        <w:pStyle w:val="Heading4"/>
      </w:pPr>
      <w:bookmarkStart w:id="233" w:name="_Toc389848907"/>
      <w:r w:rsidRPr="00364E2F">
        <w:t>Risk Management Plan</w:t>
      </w:r>
      <w:bookmarkEnd w:id="233"/>
    </w:p>
    <w:p w:rsidR="00FD669E" w:rsidRPr="00FB2BEA" w:rsidRDefault="00FD669E" w:rsidP="00FB2BEA">
      <w:r w:rsidRPr="00FB2BEA">
        <w:t>In the Risk Management Plan the Sponsor has stated there are no Important Identified Risks.</w:t>
      </w:r>
    </w:p>
    <w:p w:rsidR="00FD669E" w:rsidRPr="00FB2BEA" w:rsidRDefault="00FD669E" w:rsidP="00FB2BEA">
      <w:r w:rsidRPr="00FB2BEA">
        <w:t>The Important Potential Risks are:</w:t>
      </w:r>
    </w:p>
    <w:p w:rsidR="00FD669E" w:rsidRPr="00FB2BEA" w:rsidRDefault="00FD669E" w:rsidP="00FB2BEA">
      <w:pPr>
        <w:pStyle w:val="ListBullet"/>
      </w:pPr>
      <w:r w:rsidRPr="00FB2BEA">
        <w:t>Effects on preg</w:t>
      </w:r>
      <w:r w:rsidR="007E5D41">
        <w:t>nancy maintenance/off label use</w:t>
      </w:r>
    </w:p>
    <w:p w:rsidR="00FD669E" w:rsidRPr="00FB2BEA" w:rsidRDefault="00FD669E" w:rsidP="00FB2BEA">
      <w:pPr>
        <w:pStyle w:val="ListBullet"/>
      </w:pPr>
      <w:r w:rsidRPr="00FB2BEA">
        <w:t>Risk of incomplete abortion and heavy bleeding</w:t>
      </w:r>
    </w:p>
    <w:p w:rsidR="00FD669E" w:rsidRPr="00FB2BEA" w:rsidRDefault="007E5D41" w:rsidP="00FB2BEA">
      <w:pPr>
        <w:pStyle w:val="ListBullet"/>
      </w:pPr>
      <w:r>
        <w:t>Effects on foetus and newborns</w:t>
      </w:r>
    </w:p>
    <w:p w:rsidR="00FD669E" w:rsidRPr="00FB2BEA" w:rsidRDefault="007E5D41" w:rsidP="00FB2BEA">
      <w:pPr>
        <w:pStyle w:val="ListBullet"/>
      </w:pPr>
      <w:r>
        <w:t>Risk of ectopic pregnancy</w:t>
      </w:r>
    </w:p>
    <w:p w:rsidR="00FD669E" w:rsidRPr="00FB2BEA" w:rsidRDefault="00FD669E" w:rsidP="00FB2BEA">
      <w:pPr>
        <w:pStyle w:val="ListBullet"/>
      </w:pPr>
      <w:r w:rsidRPr="00FB2BEA">
        <w:t>Con</w:t>
      </w:r>
      <w:r w:rsidR="007E5D41">
        <w:t>comitant use of CYP3A4 inducers</w:t>
      </w:r>
    </w:p>
    <w:p w:rsidR="00FD669E" w:rsidRPr="00FB2BEA" w:rsidRDefault="007E5D41" w:rsidP="00FB2BEA">
      <w:pPr>
        <w:pStyle w:val="ListBullet"/>
      </w:pPr>
      <w:r>
        <w:t>Liver effects</w:t>
      </w:r>
    </w:p>
    <w:p w:rsidR="00FD669E" w:rsidRPr="00FB2BEA" w:rsidRDefault="00FD669E" w:rsidP="00FB2BEA">
      <w:pPr>
        <w:pStyle w:val="ListBullet"/>
      </w:pPr>
      <w:r w:rsidRPr="00FB2BEA">
        <w:t>Delayed menstrual p</w:t>
      </w:r>
      <w:r w:rsidR="007E5D41">
        <w:t>eriod &gt;60 days / amenorrhea</w:t>
      </w:r>
    </w:p>
    <w:p w:rsidR="00FD669E" w:rsidRPr="00FB2BEA" w:rsidRDefault="007E5D41" w:rsidP="00FB2BEA">
      <w:pPr>
        <w:pStyle w:val="ListBullet"/>
      </w:pPr>
      <w:r>
        <w:t>Ovarian cysts</w:t>
      </w:r>
    </w:p>
    <w:p w:rsidR="00FD669E" w:rsidRPr="00FB2BEA" w:rsidRDefault="00FD669E" w:rsidP="007E5D41">
      <w:r w:rsidRPr="00FB2BEA">
        <w:t>The Missing Information is:</w:t>
      </w:r>
    </w:p>
    <w:p w:rsidR="00FD669E" w:rsidRPr="00FB2BEA" w:rsidRDefault="00FD669E" w:rsidP="00FB2BEA">
      <w:pPr>
        <w:pStyle w:val="ListBullet"/>
      </w:pPr>
      <w:r w:rsidRPr="00FB2BEA">
        <w:t xml:space="preserve">Effect of concomitant use </w:t>
      </w:r>
      <w:r w:rsidR="007E5D41">
        <w:t>of progestin-only contraception</w:t>
      </w:r>
    </w:p>
    <w:p w:rsidR="00FD669E" w:rsidRPr="00FB2BEA" w:rsidRDefault="00FD669E" w:rsidP="00FB2BEA">
      <w:pPr>
        <w:pStyle w:val="ListBullet"/>
      </w:pPr>
      <w:r w:rsidRPr="00FB2BEA">
        <w:t>Effect in patients with severe asthma</w:t>
      </w:r>
      <w:r w:rsidR="007E5D41">
        <w:t xml:space="preserve"> treated by oral glucocorticoid</w:t>
      </w:r>
    </w:p>
    <w:p w:rsidR="00FD669E" w:rsidRPr="00FB2BEA" w:rsidRDefault="00FD669E" w:rsidP="00FB2BEA">
      <w:pPr>
        <w:pStyle w:val="ListBullet"/>
      </w:pPr>
      <w:r w:rsidRPr="00FB2BEA">
        <w:t>Effects in wom</w:t>
      </w:r>
      <w:r w:rsidR="007E5D41">
        <w:t>en with impaired liver function</w:t>
      </w:r>
    </w:p>
    <w:p w:rsidR="00FD669E" w:rsidRPr="00FB2BEA" w:rsidRDefault="00FD669E" w:rsidP="007E5D41">
      <w:r w:rsidRPr="00FB2BEA">
        <w:t xml:space="preserve">The </w:t>
      </w:r>
      <w:r w:rsidR="00A05E61">
        <w:t>s</w:t>
      </w:r>
      <w:r w:rsidRPr="00FB2BEA">
        <w:t>ponsor intends to address these issues with:</w:t>
      </w:r>
    </w:p>
    <w:p w:rsidR="00FD669E" w:rsidRPr="00FB2BEA" w:rsidRDefault="00FD669E" w:rsidP="00FB2BEA">
      <w:pPr>
        <w:pStyle w:val="ListBullet"/>
      </w:pPr>
      <w:r w:rsidRPr="00FB2BEA">
        <w:t>Routine pharmacovigilance</w:t>
      </w:r>
    </w:p>
    <w:p w:rsidR="00FD669E" w:rsidRPr="00FB2BEA" w:rsidRDefault="00FD669E" w:rsidP="00FB2BEA">
      <w:pPr>
        <w:pStyle w:val="ListBullet"/>
      </w:pPr>
      <w:r w:rsidRPr="00FB2BEA">
        <w:t>Specific report forms for pregnancy; incomplete abortion/heavy bleeding; and hepatic adverse events</w:t>
      </w:r>
    </w:p>
    <w:p w:rsidR="00FD669E" w:rsidRPr="00FB2BEA" w:rsidRDefault="00FD669E" w:rsidP="00FB2BEA">
      <w:pPr>
        <w:pStyle w:val="ListBullet"/>
      </w:pPr>
      <w:r w:rsidRPr="00FB2BEA">
        <w:t>Web based pregnancy registry with online questionnaire and access to HCPs and women</w:t>
      </w:r>
    </w:p>
    <w:p w:rsidR="00FD669E" w:rsidRPr="00FB2BEA" w:rsidRDefault="00FD669E" w:rsidP="00FB2BEA">
      <w:pPr>
        <w:pStyle w:val="Heading3"/>
      </w:pPr>
      <w:bookmarkStart w:id="234" w:name="_Ref272333005"/>
      <w:bookmarkStart w:id="235" w:name="_Toc272414680"/>
      <w:bookmarkStart w:id="236" w:name="_Toc290846318"/>
      <w:bookmarkStart w:id="237" w:name="_Toc389848908"/>
      <w:bookmarkStart w:id="238" w:name="_Toc430094076"/>
      <w:r w:rsidRPr="00FB2BEA">
        <w:t>Safety issues with the potential for major regulatory imp</w:t>
      </w:r>
      <w:bookmarkEnd w:id="234"/>
      <w:bookmarkEnd w:id="235"/>
      <w:r w:rsidRPr="00FB2BEA">
        <w:t>act</w:t>
      </w:r>
      <w:bookmarkEnd w:id="236"/>
      <w:bookmarkEnd w:id="237"/>
      <w:bookmarkEnd w:id="238"/>
    </w:p>
    <w:p w:rsidR="00FD669E" w:rsidRPr="00364E2F" w:rsidRDefault="00FD669E" w:rsidP="007E5D41">
      <w:pPr>
        <w:pStyle w:val="Heading4"/>
      </w:pPr>
      <w:bookmarkStart w:id="239" w:name="_Toc389848909"/>
      <w:r w:rsidRPr="00364E2F">
        <w:t xml:space="preserve">Use in younger age </w:t>
      </w:r>
      <w:r w:rsidRPr="007E5D41">
        <w:t>groups</w:t>
      </w:r>
      <w:bookmarkEnd w:id="239"/>
    </w:p>
    <w:p w:rsidR="00FD669E" w:rsidRPr="00FB2BEA" w:rsidRDefault="00FD669E" w:rsidP="00FB2BEA">
      <w:r w:rsidRPr="00FB2BEA">
        <w:t>Study HRA-2914-555 was a pooled analysis that investigated the safety profile in subjects &lt;18 years of age.</w:t>
      </w:r>
      <w:r w:rsidR="00892FBC">
        <w:t xml:space="preserve"> </w:t>
      </w:r>
      <w:r w:rsidRPr="00FB2BEA">
        <w:t>In 44 subjects aged &lt;18 years, the most frequent AEs were nausea in four (9.09%) subjects and headache in three (6.82%).</w:t>
      </w:r>
    </w:p>
    <w:p w:rsidR="00FD669E" w:rsidRPr="00364E2F" w:rsidRDefault="007E5D41" w:rsidP="007E5D41">
      <w:pPr>
        <w:pStyle w:val="Heading4"/>
      </w:pPr>
      <w:bookmarkStart w:id="240" w:name="_Toc389848910"/>
      <w:r>
        <w:lastRenderedPageBreak/>
        <w:t xml:space="preserve">Effects on the </w:t>
      </w:r>
      <w:r w:rsidRPr="007E5D41">
        <w:t>f</w:t>
      </w:r>
      <w:r w:rsidR="00FB2BEA" w:rsidRPr="007E5D41">
        <w:t>o</w:t>
      </w:r>
      <w:r w:rsidR="00FD669E" w:rsidRPr="007E5D41">
        <w:t>etus</w:t>
      </w:r>
      <w:bookmarkEnd w:id="240"/>
    </w:p>
    <w:p w:rsidR="00FD669E" w:rsidRPr="00FB2BEA" w:rsidRDefault="00FD669E" w:rsidP="00FB2BEA">
      <w:r w:rsidRPr="00FB2BEA">
        <w:t>There were insufficient completed pregnancies reported in the data to be able to make any conclusions with regard to safety for the foetus and newborn.</w:t>
      </w:r>
    </w:p>
    <w:p w:rsidR="004D3438" w:rsidRPr="00605AD4" w:rsidRDefault="004D3438" w:rsidP="004D3438">
      <w:pPr>
        <w:pStyle w:val="Heading3"/>
      </w:pPr>
      <w:bookmarkStart w:id="241" w:name="_Toc430094077"/>
      <w:r w:rsidRPr="00605AD4">
        <w:t>Evaluator’s conclusions on safety</w:t>
      </w:r>
      <w:bookmarkEnd w:id="241"/>
    </w:p>
    <w:p w:rsidR="004D3438" w:rsidRPr="006A22E2" w:rsidRDefault="004D3438" w:rsidP="006A22E2">
      <w:proofErr w:type="spellStart"/>
      <w:r w:rsidRPr="006A22E2">
        <w:t>Ulipristal</w:t>
      </w:r>
      <w:proofErr w:type="spellEnd"/>
      <w:r w:rsidRPr="006A22E2">
        <w:t xml:space="preserve"> appears to have a favourable safety profile. The most commonly reported AEs were headache, nausea and abdominal pain. There is some prolongation of the menstrual cycle consistent with the mechanism of action and </w:t>
      </w:r>
      <w:proofErr w:type="spellStart"/>
      <w:r w:rsidRPr="006A22E2">
        <w:t>pharmacodynamic</w:t>
      </w:r>
      <w:proofErr w:type="spellEnd"/>
      <w:r w:rsidRPr="006A22E2">
        <w:t xml:space="preserve"> data. There were few serious adverse events (SAEs) or </w:t>
      </w:r>
      <w:r w:rsidR="00F96CFD">
        <w:t>AE</w:t>
      </w:r>
      <w:r w:rsidR="009A1DE6">
        <w:t>s</w:t>
      </w:r>
      <w:r w:rsidR="00A8503E" w:rsidRPr="006A22E2">
        <w:t xml:space="preserve"> leading to </w:t>
      </w:r>
      <w:r w:rsidR="00F96CFD">
        <w:t>d</w:t>
      </w:r>
      <w:r w:rsidR="00A8503E" w:rsidRPr="006A22E2">
        <w:t xml:space="preserve">iscontinuation </w:t>
      </w:r>
      <w:r w:rsidRPr="006A22E2">
        <w:t>(DAEs).</w:t>
      </w:r>
    </w:p>
    <w:p w:rsidR="004D3438" w:rsidRPr="006A22E2" w:rsidRDefault="004D3438" w:rsidP="006A22E2">
      <w:proofErr w:type="gramStart"/>
      <w:r w:rsidRPr="006A22E2">
        <w:t>The ‘Adverse Effects’ section of the PI document is supported by the data presented in the submission.</w:t>
      </w:r>
      <w:proofErr w:type="gramEnd"/>
    </w:p>
    <w:p w:rsidR="00C22678" w:rsidRDefault="00C22678" w:rsidP="00C22678">
      <w:pPr>
        <w:pStyle w:val="Heading2"/>
      </w:pPr>
      <w:bookmarkStart w:id="242" w:name="_Toc430094078"/>
      <w:r>
        <w:t>First round benefit-risk assessment</w:t>
      </w:r>
      <w:bookmarkEnd w:id="242"/>
    </w:p>
    <w:p w:rsidR="00AB0965" w:rsidRPr="00605AD4" w:rsidRDefault="00AB0965" w:rsidP="00AB0965">
      <w:pPr>
        <w:pStyle w:val="Heading3"/>
      </w:pPr>
      <w:bookmarkStart w:id="243" w:name="_Toc430094079"/>
      <w:r w:rsidRPr="00605AD4">
        <w:t>First round assessment of benefits</w:t>
      </w:r>
      <w:bookmarkEnd w:id="243"/>
    </w:p>
    <w:p w:rsidR="00AB0965" w:rsidRPr="00531193" w:rsidRDefault="00AB0965" w:rsidP="00AB0965">
      <w:r w:rsidRPr="00531193">
        <w:t xml:space="preserve">In the </w:t>
      </w:r>
      <w:r>
        <w:t>p</w:t>
      </w:r>
      <w:r w:rsidRPr="00531193">
        <w:t>i</w:t>
      </w:r>
      <w:r>
        <w:t xml:space="preserve">votal study (Study HRA2914-513), </w:t>
      </w:r>
      <w:proofErr w:type="spellStart"/>
      <w:r w:rsidRPr="00531193">
        <w:t>ulipristal</w:t>
      </w:r>
      <w:proofErr w:type="spellEnd"/>
      <w:r w:rsidRPr="00531193">
        <w:t xml:space="preserve"> 30 mg as a single dose was demonstrated to have efficacy in comparison with ex</w:t>
      </w:r>
      <w:r>
        <w:t xml:space="preserve">pected pregnancy rates, and </w:t>
      </w:r>
      <w:proofErr w:type="spellStart"/>
      <w:r>
        <w:t xml:space="preserve">non </w:t>
      </w:r>
      <w:r w:rsidRPr="00531193">
        <w:t>inferiority</w:t>
      </w:r>
      <w:proofErr w:type="spellEnd"/>
      <w:r w:rsidRPr="00531193">
        <w:t xml:space="preserve"> in comparison with </w:t>
      </w:r>
      <w:proofErr w:type="spellStart"/>
      <w:r w:rsidRPr="00531193">
        <w:t>levonorgestrel</w:t>
      </w:r>
      <w:proofErr w:type="spellEnd"/>
      <w:r w:rsidRPr="00531193">
        <w:t xml:space="preserve"> w</w:t>
      </w:r>
      <w:r>
        <w:t>hen administered up to 120 h</w:t>
      </w:r>
      <w:r w:rsidRPr="00531193">
        <w:t xml:space="preserve"> post UPI.</w:t>
      </w:r>
      <w:r>
        <w:t xml:space="preserve"> </w:t>
      </w:r>
      <w:r w:rsidRPr="00531193">
        <w:t>There were the following efficacy findings:</w:t>
      </w:r>
    </w:p>
    <w:p w:rsidR="00AB0965" w:rsidRPr="00531193" w:rsidRDefault="00AB0965" w:rsidP="007F0527">
      <w:pPr>
        <w:pStyle w:val="ListBullet"/>
        <w:numPr>
          <w:ilvl w:val="0"/>
          <w:numId w:val="1"/>
        </w:numPr>
      </w:pPr>
      <w:r w:rsidRPr="00531193">
        <w:t>The observed pregnan</w:t>
      </w:r>
      <w:r>
        <w:t>cy rate (95% CI) within 72 h</w:t>
      </w:r>
      <w:r w:rsidRPr="00531193">
        <w:t xml:space="preserve"> of UPI for </w:t>
      </w:r>
      <w:proofErr w:type="spellStart"/>
      <w:r w:rsidRPr="00531193">
        <w:t>ulipristal</w:t>
      </w:r>
      <w:proofErr w:type="spellEnd"/>
      <w:r w:rsidRPr="00531193">
        <w:t xml:space="preserve"> was 1.51% (0.62% to 3.32%), whereas the expected pregnancy rate was 5.63%</w:t>
      </w:r>
      <w:r w:rsidR="005800F4">
        <w:t>.</w:t>
      </w:r>
    </w:p>
    <w:p w:rsidR="00AB0965" w:rsidRPr="00531193" w:rsidRDefault="00AB0965" w:rsidP="007F0527">
      <w:pPr>
        <w:pStyle w:val="ListBullet"/>
        <w:numPr>
          <w:ilvl w:val="0"/>
          <w:numId w:val="1"/>
        </w:numPr>
      </w:pPr>
      <w:r>
        <w:t>Up to 120 h</w:t>
      </w:r>
      <w:r w:rsidRPr="00531193">
        <w:t xml:space="preserve"> post UPI</w:t>
      </w:r>
      <w:r>
        <w:t>,</w:t>
      </w:r>
      <w:r w:rsidRPr="00531193">
        <w:t xml:space="preserve"> the pregnancy rate (95% CI) was 1.60 (0.93 to 2.67) %, which was significantly lower than the expected pregnancy rate of 5.72%.</w:t>
      </w:r>
    </w:p>
    <w:p w:rsidR="00AB0965" w:rsidRPr="00531193" w:rsidRDefault="00AB0965" w:rsidP="007F0527">
      <w:pPr>
        <w:pStyle w:val="ListBullet"/>
        <w:numPr>
          <w:ilvl w:val="0"/>
          <w:numId w:val="1"/>
        </w:numPr>
      </w:pPr>
      <w:r w:rsidRPr="00531193">
        <w:t>The upper bounds of the 95% CI for pregnancy</w:t>
      </w:r>
      <w:r>
        <w:t xml:space="preserve"> rates at 72 h and 120 h</w:t>
      </w:r>
      <w:r w:rsidRPr="00531193">
        <w:t xml:space="preserve">, for </w:t>
      </w:r>
      <w:proofErr w:type="spellStart"/>
      <w:r w:rsidRPr="00531193">
        <w:t>ulipristal</w:t>
      </w:r>
      <w:proofErr w:type="spellEnd"/>
      <w:r w:rsidRPr="00531193">
        <w:t xml:space="preserve"> in the </w:t>
      </w:r>
      <w:proofErr w:type="spellStart"/>
      <w:r w:rsidRPr="00531193">
        <w:t>mITT</w:t>
      </w:r>
      <w:proofErr w:type="spellEnd"/>
      <w:r w:rsidRPr="00531193">
        <w:t xml:space="preserve"> population, were both below the clinical relevance threshold of 4%.</w:t>
      </w:r>
    </w:p>
    <w:p w:rsidR="00AB0965" w:rsidRPr="00531193" w:rsidRDefault="00AB0965" w:rsidP="007F0527">
      <w:pPr>
        <w:pStyle w:val="ListBullet"/>
        <w:numPr>
          <w:ilvl w:val="0"/>
          <w:numId w:val="1"/>
        </w:numPr>
      </w:pPr>
      <w:proofErr w:type="spellStart"/>
      <w:r w:rsidRPr="00531193">
        <w:t>Uliprital</w:t>
      </w:r>
      <w:proofErr w:type="spellEnd"/>
      <w:r w:rsidRPr="00531193">
        <w:t xml:space="preserve"> was non-inferi</w:t>
      </w:r>
      <w:r>
        <w:t xml:space="preserve">or to </w:t>
      </w:r>
      <w:proofErr w:type="spellStart"/>
      <w:r>
        <w:t>levonorgestrel</w:t>
      </w:r>
      <w:proofErr w:type="spellEnd"/>
      <w:r>
        <w:t xml:space="preserve"> at 72 h and 120 h</w:t>
      </w:r>
      <w:r w:rsidRPr="00531193">
        <w:t xml:space="preserve"> post UPI.</w:t>
      </w:r>
      <w:r>
        <w:t xml:space="preserve"> </w:t>
      </w:r>
      <w:r w:rsidRPr="00531193">
        <w:t xml:space="preserve">The OR (95% CI) for pregnancy for </w:t>
      </w:r>
      <w:proofErr w:type="spellStart"/>
      <w:r w:rsidRPr="00531193">
        <w:t>ulipristal</w:t>
      </w:r>
      <w:proofErr w:type="spellEnd"/>
      <w:r w:rsidRPr="00531193">
        <w:t xml:space="preserve"> in comparison with </w:t>
      </w:r>
      <w:proofErr w:type="spellStart"/>
      <w:r w:rsidRPr="00531193">
        <w:t>levonorgestrel</w:t>
      </w:r>
      <w:proofErr w:type="spellEnd"/>
      <w:r w:rsidRPr="00531193">
        <w:t xml:space="preserve"> was:</w:t>
      </w:r>
    </w:p>
    <w:p w:rsidR="00AB0965" w:rsidRPr="00531193" w:rsidRDefault="00AB0965" w:rsidP="007F0527">
      <w:pPr>
        <w:pStyle w:val="ListBullet2"/>
        <w:numPr>
          <w:ilvl w:val="1"/>
          <w:numId w:val="1"/>
        </w:numPr>
      </w:pPr>
      <w:r w:rsidRPr="00531193">
        <w:t>For the int</w:t>
      </w:r>
      <w:r>
        <w:t xml:space="preserve">erim </w:t>
      </w:r>
      <w:proofErr w:type="spellStart"/>
      <w:r>
        <w:t>mITT</w:t>
      </w:r>
      <w:proofErr w:type="spellEnd"/>
      <w:r>
        <w:t xml:space="preserve"> population at 72 h</w:t>
      </w:r>
      <w:r w:rsidRPr="00531193">
        <w:t>: 0.53 (0.20 to 1.44)</w:t>
      </w:r>
    </w:p>
    <w:p w:rsidR="00AB0965" w:rsidRPr="00531193" w:rsidRDefault="00AB0965" w:rsidP="007F0527">
      <w:pPr>
        <w:pStyle w:val="ListBullet2"/>
        <w:numPr>
          <w:ilvl w:val="1"/>
          <w:numId w:val="1"/>
        </w:numPr>
      </w:pPr>
      <w:r w:rsidRPr="00531193">
        <w:t>For</w:t>
      </w:r>
      <w:r>
        <w:t xml:space="preserve"> the </w:t>
      </w:r>
      <w:proofErr w:type="spellStart"/>
      <w:r>
        <w:t>mITT</w:t>
      </w:r>
      <w:proofErr w:type="spellEnd"/>
      <w:r>
        <w:t xml:space="preserve"> population at 72 h</w:t>
      </w:r>
      <w:r w:rsidRPr="00531193">
        <w:t>: 0.68 (0.35 to 1.31)</w:t>
      </w:r>
    </w:p>
    <w:p w:rsidR="00AB0965" w:rsidRPr="00531193" w:rsidRDefault="00AB0965" w:rsidP="007E5D41">
      <w:pPr>
        <w:pStyle w:val="ListBullet2"/>
      </w:pPr>
      <w:r w:rsidRPr="00531193">
        <w:t>For the inte</w:t>
      </w:r>
      <w:r>
        <w:t xml:space="preserve">rim </w:t>
      </w:r>
      <w:proofErr w:type="spellStart"/>
      <w:r>
        <w:t>mITT</w:t>
      </w:r>
      <w:proofErr w:type="spellEnd"/>
      <w:r>
        <w:t xml:space="preserve"> population at 120 h</w:t>
      </w:r>
      <w:r w:rsidRPr="00531193">
        <w:t>: 0.59 (0.31 to 1.14)</w:t>
      </w:r>
    </w:p>
    <w:p w:rsidR="00AB0965" w:rsidRPr="00531193" w:rsidRDefault="00AB0965" w:rsidP="007F0527">
      <w:pPr>
        <w:pStyle w:val="ListBullet2"/>
        <w:numPr>
          <w:ilvl w:val="1"/>
          <w:numId w:val="1"/>
        </w:numPr>
      </w:pPr>
      <w:r w:rsidRPr="00531193">
        <w:t xml:space="preserve">For </w:t>
      </w:r>
      <w:r>
        <w:t xml:space="preserve">the </w:t>
      </w:r>
      <w:proofErr w:type="spellStart"/>
      <w:r>
        <w:t>mITT</w:t>
      </w:r>
      <w:proofErr w:type="spellEnd"/>
      <w:r>
        <w:t xml:space="preserve"> population at 120 h</w:t>
      </w:r>
      <w:r w:rsidRPr="00531193">
        <w:t>: 0.69 (0.36 to 1.32)</w:t>
      </w:r>
    </w:p>
    <w:p w:rsidR="00AB0965" w:rsidRPr="00531193" w:rsidRDefault="00AB0965" w:rsidP="00AB0965">
      <w:pPr>
        <w:pStyle w:val="ListBullet2"/>
        <w:numPr>
          <w:ilvl w:val="0"/>
          <w:numId w:val="0"/>
        </w:numPr>
        <w:ind w:left="360"/>
      </w:pPr>
      <w:r w:rsidRPr="00531193">
        <w:t>In each case</w:t>
      </w:r>
      <w:r>
        <w:t>,</w:t>
      </w:r>
      <w:r w:rsidRPr="00531193">
        <w:t xml:space="preserve"> the upper 95% CI was less than the predefined level of non-inferiority of 1.6.</w:t>
      </w:r>
    </w:p>
    <w:p w:rsidR="00AB0965" w:rsidRPr="00531193" w:rsidRDefault="00AB0965" w:rsidP="007F0527">
      <w:pPr>
        <w:pStyle w:val="ListBullet"/>
        <w:numPr>
          <w:ilvl w:val="0"/>
          <w:numId w:val="1"/>
        </w:numPr>
      </w:pPr>
      <w:r w:rsidRPr="00531193">
        <w:t xml:space="preserve">The pregnancy rates over time for </w:t>
      </w:r>
      <w:proofErr w:type="spellStart"/>
      <w:r w:rsidRPr="00531193">
        <w:t>ulipristal</w:t>
      </w:r>
      <w:proofErr w:type="spellEnd"/>
      <w:r>
        <w:t xml:space="preserve"> were 1.60% for the 0 to 24 h time interval, 2.12% for the 24 to 48 h</w:t>
      </w:r>
      <w:r w:rsidRPr="00531193">
        <w:t xml:space="preserve"> interval </w:t>
      </w:r>
      <w:r>
        <w:t>and 1.48% for the &gt;48 to 72 h</w:t>
      </w:r>
      <w:r w:rsidRPr="00531193">
        <w:t xml:space="preserve"> interval.</w:t>
      </w:r>
      <w:r>
        <w:t xml:space="preserve"> </w:t>
      </w:r>
      <w:r w:rsidRPr="00531193">
        <w:t>No pregnancies were observed at t</w:t>
      </w:r>
      <w:r>
        <w:t>he &gt;72 to 96 and &gt;96 to 120 h</w:t>
      </w:r>
      <w:r w:rsidRPr="00531193">
        <w:t xml:space="preserve"> intervals.</w:t>
      </w:r>
    </w:p>
    <w:p w:rsidR="00AB0965" w:rsidRPr="00531193" w:rsidRDefault="00AB0965" w:rsidP="007F0527">
      <w:pPr>
        <w:pStyle w:val="ListBullet"/>
        <w:numPr>
          <w:ilvl w:val="0"/>
          <w:numId w:val="1"/>
        </w:numPr>
      </w:pPr>
      <w:r>
        <w:t>At 72 h</w:t>
      </w:r>
      <w:r w:rsidRPr="00531193">
        <w:t xml:space="preserve"> after UPI</w:t>
      </w:r>
      <w:r>
        <w:t>,</w:t>
      </w:r>
      <w:r w:rsidRPr="00531193">
        <w:t xml:space="preserve"> the prevention fraction (95% CI) was 68.1 (45.8 to 81.2) % for </w:t>
      </w:r>
      <w:proofErr w:type="spellStart"/>
      <w:r w:rsidRPr="00531193">
        <w:t>ulipristal</w:t>
      </w:r>
      <w:proofErr w:type="spellEnd"/>
      <w:r w:rsidRPr="00531193">
        <w:t xml:space="preserve"> and 52.2 (25.1 to 69.5) % for </w:t>
      </w:r>
      <w:proofErr w:type="spellStart"/>
      <w:r w:rsidRPr="00531193">
        <w:t>levonorgestrel</w:t>
      </w:r>
      <w:proofErr w:type="spellEnd"/>
      <w:r w:rsidR="005800F4">
        <w:t>.</w:t>
      </w:r>
    </w:p>
    <w:p w:rsidR="00AB0965" w:rsidRPr="00531193" w:rsidRDefault="00AB0965" w:rsidP="007F0527">
      <w:pPr>
        <w:pStyle w:val="ListBullet"/>
        <w:numPr>
          <w:ilvl w:val="0"/>
          <w:numId w:val="1"/>
        </w:numPr>
      </w:pPr>
      <w:r>
        <w:t>At 120 h</w:t>
      </w:r>
      <w:r w:rsidRPr="00531193">
        <w:t xml:space="preserve"> after UPI</w:t>
      </w:r>
      <w:r>
        <w:t>,</w:t>
      </w:r>
      <w:r w:rsidRPr="00531193">
        <w:t xml:space="preserve"> the prevention fraction (95% CI) was 72.2 (52.8 to 83.7) % for </w:t>
      </w:r>
      <w:proofErr w:type="spellStart"/>
      <w:r w:rsidRPr="00531193">
        <w:t>ulipristal</w:t>
      </w:r>
      <w:proofErr w:type="spellEnd"/>
      <w:r w:rsidRPr="00531193">
        <w:t xml:space="preserve"> and 52.8 (27.8 to 69.2) % for </w:t>
      </w:r>
      <w:proofErr w:type="spellStart"/>
      <w:r w:rsidRPr="00531193">
        <w:t>levonorgestrel</w:t>
      </w:r>
      <w:proofErr w:type="spellEnd"/>
      <w:r w:rsidR="005800F4">
        <w:t>.</w:t>
      </w:r>
    </w:p>
    <w:p w:rsidR="00AB0965" w:rsidRPr="00531193" w:rsidRDefault="00AB0965" w:rsidP="007F0527">
      <w:pPr>
        <w:pStyle w:val="ListBullet"/>
        <w:numPr>
          <w:ilvl w:val="0"/>
          <w:numId w:val="1"/>
        </w:numPr>
      </w:pPr>
      <w:r w:rsidRPr="00531193">
        <w:t>In t</w:t>
      </w:r>
      <w:r>
        <w:t>he time interval &gt;72 to 120 h</w:t>
      </w:r>
      <w:r w:rsidRPr="00531193">
        <w:t xml:space="preserve"> after UPI</w:t>
      </w:r>
      <w:r>
        <w:t>,</w:t>
      </w:r>
      <w:r w:rsidRPr="00531193">
        <w:t xml:space="preserve"> the prevention rate was significantly greater for </w:t>
      </w:r>
      <w:proofErr w:type="spellStart"/>
      <w:r w:rsidRPr="00531193">
        <w:t>ulipristal</w:t>
      </w:r>
      <w:proofErr w:type="spellEnd"/>
      <w:r w:rsidRPr="00531193">
        <w:t xml:space="preserve"> than for </w:t>
      </w:r>
      <w:proofErr w:type="spellStart"/>
      <w:r w:rsidRPr="00531193">
        <w:t>levonorgestrel</w:t>
      </w:r>
      <w:proofErr w:type="spellEnd"/>
      <w:r w:rsidRPr="00531193">
        <w:t xml:space="preserve">: 0.07736 for </w:t>
      </w:r>
      <w:proofErr w:type="spellStart"/>
      <w:r w:rsidRPr="00531193">
        <w:t>ulipristal</w:t>
      </w:r>
      <w:proofErr w:type="spellEnd"/>
      <w:r w:rsidRPr="00531193">
        <w:t xml:space="preserve"> compared with 0.4514 for </w:t>
      </w:r>
      <w:proofErr w:type="spellStart"/>
      <w:r w:rsidRPr="00531193">
        <w:t>levonorgestrel</w:t>
      </w:r>
      <w:proofErr w:type="spellEnd"/>
      <w:r w:rsidRPr="00531193">
        <w:t>, p = 0.0374</w:t>
      </w:r>
      <w:r w:rsidR="005800F4">
        <w:t>.</w:t>
      </w:r>
    </w:p>
    <w:p w:rsidR="00AB0965" w:rsidRPr="00531193" w:rsidRDefault="00AB0965" w:rsidP="00AB0965">
      <w:r w:rsidRPr="00531193">
        <w:lastRenderedPageBreak/>
        <w:t xml:space="preserve">The supportive efficacy studies demonstrated similar pregnancy rates </w:t>
      </w:r>
      <w:r>
        <w:t>and prevention fraction to the p</w:t>
      </w:r>
      <w:r w:rsidRPr="00531193">
        <w:t>ivotal study.</w:t>
      </w:r>
      <w:r>
        <w:t xml:space="preserve"> In Study HRA2914-509, t</w:t>
      </w:r>
      <w:r w:rsidRPr="00531193">
        <w:t>he observed pregnancy rate (95% CI) was 2.10 (1.41 to 3.10) % compared to the expected pregnancy rate of 5.53%.</w:t>
      </w:r>
      <w:r>
        <w:t xml:space="preserve"> </w:t>
      </w:r>
      <w:r w:rsidRPr="00531193">
        <w:t>The upper 95% CI for pregnancy rate was below the clinically relevant threshold of 4%.</w:t>
      </w:r>
      <w:r>
        <w:t xml:space="preserve"> </w:t>
      </w:r>
      <w:r w:rsidRPr="00531193">
        <w:t>The estimated pregnancy ra</w:t>
      </w:r>
      <w:r>
        <w:t>tes were 1.61% at 48 to 60 h, 2.85% at 61 to 72 h, 2.90% at 73 to 84 h</w:t>
      </w:r>
      <w:r w:rsidRPr="00531193">
        <w:t>, 1.38</w:t>
      </w:r>
      <w:r>
        <w:t>% at 85 to 96 h, 1.21% at 97 to 108 h, and 1.31% at 109 to 120 h</w:t>
      </w:r>
      <w:r w:rsidRPr="00531193">
        <w:t>.</w:t>
      </w:r>
      <w:r>
        <w:t xml:space="preserve"> </w:t>
      </w:r>
      <w:r w:rsidRPr="00531193">
        <w:t>The prevented fraction (95% CI) was 62.32 (41.89 to 75.56) %.</w:t>
      </w:r>
      <w:r>
        <w:t xml:space="preserve"> </w:t>
      </w:r>
      <w:r w:rsidRPr="00531193">
        <w:t>In Study HRA2914-515</w:t>
      </w:r>
      <w:r>
        <w:t>,</w:t>
      </w:r>
      <w:r w:rsidRPr="00531193">
        <w:t xml:space="preserve"> the pregnancy rate was 1.5%.</w:t>
      </w:r>
    </w:p>
    <w:p w:rsidR="00AB0965" w:rsidRPr="00531193" w:rsidRDefault="00AB0965" w:rsidP="00AB0965">
      <w:r w:rsidRPr="00531193">
        <w:t>Efficacy was decreased by further UPI after treatment (OR 5.691).</w:t>
      </w:r>
      <w:r>
        <w:t xml:space="preserve"> </w:t>
      </w:r>
      <w:r w:rsidRPr="00531193">
        <w:t>Although increasing BMI decreased efficacy</w:t>
      </w:r>
      <w:r>
        <w:t>,</w:t>
      </w:r>
      <w:r w:rsidRPr="00531193">
        <w:t xml:space="preserve"> there was no identifiable weight threshold.</w:t>
      </w:r>
    </w:p>
    <w:p w:rsidR="00AB0965" w:rsidRPr="00531193" w:rsidRDefault="00AB0965" w:rsidP="00AB0965">
      <w:r w:rsidRPr="00531193">
        <w:t>The clinical studies were conducted in a population similar to that intended in the proposed indication.</w:t>
      </w:r>
      <w:r>
        <w:t xml:space="preserve"> </w:t>
      </w:r>
      <w:r w:rsidRPr="00531193">
        <w:t xml:space="preserve">The criterion for </w:t>
      </w:r>
      <w:proofErr w:type="spellStart"/>
      <w:r w:rsidRPr="00531193">
        <w:t>non</w:t>
      </w:r>
      <w:r>
        <w:t xml:space="preserve"> </w:t>
      </w:r>
      <w:r w:rsidRPr="00531193">
        <w:t>inferiority</w:t>
      </w:r>
      <w:proofErr w:type="spellEnd"/>
      <w:r w:rsidRPr="00531193">
        <w:t xml:space="preserve"> was appropriate.</w:t>
      </w:r>
      <w:r>
        <w:t xml:space="preserve"> </w:t>
      </w:r>
      <w:r w:rsidRPr="00531193">
        <w:t>The dose and indication for the active comparator (</w:t>
      </w:r>
      <w:proofErr w:type="spellStart"/>
      <w:r w:rsidRPr="00531193">
        <w:t>levonorgestrel</w:t>
      </w:r>
      <w:proofErr w:type="spellEnd"/>
      <w:r w:rsidRPr="00531193">
        <w:t>) was appropriate.</w:t>
      </w:r>
    </w:p>
    <w:p w:rsidR="00AB0965" w:rsidRPr="00605AD4" w:rsidRDefault="00AB0965" w:rsidP="007E5D41">
      <w:pPr>
        <w:pStyle w:val="Heading3"/>
      </w:pPr>
      <w:bookmarkStart w:id="244" w:name="_Toc430094080"/>
      <w:r w:rsidRPr="00605AD4">
        <w:t xml:space="preserve">First round </w:t>
      </w:r>
      <w:r w:rsidRPr="007E5D41">
        <w:t>assessment</w:t>
      </w:r>
      <w:r w:rsidRPr="00605AD4">
        <w:t xml:space="preserve"> of risks</w:t>
      </w:r>
      <w:bookmarkEnd w:id="244"/>
    </w:p>
    <w:p w:rsidR="00AB0965" w:rsidRDefault="00AB0965" w:rsidP="00AB0965">
      <w:proofErr w:type="spellStart"/>
      <w:r w:rsidRPr="007F67C8">
        <w:t>Ulipristal</w:t>
      </w:r>
      <w:proofErr w:type="spellEnd"/>
      <w:r w:rsidRPr="007F67C8">
        <w:t xml:space="preserve"> appears to have a favourable safety profile. The most commonly reported AEs were headache, nausea and abdominal pain. There is some prolongation of the menstrual cycle consistent with the mechanism of action and </w:t>
      </w:r>
      <w:proofErr w:type="spellStart"/>
      <w:r w:rsidRPr="007F67C8">
        <w:t>pharmacodynamic</w:t>
      </w:r>
      <w:proofErr w:type="spellEnd"/>
      <w:r w:rsidRPr="007F67C8">
        <w:t xml:space="preserve"> data. There were few SAEs or DAEs.</w:t>
      </w:r>
    </w:p>
    <w:p w:rsidR="00AB0965" w:rsidRPr="00605AD4" w:rsidRDefault="00AB0965" w:rsidP="007E5D41">
      <w:pPr>
        <w:pStyle w:val="Heading3"/>
      </w:pPr>
      <w:bookmarkStart w:id="245" w:name="_Toc430094081"/>
      <w:r w:rsidRPr="00605AD4">
        <w:t xml:space="preserve">First round </w:t>
      </w:r>
      <w:r w:rsidRPr="007E5D41">
        <w:t>assessment</w:t>
      </w:r>
      <w:r w:rsidRPr="00605AD4">
        <w:t xml:space="preserve"> of benefit-risk balance</w:t>
      </w:r>
      <w:bookmarkEnd w:id="245"/>
    </w:p>
    <w:p w:rsidR="00AB0965" w:rsidRDefault="00AB0965" w:rsidP="00AB0965">
      <w:r>
        <w:t xml:space="preserve">The benefit-risk balance of </w:t>
      </w:r>
      <w:proofErr w:type="spellStart"/>
      <w:r>
        <w:t>EllaOne</w:t>
      </w:r>
      <w:proofErr w:type="spellEnd"/>
      <w:r w:rsidRPr="00EE6D55">
        <w:t xml:space="preserve"> (</w:t>
      </w:r>
      <w:proofErr w:type="spellStart"/>
      <w:r w:rsidRPr="00EE6D55">
        <w:t>ulipristal</w:t>
      </w:r>
      <w:proofErr w:type="spellEnd"/>
      <w:r w:rsidRPr="00EE6D55">
        <w:t xml:space="preserve"> acetate) 30 mg tablets, given the proposed usage, is favourable.</w:t>
      </w:r>
    </w:p>
    <w:p w:rsidR="00C22678" w:rsidRDefault="00C22678" w:rsidP="007E5D41">
      <w:pPr>
        <w:pStyle w:val="Heading2"/>
      </w:pPr>
      <w:bookmarkStart w:id="246" w:name="_Toc430094082"/>
      <w:r>
        <w:t xml:space="preserve">First </w:t>
      </w:r>
      <w:r w:rsidRPr="007E5D41">
        <w:t>round</w:t>
      </w:r>
      <w:r>
        <w:t xml:space="preserve"> recommendation regarding authorisation</w:t>
      </w:r>
      <w:bookmarkEnd w:id="246"/>
    </w:p>
    <w:p w:rsidR="00AB0965" w:rsidRDefault="00AB0965" w:rsidP="00AB0965">
      <w:r w:rsidRPr="00EE6D55">
        <w:t xml:space="preserve">The </w:t>
      </w:r>
      <w:r>
        <w:t>e</w:t>
      </w:r>
      <w:r w:rsidRPr="00EE6D55">
        <w:t>valuator would have no o</w:t>
      </w:r>
      <w:r>
        <w:t xml:space="preserve">bjection to the approval of </w:t>
      </w:r>
      <w:proofErr w:type="spellStart"/>
      <w:r>
        <w:t>EllaOne</w:t>
      </w:r>
      <w:proofErr w:type="spellEnd"/>
      <w:r w:rsidRPr="00EE6D55">
        <w:t xml:space="preserve"> (</w:t>
      </w:r>
      <w:proofErr w:type="spellStart"/>
      <w:r w:rsidRPr="00EE6D55">
        <w:t>ulipristal</w:t>
      </w:r>
      <w:proofErr w:type="spellEnd"/>
      <w:r w:rsidRPr="00EE6D55">
        <w:t xml:space="preserve"> acetate) 30 mg </w:t>
      </w:r>
      <w:r>
        <w:t>tablets for the indication of:</w:t>
      </w:r>
    </w:p>
    <w:p w:rsidR="00AB0965" w:rsidRPr="0078296E" w:rsidRDefault="00AB0965" w:rsidP="00AB0965">
      <w:pPr>
        <w:ind w:left="720"/>
        <w:rPr>
          <w:i/>
        </w:rPr>
      </w:pPr>
      <w:proofErr w:type="gramStart"/>
      <w:r w:rsidRPr="0078296E">
        <w:rPr>
          <w:i/>
        </w:rPr>
        <w:t>Emergency contraception within 120 hours (5 days) of unprotected sexual intercourse or contraceptive failure.</w:t>
      </w:r>
      <w:proofErr w:type="gramEnd"/>
    </w:p>
    <w:p w:rsidR="00C22678" w:rsidRDefault="00C22678" w:rsidP="007E5D41">
      <w:pPr>
        <w:pStyle w:val="Heading2"/>
      </w:pPr>
      <w:bookmarkStart w:id="247" w:name="_Toc430094083"/>
      <w:r w:rsidRPr="007E5D41">
        <w:t>Clinical</w:t>
      </w:r>
      <w:r>
        <w:t xml:space="preserve"> questions</w:t>
      </w:r>
      <w:bookmarkEnd w:id="247"/>
    </w:p>
    <w:p w:rsidR="00AB0965" w:rsidRDefault="00AB0965" w:rsidP="00AB0965">
      <w:r>
        <w:t>No questions.</w:t>
      </w:r>
    </w:p>
    <w:bookmarkEnd w:id="1"/>
    <w:bookmarkEnd w:id="0"/>
    <w:bookmarkEnd w:id="3"/>
    <w:p w:rsidR="003D1E62" w:rsidRPr="001D043B" w:rsidRDefault="008E7846" w:rsidP="002666AC">
      <w:pPr>
        <w:sectPr w:rsidR="003D1E62" w:rsidRPr="001D043B" w:rsidSect="008D770F">
          <w:headerReference w:type="even" r:id="rId18"/>
          <w:headerReference w:type="default" r:id="rId19"/>
          <w:headerReference w:type="first" r:id="rId20"/>
          <w:footerReference w:type="first" r:id="rId21"/>
          <w:pgSz w:w="11906" w:h="16838" w:code="9"/>
          <w:pgMar w:top="1440" w:right="1440" w:bottom="1440" w:left="1440" w:header="907" w:footer="216" w:gutter="0"/>
          <w:cols w:space="708"/>
          <w:docGrid w:linePitch="360"/>
        </w:sectPr>
      </w:pPr>
      <w: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BA1624">
        <w:trPr>
          <w:trHeight w:hRule="exact" w:val="564"/>
        </w:trPr>
        <w:tc>
          <w:tcPr>
            <w:tcW w:w="9175" w:type="dxa"/>
          </w:tcPr>
          <w:p w:rsidR="00B3567E" w:rsidRPr="00487162" w:rsidRDefault="00B3567E" w:rsidP="00BA1624">
            <w:pPr>
              <w:pStyle w:val="TGASignoff"/>
            </w:pPr>
            <w:r w:rsidRPr="00487162">
              <w:lastRenderedPageBreak/>
              <w:t>Therapeutic Goods Administration</w:t>
            </w:r>
          </w:p>
        </w:tc>
      </w:tr>
      <w:tr w:rsidR="00B3567E" w:rsidRPr="00487162" w:rsidTr="00BA1624">
        <w:trPr>
          <w:trHeight w:val="1221"/>
        </w:trPr>
        <w:tc>
          <w:tcPr>
            <w:tcW w:w="9175" w:type="dxa"/>
            <w:tcMar>
              <w:top w:w="28" w:type="dxa"/>
            </w:tcMar>
          </w:tcPr>
          <w:p w:rsidR="00B3567E" w:rsidRPr="00487162" w:rsidRDefault="00B3567E" w:rsidP="00BA1624">
            <w:pPr>
              <w:pStyle w:val="Address"/>
            </w:pPr>
            <w:r w:rsidRPr="00487162">
              <w:t>PO Box 100 Woden ACT 2606 Australia</w:t>
            </w:r>
          </w:p>
          <w:p w:rsidR="00B3567E" w:rsidRPr="00487162" w:rsidRDefault="00B3567E" w:rsidP="00BA1624">
            <w:pPr>
              <w:pStyle w:val="Address"/>
            </w:pPr>
            <w:r w:rsidRPr="00487162">
              <w:t xml:space="preserve">Email: </w:t>
            </w:r>
            <w:hyperlink r:id="rId22" w:history="1">
              <w:r w:rsidRPr="008D770F">
                <w:rPr>
                  <w:rStyle w:val="Hyperlink"/>
                </w:rPr>
                <w:t>info@tga.gov.au</w:t>
              </w:r>
            </w:hyperlink>
            <w:r w:rsidR="00892FBC">
              <w:t xml:space="preserve">  </w:t>
            </w:r>
            <w:r w:rsidRPr="00487162">
              <w:t>Phone: 1800 020 653</w:t>
            </w:r>
            <w:r w:rsidR="00892FBC">
              <w:t xml:space="preserve">  </w:t>
            </w:r>
            <w:r w:rsidRPr="00487162">
              <w:t>Fax: 02 6232 8605</w:t>
            </w:r>
          </w:p>
          <w:p w:rsidR="00B3567E" w:rsidRPr="008D770F" w:rsidRDefault="00D7592F" w:rsidP="00BA1624">
            <w:pPr>
              <w:pStyle w:val="Address"/>
              <w:spacing w:line="260" w:lineRule="atLeast"/>
              <w:rPr>
                <w:b/>
                <w:color w:val="0000FF"/>
                <w:u w:val="single"/>
              </w:rPr>
            </w:pPr>
            <w:hyperlink r:id="rId23" w:history="1">
              <w:r w:rsidR="00E979F4" w:rsidRPr="00FE02B1">
                <w:rPr>
                  <w:rStyle w:val="Hyperlink"/>
                  <w:b/>
                </w:rPr>
                <w:t>https://www.tga.gov.au</w:t>
              </w:r>
            </w:hyperlink>
          </w:p>
        </w:tc>
      </w:tr>
    </w:tbl>
    <w:p w:rsidR="00774E1D" w:rsidRPr="008A5E0B" w:rsidRDefault="00774E1D" w:rsidP="008A5E0B"/>
    <w:sectPr w:rsidR="00774E1D" w:rsidRPr="008A5E0B" w:rsidSect="00B3567E">
      <w:headerReference w:type="even" r:id="rId24"/>
      <w:headerReference w:type="default" r:id="rId25"/>
      <w:footerReference w:type="default" r:id="rId26"/>
      <w:headerReference w:type="first" r:id="rId27"/>
      <w:footerReference w:type="first" r:id="rId28"/>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92C" w:rsidRDefault="00A4392C" w:rsidP="00C40A36">
      <w:pPr>
        <w:spacing w:after="0"/>
      </w:pPr>
      <w:r>
        <w:separator/>
      </w:r>
    </w:p>
  </w:endnote>
  <w:endnote w:type="continuationSeparator" w:id="0">
    <w:p w:rsidR="00A4392C" w:rsidRDefault="00A4392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631216" w:rsidRPr="00487162" w:rsidTr="00981D66">
      <w:trPr>
        <w:trHeight w:val="269"/>
      </w:trPr>
      <w:tc>
        <w:tcPr>
          <w:tcW w:w="7938" w:type="dxa"/>
          <w:tcMar>
            <w:top w:w="142" w:type="dxa"/>
            <w:bottom w:w="0" w:type="dxa"/>
          </w:tcMar>
        </w:tcPr>
        <w:p w:rsidR="00631216" w:rsidRPr="00487162" w:rsidRDefault="00631216" w:rsidP="00981D66">
          <w:pPr>
            <w:pStyle w:val="Footer"/>
          </w:pPr>
          <w:r>
            <w:t>Submission</w:t>
          </w:r>
          <w:r w:rsidRPr="00487162">
            <w:t xml:space="preserve"> </w:t>
          </w:r>
          <w:r w:rsidRPr="001A4089">
            <w:t xml:space="preserve">PM-2013-04154-1-5 </w:t>
          </w:r>
          <w:r>
            <w:t xml:space="preserve">Extract from the Clinical Evaluation Report for </w:t>
          </w:r>
          <w:proofErr w:type="spellStart"/>
          <w:r>
            <w:t>EllaOne</w:t>
          </w:r>
          <w:proofErr w:type="spellEnd"/>
        </w:p>
      </w:tc>
      <w:tc>
        <w:tcPr>
          <w:tcW w:w="923" w:type="dxa"/>
          <w:tcMar>
            <w:top w:w="142" w:type="dxa"/>
            <w:bottom w:w="0" w:type="dxa"/>
          </w:tcMar>
        </w:tcPr>
        <w:p w:rsidR="00631216" w:rsidRPr="00981D66" w:rsidRDefault="0033522E" w:rsidP="00D855D4">
          <w:pPr>
            <w:pStyle w:val="Footer"/>
            <w:jc w:val="right"/>
          </w:pPr>
          <w:r>
            <w:fldChar w:fldCharType="begin"/>
          </w:r>
          <w:r>
            <w:instrText xml:space="preserve"> PAGE  \* Arabic  \* MERGEFORMAT </w:instrText>
          </w:r>
          <w:r>
            <w:fldChar w:fldCharType="separate"/>
          </w:r>
          <w:r w:rsidR="00D7592F">
            <w:rPr>
              <w:noProof/>
            </w:rPr>
            <w:t>3</w:t>
          </w:r>
          <w:r>
            <w:rPr>
              <w:noProof/>
            </w:rPr>
            <w:fldChar w:fldCharType="end"/>
          </w:r>
          <w:r w:rsidR="00631216" w:rsidRPr="00981D66">
            <w:t xml:space="preserve"> of </w:t>
          </w:r>
          <w:fldSimple w:instr=" NUMPAGES  \* Arabic  \* MERGEFORMAT ">
            <w:r w:rsidR="00D7592F">
              <w:rPr>
                <w:noProof/>
              </w:rPr>
              <w:t>31</w:t>
            </w:r>
          </w:fldSimple>
        </w:p>
      </w:tc>
    </w:tr>
  </w:tbl>
  <w:p w:rsidR="00631216" w:rsidRDefault="00631216"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631216" w:rsidRPr="00487162" w:rsidTr="00E45619">
      <w:trPr>
        <w:trHeight w:val="269"/>
      </w:trPr>
      <w:tc>
        <w:tcPr>
          <w:tcW w:w="4519" w:type="dxa"/>
          <w:tcBorders>
            <w:top w:val="single" w:sz="4" w:space="0" w:color="auto"/>
          </w:tcBorders>
          <w:tcMar>
            <w:top w:w="142" w:type="dxa"/>
            <w:bottom w:w="0" w:type="dxa"/>
          </w:tcMar>
        </w:tcPr>
        <w:p w:rsidR="00631216" w:rsidRPr="00487162" w:rsidRDefault="00631216" w:rsidP="00FE1DEE">
          <w:pPr>
            <w:pStyle w:val="Footer"/>
          </w:pPr>
          <w:r w:rsidRPr="00487162">
            <w:t>Document title, Part #, Section # - Section title</w:t>
          </w:r>
        </w:p>
        <w:p w:rsidR="00631216" w:rsidRPr="00487162" w:rsidRDefault="00631216" w:rsidP="00FE1DEE">
          <w:pPr>
            <w:pStyle w:val="Footer"/>
          </w:pPr>
          <w:r w:rsidRPr="00487162">
            <w:t>V1.0 October 2010</w:t>
          </w:r>
        </w:p>
      </w:tc>
      <w:tc>
        <w:tcPr>
          <w:tcW w:w="4342" w:type="dxa"/>
          <w:tcBorders>
            <w:top w:val="single" w:sz="4" w:space="0" w:color="auto"/>
          </w:tcBorders>
          <w:tcMar>
            <w:top w:w="142" w:type="dxa"/>
            <w:bottom w:w="0" w:type="dxa"/>
          </w:tcMar>
        </w:tcPr>
        <w:p w:rsidR="00631216" w:rsidRPr="00487162" w:rsidRDefault="00631216" w:rsidP="00E45619">
          <w:pPr>
            <w:pStyle w:val="Footer"/>
            <w:jc w:val="right"/>
          </w:pPr>
          <w:r w:rsidRPr="00487162">
            <w:t xml:space="preserve">Page </w:t>
          </w:r>
          <w:r w:rsidR="0033522E">
            <w:fldChar w:fldCharType="begin"/>
          </w:r>
          <w:r w:rsidR="0033522E">
            <w:instrText xml:space="preserve"> PAGE   \* MERGEFORMAT </w:instrText>
          </w:r>
          <w:r w:rsidR="0033522E">
            <w:fldChar w:fldCharType="separate"/>
          </w:r>
          <w:r w:rsidRPr="00487162">
            <w:rPr>
              <w:noProof/>
            </w:rPr>
            <w:t>3</w:t>
          </w:r>
          <w:r w:rsidR="0033522E">
            <w:rPr>
              <w:noProof/>
            </w:rPr>
            <w:fldChar w:fldCharType="end"/>
          </w:r>
          <w:r w:rsidRPr="00487162">
            <w:t xml:space="preserve"> of </w:t>
          </w:r>
          <w:fldSimple w:instr=" NUMPAGES  ">
            <w:r>
              <w:rPr>
                <w:noProof/>
              </w:rPr>
              <w:t>4</w:t>
            </w:r>
          </w:fldSimple>
        </w:p>
      </w:tc>
    </w:tr>
  </w:tbl>
  <w:p w:rsidR="00631216" w:rsidRDefault="006312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16" w:rsidRDefault="00631216" w:rsidP="008E7846">
    <w:pPr>
      <w:pStyle w:val="Note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631216" w:rsidTr="0010601F">
      <w:trPr>
        <w:trHeight w:val="108"/>
      </w:trPr>
      <w:tc>
        <w:tcPr>
          <w:tcW w:w="8875" w:type="dxa"/>
          <w:gridSpan w:val="2"/>
          <w:tcBorders>
            <w:bottom w:val="single" w:sz="4" w:space="0" w:color="auto"/>
          </w:tcBorders>
          <w:tcMar>
            <w:right w:w="284" w:type="dxa"/>
          </w:tcMar>
        </w:tcPr>
        <w:p w:rsidR="00631216" w:rsidRDefault="00631216" w:rsidP="006E08B3">
          <w:pPr>
            <w:pStyle w:val="Heading3"/>
          </w:pPr>
          <w:r>
            <w:t>Copyright</w:t>
          </w:r>
        </w:p>
        <w:p w:rsidR="00631216" w:rsidRDefault="00631216" w:rsidP="006E08B3">
          <w:r>
            <w:rPr>
              <w:rFonts w:cs="Arial"/>
            </w:rPr>
            <w:t>©</w:t>
          </w:r>
          <w:r>
            <w:t xml:space="preserve"> Commonwealth of Australia [add year]</w:t>
          </w:r>
        </w:p>
        <w:p w:rsidR="00631216" w:rsidRDefault="00631216" w:rsidP="006E08B3"/>
        <w:p w:rsidR="00631216" w:rsidRDefault="0063121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631216" w:rsidRDefault="00631216" w:rsidP="006E08B3"/>
        <w:p w:rsidR="00631216" w:rsidRDefault="00631216" w:rsidP="006E08B3">
          <w:pPr>
            <w:pStyle w:val="Heading3"/>
          </w:pPr>
          <w:r>
            <w:t>Confidentiality</w:t>
          </w:r>
        </w:p>
        <w:p w:rsidR="00631216" w:rsidRDefault="0063121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631216" w:rsidRDefault="00631216" w:rsidP="006E08B3"/>
        <w:p w:rsidR="00631216" w:rsidRDefault="00631216" w:rsidP="006E08B3">
          <w:r>
            <w:t>For submission made by individuals, all personal details, other than your name, will be removed from your submission before it is published on the TGA’s Internet site.</w:t>
          </w:r>
        </w:p>
        <w:p w:rsidR="00631216" w:rsidRDefault="00631216" w:rsidP="006E08B3"/>
        <w:p w:rsidR="00631216" w:rsidRDefault="00631216"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631216" w:rsidTr="0010601F">
      <w:trPr>
        <w:trHeight w:val="417"/>
      </w:trPr>
      <w:tc>
        <w:tcPr>
          <w:tcW w:w="4519" w:type="dxa"/>
          <w:tcBorders>
            <w:top w:val="single" w:sz="4" w:space="0" w:color="auto"/>
          </w:tcBorders>
          <w:tcMar>
            <w:top w:w="142" w:type="dxa"/>
            <w:bottom w:w="0" w:type="dxa"/>
          </w:tcMar>
        </w:tcPr>
        <w:p w:rsidR="00631216" w:rsidRDefault="00631216" w:rsidP="006E08B3">
          <w:r>
            <w:t>Document title, Part #, Section # - Section title</w:t>
          </w:r>
        </w:p>
        <w:p w:rsidR="00631216" w:rsidRDefault="00631216" w:rsidP="006E08B3">
          <w:r>
            <w:t>V1.0 October 2010</w:t>
          </w:r>
        </w:p>
      </w:tc>
      <w:tc>
        <w:tcPr>
          <w:tcW w:w="4356" w:type="dxa"/>
          <w:tcBorders>
            <w:top w:val="single" w:sz="4" w:space="0" w:color="auto"/>
          </w:tcBorders>
          <w:tcMar>
            <w:top w:w="142" w:type="dxa"/>
            <w:bottom w:w="0" w:type="dxa"/>
          </w:tcMar>
        </w:tcPr>
        <w:p w:rsidR="00631216" w:rsidRDefault="00631216" w:rsidP="006E08B3">
          <w:pPr>
            <w:jc w:val="right"/>
          </w:pPr>
          <w:r>
            <w:t xml:space="preserve">Page </w:t>
          </w:r>
          <w:r w:rsidR="0033522E">
            <w:fldChar w:fldCharType="begin"/>
          </w:r>
          <w:r w:rsidR="0033522E">
            <w:instrText xml:space="preserve"> PAGE   \* MERGEFORMAT </w:instrText>
          </w:r>
          <w:r w:rsidR="0033522E">
            <w:fldChar w:fldCharType="separate"/>
          </w:r>
          <w:r>
            <w:rPr>
              <w:noProof/>
            </w:rPr>
            <w:t>1</w:t>
          </w:r>
          <w:r w:rsidR="0033522E">
            <w:rPr>
              <w:noProof/>
            </w:rPr>
            <w:fldChar w:fldCharType="end"/>
          </w:r>
          <w:r>
            <w:t xml:space="preserve"> of </w:t>
          </w:r>
          <w:fldSimple w:instr=" NUMPAGES  \* Arabic ">
            <w:r>
              <w:rPr>
                <w:noProof/>
              </w:rPr>
              <w:t>4</w:t>
            </w:r>
          </w:fldSimple>
          <w:r>
            <w:t xml:space="preserve"> </w:t>
          </w:r>
        </w:p>
      </w:tc>
    </w:tr>
  </w:tbl>
  <w:p w:rsidR="00631216" w:rsidRDefault="006312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92C" w:rsidRDefault="00A4392C" w:rsidP="00C40A36">
      <w:pPr>
        <w:spacing w:after="0"/>
      </w:pPr>
      <w:r>
        <w:separator/>
      </w:r>
    </w:p>
  </w:footnote>
  <w:footnote w:type="continuationSeparator" w:id="0">
    <w:p w:rsidR="00A4392C" w:rsidRDefault="00A4392C" w:rsidP="00C40A36">
      <w:pPr>
        <w:spacing w:after="0"/>
      </w:pPr>
      <w:r>
        <w:continuationSeparator/>
      </w:r>
    </w:p>
  </w:footnote>
  <w:footnote w:id="1">
    <w:p w:rsidR="00631216" w:rsidRDefault="00631216" w:rsidP="007F0527">
      <w:pPr>
        <w:pStyle w:val="FootnoteText"/>
      </w:pPr>
      <w:r>
        <w:rPr>
          <w:rStyle w:val="FootnoteReference"/>
        </w:rPr>
        <w:footnoteRef/>
      </w:r>
      <w:r>
        <w:t xml:space="preserve"> The sponsor notes this </w:t>
      </w:r>
      <w:r w:rsidRPr="005346BF">
        <w:t>refers</w:t>
      </w:r>
      <w:r>
        <w:t xml:space="preserve"> to a use in elderly women, which </w:t>
      </w:r>
      <w:r w:rsidRPr="005346BF">
        <w:t>is not intended and would be off-label.</w:t>
      </w:r>
    </w:p>
  </w:footnote>
  <w:footnote w:id="2">
    <w:p w:rsidR="008272E1" w:rsidRDefault="008272E1" w:rsidP="007E5D41">
      <w:pPr>
        <w:pStyle w:val="FootnoteText"/>
      </w:pPr>
      <w:r>
        <w:rPr>
          <w:rStyle w:val="FootnoteReference"/>
        </w:rPr>
        <w:footnoteRef/>
      </w:r>
      <w:r>
        <w:t xml:space="preserve"> The sponsor points out these </w:t>
      </w:r>
      <w:r w:rsidRPr="007E5D41">
        <w:t>results</w:t>
      </w:r>
      <w:r>
        <w:t xml:space="preserve"> were not statistically significant.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16" w:rsidRDefault="00631216"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16" w:rsidRDefault="00631216">
    <w:pPr>
      <w:rPr>
        <w:noProof/>
        <w:lang w:eastAsia="en-AU"/>
      </w:rPr>
    </w:pPr>
    <w:r w:rsidRPr="002D545C">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631216" w:rsidRDefault="007E5D41" w:rsidP="00593AD1">
    <w:pPr>
      <w:pStyle w:val="HeaderNoLine"/>
    </w:pPr>
    <w:r>
      <w:rPr>
        <w:noProof/>
        <w:lang w:eastAsia="en-AU"/>
      </w:rPr>
      <w:drawing>
        <wp:inline distT="0" distB="0" distL="0" distR="0">
          <wp:extent cx="5396865" cy="7635240"/>
          <wp:effectExtent l="0" t="0" r="0" b="3810"/>
          <wp:docPr id="3"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6865" cy="76352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16" w:rsidRDefault="006312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16" w:rsidRDefault="00631216">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16" w:rsidRDefault="00631216">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16" w:rsidRDefault="0063121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16" w:rsidRDefault="00631216"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16" w:rsidRDefault="00631216" w:rsidP="006E08B3">
    <w:r>
      <w:t>Therapeutic Goods Administration</w:t>
    </w:r>
  </w:p>
  <w:p w:rsidR="00631216" w:rsidRDefault="00631216"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4836CE"/>
    <w:lvl w:ilvl="0">
      <w:start w:val="1"/>
      <w:numFmt w:val="decimal"/>
      <w:lvlText w:val="%1."/>
      <w:lvlJc w:val="left"/>
      <w:pPr>
        <w:tabs>
          <w:tab w:val="num" w:pos="1492"/>
        </w:tabs>
        <w:ind w:left="1492" w:hanging="360"/>
      </w:pPr>
    </w:lvl>
  </w:abstractNum>
  <w:abstractNum w:abstractNumId="1">
    <w:nsid w:val="FFFFFF7D"/>
    <w:multiLevelType w:val="singleLevel"/>
    <w:tmpl w:val="B9603838"/>
    <w:lvl w:ilvl="0">
      <w:start w:val="1"/>
      <w:numFmt w:val="decimal"/>
      <w:lvlText w:val="%1."/>
      <w:lvlJc w:val="left"/>
      <w:pPr>
        <w:tabs>
          <w:tab w:val="num" w:pos="1209"/>
        </w:tabs>
        <w:ind w:left="1209" w:hanging="360"/>
      </w:pPr>
    </w:lvl>
  </w:abstractNum>
  <w:abstractNum w:abstractNumId="2">
    <w:nsid w:val="FFFFFF7E"/>
    <w:multiLevelType w:val="singleLevel"/>
    <w:tmpl w:val="1CC86AD4"/>
    <w:lvl w:ilvl="0">
      <w:start w:val="1"/>
      <w:numFmt w:val="decimal"/>
      <w:lvlText w:val="%1."/>
      <w:lvlJc w:val="left"/>
      <w:pPr>
        <w:tabs>
          <w:tab w:val="num" w:pos="926"/>
        </w:tabs>
        <w:ind w:left="926" w:hanging="360"/>
      </w:pPr>
    </w:lvl>
  </w:abstractNum>
  <w:abstractNum w:abstractNumId="3">
    <w:nsid w:val="FFFFFF7F"/>
    <w:multiLevelType w:val="singleLevel"/>
    <w:tmpl w:val="1504940A"/>
    <w:lvl w:ilvl="0">
      <w:start w:val="1"/>
      <w:numFmt w:val="decimal"/>
      <w:lvlText w:val="%1."/>
      <w:lvlJc w:val="left"/>
      <w:pPr>
        <w:tabs>
          <w:tab w:val="num" w:pos="643"/>
        </w:tabs>
        <w:ind w:left="643" w:hanging="360"/>
      </w:pPr>
    </w:lvl>
  </w:abstractNum>
  <w:abstractNum w:abstractNumId="4">
    <w:nsid w:val="FFFFFF80"/>
    <w:multiLevelType w:val="singleLevel"/>
    <w:tmpl w:val="5DF264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6DCAAA0"/>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2AF8D9F8"/>
    <w:lvl w:ilvl="0">
      <w:start w:val="1"/>
      <w:numFmt w:val="decimal"/>
      <w:lvlText w:val="%1."/>
      <w:lvlJc w:val="left"/>
      <w:pPr>
        <w:tabs>
          <w:tab w:val="num" w:pos="360"/>
        </w:tabs>
        <w:ind w:left="360" w:hanging="360"/>
      </w:pPr>
    </w:lvl>
  </w:abstractNum>
  <w:abstractNum w:abstractNumId="7">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num w:numId="1">
    <w:abstractNumId w:val="8"/>
  </w:num>
  <w:num w:numId="2">
    <w:abstractNumId w:val="7"/>
  </w:num>
  <w:num w:numId="3">
    <w:abstractNumId w:val="8"/>
  </w:num>
  <w:num w:numId="4">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11"/>
  </w:num>
  <w:num w:numId="6">
    <w:abstractNumId w:val="10"/>
  </w:num>
  <w:num w:numId="7">
    <w:abstractNumId w:val="9"/>
  </w:num>
  <w:num w:numId="8">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9">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0">
    <w:abstractNumId w:val="0"/>
  </w:num>
  <w:num w:numId="11">
    <w:abstractNumId w:val="1"/>
  </w:num>
  <w:num w:numId="12">
    <w:abstractNumId w:val="2"/>
  </w:num>
  <w:num w:numId="13">
    <w:abstractNumId w:val="3"/>
  </w:num>
  <w:num w:numId="14">
    <w:abstractNumId w:val="6"/>
  </w:num>
  <w:num w:numId="15">
    <w:abstractNumId w:val="4"/>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220"/>
    <w:rsid w:val="00002031"/>
    <w:rsid w:val="00004734"/>
    <w:rsid w:val="00006B22"/>
    <w:rsid w:val="0001276A"/>
    <w:rsid w:val="00016560"/>
    <w:rsid w:val="000246AE"/>
    <w:rsid w:val="00025C67"/>
    <w:rsid w:val="00025F7B"/>
    <w:rsid w:val="00040ACB"/>
    <w:rsid w:val="0005559E"/>
    <w:rsid w:val="000564FD"/>
    <w:rsid w:val="000676D6"/>
    <w:rsid w:val="000733B4"/>
    <w:rsid w:val="00077775"/>
    <w:rsid w:val="00090471"/>
    <w:rsid w:val="000A05A4"/>
    <w:rsid w:val="000A3662"/>
    <w:rsid w:val="000A3AED"/>
    <w:rsid w:val="000A63AF"/>
    <w:rsid w:val="000B3532"/>
    <w:rsid w:val="000B3A75"/>
    <w:rsid w:val="000C690F"/>
    <w:rsid w:val="000D1295"/>
    <w:rsid w:val="000D391B"/>
    <w:rsid w:val="000D3D6D"/>
    <w:rsid w:val="000D4FC7"/>
    <w:rsid w:val="000E1219"/>
    <w:rsid w:val="000F02F9"/>
    <w:rsid w:val="000F4869"/>
    <w:rsid w:val="000F5B42"/>
    <w:rsid w:val="000F6E6F"/>
    <w:rsid w:val="0010193C"/>
    <w:rsid w:val="00104613"/>
    <w:rsid w:val="0010601F"/>
    <w:rsid w:val="0010788A"/>
    <w:rsid w:val="00107A31"/>
    <w:rsid w:val="00110EA5"/>
    <w:rsid w:val="00112F56"/>
    <w:rsid w:val="0011356C"/>
    <w:rsid w:val="001178E8"/>
    <w:rsid w:val="00125318"/>
    <w:rsid w:val="00126911"/>
    <w:rsid w:val="001305A2"/>
    <w:rsid w:val="00133238"/>
    <w:rsid w:val="0014197B"/>
    <w:rsid w:val="001447CD"/>
    <w:rsid w:val="00147373"/>
    <w:rsid w:val="001516B1"/>
    <w:rsid w:val="00154EBB"/>
    <w:rsid w:val="00156316"/>
    <w:rsid w:val="00165389"/>
    <w:rsid w:val="0017078F"/>
    <w:rsid w:val="0017693F"/>
    <w:rsid w:val="0018110E"/>
    <w:rsid w:val="00181684"/>
    <w:rsid w:val="001843C6"/>
    <w:rsid w:val="001850E0"/>
    <w:rsid w:val="00185849"/>
    <w:rsid w:val="001A2158"/>
    <w:rsid w:val="001A4089"/>
    <w:rsid w:val="001A525F"/>
    <w:rsid w:val="001B09F9"/>
    <w:rsid w:val="001B5D98"/>
    <w:rsid w:val="001B6448"/>
    <w:rsid w:val="001E07CF"/>
    <w:rsid w:val="001E59F1"/>
    <w:rsid w:val="001F49EB"/>
    <w:rsid w:val="001F6CBA"/>
    <w:rsid w:val="00201D4E"/>
    <w:rsid w:val="002076C9"/>
    <w:rsid w:val="00220B8A"/>
    <w:rsid w:val="002257F3"/>
    <w:rsid w:val="00233456"/>
    <w:rsid w:val="002339A5"/>
    <w:rsid w:val="00257848"/>
    <w:rsid w:val="002666AC"/>
    <w:rsid w:val="0027084A"/>
    <w:rsid w:val="00277EE5"/>
    <w:rsid w:val="00284B92"/>
    <w:rsid w:val="00286434"/>
    <w:rsid w:val="00286C59"/>
    <w:rsid w:val="00292113"/>
    <w:rsid w:val="002942D1"/>
    <w:rsid w:val="00294F13"/>
    <w:rsid w:val="0029501A"/>
    <w:rsid w:val="002B1638"/>
    <w:rsid w:val="002B50F0"/>
    <w:rsid w:val="002C3017"/>
    <w:rsid w:val="002C63ED"/>
    <w:rsid w:val="002D545C"/>
    <w:rsid w:val="002D6161"/>
    <w:rsid w:val="002E4C9A"/>
    <w:rsid w:val="002E599C"/>
    <w:rsid w:val="002F11F8"/>
    <w:rsid w:val="002F3F56"/>
    <w:rsid w:val="002F44B5"/>
    <w:rsid w:val="002F7E8A"/>
    <w:rsid w:val="00311AC0"/>
    <w:rsid w:val="0032583B"/>
    <w:rsid w:val="00327883"/>
    <w:rsid w:val="00327D45"/>
    <w:rsid w:val="0033522E"/>
    <w:rsid w:val="00335504"/>
    <w:rsid w:val="00341809"/>
    <w:rsid w:val="003521E8"/>
    <w:rsid w:val="00352FC0"/>
    <w:rsid w:val="003544C1"/>
    <w:rsid w:val="003728F3"/>
    <w:rsid w:val="003735EC"/>
    <w:rsid w:val="0037496E"/>
    <w:rsid w:val="0037623D"/>
    <w:rsid w:val="00386150"/>
    <w:rsid w:val="003874CE"/>
    <w:rsid w:val="00390900"/>
    <w:rsid w:val="00396C92"/>
    <w:rsid w:val="003A7F6C"/>
    <w:rsid w:val="003B1113"/>
    <w:rsid w:val="003B4D60"/>
    <w:rsid w:val="003B634F"/>
    <w:rsid w:val="003B7E39"/>
    <w:rsid w:val="003C1DDE"/>
    <w:rsid w:val="003C58DC"/>
    <w:rsid w:val="003D03E3"/>
    <w:rsid w:val="003D0A3B"/>
    <w:rsid w:val="003D1E62"/>
    <w:rsid w:val="003E2486"/>
    <w:rsid w:val="003E3208"/>
    <w:rsid w:val="003F0B04"/>
    <w:rsid w:val="0040134E"/>
    <w:rsid w:val="00407C4F"/>
    <w:rsid w:val="00415D59"/>
    <w:rsid w:val="004170BA"/>
    <w:rsid w:val="0043797D"/>
    <w:rsid w:val="00440A2D"/>
    <w:rsid w:val="004564A7"/>
    <w:rsid w:val="004617BF"/>
    <w:rsid w:val="00463658"/>
    <w:rsid w:val="004722CC"/>
    <w:rsid w:val="00480B01"/>
    <w:rsid w:val="004936E4"/>
    <w:rsid w:val="00494E60"/>
    <w:rsid w:val="00497487"/>
    <w:rsid w:val="004A33BD"/>
    <w:rsid w:val="004A436A"/>
    <w:rsid w:val="004A7E13"/>
    <w:rsid w:val="004B7B76"/>
    <w:rsid w:val="004C2DCA"/>
    <w:rsid w:val="004D3438"/>
    <w:rsid w:val="004E2875"/>
    <w:rsid w:val="004E53DE"/>
    <w:rsid w:val="004F0F38"/>
    <w:rsid w:val="004F4AF5"/>
    <w:rsid w:val="00501921"/>
    <w:rsid w:val="00506460"/>
    <w:rsid w:val="00530354"/>
    <w:rsid w:val="005346BF"/>
    <w:rsid w:val="0053625B"/>
    <w:rsid w:val="00537964"/>
    <w:rsid w:val="005434C6"/>
    <w:rsid w:val="00543A61"/>
    <w:rsid w:val="00543B39"/>
    <w:rsid w:val="00550096"/>
    <w:rsid w:val="00557FF9"/>
    <w:rsid w:val="00576378"/>
    <w:rsid w:val="00577945"/>
    <w:rsid w:val="00577E38"/>
    <w:rsid w:val="005800F4"/>
    <w:rsid w:val="00585322"/>
    <w:rsid w:val="005857C6"/>
    <w:rsid w:val="00586F98"/>
    <w:rsid w:val="00592F6E"/>
    <w:rsid w:val="00593AD1"/>
    <w:rsid w:val="005A68B6"/>
    <w:rsid w:val="005C5248"/>
    <w:rsid w:val="005C5570"/>
    <w:rsid w:val="005C79A4"/>
    <w:rsid w:val="005D5442"/>
    <w:rsid w:val="00603F32"/>
    <w:rsid w:val="00620406"/>
    <w:rsid w:val="00631216"/>
    <w:rsid w:val="00632398"/>
    <w:rsid w:val="00640FC3"/>
    <w:rsid w:val="00642020"/>
    <w:rsid w:val="00646206"/>
    <w:rsid w:val="0065337B"/>
    <w:rsid w:val="0065419D"/>
    <w:rsid w:val="006604D8"/>
    <w:rsid w:val="00664A5B"/>
    <w:rsid w:val="00665718"/>
    <w:rsid w:val="006763D2"/>
    <w:rsid w:val="00680C08"/>
    <w:rsid w:val="006931B1"/>
    <w:rsid w:val="006A15C0"/>
    <w:rsid w:val="006A22E2"/>
    <w:rsid w:val="006C130C"/>
    <w:rsid w:val="006C3E2A"/>
    <w:rsid w:val="006C642F"/>
    <w:rsid w:val="006D03E5"/>
    <w:rsid w:val="006D5D3E"/>
    <w:rsid w:val="006E08B3"/>
    <w:rsid w:val="006F17AC"/>
    <w:rsid w:val="006F1D37"/>
    <w:rsid w:val="006F26D0"/>
    <w:rsid w:val="006F2796"/>
    <w:rsid w:val="006F2E5C"/>
    <w:rsid w:val="006F572E"/>
    <w:rsid w:val="007027FA"/>
    <w:rsid w:val="007033E8"/>
    <w:rsid w:val="007045B6"/>
    <w:rsid w:val="007046D6"/>
    <w:rsid w:val="00705DB0"/>
    <w:rsid w:val="00722B57"/>
    <w:rsid w:val="0074253D"/>
    <w:rsid w:val="00744220"/>
    <w:rsid w:val="0074429B"/>
    <w:rsid w:val="007513B4"/>
    <w:rsid w:val="007615BC"/>
    <w:rsid w:val="00762F05"/>
    <w:rsid w:val="007652FF"/>
    <w:rsid w:val="00770EF1"/>
    <w:rsid w:val="00773EF7"/>
    <w:rsid w:val="00774E1D"/>
    <w:rsid w:val="0077675A"/>
    <w:rsid w:val="00780355"/>
    <w:rsid w:val="00785721"/>
    <w:rsid w:val="00792025"/>
    <w:rsid w:val="00793A59"/>
    <w:rsid w:val="007B6E9F"/>
    <w:rsid w:val="007C1216"/>
    <w:rsid w:val="007C1AF7"/>
    <w:rsid w:val="007E5D41"/>
    <w:rsid w:val="007E6E27"/>
    <w:rsid w:val="007F0527"/>
    <w:rsid w:val="00805D27"/>
    <w:rsid w:val="00821776"/>
    <w:rsid w:val="00823EC9"/>
    <w:rsid w:val="008272E1"/>
    <w:rsid w:val="008321F5"/>
    <w:rsid w:val="00832369"/>
    <w:rsid w:val="00834660"/>
    <w:rsid w:val="00836BC2"/>
    <w:rsid w:val="008414A0"/>
    <w:rsid w:val="0085641B"/>
    <w:rsid w:val="00857136"/>
    <w:rsid w:val="00885E2D"/>
    <w:rsid w:val="00886D15"/>
    <w:rsid w:val="00887DD8"/>
    <w:rsid w:val="00892FBC"/>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7846"/>
    <w:rsid w:val="008F1CCC"/>
    <w:rsid w:val="008F2967"/>
    <w:rsid w:val="008F5049"/>
    <w:rsid w:val="008F5F20"/>
    <w:rsid w:val="008F6943"/>
    <w:rsid w:val="00902A21"/>
    <w:rsid w:val="00910EF3"/>
    <w:rsid w:val="00917B9A"/>
    <w:rsid w:val="00920330"/>
    <w:rsid w:val="009219D7"/>
    <w:rsid w:val="00922D53"/>
    <w:rsid w:val="00923B70"/>
    <w:rsid w:val="00924482"/>
    <w:rsid w:val="00930237"/>
    <w:rsid w:val="009423F4"/>
    <w:rsid w:val="009438E8"/>
    <w:rsid w:val="00946EA5"/>
    <w:rsid w:val="0095160F"/>
    <w:rsid w:val="00963C08"/>
    <w:rsid w:val="00981D66"/>
    <w:rsid w:val="0098585A"/>
    <w:rsid w:val="0098669D"/>
    <w:rsid w:val="00994C95"/>
    <w:rsid w:val="009A1DE6"/>
    <w:rsid w:val="009A4CED"/>
    <w:rsid w:val="009A690D"/>
    <w:rsid w:val="009B1D12"/>
    <w:rsid w:val="009B416B"/>
    <w:rsid w:val="009C2774"/>
    <w:rsid w:val="009C4639"/>
    <w:rsid w:val="009C4BD5"/>
    <w:rsid w:val="009D7B77"/>
    <w:rsid w:val="009E0BB0"/>
    <w:rsid w:val="009E3FBB"/>
    <w:rsid w:val="00A02D1D"/>
    <w:rsid w:val="00A05812"/>
    <w:rsid w:val="00A05E61"/>
    <w:rsid w:val="00A102E4"/>
    <w:rsid w:val="00A105A7"/>
    <w:rsid w:val="00A12C42"/>
    <w:rsid w:val="00A14DF7"/>
    <w:rsid w:val="00A235D9"/>
    <w:rsid w:val="00A3246D"/>
    <w:rsid w:val="00A361E6"/>
    <w:rsid w:val="00A36FA7"/>
    <w:rsid w:val="00A4392C"/>
    <w:rsid w:val="00A475B7"/>
    <w:rsid w:val="00A47855"/>
    <w:rsid w:val="00A47AF7"/>
    <w:rsid w:val="00A47C3E"/>
    <w:rsid w:val="00A50226"/>
    <w:rsid w:val="00A5157E"/>
    <w:rsid w:val="00A60BAD"/>
    <w:rsid w:val="00A8181A"/>
    <w:rsid w:val="00A8503E"/>
    <w:rsid w:val="00A964D1"/>
    <w:rsid w:val="00AA0ED0"/>
    <w:rsid w:val="00AA3499"/>
    <w:rsid w:val="00AB0965"/>
    <w:rsid w:val="00AC2B40"/>
    <w:rsid w:val="00AC2BB2"/>
    <w:rsid w:val="00AC2C3C"/>
    <w:rsid w:val="00AC512D"/>
    <w:rsid w:val="00AD084F"/>
    <w:rsid w:val="00AD182A"/>
    <w:rsid w:val="00AE01C2"/>
    <w:rsid w:val="00AE65EB"/>
    <w:rsid w:val="00AE67A7"/>
    <w:rsid w:val="00AF1697"/>
    <w:rsid w:val="00AF1D94"/>
    <w:rsid w:val="00AF60C5"/>
    <w:rsid w:val="00B009C6"/>
    <w:rsid w:val="00B01548"/>
    <w:rsid w:val="00B02208"/>
    <w:rsid w:val="00B03D2F"/>
    <w:rsid w:val="00B1425E"/>
    <w:rsid w:val="00B20B24"/>
    <w:rsid w:val="00B21D29"/>
    <w:rsid w:val="00B25034"/>
    <w:rsid w:val="00B33588"/>
    <w:rsid w:val="00B33863"/>
    <w:rsid w:val="00B3567E"/>
    <w:rsid w:val="00B37D17"/>
    <w:rsid w:val="00B4175E"/>
    <w:rsid w:val="00B452CE"/>
    <w:rsid w:val="00B54C25"/>
    <w:rsid w:val="00B637A9"/>
    <w:rsid w:val="00B733A1"/>
    <w:rsid w:val="00B76B91"/>
    <w:rsid w:val="00B77EB1"/>
    <w:rsid w:val="00B811C6"/>
    <w:rsid w:val="00B8422D"/>
    <w:rsid w:val="00B85A87"/>
    <w:rsid w:val="00B92E08"/>
    <w:rsid w:val="00B96EBE"/>
    <w:rsid w:val="00BA1624"/>
    <w:rsid w:val="00BA27AA"/>
    <w:rsid w:val="00BA6FF3"/>
    <w:rsid w:val="00BC2085"/>
    <w:rsid w:val="00BC4710"/>
    <w:rsid w:val="00BC622A"/>
    <w:rsid w:val="00BD0011"/>
    <w:rsid w:val="00BD45E3"/>
    <w:rsid w:val="00BE0A78"/>
    <w:rsid w:val="00BE32A6"/>
    <w:rsid w:val="00BE6252"/>
    <w:rsid w:val="00BE79F0"/>
    <w:rsid w:val="00BF046D"/>
    <w:rsid w:val="00BF1190"/>
    <w:rsid w:val="00BF5D04"/>
    <w:rsid w:val="00C1164D"/>
    <w:rsid w:val="00C16861"/>
    <w:rsid w:val="00C22678"/>
    <w:rsid w:val="00C404A6"/>
    <w:rsid w:val="00C40A36"/>
    <w:rsid w:val="00C44419"/>
    <w:rsid w:val="00C45E7B"/>
    <w:rsid w:val="00C4625F"/>
    <w:rsid w:val="00C471B1"/>
    <w:rsid w:val="00C618F7"/>
    <w:rsid w:val="00C6316B"/>
    <w:rsid w:val="00C634A9"/>
    <w:rsid w:val="00C64586"/>
    <w:rsid w:val="00C70D53"/>
    <w:rsid w:val="00C73D0B"/>
    <w:rsid w:val="00C772FF"/>
    <w:rsid w:val="00C801AF"/>
    <w:rsid w:val="00C80256"/>
    <w:rsid w:val="00C811C0"/>
    <w:rsid w:val="00CB6B9D"/>
    <w:rsid w:val="00CB6BC0"/>
    <w:rsid w:val="00CC1B7C"/>
    <w:rsid w:val="00CC2C13"/>
    <w:rsid w:val="00CC727F"/>
    <w:rsid w:val="00CF15C3"/>
    <w:rsid w:val="00CF2B6F"/>
    <w:rsid w:val="00CF58B6"/>
    <w:rsid w:val="00D017ED"/>
    <w:rsid w:val="00D040D3"/>
    <w:rsid w:val="00D04C65"/>
    <w:rsid w:val="00D224FE"/>
    <w:rsid w:val="00D53A31"/>
    <w:rsid w:val="00D6493E"/>
    <w:rsid w:val="00D7301E"/>
    <w:rsid w:val="00D7592F"/>
    <w:rsid w:val="00D83AE1"/>
    <w:rsid w:val="00D855D4"/>
    <w:rsid w:val="00D87961"/>
    <w:rsid w:val="00D93466"/>
    <w:rsid w:val="00DA1124"/>
    <w:rsid w:val="00DB75B7"/>
    <w:rsid w:val="00DC6E02"/>
    <w:rsid w:val="00DE02AE"/>
    <w:rsid w:val="00DF1D7F"/>
    <w:rsid w:val="00DF4BE4"/>
    <w:rsid w:val="00E0212C"/>
    <w:rsid w:val="00E02702"/>
    <w:rsid w:val="00E02FB4"/>
    <w:rsid w:val="00E07F15"/>
    <w:rsid w:val="00E12C08"/>
    <w:rsid w:val="00E20571"/>
    <w:rsid w:val="00E235F7"/>
    <w:rsid w:val="00E23659"/>
    <w:rsid w:val="00E239D4"/>
    <w:rsid w:val="00E26130"/>
    <w:rsid w:val="00E2741C"/>
    <w:rsid w:val="00E40B22"/>
    <w:rsid w:val="00E45619"/>
    <w:rsid w:val="00E4588F"/>
    <w:rsid w:val="00E46DA3"/>
    <w:rsid w:val="00E51BB1"/>
    <w:rsid w:val="00E527DC"/>
    <w:rsid w:val="00E624A5"/>
    <w:rsid w:val="00E7344E"/>
    <w:rsid w:val="00E936E3"/>
    <w:rsid w:val="00E96693"/>
    <w:rsid w:val="00E979F4"/>
    <w:rsid w:val="00EA4EBA"/>
    <w:rsid w:val="00EB0798"/>
    <w:rsid w:val="00EB40AD"/>
    <w:rsid w:val="00EB586E"/>
    <w:rsid w:val="00EB5FC8"/>
    <w:rsid w:val="00EC5B35"/>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B65"/>
    <w:rsid w:val="00F640B6"/>
    <w:rsid w:val="00F80E40"/>
    <w:rsid w:val="00F848D9"/>
    <w:rsid w:val="00F96CFD"/>
    <w:rsid w:val="00FA5B82"/>
    <w:rsid w:val="00FA639E"/>
    <w:rsid w:val="00FB2BEA"/>
    <w:rsid w:val="00FC25E4"/>
    <w:rsid w:val="00FC4EF7"/>
    <w:rsid w:val="00FD669E"/>
    <w:rsid w:val="00FE1DEE"/>
    <w:rsid w:val="00FE308F"/>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052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5"/>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5"/>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5"/>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5"/>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5"/>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5"/>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FD669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E12C08"/>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E12C08"/>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E12C08"/>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E12C08"/>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E12C08"/>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E12C08"/>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BE32A6"/>
    <w:pPr>
      <w:ind w:left="992" w:hanging="992"/>
    </w:pPr>
  </w:style>
  <w:style w:type="paragraph" w:customStyle="1" w:styleId="TableTitle0">
    <w:name w:val="Table Title"/>
    <w:basedOn w:val="Normal"/>
    <w:rsid w:val="00294F13"/>
    <w:pPr>
      <w:keepNext/>
    </w:pPr>
    <w:rPr>
      <w:b/>
    </w:rPr>
  </w:style>
  <w:style w:type="paragraph" w:customStyle="1" w:styleId="Bulletpoint">
    <w:name w:val="Bullet point"/>
    <w:basedOn w:val="Normal"/>
    <w:rsid w:val="004170BA"/>
    <w:pPr>
      <w:numPr>
        <w:numId w:val="6"/>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Default">
    <w:name w:val="Default"/>
    <w:rsid w:val="00543A6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8Char">
    <w:name w:val="Heading 8 Char"/>
    <w:basedOn w:val="DefaultParagraphFont"/>
    <w:link w:val="Heading8"/>
    <w:uiPriority w:val="9"/>
    <w:semiHidden/>
    <w:rsid w:val="00FD669E"/>
    <w:rPr>
      <w:rFonts w:asciiTheme="majorHAnsi" w:eastAsiaTheme="majorEastAsia" w:hAnsiTheme="majorHAnsi" w:cstheme="majorBidi"/>
      <w:color w:val="404040" w:themeColor="text1" w:themeTint="BF"/>
      <w:sz w:val="20"/>
      <w:szCs w:val="20"/>
    </w:rPr>
  </w:style>
  <w:style w:type="paragraph" w:customStyle="1" w:styleId="Bullet1">
    <w:name w:val="Bullet 1"/>
    <w:basedOn w:val="Normal"/>
    <w:rsid w:val="00FD669E"/>
    <w:pPr>
      <w:numPr>
        <w:numId w:val="7"/>
      </w:numPr>
      <w:spacing w:after="0" w:line="240" w:lineRule="auto"/>
    </w:pPr>
    <w:rPr>
      <w:rFonts w:eastAsia="Times New Roman"/>
      <w:kern w:val="24"/>
      <w:szCs w:val="24"/>
      <w:lang w:eastAsia="en-AU"/>
    </w:rPr>
  </w:style>
  <w:style w:type="paragraph" w:styleId="FootnoteText">
    <w:name w:val="footnote text"/>
    <w:basedOn w:val="Normal"/>
    <w:link w:val="FootnoteTextChar"/>
    <w:uiPriority w:val="99"/>
    <w:unhideWhenUsed/>
    <w:rsid w:val="005346BF"/>
    <w:pPr>
      <w:spacing w:before="0" w:after="0" w:line="240" w:lineRule="auto"/>
    </w:pPr>
    <w:rPr>
      <w:sz w:val="20"/>
      <w:szCs w:val="20"/>
    </w:rPr>
  </w:style>
  <w:style w:type="character" w:customStyle="1" w:styleId="FootnoteTextChar">
    <w:name w:val="Footnote Text Char"/>
    <w:basedOn w:val="DefaultParagraphFont"/>
    <w:link w:val="FootnoteText"/>
    <w:uiPriority w:val="99"/>
    <w:rsid w:val="005346BF"/>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5346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052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5"/>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5"/>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5"/>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5"/>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5"/>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5"/>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FD669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E12C08"/>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E12C08"/>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E12C08"/>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E12C08"/>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E12C08"/>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E12C08"/>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BE32A6"/>
    <w:pPr>
      <w:ind w:left="992" w:hanging="992"/>
    </w:pPr>
  </w:style>
  <w:style w:type="paragraph" w:customStyle="1" w:styleId="TableTitle0">
    <w:name w:val="Table Title"/>
    <w:basedOn w:val="Normal"/>
    <w:rsid w:val="00294F13"/>
    <w:pPr>
      <w:keepNext/>
    </w:pPr>
    <w:rPr>
      <w:b/>
    </w:rPr>
  </w:style>
  <w:style w:type="paragraph" w:customStyle="1" w:styleId="Bulletpoint">
    <w:name w:val="Bullet point"/>
    <w:basedOn w:val="Normal"/>
    <w:rsid w:val="004170BA"/>
    <w:pPr>
      <w:numPr>
        <w:numId w:val="6"/>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Default">
    <w:name w:val="Default"/>
    <w:rsid w:val="00543A6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8Char">
    <w:name w:val="Heading 8 Char"/>
    <w:basedOn w:val="DefaultParagraphFont"/>
    <w:link w:val="Heading8"/>
    <w:uiPriority w:val="9"/>
    <w:semiHidden/>
    <w:rsid w:val="00FD669E"/>
    <w:rPr>
      <w:rFonts w:asciiTheme="majorHAnsi" w:eastAsiaTheme="majorEastAsia" w:hAnsiTheme="majorHAnsi" w:cstheme="majorBidi"/>
      <w:color w:val="404040" w:themeColor="text1" w:themeTint="BF"/>
      <w:sz w:val="20"/>
      <w:szCs w:val="20"/>
    </w:rPr>
  </w:style>
  <w:style w:type="paragraph" w:customStyle="1" w:styleId="Bullet1">
    <w:name w:val="Bullet 1"/>
    <w:basedOn w:val="Normal"/>
    <w:rsid w:val="00FD669E"/>
    <w:pPr>
      <w:numPr>
        <w:numId w:val="7"/>
      </w:numPr>
      <w:spacing w:after="0" w:line="240" w:lineRule="auto"/>
    </w:pPr>
    <w:rPr>
      <w:rFonts w:eastAsia="Times New Roman"/>
      <w:kern w:val="24"/>
      <w:szCs w:val="24"/>
      <w:lang w:eastAsia="en-AU"/>
    </w:rPr>
  </w:style>
  <w:style w:type="paragraph" w:styleId="FootnoteText">
    <w:name w:val="footnote text"/>
    <w:basedOn w:val="Normal"/>
    <w:link w:val="FootnoteTextChar"/>
    <w:uiPriority w:val="99"/>
    <w:unhideWhenUsed/>
    <w:rsid w:val="005346BF"/>
    <w:pPr>
      <w:spacing w:before="0" w:after="0" w:line="240" w:lineRule="auto"/>
    </w:pPr>
    <w:rPr>
      <w:sz w:val="20"/>
      <w:szCs w:val="20"/>
    </w:rPr>
  </w:style>
  <w:style w:type="character" w:customStyle="1" w:styleId="FootnoteTextChar">
    <w:name w:val="Footnote Text Char"/>
    <w:basedOn w:val="DefaultParagraphFont"/>
    <w:link w:val="FootnoteText"/>
    <w:uiPriority w:val="99"/>
    <w:rsid w:val="005346BF"/>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534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tga.gov.au" TargetMode="External"/><Relationship Id="rId28" Type="http://schemas.openxmlformats.org/officeDocument/2006/relationships/footer" Target="footer4.xml"/><Relationship Id="rId10" Type="http://schemas.openxmlformats.org/officeDocument/2006/relationships/hyperlink" Target="https://www.tga.gov.au/product-information-pi"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eader" Target="header2.xml"/><Relationship Id="rId22" Type="http://schemas.openxmlformats.org/officeDocument/2006/relationships/hyperlink" Target="mailto:info@tga.gov.au" TargetMode="Externa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3828\R13%20453302%20%20Clinical%20Evaluation%20Report%20Extract%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6444-1941-4490-80DA-4FAC0F59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453302  Clinical Evaluation Report Extract template.DOTX</Template>
  <TotalTime>1</TotalTime>
  <Pages>31</Pages>
  <Words>10717</Words>
  <Characters>58626</Characters>
  <Application>Microsoft Office Word</Application>
  <DocSecurity>0</DocSecurity>
  <Lines>1085</Lines>
  <Paragraphs>541</Paragraphs>
  <ScaleCrop>false</ScaleCrop>
  <HeadingPairs>
    <vt:vector size="2" baseType="variant">
      <vt:variant>
        <vt:lpstr>Title</vt:lpstr>
      </vt:variant>
      <vt:variant>
        <vt:i4>1</vt:i4>
      </vt:variant>
    </vt:vector>
  </HeadingPairs>
  <TitlesOfParts>
    <vt:vector size="1" baseType="lpstr">
      <vt:lpstr>AusPAR Attachment 2: Extract from the Clinical Evaluation Report for ulipristal acetate</vt:lpstr>
    </vt:vector>
  </TitlesOfParts>
  <Company>TGA</Company>
  <LinksUpToDate>false</LinksUpToDate>
  <CharactersWithSpaces>68802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ulipristal acetate</dc:title>
  <dc:subject>Prescription medicines</dc:subject>
  <dc:creator>Therapeutic Goods Administration</dc:creator>
  <cp:keywords>AusPARs</cp:keywords>
  <cp:lastModifiedBy>Sheppard, Fran</cp:lastModifiedBy>
  <cp:revision>3</cp:revision>
  <cp:lastPrinted>2010-12-20T22:59:00Z</cp:lastPrinted>
  <dcterms:created xsi:type="dcterms:W3CDTF">2015-09-15T05:25:00Z</dcterms:created>
  <dcterms:modified xsi:type="dcterms:W3CDTF">2015-09-15T05:25:00Z</dcterms:modified>
</cp:coreProperties>
</file>